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25514" w14:textId="592692C1" w:rsidR="000D742E" w:rsidRDefault="00A5014C" w:rsidP="00E07221">
      <w:pPr>
        <w:spacing w:line="360" w:lineRule="auto"/>
        <w:jc w:val="both"/>
        <w:rPr>
          <w:rFonts w:ascii="Times New Roman" w:hAnsi="Times New Roman" w:cs="Times New Roman"/>
          <w:b/>
          <w:bCs/>
          <w:sz w:val="24"/>
          <w:szCs w:val="24"/>
        </w:rPr>
      </w:pPr>
      <w:r w:rsidRPr="00A17C1E">
        <w:rPr>
          <w:rFonts w:ascii="Times New Roman" w:hAnsi="Times New Roman" w:cs="Times New Roman"/>
          <w:b/>
          <w:bCs/>
          <w:sz w:val="24"/>
          <w:szCs w:val="24"/>
        </w:rPr>
        <w:t>ALIENS IN THE FIELD</w:t>
      </w:r>
      <w:r w:rsidR="00080E72" w:rsidRPr="00A17C1E">
        <w:rPr>
          <w:rFonts w:ascii="Times New Roman" w:hAnsi="Times New Roman" w:cs="Times New Roman"/>
          <w:b/>
          <w:bCs/>
          <w:sz w:val="24"/>
          <w:szCs w:val="24"/>
        </w:rPr>
        <w:t xml:space="preserve">: A REVIEW OF NON-NATIVE </w:t>
      </w:r>
      <w:r w:rsidR="00A44665" w:rsidRPr="00A17C1E">
        <w:rPr>
          <w:rFonts w:ascii="Times New Roman" w:hAnsi="Times New Roman" w:cs="Times New Roman"/>
          <w:b/>
          <w:bCs/>
          <w:sz w:val="24"/>
          <w:szCs w:val="24"/>
        </w:rPr>
        <w:t>PLANT CONTRIBUTION</w:t>
      </w:r>
      <w:r w:rsidR="00AB0DEB">
        <w:rPr>
          <w:rFonts w:ascii="Times New Roman" w:hAnsi="Times New Roman" w:cs="Times New Roman"/>
          <w:b/>
          <w:bCs/>
          <w:sz w:val="24"/>
          <w:szCs w:val="24"/>
        </w:rPr>
        <w:t xml:space="preserve"> </w:t>
      </w:r>
      <w:r w:rsidR="00A44665" w:rsidRPr="00A17C1E">
        <w:rPr>
          <w:rFonts w:ascii="Times New Roman" w:hAnsi="Times New Roman" w:cs="Times New Roman"/>
          <w:b/>
          <w:bCs/>
          <w:sz w:val="24"/>
          <w:szCs w:val="24"/>
        </w:rPr>
        <w:t>IN AGRICULTURE</w:t>
      </w:r>
    </w:p>
    <w:p w14:paraId="2F3B7FAA" w14:textId="77777777" w:rsidR="00444D63" w:rsidRDefault="00444D63" w:rsidP="00E07221">
      <w:pPr>
        <w:spacing w:line="360" w:lineRule="auto"/>
        <w:jc w:val="both"/>
        <w:rPr>
          <w:rFonts w:ascii="Times New Roman" w:hAnsi="Times New Roman" w:cs="Times New Roman"/>
          <w:b/>
          <w:bCs/>
          <w:sz w:val="24"/>
          <w:szCs w:val="24"/>
        </w:rPr>
      </w:pPr>
    </w:p>
    <w:p w14:paraId="57D8B5E4" w14:textId="2DC9BBEF" w:rsidR="00661516" w:rsidRDefault="00A5014C" w:rsidP="00E072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FC6C18C" w14:textId="77777777" w:rsidR="007B4C51" w:rsidRDefault="00A5014C" w:rsidP="00E07221">
      <w:pPr>
        <w:spacing w:line="360" w:lineRule="auto"/>
        <w:jc w:val="both"/>
        <w:rPr>
          <w:rFonts w:ascii="Times New Roman" w:hAnsi="Times New Roman" w:cs="Times New Roman"/>
          <w:sz w:val="24"/>
          <w:szCs w:val="24"/>
        </w:rPr>
      </w:pPr>
      <w:r>
        <w:rPr>
          <w:rFonts w:ascii="Times New Roman" w:hAnsi="Times New Roman" w:cs="Times New Roman"/>
          <w:sz w:val="24"/>
          <w:szCs w:val="24"/>
        </w:rPr>
        <w:t>The exotic crops are like aliens in the fields</w:t>
      </w:r>
      <w:r w:rsidR="00BB5BEB">
        <w:rPr>
          <w:rFonts w:ascii="Times New Roman" w:hAnsi="Times New Roman" w:cs="Times New Roman"/>
          <w:sz w:val="24"/>
          <w:szCs w:val="24"/>
        </w:rPr>
        <w:t>, offering significant potential in food security, farm diversification, and economic growth for farmers</w:t>
      </w:r>
      <w:r w:rsidR="00F00DB2">
        <w:rPr>
          <w:rFonts w:ascii="Times New Roman" w:hAnsi="Times New Roman" w:cs="Times New Roman"/>
          <w:sz w:val="24"/>
          <w:szCs w:val="24"/>
        </w:rPr>
        <w:t xml:space="preserve">, especially in regions of </w:t>
      </w:r>
      <w:r w:rsidR="00590B71">
        <w:rPr>
          <w:rFonts w:ascii="Times New Roman" w:hAnsi="Times New Roman" w:cs="Times New Roman"/>
          <w:sz w:val="24"/>
          <w:szCs w:val="24"/>
        </w:rPr>
        <w:t>ecological imbalance and climate chan</w:t>
      </w:r>
      <w:r w:rsidR="00C2547A">
        <w:rPr>
          <w:rFonts w:ascii="Times New Roman" w:hAnsi="Times New Roman" w:cs="Times New Roman"/>
          <w:sz w:val="24"/>
          <w:szCs w:val="24"/>
        </w:rPr>
        <w:t>ge with declining crop diversity.</w:t>
      </w:r>
      <w:r w:rsidR="00257383">
        <w:rPr>
          <w:rFonts w:ascii="Times New Roman" w:hAnsi="Times New Roman" w:cs="Times New Roman"/>
          <w:sz w:val="24"/>
          <w:szCs w:val="24"/>
        </w:rPr>
        <w:t xml:space="preserve"> </w:t>
      </w:r>
      <w:r w:rsidR="00257383" w:rsidRPr="00257383">
        <w:rPr>
          <w:rFonts w:ascii="Times New Roman" w:hAnsi="Times New Roman" w:cs="Times New Roman"/>
          <w:sz w:val="24"/>
          <w:szCs w:val="24"/>
        </w:rPr>
        <w:t xml:space="preserve">India’s diverse </w:t>
      </w:r>
      <w:proofErr w:type="spellStart"/>
      <w:r w:rsidR="00257383" w:rsidRPr="00257383">
        <w:rPr>
          <w:rFonts w:ascii="Times New Roman" w:hAnsi="Times New Roman" w:cs="Times New Roman"/>
          <w:sz w:val="24"/>
          <w:szCs w:val="24"/>
        </w:rPr>
        <w:t>agro</w:t>
      </w:r>
      <w:proofErr w:type="spellEnd"/>
      <w:r w:rsidR="00257383" w:rsidRPr="00257383">
        <w:rPr>
          <w:rFonts w:ascii="Times New Roman" w:hAnsi="Times New Roman" w:cs="Times New Roman"/>
          <w:sz w:val="24"/>
          <w:szCs w:val="24"/>
        </w:rPr>
        <w:t>-climatic zones make it a favo</w:t>
      </w:r>
      <w:r w:rsidR="00257383">
        <w:rPr>
          <w:rFonts w:ascii="Times New Roman" w:hAnsi="Times New Roman" w:cs="Times New Roman"/>
          <w:sz w:val="24"/>
          <w:szCs w:val="24"/>
        </w:rPr>
        <w:t>u</w:t>
      </w:r>
      <w:r w:rsidR="00257383" w:rsidRPr="00257383">
        <w:rPr>
          <w:rFonts w:ascii="Times New Roman" w:hAnsi="Times New Roman" w:cs="Times New Roman"/>
          <w:sz w:val="24"/>
          <w:szCs w:val="24"/>
        </w:rPr>
        <w:t>rable environment for adapting exotic species, many of which have become integral to local farming systems.</w:t>
      </w:r>
      <w:r w:rsidR="00011F43">
        <w:rPr>
          <w:rFonts w:ascii="Times New Roman" w:hAnsi="Times New Roman" w:cs="Times New Roman"/>
          <w:sz w:val="24"/>
          <w:szCs w:val="24"/>
        </w:rPr>
        <w:t xml:space="preserve"> </w:t>
      </w:r>
    </w:p>
    <w:p w14:paraId="76FBE9E7" w14:textId="77777777" w:rsidR="00CD6CA4" w:rsidRDefault="00A5014C" w:rsidP="00E072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many challenges, </w:t>
      </w:r>
      <w:r w:rsidR="002E4049">
        <w:rPr>
          <w:rFonts w:ascii="Times New Roman" w:hAnsi="Times New Roman" w:cs="Times New Roman"/>
          <w:sz w:val="24"/>
          <w:szCs w:val="24"/>
        </w:rPr>
        <w:t>such as outbreaks of pests, diseases, and weed infestation, with the invasion of exotic crops</w:t>
      </w:r>
      <w:r w:rsidR="002265BD">
        <w:rPr>
          <w:rFonts w:ascii="Times New Roman" w:hAnsi="Times New Roman" w:cs="Times New Roman"/>
          <w:sz w:val="24"/>
          <w:szCs w:val="24"/>
        </w:rPr>
        <w:t xml:space="preserve">, successful practices like protected cultivation and </w:t>
      </w:r>
      <w:r w:rsidR="00011F43">
        <w:rPr>
          <w:rFonts w:ascii="Times New Roman" w:hAnsi="Times New Roman" w:cs="Times New Roman"/>
          <w:sz w:val="24"/>
          <w:szCs w:val="24"/>
        </w:rPr>
        <w:t>precision</w:t>
      </w:r>
      <w:r w:rsidR="002265BD">
        <w:rPr>
          <w:rFonts w:ascii="Times New Roman" w:hAnsi="Times New Roman" w:cs="Times New Roman"/>
          <w:sz w:val="24"/>
          <w:szCs w:val="24"/>
        </w:rPr>
        <w:t xml:space="preserve"> farming greatly support establishing a cropping system with exotic crops.</w:t>
      </w:r>
      <w:r w:rsidR="00B27056">
        <w:rPr>
          <w:rFonts w:ascii="Times New Roman" w:hAnsi="Times New Roman" w:cs="Times New Roman"/>
          <w:sz w:val="24"/>
          <w:szCs w:val="24"/>
        </w:rPr>
        <w:t xml:space="preserve"> The market demand for exotic crops is increasing da</w:t>
      </w:r>
      <w:r w:rsidR="00011F43">
        <w:rPr>
          <w:rFonts w:ascii="Times New Roman" w:hAnsi="Times New Roman" w:cs="Times New Roman"/>
          <w:sz w:val="24"/>
          <w:szCs w:val="24"/>
        </w:rPr>
        <w:t xml:space="preserve">ily, and their </w:t>
      </w:r>
      <w:r w:rsidR="00011F43" w:rsidRPr="00011F43">
        <w:rPr>
          <w:rFonts w:ascii="Times New Roman" w:hAnsi="Times New Roman" w:cs="Times New Roman"/>
          <w:sz w:val="24"/>
          <w:szCs w:val="24"/>
        </w:rPr>
        <w:t>nutritional value also helps combat hidden hunger and strengthen food systems.</w:t>
      </w:r>
    </w:p>
    <w:p w14:paraId="39493F26" w14:textId="77777777" w:rsidR="00CD6CA4" w:rsidRDefault="00A5014C" w:rsidP="00E07221">
      <w:pPr>
        <w:spacing w:line="360" w:lineRule="auto"/>
        <w:jc w:val="both"/>
        <w:rPr>
          <w:rFonts w:ascii="Times New Roman" w:hAnsi="Times New Roman" w:cs="Times New Roman"/>
          <w:sz w:val="24"/>
          <w:szCs w:val="24"/>
        </w:rPr>
      </w:pPr>
      <w:r w:rsidRPr="00CD6CA4">
        <w:rPr>
          <w:rFonts w:ascii="Times New Roman" w:hAnsi="Times New Roman" w:cs="Times New Roman"/>
          <w:sz w:val="24"/>
          <w:szCs w:val="24"/>
        </w:rPr>
        <w:t>With proper management, policy support, and farmer participation, exotic crops can be pivotal in building resilient, self-reliant agricultural systems—their integration into local ecosystems heading toward a critical step toward a sustainable and secure f</w:t>
      </w:r>
      <w:r>
        <w:rPr>
          <w:rFonts w:ascii="Times New Roman" w:hAnsi="Times New Roman" w:cs="Times New Roman"/>
          <w:sz w:val="24"/>
          <w:szCs w:val="24"/>
        </w:rPr>
        <w:t>arming system.</w:t>
      </w:r>
    </w:p>
    <w:p w14:paraId="4A0874F0" w14:textId="77777777" w:rsidR="00011F43" w:rsidRDefault="00A5014C" w:rsidP="00E072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p>
    <w:p w14:paraId="417AF6C0" w14:textId="77777777" w:rsidR="00011F43" w:rsidRPr="00CD6CA4" w:rsidRDefault="00A5014C" w:rsidP="00E07221">
      <w:pPr>
        <w:spacing w:line="360" w:lineRule="auto"/>
        <w:jc w:val="both"/>
        <w:rPr>
          <w:rFonts w:ascii="Times New Roman" w:hAnsi="Times New Roman" w:cs="Times New Roman"/>
          <w:sz w:val="24"/>
          <w:szCs w:val="24"/>
        </w:rPr>
      </w:pPr>
      <w:r>
        <w:rPr>
          <w:rFonts w:ascii="Times New Roman" w:hAnsi="Times New Roman" w:cs="Times New Roman"/>
          <w:sz w:val="24"/>
          <w:szCs w:val="24"/>
        </w:rPr>
        <w:t>Exotic crops, invasion, non-native,</w:t>
      </w:r>
      <w:r w:rsidR="00DE674B">
        <w:rPr>
          <w:rFonts w:ascii="Times New Roman" w:hAnsi="Times New Roman" w:cs="Times New Roman"/>
          <w:sz w:val="24"/>
          <w:szCs w:val="24"/>
        </w:rPr>
        <w:t xml:space="preserve"> </w:t>
      </w:r>
      <w:r w:rsidR="00F76604">
        <w:rPr>
          <w:rFonts w:ascii="Times New Roman" w:hAnsi="Times New Roman" w:cs="Times New Roman"/>
          <w:sz w:val="24"/>
          <w:szCs w:val="24"/>
        </w:rPr>
        <w:t>adaptation</w:t>
      </w:r>
      <w:r w:rsidR="00DE674B">
        <w:rPr>
          <w:rFonts w:ascii="Times New Roman" w:hAnsi="Times New Roman" w:cs="Times New Roman"/>
          <w:sz w:val="24"/>
          <w:szCs w:val="24"/>
        </w:rPr>
        <w:t>, quarantine, breeding</w:t>
      </w:r>
      <w:r w:rsidR="009C3858">
        <w:rPr>
          <w:rFonts w:ascii="Times New Roman" w:hAnsi="Times New Roman" w:cs="Times New Roman"/>
          <w:sz w:val="24"/>
          <w:szCs w:val="24"/>
        </w:rPr>
        <w:t>, crop diversification, ecology</w:t>
      </w:r>
    </w:p>
    <w:p w14:paraId="2558FC3E" w14:textId="77777777" w:rsidR="00DD6D48" w:rsidRPr="00DD6D48" w:rsidRDefault="00A5014C" w:rsidP="00E07221">
      <w:pPr>
        <w:shd w:val="clear" w:color="auto" w:fill="FFFFFF" w:themeFill="background1"/>
        <w:spacing w:line="360" w:lineRule="auto"/>
        <w:jc w:val="both"/>
        <w:rPr>
          <w:rFonts w:ascii="Times New Roman" w:hAnsi="Times New Roman" w:cs="Times New Roman"/>
          <w:b/>
          <w:bCs/>
          <w:sz w:val="24"/>
          <w:szCs w:val="24"/>
        </w:rPr>
      </w:pPr>
      <w:r w:rsidRPr="00DD6D48">
        <w:rPr>
          <w:rFonts w:ascii="Times New Roman" w:hAnsi="Times New Roman" w:cs="Times New Roman"/>
          <w:b/>
          <w:bCs/>
          <w:sz w:val="24"/>
          <w:szCs w:val="24"/>
        </w:rPr>
        <w:t>Introduction</w:t>
      </w:r>
    </w:p>
    <w:p w14:paraId="61D19DDA"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Conventional farmers adopting farming systems focused on traditional crops generate less revenue than those focused on exotic crops. India has 15 </w:t>
      </w:r>
      <w:proofErr w:type="spellStart"/>
      <w:r w:rsidRPr="00DD6D48">
        <w:rPr>
          <w:rFonts w:ascii="Times New Roman" w:hAnsi="Times New Roman" w:cs="Times New Roman"/>
          <w:sz w:val="24"/>
          <w:szCs w:val="24"/>
        </w:rPr>
        <w:t>agro</w:t>
      </w:r>
      <w:proofErr w:type="spellEnd"/>
      <w:r w:rsidRPr="00DD6D48">
        <w:rPr>
          <w:rFonts w:ascii="Times New Roman" w:hAnsi="Times New Roman" w:cs="Times New Roman"/>
          <w:sz w:val="24"/>
          <w:szCs w:val="24"/>
        </w:rPr>
        <w:t>-climatic zones considered under the Indian Meteorological Department, which illustrates diverse climate, soil types, topology, and rainfall patterns, making the introduction of many exotic crops in India plausible.</w:t>
      </w:r>
    </w:p>
    <w:p w14:paraId="41A1B167" w14:textId="143647C8"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India's current biosphere of crops is diverse, yet their adaptability is in question due to rapid climate change. Cultivate novel ways to help in soil amendments and enhance cultural practices, like in dragon fruit, which optimizes yield and crosses over traditional crops, resulting in an increase in the benefit-cost ratio of 1.85. It shows that if managed well, it surpasses indigenous varieties by adopting and challenging the </w:t>
      </w:r>
      <w:proofErr w:type="spellStart"/>
      <w:r w:rsidRPr="00DD6D48">
        <w:rPr>
          <w:rFonts w:ascii="Times New Roman" w:hAnsi="Times New Roman" w:cs="Times New Roman"/>
          <w:sz w:val="24"/>
          <w:szCs w:val="24"/>
        </w:rPr>
        <w:t>agro</w:t>
      </w:r>
      <w:proofErr w:type="spellEnd"/>
      <w:r w:rsidRPr="00DD6D48">
        <w:rPr>
          <w:rFonts w:ascii="Times New Roman" w:hAnsi="Times New Roman" w:cs="Times New Roman"/>
          <w:sz w:val="24"/>
          <w:szCs w:val="24"/>
        </w:rPr>
        <w:t xml:space="preserve">-ecosystem of the crop and </w:t>
      </w:r>
      <w:r w:rsidRPr="00DD6D48">
        <w:rPr>
          <w:rFonts w:ascii="Times New Roman" w:hAnsi="Times New Roman" w:cs="Times New Roman"/>
          <w:sz w:val="24"/>
          <w:szCs w:val="24"/>
        </w:rPr>
        <w:lastRenderedPageBreak/>
        <w:t>increasing yield up to 44% (Development of Agriculture Value Chains as a Strategy for Enhancing Farmers’ Income</w:t>
      </w:r>
      <w:r w:rsidR="00E329F3">
        <w:rPr>
          <w:rFonts w:ascii="Times New Roman" w:hAnsi="Times New Roman" w:cs="Times New Roman"/>
          <w:sz w:val="24"/>
          <w:szCs w:val="24"/>
        </w:rPr>
        <w:t xml:space="preserve"> </w:t>
      </w:r>
      <w:r w:rsidRPr="00DD6D48">
        <w:rPr>
          <w:rFonts w:ascii="Times New Roman" w:hAnsi="Times New Roman" w:cs="Times New Roman"/>
          <w:sz w:val="24"/>
          <w:szCs w:val="24"/>
        </w:rPr>
        <w:t>.</w:t>
      </w:r>
      <w:r w:rsidR="008D4B43">
        <w:rPr>
          <w:rFonts w:ascii="Times New Roman" w:hAnsi="Times New Roman" w:cs="Times New Roman"/>
          <w:sz w:val="24"/>
          <w:szCs w:val="24"/>
        </w:rPr>
        <w:t xml:space="preserve"> PDF)</w:t>
      </w:r>
      <w:r w:rsidR="00AB0DEB">
        <w:rPr>
          <w:rFonts w:ascii="Times New Roman" w:hAnsi="Times New Roman" w:cs="Times New Roman"/>
          <w:sz w:val="24"/>
          <w:szCs w:val="24"/>
        </w:rPr>
        <w:t xml:space="preserve"> </w:t>
      </w:r>
      <w:r w:rsidR="008D4B43">
        <w:rPr>
          <w:rFonts w:ascii="Times New Roman" w:hAnsi="Times New Roman" w:cs="Times New Roman"/>
          <w:sz w:val="24"/>
          <w:szCs w:val="24"/>
        </w:rPr>
        <w:fldChar w:fldCharType="begin" w:fldLock="1"/>
      </w:r>
      <w:r w:rsidR="0078136F">
        <w:rPr>
          <w:rFonts w:ascii="Times New Roman" w:hAnsi="Times New Roman" w:cs="Times New Roman"/>
          <w:sz w:val="24"/>
          <w:szCs w:val="24"/>
        </w:rPr>
        <w:instrText>ADDIN CSL_CITATION {"citationItems":[{"id":"ITEM-1","itemData":{"DOI":"https://doi.org/10.1016/j.sjbs.2022.103497","ISSN":"1319-562X","abstract":"Agricultural crops especially fruit trees are constrained by edaphic stresses in shallow soils with low water retention and poor fertility. Therefore, interventions of shifting to trench planting for better root anchorage and replacing the filling soil were evaluated for 8 years in dragon fruit (Hylocereus undatus) cultivated in Deccan Plateau of peninsular India. When averaged for last 5-years, 44 % higher fruit yield (18.2 ± 1.0 Mg ha−1) was harvested from trees planted in trenches filled with 1:1 mixture (T-mixed) of native soil (loamy sand with 26.7 % stones (&gt;2mm), field capacity, FC 0.20 cm3 cm−3; organic carbon, OC 0.17 %; Av-N 54.6 kg ha−1) and a black soil (clay 54.4 %; FC 0.42 cm3 cm−3; OC 0.70 %; Av-N 157.1 kg ha−1) than the recommended pit planting (12.4 ± 1.2 Mg ha−1). Improvements in fruit yields with trenches filled with black (T-black) and native (T-native) soil were 32 and 13 %, respectively. Yield losses (total– marketable yield) were reduced by 40, 20 and 18 % over pit method with T-mixed, T-black and T-native soil, respectively. Marketable quality attributes like fruit weight, fruit size metrics and pulp/peel content were further improved under T-mixed soil. Accumulation of total soluble solids (TSS), sugar content, phenolic and flavonoid compounds were higher in fruits from T-native soil. During storage, fruits from T-native soil and pit planting exhibited minimum physiological weight loss and retained more firmness, TSS, sugars, titratable acidity, phenolic-flavonoids contents, FARP and DPPH activities. T-mixed soil provided better hydrozone and nutrients for resilience of fruit plants while protecting from aeration problems envisaged in poorly drained black soils. With B:C ratio (1.85) and lower payback period (4-years), T-mixed soil showed superior economic viability. Therefore, soil management module of planting in trenches filled-in with mixture of native and black soils can be recommended to boost productivity of fruits from shallow soils under water scarce degraded regions without penalising agro-ecosystem.","author":[{"dropping-particle":"","family":"Wakchaure","given":"G C","non-dropping-particle":"","parse-names":false,"suffix":""},{"dropping-particle":"","family":"Minhas","given":"P S","non-dropping-particle":"","parse-names":false,"suffix":""},{"dropping-particle":"","family":"Kumar","given":"Satish","non-dropping-particle":"","parse-names":false,"suffix":""},{"dropping-particle":"","family":"Mane","given":"Pravin","non-dropping-particle":"","parse-names":false,"suffix":""},{"dropping-particle":"","family":"Suresh Kumar","given":"P","non-dropping-particle":"","parse-names":false,"suffix":""},{"dropping-particle":"","family":"Rane","given":"J","non-dropping-particle":"","parse-names":false,"suffix":""},{"dropping-particle":"","family":"Pathak","given":"H","non-dropping-particle":"","parse-names":false,"suffix":""}],"container-title":"Saudi Journal of Biological Sciences","id":"ITEM-1","issue":"1","issued":{"date-parts":[["2023"]]},"page":"103497","title":"Long-term response of dragon fruit (Hylocereus undatus) to transformed rooting zone of a shallow soil improving yield, storage quality and profitability in a drought prone semi-arid agro-ecosystem","type":"article-journal","volume":"30"},"uris":["http://www.mendeley.com/documents/?uuid=aa83836f-8131-4320-95ab-fabfde254cb5"]}],"mendeley":{"formattedCitation":"(Wakchaure et al., 2023)","plainTextFormattedCitation":"(Wakchaure et al., 2023)","previouslyFormattedCitation":"(Wakchaure et al., 2023)"},"properties":{"noteIndex":0},"schema":"https://github.com/citation-style-language/schema/raw/master/csl-citation.json"}</w:instrText>
      </w:r>
      <w:r w:rsidR="008D4B43">
        <w:rPr>
          <w:rFonts w:ascii="Times New Roman" w:hAnsi="Times New Roman" w:cs="Times New Roman"/>
          <w:sz w:val="24"/>
          <w:szCs w:val="24"/>
        </w:rPr>
        <w:fldChar w:fldCharType="separate"/>
      </w:r>
      <w:r w:rsidR="008D4B43" w:rsidRPr="008D4B43">
        <w:rPr>
          <w:rFonts w:ascii="Times New Roman" w:hAnsi="Times New Roman" w:cs="Times New Roman"/>
          <w:noProof/>
          <w:sz w:val="24"/>
          <w:szCs w:val="24"/>
        </w:rPr>
        <w:t>(Wakchaure et al., 2023)</w:t>
      </w:r>
      <w:r w:rsidR="008D4B43">
        <w:rPr>
          <w:rFonts w:ascii="Times New Roman" w:hAnsi="Times New Roman" w:cs="Times New Roman"/>
          <w:sz w:val="24"/>
          <w:szCs w:val="24"/>
        </w:rPr>
        <w:fldChar w:fldCharType="end"/>
      </w:r>
      <w:r w:rsidR="008D4B43">
        <w:rPr>
          <w:rFonts w:ascii="Times New Roman" w:hAnsi="Times New Roman" w:cs="Times New Roman"/>
          <w:sz w:val="24"/>
          <w:szCs w:val="24"/>
        </w:rPr>
        <w:t>.</w:t>
      </w:r>
    </w:p>
    <w:p w14:paraId="731F83E6"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Resilient adaptation of these crops in a new area, region, or country needs multiple strategies such as combining genetic improvement, precise agronomic management, and socio‐economic alignments. All these factors together or single-handedly lay the foundation for the commercial cultivation of exotics in different regions. Genetic diversity is a boon; the wide range of landraces and wild relatives helps as an essential reservoir of adaptive traits </w:t>
      </w:r>
      <w:r w:rsidR="0078136F">
        <w:rPr>
          <w:rFonts w:ascii="Times New Roman" w:hAnsi="Times New Roman" w:cs="Times New Roman"/>
          <w:sz w:val="24"/>
          <w:szCs w:val="24"/>
        </w:rPr>
        <w:fldChar w:fldCharType="begin" w:fldLock="1"/>
      </w:r>
      <w:r w:rsidR="0078136F">
        <w:rPr>
          <w:rFonts w:ascii="Times New Roman" w:hAnsi="Times New Roman" w:cs="Times New Roman"/>
          <w:sz w:val="24"/>
          <w:szCs w:val="24"/>
        </w:rPr>
        <w:instrText>ADDIN CSL_CITATION {"citationItems":[{"id":"ITEM-1","itemData":{"DOI":"10.3389/fpls.2016.00850","ISSN":"1664-462X","abstract":"Chenopodium quinoa Willd., a high quality grain crop, is resistant to abiotic stresses (drought, cold and salt) and offers an optimal source of protein. Quinoa represents a symbol of crop genetic diversity across the Andean region. In recent years, this crop has undergone a major expansion outside its countries of origin. The activities carried out within the framework of the International Year of Quinoa provided a great contribution to raise awareness on the multiple benefits of quinoa as well as to its wider cultivation at the global level. FAO is actively involved in promoting and evaluating the cultivation of quinoa in 26 countries outside the Andean region with the aim to strengthen food and nutrition security.\nThe main goal of this research is to evaluate the adaptability of selected quinoa genotypes under different environments outside the Andean region. This paper presents the preliminary results from nine countries. Field evaluations were conducted during 2013/2014 and 2014/2015 in Asia (Kyrgyzstan and Tajikistan), and the Near East and North African countries (Algeria, Egypt, Iraq, Iran, Lebanon, Mauritania, and Yemen). In each country, the trials were carried out in different locations that globally represent the diversity of 19 agrarian systems under different agro-ecological conditions. Twenty-one genotypes of quinoa were tested using the same experimental protocol in all locations consisting in a randomized complete block design (RCBD) with three replicates. \nSome genotypes showed higher yields and the Q18 and Q12 landraces displayed greater adaptation than others to new environmental conditions. The Q21 and Q26 landraces were evaluated with stable and satisfactory levels of yield (&gt;1t.ha-1) in each of the different trial sites. This production stability is of considerable importance especially under climate change uncertainty. While these results suggest that this Andean crop is able to grow in many different environments, social and cultural considerations remain crucial regarding its possible introduction as a staple food in new cropping systems around the world.","author":[{"dropping-particle":"","family":"Bazile","given":"Didier","non-dropping-particle":"","parse-names":false,"suffix":""},{"dropping-particle":"","family":"Pulvento","given":"Cataldo","non-dropping-particle":"","parse-names":false,"suffix":""},{"dropping-particle":"","family":"Verniau","given":"Alexis","non-dropping-particle":"","parse-names":false,"suffix":""},{"dropping-particle":"","family":"Al-Nusairi","given":"Mohammad S","non-dropping-particle":"","parse-names":false,"suffix":""},{"dropping-particle":"","family":"Ba","given":"Djibi","non-dropping-particle":"","parse-names":false,"suffix":""},{"dropping-particle":"","family":"Breidy","given":"Joelle","non-dropping-particle":"","parse-names":false,"suffix":""},{"dropping-particle":"","family":"Hassan","given":"Layth","non-dropping-particle":"","parse-names":false,"suffix":""},{"dropping-particle":"","family":"Mohammed","given":"Maarouf I","non-dropping-particle":"","parse-names":false,"suffix":""},{"dropping-particle":"","family":"Mambetov","given":"Omurbek","non-dropping-particle":"","parse-names":false,"suffix":""},{"dropping-particle":"","family":"Otambekova","given":"Munira","non-dropping-particle":"","parse-names":false,"suffix":""},{"dropping-particle":"","family":"Sepahvand","given":"Niaz Ali","non-dropping-particle":"","parse-names":false,"suffix":""},{"dropping-particle":"","family":"Shams","given":"Amr","non-dropping-particle":"","parse-names":false,"suffix":""},{"dropping-particle":"","family":"Souici","given":"Djamel","non-dropping-particle":"","parse-names":false,"suffix":""},{"dropping-particle":"","family":"Miri","given":"Khaled","non-dropping-particle":"","parse-names":false,"suffix":""},{"dropping-particle":"","family":"Padulosi","given":"Stefano","non-dropping-particle":"","parse-names":false,"suffix":""}],"container-title":"Frontiers in Plant Science","id":"ITEM-1","issued":{"date-parts":[["2016"]]},"title":"Worldwide Evaluations of Quinoa: Preliminary Results from Post International Year of Quinoa FAO Projects in Nine Countries","type":"article-journal","volume":"Volume 7 -"},"uris":["http://www.mendeley.com/documents/?uuid=695d8b62-5a59-4595-892f-d4da369a2d60"]}],"mendeley":{"formattedCitation":"(Bazile et al., 2016)","plainTextFormattedCitation":"(Bazile et al., 2016)","previouslyFormattedCitation":"(Bazile et al., 2016)"},"properties":{"noteIndex":0},"schema":"https://github.com/citation-style-language/schema/raw/master/csl-citation.json"}</w:instrText>
      </w:r>
      <w:r w:rsidR="0078136F">
        <w:rPr>
          <w:rFonts w:ascii="Times New Roman" w:hAnsi="Times New Roman" w:cs="Times New Roman"/>
          <w:sz w:val="24"/>
          <w:szCs w:val="24"/>
        </w:rPr>
        <w:fldChar w:fldCharType="separate"/>
      </w:r>
      <w:r w:rsidR="0078136F" w:rsidRPr="0078136F">
        <w:rPr>
          <w:rFonts w:ascii="Times New Roman" w:hAnsi="Times New Roman" w:cs="Times New Roman"/>
          <w:noProof/>
          <w:sz w:val="24"/>
          <w:szCs w:val="24"/>
        </w:rPr>
        <w:t>(Bazile et al., 2016)</w:t>
      </w:r>
      <w:r w:rsidR="0078136F">
        <w:rPr>
          <w:rFonts w:ascii="Times New Roman" w:hAnsi="Times New Roman" w:cs="Times New Roman"/>
          <w:sz w:val="24"/>
          <w:szCs w:val="24"/>
        </w:rPr>
        <w:fldChar w:fldCharType="end"/>
      </w:r>
      <w:r w:rsidRPr="00DD6D48">
        <w:rPr>
          <w:rFonts w:ascii="Times New Roman" w:hAnsi="Times New Roman" w:cs="Times New Roman"/>
          <w:sz w:val="24"/>
          <w:szCs w:val="24"/>
        </w:rPr>
        <w:t>. Despite their non-native origin, the continuing success of maintaining their seed collection and diversification in new areas where they have not been cultivated previously improves the crop yield and quality, which can ensure the local food security.</w:t>
      </w:r>
    </w:p>
    <w:p w14:paraId="1B13F356"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 xml:space="preserve">Developing seed collection and diversification also helps develop orders to maintain the diversity adapted to local growing conditions and improves the crop base by this shift. It helps deal with the increasing impact of climate change </w:t>
      </w:r>
      <w:r w:rsidR="0078136F">
        <w:rPr>
          <w:rFonts w:ascii="Times New Roman" w:hAnsi="Times New Roman" w:cs="Times New Roman"/>
          <w:sz w:val="24"/>
          <w:szCs w:val="24"/>
        </w:rPr>
        <w:fldChar w:fldCharType="begin" w:fldLock="1"/>
      </w:r>
      <w:r w:rsidR="0078136F">
        <w:rPr>
          <w:rFonts w:ascii="Times New Roman" w:hAnsi="Times New Roman" w:cs="Times New Roman"/>
          <w:sz w:val="24"/>
          <w:szCs w:val="24"/>
        </w:rPr>
        <w:instrText>ADDIN CSL_CITATION {"citationItems":[{"id":"ITEM-1","itemData":{"DOI":"DOI: 10.1017/S1742170517000424","ISSN":"1742-1705","abstract":"Exotic crops—plant species grown in relatively small quantities and not traditionally cultivated in a country or region—are often intimately linked with the ethnic origins of their maintainers and are a principal source of culinary and nutritional diversity for many people. Recognizing that a wealth of exotic crop diversity and associated knowledge is held by small-scale growers in the UK, Garden Organic initiated the Sowing New Seeds project to capture and preserve some of this valuable resource by building a seed collection and knowledge base. To establish a sample of this diversity and knowledge, we undertook a survey at 31 allotment sites in the Midlands region of the UK with the objectives of identifying the exotic crops cultivated, characterizing the demography of those who grow them, understanding their direct use values, and assessing their potential indirect use value for the diversification and improvement of other crops. Results reveal that 26% of the food crops recorded are exotic and that they are grown by people belonging to 13 different ethnic groups. The majority save their own seed, indicating that these crops are performing well in the UK, with grower selection providing the basis for their continuing success. Further, most maintainers swap seed with other growers, indicating that exotic crops are likely to be gradually diversifying in response to different growing conditions—a positive sign for their value for local food security and as national genetic resources with potential for use in crop improvement programs. The research highlights the multitude of benefits that growers obtain through cultivating exotic crops, which are not only related to nutrition and culinary requirements, but also to general health and well-being, culture, and a range of other forms of life enrichment. It is critical that growers are encouraged and supported in continuing to cultivate, save and pass on their exotic crops to younger generations, as well as to protect allotments from development in order to maintain this important diversity adapted to local growing conditions. Importantly, many exotic crops currently grown on a small scale may enter into commerce, and thus expand the diversity of the UK's food crop base. Such a shift may be particularly important in the face of the increasingly detrimental impacts of climate change on crop production. We conclude that exotic crop diversity could be more important for future nutrition, health and food security…","author":[{"dropping-particle":"","family":"Kell","given":"S","non-dropping-particle":"","parse-names":false,"suffix":""},{"dropping-particle":"","family":"Rosenfeld","given":"A","non-dropping-particle":"","parse-names":false,"suffix":""},{"dropping-particle":"","family":"Cunningham","given":"S","non-dropping-particle":"","parse-names":false,"suffix":""},{"dropping-particle":"","family":"Dobbie","given":"S","non-dropping-particle":"","parse-names":false,"suffix":""},{"dropping-particle":"","family":"Maxted","given":"N","non-dropping-particle":"","parse-names":false,"suffix":""}],"container-title":"Renewable Agriculture and Food Systems","edition":"2017/09/06","id":"ITEM-1","issue":"6","issued":{"date-parts":[["2018"]]},"page":"569-584","publisher":"Cambridge University Press","title":"The benefits of exotic food crops cultivated by small-scale growers in the UK","type":"article-journal","volume":"33"},"uris":["http://www.mendeley.com/documents/?uuid=483cf253-88ac-4ccc-938f-10d1d0fc9908"]}],"mendeley":{"formattedCitation":"(Kell et al., 2018)","plainTextFormattedCitation":"(Kell et al., 2018)","previouslyFormattedCitation":"(Kell et al., 2018)"},"properties":{"noteIndex":0},"schema":"https://github.com/citation-style-language/schema/raw/master/csl-citation.json"}</w:instrText>
      </w:r>
      <w:r w:rsidR="0078136F">
        <w:rPr>
          <w:rFonts w:ascii="Times New Roman" w:hAnsi="Times New Roman" w:cs="Times New Roman"/>
          <w:sz w:val="24"/>
          <w:szCs w:val="24"/>
        </w:rPr>
        <w:fldChar w:fldCharType="separate"/>
      </w:r>
      <w:r w:rsidR="0078136F" w:rsidRPr="0078136F">
        <w:rPr>
          <w:rFonts w:ascii="Times New Roman" w:hAnsi="Times New Roman" w:cs="Times New Roman"/>
          <w:noProof/>
          <w:sz w:val="24"/>
          <w:szCs w:val="24"/>
        </w:rPr>
        <w:t>(Kell et al., 2018)</w:t>
      </w:r>
      <w:r w:rsidR="0078136F">
        <w:rPr>
          <w:rFonts w:ascii="Times New Roman" w:hAnsi="Times New Roman" w:cs="Times New Roman"/>
          <w:sz w:val="24"/>
          <w:szCs w:val="24"/>
        </w:rPr>
        <w:fldChar w:fldCharType="end"/>
      </w:r>
      <w:r w:rsidRPr="00DD6D48">
        <w:rPr>
          <w:rFonts w:ascii="Times New Roman" w:hAnsi="Times New Roman" w:cs="Times New Roman"/>
          <w:sz w:val="24"/>
          <w:szCs w:val="24"/>
        </w:rPr>
        <w:t>.</w:t>
      </w:r>
    </w:p>
    <w:p w14:paraId="676AE98E" w14:textId="77777777" w:rsidR="00DD6D48" w:rsidRPr="00DD6D48"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Cultivating non-native plants came centuries ago and became integral to food security. The number of species in the world is still hidden, serving as ideas to conserve the plant species and discover their potential for us as food resources, raw material, etc. Collecting specimens and samples of new species finds that there are 90.8% herbaceous plants than woody ones with bright flowers and fruits, specifically in the Asian region</w:t>
      </w:r>
      <w:r w:rsidR="00A97CA2">
        <w:rPr>
          <w:rFonts w:ascii="Times New Roman" w:hAnsi="Times New Roman" w:cs="Times New Roman"/>
          <w:sz w:val="24"/>
          <w:szCs w:val="24"/>
        </w:rPr>
        <w:t>…</w:t>
      </w:r>
      <w:r w:rsidRPr="00DD6D48">
        <w:rPr>
          <w:rFonts w:ascii="Times New Roman" w:hAnsi="Times New Roman" w:cs="Times New Roman"/>
          <w:sz w:val="24"/>
          <w:szCs w:val="24"/>
        </w:rPr>
        <w:t>.</w:t>
      </w:r>
    </w:p>
    <w:p w14:paraId="0B8ED916" w14:textId="3D3C10C6" w:rsidR="00A96AE4" w:rsidRDefault="00A5014C" w:rsidP="00E07221">
      <w:pPr>
        <w:shd w:val="clear" w:color="auto" w:fill="FFFFFF" w:themeFill="background1"/>
        <w:spacing w:line="360" w:lineRule="auto"/>
        <w:jc w:val="both"/>
        <w:rPr>
          <w:rFonts w:ascii="Times New Roman" w:hAnsi="Times New Roman" w:cs="Times New Roman"/>
          <w:sz w:val="24"/>
          <w:szCs w:val="24"/>
        </w:rPr>
      </w:pPr>
      <w:r w:rsidRPr="00DD6D48">
        <w:rPr>
          <w:rFonts w:ascii="Times New Roman" w:hAnsi="Times New Roman" w:cs="Times New Roman"/>
          <w:sz w:val="24"/>
          <w:szCs w:val="24"/>
        </w:rPr>
        <w:t>Serendipitous discovery of novel species strengthens our sustainable agriculture program by expanding sampling coverage, databases, and the collection of plant specimens. This will enlighten us on areas of plants rich in different species, leading to the discovery of new commodities. The unnamed plant species gains its identity and adapts to being exotic. Data analysis plays a significant role in its capability to grow in different regions of the world</w:t>
      </w:r>
      <w:r w:rsidR="00AB0DEB">
        <w:rPr>
          <w:rFonts w:ascii="Times New Roman" w:hAnsi="Times New Roman" w:cs="Times New Roman"/>
          <w:sz w:val="24"/>
          <w:szCs w:val="24"/>
        </w:rPr>
        <w:t xml:space="preserve"> </w:t>
      </w:r>
      <w:r w:rsidR="0078136F">
        <w:rPr>
          <w:rFonts w:ascii="Times New Roman" w:hAnsi="Times New Roman" w:cs="Times New Roman"/>
          <w:sz w:val="24"/>
          <w:szCs w:val="24"/>
        </w:rPr>
        <w:fldChar w:fldCharType="begin" w:fldLock="1"/>
      </w:r>
      <w:r w:rsidR="00FC02EE">
        <w:rPr>
          <w:rFonts w:ascii="Times New Roman" w:hAnsi="Times New Roman" w:cs="Times New Roman"/>
          <w:sz w:val="24"/>
          <w:szCs w:val="24"/>
        </w:rPr>
        <w:instrText>ADDIN CSL_CITATION {"citationItems":[{"id":"ITEM-1","itemData":{"DOI":"10.3389/fpls.2025.1605431","ISSN":"1664462X","abstract":"Introduction: How many species there are in the world remains a fundamental scientific question, serving as a critical reference for formulating and implementing effective biodiversity conservation strategies. The accelerating global biodiversity crisis has propelled scientific interest in understanding spatial-temporal patterns of new species discovery, particularly as these findings inform urgent conservation priorities. Digitalization of plant specimens provides important information on the discovery process of new species and clarifies the general situation of the core distributions in China over the last century. However, the new species discovery process of plants has not been the focus of much attention in Asia. The study analyzes digitized herbarium specimen data to investigate new species discoveries, specimen collection gaps, and collection preferences in China over the past century. Methods: First, we collected the herbarium type specimens data. Then we analyzed sampling biases of functional traits (life form, floral colors, fruit colors and types) in specimens collection and summarize distributional patterns in new species discovery. We answered the question of what plant species are more likely to be found and explored the distribution areas of new species discoveries over the last century. Results: Our results reveal that there are more new plant species been found in herbaceous plants (90.8%) than woody (9.2%) plants, and new species with bright flowers and fruits, and the smaller height are easier to be discovered. There is also an observable inter-annual and seasonal variation in the discovery of new species, with peak collections occurring four year periods, and summer (June-August) witnessing the highest number of new species discoveries. The southern regions of China offer easier access to new species, and higher numbers of new species have been identified in the regions with the richness of plant diversity. The number of specimens collected by individuals (58%) surpasses those collected by teams (42%). Discussion: More attention should also be paid to species with different plant functional traits (herbs, species with bright flowers and fruits) and the potential distribution of vacant regions. This study provides scientific reference and direction for the accelerating discovery of more new species in the future, and also contribute to the future conservation of biodiversity.","author":[{"dropping-particle":"","family":"Shi","given":"Dongmin","non-dropping-particle":"","parse-names":false,"suffix":""},{"dropping-particle":"","family":"Zu","given":"Kuiling","non-dropping-particle":"","parse-names":false,"suffix":""},{"dropping-particle":"","family":"Nong","given":"Jiahui","non-dropping-particle":"","parse-names":false,"suffix":""},{"dropping-particle":"","family":"Yang","given":"Wenjing","non-dropping-particle":"","parse-names":false,"suffix":""},{"dropping-particle":"","family":"Zhang","given":"Yuting","non-dropping-particle":"","parse-names":false,"suffix":""},{"dropping-particle":"","family":"Liao","given":"Shuai","non-dropping-particle":"","parse-names":false,"suffix":""},{"dropping-particle":"","family":"Zhu","given":"Guojin","non-dropping-particle":"","parse-names":false,"suffix":""},{"dropping-particle":"","family":"Sun","given":"Jie","non-dropping-particle":"","parse-names":false,"suffix":""}],"container-title":"Frontiers in Plant Science","id":"ITEM-1","issue":"July","issued":{"date-parts":[["2025"]]},"page":"1-10","title":"How new plant species have been discovered in China: collection gaps and preferences over the past century","type":"article-journal","volume":"16"},"uris":["http://www.mendeley.com/documents/?uuid=ad2d2694-7ff7-4cc8-9406-1dd5f7aeadfc"]}],"mendeley":{"formattedCitation":"(Shi et al., 2025)","plainTextFormattedCitation":"(Shi et al., 2025)","previouslyFormattedCitation":"(Shi et al., 2025)"},"properties":{"noteIndex":0},"schema":"https://github.com/citation-style-language/schema/raw/master/csl-citation.json"}</w:instrText>
      </w:r>
      <w:r w:rsidR="0078136F">
        <w:rPr>
          <w:rFonts w:ascii="Times New Roman" w:hAnsi="Times New Roman" w:cs="Times New Roman"/>
          <w:sz w:val="24"/>
          <w:szCs w:val="24"/>
        </w:rPr>
        <w:fldChar w:fldCharType="separate"/>
      </w:r>
      <w:r w:rsidR="0078136F" w:rsidRPr="0078136F">
        <w:rPr>
          <w:rFonts w:ascii="Times New Roman" w:hAnsi="Times New Roman" w:cs="Times New Roman"/>
          <w:noProof/>
          <w:sz w:val="24"/>
          <w:szCs w:val="24"/>
        </w:rPr>
        <w:t>(Shi et al., 2025)</w:t>
      </w:r>
      <w:r w:rsidR="0078136F">
        <w:rPr>
          <w:rFonts w:ascii="Times New Roman" w:hAnsi="Times New Roman" w:cs="Times New Roman"/>
          <w:sz w:val="24"/>
          <w:szCs w:val="24"/>
        </w:rPr>
        <w:fldChar w:fldCharType="end"/>
      </w:r>
      <w:r w:rsidRPr="00DD6D48">
        <w:rPr>
          <w:rFonts w:ascii="Times New Roman" w:hAnsi="Times New Roman" w:cs="Times New Roman"/>
          <w:sz w:val="24"/>
          <w:szCs w:val="24"/>
        </w:rPr>
        <w:t>.</w:t>
      </w:r>
      <w:r w:rsidR="00AB0DEB">
        <w:rPr>
          <w:rFonts w:ascii="Times New Roman" w:hAnsi="Times New Roman" w:cs="Times New Roman"/>
          <w:noProof/>
          <w:sz w:val="24"/>
          <w:szCs w:val="24"/>
        </w:rPr>
        <w:t xml:space="preserve"> </w:t>
      </w:r>
    </w:p>
    <w:p w14:paraId="022AD512" w14:textId="77777777" w:rsidR="00A346B5" w:rsidRPr="00A346B5"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sidRPr="00A346B5">
        <w:rPr>
          <w:rFonts w:ascii="Times New Roman" w:hAnsi="Times New Roman" w:cs="Times New Roman"/>
          <w:b/>
          <w:bCs/>
          <w:noProof/>
          <w:sz w:val="24"/>
          <w:szCs w:val="24"/>
        </w:rPr>
        <w:t>1. Evidence of Exotics</w:t>
      </w:r>
    </w:p>
    <w:p w14:paraId="403CD03B"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Plants that grow beyond their native geographical range are called exotic plants. They can be introduced intentionally or unintentionally. The beginning of adapting and cultivating exotic crops began centuries ago, and now we cannot tell whether it's our indigenous or exotic on first glance.</w:t>
      </w:r>
    </w:p>
    <w:p w14:paraId="780D4638"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lastRenderedPageBreak/>
        <w:t>Since immemorial, the Indian Subcontinent has been enriched with exotic crops due to its diverse climatic conditions. India is the home of the secondary centre of origin of many crops, resulting in it being a major centre of genetic diversity.</w:t>
      </w:r>
    </w:p>
    <w:p w14:paraId="304BBA92"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Today, maize is cultivated in 166 countries, with the center of origin in America, and was domesticated in the Balsas River valley of Mexico (Zahn, 2018). On the flip side, evidence of maize is found in ancient sculptures of temple walls in Karnataka, India, of the 11th and 13th centuries, which shows the introduction of maize on the Asian continent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{"citationItems":[{"id":"ITEM-1","itemData":{"DOI":"10.1017/s0033822200033993","ISSN":"00338222","abstract":"An attempt was made to trace the antiquity of custard apple in India on the basis of accelerator mass spectrometry (AMS) and liquid scintillation counting (LSC) radiocarbon dates. Recently, seed remains of custard apple (Annona squamosa L.) in association with wood charcoals were encountered from the Neolithic archaeological site of Tokwa at the confluence of the Belan and Adwa rivers, Mirzapur District, in the Vidhyan Plateau region of north-central India. The wood charcoal sample was dated at the 14C laboratory of the Birbal Sahni Institute of Paleobotany (BSIP), Lucknow, by conventional LSC 14C dating. The sample dated to 1740 cal BC (BS-2054). A seed sample of custard apple was dated by AMS at the Institute of Physics 14C laboratory, Bhubaneswar, India (3MV tandem Pelletron accelerator). Interestingly, the AMS date was given as 1520 cal BC (IOPAMS-10), showing a reasonable agreement with the LSC date carried out at BSIP. On botanical grounds, the custard apple is native to South America and the West Indies and was supposed to have been introduced in India by the Portuguese in the 16th century. The present 14C dates of the samples pushes back the antiquity of custard apple on Indian soil to the 2nd millennium BC, favoring a group of specialists proposing diverse arguments for Asian-American transoceanic contacts before the discovery of America by Columbus in AD 1492 © 2009 by the Arizona Board of Regents on behalf of the University of Arizona.","author":[{"dropping-particle":"","family":"Pokharia","given":"Anil Kumar","non-dropping-particle":"","parse-names":false,"suffix":""},{"dropping-particle":"","family":"Sekar","given":"B.","non-dropping-particle":"","parse-names":false,"suffix":""},{"dropping-particle":"","family":"Pal","given":"Jagannath","non-dropping-particle":"","parse-names":false,"suffix":""},{"dropping-particle":"","family":"Srivastava","given":"Alka","non-dropping-particle":"","parse-names":false,"suffix":""}],"container-title":"Radiocarbon","id":"ITEM-1","issue":"3","issued":{"date-parts":[["2009"]]},"page":"923-930","title":"Possible evidence of pre-columbian transoceanic voyages based on conventional lsc and AMS14C dating of associated charcoal and a carbonized seed of custard apple (annona squamosa L.)","type":"article-journal","volume":"51"},"uris":["http://www.mendeley.com/documents/?uuid=c7342f86-9479-484f-9712-297e1d520c54"]}],"mendeley":{"formattedCitation":"(Pokharia et al., 2009)","plainTextFormattedCitation":"(Pokharia et al., 2009)","previouslyFormattedCitation":"(Pokharia et al., 2009)"},"properties":{"noteIndex":0},"schema":"https://github.com/citation-style-language/schema/raw/master/csl-citation.json"}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(Pokharia et al., 2009)</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w:t>
      </w:r>
    </w:p>
    <w:p w14:paraId="64413FFD"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The Near East and the Mediterranean regions have taken crucial steps in the domestication and spread of several major and many more minor crops throughout the globe. Genus </w:t>
      </w:r>
      <w:r w:rsidRPr="00A346B5">
        <w:rPr>
          <w:rFonts w:ascii="Times New Roman" w:hAnsi="Times New Roman" w:cs="Times New Roman"/>
          <w:i/>
          <w:iCs/>
          <w:noProof/>
          <w:sz w:val="24"/>
          <w:szCs w:val="24"/>
        </w:rPr>
        <w:t>Allium</w:t>
      </w:r>
      <w:r w:rsidRPr="00A346B5">
        <w:rPr>
          <w:rFonts w:ascii="Times New Roman" w:hAnsi="Times New Roman" w:cs="Times New Roman"/>
          <w:noProof/>
          <w:sz w:val="24"/>
          <w:szCs w:val="24"/>
        </w:rPr>
        <w:t xml:space="preserve">, belonging to the family </w:t>
      </w:r>
      <w:r w:rsidRPr="00A346B5">
        <w:rPr>
          <w:rFonts w:ascii="Times New Roman" w:hAnsi="Times New Roman" w:cs="Times New Roman"/>
          <w:i/>
          <w:iCs/>
          <w:noProof/>
          <w:sz w:val="24"/>
          <w:szCs w:val="24"/>
        </w:rPr>
        <w:t>Alliaceae</w:t>
      </w:r>
      <w:r w:rsidRPr="00A346B5">
        <w:rPr>
          <w:rFonts w:ascii="Times New Roman" w:hAnsi="Times New Roman" w:cs="Times New Roman"/>
          <w:noProof/>
          <w:sz w:val="24"/>
          <w:szCs w:val="24"/>
        </w:rPr>
        <w:t xml:space="preserve">, distributed in Turkistan, is a vast centre of diversification along with a centre of origin for the bulb onion. Seven of 600 species are adopted commercially as garden or vegetable crops, and some are purposefully cultivated as medicinal plants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{"citationItems":[{"id":"ITEM-1","itemData":{"DOI":"10.1007/978-981-10-5116-6","ISBN":"ISBN 978-981-10-5115-9","author":[{"dropping-particle":"","family":"Singh","given":"Anurudh","non-dropping-particle":"","parse-names":false,"suffix":""}],"container-title":"Wild Relatives of Cultivated Plants in India: A Reservoir of Alternative Genetic Resources and More","id":"ITEM-1","issued":{"date-parts":[["2017","11","25"]]},"title":"Singh Anurudh K. 2017. Wild Relatives of Cultivated Plants in India: A Reservoir of Alternative Genetic Resources and More. Springer Nature Singapur Pte Ltd. 2017 pp. 310 ISBN 978-981-10-5115-9","type":"book"},"uris":["http://www.mendeley.com/documents/?uuid=b14d5b7d-93ae-4a19-be9a-36c7df231c89"]}],"mendeley":{"formattedCitation":"(Singh, 2017)","plainTextFormattedCitation":"(Singh, 2017)","previouslyFormattedCitation":"(Singh, 2017)"},"properties":{"noteIndex":0},"schema":"https://github.com/citation-style-language/schema/raw/master/csl-citation.json"}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(Singh, 2017)</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w:t>
      </w:r>
    </w:p>
    <w:p w14:paraId="3640BBA8"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The ancient introduction of plants existed through terrestrial and maritime trade routes. The biodiversity in Indian agriculture is filled with crop species from Africa, the Mediterranean, the Near East, and Central Asia from ancient times, along with American origins. Countable exotic legumes travelled from African origins, where they were introduced, adapted, established, and became prominent farming in India since ancient times (Candolle, 1882)</w:t>
      </w:r>
      <w:r w:rsidR="00FC02EE">
        <w:rPr>
          <w:rFonts w:ascii="Times New Roman" w:hAnsi="Times New Roman" w:cs="Times New Roman"/>
          <w:noProof/>
          <w:sz w:val="24"/>
          <w:szCs w:val="24"/>
        </w:rPr>
        <w:t>….</w:t>
      </w:r>
      <w:r w:rsidRPr="00A346B5">
        <w:rPr>
          <w:rFonts w:ascii="Times New Roman" w:hAnsi="Times New Roman" w:cs="Times New Roman"/>
          <w:noProof/>
          <w:sz w:val="24"/>
          <w:szCs w:val="24"/>
        </w:rPr>
        <w:t>.</w:t>
      </w:r>
    </w:p>
    <w:p w14:paraId="6C6BE156"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Today India is the 5th largest producer of soyabean, which was historically cultivated on a small scale in Himachal Pradesh, the Khasi Hills, Manipur, the Naga Hills, the Kumaon Hills, eastern Bengal, and parts of central India, covering Madhya Pradesh, making it from its Chinese origin to the secondary center for domestication</w:t>
      </w:r>
      <w:r w:rsidR="001B17CF">
        <w:rPr>
          <w:rFonts w:ascii="Times New Roman" w:hAnsi="Times New Roman" w:cs="Times New Roman"/>
          <w:noProof/>
          <w:sz w:val="24"/>
          <w:szCs w:val="24"/>
        </w:rPr>
        <w:t>…</w:t>
      </w:r>
      <w:r w:rsidR="00FC02EE">
        <w:rPr>
          <w:rFonts w:ascii="Times New Roman" w:hAnsi="Times New Roman" w:cs="Times New Roman"/>
          <w:noProof/>
          <w:sz w:val="24"/>
          <w:szCs w:val="24"/>
        </w:rPr>
        <w:t>….</w:t>
      </w:r>
    </w:p>
    <w:p w14:paraId="01B0A11F"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Today, many plant species appear natural to the land where they were introduced, adapted, and domesticated, enriching biodiversity in different world regions. India is one of the biggest homes in this adaptation, with indigenous and exotic crop diversity since ancient times.</w:t>
      </w:r>
    </w:p>
    <w:p w14:paraId="7021E5EB"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India is the second as well as regional centre of diversity for some crops like pearl millet, maize, amaranth, niger, sorghum and cowpea; safflower, pumpkin, muskmelon and chilies are either second or regional centre of diversity for these crops. That means India is also considered to be a regional level centre of origin for: barley grain amaranth buckwheat foxtail millet chickpea proso millet bottle gourd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{"citationItems":[{"id":"ITEM-1","itemData":{"DOI":"10.1007/BF02907332","ISSN":"1874-9364","author":[{"dropping-particle":"","family":"McLaughlin","given":"Steven P","non-dropping-particle":"","parse-names":false,"suffix":""}],"container-title":"Economic Botany","id":"ITEM-1","issue":"3","issued":{"date-parts":[["1996"]]},"page":"279","title":"Evolution of crop plants. 2nd Ed.","type":"article-journal","volume":"50"},"uris":["http://www.mendeley.com/documents/?uuid=fdb7781f-ffc6-414f-925b-f91d7d4ebf66"]}],"mendeley":{"formattedCitation":"(McLaughlin, 1996)","plainTextFormattedCitation":"(McLaughlin, 1996)","previouslyFormattedCitation":"(McLaughlin, 1996)"},"properties":{"noteIndex":0},"schema":"https://github.com/citation-style-language/schema/raw/master/csl-citation.json"}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(McLaughlin, 1996)</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w:t>
      </w:r>
    </w:p>
    <w:p w14:paraId="5F7E6966" w14:textId="77777777" w:rsidR="00A346B5" w:rsidRPr="00A346B5"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lastRenderedPageBreak/>
        <w:t xml:space="preserve">The consequences of invasions are sometimes disasters that we can witness from invasive attacks of weeds. </w:t>
      </w:r>
      <w:r w:rsidRPr="00A346B5">
        <w:rPr>
          <w:rFonts w:ascii="Times New Roman" w:hAnsi="Times New Roman" w:cs="Times New Roman"/>
          <w:i/>
          <w:iCs/>
          <w:noProof/>
          <w:sz w:val="24"/>
          <w:szCs w:val="24"/>
        </w:rPr>
        <w:t>Parthenium hysterophorus</w:t>
      </w:r>
      <w:r w:rsidRPr="00A346B5">
        <w:rPr>
          <w:rFonts w:ascii="Times New Roman" w:hAnsi="Times New Roman" w:cs="Times New Roman"/>
          <w:noProof/>
          <w:sz w:val="24"/>
          <w:szCs w:val="24"/>
        </w:rPr>
        <w:t xml:space="preserve"> L., a native of North East Mexico, is a threat to the globe; its spread worldwide is observable. With the importation of American cereals in the 1950s, </w:t>
      </w:r>
      <w:r w:rsidRPr="00A346B5">
        <w:rPr>
          <w:rFonts w:ascii="Times New Roman" w:hAnsi="Times New Roman" w:cs="Times New Roman"/>
          <w:i/>
          <w:iCs/>
          <w:noProof/>
          <w:sz w:val="24"/>
          <w:szCs w:val="24"/>
        </w:rPr>
        <w:t>parthenium</w:t>
      </w:r>
      <w:r w:rsidRPr="00A346B5">
        <w:rPr>
          <w:rFonts w:ascii="Times New Roman" w:hAnsi="Times New Roman" w:cs="Times New Roman"/>
          <w:noProof/>
          <w:sz w:val="24"/>
          <w:szCs w:val="24"/>
        </w:rPr>
        <w:t xml:space="preserve"> weed seeds were introduced as a threat in Asian countries, parts of the African continent, and Australia.</w:t>
      </w:r>
    </w:p>
    <w:p w14:paraId="0F9E56BC" w14:textId="77777777" w:rsidR="00A040B0" w:rsidRPr="00F76604"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346B5">
        <w:rPr>
          <w:rFonts w:ascii="Times New Roman" w:hAnsi="Times New Roman" w:cs="Times New Roman"/>
          <w:noProof/>
          <w:sz w:val="24"/>
          <w:szCs w:val="24"/>
        </w:rPr>
        <w:t xml:space="preserve">However, constant research and studies help to manage these threats by utilising them in different forms, such as biopesticides, compost, green manure, and soil amendments, as it is nutrient-rich because of high consumption during growing stages </w:t>
      </w:r>
      <w:r w:rsidR="00FC02EE">
        <w:rPr>
          <w:rFonts w:ascii="Times New Roman" w:hAnsi="Times New Roman" w:cs="Times New Roman"/>
          <w:noProof/>
          <w:sz w:val="24"/>
          <w:szCs w:val="24"/>
        </w:rPr>
        <w:fldChar w:fldCharType="begin" w:fldLock="1"/>
      </w:r>
      <w:r w:rsidR="00FC02EE">
        <w:rPr>
          <w:rFonts w:ascii="Times New Roman" w:hAnsi="Times New Roman" w:cs="Times New Roman"/>
          <w:noProof/>
          <w:sz w:val="24"/>
          <w:szCs w:val="24"/>
        </w:rPr>
        <w:instrText>ADDIN CSL_CITATION {"citationItems":[{"id":"ITEM-1","itemData":{"DOI":"10.48309/jrws.2023.409381.1198","author":[{"dropping-particle":"","family":"Oli","given":"Sarita","non-dropping-particle":"","parse-names":false,"suffix":""},{"dropping-particle":"","family":"Joshi","given":"Rajeev","non-dropping-particle":"","parse-names":false,"suffix":""},{"dropping-particle":"","family":"Bohara","given":"Bhuwan","non-dropping-particle":"","parse-names":false,"suffix":""}],"id":"ITEM-1","issue":"January","issued":{"date-parts":[["2024"]]},"title":"A Review on Parthenium hysterophorus L. and its application in Agriculture","type":"article-journal"},"uris":["http://www.mendeley.com/documents/?uuid=e9a3ce8a-f5f4-4cc0-b459-98baa261c15e"]}],"mendeley":{"formattedCitation":"(Oli et al., 2024)","plainTextFormattedCitation":"(Oli et al., 2024)","previouslyFormattedCitation":"(Oli et al., 2024)"},"properties":{"noteIndex":0},"schema":"https://github.com/citation-style-language/schema/raw/master/csl-citation.json"}</w:instrText>
      </w:r>
      <w:r w:rsidR="00FC02EE">
        <w:rPr>
          <w:rFonts w:ascii="Times New Roman" w:hAnsi="Times New Roman" w:cs="Times New Roman"/>
          <w:noProof/>
          <w:sz w:val="24"/>
          <w:szCs w:val="24"/>
        </w:rPr>
        <w:fldChar w:fldCharType="separate"/>
      </w:r>
      <w:r w:rsidR="00FC02EE" w:rsidRPr="00FC02EE">
        <w:rPr>
          <w:rFonts w:ascii="Times New Roman" w:hAnsi="Times New Roman" w:cs="Times New Roman"/>
          <w:noProof/>
          <w:sz w:val="24"/>
          <w:szCs w:val="24"/>
        </w:rPr>
        <w:t>(Oli et al., 2024)</w:t>
      </w:r>
      <w:r w:rsidR="00FC02EE">
        <w:rPr>
          <w:rFonts w:ascii="Times New Roman" w:hAnsi="Times New Roman" w:cs="Times New Roman"/>
          <w:noProof/>
          <w:sz w:val="24"/>
          <w:szCs w:val="24"/>
        </w:rPr>
        <w:fldChar w:fldCharType="end"/>
      </w:r>
      <w:r w:rsidRPr="00A346B5">
        <w:rPr>
          <w:rFonts w:ascii="Times New Roman" w:hAnsi="Times New Roman" w:cs="Times New Roman"/>
          <w:noProof/>
          <w:sz w:val="24"/>
          <w:szCs w:val="24"/>
        </w:rPr>
        <w:t>. These threats were challenging but can be controlled and utilized by different intercultural operations in the field and out-of-the-box innovations.</w:t>
      </w:r>
    </w:p>
    <w:p w14:paraId="48721442" w14:textId="77777777" w:rsidR="00AB6AD6" w:rsidRPr="00AB6AD6"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sidRPr="00AB6AD6">
        <w:rPr>
          <w:rFonts w:ascii="Times New Roman" w:hAnsi="Times New Roman" w:cs="Times New Roman"/>
          <w:b/>
          <w:bCs/>
          <w:noProof/>
          <w:sz w:val="24"/>
          <w:szCs w:val="24"/>
        </w:rPr>
        <w:t>2. The Next Big Thing in the Global Market (Economic Aspects)</w:t>
      </w:r>
    </w:p>
    <w:p w14:paraId="5B7FF706" w14:textId="2655EC9A"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With an insatiable appetite for discovery, people are always eager to explore new experiences, with the curiosity to try different foods often at the top of their list. Despite</w:t>
      </w:r>
      <w:r w:rsidR="00AB0DEB">
        <w:rPr>
          <w:rFonts w:ascii="Times New Roman" w:hAnsi="Times New Roman" w:cs="Times New Roman"/>
          <w:noProof/>
          <w:sz w:val="24"/>
          <w:szCs w:val="24"/>
        </w:rPr>
        <w:t xml:space="preserve"> </w:t>
      </w:r>
      <w:r w:rsidRPr="00AB6AD6">
        <w:rPr>
          <w:rFonts w:ascii="Times New Roman" w:hAnsi="Times New Roman" w:cs="Times New Roman"/>
          <w:noProof/>
          <w:sz w:val="24"/>
          <w:szCs w:val="24"/>
        </w:rPr>
        <w:t xml:space="preserve">their various health benefits this is one reason for economic boost of exotic crops in the market. Their importance is evident not only in domestic markets but also in international trade, where these crops generate significant export revenues and underpin rural livelihoods. </w:t>
      </w:r>
    </w:p>
    <w:p w14:paraId="57349338"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The dominance of exotic crops in the market is observed by the example of Apple, which was once a home market or regional fruit, and is now a globally consumed product. This can also lead to innovative and technological advancement for high-density planting systems, as well as advancement in shortening, grading, and packaging, which can offer global exports </w:t>
      </w:r>
      <w:r w:rsidR="007D756E">
        <w:rPr>
          <w:rFonts w:ascii="Times New Roman" w:hAnsi="Times New Roman" w:cs="Times New Roman"/>
          <w:noProof/>
          <w:sz w:val="24"/>
          <w:szCs w:val="24"/>
        </w:rPr>
        <w:fldChar w:fldCharType="begin" w:fldLock="1"/>
      </w:r>
      <w:r w:rsidR="007D756E">
        <w:rPr>
          <w:rFonts w:ascii="Times New Roman" w:hAnsi="Times New Roman" w:cs="Times New Roman"/>
          <w:noProof/>
          <w:sz w:val="24"/>
          <w:szCs w:val="24"/>
        </w:rPr>
        <w:instrText>ADDIN CSL_CITATION {"citationItems":[{"id":"ITEM-1","itemData":{"DOI":"10.1007/978-3-030-74682-7_1","ISBN":"978-3-030-74682-7","abstract":"The apple industry is a global economic powerhouse whose tentacles reach into every aspect of the world economy. Therefore, it is important to explore these inherent links and assess objective measures of the industry’s relative economic importance. Among major fruits, the apple is second in volume to the banana. However, it far outdistances the banana in total revenue and revenue per hectare. While major apple exporting countries have remained relatively stable over time, imports have grown more rapidly in many developing countries than in traditional markets. Understanding the apple system is complicated due to the fact that vestiges of the industry’s agrarian past and legacy distribution systems co-exist with the most progressive segments of the industry. Thus, it is critical to consider those major factors that underlie the industry’s evolution, including land, capital, labor, water, and purchased inputs. The latter have become crucial to advances in the industry’s productivity. Governments around the world have played changing roles in the industry, as arbiters of grades and standards, sources of capital, providers of emergency relief, and, for many years, central planners for the entire national industry in communist countries. The apple product is also changing from relatively stable open access commodities to exclusive club cultivars with unique names, brands, and labels. Fresh apple marketers now employ marketing services long used by major consumer packaged goods manufacturers. Extrinsic factors, such as the environmental credentials of the producer or marketer, have become as important as intrinsic factors such as fruit size and color. The firms, districts, and countries that can most rapidly adapt to future changes will become increasingly important to the industry. Those who fail to adapt will continue to face shrinking opportunities.","author":[{"dropping-particle":"","family":"O’Rourke","given":"Desmond","non-dropping-particle":"","parse-names":false,"suffix":""}],"editor":[{"dropping-particle":"","family":"Korban","given":"Schuyler S","non-dropping-particle":"","parse-names":false,"suffix":""}],"id":"ITEM-1","issued":{"date-parts":[["2021"]]},"page":"1-18","publisher":"Springer International Publishing","publisher-place":"Cham","title":"Economic Importance of the World Apple Industry BT  - The Apple Genome","type":"chapter"},"uris":["http://www.mendeley.com/documents/?uuid=a4d167f4-b841-43cc-b9a5-58bab15c1464"]}],"mendeley":{"formattedCitation":"(O’Rourke, 2021)","plainTextFormattedCitation":"(O’Rourke, 2021)","previouslyFormattedCitation":"(O’Rourke, 2021)"},"properties":{"noteIndex":0},"schema":"https://github.com/citation-style-language/schema/raw/master/csl-citation.json"}</w:instrText>
      </w:r>
      <w:r w:rsidR="007D756E">
        <w:rPr>
          <w:rFonts w:ascii="Times New Roman" w:hAnsi="Times New Roman" w:cs="Times New Roman"/>
          <w:noProof/>
          <w:sz w:val="24"/>
          <w:szCs w:val="24"/>
        </w:rPr>
        <w:fldChar w:fldCharType="separate"/>
      </w:r>
      <w:r w:rsidR="007D756E" w:rsidRPr="007D756E">
        <w:rPr>
          <w:rFonts w:ascii="Times New Roman" w:hAnsi="Times New Roman" w:cs="Times New Roman"/>
          <w:noProof/>
          <w:sz w:val="24"/>
          <w:szCs w:val="24"/>
        </w:rPr>
        <w:t>(O’Rourke, 2021)</w:t>
      </w:r>
      <w:r w:rsidR="007D756E">
        <w:rPr>
          <w:rFonts w:ascii="Times New Roman" w:hAnsi="Times New Roman" w:cs="Times New Roman"/>
          <w:noProof/>
          <w:sz w:val="24"/>
          <w:szCs w:val="24"/>
        </w:rPr>
        <w:fldChar w:fldCharType="end"/>
      </w:r>
      <w:r w:rsidRPr="00AB6AD6">
        <w:rPr>
          <w:rFonts w:ascii="Times New Roman" w:hAnsi="Times New Roman" w:cs="Times New Roman"/>
          <w:noProof/>
          <w:sz w:val="24"/>
          <w:szCs w:val="24"/>
        </w:rPr>
        <w:t>.</w:t>
      </w:r>
    </w:p>
    <w:p w14:paraId="1700B6B8"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The dominance of exogenous crops ended up by accounting a country Guinea-Bissau 90% revenue in exports and 10% GDP in Guinea-Bissau, just by the market dominance of exotic crops, particularly cashew n</w:t>
      </w:r>
      <w:r w:rsidR="009A565A">
        <w:rPr>
          <w:rFonts w:ascii="Times New Roman" w:hAnsi="Times New Roman" w:cs="Times New Roman"/>
          <w:noProof/>
          <w:sz w:val="24"/>
          <w:szCs w:val="24"/>
        </w:rPr>
        <w:t xml:space="preserve">uts </w:t>
      </w:r>
      <w:r w:rsidR="007D756E">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{"citationItems":[{"id":"ITEM-1","itemData":{"DOI":"10.5089/9798229016421.002","author":[{"dropping-particle":"","family":"Dept.","given":"International Monetary Fund. African","non-dropping-particle":"","parse-names":false,"suffix":""}],"id":"ITEM-1","issued":{"date-parts":[["0"]]},"publisher":"International Monetary Fund (IMF)","title":"Guinea-Bissau","type":"article"},"uris":["http://www.mendeley.com/documents/?uuid=b2e7d1e2-ac97-4b1f-8650-a85b32a6a204"]}],"mendeley":{"formattedCitation":"(Dept., n.d.)","plainTextFormattedCitation":"(Dept., n.d.)","previouslyFormattedCitation":"(Dept., n.d.)"},"properties":{"noteIndex":0},"schema":"https://github.com/citation-style-language/schema/raw/master/csl-citation.json"}</w:instrText>
      </w:r>
      <w:r w:rsidR="007D756E">
        <w:rPr>
          <w:rFonts w:ascii="Times New Roman" w:hAnsi="Times New Roman" w:cs="Times New Roman"/>
          <w:noProof/>
          <w:sz w:val="24"/>
          <w:szCs w:val="24"/>
        </w:rPr>
        <w:fldChar w:fldCharType="separate"/>
      </w:r>
      <w:r w:rsidR="007D756E" w:rsidRPr="007D756E">
        <w:rPr>
          <w:rFonts w:ascii="Times New Roman" w:hAnsi="Times New Roman" w:cs="Times New Roman"/>
          <w:noProof/>
          <w:sz w:val="24"/>
          <w:szCs w:val="24"/>
        </w:rPr>
        <w:t>(Dept., n.d.)</w:t>
      </w:r>
      <w:r w:rsidR="007D756E">
        <w:rPr>
          <w:rFonts w:ascii="Times New Roman" w:hAnsi="Times New Roman" w:cs="Times New Roman"/>
          <w:noProof/>
          <w:sz w:val="24"/>
          <w:szCs w:val="24"/>
        </w:rPr>
        <w:fldChar w:fldCharType="end"/>
      </w:r>
      <w:r w:rsidR="007D756E">
        <w:rPr>
          <w:rFonts w:ascii="Times New Roman" w:hAnsi="Times New Roman" w:cs="Times New Roman"/>
          <w:noProof/>
          <w:sz w:val="24"/>
          <w:szCs w:val="24"/>
        </w:rPr>
        <w:t>.</w:t>
      </w:r>
    </w:p>
    <w:p w14:paraId="116E6F7D"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The awareness and market trends toward health benefits and different tastes of Asian vegetables in European countries are increasing demand and a competitive advantage for exporters of developing countries in Asia. </w:t>
      </w:r>
    </w:p>
    <w:p w14:paraId="54B7BC31"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The demand for high-value crops and other agricultural commodities peaked worldwide. Farmers shifted from traditional staple crops toward export-oriented high-value exotics. This paradigm shift is often remunerative enough to balance high production costs, transportation, and other challenges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author":[{"dropping-particle":"","family":"Schneider","given":"Kate","non-dropping-particle":"","parse-names":false,"suffix":""},{"dropping-particle":"","family":"Mary","given":"Associate","non-dropping-particle":"","parse-names":false,"suffix":""},{"dropping-particle":"","family":"Gugerty","given":"Kay","non-dropping-particle":"","parse-names":false,"suffix":""}],"id":"ITEM-1","issue":"94","issued":{"date-parts":[["2010"]]},"page":"1-27","title":"The Impact of Export-Driven Cash Crops On Smallholder Households","type":"article-journal"},"uris":["http://www.mendeley.com/documents/?uuid=5f4a69d9-c286-44d1-8b91-e07f8b360266"]}],"mendeley":{"formattedCitation":"(Schneider et al., 2010)","plainTextFormattedCitation":"(Schneider et al., 2010)","previouslyFormattedCitation":"(Schneider et al., 2010)"},"properties":{"noteIndex":0},"schema":"https://github.com/citation-style-language/schema/raw/master/csl-citation.json"}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(Schneider et al., 2010)</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27BB7CF8"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lastRenderedPageBreak/>
        <w:t xml:space="preserve">Transformative market opportunity and incomes compared to the indigenous cropping system in Kenya through exotic crops like French beans, tobacco, and baby corn. The intercropping of maize-beans is more profitable when adequate rainfall is available, and market access, family labor, and risk tolerance conditions are met. At the same time, this highlights potential challenges, including the high cost of production, problems in new market channels, and technical complexities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author":[{"dropping-particle":"","family":"Schneider","given":"Kate","non-dropping-particle":"","parse-names":false,"suffix":""},{"dropping-particle":"","family":"Mary","given":"Associate","non-dropping-particle":"","parse-names":false,"suffix":""},{"dropping-particle":"","family":"Gugerty","given":"Kay","non-dropping-particle":"","parse-names":false,"suffix":""}],"id":"ITEM-1","issue":"94","issued":{"date-parts":[["2010"]]},"page":"1-27","title":"The Impact of Export-Driven Cash Crops On Smallholder Households","type":"article-journal"},"uris":["http://www.mendeley.com/documents/?uuid=5f4a69d9-c286-44d1-8b91-e07f8b360266"]}],"mendeley":{"formattedCitation":"(Schneider et al., 2010)","plainTextFormattedCitation":"(Schneider et al., 2010)","previouslyFormattedCitation":"(Schneider et al., 2010)"},"properties":{"noteIndex":0},"schema":"https://github.com/citation-style-language/schema/raw/master/csl-citation.json"}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(Schneider et al., 2010)</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5EB5EF6A"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Moreover, whenever we started with new high-potential exotic crops for the first time, we had to start with zero, even though we did not get quality seeds or any guidance or insurance for the risk. This leads to a new market of scientific studies and research.</w:t>
      </w:r>
    </w:p>
    <w:p w14:paraId="04AE8DA1"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Contract and cooperative farming are emerging as potent strategies in curbing transactional expenses and dampening the inherent market volatility. This system helps to get guaranteed pricing and reliable access to the market. Bargaining and coordinating investment help mitigate any capital outlay and help in post-harvest processing for the farmers.</w:t>
      </w:r>
    </w:p>
    <w:p w14:paraId="377BFDFB"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Integrated agriculture value chains (AVCs) and agribusiness companies with regulatory bodies like certification agencies and warehouse keepers provide gaurantte qualities and other services that promote access to high-value exotic crops in the market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10.5958/0974-0279.2018.00001.0","author":[{"dropping-particle":"","family":"Economics","given":"Applied","non-dropping-particle":"","parse-names":false,"suffix":""},{"dropping-particle":"","family":"Library","given":"Digital","non-dropping-particle":"","parse-names":false,"suffix":""}],"id":"ITEM-1","issued":{"date-parts":[["0"]]},"title":"This document is discoverable and free to researchers across the globe due to the work of AgEcon Search . Help ensure our sustainability .","type":"article-journal"},"uris":["http://www.mendeley.com/documents/?uuid=9d5f5444-ead5-4e04-9581-e73b976942e5"]}],"mendeley":{"formattedCitation":"(Economics &amp; Library, n.d.)","plainTextFormattedCitation":"(Economics &amp; Library, n.d.)","previouslyFormattedCitation":"(Economics &amp; Library, n.d.)"},"properties":{"noteIndex":0},"schema":"https://github.com/citation-style-language/schema/raw/master/csl-citation.json"}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(Economics &amp; Library, n.d.)</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2ACB4B45" w14:textId="653002B2"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Balance diversification strategies leverage</w:t>
      </w:r>
      <w:r w:rsidR="00AB0DEB">
        <w:rPr>
          <w:rFonts w:ascii="Times New Roman" w:hAnsi="Times New Roman" w:cs="Times New Roman"/>
          <w:noProof/>
          <w:sz w:val="24"/>
          <w:szCs w:val="24"/>
        </w:rPr>
        <w:t xml:space="preserve"> </w:t>
      </w:r>
      <w:r w:rsidRPr="00AB6AD6">
        <w:rPr>
          <w:rFonts w:ascii="Times New Roman" w:hAnsi="Times New Roman" w:cs="Times New Roman"/>
          <w:noProof/>
          <w:sz w:val="24"/>
          <w:szCs w:val="24"/>
        </w:rPr>
        <w:t xml:space="preserve">endurance of both exotic as well as indigenous crops to promote sustainability and overall income stability. While exotic crops offer high value and export potential, they require significant management and high capital investment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author":[{"dropping-particle":"","family":"Thandeka","given":"Nonkululeko","non-dropping-particle":"","parse-names":false,"suffix":""},{"dropping-particle":"","family":"Zondi","given":"Brightness","non-dropping-particle":"","parse-names":false,"suffix":""},{"dropping-particle":"","family":"Simon","given":"Mjabuliseni","non-dropping-particle":"","parse-names":false,"suffix":""},{"dropping-particle":"","family":"Ngidi","given":"Cloapas","non-dropping-particle":"","parse-names":false,"suffix":""},{"dropping-particle":"","family":"Ojo","given":"Temitope Oluwaseun","non-dropping-particle":"","parse-names":false,"suffix":""},{"dropping-particle":"","family":"Hlatshwayo","given":"Simphiwe Innocentia","non-dropping-particle":"","parse-names":false,"suffix":""}],"id":"ITEM-1","issued":{"date-parts":[["2022"]]},"title":"Impact of Market Participation of Indigenous Crops on Household Food Security of Smallholder Farmers of South Africa","type":"article-journal"},"uris":["http://www.mendeley.com/documents/?uuid=7eb006c2-2f14-47c1-9424-40b8ba632b5a"]}],"mendeley":{"formattedCitation":"(Thandeka et al., 2022)","plainTextFormattedCitation":"(Thandeka et al., 2022)","previouslyFormattedCitation":"(Thandeka et al., 2022)"},"properties":{"noteIndex":0},"schema":"https://github.com/citation-style-language/schema/raw/master/csl-citation.json"}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(Thandeka et al., 2022)</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54135BAD"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 xml:space="preserve">By progressing digital agriculture, precision farming and climate-smart practices which leads to less yield loss and better quality strategies. The premium and royalty tag of exotic or foreign crops keeps increasing, obviously their economic profitability in international markets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{"citationItems":[{"id":"ITEM-1","itemData":{"DOI":"10.1007/978-3-030-42148-9_6","ISBN":"978-3-030-42148-9","abstract":"Investments in irrigation contribute to poverty reduction and enhance food security. This paper considers irrigation investments more broadly in the context of rural–urban linkages and thus examines rural irrigation schemes and peri-urban and urban agriculture using freshwater, groundwater and wastewater. We present case studies from East, West and Southern Africa, while focusing on the imperative of smallholders and of food security and nutrition. Evidence from Big Data and telecoupling show that, amid global change and sustainability issues, irrigation development strengthens connections between humans and nature with notable benefits to food security. Transforming investments to feed the future generation require priority investments in irrigation, solar energy for groundwater pumping, groundwater development policy, and integration of peri-urban and urban agriculture into food systems. Equally important will be no-regret interventions in wastewater reuse, water storage and groundwater buffer, micro-irrigation, and wholesale reconfiguration of farming systems, through anticipatory investments, to safeguard food security and sustainability into the distant future.","author":[{"dropping-particle":"","family":"Hanjra","given":"Munir A","non-dropping-particle":"","parse-names":false,"suffix":""},{"dropping-particle":"","family":"Williams","given":"Timothy O","non-dropping-particle":"","parse-names":false,"suffix":""}],"editor":[{"dropping-particle":"","family":"Gomez y Paloma","given":"Sergio","non-dropping-particle":"","parse-names":false,"suffix":""},{"dropping-particle":"","family":"Riesgo","given":"Laura","non-dropping-particle":"","parse-names":false,"suffix":""},{"dropping-particle":"","family":"Louhichi","given":"Kamel","non-dropping-particle":"","parse-names":false,"suffix":""}],"id":"ITEM-1","issued":{"date-parts":[["2020"]]},"page":"99-131","publisher":"Springer International Publishing","publisher-place":"Cham","title":"Global Change and Investments in Smallholder Irrigation for Food and Nutrition Security in Sub-Saharan Africa BT  - The Role of Smallholder Farms in Food and Nutrition Security","type":"chapter"},"uris":["http://www.mendeley.com/documents/?uuid=0c2acf45-5a63-4734-969d-fa5edf7c115d"]}],"mendeley":{"formattedCitation":"(Hanjra &amp; Williams, 2020)","plainTextFormattedCitation":"(Hanjra &amp; Williams, 2020)","previouslyFormattedCitation":"(Hanjra &amp; Williams, 2020)"},"properties":{"noteIndex":0},"schema":"https://github.com/citation-style-language/schema/raw/master/csl-citation.json"}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(Hanjra &amp; Williams, 2020)</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05B0CBE0" w14:textId="77777777" w:rsidR="00AB6AD6" w:rsidRPr="00AB6AD6"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AB6AD6">
        <w:rPr>
          <w:rFonts w:ascii="Times New Roman" w:hAnsi="Times New Roman" w:cs="Times New Roman"/>
          <w:noProof/>
          <w:sz w:val="24"/>
          <w:szCs w:val="24"/>
        </w:rPr>
        <w:t>It all concludes exotic crops has a great potential for increasing farmer income and rural development. The possibilities of this can be unlocked with efforts to address research, infrastructure and policy challenges, fueling these crops as engines for a more sustainable agricultural future and an economic stimulant for farmers and exporters. This will be a pillar of the nation's rural economic growth and development. Moreover, it helps in the technological advancement of agriculture.</w:t>
      </w:r>
    </w:p>
    <w:p w14:paraId="6A8A038C" w14:textId="77777777" w:rsidR="00D2637E" w:rsidRDefault="00D2637E" w:rsidP="00E07221">
      <w:pPr>
        <w:shd w:val="clear" w:color="auto" w:fill="FFFFFF" w:themeFill="background1"/>
        <w:spacing w:line="360" w:lineRule="auto"/>
        <w:jc w:val="both"/>
        <w:rPr>
          <w:rFonts w:ascii="Times New Roman" w:hAnsi="Times New Roman" w:cs="Times New Roman"/>
          <w:b/>
          <w:bCs/>
          <w:noProof/>
          <w:sz w:val="24"/>
          <w:szCs w:val="24"/>
        </w:rPr>
      </w:pPr>
    </w:p>
    <w:p w14:paraId="4BB71462" w14:textId="77777777" w:rsidR="00B3602A"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lastRenderedPageBreak/>
        <w:t xml:space="preserve">3 </w:t>
      </w:r>
      <w:r w:rsidR="009B5A74" w:rsidRPr="00A17C1E">
        <w:rPr>
          <w:rFonts w:ascii="Times New Roman" w:hAnsi="Times New Roman" w:cs="Times New Roman"/>
          <w:b/>
          <w:bCs/>
          <w:noProof/>
          <w:sz w:val="24"/>
          <w:szCs w:val="24"/>
        </w:rPr>
        <w:t>Food security through exotics</w:t>
      </w:r>
    </w:p>
    <w:p w14:paraId="4995DD7A" w14:textId="77777777" w:rsidR="0083319F" w:rsidRPr="0083319F" w:rsidRDefault="00A5014C" w:rsidP="00E07221">
      <w:pPr>
        <w:shd w:val="clear" w:color="auto" w:fill="FFFFFF" w:themeFill="background1"/>
        <w:spacing w:line="360" w:lineRule="auto"/>
        <w:jc w:val="both"/>
        <w:rPr>
          <w:rFonts w:ascii="Times New Roman" w:hAnsi="Times New Roman" w:cs="Times New Roman"/>
          <w:b/>
          <w:bCs/>
          <w:noProof/>
          <w:sz w:val="24"/>
          <w:szCs w:val="24"/>
        </w:rPr>
      </w:pPr>
      <w:r w:rsidRPr="0083319F">
        <w:rPr>
          <w:rFonts w:ascii="Times New Roman" w:hAnsi="Times New Roman" w:cs="Times New Roman"/>
          <w:noProof/>
          <w:sz w:val="24"/>
          <w:szCs w:val="24"/>
        </w:rPr>
        <w:t xml:space="preserve">This is one of the most significant threats of our century, mainly due to the world's fast-growing population, climate change, and international conflicts. The countries that depend on imports for even basic food crops are now at risk of insecurity in the global market, obstructed supply chains, and pressure from other nations. In stimulus, growing exotic crops locally has become a new clever approach. It helps improve local food production, boosts nutrition, and protects the country from trusting too much on international food sources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{"citationItems":[{"id":"ITEM-1","itemData":{"DOI":"10.1186/s40066-021-00318-5","ISSN":"2048-7010","abstract":"Climate change is happening due to natural factors and human activities. It expressively alters biodiversity, agricultural production, and food security. Mainly, narrowly adapted and endemic species are under extinction. Accordingly, concerns over species extinction are warranted as it provides food for all life forms and primary health care for more than 60–80% of humans globally. Nevertheless, the impact of climate change on biodiversity and food security has been recognized, little is explored compared to the magnitude of the problem globally. Therefore, the objectives of this review are to identify, appraise, and synthesize the link between climate change, biodiversity, and food security. Data, climatic models, emission, migration, and extinction scenarios, and outputs from previous publications were used. Due to climate change, distributions of species have shifted to higher elevations at a median rate of 11.0 m and 16.9 km per decade to higher latitudes. Accordingly, extinction rates of 1103 species under migration scenarios, provide 21–23% with unlimited migration and 38–52% with no migration. When an environmental variation occurs on a timescale shorter than the life of the plant any response could be in terms of a plastic phenotype. However, phenotypic plasticity could buffer species against the long-term effects of climate change. Furthermore, climate change affects food security particularly in communities and locations that depend on rain-fed agriculture. Crops and plants have thresholds beyond which growth and yield are compromised. Accordingly, agricultural yields in Africa alone could be decline by more than 30% in 2050. Therefore, solving food shortages through bringing extra land into agriculture and exploiting new fish stocks is a costly solution, when protecting biodiversity is given priority. Therefore, mitigating food waste, compensating food-insecure people conserving biodiversity, effective use of genetic resources, and traditional ecological knowledge could decrease further biodiversity loss, and meet food security under climate change scenarios. However, achieving food security under such scenario requires strong policies, releasing high-yielding stress resistant varieties, developing climate resilient irrigation structures, and agriculture. Therefore, degraded land restoration, land use changes, use of bio-energy, sustainable forest management, and community based biodiversity conservation are recommended to mitigate climate ch…","author":[{"dropping-particle":"","family":"Muluneh","given":"Melese Genete","non-dropping-particle":"","parse-names":false,"suffix":""}],"container-title":"Agriculture &amp; Food Security","id":"ITEM-1","issue":"1","issued":{"date-parts":[["2021"]]},"page":"36","title":"Impact of climate change on biodiversity and food security: a global perspective—a review article","type":"article-journal","volume":"10"},"uris":["http://www.mendeley.com/documents/?uuid=f5a38df4-a484-43d0-8c1d-c9cf30a63986"]}],"mendeley":{"formattedCitation":"(Muluneh, 2021)","plainTextFormattedCitation":"(Muluneh, 2021)","previouslyFormattedCitation":"(Muluneh, 2021)"},"properties":{"noteIndex":0},"schema":"https://github.com/citation-style-language/schema/raw/master/csl-citation.json"}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(Muluneh, 2021)</w:t>
      </w:r>
      <w:r w:rsidR="009A565A">
        <w:rPr>
          <w:rFonts w:ascii="Times New Roman" w:hAnsi="Times New Roman" w:cs="Times New Roman"/>
          <w:noProof/>
          <w:sz w:val="24"/>
          <w:szCs w:val="24"/>
        </w:rPr>
        <w:fldChar w:fldCharType="end"/>
      </w:r>
      <w:r w:rsidR="009A565A">
        <w:rPr>
          <w:rFonts w:ascii="Times New Roman" w:hAnsi="Times New Roman" w:cs="Times New Roman"/>
          <w:noProof/>
          <w:sz w:val="24"/>
          <w:szCs w:val="24"/>
        </w:rPr>
        <w:t>.</w:t>
      </w:r>
    </w:p>
    <w:p w14:paraId="155E5E0D"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Most countries' government policies and research are changing how we farm by introducing non-native crops and improving present ones through modern breeding and agroforestry programs. These combined efforts make better use of present resources, increase crop varieties, and ultimately build a stronger, self-reliant food security system. Growing exotic crops strengthens local food production, creating new market opportunities for farmers and reducing the risk of pests and diseases.</w:t>
      </w:r>
    </w:p>
    <w:p w14:paraId="604ACC32"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Counting too much on just a few imported crops can be risky—historically proven, as Nigeria has faced serious consequences because it relied on food imports, making it exposed to global price hikes and supply breaks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{"citationItems":[{"id":"ITEM-1","itemData":{"DOI":"10.14207/ejsd.2012.v1n2p199","abstract":"No doubt, food is life; hence, food has become an instrument of national power. It iswithin that imperatival need for food that this paper takes a cursory look at the issue inall its ramifications. The paper with a comprehensive review of Nigeria’s agriculturalpolicy noted that much still needs to be done if the crisis in the sector will not escalatemore so, in a supposedly democratic dispensation which expectedly should promote thevalue of welfarism. The paper infers that Nigeria needs to come up with food policywhich for now it lacks. What public policy makers pursue is merely an agricultural policythat still suffers enormously from a wide gap between intent and actual practices.","author":[{"dropping-particle":"","family":"Adebayo","given":"Peter F","non-dropping-particle":"","parse-names":false,"suffix":""},{"dropping-particle":"","family":"Ojo","given":"Emmanuel O","non-dropping-particle":"","parse-names":false,"suffix":""}],"container-title":"European Journal of Sustainable Development","id":"ITEM-1","issue":"2 SE  -","issued":{"date-parts":[["2012","6","1"]]},"page":"199","title":"FOOD SECURITY IN NIGERIA: AN OVERVIEW","type":"article-journal","volume":"1"},"uris":["http://www.mendeley.com/documents/?uuid=82a27d4a-5466-4f1f-bb93-a965ecb1cf31"]}],"mendeley":{"formattedCitation":"(Adebayo &amp; Ojo, 2012)","plainTextFormattedCitation":"(Adebayo &amp; Ojo, 2012)","previouslyFormattedCitation":"(Adebayo &amp; Ojo, 2012)"},"properties":{"noteIndex":0},"schema":"https://github.com/citation-style-language/schema/raw/master/csl-citation.json"}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(Adebayo &amp; Ojo, 2012)</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 The practice of cultivating underutilized and exotic fruit crops shows opportunities for farmers as well as the broader economy, particularly in India. This can also help agroprocessing industries create value-added products, leading to food security and premium prices.</w:t>
      </w:r>
    </w:p>
    <w:p w14:paraId="30889233"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Due to a lack of knowledge of agronomy, limited market access, and insufficient research, this can be ignored in mainstream farming. Market drift with health conscious segment raised the annual demand of dragonfruit, baobab and West Indian cherry by 10-15%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{"citationItems":[{"id":"ITEM-1","itemData":{"DOI":"10.3389/fsufs.2025.1618112","ISSN":"2571581X","abstract":"Underutilized fruit crops hold significant potential for commercial cultivation due to their nutritional benefits, resilience to climatic changes, and increasing consumer demand for exotic and health-beneficial fruits. These crops are appealing for sustainable agriculture because they are resistance to major pest and disease as well as excellent adaptability to marginal areas. However, due to a lack of agronomic understanding, restricted market access, and inadequate research, they continue to be generally ignored in mainstream agriculture. According to recent research, the market for underused fruit crops including dragon fruit, baobab, and west Indian cherry has grown at a pace of 10–15% per year due to growing demand from health-conscious consumer segments. Underutilized fruit crops are rich in essential micronutrients, including vitamin C, dietary fiber, and antioxidants. The underutilized crops exhibit strong resilience to harsh agroecological conditions, such as drought and poor soils, making them ideal candidates for cultivating in areas where conventional crops may fail due to climate change. However, their widespread adoption is hindered by barriers including underdeveloped market systems, insufficient post-harvest infrastructure, and limited consumer awareness. These crops are often relegated to niche markets, with baobab, for instance, currently commanding a growing presence in the global superfood market, valued at USD 60 million in 2017 and projected to reach USD 130 million by 2025. Despite these challenges, the scalability of underutilized fruit crops can be unlocked through targeted interventions such as market development, investments in value-added products, and policy support. With strategic investments in research, extension services, and community-based programs, underutilized fruit crops can move from niche to mainstream markets, contributing to sustainable agricultural development, poverty reduction, and improved food security on a global scale.","author":[{"dropping-particle":"","family":"Marappan","given":"Kumaresan","non-dropping-particle":"","parse-names":false,"suffix":""},{"dropping-particle":"","family":"Sadasivam","given":"Shakila","non-dropping-particle":"","parse-names":false,"suffix":""},{"dropping-particle":"","family":"Natarajan","given":"Naveena","non-dropping-particle":"","parse-names":false,"suffix":""},{"dropping-particle":"","family":"Arumugam","given":"Vijai Ananth","non-dropping-particle":"","parse-names":false,"suffix":""},{"dropping-particle":"","family":"Lakshmaiah","given":"Kathari","non-dropping-particle":"","parse-names":false,"suffix":""},{"dropping-particle":"","family":"Thangaraj","given":"Meera","non-dropping-particle":"","parse-names":false,"suffix":""},{"dropping-particle":"","family":"Giridhar Gopal","given":"Madhumita","non-dropping-particle":"","parse-names":false,"suffix":""},{"dropping-particle":"","family":"Asokan","given":"Akino","non-dropping-particle":"","parse-names":false,"suffix":""}],"container-title":"Frontiers in Sustainable Food Systems","id":"ITEM-1","issued":{"date-parts":[["2025"]]},"title":"Underutilized fruit crops as a sustainable approach to enhancing nutritional security and promoting economic growth","type":"article-journal","volume":"9"},"uris":["http://www.mendeley.com/documents/?uuid=6381915b-e14b-4164-ac73-961da4ca8447"]}],"mendeley":{"formattedCitation":"(Marappan et al., 2025)","plainTextFormattedCitation":"(Marappan et al., 2025)","previouslyFormattedCitation":"(Marappan et al., 2025)"},"properties":{"noteIndex":0},"schema":"https://github.com/citation-style-language/schema/raw/master/csl-citation.json"}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(Marappan et al., 2025)</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 Mix of native and exotic crops means food security. This can be obtained by an enumeration on household consumption score and people's preferences. Their choices help to understand security measures and concerns to focus on the crops that influence the house demand—similar help to know the exotic crops to adapt in the region for our population.</w:t>
      </w:r>
    </w:p>
    <w:p w14:paraId="025D87EC"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The diversification of both indigenous and exotic crops play a significant role in improving food security of Tanzania. By encouraging the growth of a wider variety of crops, the country can diversify away from just a few main staple foods, which in turn makes the food supply more resistant to climate change and pests and diseases. It also makes a positive contribution to the nutrition by expanding types of food for the country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{"citationItems":[{"id":"ITEM-1","itemData":{"DOI":"10.3390/su16093833","ISSN":"20711050","abstract":"Farm crop diversity is often overlooked, predominantly indigenous crops’ role in this diversity. The main concentration has been on the contribution or role of exotic crops to household crop diversification. At the same time, the role played by both types of crops in household food security has only been aggregated, failing to show how indigenous crops play a key role in household food security. This research paper uses Tanzanian Panel data from waves 4 and 5 to study the factors influencing indigenous and exotic crop diversification and the role of this diversity in household food security. Using a random effect model, the author found that various factors are crucial in determining household crop diversification. Gender, household size, marital status, and expected harvest quantity are among the key factors influencing indigenous crop diversification. On the other hand, age, education, access to markets, access to irrigation services, and soil quality are the primary factors that affect the diversification of exotic crops. Moreover, the findings show that indigenous and exotic crop diversity significantly influences household food consumption. Thus, policies to increase the production of indigenous crops in order to improve household food consumption should be considered.","author":[{"dropping-particle":"","family":"John","given":"Innocensia","non-dropping-particle":"","parse-names":false,"suffix":""}],"container-title":"Sustainability (Switzerland) ","id":"ITEM-1","issue":"9","issued":{"date-parts":[["2024"]]},"title":"Indigenous or Exotic Crop Diversity? Which Crops Ensure Household Food Security: Facts from Tanzania Panel","type":"article-journal","volume":"16"},"uris":["http://www.mendeley.com/documents/?uuid=6d618b9a-f0d3-4e6c-a5df-06912d5d8750"]}],"mendeley":{"formattedCitation":"(John, 2024)","plainTextFormattedCitation":"(John, 2024)","previouslyFormattedCitation":"(John, 2024)"},"properties":{"noteIndex":0},"schema":"https://github.com/citation-style-language/schema/raw/master/csl-citation.json"}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(John, 2024)</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59341098"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lastRenderedPageBreak/>
        <w:t xml:space="preserve">Reducing the risk of global recession, import tariffs, and dependencies on other countries, and becoming economically independent by cultivating exotic crops, productive and resilient plants that can thrive in local conditions. Countries can grow faster with the growth of non native crops and strengthen their food systems. For a moment, switching staples like rice and wheat with well-suited exotic crops can help local food production. This can cut imports and strengthen the nation from external shocks, leading to economic stability and food security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{"citationItems":[{"id":"ITEM-1","itemData":{"DOI":"10.1007/s13593-013-0147-8","ISSN":"1773-0155","abstract":"By the year 2050, agriculture will have to provide the food and nutrition requirements of some 9 billion people. Moreover, to maintain that level of productivity indefinitely it must do so using environmentally sustainable production systems. This task will be profoundly complicated by the effects of climate change, increasing competition for water resources and loss of productive lands. Agricultural production methods will also need to recognize and accommodate ongoing rural to urban migration and address a host of economic, ecological and social concerns about the ‘high inputs/high outputs’ model of present-day industrial agriculture. At the same time, there is a need to confront the unacceptable levels of continuing food and nutrition insecurity, greatest in the emerging economy countries of Africa and Asia where poverty, rapid population growth and climate change present additional challenges and where agriculture is practiced primarily by small-scale farmers. Within this context, we here review science-based evidence arguing that diversification with greater use of highly valuable but presently under-valorised crops and species should be an essential element of any model for sustainable smallholder agriculture. The major points of these development opportunity crops are presented in four sections: agricultural farming systems, health and nutrition, environmental sustainability and prosperity of the populations. For each section, these crops and their associated indigenous knowledge are reported to bring benefits and services when integrated with food systems. In this paper, we conclude that not only a change in policy is needed to influence behaviours and practices but also strong leadership able to synergize the various initiatives and implement an action plan.","author":[{"dropping-particle":"","family":"Kahane","given":"Rémi","non-dropping-particle":"","parse-names":false,"suffix":""},{"dropping-particle":"","family":"Hodgkin","given":"Toby","non-dropping-particle":"","parse-names":false,"suffix":""},{"dropping-particle":"","family":"Jaenicke","given":"Hannah","non-dropping-particle":"","parse-names":false,"suffix":""},{"dropping-particle":"","family":"Hoogendoorn","given":"Coosje","non-dropping-particle":"","parse-names":false,"suffix":""},{"dropping-particle":"","family":"Hermann","given":"Michael","non-dropping-particle":"","parse-names":false,"suffix":""},{"dropping-particle":"","family":"(Dyno) Keatinge","given":"J D H","non-dropping-particle":"","parse-names":false,"suffix":""},{"dropping-particle":"","family":"d’Arros Hughes","given":"Jacqueline","non-dropping-particle":"","parse-names":false,"suffix":""},{"dropping-particle":"","family":"Padulosi","given":"Stefano","non-dropping-particle":"","parse-names":false,"suffix":""},{"dropping-particle":"","family":"Looney","given":"Norman","non-dropping-particle":"","parse-names":false,"suffix":""}],"container-title":"Agronomy for Sustainable Development","id":"ITEM-1","issue":"4","issued":{"date-parts":[["2013"]]},"page":"671-693","title":"Agrobiodiversity for food security, health and income","type":"article-journal","volume":"33"},"uris":["http://www.mendeley.com/documents/?uuid=d6a65b84-f018-4050-b111-ba4b725f0afe"]}],"mendeley":{"formattedCitation":"(Kahane et al., 2013)","plainTextFormattedCitation":"(Kahane et al., 2013)","previouslyFormattedCitation":"(Kahane et al., 2013)"},"properties":{"noteIndex":0},"schema":"https://github.com/citation-style-language/schema/raw/master/csl-citation.json"}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(Kahane et al., 2013)</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3D6D8956"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Economic diversification is an intrinsic benefit of exotic crop farming. By developing niche markets for high-value exotic commodities (such as avocado, citrus, and other fruits), nations can generate new revenue streams that spur domestic economic growth. Local production of these high-value crops and integration with an agroforestry system creates a strong supply chain. With improved local production infrastructure and decentralizing seed propagation programs, farmers get high-quality planting material, and countries can reduce their import of seeds and technologies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ISSN":"00416436","author":[{"dropping-particle":"","family":"Jamnadass","given":"R.","non-dropping-particle":"","parse-names":false,"suffix":""},{"dropping-particle":"","family":"Place","given":"F.","non-dropping-particle":"","parse-names":false,"suffix":""},{"dropping-particle":"","family":"Torquebiau","given":"E.","non-dropping-particle":"","parse-names":false,"suffix":""},{"dropping-particle":"","family":"Malézieux","given":"E.","non-dropping-particle":"","parse-names":false,"suffix":""},{"dropping-particle":"","family":"Iiyama","given":"M.","non-dropping-particle":"","parse-names":false,"suffix":""},{"dropping-particle":"","family":"Sileshi","given":"G. W.","non-dropping-particle":"","parse-names":false,"suffix":""},{"dropping-particle":"","family":"Kehlenbeck","given":"K.","non-dropping-particle":"","parse-names":false,"suffix":""},{"dropping-particle":"","family":"Masters","given":"E.","non-dropping-particle":"","parse-names":false,"suffix":""},{"dropping-particle":"","family":"McMullin","given":"S.","non-dropping-particle":"","parse-names":false,"suffix":""},{"dropping-particle":"","family":"Dawson","given":"I. K.","non-dropping-particle":"","parse-names":false,"suffix":""}],"container-title":"Unasylva","id":"ITEM-1","issue":"241","issued":{"date-parts":[["2013"]]},"page":"23-29","title":"Agroforestry for food and nutritional security","type":"article-journal","volume":"64"},"uris":["http://www.mendeley.com/documents/?uuid=f3101dd9-ee39-463d-a6d2-11f6e4fbdb56"]}],"mendeley":{"formattedCitation":"(R. Jamnadass et al., 2013)","plainTextFormattedCitation":"(R. Jamnadass et al., 2013)","previouslyFormattedCitation":"(R. Jamnadass et al., 2013)"},"properties":{"noteIndex":0},"schema":"https://github.com/citation-style-language/schema/raw/master/csl-citation.json"}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(R. Jamnadass et al., 2013)</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2E3A8B39" w14:textId="77777777" w:rsidR="0083319F" w:rsidRPr="0083319F"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Extinct crop farming can potentially improve and enhance diet diversity by adding cultivars with superior micronutrient profiles to domestic food security. Avocado, citrus, etc, not only bring essential vitamins and minerals, but also provide dietary fibers and phytochemicals that are not present in staple foods. This can help to protect healthy food security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{"citationItems":[{"id":"ITEM-1","itemData":{"DOI":"10.1505/146554811798293836","ISSN":"14655489","abstract":"The cultivation of indigenous and exotic fruits for sub-Saharan Africa's domestic markets can bring increased revenues for smallholders and improve the diets of local consumers. There are, however, many bottlenecks which need to be addressed so that wider benefits from such activities are realised. Here, we describe key interventions being taken to address current constraints. For indigenous fruit trees, it is necessary to set priorities for which species to promote and to engage in participatory domestication for the improvement of yield, quality and germplasm delivery to farmers. For exotic fruits, 'south-south' transfer of advanced cultivars and the development of small-scale commercial suppliers of planting material are required to reinvigorate production. For both indigenous and exotic species, a focus on improving market value chains to bring greater benefits to producers is needed. We describe where further work is required to increase efficiency in the sector and to favour smallholder involvement.","author":[{"dropping-particle":"","family":"Jamnadass","given":"R. H.","non-dropping-particle":"","parse-names":false,"suffix":""},{"dropping-particle":"","family":"Dawson","given":"I. K.","non-dropping-particle":"","parse-names":false,"suffix":""},{"dropping-particle":"","family":"Franzel","given":"S.","non-dropping-particle":"","parse-names":false,"suffix":""},{"dropping-particle":"","family":"Leakey","given":"R. R.B.","non-dropping-particle":"","parse-names":false,"suffix":""},{"dropping-particle":"","family":"Mithfer","given":"D.","non-dropping-particle":"","parse-names":false,"suffix":""},{"dropping-particle":"","family":"Akinnifesi","given":"F. K.","non-dropping-particle":"","parse-names":false,"suffix":""},{"dropping-particle":"","family":"Tchoundjeu","given":"Z.","non-dropping-particle":"","parse-names":false,"suffix":""}],"container-title":"International Forestry Review","id":"ITEM-1","issue":"3","issued":{"date-parts":[["2011"]]},"page":"338-354","title":"Improving livelihoods and nutrition in sub-saharan africa through the promotion of indigenous and exotic fruit production in smallholders' agroforestry systems: A review","type":"article-journal","volume":"13"},"uris":["http://www.mendeley.com/documents/?uuid=701f9090-665f-4bec-8885-1025594fe70b"]}],"mendeley":{"formattedCitation":"(R. H. Jamnadass et al., 2011)","plainTextFormattedCitation":"(R. H. Jamnadass et al., 2011)","previouslyFormattedCitation":"(R. H. Jamnadass et al., 2011)"},"properties":{"noteIndex":0},"schema":"https://github.com/citation-style-language/schema/raw/master/csl-citation.json"}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(R. H. Jamnadass et al., 2011)</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 The wider composition of nutrient-rich crops reduces the "hidden hunger" of a large population and secures a food system that reduces country inflation.</w:t>
      </w:r>
    </w:p>
    <w:p w14:paraId="16FBE187" w14:textId="77777777" w:rsidR="0083319F" w:rsidRPr="00A17C1E" w:rsidRDefault="00A5014C" w:rsidP="00E07221">
      <w:pPr>
        <w:shd w:val="clear" w:color="auto" w:fill="FFFFFF" w:themeFill="background1"/>
        <w:spacing w:line="360" w:lineRule="auto"/>
        <w:jc w:val="both"/>
        <w:rPr>
          <w:rFonts w:ascii="Times New Roman" w:hAnsi="Times New Roman" w:cs="Times New Roman"/>
          <w:noProof/>
          <w:sz w:val="24"/>
          <w:szCs w:val="24"/>
        </w:rPr>
      </w:pPr>
      <w:r w:rsidRPr="0083319F">
        <w:rPr>
          <w:rFonts w:ascii="Times New Roman" w:hAnsi="Times New Roman" w:cs="Times New Roman"/>
          <w:noProof/>
          <w:sz w:val="24"/>
          <w:szCs w:val="24"/>
        </w:rPr>
        <w:t xml:space="preserve">Exotic crops farming is a powerful poverty, biodiversity and food security tool by which to reduce dependency on imported food and develop strong local production systems through genetic crop diversity, agroforestry, targeted economic investment and biosecurity. This strategic shift towards a more self-reliant and diffused agricultural model to build national food systems supports long term economic resilience </w:t>
      </w:r>
      <w:r w:rsidR="009A565A">
        <w:rPr>
          <w:rFonts w:ascii="Times New Roman" w:hAnsi="Times New Roman" w:cs="Times New Roman"/>
          <w:noProof/>
          <w:sz w:val="24"/>
          <w:szCs w:val="24"/>
        </w:rPr>
        <w:fldChar w:fldCharType="begin" w:fldLock="1"/>
      </w:r>
      <w:r w:rsidR="009A565A">
        <w:rPr>
          <w:rFonts w:ascii="Times New Roman" w:hAnsi="Times New Roman" w:cs="Times New Roman"/>
          <w:noProof/>
          <w:sz w:val="24"/>
          <w:szCs w:val="24"/>
        </w:rPr>
        <w:instrText>ADDIN CSL_CITATION {"citationItems":[{"id":"ITEM-1","itemData":{"DOI":"10.1186/s40066-021-00318-5","ISSN":"2048-7010","abstract":"Climate change is happening due to natural factors and human activities. It expressively alters biodiversity, agricultural production, and food security. Mainly, narrowly adapted and endemic species are under extinction. Accordingly, concerns over species extinction are warranted as it provides food for all life forms and primary health care for more than 60–80% of humans globally. Nevertheless, the impact of climate change on biodiversity and food security has been recognized, little is explored compared to the magnitude of the problem globally. Therefore, the objectives of this review are to identify, appraise, and synthesize the link between climate change, biodiversity, and food security. Data, climatic models, emission, migration, and extinction scenarios, and outputs from previous publications were used. Due to climate change, distributions of species have shifted to higher elevations at a median rate of 11.0 m and 16.9 km per decade to higher latitudes. Accordingly, extinction rates of 1103 species under migration scenarios, provide 21–23% with unlimited migration and 38–52% with no migration. When an environmental variation occurs on a timescale shorter than the life of the plant any response could be in terms of a plastic phenotype. However, phenotypic plasticity could buffer species against the long-term effects of climate change. Furthermore, climate change affects food security particularly in communities and locations that depend on rain-fed agriculture. Crops and plants have thresholds beyond which growth and yield are compromised. Accordingly, agricultural yields in Africa alone could be decline by more than 30% in 2050. Therefore, solving food shortages through bringing extra land into agriculture and exploiting new fish stocks is a costly solution, when protecting biodiversity is given priority. Therefore, mitigating food waste, compensating food-insecure people conserving biodiversity, effective use of genetic resources, and traditional ecological knowledge could decrease further biodiversity loss, and meet food security under climate change scenarios. However, achieving food security under such scenario requires strong policies, releasing high-yielding stress resistant varieties, developing climate resilient irrigation structures, and agriculture. Therefore, degraded land restoration, land use changes, use of bio-energy, sustainable forest management, and community based biodiversity conservation are recommended to mitigate climate ch…","author":[{"dropping-particle":"","family":"Muluneh","given":"Melese Genete","non-dropping-particle":"","parse-names":false,"suffix":""}],"container-title":"Agriculture &amp; Food Security","id":"ITEM-1","issue":"1","issued":{"date-parts":[["2021"]]},"page":"36","title":"Impact of climate change on biodiversity and food security: a global perspective—a review article","type":"article-journal","volume":"10"},"uris":["http://www.mendeley.com/documents/?uuid=f5a38df4-a484-43d0-8c1d-c9cf30a63986"]}],"mendeley":{"formattedCitation":"(Muluneh, 2021)","plainTextFormattedCitation":"(Muluneh, 2021)","previouslyFormattedCitation":"(Muluneh, 2021)"},"properties":{"noteIndex":0},"schema":"https://github.com/citation-style-language/schema/raw/master/csl-citation.json"}</w:instrText>
      </w:r>
      <w:r w:rsidR="009A565A">
        <w:rPr>
          <w:rFonts w:ascii="Times New Roman" w:hAnsi="Times New Roman" w:cs="Times New Roman"/>
          <w:noProof/>
          <w:sz w:val="24"/>
          <w:szCs w:val="24"/>
        </w:rPr>
        <w:fldChar w:fldCharType="separate"/>
      </w:r>
      <w:r w:rsidR="009A565A" w:rsidRPr="009A565A">
        <w:rPr>
          <w:rFonts w:ascii="Times New Roman" w:hAnsi="Times New Roman" w:cs="Times New Roman"/>
          <w:noProof/>
          <w:sz w:val="24"/>
          <w:szCs w:val="24"/>
        </w:rPr>
        <w:t>(Muluneh, 2021)</w:t>
      </w:r>
      <w:r w:rsidR="009A565A">
        <w:rPr>
          <w:rFonts w:ascii="Times New Roman" w:hAnsi="Times New Roman" w:cs="Times New Roman"/>
          <w:noProof/>
          <w:sz w:val="24"/>
          <w:szCs w:val="24"/>
        </w:rPr>
        <w:fldChar w:fldCharType="end"/>
      </w:r>
      <w:r w:rsidRPr="0083319F">
        <w:rPr>
          <w:rFonts w:ascii="Times New Roman" w:hAnsi="Times New Roman" w:cs="Times New Roman"/>
          <w:noProof/>
          <w:sz w:val="24"/>
          <w:szCs w:val="24"/>
        </w:rPr>
        <w:t>.</w:t>
      </w:r>
    </w:p>
    <w:p w14:paraId="5807A706" w14:textId="77777777" w:rsidR="00D2637E" w:rsidRDefault="00D2637E" w:rsidP="00E07221">
      <w:pPr>
        <w:shd w:val="clear" w:color="auto" w:fill="FFFFFF" w:themeFill="background1"/>
        <w:spacing w:line="360" w:lineRule="auto"/>
        <w:jc w:val="both"/>
        <w:rPr>
          <w:rFonts w:ascii="Times New Roman" w:hAnsi="Times New Roman" w:cs="Times New Roman"/>
          <w:noProof/>
          <w:sz w:val="24"/>
          <w:szCs w:val="24"/>
        </w:rPr>
      </w:pPr>
    </w:p>
    <w:p w14:paraId="389F66C0" w14:textId="77777777" w:rsidR="00EF0231" w:rsidRPr="00EF0231" w:rsidRDefault="00A5014C" w:rsidP="00E07221">
      <w:pPr>
        <w:shd w:val="clear" w:color="auto" w:fill="FFFFFF" w:themeFill="background1"/>
        <w:spacing w:line="360" w:lineRule="auto"/>
        <w:jc w:val="both"/>
        <w:rPr>
          <w:b/>
          <w:bCs/>
          <w:noProof/>
          <w:sz w:val="24"/>
          <w:szCs w:val="24"/>
        </w:rPr>
      </w:pPr>
      <w:r w:rsidRPr="00EF0231">
        <w:rPr>
          <w:b/>
          <w:bCs/>
          <w:noProof/>
          <w:sz w:val="24"/>
          <w:szCs w:val="24"/>
        </w:rPr>
        <w:t>4. Regional Adaptation of Invasive and Exotic Plant Species</w:t>
      </w:r>
    </w:p>
    <w:p w14:paraId="563597DC"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The three key components for an adaptation are the genetics of the plant, ecology, and management practices by which plants of different regions adjust to a new environment. The breeding programs help harness exotic Germplasm to develop cultivars that can be cultivated economically to local environmental conditions. Both Invasive plant species and exotic plants </w:t>
      </w:r>
      <w:r w:rsidRPr="00EF0231">
        <w:rPr>
          <w:noProof/>
          <w:sz w:val="24"/>
          <w:szCs w:val="24"/>
        </w:rPr>
        <w:lastRenderedPageBreak/>
        <w:t xml:space="preserve">species illustrates how important adaptation to regional conditions. The invasive plants are introduced accidentally or intentionally, and must adjust to new environments, unfamiliar climatic conditions, and interaction with local plant species. On the other hand, Exotic crops are intentionally introduced to new areas to bring all agricultural possibilities. Different breeding programs help adapt crops to local farming practices. In every case, success lies in a complex integration of rapid evolution, flexibility in plant traits (Phenotypic plasticity), and human involvement, all of which bring adaptation in new varieties </w:t>
      </w:r>
      <w:r w:rsidR="009A565A">
        <w:rPr>
          <w:noProof/>
          <w:sz w:val="24"/>
          <w:szCs w:val="24"/>
        </w:rPr>
        <w:fldChar w:fldCharType="begin" w:fldLock="1"/>
      </w:r>
      <w:r w:rsidR="009A565A">
        <w:rPr>
          <w:noProof/>
          <w:sz w:val="24"/>
          <w:szCs w:val="24"/>
        </w:rPr>
        <w:instrText>ADDIN CSL_CITATION {"citationItems":[{"id":"ITEM-1","itemData":{"DOI":"10.1111/nph.15564","ISSN":"14698137","PMID":"30367474","abstract":"Biological invasions provide opportunities to study evolutionary processes occurring over contemporary timescales. To explore the speed and repeatability of adaptation, we examined the divergence of life-history traits to climate, using latitude as a proxy, in the native North American and introduced European and Australian ranges of the annual plant Ambrosia artemisiifolia. We explored niche changes following introductions using climate niche dynamic models. In a common garden, we examined trait divergence by growing seeds collected across three ranges with highly distinct demographic histories. Heterozygosity–fitness associations were used to explore the effect of invasion history on potential success. We accounted for nonadaptive population differentiation using 11 598 single nucleotide polymorphisms. We revealed a centroid shift to warmer, wetter climates in the introduced ranges. We identified repeated latitudinal divergence in life-history traits, with European and Australian populations positioned at either end of the native clines. Our data indicate rapid and repeated adaptation to local climates despite the recent introductions and a bottleneck limiting genetic variation in Australia. Centroid shifts in the introduced ranges suggest adaptation to more productive environments, potentially contributing to trait divergence between the ranges.","author":[{"dropping-particle":"","family":"Boheemen","given":"Lotte A.","non-dropping-particle":"van","parse-names":false,"suffix":""},{"dropping-particle":"","family":"Atwater","given":"Daniel Z.","non-dropping-particle":"","parse-names":false,"suffix":""},{"dropping-particle":"","family":"Hodgins","given":"Kathryn A.","non-dropping-particle":"","parse-names":false,"suffix":""}],"container-title":"New Phytologist","id":"ITEM-1","issue":"1","issued":{"date-parts":[["2019"]]},"page":"614-627","title":"Rapid and repeated local adaptation to climate in an invasive plant","type":"article-journal","volume":"222"},"uris":["http://www.mendeley.com/documents/?uuid=8e8cfd21-1570-4962-b9bc-9e6c10786012"]}],"mendeley":{"formattedCitation":"(van Boheemen et al., 2019)","plainTextFormattedCitation":"(van Boheemen et al., 2019)","previouslyFormattedCitation":"(van Boheemen et al., 2019)"},"properties":{"noteIndex":0},"schema":"https://github.com/citation-style-language/schema/raw/master/csl-citation.json"}</w:instrText>
      </w:r>
      <w:r w:rsidR="009A565A">
        <w:rPr>
          <w:noProof/>
          <w:sz w:val="24"/>
          <w:szCs w:val="24"/>
        </w:rPr>
        <w:fldChar w:fldCharType="separate"/>
      </w:r>
      <w:r w:rsidR="009A565A" w:rsidRPr="009A565A">
        <w:rPr>
          <w:noProof/>
          <w:sz w:val="24"/>
          <w:szCs w:val="24"/>
        </w:rPr>
        <w:t>(van Boheemen et al., 2019)</w:t>
      </w:r>
      <w:r w:rsidR="009A565A">
        <w:rPr>
          <w:noProof/>
          <w:sz w:val="24"/>
          <w:szCs w:val="24"/>
        </w:rPr>
        <w:fldChar w:fldCharType="end"/>
      </w:r>
      <w:r w:rsidRPr="00EF0231">
        <w:rPr>
          <w:noProof/>
          <w:sz w:val="24"/>
          <w:szCs w:val="24"/>
        </w:rPr>
        <w:t>.</w:t>
      </w:r>
    </w:p>
    <w:p w14:paraId="610FB108"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The first step in the regional adaptation of exotic plants is to bring out propagation materials. This can be supported by the international sharing of Germplasm- plant genetic materials. But with these efforts, there should be challenges, primarily like the spread of pests, diseases, and weed invasion. The solution to mitigate this problem is to enforce strict plant quarantine measures to ensure food security and the sovereignty of a country. The exchange of germplasm is important for climate change adaptation, increasing production, crop diversification and minimizing pests and diseases. For instance, India exchanged rice germplasm with Brazil to get new resistant varieties. Quarantine process involves:</w:t>
      </w:r>
    </w:p>
    <w:p w14:paraId="32075F24"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w:t>
      </w:r>
      <w:r w:rsidR="009330BA">
        <w:rPr>
          <w:noProof/>
          <w:sz w:val="24"/>
          <w:szCs w:val="24"/>
        </w:rPr>
        <w:t>a)</w:t>
      </w:r>
      <w:r w:rsidRPr="00EF0231">
        <w:rPr>
          <w:noProof/>
          <w:sz w:val="24"/>
          <w:szCs w:val="24"/>
        </w:rPr>
        <w:t>Inspection</w:t>
      </w:r>
    </w:p>
    <w:p w14:paraId="5FD9BCBF"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(b)Disinfection</w:t>
      </w:r>
    </w:p>
    <w:p w14:paraId="3F2ACEF7"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(c) Certification</w:t>
      </w:r>
    </w:p>
    <w:p w14:paraId="6852C2ED"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In IndiaNBPGR (National Bureau of Plant Genetic Resources) has international donations and getting Germplasm and plant quarantine </w:t>
      </w:r>
      <w:r w:rsidR="009A565A">
        <w:rPr>
          <w:noProof/>
          <w:sz w:val="24"/>
          <w:szCs w:val="24"/>
        </w:rPr>
        <w:fldChar w:fldCharType="begin" w:fldLock="1"/>
      </w:r>
      <w:r w:rsidR="002F7EF2">
        <w:rPr>
          <w:noProof/>
          <w:sz w:val="24"/>
          <w:szCs w:val="24"/>
        </w:rPr>
        <w:instrText>ADDIN CSL_CITATION {"citationItems":[{"id":"ITEM-1","itemData":{"author":[{"dropping-particle":"","family":"Kumar","given":"Ayush","non-dropping-particle":"","parse-names":false,"suffix":""}],"id":"ITEM-1","issue":"July","issued":{"date-parts":[["2023"]]},"title":"Plant Quarantine and Inspection","type":"article-journal"},"uris":["http://www.mendeley.com/documents/?uuid=a2f6e0c1-172a-49c2-979e-773860a8ab49"]}],"mendeley":{"formattedCitation":"(Kumar, 2023)","plainTextFormattedCitation":"(Kumar, 2023)","previouslyFormattedCitation":"(Kumar, 2023)"},"properties":{"noteIndex":0},"schema":"https://github.com/citation-style-language/schema/raw/master/csl-citation.json"}</w:instrText>
      </w:r>
      <w:r w:rsidR="009A565A">
        <w:rPr>
          <w:noProof/>
          <w:sz w:val="24"/>
          <w:szCs w:val="24"/>
        </w:rPr>
        <w:fldChar w:fldCharType="separate"/>
      </w:r>
      <w:r w:rsidR="009A565A" w:rsidRPr="009A565A">
        <w:rPr>
          <w:noProof/>
          <w:sz w:val="24"/>
          <w:szCs w:val="24"/>
        </w:rPr>
        <w:t>input (Kumar, 2023)</w:t>
      </w:r>
      <w:r w:rsidR="009A565A">
        <w:rPr>
          <w:noProof/>
          <w:sz w:val="24"/>
          <w:szCs w:val="24"/>
        </w:rPr>
        <w:fldChar w:fldCharType="end"/>
      </w:r>
      <w:r w:rsidRPr="00EF0231">
        <w:rPr>
          <w:noProof/>
          <w:sz w:val="24"/>
          <w:szCs w:val="24"/>
        </w:rPr>
        <w:t>.</w:t>
      </w:r>
    </w:p>
    <w:p w14:paraId="4A0CFF33"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 The trade-off theory predicts that specialization of an organism for one niche must have reciprocal fitness costs in another, thereby excluding any single species from being a "jack-of-all-trades". This is especially pronounced in the context of local adaptation in plants, where local populations are fitter in their home environment than they are elsewhere. Although the relative resource allocation is considered as the major factor contributing to those trade-offs, the specific relationships between them at physiological and molecular levels are largely unexplained.</w:t>
      </w:r>
    </w:p>
    <w:p w14:paraId="6FA72017" w14:textId="271A710C" w:rsidR="00EF0231" w:rsidRPr="00EF0231" w:rsidRDefault="00AB0DEB" w:rsidP="00E07221">
      <w:pPr>
        <w:shd w:val="clear" w:color="auto" w:fill="FFFFFF" w:themeFill="background1"/>
        <w:spacing w:line="360" w:lineRule="auto"/>
        <w:jc w:val="both"/>
        <w:rPr>
          <w:noProof/>
          <w:sz w:val="24"/>
          <w:szCs w:val="24"/>
        </w:rPr>
      </w:pPr>
      <w:r>
        <w:rPr>
          <w:noProof/>
          <w:sz w:val="24"/>
          <w:szCs w:val="24"/>
        </w:rPr>
        <w:lastRenderedPageBreak/>
        <w:t xml:space="preserve"> </w:t>
      </w:r>
      <w:r w:rsidR="00A5014C" w:rsidRPr="00EF0231">
        <w:rPr>
          <w:noProof/>
          <w:sz w:val="24"/>
          <w:szCs w:val="24"/>
        </w:rPr>
        <w:t>Instead of causing a disadvantage in different environments, many genes for local adaptation are conditionally neutral, meaning they help an organism thrive in one specific habitat but have little to no adverse effect elsewhere</w:t>
      </w:r>
      <w:r w:rsidR="002F7EF2">
        <w:rPr>
          <w:noProof/>
          <w:sz w:val="24"/>
          <w:szCs w:val="24"/>
        </w:rPr>
        <w:t xml:space="preserve"> </w:t>
      </w:r>
      <w:r w:rsidR="002F7EF2">
        <w:rPr>
          <w:noProof/>
          <w:sz w:val="24"/>
          <w:szCs w:val="24"/>
        </w:rPr>
        <w:fldChar w:fldCharType="begin" w:fldLock="1"/>
      </w:r>
      <w:r w:rsidR="002F7EF2">
        <w:rPr>
          <w:noProof/>
          <w:sz w:val="24"/>
          <w:szCs w:val="24"/>
        </w:rPr>
        <w:instrText>ADDIN CSL_CITATION {"citationItems":[{"id":"ITEM-1","itemData":{"DOI":"10.1146/annurev-arplant-050718-100114","ISSN":"15452123","PMID":"30786237","abstract":"Ecological specialization in plants occurs primarily through local adaptation to different environments. Local adaptation is widely thought to result in costly fitness trade-offs that result in maladaptation to alternative environments. However, recent studies suggest that such trade-offs are not universal. Further, there is currently a limited understanding of the molecular mechanisms responsible for fitness trade-offs associated with adaptation. Here, we review the literature on stress responses in plants to identify potential mechanisms underlying local adaptation and ecological specialization. We focus on drought, high and low temperature, flooding, herbivore, and pathogen stresses. We then synthesize our findings with recent advances in the local adaptation and plant molecular biology literature. In the process, we identify mechanisms that could cause fitness trade-offs and outline scenarios where trade-offs are not a necessary consequence of adaptation. Future studies should aim to explicitly integrate molecular mechanisms into studies of local adaptation.","author":[{"dropping-particle":"","family":"Vanwallendael","given":"Acer","non-dropping-particle":"","parse-names":false,"suffix":""},{"dropping-particle":"","family":"Soltani","given":"Ali","non-dropping-particle":"","parse-names":false,"suffix":""},{"dropping-particle":"","family":"Emery","given":"Nathan C.","non-dropping-particle":"","parse-names":false,"suffix":""},{"dropping-particle":"","family":"Peixoto","given":"Murilo M.","non-dropping-particle":"","parse-names":false,"suffix":""},{"dropping-particle":"","family":"Olsen","given":"Jason","non-dropping-particle":"","parse-names":false,"suffix":""},{"dropping-particle":"","family":"Lowry","given":"David B.","non-dropping-particle":"","parse-names":false,"suffix":""}],"container-title":"Annual Review of Plant Biology","id":"ITEM-1","issued":{"date-parts":[["2019"]]},"page":"559-583","title":"A Molecular View of Plant Local Adaptation: Incorporating Stress-Response Networks","type":"article-journal","volume":"70"},"uris":["http://www.mendeley.com/documents/?uuid=7e8ce3ca-cf44-4540-9c83-c8e3712ba491"]}],"mendeley":{"formattedCitation":"(Vanwallendael et al., 2019)","plainTextFormattedCitation":"(Vanwallendael et al., 2019)","previouslyFormattedCitation":"(Vanwallendael et al., 2019)"},"properties":{"noteIndex":0},"schema":"https://github.com/citation-style-language/schema/raw/master/csl-citation.json"}</w:instrText>
      </w:r>
      <w:r w:rsidR="002F7EF2">
        <w:rPr>
          <w:noProof/>
          <w:sz w:val="24"/>
          <w:szCs w:val="24"/>
        </w:rPr>
        <w:fldChar w:fldCharType="separate"/>
      </w:r>
      <w:r w:rsidR="002F7EF2" w:rsidRPr="002F7EF2">
        <w:rPr>
          <w:noProof/>
          <w:sz w:val="24"/>
          <w:szCs w:val="24"/>
        </w:rPr>
        <w:t>(Vanwallendael et al., 2019)</w:t>
      </w:r>
      <w:r w:rsidR="002F7EF2">
        <w:rPr>
          <w:noProof/>
          <w:sz w:val="24"/>
          <w:szCs w:val="24"/>
        </w:rPr>
        <w:fldChar w:fldCharType="end"/>
      </w:r>
      <w:r w:rsidR="00A5014C" w:rsidRPr="00EF0231">
        <w:rPr>
          <w:noProof/>
          <w:sz w:val="24"/>
          <w:szCs w:val="24"/>
        </w:rPr>
        <w:t xml:space="preserve">. Epigenetic modifications of DNA sequences that alter gene expression and influence phenotypes in plants. The tree species have a more rapid response to environmental changes. DNA methylation has a pivotal role in it </w:t>
      </w:r>
      <w:r w:rsidR="002F7EF2">
        <w:rPr>
          <w:noProof/>
          <w:sz w:val="24"/>
          <w:szCs w:val="24"/>
        </w:rPr>
        <w:fldChar w:fldCharType="begin" w:fldLock="1"/>
      </w:r>
      <w:r w:rsidR="002F7EF2">
        <w:rPr>
          <w:noProof/>
          <w:sz w:val="24"/>
          <w:szCs w:val="24"/>
        </w:rPr>
        <w:instrText>ADDIN CSL_CITATION {"citationItems":[{"id":"ITEM-1","itemData":{"DOI":"10.1093/jhered/esx091","ISSN":"0022-1503","abstract":"Local adaptation arises as a result of selection by the local environment favoring phenotypes that enhance fitness. Geographic patterns of phenotypic variation are in part due to this selective process. Classically, the genetic basis of those phenotypes has been studied in plant populations using a quantitative genetic approach in which plants from different source populations are grown in common environments, in reciprocal transplant experiments, or in studies across a wide geographic and environmentally heterogeneous area. Limitations of these approaches to understanding the genetic basis of phenotypic variation can now be addressed with next generation sequencing, gene expression profiles, and epigenetic analysis. In this paper, I summarize contemporary genomic research on local adaptation by comparing findings from the Arabidopsis annual plant model system with long-lived tree species in four kinds of local adaptation studies: 1) genomic studies of transplant experiments; 2) landscape genomic studies; 3) gene expression studies; 4) epigenetic studies of local adaptation. Although the basic study designs of common garden, reciprocal transplants, and geographic variation have remained constant, the inclusion of contemporary genomic approaches has provided substantive advances in our understanding of the genetic underpinnings of local adaptation, including the impact of climate, the identification of candidate genes involved in genotype-by-environment interactions, and evidence for the potential role of epigenetic modification. Despite these advances, new questions are arising and key areas for future research include more exploration of gene networks in response to biotic and abiotic stressors and improved statistical tools for traits with polygenic inheritance.","author":[{"dropping-particle":"","family":"Sork","given":"Victoria L","non-dropping-particle":"","parse-names":false,"suffix":""}],"container-title":"Journal of Heredity","id":"ITEM-1","issue":"1","issued":{"date-parts":[["2018","1","1"]]},"page":"3-15","title":"Genomic Studies of Local Adaptation in Natural Plant Populations","type":"article-journal","volume":"109"},"uris":["http://www.mendeley.com/documents/?uuid=b5ebf8aa-d23e-490c-85ac-36371184340e"]}],"mendeley":{"formattedCitation":"(Sork, 2018)","plainTextFormattedCitation":"(Sork, 2018)","previouslyFormattedCitation":"(Sork, 2018)"},"properties":{"noteIndex":0},"schema":"https://github.com/citation-style-language/schema/raw/master/csl-citation.json"}</w:instrText>
      </w:r>
      <w:r w:rsidR="002F7EF2">
        <w:rPr>
          <w:noProof/>
          <w:sz w:val="24"/>
          <w:szCs w:val="24"/>
        </w:rPr>
        <w:fldChar w:fldCharType="separate"/>
      </w:r>
      <w:r w:rsidR="002F7EF2" w:rsidRPr="002F7EF2">
        <w:rPr>
          <w:noProof/>
          <w:sz w:val="24"/>
          <w:szCs w:val="24"/>
        </w:rPr>
        <w:t>(Sork, 2018)</w:t>
      </w:r>
      <w:r w:rsidR="002F7EF2">
        <w:rPr>
          <w:noProof/>
          <w:sz w:val="24"/>
          <w:szCs w:val="24"/>
        </w:rPr>
        <w:fldChar w:fldCharType="end"/>
      </w:r>
      <w:r w:rsidR="00A5014C" w:rsidRPr="00EF0231">
        <w:rPr>
          <w:noProof/>
          <w:sz w:val="24"/>
          <w:szCs w:val="24"/>
        </w:rPr>
        <w:t>.</w:t>
      </w:r>
    </w:p>
    <w:p w14:paraId="79870704"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A study of exotic crucifers in regions of Hyderabad and Coimbatore in India shows the adaptability of different cultivars. Cabbage and cauliflower were extensively explored, but numerous exotic varieties are uncommercialized. The experiment concluded that yield, quality, and growth rate were similar under protected cultivation and open field. These state that many exotic crops can be adapted to different regions with a controlled environment in a polyhouse to ensure their adaptability. The findings relevant to securing the productivity and resilience of exotic vegetables. These help the farmer to adapt the exotic crops and protect them from fluctuating climatic conditions </w:t>
      </w:r>
      <w:r w:rsidR="002F7EF2">
        <w:rPr>
          <w:noProof/>
          <w:sz w:val="24"/>
          <w:szCs w:val="24"/>
        </w:rPr>
        <w:fldChar w:fldCharType="begin" w:fldLock="1"/>
      </w:r>
      <w:r w:rsidR="002F7EF2">
        <w:rPr>
          <w:noProof/>
          <w:sz w:val="24"/>
          <w:szCs w:val="24"/>
        </w:rPr>
        <w:instrText>ADDIN CSL_CITATION {"citationItems":[{"id":"ITEM-1","itemData":{"DOI":"10.14719/pst.5467","abstract":"&amp;lt;p&amp;gt;The Brassicaceae (Cruciferae) family comprises many cultivated plants; however, only cabbage and cauliflower are extensively cultivated in India. Numerous crops from this family remain exotic and uncommercialized within the country despite their successful cultivation in other regions. This study evaluates the adaptability of four exotic cole crops; red cabbage, broccoli, Chinese cabbage, and pakchoi grown under polyhouse and open-field conditions in Telangana (Hyderabad) and Tamil Nadu (Coimbatore) to assess their performance across diverse environmental conditions. The results indicated that head initiation occurred earlier in Hyderabad’s open fields, whereas in Coimbatore, all crops except Chinese cabbage were initiated earlier in polyhouses. In Hyderabad, red cabbage reached head maturity sooner under protected conditions, while the other crops matured faster in open fields. In&amp;lt;br /&amp;gt;Coimbatore, red cabbage and broccoli matured faster in polyhouses, while the remaining crops were harvested earlier in open fields. In Hyderabad, broccoli and Chinese cabbage demonstrated superior head attributes in polyhouses, whereas the other crops performed better in open fields. In Coimbatore, all crops showed improved head attributes under polyhouse conditions. In terms of yield, in Hyderabad, red cabbage yielded 7.90 Kg and Chinese cabbage 5.15 Kg, performing better in open fields, while broccoli and Pakchoi yielded more in polyhouses. In Coimbatore, red cabbage yielded 7.75 Kg, broccoli 6.20 Kg, Chinese cabbage 6.30 Kg, and pakchoi 7.25 Kg, all favoring polyhouse cultivation. This study highlights the potential to increase the commercial viability of exotic crops and enhance food diversity and sustainability in Indian agriculture.&amp;lt;/p&amp;gt;","author":[{"dropping-particle":"","family":"Lohitha","given":"P","non-dropping-particle":"","parse-names":false,"suffix":""},{"dropping-particle":"","family":"Savitha","given":"B K","non-dropping-particle":"","parse-names":false,"suffix":""},{"dropping-particle":"","family":"Indu Rani","given":"C","non-dropping-particle":"","parse-names":false,"suffix":""},{"dropping-particle":"","family":"Vanitha","given":"K","non-dropping-particle":"","parse-names":false,"suffix":""},{"dropping-particle":"","family":"Iyanar","given":"K","non-dropping-particle":"","parse-names":false,"suffix":""},{"dropping-particle":"","family":"Ashok Kumar","given":"G","non-dropping-particle":"","parse-names":false,"suffix":""}],"container-title":"Plant Science Today","id":"ITEM-1","issue":"sp4 SE  - Research Articles","issued":{"date-parts":[["2025","4","20"]]},"title":"Adaptability of exotic crucifers in Indian agro-environments: A comparative study in Hyderabad and Coimbatore","type":"article-journal","volume":"11"},"uris":["http://www.mendeley.com/documents/?uuid=092e0b72-c456-49c3-b63f-3a69feb4c8ee"]}],"mendeley":{"formattedCitation":"(Lohitha et al., 2025)","plainTextFormattedCitation":"(Lohitha et al., 2025)","previouslyFormattedCitation":"(Lohitha et al., 2025)"},"properties":{"noteIndex":0},"schema":"https://github.com/citation-style-language/schema/raw/master/csl-citation.json"}</w:instrText>
      </w:r>
      <w:r w:rsidR="002F7EF2">
        <w:rPr>
          <w:noProof/>
          <w:sz w:val="24"/>
          <w:szCs w:val="24"/>
        </w:rPr>
        <w:fldChar w:fldCharType="separate"/>
      </w:r>
      <w:r w:rsidR="002F7EF2" w:rsidRPr="002F7EF2">
        <w:rPr>
          <w:noProof/>
          <w:sz w:val="24"/>
          <w:szCs w:val="24"/>
        </w:rPr>
        <w:t>(Lohitha et al., 2025)</w:t>
      </w:r>
      <w:r w:rsidR="002F7EF2">
        <w:rPr>
          <w:noProof/>
          <w:sz w:val="24"/>
          <w:szCs w:val="24"/>
        </w:rPr>
        <w:fldChar w:fldCharType="end"/>
      </w:r>
      <w:r w:rsidRPr="00EF0231">
        <w:rPr>
          <w:noProof/>
          <w:sz w:val="24"/>
          <w:szCs w:val="24"/>
        </w:rPr>
        <w:t>.</w:t>
      </w:r>
    </w:p>
    <w:p w14:paraId="4C251D9D" w14:textId="77777777" w:rsidR="00EF0231" w:rsidRPr="00EF0231" w:rsidRDefault="00A5014C" w:rsidP="00E07221">
      <w:pPr>
        <w:shd w:val="clear" w:color="auto" w:fill="FFFFFF" w:themeFill="background1"/>
        <w:spacing w:line="360" w:lineRule="auto"/>
        <w:jc w:val="both"/>
        <w:rPr>
          <w:b/>
          <w:bCs/>
          <w:noProof/>
          <w:sz w:val="24"/>
          <w:szCs w:val="24"/>
        </w:rPr>
      </w:pPr>
      <w:r w:rsidRPr="00EF0231">
        <w:rPr>
          <w:b/>
          <w:bCs/>
          <w:noProof/>
          <w:sz w:val="24"/>
          <w:szCs w:val="24"/>
        </w:rPr>
        <w:t>How can farmers easily lead this adaptation in their farming systems?</w:t>
      </w:r>
    </w:p>
    <w:p w14:paraId="46EDDEEF"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Progressive farmers use integrated farming adaptation methods to cultivate exotic crops commercially, based on different environmental factors. They usually go for the bred crop varieties to enhance tolerance to drought, pests, and diseases. Farmers of the region, like Yatta sub-country, shifted toward exotic crops, which include maize, beans, kales, and tomatoes, while also using drought and disease-resistant cultivars of pigeon pea that are resilient to episodic moisture stress and pest infestation </w:t>
      </w:r>
      <w:r w:rsidR="002F7EF2">
        <w:rPr>
          <w:noProof/>
          <w:sz w:val="24"/>
          <w:szCs w:val="24"/>
        </w:rPr>
        <w:fldChar w:fldCharType="begin" w:fldLock="1"/>
      </w:r>
      <w:r w:rsidR="002F7EF2">
        <w:rPr>
          <w:noProof/>
          <w:sz w:val="24"/>
          <w:szCs w:val="24"/>
        </w:rPr>
        <w:instrText>ADDIN CSL_CITATION {"citationItems":[{"id":"ITEM-1","itemData":{"DOI":"10.18697/AJFAND.84.BLFB1017","ISSN":"16845374","abstract":"In Yatta sub-County, a semi-arid land, there is scanty information on the causes and effects of climate change, as well as agricultural adaptation strategies. This scanty information assessment of climate related risks, and decision making about appropriate adaptation measures. A survey was conducted in two wards of Yatta, Kenya, to identify opportunities for building farmer capacity in dealing with climate variability. A semistructured questionnaire was administered to 60 households randomly distributed in the two wards and data was analyzed using Statistical Package for Social Scientists (SPSS). Results showed that farmers in the region were aware of climate change (98%) with the known indicators reported to be erratic and low rainfall (50%), drought (33%), and rising temperatures (14%). Farmers mentioned deforestation (73%) as the main cause of climate change, and reported major impacts on crop production in the region, such as the introduction of drought tolerant crops (45%) reduced yields (43%) and changes in planting time (38%). As a result, farmers prepared the land early using organic and inorganic fertilizers, planted early-maturing crop varieties and carried out water and soil conservation practices. Even though farmers in Yatta sub-county are aware of climate change its impacts and different coping and adaptation strategies, crop production in the region continues to decline. There is need, therefore, to increase farmer's capacity to better adapt to the effects of climate change to ensure sustainable agricultural production and improved food security.","author":[{"dropping-particle":"","family":"Agesa","given":"Beverly L.","non-dropping-particle":"","parse-names":false,"suffix":""},{"dropping-particle":"","family":"Onyango","given":"C. M.","non-dropping-particle":"","parse-names":false,"suffix":""},{"dropping-particle":"","family":"Kathumo","given":"V. M.","non-dropping-particle":"","parse-names":false,"suffix":""},{"dropping-particle":"","family":"Onwonga","given":"R. N.","non-dropping-particle":"","parse-names":false,"suffix":""},{"dropping-particle":"","family":"Karuku","given":"G. N.","non-dropping-particle":"","parse-names":false,"suffix":""}],"container-title":"African Journal of Food, Agriculture, Nutrition and Development","id":"ITEM-1","issue":"1","issued":{"date-parts":[["2019"]]},"page":"14010-14042","title":"Climate change effects on crop production in Yatta sub-County: Farmer perceptions and adaptation strategies","type":"article-journal","volume":"19"},"uris":["http://www.mendeley.com/documents/?uuid=9b7f5f28-f740-4acc-b810-6b820cd8550b"]}],"mendeley":{"formattedCitation":"(Agesa et al., 2019)","plainTextFormattedCitation":"(Agesa et al., 2019)","previouslyFormattedCitation":"(Agesa et al., 2019)"},"properties":{"noteIndex":0},"schema":"https://github.com/citation-style-language/schema/raw/master/csl-citation.json"}</w:instrText>
      </w:r>
      <w:r w:rsidR="002F7EF2">
        <w:rPr>
          <w:noProof/>
          <w:sz w:val="24"/>
          <w:szCs w:val="24"/>
        </w:rPr>
        <w:fldChar w:fldCharType="separate"/>
      </w:r>
      <w:r w:rsidR="002F7EF2" w:rsidRPr="002F7EF2">
        <w:rPr>
          <w:noProof/>
          <w:sz w:val="24"/>
          <w:szCs w:val="24"/>
        </w:rPr>
        <w:t>(Agesa et al., 2019)</w:t>
      </w:r>
      <w:r w:rsidR="002F7EF2">
        <w:rPr>
          <w:noProof/>
          <w:sz w:val="24"/>
          <w:szCs w:val="24"/>
        </w:rPr>
        <w:fldChar w:fldCharType="end"/>
      </w:r>
      <w:r w:rsidRPr="00EF0231">
        <w:rPr>
          <w:noProof/>
          <w:sz w:val="24"/>
          <w:szCs w:val="24"/>
        </w:rPr>
        <w:t>.</w:t>
      </w:r>
    </w:p>
    <w:p w14:paraId="2E8E5AEE"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Adaptation through the use of molecular markers and genetic transformation to develop ideotypes with resistance to biotic and abiotic stress is making breeding efforts more effective. Adaptation is the result of combining genetic, agronomic and ecological principles appropriate to selected production, environmental and economic considerations </w:t>
      </w:r>
      <w:r w:rsidR="002F7EF2">
        <w:rPr>
          <w:noProof/>
          <w:sz w:val="24"/>
          <w:szCs w:val="24"/>
        </w:rPr>
        <w:fldChar w:fldCharType="begin" w:fldLock="1"/>
      </w:r>
      <w:r w:rsidR="002F7EF2">
        <w:rPr>
          <w:noProof/>
          <w:sz w:val="24"/>
          <w:szCs w:val="24"/>
        </w:rPr>
        <w:instrText>ADDIN CSL_CITATION {"citationItems":[{"id":"ITEM-1","itemData":{"DOI":"10.1080/07352689.2014.898469","ISSN":"0735-2689","author":[{"dropping-particle":"","family":"Duc","given":"Gérard","non-dropping-particle":"","parse-names":false,"suffix":""},{"dropping-particle":"","family":"Agrama","given":"Hesham","non-dropping-particle":"","parse-names":false,"suffix":""},{"dropping-particle":"","family":"Bao","given":"Shiying","non-dropping-particle":"","parse-names":false,"suffix":""},{"dropping-particle":"","family":"Berger","given":"Jens","non-dropping-particle":"","parse-names":false,"suffix":""},{"dropping-particle":"","family":"Bourion","given":"Virginie","non-dropping-particle":"","parse-names":false,"suffix":""},{"dropping-particle":"","family":"Ron","given":"Antonio M","non-dropping-particle":"De","parse-names":false,"suffix":""},{"dropping-particle":"","family":"Gowda","given":"Cholenahalli L L","non-dropping-particle":"","parse-names":false,"suffix":""},{"dropping-particle":"","family":"Mikic","given":"Aleksandar","non-dropping-particle":"","parse-names":false,"suffix":""},{"dropping-particle":"","family":"Millot","given":"Dominique","non-dropping-particle":"","parse-names":false,"suffix":""},{"dropping-particle":"","family":"Singh","given":"Karam B","non-dropping-particle":"","parse-names":false,"suffix":""},{"dropping-particle":"","family":"Tullu","given":"Abebe","non-dropping-particle":"","parse-names":false,"suffix":""},{"dropping-particle":"","family":"Vandenberg","given":"Albert","non-dropping-particle":"","parse-names":false,"suffix":""},{"dropping-particle":"","family":"Vaz Patto","given":"Maria C","non-dropping-particle":"","parse-names":false,"suffix":""},{"dropping-particle":"","family":"Warkentin","given":"Thomas D","non-dropping-particle":"","parse-names":false,"suffix":""},{"dropping-particle":"","family":"Zong","given":"Xuxiao","non-dropping-particle":"","parse-names":false,"suffix":""}],"container-title":"Critical Reviews in Plant Sciences","id":"ITEM-1","issue":"1-3","issued":{"date-parts":[["2015","6","1"]]},"note":"doi: 10.1080/07352689.2014.898469","page":"381-411","publisher":"Taylor &amp; Francis","title":"Breeding Annual Grain Legumes for Sustainable Agriculture: New Methods to Approach Complex Traits and Target New Cultivar Ideotypes","type":"article-journal","volume":"34"},"uris":["http://www.mendeley.com/documents/?uuid=4a335f0d-d1be-4a4f-b2ac-a8541c174a34"]}],"mendeley":{"formattedCitation":"(Duc et al., 2015)","plainTextFormattedCitation":"(Duc et al., 2015)","previouslyFormattedCitation":"(Duc et al., 2015)"},"properties":{"noteIndex":0},"schema":"https://github.com/citation-style-language/schema/raw/master/csl-citation.json"}</w:instrText>
      </w:r>
      <w:r w:rsidR="002F7EF2">
        <w:rPr>
          <w:noProof/>
          <w:sz w:val="24"/>
          <w:szCs w:val="24"/>
        </w:rPr>
        <w:fldChar w:fldCharType="separate"/>
      </w:r>
      <w:r w:rsidR="002F7EF2" w:rsidRPr="002F7EF2">
        <w:rPr>
          <w:noProof/>
          <w:sz w:val="24"/>
          <w:szCs w:val="24"/>
        </w:rPr>
        <w:t>(Duc et al., 2015)</w:t>
      </w:r>
      <w:r w:rsidR="002F7EF2">
        <w:rPr>
          <w:noProof/>
          <w:sz w:val="24"/>
          <w:szCs w:val="24"/>
        </w:rPr>
        <w:fldChar w:fldCharType="end"/>
      </w:r>
      <w:r w:rsidRPr="00EF0231">
        <w:rPr>
          <w:noProof/>
          <w:sz w:val="24"/>
          <w:szCs w:val="24"/>
        </w:rPr>
        <w:t xml:space="preserve">. Farmers jointly used agronomic practices with plant breeding to adapt exotic crops to variable climatic conditions. They use water and soil conservation methods to prevent or manage erratic rainfall and prolonged dry spells by methods of rainwater harvesting and different bundings like ridge and furrow. Adopting improved cropping systems, such as intercropping, </w:t>
      </w:r>
      <w:r w:rsidRPr="00EF0231">
        <w:rPr>
          <w:noProof/>
          <w:sz w:val="24"/>
          <w:szCs w:val="24"/>
        </w:rPr>
        <w:lastRenderedPageBreak/>
        <w:t xml:space="preserve">crop rotation, and changing planting times, enhances the productivity and management of exotic crops </w:t>
      </w:r>
      <w:r w:rsidR="002F7EF2">
        <w:rPr>
          <w:noProof/>
          <w:sz w:val="24"/>
          <w:szCs w:val="24"/>
        </w:rPr>
        <w:fldChar w:fldCharType="begin" w:fldLock="1"/>
      </w:r>
      <w:r w:rsidR="002F7EF2">
        <w:rPr>
          <w:noProof/>
          <w:sz w:val="24"/>
          <w:szCs w:val="24"/>
        </w:rPr>
        <w:instrText>ADDIN CSL_CITATION {"citationItems":[{"id":"ITEM-1","itemData":{"DOI":"10.18697/AJFAND.84.BLFB1017","ISSN":"16845374","abstract":"In Yatta sub-County, a semi-arid land, there is scanty information on the causes and effects of climate change, as well as agricultural adaptation strategies. This scanty information assessment of climate related risks, and decision making about appropriate adaptation measures. A survey was conducted in two wards of Yatta, Kenya, to identify opportunities for building farmer capacity in dealing with climate variability. A semistructured questionnaire was administered to 60 households randomly distributed in the two wards and data was analyzed using Statistical Package for Social Scientists (SPSS). Results showed that farmers in the region were aware of climate change (98%) with the known indicators reported to be erratic and low rainfall (50%), drought (33%), and rising temperatures (14%). Farmers mentioned deforestation (73%) as the main cause of climate change, and reported major impacts on crop production in the region, such as the introduction of drought tolerant crops (45%) reduced yields (43%) and changes in planting time (38%). As a result, farmers prepared the land early using organic and inorganic fertilizers, planted early-maturing crop varieties and carried out water and soil conservation practices. Even though farmers in Yatta sub-county are aware of climate change its impacts and different coping and adaptation strategies, crop production in the region continues to decline. There is need, therefore, to increase farmer's capacity to better adapt to the effects of climate change to ensure sustainable agricultural production and improved food security.","author":[{"dropping-particle":"","family":"Agesa","given":"Beverly L.","non-dropping-particle":"","parse-names":false,"suffix":""},{"dropping-particle":"","family":"Onyango","given":"C. M.","non-dropping-particle":"","parse-names":false,"suffix":""},{"dropping-particle":"","family":"Kathumo","given":"V. M.","non-dropping-particle":"","parse-names":false,"suffix":""},{"dropping-particle":"","family":"Onwonga","given":"R. N.","non-dropping-particle":"","parse-names":false,"suffix":""},{"dropping-particle":"","family":"Karuku","given":"G. N.","non-dropping-particle":"","parse-names":false,"suffix":""}],"container-title":"African Journal of Food, Agriculture, Nutrition and Development","id":"ITEM-1","issue":"1","issued":{"date-parts":[["2019"]]},"page":"14010-14042","title":"Climate change effects on crop production in Yatta sub-County: Farmer perceptions and adaptation strategies","type":"article-journal","volume":"19"},"uris":["http://www.mendeley.com/documents/?uuid=9b7f5f28-f740-4acc-b810-6b820cd8550b"]}],"mendeley":{"formattedCitation":"(Agesa et al., 2019)","plainTextFormattedCitation":"(Agesa et al., 2019)","previouslyFormattedCitation":"(Agesa et al., 2019)"},"properties":{"noteIndex":0},"schema":"https://github.com/citation-style-language/schema/raw/master/csl-citation.json"}</w:instrText>
      </w:r>
      <w:r w:rsidR="002F7EF2">
        <w:rPr>
          <w:noProof/>
          <w:sz w:val="24"/>
          <w:szCs w:val="24"/>
        </w:rPr>
        <w:fldChar w:fldCharType="separate"/>
      </w:r>
      <w:r w:rsidR="002F7EF2" w:rsidRPr="002F7EF2">
        <w:rPr>
          <w:noProof/>
          <w:sz w:val="24"/>
          <w:szCs w:val="24"/>
        </w:rPr>
        <w:t>(Agesa et al., 2019)</w:t>
      </w:r>
      <w:r w:rsidR="002F7EF2">
        <w:rPr>
          <w:noProof/>
          <w:sz w:val="24"/>
          <w:szCs w:val="24"/>
        </w:rPr>
        <w:fldChar w:fldCharType="end"/>
      </w:r>
      <w:r w:rsidRPr="00EF0231">
        <w:rPr>
          <w:noProof/>
          <w:sz w:val="24"/>
          <w:szCs w:val="24"/>
        </w:rPr>
        <w:t>.</w:t>
      </w:r>
    </w:p>
    <w:p w14:paraId="264329B7"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 xml:space="preserve">Helping farmers find more innovative ways to adapt to the weather by combining modern tools with traditional knowledge. Decision-making systems, weather forecasting, and signs from animal behaviour and plant cycles work together. Support from organizations is just as important. Local farming groups and seed banks—often working with researchers, NGOs, and businesses—give farmers access to better seeds, hands-on training, and even loans. This Support makes it easier for farmers to try new techniques and keep their farms productive despite challenges </w:t>
      </w:r>
      <w:r w:rsidR="002F7EF2">
        <w:rPr>
          <w:noProof/>
          <w:sz w:val="24"/>
          <w:szCs w:val="24"/>
        </w:rPr>
        <w:fldChar w:fldCharType="begin" w:fldLock="1"/>
      </w:r>
      <w:r w:rsidR="002F7EF2">
        <w:rPr>
          <w:noProof/>
          <w:sz w:val="24"/>
          <w:szCs w:val="24"/>
        </w:rPr>
        <w:instrText>ADDIN CSL_CITATION {"citationItems":[{"id":"ITEM-1","itemData":{"ISSN":"2571-581X","abstract":"On-farm diversification is a promising strategy for farmers to adapt to climate change. However, few recommendations exist on how to diversify farm systems in ways that best fit the agroecological and socioeconomic challenges farmers face. Farmers’ ability to adopt diversification strategies is often stymied by their aversion to risk, loss of local knowledge, and limited access to agronomic and market information, this is especially the case for smallholders. We outline seven steps on how practitioners and researchers in agricultural development can work with farmers in decision-making on on-farm diversification of cropping, pasture, and agroforestry systems while taking into account these constraints. These seven steps are relevant for all types of farmers but particularly for smallholders in tropical and subtropical regions. It is these farmers who are usually most vulnerable to climate change and who are, subsequently, often the target of climate-smart agriculture (CSA) interventions. Networks of agricultural innovation provide an enabling environment for on-farm diversification. These networks connect farmers and farmer organizations with local, national, or international private companies, public organizations, non-governmental organizations (NGOs), and research institutes. These stakeholders can work with farmers to develop diversified production systems incorporating both high-value crops and traditional food production systems. These diversified farm systems with both food and cash crops act as a safety net in the event of price fluctuations or other disruptions to crop value chains. In this way, farmers can adapt their farm systems to climate change in ways that provide greater food security and improved income.","author":[{"dropping-particle":"","family":"Zonneveld","given":"Maarten","non-dropping-particle":"van","parse-names":false,"suffix":""},{"dropping-particle":"","family":"Turmel","given":"Marie-Soleil","non-dropping-particle":"","parse-names":false,"suffix":""},{"dropping-particle":"","family":"Hellin","given":"Jon","non-dropping-particle":"","parse-names":false,"suffix":""}],"container-title":"Frontiers in Sustainable Food Systems","id":"ITEM-1","issued":{"date-parts":[["2020"]]},"title":"Decision-Making to Diversify Farm Systems for Climate Change Adaptation","type":"article-journal","volume":"Volume 4 - 2020"},"uris":["http://www.mendeley.com/documents/?uuid=278ad687-68cb-4edb-aa4f-876ed3decead"]}],"mendeley":{"formattedCitation":"(van Zonneveld et al., 2020)","plainTextFormattedCitation":"(van Zonneveld et al., 2020)","previouslyFormattedCitation":"(van Zonneveld et al., 2020)"},"properties":{"noteIndex":0},"schema":"https://github.com/citation-style-language/schema/raw/master/csl-citation.json"}</w:instrText>
      </w:r>
      <w:r w:rsidR="002F7EF2">
        <w:rPr>
          <w:noProof/>
          <w:sz w:val="24"/>
          <w:szCs w:val="24"/>
        </w:rPr>
        <w:fldChar w:fldCharType="separate"/>
      </w:r>
      <w:r w:rsidR="002F7EF2" w:rsidRPr="002F7EF2">
        <w:rPr>
          <w:noProof/>
          <w:sz w:val="24"/>
          <w:szCs w:val="24"/>
        </w:rPr>
        <w:t>(van Zonneveld et al., 2020)</w:t>
      </w:r>
      <w:r w:rsidR="002F7EF2">
        <w:rPr>
          <w:noProof/>
          <w:sz w:val="24"/>
          <w:szCs w:val="24"/>
        </w:rPr>
        <w:fldChar w:fldCharType="end"/>
      </w:r>
      <w:r w:rsidRPr="00EF0231">
        <w:rPr>
          <w:noProof/>
          <w:sz w:val="24"/>
          <w:szCs w:val="24"/>
        </w:rPr>
        <w:t>.</w:t>
      </w:r>
    </w:p>
    <w:p w14:paraId="79A40F5E" w14:textId="77777777" w:rsidR="00EF0231" w:rsidRPr="00EF0231" w:rsidRDefault="00A5014C" w:rsidP="00E07221">
      <w:pPr>
        <w:shd w:val="clear" w:color="auto" w:fill="FFFFFF" w:themeFill="background1"/>
        <w:spacing w:line="360" w:lineRule="auto"/>
        <w:jc w:val="both"/>
        <w:rPr>
          <w:noProof/>
          <w:sz w:val="24"/>
          <w:szCs w:val="24"/>
        </w:rPr>
      </w:pPr>
      <w:r w:rsidRPr="00EF0231">
        <w:rPr>
          <w:noProof/>
          <w:sz w:val="24"/>
          <w:szCs w:val="24"/>
        </w:rPr>
        <w:t>Overall, Support from different organizations plays a significant role, too. Local farming groups and community seed banks—often teaming up with researchers, NGOs, and businesses—help farmers get better seeds, practical training, and even small loans. This kind of help makes it easier for farmers to try out new ideas, improve their methods, and keep their farms running well, even when conditions are harsh. It's a simple but powerful way to build stronger, more resilient farming communities.</w:t>
      </w:r>
    </w:p>
    <w:p w14:paraId="25EE8AB4" w14:textId="77777777" w:rsidR="00EF0231" w:rsidRDefault="00EF0231" w:rsidP="00E07221">
      <w:pPr>
        <w:shd w:val="clear" w:color="auto" w:fill="FFFFFF" w:themeFill="background1"/>
        <w:spacing w:line="360" w:lineRule="auto"/>
        <w:jc w:val="both"/>
        <w:rPr>
          <w:noProof/>
          <w:sz w:val="24"/>
          <w:szCs w:val="24"/>
        </w:rPr>
      </w:pPr>
    </w:p>
    <w:p w14:paraId="4B4BD11D" w14:textId="1CAD5FF9" w:rsidR="00265B10" w:rsidRDefault="001A352D" w:rsidP="00E07221">
      <w:pPr>
        <w:shd w:val="clear" w:color="auto" w:fill="FFFFFF" w:themeFill="background1"/>
        <w:spacing w:line="360" w:lineRule="auto"/>
        <w:ind w:left="360"/>
        <w:jc w:val="both"/>
        <w:rPr>
          <w:noProof/>
          <w:sz w:val="24"/>
          <w:szCs w:val="24"/>
        </w:rPr>
      </w:pPr>
      <w:r>
        <w:rPr>
          <w:noProof/>
          <w:sz w:val="24"/>
          <w:szCs w:val="24"/>
        </w:rPr>
        <w:t xml:space="preserve">CHART 1. </w:t>
      </w:r>
      <w:r w:rsidR="00A5014C">
        <w:rPr>
          <w:noProof/>
          <w:sz w:val="24"/>
          <w:szCs w:val="24"/>
        </w:rPr>
        <w:t>FLOW CHART OF</w:t>
      </w:r>
      <w:r w:rsidR="00FB1848">
        <w:rPr>
          <w:noProof/>
          <w:sz w:val="24"/>
          <w:szCs w:val="24"/>
        </w:rPr>
        <w:t xml:space="preserve"> NEW</w:t>
      </w:r>
      <w:r w:rsidR="00A5014C">
        <w:rPr>
          <w:noProof/>
          <w:sz w:val="24"/>
          <w:szCs w:val="24"/>
        </w:rPr>
        <w:t xml:space="preserve"> EXOTIC CROP ADAPTATION PROCESS:</w:t>
      </w:r>
    </w:p>
    <w:p w14:paraId="36A22871" w14:textId="77777777" w:rsidR="000329A7" w:rsidRDefault="000329A7" w:rsidP="00E07221">
      <w:pPr>
        <w:shd w:val="clear" w:color="auto" w:fill="FFFFFF" w:themeFill="background1"/>
        <w:spacing w:line="360" w:lineRule="auto"/>
        <w:ind w:left="360"/>
        <w:jc w:val="both"/>
        <w:rPr>
          <w:noProof/>
          <w:sz w:val="24"/>
          <w:szCs w:val="24"/>
        </w:rPr>
      </w:pPr>
    </w:p>
    <w:p w14:paraId="05F647E7" w14:textId="77777777" w:rsidR="00DE674B" w:rsidRDefault="00DE674B" w:rsidP="00E07221">
      <w:pPr>
        <w:shd w:val="clear" w:color="auto" w:fill="FFFFFF" w:themeFill="background1"/>
        <w:spacing w:line="360" w:lineRule="auto"/>
        <w:ind w:left="360"/>
        <w:jc w:val="both"/>
        <w:rPr>
          <w:noProof/>
          <w:sz w:val="24"/>
          <w:szCs w:val="24"/>
        </w:rPr>
      </w:pPr>
    </w:p>
    <w:p w14:paraId="54311C05" w14:textId="77777777" w:rsidR="00C15951" w:rsidRDefault="00A5014C" w:rsidP="00E07221">
      <w:pPr>
        <w:shd w:val="clear" w:color="auto" w:fill="FFFFFF" w:themeFill="background1"/>
        <w:spacing w:line="360" w:lineRule="auto"/>
        <w:ind w:left="360"/>
        <w:jc w:val="both"/>
        <w:rPr>
          <w:noProof/>
          <w:sz w:val="24"/>
          <w:szCs w:val="24"/>
        </w:rPr>
      </w:pPr>
      <w:r>
        <w:rPr>
          <w:noProof/>
          <w:sz w:val="24"/>
          <w:szCs w:val="24"/>
        </w:rPr>
        <w:lastRenderedPageBreak/>
        <w:drawing>
          <wp:inline distT="0" distB="0" distL="0" distR="0" wp14:anchorId="3A88323C" wp14:editId="15FC0323">
            <wp:extent cx="4925028" cy="3852617"/>
            <wp:effectExtent l="0" t="38100" r="28575" b="52705"/>
            <wp:docPr id="20563848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B0CC102" w14:textId="77777777" w:rsidR="00FC42FD" w:rsidRDefault="00FC42FD" w:rsidP="00E07221">
      <w:pPr>
        <w:shd w:val="clear" w:color="auto" w:fill="FFFFFF" w:themeFill="background1"/>
        <w:spacing w:line="360" w:lineRule="auto"/>
        <w:jc w:val="both"/>
        <w:rPr>
          <w:noProof/>
          <w:sz w:val="24"/>
          <w:szCs w:val="24"/>
        </w:rPr>
      </w:pPr>
    </w:p>
    <w:p w14:paraId="335557B9"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 xml:space="preserve">5 </w:t>
      </w:r>
      <w:r w:rsidRPr="00490213">
        <w:rPr>
          <w:b/>
          <w:bCs/>
          <w:noProof/>
          <w:sz w:val="24"/>
          <w:szCs w:val="24"/>
        </w:rPr>
        <w:t>Challenges</w:t>
      </w:r>
      <w:r w:rsidR="004E5926">
        <w:rPr>
          <w:b/>
          <w:bCs/>
          <w:noProof/>
          <w:sz w:val="24"/>
          <w:szCs w:val="24"/>
        </w:rPr>
        <w:t xml:space="preserve"> and Threats</w:t>
      </w:r>
      <w:r w:rsidRPr="00490213">
        <w:rPr>
          <w:b/>
          <w:bCs/>
          <w:noProof/>
          <w:sz w:val="24"/>
          <w:szCs w:val="24"/>
        </w:rPr>
        <w:t xml:space="preserve"> in the Introduction of Exotic Crops</w:t>
      </w:r>
    </w:p>
    <w:p w14:paraId="6C13208E"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The challenges that threaten the introduction of exotic crops come from biological, ecological, economic, and political aspects from all four sides.</w:t>
      </w:r>
    </w:p>
    <w:p w14:paraId="34D4EB50"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5.1</w:t>
      </w:r>
      <w:r w:rsidR="0009747A">
        <w:rPr>
          <w:b/>
          <w:bCs/>
          <w:noProof/>
          <w:sz w:val="24"/>
          <w:szCs w:val="24"/>
        </w:rPr>
        <w:t xml:space="preserve"> </w:t>
      </w:r>
      <w:r w:rsidRPr="00490213">
        <w:rPr>
          <w:b/>
          <w:bCs/>
          <w:noProof/>
          <w:sz w:val="24"/>
          <w:szCs w:val="24"/>
        </w:rPr>
        <w:t>Biological and Ecological Challenges</w:t>
      </w:r>
    </w:p>
    <w:p w14:paraId="67541C20"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Disease and pathogen outbreaks are one of the most significant risks, mainly when cultivated outside native ranges, and it didn't built any co-defense mechanism in plants. Introducing new plant species can threaten us with the exotic invasion of pests and diseases. The defence for these pathogens is very low. This makes a global threat to trade </w:t>
      </w:r>
      <w:r w:rsidR="002F7EF2">
        <w:rPr>
          <w:noProof/>
          <w:sz w:val="24"/>
          <w:szCs w:val="24"/>
        </w:rPr>
        <w:fldChar w:fldCharType="begin" w:fldLock="1"/>
      </w:r>
      <w:r w:rsidR="002F7EF2">
        <w:rPr>
          <w:noProof/>
          <w:sz w:val="24"/>
          <w:szCs w:val="24"/>
        </w:rPr>
        <w:instrText>ADDIN CSL_CITATION {"citationItems":[{"id":"ITEM-1","itemData":{"DOI":"10.1093/forestry/cpu048","author":[{"dropping-particle":"","family":"Ennos","given":"Richard","non-dropping-particle":"","parse-names":false,"suffix":""}],"container-title":"Forestry","id":"ITEM-1","issued":{"date-parts":[["2014","1","7"]]},"page":"41-52","title":"Resilience of forests to pathogens: An evolutionary ecology perspective","type":"article-journal","volume":"88"},"uris":["http://www.mendeley.com/documents/?uuid=ecf58b69-5453-4345-8361-6898320803df"]}],"mendeley":{"formattedCitation":"(Ennos, 2014)","plainTextFormattedCitation":"(Ennos, 2014)","previouslyFormattedCitation":"(Ennos, 2014)"},"properties":{"noteIndex":0},"schema":"https://github.com/citation-style-language/schema/raw/master/csl-citation.json"}</w:instrText>
      </w:r>
      <w:r w:rsidR="002F7EF2">
        <w:rPr>
          <w:noProof/>
          <w:sz w:val="24"/>
          <w:szCs w:val="24"/>
        </w:rPr>
        <w:fldChar w:fldCharType="separate"/>
      </w:r>
      <w:r w:rsidR="002F7EF2" w:rsidRPr="002F7EF2">
        <w:rPr>
          <w:noProof/>
          <w:sz w:val="24"/>
          <w:szCs w:val="24"/>
        </w:rPr>
        <w:t>(Ennos, 2014)</w:t>
      </w:r>
      <w:r w:rsidR="002F7EF2">
        <w:rPr>
          <w:noProof/>
          <w:sz w:val="24"/>
          <w:szCs w:val="24"/>
        </w:rPr>
        <w:fldChar w:fldCharType="end"/>
      </w:r>
      <w:r w:rsidRPr="00490213">
        <w:rPr>
          <w:noProof/>
          <w:sz w:val="24"/>
          <w:szCs w:val="24"/>
        </w:rPr>
        <w:t xml:space="preserve">. In international trade, these exotic crops may serve as vectors for invasive species that can cause major outbreaks in the local environment. Invasion of alien pests such as insects, fungi, and even weeds can accidentally be introduced and cause significant economic losses </w:t>
      </w:r>
      <w:r w:rsidR="002F7EF2">
        <w:rPr>
          <w:noProof/>
          <w:sz w:val="24"/>
          <w:szCs w:val="24"/>
        </w:rPr>
        <w:fldChar w:fldCharType="begin" w:fldLock="1"/>
      </w:r>
      <w:r w:rsidR="002F7EF2">
        <w:rPr>
          <w:noProof/>
          <w:sz w:val="24"/>
          <w:szCs w:val="24"/>
        </w:rPr>
        <w:instrText>ADDIN CSL_CITATION {"citationItems":[{"id":"ITEM-1","itemData":{"DOI":"10.1073/pnas.1602205113","abstract":"A key scientific and policy challenge relating to invasive species at the world level is to understand and predict which countries are most vulnerable to the threat of invasive species. We present an analysis of the threat from almost 1,300 agricultural invasive species to the world (124 countries). The analysis examines the global distribution of these species, international trade flows, and each country?s main agricultural production crops, to determine potential invasion and impact of these invasive species. We found the most vulnerable countries to be from Sub-Saharan Africa, while those countries representing the greatest threat to the rest of the world (given the invasive species they already contain, and their trade patterns) to be the United States and China. Invasive species present significant threats to global agriculture, although how the magnitude and distribution of the threats vary between countries and regions remains unclear. Here, we present an analysis of almost 1,300 known invasive insect pests and pathogens, calculating the total potential cost of these species invading each of 124 countries of the world, as well as determining which countries present the greatest threat to the rest of the world given their trading partners and incumbent pool of invasive species. We find that countries vary in terms of potential threat from invasive species and also their role as potential sources, with apparently similar countries sometimes varying markedly depending on specifics of agricultural commodities and trade patterns. Overall, the biggest agricultural producers (China and the United States) could experience the greatest absolute cost from further species invasions. However, developing countries, in particular, Sub-Saharan African countries, appear most vulnerable in relative terms. Furthermore, China and the United States represent the greatest potential sources of invasive species for the rest of the world. The analysis reveals considerable scope for ongoing redistribution of known invasive pests and highlights the need for international cooperation to slow their spread.","author":[{"dropping-particle":"","family":"Paini","given":"Dean R","non-dropping-particle":"","parse-names":false,"suffix":""},{"dropping-particle":"","family":"Sheppard","given":"Andy W","non-dropping-particle":"","parse-names":false,"suffix":""},{"dropping-particle":"","family":"Cook","given":"David C","non-dropping-particle":"","parse-names":false,"suffix":""},{"dropping-particle":"","family":"Barro","given":"Paul J","non-dropping-particle":"De","parse-names":false,"suffix":""},{"dropping-particle":"","family":"Worner","given":"Susan P","non-dropping-particle":"","parse-names":false,"suffix":""},{"dropping-particle":"","family":"Thomas","given":"Matthew B","non-dropping-particle":"","parse-names":false,"suffix":""}],"container-title":"Proceedings of the National Academy of Sciences","id":"ITEM-1","issue":"27","issued":{"date-parts":[["2016","7","5"]]},"note":"doi: 10.1073/pnas.1602205113","page":"7575-7579","publisher":"Proceedings of the National Academy of Sciences","title":"Global threat to agriculture from invasive species","type":"article-journal","volume":"113"},"uris":["http://www.mendeley.com/documents/?uuid=01cb11a2-3011-453d-861f-01c1f3449f20"]}],"mendeley":{"formattedCitation":"(Paini et al., 2016)","plainTextFormattedCitation":"(Paini et al., 2016)","previouslyFormattedCitation":"(Paini et al., 2016)"},"properties":{"noteIndex":0},"schema":"https://github.com/citation-style-language/schema/raw/master/csl-citation.json"}</w:instrText>
      </w:r>
      <w:r w:rsidR="002F7EF2">
        <w:rPr>
          <w:noProof/>
          <w:sz w:val="24"/>
          <w:szCs w:val="24"/>
        </w:rPr>
        <w:fldChar w:fldCharType="separate"/>
      </w:r>
      <w:r w:rsidR="002F7EF2" w:rsidRPr="002F7EF2">
        <w:rPr>
          <w:noProof/>
          <w:sz w:val="24"/>
          <w:szCs w:val="24"/>
        </w:rPr>
        <w:t>(Paini et al., 2016)</w:t>
      </w:r>
      <w:r w:rsidR="002F7EF2">
        <w:rPr>
          <w:noProof/>
          <w:sz w:val="24"/>
          <w:szCs w:val="24"/>
        </w:rPr>
        <w:fldChar w:fldCharType="end"/>
      </w:r>
      <w:r w:rsidRPr="00490213">
        <w:rPr>
          <w:noProof/>
          <w:sz w:val="24"/>
          <w:szCs w:val="24"/>
        </w:rPr>
        <w:t>.</w:t>
      </w:r>
    </w:p>
    <w:p w14:paraId="20C7DD15"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Integration with the existing farming system and crop rotation is the biggest challenge, as the native plants have built defense mechanisms against invasive species. Plant invasion drives </w:t>
      </w:r>
      <w:r w:rsidRPr="00490213">
        <w:rPr>
          <w:noProof/>
          <w:sz w:val="24"/>
          <w:szCs w:val="24"/>
        </w:rPr>
        <w:lastRenderedPageBreak/>
        <w:t>the community response of local species—the defence response by the community of local plants to the invasive plants. Evidence shows that the interspecific interaction promotes the formation of plant community responses. The main reason behind these defence mechanisms is the competitiveness of exotic crops with neighboring crops.</w:t>
      </w:r>
    </w:p>
    <w:p w14:paraId="2E791FDC"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The components of the establishment and spread of non-native plants in a new ecosystem are:</w:t>
      </w:r>
    </w:p>
    <w:p w14:paraId="77C7FB5B" w14:textId="77777777" w:rsidR="00490213" w:rsidRPr="00490213" w:rsidRDefault="00A5014C" w:rsidP="00E07221">
      <w:pPr>
        <w:numPr>
          <w:ilvl w:val="0"/>
          <w:numId w:val="4"/>
        </w:numPr>
        <w:shd w:val="clear" w:color="auto" w:fill="FFFFFF" w:themeFill="background1"/>
        <w:spacing w:line="360" w:lineRule="auto"/>
        <w:jc w:val="both"/>
        <w:rPr>
          <w:noProof/>
          <w:sz w:val="24"/>
          <w:szCs w:val="24"/>
        </w:rPr>
      </w:pPr>
      <w:r w:rsidRPr="00490213">
        <w:rPr>
          <w:noProof/>
          <w:sz w:val="24"/>
          <w:szCs w:val="24"/>
        </w:rPr>
        <w:t>Invasiveness - the characteristics of invading species</w:t>
      </w:r>
    </w:p>
    <w:p w14:paraId="4E02DA5A" w14:textId="77777777" w:rsidR="00490213" w:rsidRPr="00490213" w:rsidRDefault="00A5014C" w:rsidP="00E07221">
      <w:pPr>
        <w:numPr>
          <w:ilvl w:val="0"/>
          <w:numId w:val="4"/>
        </w:numPr>
        <w:shd w:val="clear" w:color="auto" w:fill="FFFFFF" w:themeFill="background1"/>
        <w:spacing w:line="360" w:lineRule="auto"/>
        <w:jc w:val="both"/>
        <w:rPr>
          <w:noProof/>
          <w:sz w:val="24"/>
          <w:szCs w:val="24"/>
        </w:rPr>
      </w:pPr>
      <w:r w:rsidRPr="00490213">
        <w:rPr>
          <w:noProof/>
          <w:sz w:val="24"/>
          <w:szCs w:val="24"/>
        </w:rPr>
        <w:t xml:space="preserve">Invasibility - the susceptibility of receiving species </w:t>
      </w:r>
      <w:r w:rsidR="002F7EF2">
        <w:rPr>
          <w:noProof/>
          <w:sz w:val="24"/>
          <w:szCs w:val="24"/>
        </w:rPr>
        <w:fldChar w:fldCharType="begin" w:fldLock="1"/>
      </w:r>
      <w:r w:rsidR="002F7EF2">
        <w:rPr>
          <w:noProof/>
          <w:sz w:val="24"/>
          <w:szCs w:val="24"/>
        </w:rPr>
        <w:instrText>ADDIN CSL_CITATION {"citationItems":[{"id":"ITEM-1","itemData":{"DOI":"10.1111/ppl.70492","author":[{"dropping-particle":"","family":"Zhu","given":"Zhaoqi","non-dropping-particle":"","parse-names":false,"suffix":""},{"dropping-particle":"","family":"Miao","given":"Cui","non-dropping-particle":"","parse-names":false,"suffix":""},{"dropping-particle":"","family":"Yu","given":"Haochen","non-dropping-particle":"","parse-names":false,"suffix":""},{"dropping-particle":"","family":"Fan","given":"Xue","non-dropping-particle":"","parse-names":false,"suffix":""},{"dropping-particle":"","family":"Wu","given":"Xuanwen","non-dropping-particle":"","parse-names":false,"suffix":""},{"dropping-particle":"","family":"Liu","given":"Shoujiang","non-dropping-particle":"","parse-names":false,"suffix":""},{"dropping-particle":"","family":"Dai","given":"Zhi-Cong","non-dropping-particle":"","parse-names":false,"suffix":""},{"dropping-particle":"","family":"Ren","given":"Guangqian","non-dropping-particle":"","parse-names":false,"suffix":""},{"dropping-particle":"","family":"Du","given":"Dao-Lin","non-dropping-particle":"","parse-names":false,"suffix":""}],"container-title":"Physiologia Plantarum","id":"ITEM-1","issued":{"date-parts":[["2025","9","2"]]},"title":"Defense Responses of Native Plant Communities to Alien Plant Invasion","type":"article-journal","volume":"177"},"uris":["http://www.mendeley.com/documents/?uuid=4cd176da-a969-4d4d-bc20-066486fa866f"]}],"mendeley":{"formattedCitation":"(Zhu et al., 2025)","plainTextFormattedCitation":"(Zhu et al., 2025)","previouslyFormattedCitation":"(Zhu et al., 2025)"},"properties":{"noteIndex":0},"schema":"https://github.com/citation-style-language/schema/raw/master/csl-citation.json"}</w:instrText>
      </w:r>
      <w:r w:rsidR="002F7EF2">
        <w:rPr>
          <w:noProof/>
          <w:sz w:val="24"/>
          <w:szCs w:val="24"/>
        </w:rPr>
        <w:fldChar w:fldCharType="separate"/>
      </w:r>
      <w:r w:rsidR="002F7EF2" w:rsidRPr="002F7EF2">
        <w:rPr>
          <w:noProof/>
          <w:sz w:val="24"/>
          <w:szCs w:val="24"/>
        </w:rPr>
        <w:t>(Zhu et al., 2025)</w:t>
      </w:r>
      <w:r w:rsidR="002F7EF2">
        <w:rPr>
          <w:noProof/>
          <w:sz w:val="24"/>
          <w:szCs w:val="24"/>
        </w:rPr>
        <w:fldChar w:fldCharType="end"/>
      </w:r>
    </w:p>
    <w:p w14:paraId="5E7F981E"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w:t>
      </w:r>
      <w:r w:rsidRPr="00490213">
        <w:rPr>
          <w:b/>
          <w:bCs/>
          <w:noProof/>
          <w:sz w:val="24"/>
          <w:szCs w:val="24"/>
        </w:rPr>
        <w:t>2 Genetic and Agronomic Challenges</w:t>
      </w:r>
    </w:p>
    <w:p w14:paraId="5FFBA68A"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Another notable challenge is collecting and evaluating beneficial genetic traits from exotic Germplasm. Also, the integration into existing, locally adapted varieties is quite tough. This is quite challenging due to reduced genetic diversity in modern elite varieties, negatively impacting the quality as it's harder to introduce new genetic material </w:t>
      </w:r>
      <w:r w:rsidR="002F7EF2">
        <w:rPr>
          <w:noProof/>
          <w:sz w:val="24"/>
          <w:szCs w:val="24"/>
        </w:rPr>
        <w:fldChar w:fldCharType="begin" w:fldLock="1"/>
      </w:r>
      <w:r w:rsidR="00910806">
        <w:rPr>
          <w:noProof/>
          <w:sz w:val="24"/>
          <w:szCs w:val="24"/>
        </w:rPr>
        <w:instrText>ADDIN CSL_CITATION {"citationItems":[{"id":"ITEM-1","itemData":{"DOI":"10.1016/j.tplants.2017.04.002","ISSN":"1360-1385","author":[{"dropping-particle":"","family":"Wang","given":"Cuiling","non-dropping-particle":"","parse-names":false,"suffix":""},{"dropping-particle":"","family":"Hu","given":"Songlin","non-dropping-particle":"","parse-names":false,"suffix":""},{"dropping-particle":"","family":"Gardner","given":"Candice","non-dropping-particle":"","parse-names":false,"suffix":""},{"dropping-particle":"","family":"Lübberstedt","given":"Thomas","non-dropping-particle":"","parse-names":false,"suffix":""}],"container-title":"Trends in Plant Science","id":"ITEM-1","issue":"7","issued":{"date-parts":[["2017","7","1"]]},"note":"doi: 10.1016/j.tplants.2017.04.002","page":"624-637","publisher":"Elsevier","title":"Emerging Avenues for Utilization of Exotic Germplasm","type":"article-journal","volume":"22"},"uris":["http://www.mendeley.com/documents/?uuid=bb2ef3fc-3132-4129-86ad-3d2aa43a4cd5"]}],"mendeley":{"formattedCitation":"(Wang et al., 2017)","plainTextFormattedCitation":"(Wang et al., 2017)","previouslyFormattedCitation":"(Wang et al., 2017)"},"properties":{"noteIndex":0},"schema":"https://github.com/citation-style-language/schema/raw/master/csl-citation.json"}</w:instrText>
      </w:r>
      <w:r w:rsidR="002F7EF2">
        <w:rPr>
          <w:noProof/>
          <w:sz w:val="24"/>
          <w:szCs w:val="24"/>
        </w:rPr>
        <w:fldChar w:fldCharType="separate"/>
      </w:r>
      <w:r w:rsidR="002F7EF2" w:rsidRPr="002F7EF2">
        <w:rPr>
          <w:noProof/>
          <w:sz w:val="24"/>
          <w:szCs w:val="24"/>
        </w:rPr>
        <w:t>(Wang et al., 2017)</w:t>
      </w:r>
      <w:r w:rsidR="002F7EF2">
        <w:rPr>
          <w:noProof/>
          <w:sz w:val="24"/>
          <w:szCs w:val="24"/>
        </w:rPr>
        <w:fldChar w:fldCharType="end"/>
      </w:r>
      <w:r w:rsidRPr="00490213">
        <w:rPr>
          <w:noProof/>
          <w:sz w:val="24"/>
          <w:szCs w:val="24"/>
        </w:rPr>
        <w:t>.</w:t>
      </w:r>
    </w:p>
    <w:p w14:paraId="5430EEB2"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Bringing new crops into different day length</w:t>
      </w:r>
      <w:r w:rsidR="00910806">
        <w:rPr>
          <w:noProof/>
          <w:sz w:val="24"/>
          <w:szCs w:val="24"/>
        </w:rPr>
        <w:fldChar w:fldCharType="begin" w:fldLock="1"/>
      </w:r>
      <w:r w:rsidR="00910806">
        <w:rPr>
          <w:noProof/>
          <w:sz w:val="24"/>
          <w:szCs w:val="24"/>
        </w:rPr>
        <w:instrText>ADDIN CSL_CITATION {"citationItems":[{"id":"ITEM-1","itemData":{"DOI":"10.1079/9780851994116.0001","author":[{"dropping-particle":"","family":"Cooper","given":"H D","non-dropping-particle":"","parse-names":false,"suffix":""},{"dropping-particle":"","family":"Spillane","given":"C","non-dropping-particle":"","parse-names":false,"suffix":""},{"dropping-particle":"","family":"Hodgkin","given":"T","non-dropping-particle":"","parse-names":false,"suffix":""}],"container-title":"CABI","id":"ITEM-1","issued":{"date-parts":[["2001","1","26"]]},"page":"1–23","publisher":"International Plant Genetic Resources Institute (IPGRI) Food and Agriculture Organization of the United Nations (FAO) CABI","title":"Broadening the genetic base of crops: an overview.","type":"article-journal"},"uris":["http://www.mendeley.com/documents/?uuid=06d461d1-0b0e-4188-8d22-184e10deb7ac"]}],"mendeley":{"formattedCitation":"(Cooper et al., 2001)","plainTextFormattedCitation":"(Cooper et al., 2001)","previouslyFormattedCitation":"(Cooper et al., 2001)"},"properties":{"noteIndex":0},"schema":"https://github.com/citation-style-language/schema/raw/master/csl-citation.json"}</w:instrText>
      </w:r>
      <w:r w:rsidR="00910806">
        <w:rPr>
          <w:noProof/>
          <w:sz w:val="24"/>
          <w:szCs w:val="24"/>
        </w:rPr>
        <w:fldChar w:fldCharType="separate"/>
      </w:r>
      <w:r w:rsidR="00910806" w:rsidRPr="00910806">
        <w:rPr>
          <w:noProof/>
          <w:sz w:val="24"/>
          <w:szCs w:val="24"/>
        </w:rPr>
        <w:t>s across the world frequently presents sensitive-development related difficulties. c(Cooper et al., 2001)</w:t>
      </w:r>
      <w:r w:rsidR="00910806">
        <w:rPr>
          <w:noProof/>
          <w:sz w:val="24"/>
          <w:szCs w:val="24"/>
        </w:rPr>
        <w:fldChar w:fldCharType="end"/>
      </w:r>
      <w:r w:rsidRPr="00490213">
        <w:rPr>
          <w:noProof/>
          <w:sz w:val="24"/>
          <w:szCs w:val="24"/>
        </w:rPr>
        <w:t>.</w:t>
      </w:r>
    </w:p>
    <w:p w14:paraId="74421873"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 xml:space="preserve">Genetic homogenization is reduced as high-yielding exotic cultivars replace traditional landraces, reservoirs of genetic data </w:t>
      </w:r>
      <w:r w:rsidR="00910806">
        <w:rPr>
          <w:noProof/>
          <w:sz w:val="24"/>
          <w:szCs w:val="24"/>
        </w:rPr>
        <w:fldChar w:fldCharType="begin" w:fldLock="1"/>
      </w:r>
      <w:r w:rsidR="00107F0C">
        <w:rPr>
          <w:noProof/>
          <w:sz w:val="24"/>
          <w:szCs w:val="24"/>
        </w:rPr>
        <w:instrText>ADDIN CSL_CITATION {"citationItems":[{"id":"ITEM-1","itemData":{"DOI":"https://doi.org/10.1016/j.scitotenv.2019.04.276","ISSN":"0048-9697","abstract":"Ongoing global changes can make unprecedented alterations in the state of some natural resources and their ecosystems services (ESs), especially in mountain agricultural landscapes. Considering the risk suggested by the Millennium Ecosystems Assessment, this study collected descriptive (qualitative) data in Nepalese mountain farming communities through field observation, group discussion, and personal interview, and investigated changing conditions of ESs of various natural resources in agricultural landscapes and their repercussions on mountain communities. The results showed that global changes induced new resources and institutions for mountain farming practices and altered important socioecological processes determining ESs. They have contributed to reductions in natural hazards and climate change and improvements in recreational and waste management services in mountain farming landscapes. Biodiversity status changes of the external factors in the agricultural landscapes are mixed: reasonably enriched plant species diversity and wildlife habitat, and seriously degraded or extinct indigenous species and genetic diversity. One of the serious negative changes is they have contributed to extinction of locally adaptable natural capitals and community heritages that had been developed through century-long socioecological processes and passed through extreme climatic variabilities and other environmental stresses at numerous times. The study determined that some recently emerging local biotic conditions result mainly from changes in the condition of water resources, not from changes in climatic conditions. The external factors also hampered human input into soil formation in degraded lands, soil quality, soil-water conservation and local knowledge systems. Overall, the effects of the changes found mixed on human and environment health. This multiple natural resources-based study has contested some arguments and conclusions of popular literatures.","author":[{"dropping-particle":"","family":"Dhakal","given":"Bhubaneswor","non-dropping-particle":"","parse-names":false,"suffix":""},{"dropping-particle":"","family":"Kattel","given":"Rishi Ram","non-dropping-particle":"","parse-names":false,"suffix":""}],"container-title":"Science of The Total Environment","id":"ITEM-1","issued":{"date-parts":[["2019"]]},"page":"665-682","title":"Effects of global changes on ecosystems services of multiple natural resources in mountain agricultural landscapes","type":"article-journal","volume":"676"},"uris":["http://www.mendeley.com/documents/?uuid=795975c4-242f-4b15-b0bc-4fd57d9fc13b"]}],"mendeley":{"formattedCitation":"(Dhakal &amp; Kattel, 2019)","plainTextFormattedCitation":"(Dhakal &amp; Kattel, 2019)","previouslyFormattedCitation":"(Dhakal &amp; Kattel, 2019)"},"properties":{"noteIndex":0},"schema":"https://github.com/citation-style-language/schema/raw/master/csl-citation.json"}</w:instrText>
      </w:r>
      <w:r w:rsidR="00910806">
        <w:rPr>
          <w:noProof/>
          <w:sz w:val="24"/>
          <w:szCs w:val="24"/>
        </w:rPr>
        <w:fldChar w:fldCharType="separate"/>
      </w:r>
      <w:r w:rsidR="00910806" w:rsidRPr="00910806">
        <w:rPr>
          <w:noProof/>
          <w:sz w:val="24"/>
          <w:szCs w:val="24"/>
        </w:rPr>
        <w:t>(Dhakal &amp; Kattel, 2019)</w:t>
      </w:r>
      <w:r w:rsidR="00910806">
        <w:rPr>
          <w:noProof/>
          <w:sz w:val="24"/>
          <w:szCs w:val="24"/>
        </w:rPr>
        <w:fldChar w:fldCharType="end"/>
      </w:r>
      <w:r w:rsidRPr="00490213">
        <w:rPr>
          <w:noProof/>
          <w:sz w:val="24"/>
          <w:szCs w:val="24"/>
        </w:rPr>
        <w:t>.</w:t>
      </w:r>
    </w:p>
    <w:p w14:paraId="26B0E24C"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5.3</w:t>
      </w:r>
      <w:r w:rsidRPr="00490213">
        <w:rPr>
          <w:b/>
          <w:bCs/>
          <w:noProof/>
          <w:sz w:val="24"/>
          <w:szCs w:val="24"/>
        </w:rPr>
        <w:t xml:space="preserve"> Economic and Infrastructural Challenges</w:t>
      </w:r>
    </w:p>
    <w:p w14:paraId="6AE65473"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The input dependency cost of exotic crops is too high, due to the reliance on costly seeds from external sources, and the crop requires intensive infrastructure, such as protected cultivation techniques for controlled environmental conditions. The intensive labour and management practices, and elaborate pests initially were economically challenging but a boon when they achieved competitive yield and market standards</w:t>
      </w:r>
      <w:r w:rsidR="00FC42FD">
        <w:rPr>
          <w:noProof/>
          <w:sz w:val="24"/>
          <w:szCs w:val="24"/>
        </w:rPr>
        <w:t>…….</w:t>
      </w:r>
    </w:p>
    <w:p w14:paraId="2142ADA0" w14:textId="77777777" w:rsidR="00490213" w:rsidRPr="00490213" w:rsidRDefault="00A5014C" w:rsidP="00E07221">
      <w:pPr>
        <w:shd w:val="clear" w:color="auto" w:fill="FFFFFF" w:themeFill="background1"/>
        <w:spacing w:line="360" w:lineRule="auto"/>
        <w:jc w:val="both"/>
        <w:rPr>
          <w:b/>
          <w:bCs/>
          <w:noProof/>
          <w:sz w:val="24"/>
          <w:szCs w:val="24"/>
        </w:rPr>
      </w:pPr>
      <w:r>
        <w:rPr>
          <w:b/>
          <w:bCs/>
          <w:noProof/>
          <w:sz w:val="24"/>
          <w:szCs w:val="24"/>
        </w:rPr>
        <w:t>5</w:t>
      </w:r>
      <w:r w:rsidRPr="00490213">
        <w:rPr>
          <w:b/>
          <w:bCs/>
          <w:noProof/>
          <w:sz w:val="24"/>
          <w:szCs w:val="24"/>
        </w:rPr>
        <w:t>.</w:t>
      </w:r>
      <w:r>
        <w:rPr>
          <w:b/>
          <w:bCs/>
          <w:noProof/>
          <w:sz w:val="24"/>
          <w:szCs w:val="24"/>
        </w:rPr>
        <w:t>4</w:t>
      </w:r>
      <w:r w:rsidRPr="00490213">
        <w:rPr>
          <w:b/>
          <w:bCs/>
          <w:noProof/>
          <w:sz w:val="24"/>
          <w:szCs w:val="24"/>
        </w:rPr>
        <w:t xml:space="preserve"> Sociocultural and Policy Acceptance Challenges</w:t>
      </w:r>
    </w:p>
    <w:p w14:paraId="160B91B1" w14:textId="77777777" w:rsidR="00490213" w:rsidRPr="00490213" w:rsidRDefault="00A5014C" w:rsidP="00E07221">
      <w:pPr>
        <w:shd w:val="clear" w:color="auto" w:fill="FFFFFF" w:themeFill="background1"/>
        <w:spacing w:line="360" w:lineRule="auto"/>
        <w:jc w:val="both"/>
        <w:rPr>
          <w:noProof/>
          <w:sz w:val="24"/>
          <w:szCs w:val="24"/>
        </w:rPr>
      </w:pPr>
      <w:r w:rsidRPr="00490213">
        <w:rPr>
          <w:noProof/>
          <w:sz w:val="24"/>
          <w:szCs w:val="24"/>
        </w:rPr>
        <w:t>Accepting exotic crops by the farmer and the consumer is one of the challenges until we make them aware of their benefits.</w:t>
      </w:r>
    </w:p>
    <w:p w14:paraId="54E1007A" w14:textId="77777777" w:rsidR="004E5926" w:rsidRPr="00490213" w:rsidRDefault="00A5014C" w:rsidP="00E07221">
      <w:pPr>
        <w:shd w:val="clear" w:color="auto" w:fill="FFFFFF" w:themeFill="background1"/>
        <w:spacing w:line="360" w:lineRule="auto"/>
        <w:jc w:val="both"/>
        <w:rPr>
          <w:noProof/>
          <w:sz w:val="24"/>
          <w:szCs w:val="24"/>
        </w:rPr>
      </w:pPr>
      <w:r w:rsidRPr="00490213">
        <w:rPr>
          <w:noProof/>
          <w:sz w:val="24"/>
          <w:szCs w:val="24"/>
        </w:rPr>
        <w:lastRenderedPageBreak/>
        <w:t>Today, over-farming and the use of non-indigenous crops being planted, notably genetically modified organisms (GMOs), could possibly have harmful effects on pollinators by eliminating wild flowers essential for both their nourishment and development of new colonies. Among the chemicals most worrisome to bees are neonicotinoid insecticides, and herbicides that don't kill what they hit, but instead reduce populations of wild plant species we depend on to bloom so bees have pollen and nectar sources.(Potts et al., 2016)</w:t>
      </w:r>
      <w:r w:rsidR="00107F0C">
        <w:rPr>
          <w:noProof/>
          <w:sz w:val="24"/>
          <w:szCs w:val="24"/>
        </w:rPr>
        <w:fldChar w:fldCharType="begin" w:fldLock="1"/>
      </w:r>
      <w:r w:rsidR="00107F0C">
        <w:rPr>
          <w:noProof/>
          <w:sz w:val="24"/>
          <w:szCs w:val="24"/>
        </w:rPr>
        <w:instrText>ADDIN CSL_CITATION {"citationItems":[{"id":"ITEM-1","itemData":{"DOI":"10.1038/nature20588","ISSN":"1476-4687","abstract":"Wild and managed pollinators provide a wide range of benefits to society in terms of contributions to food security, farmer and beekeeper livelihoods, social and cultural values, as well as the maintenance of wider biodiversity and ecosystem stability. Pollinators face numerous threats, including changes in land-use and management intensity, climate change, pesticides and genetically modified crops, pollinator management and pathogens, and invasive alien species. There are well-documented declines in some wild and managed pollinators in several regions of the world. However, many effective policy and management responses can be implemented to safeguard pollinators and sustain pollination services.","author":[{"dropping-particle":"","family":"Potts","given":"Simon G","non-dropping-particle":"","parse-names":false,"suffix":""},{"dropping-particle":"","family":"Imperatriz-Fonseca","given":"Vera","non-dropping-particle":"","parse-names":false,"suffix":""},{"dropping-particle":"","family":"Ngo","given":"Hien T","non-dropping-particle":"","parse-names":false,"suffix":""},{"dropping-particle":"","family":"Aizen","given":"Marcelo A","non-dropping-particle":"","parse-names":false,"suffix":""},{"dropping-particle":"","family":"Biesmeijer","given":"Jacobus C","non-dropping-particle":"","parse-names":false,"suffix":""},{"dropping-particle":"","family":"Breeze","given":"Thomas D","non-dropping-particle":"","parse-names":false,"suffix":""},{"dropping-particle":"V","family":"Dicks","given":"Lynn","non-dropping-particle":"","parse-names":false,"suffix":""},{"dropping-particle":"","family":"Garibaldi","given":"Lucas A","non-dropping-particle":"","parse-names":false,"suffix":""},{"dropping-particle":"","family":"Hill","given":"Rosemary","non-dropping-particle":"","parse-names":false,"suffix":""},{"dropping-particle":"","family":"Settele","given":"Josef","non-dropping-particle":"","parse-names":false,"suffix":""},{"dropping-particle":"","family":"Vanbergen","given":"Adam J","non-dropping-particle":"","parse-names":false,"suffix":""}],"container-title":"Nature","id":"ITEM-1","issue":"7632","issued":{"date-parts":[["2016"]]},"page":"220-229","title":"Safeguarding pollinators and their values to human well-being","type":"article-journal","volume":"540"},"uris":["http://www.mendeley.com/documents/?uuid=22701ddb-58a9-4704-940f-7f8676c90ad9"]}],"mendeley":{"formattedCitation":"(Potts et al., 2016)","plainTextFormattedCitation":"(Potts et al., 2016)"},"properties":{"noteIndex":0},"schema":"https://github.com/citation-style-language/schema/raw/master/csl-citation.json"}</w:instrText>
      </w:r>
      <w:r w:rsidR="00107F0C">
        <w:rPr>
          <w:noProof/>
          <w:sz w:val="24"/>
          <w:szCs w:val="24"/>
        </w:rPr>
        <w:fldChar w:fldCharType="separate"/>
      </w:r>
      <w:r w:rsidR="00107F0C" w:rsidRPr="00107F0C">
        <w:rPr>
          <w:noProof/>
          <w:sz w:val="24"/>
          <w:szCs w:val="24"/>
        </w:rPr>
        <w:t>(Potts et al., 2016)</w:t>
      </w:r>
      <w:r w:rsidR="00107F0C">
        <w:rPr>
          <w:noProof/>
          <w:sz w:val="24"/>
          <w:szCs w:val="24"/>
        </w:rPr>
        <w:fldChar w:fldCharType="end"/>
      </w:r>
      <w:r w:rsidRPr="00490213">
        <w:rPr>
          <w:noProof/>
          <w:sz w:val="24"/>
          <w:szCs w:val="24"/>
        </w:rPr>
        <w:t>.</w:t>
      </w:r>
    </w:p>
    <w:p w14:paraId="56DC259B" w14:textId="77777777" w:rsidR="00490213" w:rsidRDefault="00A5014C" w:rsidP="00E07221">
      <w:pPr>
        <w:shd w:val="clear" w:color="auto" w:fill="FFFFFF" w:themeFill="background1"/>
        <w:spacing w:line="360" w:lineRule="auto"/>
        <w:jc w:val="both"/>
        <w:rPr>
          <w:noProof/>
          <w:sz w:val="24"/>
          <w:szCs w:val="24"/>
        </w:rPr>
      </w:pPr>
      <w:r w:rsidRPr="00490213">
        <w:rPr>
          <w:noProof/>
          <w:sz w:val="24"/>
          <w:szCs w:val="24"/>
        </w:rPr>
        <w:t>Though these are all barriers to exotic crop cultivation, they can be easily managed through sustainable approaches and new scientific methods. Research and agricultural institutes continue to work on this. And the acceptance of exotics can not be more threatened, as it's not just the need for farming development but the race to achieve new milestones in countries' agricultural programs.</w:t>
      </w:r>
    </w:p>
    <w:p w14:paraId="569B8A9E" w14:textId="77777777" w:rsidR="00D2637E" w:rsidRDefault="00D2637E" w:rsidP="00E07221">
      <w:pPr>
        <w:shd w:val="clear" w:color="auto" w:fill="FFFFFF" w:themeFill="background1"/>
        <w:spacing w:line="360" w:lineRule="auto"/>
        <w:jc w:val="both"/>
        <w:rPr>
          <w:noProof/>
          <w:sz w:val="24"/>
          <w:szCs w:val="24"/>
        </w:rPr>
      </w:pPr>
    </w:p>
    <w:p w14:paraId="2821AB0A" w14:textId="77777777" w:rsidR="008A4850" w:rsidRDefault="00A5014C" w:rsidP="00E07221">
      <w:pPr>
        <w:shd w:val="clear" w:color="auto" w:fill="FFFFFF" w:themeFill="background1"/>
        <w:spacing w:line="360" w:lineRule="auto"/>
        <w:jc w:val="both"/>
        <w:rPr>
          <w:b/>
          <w:bCs/>
          <w:noProof/>
          <w:sz w:val="24"/>
          <w:szCs w:val="24"/>
        </w:rPr>
      </w:pPr>
      <w:r>
        <w:rPr>
          <w:b/>
          <w:bCs/>
          <w:noProof/>
          <w:sz w:val="24"/>
          <w:szCs w:val="24"/>
        </w:rPr>
        <w:t>6.</w:t>
      </w:r>
      <w:r w:rsidR="00A523C5">
        <w:rPr>
          <w:b/>
          <w:bCs/>
          <w:noProof/>
          <w:sz w:val="24"/>
          <w:szCs w:val="24"/>
        </w:rPr>
        <w:t xml:space="preserve"> Rise o</w:t>
      </w:r>
      <w:r w:rsidR="00395106">
        <w:rPr>
          <w:b/>
          <w:bCs/>
          <w:noProof/>
          <w:sz w:val="24"/>
          <w:szCs w:val="24"/>
        </w:rPr>
        <w:t>f exotic crops in a changing worl</w:t>
      </w:r>
      <w:r w:rsidR="000A2EEB">
        <w:rPr>
          <w:b/>
          <w:bCs/>
          <w:noProof/>
          <w:sz w:val="24"/>
          <w:szCs w:val="24"/>
        </w:rPr>
        <w:t>d</w:t>
      </w:r>
    </w:p>
    <w:p w14:paraId="2EAB57BB" w14:textId="77777777" w:rsidR="0018590A" w:rsidRDefault="00A5014C" w:rsidP="00E07221">
      <w:pPr>
        <w:shd w:val="clear" w:color="auto" w:fill="FFFFFF" w:themeFill="background1"/>
        <w:spacing w:line="360" w:lineRule="auto"/>
        <w:jc w:val="both"/>
        <w:rPr>
          <w:noProof/>
          <w:sz w:val="24"/>
          <w:szCs w:val="24"/>
        </w:rPr>
      </w:pPr>
      <w:r>
        <w:rPr>
          <w:noProof/>
          <w:sz w:val="24"/>
          <w:szCs w:val="24"/>
        </w:rPr>
        <w:t xml:space="preserve">The future of exotic crops is the next big thing in the Agriculture sector. Technology advancements have transformed precision farming and enabled targeted cultivation of exotic crops by digital tools like IoT, remote sensing, sensors, robotics, satellite imaging, weather forecasting, etc., and modern advancements of AI optimize the production of exotics with optimized irrigation, nutrient delivery, management strategies, and so on by </w:t>
      </w:r>
      <w:r w:rsidR="00DC38EA">
        <w:rPr>
          <w:noProof/>
          <w:sz w:val="24"/>
          <w:szCs w:val="24"/>
        </w:rPr>
        <w:t>precision</w:t>
      </w:r>
      <w:r w:rsidR="003E30AC">
        <w:rPr>
          <w:noProof/>
          <w:sz w:val="24"/>
          <w:szCs w:val="24"/>
        </w:rPr>
        <w:fldChar w:fldCharType="begin" w:fldLock="1"/>
      </w:r>
      <w:r w:rsidR="00DC38EA">
        <w:rPr>
          <w:noProof/>
          <w:sz w:val="24"/>
          <w:szCs w:val="24"/>
        </w:rPr>
        <w:instrText>ADDIN CSL_CITATION {"citationItems":[{"id":"ITEM-1","itemData":{"DOI":"10.3390/agriculture13081593","ISSN":"20770472","abstract":"Precision agriculture employs cutting-edge technologies to increase agricultural productivity while reducing adverse impacts on the environment. Precision agriculture is a farming approach that uses advanced technology and data analysis to maximize crop yields, cut waste, and increase productivity. It is a potential strategy for tackling some of the major issues confronting contemporary agriculture, such as feeding a growing world population while reducing environmental effects. This review article examines some of the latest recent advances in precision agriculture, including the Internet of Things (IoT) and how to make use of big data. This review article aims to provide an overview of the recent innovations, challenges, and future prospects of precision agriculture and smart farming. It presents an analysis of the current state of precision agriculture, including the most recent innovations in technology, such as drones, sensors, and machine learning. The article also discusses some of the main challenges faced by precision agriculture, including data management, technology adoption, and cost-effectiveness.","author":[{"dropping-particle":"","family":"Karunathilake","given":"E. M.B.M.","non-dropping-particle":"","parse-names":false,"suffix":""},{"dropping-particle":"","family":"Le","given":"Anh Tuan","non-dropping-particle":"","parse-names":false,"suffix":""},{"dropping-particle":"","family":"Heo","given":"Seong","non-dropping-particle":"","parse-names":false,"suffix":""},{"dropping-particle":"","family":"Chung","given":"Yong Suk","non-dropping-particle":"","parse-names":false,"suffix":""},{"dropping-particle":"","family":"Mansoor","given":"Sheikh","non-dropping-particle":"","parse-names":false,"suffix":""}],"container-title":"Agriculture (Switzerland)","id":"ITEM-1","issue":"8","issued":{"date-parts":[["2023"]]},"page":"1-26","title":"The Path to Smart Farming: Innovations and Opportunities in Precision Agriculture","type":"article-journal","volume":"13"},"uris":["http://www.mendeley.com/documents/?uuid=721c651a-185f-4f39-a5a6-431d2b62b456"]}],"mendeley":{"formattedCitation":"(Karunathilake et al., 2023)","plainTextFormattedCitation":"(Karunathilake et al., 2023)","previouslyFormattedCitation":"(Karunathilake et al., 2023)"},"properties":{"noteIndex":0},"schema":"https://github.com/citation-style-language/schema/raw/master/csl-citation.json"}</w:instrText>
      </w:r>
      <w:r w:rsidR="003E30AC">
        <w:rPr>
          <w:noProof/>
          <w:sz w:val="24"/>
          <w:szCs w:val="24"/>
        </w:rPr>
        <w:fldChar w:fldCharType="separate"/>
      </w:r>
      <w:r w:rsidR="003E30AC" w:rsidRPr="003E30AC">
        <w:rPr>
          <w:noProof/>
          <w:sz w:val="24"/>
          <w:szCs w:val="24"/>
        </w:rPr>
        <w:t xml:space="preserve"> (Karunathilake et al., 2023)</w:t>
      </w:r>
      <w:r w:rsidR="003E30AC">
        <w:rPr>
          <w:noProof/>
          <w:sz w:val="24"/>
          <w:szCs w:val="24"/>
        </w:rPr>
        <w:fldChar w:fldCharType="end"/>
      </w:r>
      <w:r>
        <w:rPr>
          <w:noProof/>
          <w:sz w:val="24"/>
          <w:szCs w:val="24"/>
        </w:rPr>
        <w:t xml:space="preserve">. The advanced biotechnological innovation, molecular breeding including marker-assisted techniques, genomic selection, and genetic engineering, hastens the development of new varieties with new traits </w:t>
      </w:r>
      <w:r w:rsidR="00DC38EA">
        <w:rPr>
          <w:noProof/>
          <w:sz w:val="24"/>
          <w:szCs w:val="24"/>
        </w:rPr>
        <w:fldChar w:fldCharType="begin" w:fldLock="1"/>
      </w:r>
      <w:r w:rsidR="00E903F9">
        <w:rPr>
          <w:noProof/>
          <w:sz w:val="24"/>
          <w:szCs w:val="24"/>
        </w:rPr>
        <w:instrText>ADDIN CSL_CITATION {"citationItems":[{"id":"ITEM-1","itemData":{"DOI":"10.2174/1874331501819010240","ISSN":"1874-3315","abstract":"© 2018 Gebretsadik and Kiflu. Introduction: Genetically modified (GM) crop species were proven to be a solution for the increasing food consumption in many countries. The cultivation of transgenic plants is increasing from time to time. In 2017 alone, 27 different genetically modified (GM) crop species were produced in 40 countries. Explanation: Biotechnology is revolutionizing science, promising to solve hunger, malnutrition and production demands of industrial raw materials from plants. However, there are biosafety concerns that GM crops may have unintended and hazardous impacts on living organisms well-being and environment both on target and non-target organisms. To tackle such potential problems many countries are implementing international as well as national biosafety regulations. America, Brazil, Belgium, China and India are among the top GM crop users in the world, whereas Egypt, Sudan, South Africa and Burkina Faso are leading GM crop producers in Africa. Ethiopia has also developed its own policy and biosafety regulations for biotechnology products. Conclusion: The Ethiopian government has given due attention to GM crops as a tool for the transformation of agricultural productivity and quality. Before a couple of years, Bt cotton (cotton containing toxic protein from Bacillus thuringiensis) has been introduced to Ethiopia and is expected to bring fundamental change in the production of fibers for the textile industries and also will have crucial consequence to the forthcoming use of the modern biotechnological Science in the country. The introduction of Bt cotton is a typical example worth mentioning here which shows a relative flexibility of the current Ethiopian biosafety regulation. This paper reviews the possible challenges and opportunities of using GM crops in Ethiopia.","author":[{"dropping-particle":"","family":"Gebretsadik","given":"Kiros","non-dropping-particle":"","parse-names":false,"suffix":""},{"dropping-particle":"","family":"Kiflu","given":"Ashenafi","non-dropping-particle":"","parse-names":false,"suffix":""}],"container-title":"The Open Agriculture Journal","id":"ITEM-1","issue":"1","issued":{"date-parts":[["2018"]]},"page":"240-250","title":"Challenges and Opportunities of Genetically Modified Crops Production; Future Perspectives in Ethiopia, Review","type":"article-journal","volume":"12"},"uris":["http://www.mendeley.com/documents/?uuid=a6e8f3c4-b9b3-4994-a441-34b2527ee657"]}],"mendeley":{"formattedCitation":"(Gebretsadik &amp; Kiflu, 2018)","plainTextFormattedCitation":"(Gebretsadik &amp; Kiflu, 2018)","previouslyFormattedCitation":"(Gebretsadik &amp; Kiflu, 2018)"},"properties":{"noteIndex":0},"schema":"https://github.com/citation-style-language/schema/raw/master/csl-citation.json"}</w:instrText>
      </w:r>
      <w:r w:rsidR="00DC38EA">
        <w:rPr>
          <w:noProof/>
          <w:sz w:val="24"/>
          <w:szCs w:val="24"/>
        </w:rPr>
        <w:fldChar w:fldCharType="separate"/>
      </w:r>
      <w:r w:rsidR="00DC38EA" w:rsidRPr="00DC38EA">
        <w:rPr>
          <w:noProof/>
          <w:sz w:val="24"/>
          <w:szCs w:val="24"/>
        </w:rPr>
        <w:t>(Gebretsadik &amp; Kiflu, 2018)</w:t>
      </w:r>
      <w:r w:rsidR="00DC38EA">
        <w:rPr>
          <w:noProof/>
          <w:sz w:val="24"/>
          <w:szCs w:val="24"/>
        </w:rPr>
        <w:fldChar w:fldCharType="end"/>
      </w:r>
      <w:r w:rsidR="00E903F9">
        <w:rPr>
          <w:noProof/>
          <w:sz w:val="24"/>
          <w:szCs w:val="24"/>
        </w:rPr>
        <w:t>.</w:t>
      </w:r>
    </w:p>
    <w:p w14:paraId="7E516424" w14:textId="77777777" w:rsidR="0018590A" w:rsidRDefault="00A5014C" w:rsidP="00E07221">
      <w:pPr>
        <w:shd w:val="clear" w:color="auto" w:fill="FFFFFF" w:themeFill="background1"/>
        <w:spacing w:line="360" w:lineRule="auto"/>
        <w:jc w:val="both"/>
        <w:rPr>
          <w:noProof/>
        </w:rPr>
      </w:pPr>
      <w:r w:rsidRPr="00B317BD">
        <w:rPr>
          <w:noProof/>
        </w:rPr>
        <w:t>c. This approach broadens the genetic base of our food supply, reducing the risks posed by relying on just a few high-yielding varieties</w:t>
      </w:r>
      <w:r w:rsidR="00E903F9">
        <w:rPr>
          <w:noProof/>
        </w:rPr>
        <w:t xml:space="preserve"> </w:t>
      </w:r>
      <w:r w:rsidR="00E903F9">
        <w:rPr>
          <w:noProof/>
        </w:rPr>
        <w:fldChar w:fldCharType="begin" w:fldLock="1"/>
      </w:r>
      <w:r w:rsidR="00607672">
        <w:rPr>
          <w:noProof/>
        </w:rPr>
        <w:instrText>ADDIN CSL_CITATION {"citationItems":[{"id":"ITEM-1","itemData":{"DOI":"10.1007/978-981-15-0156-2_3","ISBN":"978-981-15-0156-2","abstract":"The evolution of new species revolves around the natural as well as induced genetic variation created through revolutionary and conservative forces. Evolution and domestication are the two important phenomenon which occurred in nature, while domestication acts as a signature of evolution for harnessing the important diversification traits in crop plants which plays an important role in global food security target through crop improvement. Conservation of natural genetic diversity is the utmost importance for tackling future biotic and abiotic threats for achieving global food and nutritional security. To feed the approximately 10 billion world population by 2050, it is necessary to increase the yield of staple crops up to 70–110%. Therefore, utilization of natural genetic diversity present in the form of wild relatives (CWR), landraces, and modern cultivars is indispensable for achieving food security which is of prime importance for crop improvement programs. Crop genetic resources with a broad genetic base are the valuable assets in crop plants which can be utilized through base-broadening approaches such as pre-breeding and core and mini-core collection. Besides these, a wide array of molecular approaches is available for exploitation and harnessing of natural diversity for achieving higher genetic gains for future food and nutritional security. Through this chapter, we have tried to discuss the domestication events with respect to genetic architecture in crop plants during the course of evolution, crop improvement for food and nutritional security, role of crop genetic resources and their importance, genetic bottlenecks responsible for narrowing down of genetic diversity, significance of conservation of natural variation, and base-broadening conventional approaches. Various molecular approaches (forward and reverse genetics) with genetic modification, genome editing, and sequencing methodologies for harnessing the natural variation for maximization of genetic gain and future scope of natural diversity from plant to crop with three Bs (biotechnology/biodiversity/biomimicry) and optimistic approach of conservation of diversity for future sustainable crop improvement are also discussed.","author":[{"dropping-particle":"","family":"Saini","given":"Pawan","non-dropping-particle":"","parse-names":false,"suffix":""},{"dropping-particle":"","family":"Saini","given":"Pooja","non-dropping-particle":"","parse-names":false,"suffix":""},{"dropping-particle":"","family":"Kaur","given":"Jashan Jot","non-dropping-particle":"","parse-names":false,"suffix":""},{"dropping-particle":"","family":"Francies","given":"Rose Mary","non-dropping-particle":"","parse-names":false,"suffix":""},{"dropping-particle":"","family":"Gani","given":"Mudasir","non-dropping-particle":"","parse-names":false,"suffix":""},{"dropping-particle":"","family":"Rajendra","given":"Ambavane Ajinkya","non-dropping-particle":"","parse-names":false,"suffix":""},{"dropping-particle":"","family":"Negi","given":"Narender","non-dropping-particle":"","parse-names":false,"suffix":""},{"dropping-particle":"","family":"Jagtap","given":"Ashok","non-dropping-particle":"","parse-names":false,"suffix":""},{"dropping-particle":"","family":"Kadam","given":"Amar","non-dropping-particle":"","parse-names":false,"suffix":""},{"dropping-particle":"","family":"Singh","given":"Charan","non-dropping-particle":"","parse-names":false,"suffix":""},{"dropping-particle":"","family":"Chauhan","given":"Shailendra Singh","non-dropping-particle":"","parse-names":false,"suffix":""}],"editor":[{"dropping-particle":"","family":"Salgotra","given":"Romesh Kumar","non-dropping-particle":"","parse-names":false,"suffix":""},{"dropping-particle":"","family":"Zargar","given":"Sajad Majeed","non-dropping-particle":"","parse-names":false,"suffix":""}],"id":"ITEM-1","issued":{"date-parts":[["2020"]]},"page":"67-169","publisher":"Springer Singapore","publisher-place":"Singapore","title":"Molecular Approaches for Harvesting Natural Diversity for Crop Improvement BT  - Rediscovery of Genetic and Genomic Resources for Future Food Security","type":"chapter"},"uris":["http://www.mendeley.com/documents/?uuid=89dd5744-eb7d-4c2f-8963-7e11b2505815"]}],"mendeley":{"formattedCitation":"(Saini et al., 2020)","plainTextFormattedCitation":"(Saini et al., 2020)","previouslyFormattedCitation":"(Saini et al., 2020)"},"properties":{"noteIndex":0},"schema":"https://github.com/citation-style-language/schema/raw/master/csl-citation.json"}</w:instrText>
      </w:r>
      <w:r w:rsidR="00E903F9">
        <w:rPr>
          <w:noProof/>
        </w:rPr>
        <w:fldChar w:fldCharType="separate"/>
      </w:r>
      <w:r w:rsidR="00E903F9" w:rsidRPr="00E903F9">
        <w:rPr>
          <w:noProof/>
        </w:rPr>
        <w:t>(Saini et al., 2020)</w:t>
      </w:r>
      <w:r w:rsidR="00E903F9">
        <w:rPr>
          <w:noProof/>
        </w:rPr>
        <w:fldChar w:fldCharType="end"/>
      </w:r>
      <w:r w:rsidR="00E903F9">
        <w:rPr>
          <w:noProof/>
        </w:rPr>
        <w:t>.</w:t>
      </w:r>
    </w:p>
    <w:p w14:paraId="137BB6A9" w14:textId="77777777" w:rsidR="0018590A" w:rsidRDefault="00A5014C" w:rsidP="00E07221">
      <w:pPr>
        <w:shd w:val="clear" w:color="auto" w:fill="FFFFFF" w:themeFill="background1"/>
        <w:spacing w:line="360" w:lineRule="auto"/>
        <w:jc w:val="both"/>
        <w:rPr>
          <w:noProof/>
        </w:rPr>
      </w:pPr>
      <w:r>
        <w:rPr>
          <w:noProof/>
        </w:rPr>
        <w:t>These crops contribute to national power by enhancing economic growth, bolstering agricultural resilience, and increasing geopolitical influence. A diverse food system (one that sustains a country's development, people and planet) also means greater economic potential and stronger links international</w:t>
      </w:r>
      <w:r w:rsidRPr="00F9502D">
        <w:rPr>
          <w:noProof/>
        </w:rPr>
        <w:t>ly. The global population is projected to increase by 30-35% in the next six decades. With a 'huge youth' population it is expected that we will grow to almost 10 billion human beings by 2050, with India and China as the most populous countries. As a result, the demand for global food production</w:t>
      </w:r>
      <w:r>
        <w:rPr>
          <w:noProof/>
        </w:rPr>
        <w:t xml:space="preserve"> increases, and to fulfill this demand, exotic crops help. Supporting </w:t>
      </w:r>
      <w:r w:rsidRPr="00082F4B">
        <w:rPr>
          <w:noProof/>
        </w:rPr>
        <w:t xml:space="preserve">Brazil's economy and </w:t>
      </w:r>
      <w:r w:rsidRPr="00082F4B">
        <w:rPr>
          <w:noProof/>
        </w:rPr>
        <w:lastRenderedPageBreak/>
        <w:t>export capacity has been enhanced by introducing non-native crops like soybeans, maize, and sugarcane, reducing the country's reliance on a narrow range of crops</w:t>
      </w:r>
      <w:r w:rsidR="00E951C4">
        <w:rPr>
          <w:noProof/>
        </w:rPr>
        <w:t xml:space="preserve"> </w:t>
      </w:r>
      <w:r w:rsidR="00607672">
        <w:rPr>
          <w:noProof/>
        </w:rPr>
        <w:fldChar w:fldCharType="begin" w:fldLock="1"/>
      </w:r>
      <w:r w:rsidR="00493703">
        <w:rPr>
          <w:noProof/>
        </w:rPr>
        <w:instrText>ADDIN CSL_CITATION {"citationItems":[{"id":"ITEM-1","itemData":{"ISSN":"2571-581X","abstract":"The world's population is expected to grow by 30-35% over the next 60 years. Forecasts indicate that the world's population will reach almost 10 billion by 2050, with India and China as the most populous countries. As a result, the demand for global food production, particularly protein and dairy products, and their nutritional quality will need to increase by 50-75%. In addition to increasing food production, it is also necessary to consider and reduce the impact on the environment and ecosystem. On the one hand, the threat of climate change, the reduction of arable land for agricultural expansion, the economic impact of geopolitical conflicts, the human and animal health pandemics, the conjuncture of the domestic political environments, and the demand for new technologies are the main bottlenecks to increasing sustainable food production worldwide. In contrast, notable technological advances have been achieved in current agriculture through basic and advanced scientific research, development, innovation, and technology transfer to the agribusiness sector. Technological advances in various sectors will become increasingly important to increase food production and minimize environmental impacts. This review study briefly highlights the major technological advances in world agriculture that have contributed to the substantial increase in food production from the early days of extractive agriculture to high-performance agriculture.It then highlights the key breakthroughs, disruptive technologies, the impact of climate change on agriculture, and contributions from molecular sciences that are revolutionizing global agriculture, focusing on Brazilian agriculture, livestock, and agribusiness. Subsequently, the evolution of Brazilian agriculture is highlighted based on the market share of agricultural products and its relevance to the national GDP. Finally, the potential decision-making that could have a positive impact on the Brazilian agribusiness sector and that will affect the import and export of agribusiness products were addressed.Therefore, the importance of supporting the agribusiness sector to increase healthy food production with higher nutritional quality and with less impact on the environment and human life was highlighted.","author":[{"dropping-particle":"","family":"Basso","given":"Marcos Fernando","non-dropping-particle":"","parse-names":false,"suffix":""},{"dropping-particle":"","family":"Neves","given":"Marcos Fava","non-dropping-particle":"","parse-names":false,"suffix":""},{"dropping-particle":"","family":"Grossi-de-Sa","given":"Maria Fatima","non-dropping-particle":"","parse-names":false,"suffix":""}],"container-title":"Frontiers in Sustainable Food Systems","id":"ITEM-1","issued":{"date-parts":[["2024"]]},"title":"Agriculture evolution, sustainability and trends, focusing on Brazilian agribusiness: a review","type":"article-journal","volume":"Volume 7 - 2023"},"uris":["http://www.mendeley.com/documents/?uuid=f8746fde-ed46-4380-9136-af0f0fd799cb"]}],"mendeley":{"formattedCitation":"(Basso et al., 2024)","plainTextFormattedCitation":"(Basso et al., 2024)","previouslyFormattedCitation":"(Basso et al., 2024)"},"properties":{"noteIndex":0},"schema":"https://github.com/citation-style-language/schema/raw/master/csl-citation.json"}</w:instrText>
      </w:r>
      <w:r w:rsidR="00607672">
        <w:rPr>
          <w:noProof/>
        </w:rPr>
        <w:fldChar w:fldCharType="separate"/>
      </w:r>
      <w:r w:rsidR="00607672" w:rsidRPr="00607672">
        <w:rPr>
          <w:noProof/>
        </w:rPr>
        <w:t>(Basso et al., 2024)</w:t>
      </w:r>
      <w:r w:rsidR="00607672">
        <w:rPr>
          <w:noProof/>
        </w:rPr>
        <w:fldChar w:fldCharType="end"/>
      </w:r>
      <w:r w:rsidR="00607672">
        <w:rPr>
          <w:noProof/>
        </w:rPr>
        <w:t>.</w:t>
      </w:r>
    </w:p>
    <w:p w14:paraId="0C1B355C" w14:textId="46FDCCA5" w:rsidR="00523A25" w:rsidRDefault="00A5014C" w:rsidP="00E07221">
      <w:pPr>
        <w:shd w:val="clear" w:color="auto" w:fill="FFFFFF" w:themeFill="background1"/>
        <w:spacing w:line="360" w:lineRule="auto"/>
        <w:jc w:val="both"/>
        <w:rPr>
          <w:noProof/>
        </w:rPr>
      </w:pPr>
      <w:r>
        <w:rPr>
          <w:noProof/>
        </w:rPr>
        <w:t xml:space="preserve">This rise can be witnessed in the </w:t>
      </w:r>
      <w:r w:rsidR="006262D5">
        <w:rPr>
          <w:noProof/>
        </w:rPr>
        <w:t xml:space="preserve">future as the technological advancement </w:t>
      </w:r>
      <w:r w:rsidR="00FB3155">
        <w:rPr>
          <w:noProof/>
        </w:rPr>
        <w:t>peaks. Crop management gets smarter day by day. The farmers get</w:t>
      </w:r>
      <w:r w:rsidR="000A2B12">
        <w:rPr>
          <w:noProof/>
        </w:rPr>
        <w:t xml:space="preserve"> </w:t>
      </w:r>
      <w:r w:rsidR="0021425E">
        <w:rPr>
          <w:noProof/>
        </w:rPr>
        <w:t>vigilant; today, even the consumers are smarter, and our upcoming generation is far more to witness.</w:t>
      </w:r>
      <w:r w:rsidR="005727B4">
        <w:rPr>
          <w:noProof/>
        </w:rPr>
        <w:t xml:space="preserve"> The advancement in hydroponics, </w:t>
      </w:r>
      <w:r w:rsidR="00F04F76">
        <w:rPr>
          <w:noProof/>
        </w:rPr>
        <w:t>poly</w:t>
      </w:r>
      <w:r w:rsidR="005727B4">
        <w:rPr>
          <w:noProof/>
        </w:rPr>
        <w:t>houses,</w:t>
      </w:r>
      <w:r w:rsidR="00AB0DEB">
        <w:rPr>
          <w:noProof/>
        </w:rPr>
        <w:t xml:space="preserve"> </w:t>
      </w:r>
      <w:r w:rsidR="00F04F76">
        <w:rPr>
          <w:noProof/>
        </w:rPr>
        <w:t>and genetic breeding can lead toward a future of exotics. The non</w:t>
      </w:r>
      <w:r w:rsidR="00ED6315">
        <w:rPr>
          <w:noProof/>
        </w:rPr>
        <w:t xml:space="preserve">-native exotics that are adopted as our native species reduce all nutrient deficits of the nation and also </w:t>
      </w:r>
      <w:r w:rsidR="00A56105">
        <w:rPr>
          <w:noProof/>
        </w:rPr>
        <w:t>stab</w:t>
      </w:r>
      <w:r w:rsidR="00826A1E">
        <w:rPr>
          <w:noProof/>
        </w:rPr>
        <w:t>ilize the</w:t>
      </w:r>
      <w:r w:rsidR="00A56105">
        <w:rPr>
          <w:noProof/>
        </w:rPr>
        <w:t xml:space="preserve"> price of food</w:t>
      </w:r>
      <w:r w:rsidR="00826A1E">
        <w:rPr>
          <w:noProof/>
        </w:rPr>
        <w:t>.</w:t>
      </w:r>
      <w:r w:rsidR="00000400">
        <w:rPr>
          <w:noProof/>
        </w:rPr>
        <w:t xml:space="preserve"> The significant change in world geography through exotics by changing the Ari</w:t>
      </w:r>
    </w:p>
    <w:p w14:paraId="0ADAB43C" w14:textId="77777777" w:rsidR="004A78F7" w:rsidRDefault="004A78F7" w:rsidP="00E07221">
      <w:pPr>
        <w:shd w:val="clear" w:color="auto" w:fill="FFFFFF" w:themeFill="background1"/>
        <w:spacing w:line="360" w:lineRule="auto"/>
        <w:jc w:val="both"/>
        <w:rPr>
          <w:noProof/>
        </w:rPr>
      </w:pPr>
    </w:p>
    <w:p w14:paraId="034122EA" w14:textId="77777777" w:rsidR="004A78F7" w:rsidRDefault="00A5014C" w:rsidP="00E07221">
      <w:pPr>
        <w:shd w:val="clear" w:color="auto" w:fill="FFFFFF" w:themeFill="background1"/>
        <w:spacing w:line="360" w:lineRule="auto"/>
        <w:jc w:val="both"/>
        <w:rPr>
          <w:b/>
          <w:bCs/>
          <w:noProof/>
        </w:rPr>
      </w:pPr>
      <w:r>
        <w:rPr>
          <w:b/>
          <w:bCs/>
          <w:noProof/>
        </w:rPr>
        <w:t xml:space="preserve">Conclusion </w:t>
      </w:r>
    </w:p>
    <w:p w14:paraId="74E51890" w14:textId="77777777" w:rsidR="0018590A" w:rsidRPr="00B317BD" w:rsidRDefault="00A5014C" w:rsidP="00E07221">
      <w:pPr>
        <w:shd w:val="clear" w:color="auto" w:fill="FFFFFF" w:themeFill="background1"/>
        <w:spacing w:line="360" w:lineRule="auto"/>
        <w:jc w:val="both"/>
        <w:rPr>
          <w:noProof/>
        </w:rPr>
      </w:pPr>
      <w:r>
        <w:rPr>
          <w:noProof/>
        </w:rPr>
        <w:t>F</w:t>
      </w:r>
      <w:r w:rsidRPr="00691F40">
        <w:rPr>
          <w:noProof/>
        </w:rPr>
        <w:t>armers are boldly stepping beyond traditional boundaries. They are trying non-conventional cash crops, often outside comfortable geographical confines</w:t>
      </w:r>
      <w:r w:rsidR="00426B07">
        <w:rPr>
          <w:noProof/>
        </w:rPr>
        <w:t>. Apples in Rajasthan, Thai guava in MP, and Dragon fruits in Bihar</w:t>
      </w:r>
      <w:r w:rsidR="00D74CD8">
        <w:rPr>
          <w:noProof/>
        </w:rPr>
        <w:t xml:space="preserve">, a crop native to different regions of the world, make the future of exotic crops more brighter. The </w:t>
      </w:r>
      <w:r w:rsidR="00AE1EFB">
        <w:rPr>
          <w:noProof/>
        </w:rPr>
        <w:t>exotic crops are a</w:t>
      </w:r>
      <w:r w:rsidR="00EB3B35">
        <w:rPr>
          <w:noProof/>
        </w:rPr>
        <w:t xml:space="preserve"> pillar of agricultural transformation, food security, and economic enhancement. The cropping of exotic crops with traditional crops leads to a sustainable agricultural future.</w:t>
      </w:r>
      <w:r w:rsidR="003A756D">
        <w:rPr>
          <w:noProof/>
        </w:rPr>
        <w:t xml:space="preserve"> Its future is moulded by the advance of technology, modern farming and protected cultivation</w:t>
      </w:r>
      <w:r w:rsidR="001354CB" w:rsidRPr="001354CB">
        <w:rPr>
          <w:noProof/>
        </w:rPr>
        <w:t xml:space="preserve">. Given the varied agro-climatic conditions and diverse genetic resources in the country, introduction and development of exotic species is possible/feasible </w:t>
      </w:r>
      <w:r w:rsidR="003037BD">
        <w:rPr>
          <w:noProof/>
        </w:rPr>
        <w:t>option which holds great promise. It's surrounded by walls, but it has changed agriculture in recent years.</w:t>
      </w:r>
    </w:p>
    <w:p w14:paraId="13EC36F1" w14:textId="77777777" w:rsidR="0018590A" w:rsidRPr="00B317BD" w:rsidRDefault="0018590A" w:rsidP="00E07221">
      <w:pPr>
        <w:shd w:val="clear" w:color="auto" w:fill="FFFFFF" w:themeFill="background1"/>
        <w:spacing w:line="360" w:lineRule="auto"/>
        <w:jc w:val="both"/>
        <w:rPr>
          <w:noProof/>
        </w:rPr>
      </w:pPr>
    </w:p>
    <w:p w14:paraId="680471DF" w14:textId="0C1B22B8" w:rsidR="0018590A" w:rsidRDefault="003037BD" w:rsidP="00E07221">
      <w:pPr>
        <w:shd w:val="clear" w:color="auto" w:fill="FFFFFF" w:themeFill="background1"/>
        <w:spacing w:line="360" w:lineRule="auto"/>
        <w:jc w:val="both"/>
        <w:rPr>
          <w:noProof/>
        </w:rPr>
      </w:pPr>
      <w:r>
        <w:rPr>
          <w:noProof/>
        </w:rPr>
        <w:t>It has become an integrated essential part of agriculture</w:t>
      </w:r>
      <w:r w:rsidR="004C12EC">
        <w:rPr>
          <w:noProof/>
        </w:rPr>
        <w:t xml:space="preserve"> and is much required in countries like India, where </w:t>
      </w:r>
      <w:r w:rsidR="0051754E">
        <w:rPr>
          <w:noProof/>
        </w:rPr>
        <w:t xml:space="preserve">most of the population is marginal farmers. This is no longer an option but a demand or an essentiality </w:t>
      </w:r>
      <w:r w:rsidR="003555DF">
        <w:rPr>
          <w:noProof/>
        </w:rPr>
        <w:t>of the world</w:t>
      </w:r>
      <w:r w:rsidR="00BD3A17">
        <w:rPr>
          <w:noProof/>
        </w:rPr>
        <w:t>.</w:t>
      </w:r>
    </w:p>
    <w:p w14:paraId="4FDA4032" w14:textId="77777777" w:rsidR="00BD3A17" w:rsidRPr="00BD3A17" w:rsidRDefault="00BD3A17" w:rsidP="00BD3A17">
      <w:pPr>
        <w:shd w:val="clear" w:color="auto" w:fill="FFFFFF" w:themeFill="background1"/>
        <w:spacing w:line="360" w:lineRule="auto"/>
        <w:jc w:val="both"/>
        <w:rPr>
          <w:noProof/>
          <w:lang w:val="en"/>
        </w:rPr>
      </w:pPr>
    </w:p>
    <w:p w14:paraId="54C84222" w14:textId="77777777" w:rsidR="001A352D" w:rsidRDefault="001A352D" w:rsidP="001A352D">
      <w:pPr>
        <w:shd w:val="clear" w:color="auto" w:fill="FFFFFF" w:themeFill="background1"/>
        <w:spacing w:line="360" w:lineRule="auto"/>
        <w:jc w:val="both"/>
        <w:rPr>
          <w:noProof/>
        </w:rPr>
      </w:pPr>
      <w:r>
        <w:rPr>
          <w:noProof/>
        </w:rPr>
        <w:t>COMPETING INTERESTS DISCLAIMER:</w:t>
      </w:r>
    </w:p>
    <w:p w14:paraId="46B09A6B" w14:textId="219DFA6E" w:rsidR="001A352D" w:rsidRPr="00BD3A17" w:rsidRDefault="001A352D" w:rsidP="001A352D">
      <w:pPr>
        <w:shd w:val="clear" w:color="auto" w:fill="FFFFFF" w:themeFill="background1"/>
        <w:spacing w:line="360" w:lineRule="auto"/>
        <w:jc w:val="both"/>
        <w:rPr>
          <w:noProof/>
        </w:rPr>
      </w:pPr>
      <w:r>
        <w:rPr>
          <w:noProof/>
        </w:rPr>
        <w:t>Authors have declared that they have no known competing financial interests OR non-financial interests OR personal relationships that could have appeared to influence the work reported in this paper.</w:t>
      </w:r>
    </w:p>
    <w:p w14:paraId="1EF49C38" w14:textId="4509890E" w:rsidR="00177864" w:rsidRPr="00BD3A17" w:rsidRDefault="00A5014C" w:rsidP="00E07221">
      <w:pPr>
        <w:shd w:val="clear" w:color="auto" w:fill="FFFFFF" w:themeFill="background1"/>
        <w:spacing w:line="360" w:lineRule="auto"/>
        <w:jc w:val="both"/>
        <w:rPr>
          <w:b/>
          <w:bCs/>
          <w:noProof/>
          <w:sz w:val="24"/>
          <w:szCs w:val="24"/>
        </w:rPr>
      </w:pPr>
      <w:r w:rsidRPr="00BD3A17">
        <w:rPr>
          <w:rFonts w:ascii="Times New Roman" w:hAnsi="Times New Roman" w:cs="Times New Roman"/>
          <w:b/>
          <w:bCs/>
          <w:sz w:val="24"/>
          <w:szCs w:val="24"/>
        </w:rPr>
        <w:t>REF</w:t>
      </w:r>
      <w:r w:rsidR="00851ADA">
        <w:rPr>
          <w:rFonts w:ascii="Times New Roman" w:hAnsi="Times New Roman" w:cs="Times New Roman"/>
          <w:b/>
          <w:bCs/>
          <w:sz w:val="24"/>
          <w:szCs w:val="24"/>
        </w:rPr>
        <w:t>E</w:t>
      </w:r>
      <w:bookmarkStart w:id="0" w:name="_GoBack"/>
      <w:bookmarkEnd w:id="0"/>
      <w:r w:rsidRPr="00BD3A17">
        <w:rPr>
          <w:rFonts w:ascii="Times New Roman" w:hAnsi="Times New Roman" w:cs="Times New Roman"/>
          <w:b/>
          <w:bCs/>
          <w:sz w:val="24"/>
          <w:szCs w:val="24"/>
        </w:rPr>
        <w:t>RENCES</w:t>
      </w:r>
    </w:p>
    <w:p w14:paraId="17E8A76B" w14:textId="653FBAFC" w:rsidR="00FD18E2" w:rsidRPr="00FD18E2" w:rsidRDefault="00A5014C" w:rsidP="00FD18E2">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A17C1E">
        <w:rPr>
          <w:rFonts w:ascii="Times New Roman" w:hAnsi="Times New Roman" w:cs="Times New Roman"/>
          <w:sz w:val="24"/>
          <w:szCs w:val="24"/>
        </w:rPr>
        <w:fldChar w:fldCharType="begin" w:fldLock="1"/>
      </w:r>
      <w:r w:rsidRPr="00BD3A17">
        <w:rPr>
          <w:rFonts w:ascii="Times New Roman" w:hAnsi="Times New Roman" w:cs="Times New Roman"/>
          <w:sz w:val="24"/>
          <w:szCs w:val="24"/>
        </w:rPr>
        <w:instrText xml:space="preserve">ADDIN Mendeley Bibliography CSL_BIBLIOGRAPHY </w:instrText>
      </w:r>
      <w:r w:rsidRPr="00A17C1E">
        <w:rPr>
          <w:rFonts w:ascii="Times New Roman" w:hAnsi="Times New Roman" w:cs="Times New Roman"/>
          <w:sz w:val="24"/>
          <w:szCs w:val="24"/>
        </w:rPr>
        <w:fldChar w:fldCharType="separate"/>
      </w:r>
      <w:r w:rsidRPr="00BD3A17">
        <w:rPr>
          <w:rFonts w:ascii="Times New Roman" w:hAnsi="Times New Roman" w:cs="Times New Roman"/>
          <w:noProof/>
          <w:kern w:val="0"/>
          <w:sz w:val="24"/>
        </w:rPr>
        <w:t xml:space="preserve">Adebayo, P. F., &amp; Ojo, E. O. (2012). FOOD SECURITY IN NIGERIA: AN </w:t>
      </w:r>
      <w:r w:rsidRPr="00BD3A17">
        <w:rPr>
          <w:rFonts w:ascii="Times New Roman" w:hAnsi="Times New Roman" w:cs="Times New Roman"/>
          <w:noProof/>
          <w:kern w:val="0"/>
          <w:sz w:val="24"/>
        </w:rPr>
        <w:lastRenderedPageBreak/>
        <w:t xml:space="preserve">OVERVIEW. </w:t>
      </w:r>
      <w:r w:rsidRPr="00BD3A17">
        <w:rPr>
          <w:rFonts w:ascii="Times New Roman" w:hAnsi="Times New Roman" w:cs="Times New Roman"/>
          <w:i/>
          <w:iCs/>
          <w:noProof/>
          <w:kern w:val="0"/>
          <w:sz w:val="24"/>
        </w:rPr>
        <w:t>European Journal of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w:t>
      </w:r>
      <w:r w:rsidRPr="00BD3A17">
        <w:rPr>
          <w:rFonts w:ascii="Times New Roman" w:hAnsi="Times New Roman" w:cs="Times New Roman"/>
          <w:noProof/>
          <w:kern w:val="0"/>
          <w:sz w:val="24"/>
        </w:rPr>
        <w:t xml:space="preserve">(2 SE-), 199. </w:t>
      </w:r>
      <w:r w:rsidR="00FD18E2" w:rsidRPr="00FD18E2">
        <w:rPr>
          <w:rFonts w:ascii="Times New Roman" w:hAnsi="Times New Roman" w:cs="Times New Roman"/>
          <w:noProof/>
          <w:kern w:val="0"/>
          <w:sz w:val="24"/>
        </w:rPr>
        <w:t>DOI: </w:t>
      </w:r>
      <w:r w:rsidR="00F73BF2">
        <w:rPr>
          <w:rFonts w:ascii="Arial" w:eastAsia="Times New Roman" w:hAnsi="Arial" w:cs="Arial"/>
          <w:sz w:val="18"/>
          <w:szCs w:val="18"/>
        </w:rPr>
        <w:t>https://doi.org/10.14207/ejsd.2012.v1n2p199</w:t>
      </w:r>
    </w:p>
    <w:p w14:paraId="5CDEBC6F" w14:textId="6F877F97" w:rsidR="00107F0C" w:rsidRPr="00FD18E2" w:rsidRDefault="00A5014C" w:rsidP="00FD18E2">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FD18E2">
        <w:rPr>
          <w:rFonts w:ascii="Times New Roman" w:hAnsi="Times New Roman" w:cs="Times New Roman"/>
          <w:noProof/>
          <w:kern w:val="0"/>
          <w:sz w:val="24"/>
        </w:rPr>
        <w:t xml:space="preserve">Agesa, B. L., Onyango, C. M., Kathumo, V. M., Onwonga, R. N., &amp; Karuku, G. N. (2019). Climate change affects crop production in Yatta sub-County: Farmer perceptions and adaptation strategies. </w:t>
      </w:r>
      <w:r w:rsidRPr="00FD18E2">
        <w:rPr>
          <w:rFonts w:ascii="Times New Roman" w:hAnsi="Times New Roman" w:cs="Times New Roman"/>
          <w:i/>
          <w:iCs/>
          <w:noProof/>
          <w:kern w:val="0"/>
          <w:sz w:val="24"/>
        </w:rPr>
        <w:t>African Journal of Food, Agriculture, Nutrition and Development</w:t>
      </w:r>
      <w:r w:rsidRPr="00FD18E2">
        <w:rPr>
          <w:rFonts w:ascii="Times New Roman" w:hAnsi="Times New Roman" w:cs="Times New Roman"/>
          <w:noProof/>
          <w:kern w:val="0"/>
          <w:sz w:val="24"/>
        </w:rPr>
        <w:t xml:space="preserve">, </w:t>
      </w:r>
      <w:r w:rsidRPr="00FD18E2">
        <w:rPr>
          <w:rFonts w:ascii="Times New Roman" w:hAnsi="Times New Roman" w:cs="Times New Roman"/>
          <w:i/>
          <w:iCs/>
          <w:noProof/>
          <w:kern w:val="0"/>
          <w:sz w:val="24"/>
        </w:rPr>
        <w:t>19</w:t>
      </w:r>
      <w:r w:rsidRPr="00FD18E2">
        <w:rPr>
          <w:rFonts w:ascii="Times New Roman" w:hAnsi="Times New Roman" w:cs="Times New Roman"/>
          <w:noProof/>
          <w:kern w:val="0"/>
          <w:sz w:val="24"/>
        </w:rPr>
        <w:t xml:space="preserve">(1), 14010–14042. </w:t>
      </w:r>
      <w:r w:rsidR="00F73BF2">
        <w:rPr>
          <w:rFonts w:ascii="Arial" w:eastAsia="Times New Roman" w:hAnsi="Arial" w:cs="Arial"/>
          <w:sz w:val="18"/>
          <w:szCs w:val="18"/>
        </w:rPr>
        <w:t>https://doi.org/10.18697/AJFAND.84.BLFB1017</w:t>
      </w:r>
    </w:p>
    <w:p w14:paraId="67EFD0EE" w14:textId="6D80B50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Basso, M. F., Neves, M. F., &amp; Grossi-de-Sa, M. F. (2024). Agriculture evolution, sustainability, and trends, focusing on Brazilian agribusiness: a review.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2023</w:t>
      </w:r>
      <w:r w:rsidRPr="00BD3A17">
        <w:rPr>
          <w:rFonts w:ascii="Times New Roman" w:hAnsi="Times New Roman" w:cs="Times New Roman"/>
          <w:noProof/>
          <w:kern w:val="0"/>
          <w:sz w:val="24"/>
        </w:rPr>
        <w:t xml:space="preserve">. </w:t>
      </w:r>
      <w:r w:rsidR="00F73BF2">
        <w:rPr>
          <w:rFonts w:ascii="Arial" w:eastAsia="Times New Roman" w:hAnsi="Arial" w:cs="Arial"/>
          <w:sz w:val="18"/>
          <w:szCs w:val="18"/>
        </w:rPr>
        <w:t>https://doi.org/10.3389/fsufs.2023.1296337</w:t>
      </w:r>
    </w:p>
    <w:p w14:paraId="762F15CC" w14:textId="378F95D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Bazile, D., Pulvento, C., Verniau, A., Al-Nusairi, M. S., Ba, D., Breidy, J., Hassan, L., Mohammed, M. I., Mambetov, O., Otambekova, M., Sepahvand, N. A., Shams, A., Souici, D., Miri, K., &amp; Padulosi, S. (2016). Worldwide Evaluations of Quinoa: Preliminary Results from Post International Year of Quinoa FAO Projects in Nine Countries.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 xml:space="preserve">-. </w:t>
      </w:r>
      <w:r w:rsidR="00F73BF2">
        <w:rPr>
          <w:rFonts w:ascii="Arial" w:eastAsia="Times New Roman" w:hAnsi="Arial" w:cs="Arial"/>
          <w:sz w:val="18"/>
          <w:szCs w:val="18"/>
        </w:rPr>
        <w:t>https://doi.org/10.3389/fpls.2016.00850</w:t>
      </w:r>
    </w:p>
    <w:p w14:paraId="07641D10" w14:textId="553F9672"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Cooper, H. D., Spillane, C., &amp; Hodgkin, T. (2001). Broadening the genetic base of crops: an overview. </w:t>
      </w:r>
      <w:r w:rsidRPr="00BD3A17">
        <w:rPr>
          <w:rFonts w:ascii="Times New Roman" w:hAnsi="Times New Roman" w:cs="Times New Roman"/>
          <w:i/>
          <w:iCs/>
          <w:noProof/>
          <w:kern w:val="0"/>
          <w:sz w:val="24"/>
        </w:rPr>
        <w:t>CABI</w:t>
      </w:r>
      <w:r w:rsidRPr="00BD3A17">
        <w:rPr>
          <w:rFonts w:ascii="Times New Roman" w:hAnsi="Times New Roman" w:cs="Times New Roman"/>
          <w:noProof/>
          <w:kern w:val="0"/>
          <w:sz w:val="24"/>
        </w:rPr>
        <w:t xml:space="preserve">, 1–23. </w:t>
      </w:r>
      <w:r w:rsidR="00F73BF2">
        <w:rPr>
          <w:rFonts w:ascii="Arial" w:eastAsia="Times New Roman" w:hAnsi="Arial" w:cs="Arial"/>
          <w:sz w:val="18"/>
          <w:szCs w:val="18"/>
        </w:rPr>
        <w:t>https://doi.org/10.1079/9780851994116.0001</w:t>
      </w:r>
    </w:p>
    <w:p w14:paraId="26BB9C4C" w14:textId="324BEA1A"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Dept., I. M. F. A. (n.d.). </w:t>
      </w:r>
      <w:r w:rsidRPr="00BD3A17">
        <w:rPr>
          <w:rFonts w:ascii="Times New Roman" w:hAnsi="Times New Roman" w:cs="Times New Roman"/>
          <w:i/>
          <w:iCs/>
          <w:noProof/>
          <w:kern w:val="0"/>
          <w:sz w:val="24"/>
        </w:rPr>
        <w:t>Guinea-Bissau</w:t>
      </w:r>
      <w:r w:rsidRPr="00BD3A17">
        <w:rPr>
          <w:rFonts w:ascii="Times New Roman" w:hAnsi="Times New Roman" w:cs="Times New Roman"/>
          <w:noProof/>
          <w:kern w:val="0"/>
          <w:sz w:val="24"/>
        </w:rPr>
        <w:t xml:space="preserve">. International Monetary Fund (IMF). </w:t>
      </w:r>
      <w:r w:rsidR="00F73BF2">
        <w:rPr>
          <w:rFonts w:ascii="Arial" w:eastAsia="Times New Roman" w:hAnsi="Arial" w:cs="Arial"/>
          <w:sz w:val="18"/>
          <w:szCs w:val="18"/>
        </w:rPr>
        <w:t>https://doi.org/10.5089/9798229016421.002</w:t>
      </w:r>
    </w:p>
    <w:p w14:paraId="0667CCE8" w14:textId="4B6F1A65"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Dhakal, B., &amp; Kattel, R. R. (2019). Effects of global changes on ecosystem services of multiple natural resources in mountain agricultural landscapes. </w:t>
      </w:r>
      <w:r w:rsidRPr="00BD3A17">
        <w:rPr>
          <w:rFonts w:ascii="Times New Roman" w:hAnsi="Times New Roman" w:cs="Times New Roman"/>
          <w:i/>
          <w:iCs/>
          <w:noProof/>
          <w:kern w:val="0"/>
          <w:sz w:val="24"/>
        </w:rPr>
        <w:t>Science of The Total Environment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676</w:t>
      </w:r>
      <w:r w:rsidRPr="00BD3A17">
        <w:rPr>
          <w:rFonts w:ascii="Times New Roman" w:hAnsi="Times New Roman" w:cs="Times New Roman"/>
          <w:noProof/>
          <w:kern w:val="0"/>
          <w:sz w:val="24"/>
        </w:rPr>
        <w:t xml:space="preserve">, 665–682. </w:t>
      </w:r>
      <w:r w:rsidR="00F73BF2">
        <w:rPr>
          <w:rFonts w:ascii="Arial" w:eastAsia="Times New Roman" w:hAnsi="Arial" w:cs="Arial"/>
          <w:sz w:val="18"/>
          <w:szCs w:val="18"/>
        </w:rPr>
        <w:t>https://doi.org/10.1016/j.scitotenv.2019.04.276</w:t>
      </w:r>
    </w:p>
    <w:p w14:paraId="572C83B9" w14:textId="12CB7062"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Duc, G., Agrama, H., Bao, S., Berger, J., Bourion, V., De Ron, A. M., Gowda, C. L. L., Mikic, A., Millot, D., Singh, K. B., Tullu, A., Vandenberg, A., Vaz Patto, M. C., Warkentin, T. D., &amp; Zong, X. (2015). Breeding Annual Grain Legumes for Sustainable Agriculture: New Methods to Approach Complex Traits and Target New Cultivar Ideotypes. </w:t>
      </w:r>
      <w:r w:rsidRPr="00BD3A17">
        <w:rPr>
          <w:rFonts w:ascii="Times New Roman" w:hAnsi="Times New Roman" w:cs="Times New Roman"/>
          <w:i/>
          <w:iCs/>
          <w:noProof/>
          <w:kern w:val="0"/>
          <w:sz w:val="24"/>
        </w:rPr>
        <w:t>Critical Reviews in Plant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34</w:t>
      </w:r>
      <w:r w:rsidRPr="00BD3A17">
        <w:rPr>
          <w:rFonts w:ascii="Times New Roman" w:hAnsi="Times New Roman" w:cs="Times New Roman"/>
          <w:noProof/>
          <w:kern w:val="0"/>
          <w:sz w:val="24"/>
        </w:rPr>
        <w:t xml:space="preserve">(1–3), 381–411. </w:t>
      </w:r>
      <w:r w:rsidR="00F73BF2">
        <w:rPr>
          <w:rFonts w:ascii="Arial" w:eastAsia="Times New Roman" w:hAnsi="Arial" w:cs="Arial"/>
          <w:sz w:val="18"/>
          <w:szCs w:val="18"/>
        </w:rPr>
        <w:t>https://doi.org/10.1080/07352689.2014.898469</w:t>
      </w:r>
    </w:p>
    <w:p w14:paraId="61C626D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Economics, A., &amp; Library, D. (n.d.). </w:t>
      </w:r>
      <w:r w:rsidRPr="00BD3A17">
        <w:rPr>
          <w:rFonts w:ascii="Times New Roman" w:hAnsi="Times New Roman" w:cs="Times New Roman"/>
          <w:i/>
          <w:iCs/>
          <w:noProof/>
          <w:kern w:val="0"/>
          <w:sz w:val="24"/>
        </w:rPr>
        <w:t>This document is discoverable and free to researchers across the globe due to the work of AgEcon Search. Help ensure our sustainability.</w:t>
      </w:r>
      <w:r w:rsidRPr="00BD3A17">
        <w:rPr>
          <w:rFonts w:ascii="Times New Roman" w:hAnsi="Times New Roman" w:cs="Times New Roman"/>
          <w:noProof/>
          <w:kern w:val="0"/>
          <w:sz w:val="24"/>
        </w:rPr>
        <w:t xml:space="preserve"> https://doi.org/10.5958/0974-0279.2018.00001.0</w:t>
      </w:r>
    </w:p>
    <w:p w14:paraId="09CC459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Ennos, R. (2014). Resilience of forests to pathogens: An evolutionary ecology perspective. </w:t>
      </w:r>
      <w:r w:rsidRPr="00BD3A17">
        <w:rPr>
          <w:rFonts w:ascii="Times New Roman" w:hAnsi="Times New Roman" w:cs="Times New Roman"/>
          <w:i/>
          <w:iCs/>
          <w:noProof/>
          <w:kern w:val="0"/>
          <w:sz w:val="24"/>
        </w:rPr>
        <w:t>Forestry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88</w:t>
      </w:r>
      <w:r w:rsidRPr="00BD3A17">
        <w:rPr>
          <w:rFonts w:ascii="Times New Roman" w:hAnsi="Times New Roman" w:cs="Times New Roman"/>
          <w:noProof/>
          <w:kern w:val="0"/>
          <w:sz w:val="24"/>
        </w:rPr>
        <w:t>, 41–52. https://doi.org/10.1093/forestry/cpu048</w:t>
      </w:r>
    </w:p>
    <w:p w14:paraId="7C96A2F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Gebretsadik, K., &amp; Kiflu, A. (2018). Challenges and Opportunities of Genetically Modified Crops Production: Future Perspectives in Ethiopia, Review. </w:t>
      </w:r>
      <w:r w:rsidRPr="00BD3A17">
        <w:rPr>
          <w:rFonts w:ascii="Times New Roman" w:hAnsi="Times New Roman" w:cs="Times New Roman"/>
          <w:i/>
          <w:iCs/>
          <w:noProof/>
          <w:kern w:val="0"/>
          <w:sz w:val="24"/>
        </w:rPr>
        <w:t xml:space="preserve">The Open </w:t>
      </w:r>
      <w:r w:rsidRPr="00BD3A17">
        <w:rPr>
          <w:rFonts w:ascii="Times New Roman" w:hAnsi="Times New Roman" w:cs="Times New Roman"/>
          <w:i/>
          <w:iCs/>
          <w:noProof/>
          <w:kern w:val="0"/>
          <w:sz w:val="24"/>
        </w:rPr>
        <w:lastRenderedPageBreak/>
        <w:t>Agriculture Journal</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12</w:t>
      </w:r>
      <w:r w:rsidRPr="00BD3A17">
        <w:rPr>
          <w:rFonts w:ascii="Times New Roman" w:hAnsi="Times New Roman" w:cs="Times New Roman"/>
          <w:noProof/>
          <w:kern w:val="0"/>
          <w:sz w:val="24"/>
        </w:rPr>
        <w:t>(1), 240–250. https://doi.org/10.2174/1874331501819010240</w:t>
      </w:r>
    </w:p>
    <w:p w14:paraId="39F7F51E" w14:textId="5D9E10A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Hanjra, M. A., &amp; Williams, T. O. (2020). </w:t>
      </w:r>
      <w:r w:rsidRPr="00BD3A17">
        <w:rPr>
          <w:rFonts w:ascii="Times New Roman" w:hAnsi="Times New Roman" w:cs="Times New Roman"/>
          <w:i/>
          <w:iCs/>
          <w:noProof/>
          <w:kern w:val="0"/>
          <w:sz w:val="24"/>
        </w:rPr>
        <w:t>Global Change and Investments in Smallholder Irrigation for Food and Nutrition Security in Sub-Saharan Africa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Role of Smallholder Farms in Food and Nutrition Security</w:t>
      </w:r>
      <w:r w:rsidRPr="00BD3A17">
        <w:rPr>
          <w:rFonts w:ascii="Times New Roman" w:hAnsi="Times New Roman" w:cs="Times New Roman"/>
          <w:noProof/>
          <w:kern w:val="0"/>
          <w:sz w:val="24"/>
        </w:rPr>
        <w:t xml:space="preserve"> (S. Gomez y Paloma, L. Riesgo, &amp; K. Louhichi (Eds.); pp. 99–131). Springer International Publishing. https://doi.org/10.1007/978-3-030-42148-9_6</w:t>
      </w:r>
    </w:p>
    <w:p w14:paraId="788349B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H., Dawson, I. K., Franzel, S., Leakey, R. R. B., Mithfer, D., Akinnifesi, F. K., &amp; Tchoundjeu, Z. (2011). Improving livelihoods and nutrition in sub-Saharan Africa by promoting indigenous and exotic fruit production in smallholders' agroforestry systems: A review. </w:t>
      </w:r>
      <w:r w:rsidRPr="00BD3A17">
        <w:rPr>
          <w:rFonts w:ascii="Times New Roman" w:hAnsi="Times New Roman" w:cs="Times New Roman"/>
          <w:i/>
          <w:iCs/>
          <w:noProof/>
          <w:kern w:val="0"/>
          <w:sz w:val="24"/>
        </w:rPr>
        <w:t>International Forestry Review</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(3), 338–354. https://doi.org/10.1505/146554811798293836</w:t>
      </w:r>
    </w:p>
    <w:p w14:paraId="5FAF5502" w14:textId="1062E52F"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Place, F., Torquebiau, E., Malézieux, E., Iiyama, M., Sileshi, G. W., Kehlenbeck, K., Masters, E., McMullin, S., &amp; Dawson, I. K. (2013). Agroforestry for food and nutritional security. </w:t>
      </w:r>
      <w:r w:rsidRPr="00BD3A17">
        <w:rPr>
          <w:rFonts w:ascii="Times New Roman" w:hAnsi="Times New Roman" w:cs="Times New Roman"/>
          <w:i/>
          <w:iCs/>
          <w:noProof/>
          <w:kern w:val="0"/>
          <w:sz w:val="24"/>
        </w:rPr>
        <w:t>Unasylva</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64</w:t>
      </w:r>
      <w:r w:rsidRPr="00BD3A17">
        <w:rPr>
          <w:rFonts w:ascii="Times New Roman" w:hAnsi="Times New Roman" w:cs="Times New Roman"/>
          <w:noProof/>
          <w:kern w:val="0"/>
          <w:sz w:val="24"/>
        </w:rPr>
        <w:t>(241), 23–29.</w:t>
      </w:r>
      <w:r w:rsidR="00F73BF2" w:rsidRPr="00F73BF2">
        <w:rPr>
          <w:rFonts w:ascii="Arial" w:eastAsia="Times New Roman" w:hAnsi="Arial" w:cs="Arial"/>
          <w:sz w:val="18"/>
          <w:szCs w:val="18"/>
        </w:rPr>
        <w:t xml:space="preserve"> </w:t>
      </w:r>
      <w:r w:rsidR="00F73BF2">
        <w:rPr>
          <w:rFonts w:ascii="Arial" w:eastAsia="Times New Roman" w:hAnsi="Arial" w:cs="Arial"/>
          <w:sz w:val="18"/>
          <w:szCs w:val="18"/>
        </w:rPr>
        <w:t>https://www.fao.org/forestry/unasylva/64/241/en/</w:t>
      </w:r>
    </w:p>
    <w:p w14:paraId="645D06AA"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John, I. (2024). Indigenous or Exotic Crop Diversity? Which Crops Ensure Household Food Security: Facts from Tanzania Panel. </w:t>
      </w:r>
      <w:r w:rsidRPr="00BD3A17">
        <w:rPr>
          <w:rFonts w:ascii="Times New Roman" w:hAnsi="Times New Roman" w:cs="Times New Roman"/>
          <w:i/>
          <w:iCs/>
          <w:noProof/>
          <w:kern w:val="0"/>
          <w:sz w:val="24"/>
        </w:rPr>
        <w:t>Sustainability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(9). https://doi.org/10.3390/su16093833</w:t>
      </w:r>
    </w:p>
    <w:p w14:paraId="5FD598E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Kahane, R., Hodgkin, T., Jaenicke, H., Hoogendoorn, C., Hermann, M., (Dyno) Keatinge, J. D. H., d'Arros Hughes, J., Padulosi, S., &amp; Looney, N. (2013). Agrobiodiversity for food security, health, and income. </w:t>
      </w:r>
      <w:r w:rsidRPr="00BD3A17">
        <w:rPr>
          <w:rFonts w:ascii="Times New Roman" w:hAnsi="Times New Roman" w:cs="Times New Roman"/>
          <w:i/>
          <w:iCs/>
          <w:noProof/>
          <w:kern w:val="0"/>
          <w:sz w:val="24"/>
        </w:rPr>
        <w:t>Agronomy for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(4), 671–693. https://doi.org/10.1007/s13593-013-0147-8</w:t>
      </w:r>
    </w:p>
    <w:p w14:paraId="2057940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Karunathilake, E. M. B. M., Le, A. T., Heo, S., Chung, Y. S., &amp; Mansoor, S. (2023). The Path to Smart Farming: Innovations and Opportunities in Precision Agriculture. </w:t>
      </w:r>
      <w:r w:rsidRPr="00BD3A17">
        <w:rPr>
          <w:rFonts w:ascii="Times New Roman" w:hAnsi="Times New Roman" w:cs="Times New Roman"/>
          <w:i/>
          <w:iCs/>
          <w:noProof/>
          <w:kern w:val="0"/>
          <w:sz w:val="24"/>
        </w:rPr>
        <w:t>Agriculture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(8), 1–26. https://doi.org/10.3390/agriculture13081593</w:t>
      </w:r>
    </w:p>
    <w:p w14:paraId="5AD6E6F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Kell, S., Rosenfeld, A., Cunningham, S., Dobbie, S., &amp; Maxted, N. (2018). The benefits of exotic food crops cultivated by small-scale growers in the UK. </w:t>
      </w:r>
      <w:r w:rsidRPr="00BD3A17">
        <w:rPr>
          <w:rFonts w:ascii="Times New Roman" w:hAnsi="Times New Roman" w:cs="Times New Roman"/>
          <w:i/>
          <w:iCs/>
          <w:noProof/>
          <w:kern w:val="0"/>
          <w:sz w:val="24"/>
        </w:rPr>
        <w:t>Renewable Agriculture and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(6), 569–584. https://doi.org/DOI: 10.1017/S1742170517000424</w:t>
      </w:r>
    </w:p>
    <w:p w14:paraId="0168BAA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Kumar, A. (2023). </w:t>
      </w:r>
      <w:r w:rsidRPr="00BD3A17">
        <w:rPr>
          <w:rFonts w:ascii="Times New Roman" w:hAnsi="Times New Roman" w:cs="Times New Roman"/>
          <w:i/>
          <w:iCs/>
          <w:noProof/>
          <w:kern w:val="0"/>
          <w:sz w:val="24"/>
        </w:rPr>
        <w:t>Plant Quarantine and Inspection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July</w:t>
      </w:r>
      <w:r w:rsidRPr="00BD3A17">
        <w:rPr>
          <w:rFonts w:ascii="Times New Roman" w:hAnsi="Times New Roman" w:cs="Times New Roman"/>
          <w:noProof/>
          <w:kern w:val="0"/>
          <w:sz w:val="24"/>
        </w:rPr>
        <w:t>.</w:t>
      </w:r>
    </w:p>
    <w:p w14:paraId="29CD4F5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Lohitha, P., Savitha, B. K., Indu Rani, C., Vanitha, K., Iyanar, K., &amp; Ashok Kumar, G. (2025). Adaptability of exotic crucifers in Indian agro-environments: A comparative study in Hyderabad and Coimbatore. </w:t>
      </w:r>
      <w:r w:rsidRPr="00BD3A17">
        <w:rPr>
          <w:rFonts w:ascii="Times New Roman" w:hAnsi="Times New Roman" w:cs="Times New Roman"/>
          <w:i/>
          <w:iCs/>
          <w:noProof/>
          <w:kern w:val="0"/>
          <w:sz w:val="24"/>
        </w:rPr>
        <w:t>Plant Science Today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w:t>
      </w:r>
      <w:r w:rsidRPr="00BD3A17">
        <w:rPr>
          <w:rFonts w:ascii="Times New Roman" w:hAnsi="Times New Roman" w:cs="Times New Roman"/>
          <w:noProof/>
          <w:kern w:val="0"/>
          <w:sz w:val="24"/>
        </w:rPr>
        <w:t>(sp4 SE-Research Articles). https://doi.org/10.14719/pst.5467</w:t>
      </w:r>
    </w:p>
    <w:p w14:paraId="446A938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lastRenderedPageBreak/>
        <w:t xml:space="preserve">Marappan, K., Sadasivam, S., Natarajan, N., Arumugam, V. A., Lakshmaiah, K., Thangaraj, M., Giridhar Gopal, M., &amp; Asokan, A. (2025). Underutilized fruit crops as a sustainable approach to enhancing nutritional security and promoting economic growth.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w:t>
      </w:r>
      <w:r w:rsidRPr="00BD3A17">
        <w:rPr>
          <w:rFonts w:ascii="Times New Roman" w:hAnsi="Times New Roman" w:cs="Times New Roman"/>
          <w:noProof/>
          <w:kern w:val="0"/>
          <w:sz w:val="24"/>
        </w:rPr>
        <w:t>. https://doi.org/10.3389/fsufs.2025.1618112</w:t>
      </w:r>
    </w:p>
    <w:p w14:paraId="47AB7BB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McLaughlin, S. P. (1996). Evolution of crop plants. 2nd Ed. </w:t>
      </w:r>
      <w:r w:rsidRPr="00BD3A17">
        <w:rPr>
          <w:rFonts w:ascii="Times New Roman" w:hAnsi="Times New Roman" w:cs="Times New Roman"/>
          <w:i/>
          <w:iCs/>
          <w:noProof/>
          <w:kern w:val="0"/>
          <w:sz w:val="24"/>
        </w:rPr>
        <w:t>Economic Botany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50</w:t>
      </w:r>
      <w:r w:rsidRPr="00BD3A17">
        <w:rPr>
          <w:rFonts w:ascii="Times New Roman" w:hAnsi="Times New Roman" w:cs="Times New Roman"/>
          <w:noProof/>
          <w:kern w:val="0"/>
          <w:sz w:val="24"/>
        </w:rPr>
        <w:t>(3), 279. https://doi.org/10.1007/BF02907332</w:t>
      </w:r>
    </w:p>
    <w:p w14:paraId="18B65528"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Muluneh, M. G. (2021). Impact of climate change on biodiversity and food security: a global perspective—a review article. </w:t>
      </w:r>
      <w:r w:rsidRPr="00BD3A17">
        <w:rPr>
          <w:rFonts w:ascii="Times New Roman" w:hAnsi="Times New Roman" w:cs="Times New Roman"/>
          <w:i/>
          <w:iCs/>
          <w:noProof/>
          <w:kern w:val="0"/>
          <w:sz w:val="24"/>
        </w:rPr>
        <w:t>Agriculture &amp; Food Security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w:t>
      </w:r>
      <w:r w:rsidRPr="00BD3A17">
        <w:rPr>
          <w:rFonts w:ascii="Times New Roman" w:hAnsi="Times New Roman" w:cs="Times New Roman"/>
          <w:noProof/>
          <w:kern w:val="0"/>
          <w:sz w:val="24"/>
        </w:rPr>
        <w:t>(1), 36. https://doi.org/10.1186/s40066-021-00318-5</w:t>
      </w:r>
    </w:p>
    <w:p w14:paraId="25ED970E" w14:textId="3CB39E6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O’Rourke, D. (2021). </w:t>
      </w:r>
      <w:r w:rsidRPr="00BD3A17">
        <w:rPr>
          <w:rFonts w:ascii="Times New Roman" w:hAnsi="Times New Roman" w:cs="Times New Roman"/>
          <w:i/>
          <w:iCs/>
          <w:noProof/>
          <w:kern w:val="0"/>
          <w:sz w:val="24"/>
        </w:rPr>
        <w:t>Economic Importance of the World Apple Industry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Apple Genome</w:t>
      </w:r>
      <w:r w:rsidRPr="00BD3A17">
        <w:rPr>
          <w:rFonts w:ascii="Times New Roman" w:hAnsi="Times New Roman" w:cs="Times New Roman"/>
          <w:noProof/>
          <w:kern w:val="0"/>
          <w:sz w:val="24"/>
        </w:rPr>
        <w:t xml:space="preserve"> (S. S. Korban (Ed.); pp. 1–18). Springer International Publishing. https://doi.org/10.1007/978-3-030-74682-7_1</w:t>
      </w:r>
    </w:p>
    <w:p w14:paraId="26C8BE6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Oli, S., Joshi, R., &amp; Bohara, B. (2024). </w:t>
      </w:r>
      <w:r w:rsidRPr="00BD3A17">
        <w:rPr>
          <w:rFonts w:ascii="Times New Roman" w:hAnsi="Times New Roman" w:cs="Times New Roman"/>
          <w:i/>
          <w:iCs/>
          <w:noProof/>
          <w:kern w:val="0"/>
          <w:sz w:val="24"/>
        </w:rPr>
        <w:t>A Review on Parthenium hysterophorus L. and its application in Agriculture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January</w:t>
      </w:r>
      <w:r w:rsidRPr="00BD3A17">
        <w:rPr>
          <w:rFonts w:ascii="Times New Roman" w:hAnsi="Times New Roman" w:cs="Times New Roman"/>
          <w:noProof/>
          <w:kern w:val="0"/>
          <w:sz w:val="24"/>
        </w:rPr>
        <w:t>. https://doi.org/10.48309/jrws.2023.409381.1198</w:t>
      </w:r>
    </w:p>
    <w:p w14:paraId="7E3DC98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Paini, D. R., Sheppard, A. W., Cook, D. C., De Barro, P. J., Worner, S. P., &amp; Thomas, M. B. (2016). Global threat to agriculture from invasive species. </w:t>
      </w:r>
      <w:r w:rsidRPr="00BD3A17">
        <w:rPr>
          <w:rFonts w:ascii="Times New Roman" w:hAnsi="Times New Roman" w:cs="Times New Roman"/>
          <w:i/>
          <w:iCs/>
          <w:noProof/>
          <w:kern w:val="0"/>
          <w:sz w:val="24"/>
        </w:rPr>
        <w:t>Proceedings of the National Academy of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113</w:t>
      </w:r>
      <w:r w:rsidRPr="00BD3A17">
        <w:rPr>
          <w:rFonts w:ascii="Times New Roman" w:hAnsi="Times New Roman" w:cs="Times New Roman"/>
          <w:noProof/>
          <w:kern w:val="0"/>
          <w:sz w:val="24"/>
        </w:rPr>
        <w:t>(27), 7575–7579. https://doi.org/10.1073/pnas.1602205113</w:t>
      </w:r>
    </w:p>
    <w:p w14:paraId="2369959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Pokharia, A. K., Sekar, B., Pal, J., &amp; Srivastava, A. (2009). Possible evidence of pre-Columbian transoceanic voyages based on conventional LSC and AMS14C dating of associated charcoal and a carbonized seed of custard apple (Annona squamosa L.). </w:t>
      </w:r>
      <w:r w:rsidRPr="00BD3A17">
        <w:rPr>
          <w:rFonts w:ascii="Times New Roman" w:hAnsi="Times New Roman" w:cs="Times New Roman"/>
          <w:i/>
          <w:iCs/>
          <w:noProof/>
          <w:kern w:val="0"/>
          <w:sz w:val="24"/>
        </w:rPr>
        <w:t>Radiocarbon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51</w:t>
      </w:r>
      <w:r w:rsidRPr="00BD3A17">
        <w:rPr>
          <w:rFonts w:ascii="Times New Roman" w:hAnsi="Times New Roman" w:cs="Times New Roman"/>
          <w:noProof/>
          <w:kern w:val="0"/>
          <w:sz w:val="24"/>
        </w:rPr>
        <w:t>(3), 923–930. https://doi.org/10.1017/s0033822200033993</w:t>
      </w:r>
    </w:p>
    <w:p w14:paraId="249C8F6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Potts, S. G., Imperatriz-Fonseca, V., Ngo, H. T., Aizen, M. A., Biesmeijer, J. C., Breeze, T. D., Dicks, L. V., Garibaldi, L. A., Hill, R., Settele, J., &amp; Vanbergen, A. J. (2016). Safeguarding pollinators and their values to human well-being. </w:t>
      </w:r>
      <w:r w:rsidRPr="00BD3A17">
        <w:rPr>
          <w:rFonts w:ascii="Times New Roman" w:hAnsi="Times New Roman" w:cs="Times New Roman"/>
          <w:i/>
          <w:iCs/>
          <w:noProof/>
          <w:kern w:val="0"/>
          <w:sz w:val="24"/>
        </w:rPr>
        <w:t>Nature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540</w:t>
      </w:r>
      <w:r w:rsidRPr="00BD3A17">
        <w:rPr>
          <w:rFonts w:ascii="Times New Roman" w:hAnsi="Times New Roman" w:cs="Times New Roman"/>
          <w:noProof/>
          <w:kern w:val="0"/>
          <w:sz w:val="24"/>
        </w:rPr>
        <w:t>(7632), 220–229. https://doi.org/10.1038/nature20588</w:t>
      </w:r>
    </w:p>
    <w:p w14:paraId="2536628C" w14:textId="294B2DFE"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Saini, P., Saini, P., Kaur, J. J., Francies, R. M., Gani, M., Rajendra, A. A., Negi, N., Jagtap, A., Kadam, A., Singh, C., &amp; Chauhan, S. S. (2020). </w:t>
      </w:r>
      <w:r w:rsidRPr="00BD3A17">
        <w:rPr>
          <w:rFonts w:ascii="Times New Roman" w:hAnsi="Times New Roman" w:cs="Times New Roman"/>
          <w:i/>
          <w:iCs/>
          <w:noProof/>
          <w:kern w:val="0"/>
          <w:sz w:val="24"/>
        </w:rPr>
        <w:t>Molecular Approaches for Harvesting Natural Diversity for Crop Improvement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Rediscovery of Genetic and Genomic Resources for Future Food Security</w:t>
      </w:r>
      <w:r w:rsidRPr="00BD3A17">
        <w:rPr>
          <w:rFonts w:ascii="Times New Roman" w:hAnsi="Times New Roman" w:cs="Times New Roman"/>
          <w:noProof/>
          <w:kern w:val="0"/>
          <w:sz w:val="24"/>
        </w:rPr>
        <w:t xml:space="preserve"> (R. K. Salgotra &amp; S. M. Zargar (Eds.); pp. 67–169). Springer Singapore. https://doi.org/10.1007/978-981-15-0156-2_3</w:t>
      </w:r>
    </w:p>
    <w:p w14:paraId="326F5F90" w14:textId="12ABD649"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Schneider, K., Mary, A., &amp; Gugerty, K. (2010). </w:t>
      </w:r>
      <w:r w:rsidRPr="00BD3A17">
        <w:rPr>
          <w:rFonts w:ascii="Times New Roman" w:hAnsi="Times New Roman" w:cs="Times New Roman"/>
          <w:i/>
          <w:iCs/>
          <w:noProof/>
          <w:kern w:val="0"/>
          <w:sz w:val="24"/>
        </w:rPr>
        <w:t xml:space="preserve">The Impact of Export-Driven Cash </w:t>
      </w:r>
      <w:r w:rsidRPr="00BD3A17">
        <w:rPr>
          <w:rFonts w:ascii="Times New Roman" w:hAnsi="Times New Roman" w:cs="Times New Roman"/>
          <w:i/>
          <w:iCs/>
          <w:noProof/>
          <w:kern w:val="0"/>
          <w:sz w:val="24"/>
        </w:rPr>
        <w:lastRenderedPageBreak/>
        <w:t>Crops On Smallholder Households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94</w:t>
      </w:r>
      <w:r w:rsidRPr="00BD3A17">
        <w:rPr>
          <w:rFonts w:ascii="Times New Roman" w:hAnsi="Times New Roman" w:cs="Times New Roman"/>
          <w:noProof/>
          <w:kern w:val="0"/>
          <w:sz w:val="24"/>
        </w:rPr>
        <w:t>, 1–27.</w:t>
      </w:r>
      <w:r w:rsidR="00F73BF2" w:rsidRPr="00F73BF2">
        <w:rPr>
          <w:rFonts w:ascii="Arial" w:eastAsia="Times New Roman" w:hAnsi="Arial" w:cs="Arial"/>
          <w:sz w:val="18"/>
          <w:szCs w:val="18"/>
        </w:rPr>
        <w:t xml:space="preserve"> </w:t>
      </w:r>
      <w:r w:rsidR="00F73BF2">
        <w:rPr>
          <w:rFonts w:ascii="Arial" w:eastAsia="Times New Roman" w:hAnsi="Arial" w:cs="Arial"/>
          <w:sz w:val="18"/>
          <w:szCs w:val="18"/>
        </w:rPr>
        <w:t>https://evans.uw.edu/research/epar/impact-export-driven-cash-crops-smallholder-households</w:t>
      </w:r>
    </w:p>
    <w:p w14:paraId="75B1F4D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Shi, D., Zu, K., Nong, J., Yang, W., Zhang, Y., Liao, S., Zhu, G., &amp; Sun, J. (2025). How new plant species have been discovered in China: collection gaps and preferences over the past century.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(July), 1–10. https://doi.org/10.3389/fpls.2025.1605431</w:t>
      </w:r>
    </w:p>
    <w:p w14:paraId="470A108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Singh, A. (2017). Singh Anurudh K. 2017. Wild Relatives of Cultivated Plants in India: A Reservoir of Alternative Genetic Resources and More. Springer Nature Singapore Pte Ltd. 2017 pp. 310 ISBN 978-981-10-5115-9. In </w:t>
      </w:r>
      <w:r w:rsidRPr="00BD3A17">
        <w:rPr>
          <w:rFonts w:ascii="Times New Roman" w:hAnsi="Times New Roman" w:cs="Times New Roman"/>
          <w:i/>
          <w:iCs/>
          <w:noProof/>
          <w:kern w:val="0"/>
          <w:sz w:val="24"/>
        </w:rPr>
        <w:t>Wild Relatives of Cultivated Plants in India: A Reservoir of Alternative Genetic Resources and More</w:t>
      </w:r>
      <w:r w:rsidRPr="00BD3A17">
        <w:rPr>
          <w:rFonts w:ascii="Times New Roman" w:hAnsi="Times New Roman" w:cs="Times New Roman"/>
          <w:noProof/>
          <w:kern w:val="0"/>
          <w:sz w:val="24"/>
        </w:rPr>
        <w:t>. https://doi.org/10.1007/978-981-10-5116-6</w:t>
      </w:r>
    </w:p>
    <w:p w14:paraId="6827F43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Sork, V. L. (2018). Genomic Studies of Local Adaptation in Natural Plant Populations. </w:t>
      </w:r>
      <w:r w:rsidRPr="00BD3A17">
        <w:rPr>
          <w:rFonts w:ascii="Times New Roman" w:hAnsi="Times New Roman" w:cs="Times New Roman"/>
          <w:i/>
          <w:iCs/>
          <w:noProof/>
          <w:kern w:val="0"/>
          <w:sz w:val="24"/>
        </w:rPr>
        <w:t>Journal of Heredity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109</w:t>
      </w:r>
      <w:r w:rsidRPr="00BD3A17">
        <w:rPr>
          <w:rFonts w:ascii="Times New Roman" w:hAnsi="Times New Roman" w:cs="Times New Roman"/>
          <w:noProof/>
          <w:kern w:val="0"/>
          <w:sz w:val="24"/>
        </w:rPr>
        <w:t>(1), 3–15. https://doi.org/10.1093/jhered/esx091</w:t>
      </w:r>
    </w:p>
    <w:p w14:paraId="5FD0A32B" w14:textId="2E70C6E1"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Thandeka, N., Zondi, B., Simon, M., Ngidi, C., Ojo, T. O., &amp; Hlatshwayo, S. I. (2022). </w:t>
      </w:r>
      <w:r w:rsidRPr="00BD3A17">
        <w:rPr>
          <w:rFonts w:ascii="Times New Roman" w:hAnsi="Times New Roman" w:cs="Times New Roman"/>
          <w:i/>
          <w:iCs/>
          <w:noProof/>
          <w:kern w:val="0"/>
          <w:sz w:val="24"/>
        </w:rPr>
        <w:t>Impact of Market Participation of Indigenous Crops on Household Food Security of Smallholder Farmers of South Africa</w:t>
      </w:r>
      <w:r w:rsidRPr="00BD3A17">
        <w:rPr>
          <w:rFonts w:ascii="Times New Roman" w:hAnsi="Times New Roman" w:cs="Times New Roman"/>
          <w:noProof/>
          <w:kern w:val="0"/>
          <w:sz w:val="24"/>
        </w:rPr>
        <w:t>.</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https://doi.org/10.3390/su142215194</w:t>
      </w:r>
    </w:p>
    <w:p w14:paraId="6210838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Boheemen, L. A., Atwater, D. Z., &amp; Hodgins, K. A. (2019). Rapid and repeated local adaptation to climate in an invasive plant. </w:t>
      </w:r>
      <w:r w:rsidRPr="00BD3A17">
        <w:rPr>
          <w:rFonts w:ascii="Times New Roman" w:hAnsi="Times New Roman" w:cs="Times New Roman"/>
          <w:i/>
          <w:iCs/>
          <w:noProof/>
          <w:kern w:val="0"/>
          <w:sz w:val="24"/>
        </w:rPr>
        <w:t>New Phytologist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222</w:t>
      </w:r>
      <w:r w:rsidRPr="00BD3A17">
        <w:rPr>
          <w:rFonts w:ascii="Times New Roman" w:hAnsi="Times New Roman" w:cs="Times New Roman"/>
          <w:noProof/>
          <w:kern w:val="0"/>
          <w:sz w:val="24"/>
        </w:rPr>
        <w:t>(1), 614–627. https://doi.org/10.1111/nph.15564</w:t>
      </w:r>
    </w:p>
    <w:p w14:paraId="2E91F8B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Zonneveld, M., Turmel, M.-S., &amp; Hellin, J. (2020). Decision-Making to Diversify Farm Systems for Climate Change Adaptation.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4</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2020</w:t>
      </w:r>
      <w:r w:rsidRPr="00BD3A17">
        <w:rPr>
          <w:rFonts w:ascii="Times New Roman" w:hAnsi="Times New Roman" w:cs="Times New Roman"/>
          <w:noProof/>
          <w:kern w:val="0"/>
          <w:sz w:val="24"/>
        </w:rPr>
        <w:t>. https://www.frontiersin.org/journals/sustainable-food-systems/articles/10.3389/fsufs.2020.00032</w:t>
      </w:r>
    </w:p>
    <w:p w14:paraId="30FFE3F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Vanwallendael, A., Soltani, A., Emery, N. C., Peixoto, M. M., Olsen, J., &amp; Lowry, D. B. (2019). A Molecular View of Plant Local Adaptation: Incorporating Stress-Response Networks. </w:t>
      </w:r>
      <w:r w:rsidRPr="00BD3A17">
        <w:rPr>
          <w:rFonts w:ascii="Times New Roman" w:hAnsi="Times New Roman" w:cs="Times New Roman"/>
          <w:i/>
          <w:iCs/>
          <w:noProof/>
          <w:kern w:val="0"/>
          <w:sz w:val="24"/>
        </w:rPr>
        <w:t>Annual Review of Plant Biology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70</w:t>
      </w:r>
      <w:r w:rsidRPr="00BD3A17">
        <w:rPr>
          <w:rFonts w:ascii="Times New Roman" w:hAnsi="Times New Roman" w:cs="Times New Roman"/>
          <w:noProof/>
          <w:kern w:val="0"/>
          <w:sz w:val="24"/>
        </w:rPr>
        <w:t>, 559–583. https://doi.org/10.1146/annurev-arplant-050718-100114</w:t>
      </w:r>
    </w:p>
    <w:p w14:paraId="63DA5ABE"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Wakchaure, G. C., Minhas, P. S., Kumar, S., Mane, P., Suresh Kumar, P., Rane, J., &amp; Pathak, H. (2023). Long-term response of dragon fruit (Hylocereus undatus) to transformed rooting zone of a shallow soil improving yield, storage quality, and profitability in a drought-prone semi-arid agro-ecosystem. </w:t>
      </w:r>
      <w:r w:rsidRPr="00BD3A17">
        <w:rPr>
          <w:rFonts w:ascii="Times New Roman" w:hAnsi="Times New Roman" w:cs="Times New Roman"/>
          <w:i/>
          <w:iCs/>
          <w:noProof/>
          <w:kern w:val="0"/>
          <w:sz w:val="24"/>
        </w:rPr>
        <w:t>Saudi Journal of Biological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30</w:t>
      </w:r>
      <w:r w:rsidRPr="00BD3A17">
        <w:rPr>
          <w:rFonts w:ascii="Times New Roman" w:hAnsi="Times New Roman" w:cs="Times New Roman"/>
          <w:noProof/>
          <w:kern w:val="0"/>
          <w:sz w:val="24"/>
        </w:rPr>
        <w:t>(1), 103497. https://doi.org/https://doi.org/10.1016/j.sjbs.2022.103497</w:t>
      </w:r>
    </w:p>
    <w:p w14:paraId="4AD8123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Wang, C., Hu, S., Gardner, C., &amp; Lübberstedt, T. (2017). Emerging Avenues for Utilization of Exotic Germplasm. </w:t>
      </w:r>
      <w:r w:rsidRPr="00BD3A17">
        <w:rPr>
          <w:rFonts w:ascii="Times New Roman" w:hAnsi="Times New Roman" w:cs="Times New Roman"/>
          <w:i/>
          <w:iCs/>
          <w:noProof/>
          <w:kern w:val="0"/>
          <w:sz w:val="24"/>
        </w:rPr>
        <w:t>Trends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w:t>
      </w:r>
      <w:r w:rsidRPr="00BD3A17">
        <w:rPr>
          <w:rFonts w:ascii="Times New Roman" w:hAnsi="Times New Roman" w:cs="Times New Roman"/>
          <w:noProof/>
          <w:kern w:val="0"/>
          <w:sz w:val="24"/>
        </w:rPr>
        <w:t xml:space="preserve">(7), 624–637. </w:t>
      </w:r>
      <w:r w:rsidRPr="00BD3A17">
        <w:rPr>
          <w:rFonts w:ascii="Times New Roman" w:hAnsi="Times New Roman" w:cs="Times New Roman"/>
          <w:noProof/>
          <w:kern w:val="0"/>
          <w:sz w:val="24"/>
        </w:rPr>
        <w:lastRenderedPageBreak/>
        <w:t>https://doi.org/10.1016/j.tplants.2017.04.002</w:t>
      </w:r>
    </w:p>
    <w:p w14:paraId="5E3F0CE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sz w:val="24"/>
        </w:rPr>
      </w:pPr>
      <w:r w:rsidRPr="00BD3A17">
        <w:rPr>
          <w:rFonts w:ascii="Times New Roman" w:hAnsi="Times New Roman" w:cs="Times New Roman"/>
          <w:noProof/>
          <w:kern w:val="0"/>
          <w:sz w:val="24"/>
        </w:rPr>
        <w:t xml:space="preserve">Zhu, Z., Miao, C., Yu, H., Fan, X., Wu, X., Liu, S., Dai, Z.-C., Ren, G., &amp; Du, D.-L. (2025). Defense Responses of Native Plant Communities to Alien Plant Invasion. </w:t>
      </w:r>
      <w:r w:rsidRPr="00BD3A17">
        <w:rPr>
          <w:rFonts w:ascii="Times New Roman" w:hAnsi="Times New Roman" w:cs="Times New Roman"/>
          <w:i/>
          <w:iCs/>
          <w:noProof/>
          <w:kern w:val="0"/>
          <w:sz w:val="24"/>
        </w:rPr>
        <w:t>Physiologia Plantarum</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177</w:t>
      </w:r>
      <w:r w:rsidRPr="00BD3A17">
        <w:rPr>
          <w:rFonts w:ascii="Times New Roman" w:hAnsi="Times New Roman" w:cs="Times New Roman"/>
          <w:noProof/>
          <w:kern w:val="0"/>
          <w:sz w:val="24"/>
        </w:rPr>
        <w:t>. https://doi.org/10.1111/ppl.70492</w:t>
      </w:r>
    </w:p>
    <w:p w14:paraId="33E027EF" w14:textId="77777777" w:rsidR="00177864" w:rsidRPr="00A17C1E" w:rsidRDefault="00A5014C" w:rsidP="00BD3A17">
      <w:pPr>
        <w:pStyle w:val="ListParagraph"/>
        <w:numPr>
          <w:ilvl w:val="0"/>
          <w:numId w:val="6"/>
        </w:numPr>
      </w:pPr>
      <w:r w:rsidRPr="00A17C1E">
        <w:fldChar w:fldCharType="end"/>
      </w:r>
      <w:r w:rsidR="001806D8" w:rsidRPr="00A17C1E">
        <w:t>Zahn L. M. 2018. The complexity of maize domestication. Science, 362, 1259–1260</w:t>
      </w:r>
    </w:p>
    <w:p w14:paraId="3968C002" w14:textId="77777777" w:rsidR="008F04C0" w:rsidRPr="00BD3A17" w:rsidRDefault="00A5014C" w:rsidP="00BD3A17">
      <w:pPr>
        <w:pStyle w:val="ListParagraph"/>
        <w:numPr>
          <w:ilvl w:val="0"/>
          <w:numId w:val="6"/>
        </w:numPr>
        <w:shd w:val="clear" w:color="auto" w:fill="FFFFFF" w:themeFill="background1"/>
        <w:spacing w:line="360" w:lineRule="auto"/>
        <w:jc w:val="both"/>
        <w:rPr>
          <w:rFonts w:ascii="Times New Roman" w:hAnsi="Times New Roman" w:cs="Times New Roman"/>
          <w:sz w:val="24"/>
          <w:szCs w:val="24"/>
        </w:rPr>
      </w:pPr>
      <w:r w:rsidRPr="00BD3A17">
        <w:rPr>
          <w:rFonts w:ascii="Times New Roman" w:hAnsi="Times New Roman" w:cs="Times New Roman"/>
          <w:sz w:val="24"/>
          <w:szCs w:val="24"/>
        </w:rPr>
        <w:t>De Candolle AP. 1882. Origin of Cultivated Species, Hafner Publishing Co., London (Reprint 1967). VIII: 468pp</w:t>
      </w:r>
      <w:r w:rsidR="00493703" w:rsidRPr="00BD3A17">
        <w:rPr>
          <w:rFonts w:ascii="Times New Roman" w:hAnsi="Times New Roman" w:cs="Times New Roman"/>
          <w:sz w:val="24"/>
          <w:szCs w:val="24"/>
        </w:rPr>
        <w:t xml:space="preserve"> </w:t>
      </w:r>
    </w:p>
    <w:p w14:paraId="029AF1C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Pr>
          <w:rFonts w:ascii="Times New Roman" w:hAnsi="Times New Roman" w:cs="Times New Roman"/>
          <w:sz w:val="24"/>
          <w:szCs w:val="24"/>
        </w:rPr>
        <w:fldChar w:fldCharType="begin" w:fldLock="1"/>
      </w:r>
      <w:r w:rsidRPr="00BD3A17">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D3A17">
        <w:rPr>
          <w:rFonts w:ascii="Times New Roman" w:hAnsi="Times New Roman" w:cs="Times New Roman"/>
          <w:noProof/>
          <w:kern w:val="0"/>
          <w:sz w:val="24"/>
        </w:rPr>
        <w:t xml:space="preserve">Adebayo, P. F., &amp; Ojo, E. O. (2012). FOOD SECURITY IN NIGERIA: AN OVERVIEW. </w:t>
      </w:r>
      <w:r w:rsidRPr="00BD3A17">
        <w:rPr>
          <w:rFonts w:ascii="Times New Roman" w:hAnsi="Times New Roman" w:cs="Times New Roman"/>
          <w:i/>
          <w:iCs/>
          <w:noProof/>
          <w:kern w:val="0"/>
          <w:sz w:val="24"/>
        </w:rPr>
        <w:t>European Journal of Sustainable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w:t>
      </w:r>
      <w:r w:rsidRPr="00BD3A17">
        <w:rPr>
          <w:rFonts w:ascii="Times New Roman" w:hAnsi="Times New Roman" w:cs="Times New Roman"/>
          <w:noProof/>
          <w:kern w:val="0"/>
          <w:sz w:val="24"/>
        </w:rPr>
        <w:t>(2 SE-), 199. https://doi.org/10.14207/ejsd.2012.v1n2p199</w:t>
      </w:r>
    </w:p>
    <w:p w14:paraId="0D3B46F4"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Agesa, B. L., Onyango, C. M., Kathumo, V. M., Onwonga, R. N., &amp; Karuku, G. N. (2019). Climate change affects crop production in Yatta sub-County: Farmer perceptions and adaptation strategies. </w:t>
      </w:r>
      <w:r w:rsidRPr="00BD3A17">
        <w:rPr>
          <w:rFonts w:ascii="Times New Roman" w:hAnsi="Times New Roman" w:cs="Times New Roman"/>
          <w:i/>
          <w:iCs/>
          <w:noProof/>
          <w:kern w:val="0"/>
          <w:sz w:val="24"/>
        </w:rPr>
        <w:t>African Journal of Food, Agriculture, Nutrition and 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19</w:t>
      </w:r>
      <w:r w:rsidRPr="00BD3A17">
        <w:rPr>
          <w:rFonts w:ascii="Times New Roman" w:hAnsi="Times New Roman" w:cs="Times New Roman"/>
          <w:noProof/>
          <w:kern w:val="0"/>
          <w:sz w:val="24"/>
        </w:rPr>
        <w:t>(1), 14010–14042. https://doi.org/10.18697/AJFAND.84.BLFB1017</w:t>
      </w:r>
    </w:p>
    <w:p w14:paraId="361DAD5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Basso, M. F., Neves, M. F., &amp; Grossi-de-Sa, M. F. (2024). Agriculture evolution, sustainability, and trends, focusing on Brazilian agribusiness: a review.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2023</w:t>
      </w:r>
      <w:r w:rsidRPr="00BD3A17">
        <w:rPr>
          <w:rFonts w:ascii="Times New Roman" w:hAnsi="Times New Roman" w:cs="Times New Roman"/>
          <w:noProof/>
          <w:kern w:val="0"/>
          <w:sz w:val="24"/>
        </w:rPr>
        <w:t>. https://www.frontiersin.org/journals/sustainable-food-systems/articles/10.3389/fsufs.2023.1296337</w:t>
      </w:r>
    </w:p>
    <w:p w14:paraId="2B8F19D8"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Bazile, D., Pulvento, C., Verniau, A., Al-Nusairi, M. S., Ba, D., Breidy, J., Hassan, L., Mohammed, M. I., Mambetov, O., Otambekova, M., Sepahvand, N. A., Shams, A., Souici, D., Miri, K., &amp; Padulosi, S. (2016). Worldwide Evaluations of Quinoa: Preliminary Results from Post International Year of Quinoa FAO Projects in Nine Countries.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7</w:t>
      </w:r>
      <w:r w:rsidRPr="00BD3A17">
        <w:rPr>
          <w:rFonts w:ascii="Times New Roman" w:hAnsi="Times New Roman" w:cs="Times New Roman"/>
          <w:noProof/>
          <w:kern w:val="0"/>
          <w:sz w:val="24"/>
        </w:rPr>
        <w:t>-. https://doi.org/10.3389/fpls.2016.00850</w:t>
      </w:r>
    </w:p>
    <w:p w14:paraId="2BDF2FB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Cooper, H. D., Spillane, C., &amp; Hodgkin, T. (2001). Broadening the genetic base of crops: an overview. </w:t>
      </w:r>
      <w:r w:rsidRPr="00BD3A17">
        <w:rPr>
          <w:rFonts w:ascii="Times New Roman" w:hAnsi="Times New Roman" w:cs="Times New Roman"/>
          <w:i/>
          <w:iCs/>
          <w:noProof/>
          <w:kern w:val="0"/>
          <w:sz w:val="24"/>
        </w:rPr>
        <w:t>CABI</w:t>
      </w:r>
      <w:r w:rsidRPr="00BD3A17">
        <w:rPr>
          <w:rFonts w:ascii="Times New Roman" w:hAnsi="Times New Roman" w:cs="Times New Roman"/>
          <w:noProof/>
          <w:kern w:val="0"/>
          <w:sz w:val="24"/>
        </w:rPr>
        <w:t>, 1–23. https://doi.org/10.1079/9780851994116.0001</w:t>
      </w:r>
    </w:p>
    <w:p w14:paraId="2C363475"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Dept., I. M. F. A. (n.d.). </w:t>
      </w:r>
      <w:r w:rsidRPr="00BD3A17">
        <w:rPr>
          <w:rFonts w:ascii="Times New Roman" w:hAnsi="Times New Roman" w:cs="Times New Roman"/>
          <w:i/>
          <w:iCs/>
          <w:noProof/>
          <w:kern w:val="0"/>
          <w:sz w:val="24"/>
        </w:rPr>
        <w:t>Guinea-Bissau</w:t>
      </w:r>
      <w:r w:rsidRPr="00BD3A17">
        <w:rPr>
          <w:rFonts w:ascii="Times New Roman" w:hAnsi="Times New Roman" w:cs="Times New Roman"/>
          <w:noProof/>
          <w:kern w:val="0"/>
          <w:sz w:val="24"/>
        </w:rPr>
        <w:t>. International Monetary Fund (IMF). https://doi.org/10.5089/9798229016421.002</w:t>
      </w:r>
    </w:p>
    <w:p w14:paraId="3687301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Dhakal, B., &amp; Kattel, R. R. (2019). Effects of global changes on ecosystem services of multiple natural resources in mountain agricultural landscapes. </w:t>
      </w:r>
      <w:r w:rsidRPr="00BD3A17">
        <w:rPr>
          <w:rFonts w:ascii="Times New Roman" w:hAnsi="Times New Roman" w:cs="Times New Roman"/>
          <w:i/>
          <w:iCs/>
          <w:noProof/>
          <w:kern w:val="0"/>
          <w:sz w:val="24"/>
        </w:rPr>
        <w:t>Science of The Total Environment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676</w:t>
      </w:r>
      <w:r w:rsidRPr="00BD3A17">
        <w:rPr>
          <w:rFonts w:ascii="Times New Roman" w:hAnsi="Times New Roman" w:cs="Times New Roman"/>
          <w:noProof/>
          <w:kern w:val="0"/>
          <w:sz w:val="24"/>
        </w:rPr>
        <w:t>, 665–682. https://doi.org/https://doi.org/10.1016/j.scitotenv.2019.04.276</w:t>
      </w:r>
    </w:p>
    <w:p w14:paraId="7B4CB60C"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lastRenderedPageBreak/>
        <w:t xml:space="preserve">Duc, G., Agrama, H., Bao, S., Berger, J., Bourion, V., De Ron, A. M., Gowda, C. L. L., Mikic, A., Millot, D., Singh, K. B., Tullu, A., Vandenberg, A., Vaz Patto, M. C., Warkentin, T. D., &amp; Zong, X. (2015). Breeding Annual Grain Legumes for Sustainable Agriculture: New Methods to Approach Complex Traits and Target New Cultivar Ideotypes. </w:t>
      </w:r>
      <w:r w:rsidRPr="00BD3A17">
        <w:rPr>
          <w:rFonts w:ascii="Times New Roman" w:hAnsi="Times New Roman" w:cs="Times New Roman"/>
          <w:i/>
          <w:iCs/>
          <w:noProof/>
          <w:kern w:val="0"/>
          <w:sz w:val="24"/>
        </w:rPr>
        <w:t>Critical Reviews in Plant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34</w:t>
      </w:r>
      <w:r w:rsidRPr="00BD3A17">
        <w:rPr>
          <w:rFonts w:ascii="Times New Roman" w:hAnsi="Times New Roman" w:cs="Times New Roman"/>
          <w:noProof/>
          <w:kern w:val="0"/>
          <w:sz w:val="24"/>
        </w:rPr>
        <w:t>(1–3), 381–411. https://doi.org/10.1080/07352689.2014.898469</w:t>
      </w:r>
    </w:p>
    <w:p w14:paraId="48F0E67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Economics, A., &amp; Library, D. (n.d.). </w:t>
      </w:r>
      <w:r w:rsidRPr="00BD3A17">
        <w:rPr>
          <w:rFonts w:ascii="Times New Roman" w:hAnsi="Times New Roman" w:cs="Times New Roman"/>
          <w:i/>
          <w:iCs/>
          <w:noProof/>
          <w:kern w:val="0"/>
          <w:sz w:val="24"/>
        </w:rPr>
        <w:t>This document is discoverable and free to researchers across the globe due to the work of AgEcon Search. Help ensure our sustainability.</w:t>
      </w:r>
      <w:r w:rsidRPr="00BD3A17">
        <w:rPr>
          <w:rFonts w:ascii="Times New Roman" w:hAnsi="Times New Roman" w:cs="Times New Roman"/>
          <w:noProof/>
          <w:kern w:val="0"/>
          <w:sz w:val="24"/>
        </w:rPr>
        <w:t xml:space="preserve"> https://doi.org/10.5958/0974-0279.2018.00001.0</w:t>
      </w:r>
    </w:p>
    <w:p w14:paraId="5CC54F1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Ennos, R. (2014). Resilience of forests to pathogens: An evolutionary ecology perspective. </w:t>
      </w:r>
      <w:r w:rsidRPr="00BD3A17">
        <w:rPr>
          <w:rFonts w:ascii="Times New Roman" w:hAnsi="Times New Roman" w:cs="Times New Roman"/>
          <w:i/>
          <w:iCs/>
          <w:noProof/>
          <w:kern w:val="0"/>
          <w:sz w:val="24"/>
        </w:rPr>
        <w:t>Forestry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88</w:t>
      </w:r>
      <w:r w:rsidRPr="00BD3A17">
        <w:rPr>
          <w:rFonts w:ascii="Times New Roman" w:hAnsi="Times New Roman" w:cs="Times New Roman"/>
          <w:noProof/>
          <w:kern w:val="0"/>
          <w:sz w:val="24"/>
        </w:rPr>
        <w:t>, 41–52. https://doi.org/10.1093/forestry/cpu048</w:t>
      </w:r>
    </w:p>
    <w:p w14:paraId="187847F4"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Gebretsadik, K., &amp; Kiflu, A. (2018). Challenges and Opportunities of Genetically Modified Crops Production: Future Perspectives in Ethiopia, Review. </w:t>
      </w:r>
      <w:r w:rsidRPr="00BD3A17">
        <w:rPr>
          <w:rFonts w:ascii="Times New Roman" w:hAnsi="Times New Roman" w:cs="Times New Roman"/>
          <w:i/>
          <w:iCs/>
          <w:noProof/>
          <w:kern w:val="0"/>
          <w:sz w:val="24"/>
        </w:rPr>
        <w:t>The Open Agriculture Journal</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12</w:t>
      </w:r>
      <w:r w:rsidRPr="00BD3A17">
        <w:rPr>
          <w:rFonts w:ascii="Times New Roman" w:hAnsi="Times New Roman" w:cs="Times New Roman"/>
          <w:noProof/>
          <w:kern w:val="0"/>
          <w:sz w:val="24"/>
        </w:rPr>
        <w:t>(1), 240–250. https://doi.org/10.2174/1874331501819010240</w:t>
      </w:r>
    </w:p>
    <w:p w14:paraId="596D1542" w14:textId="0A5D8348"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Hanjra, M. A., &amp; Williams, T. O. (2020). </w:t>
      </w:r>
      <w:r w:rsidRPr="00BD3A17">
        <w:rPr>
          <w:rFonts w:ascii="Times New Roman" w:hAnsi="Times New Roman" w:cs="Times New Roman"/>
          <w:i/>
          <w:iCs/>
          <w:noProof/>
          <w:kern w:val="0"/>
          <w:sz w:val="24"/>
        </w:rPr>
        <w:t>Global Change and Investments in Smallholder Irrigation for Food and Nutrition Security in Sub-Saharan Africa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Role of Smallholder Farms in Food and Nutrition Security</w:t>
      </w:r>
      <w:r w:rsidRPr="00BD3A17">
        <w:rPr>
          <w:rFonts w:ascii="Times New Roman" w:hAnsi="Times New Roman" w:cs="Times New Roman"/>
          <w:noProof/>
          <w:kern w:val="0"/>
          <w:sz w:val="24"/>
        </w:rPr>
        <w:t xml:space="preserve"> (S. Gomez y Paloma, L. Riesgo, &amp; K. Louhichi (Eds.); pp. 99–131). Springer International Publishing. https://doi.org/10.1007/978-3-030-42148-9_6</w:t>
      </w:r>
    </w:p>
    <w:p w14:paraId="48D578F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H., Dawson, I. K., Franzel, S., Leakey, R. R. B., Mithfer, D., Akinnifesi, F. K., &amp; Tchoundjeu, Z. (2011). Improving livelihoods and nutrition in sub-Saharan Africa by promoting indigenous and exotic fruit production in smallholders' agroforestry systems: A review. </w:t>
      </w:r>
      <w:r w:rsidRPr="00BD3A17">
        <w:rPr>
          <w:rFonts w:ascii="Times New Roman" w:hAnsi="Times New Roman" w:cs="Times New Roman"/>
          <w:i/>
          <w:iCs/>
          <w:noProof/>
          <w:kern w:val="0"/>
          <w:sz w:val="24"/>
        </w:rPr>
        <w:t>International Forestry Review</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(3), 338–354. https://doi.org/10.1505/146554811798293836</w:t>
      </w:r>
    </w:p>
    <w:p w14:paraId="408E7C77" w14:textId="47978876"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Jamnadass, R., Place, F., Torquebiau, E., Malézieux, E., Iiyama, M., Sileshi, G. W., Kehlenbeck, K., Masters, E., McMullin, S., &amp; Dawson, I. K. (2013). Agroforestry for food and nutritional security. </w:t>
      </w:r>
      <w:r w:rsidRPr="00BD3A17">
        <w:rPr>
          <w:rFonts w:ascii="Times New Roman" w:hAnsi="Times New Roman" w:cs="Times New Roman"/>
          <w:i/>
          <w:iCs/>
          <w:noProof/>
          <w:kern w:val="0"/>
          <w:sz w:val="24"/>
        </w:rPr>
        <w:t>Unasylva</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64</w:t>
      </w:r>
      <w:r w:rsidRPr="00BD3A17">
        <w:rPr>
          <w:rFonts w:ascii="Times New Roman" w:hAnsi="Times New Roman" w:cs="Times New Roman"/>
          <w:noProof/>
          <w:kern w:val="0"/>
          <w:sz w:val="24"/>
        </w:rPr>
        <w:t>(241), 23–29.</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https://www.fao.org/forestry/unasylva/64/241/en/</w:t>
      </w:r>
    </w:p>
    <w:p w14:paraId="3549A7D0"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John, I. (2024). Indigenous or Exotic Crop Diversity? Which Crops Ensure Household Food Security: Facts from Tanzania Panel. </w:t>
      </w:r>
      <w:r w:rsidRPr="00BD3A17">
        <w:rPr>
          <w:rFonts w:ascii="Times New Roman" w:hAnsi="Times New Roman" w:cs="Times New Roman"/>
          <w:i/>
          <w:iCs/>
          <w:noProof/>
          <w:kern w:val="0"/>
          <w:sz w:val="24"/>
        </w:rPr>
        <w:t>Sustainability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(9). https://doi.org/10.3390/su16093833</w:t>
      </w:r>
    </w:p>
    <w:p w14:paraId="65B7B47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Kahane, R., Hodgkin, T., Jaenicke, H., Hoogendoorn, C., Hermann, M., (Dyno) Keatinge, J. D. H., d'Arros Hughes, J., Padulosi, S., &amp; Looney, N. (2013). Agrobiodiversity for food security, health, and income. </w:t>
      </w:r>
      <w:r w:rsidRPr="00BD3A17">
        <w:rPr>
          <w:rFonts w:ascii="Times New Roman" w:hAnsi="Times New Roman" w:cs="Times New Roman"/>
          <w:i/>
          <w:iCs/>
          <w:noProof/>
          <w:kern w:val="0"/>
          <w:sz w:val="24"/>
        </w:rPr>
        <w:t xml:space="preserve">Agronomy for Sustainable </w:t>
      </w:r>
      <w:r w:rsidRPr="00BD3A17">
        <w:rPr>
          <w:rFonts w:ascii="Times New Roman" w:hAnsi="Times New Roman" w:cs="Times New Roman"/>
          <w:i/>
          <w:iCs/>
          <w:noProof/>
          <w:kern w:val="0"/>
          <w:sz w:val="24"/>
        </w:rPr>
        <w:lastRenderedPageBreak/>
        <w:t>Development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(4), 671–693. https://doi.org/10.1007/s13593-013-0147-8</w:t>
      </w:r>
    </w:p>
    <w:p w14:paraId="53926A1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Karunathilake, E. M. B. M., Le, A. T., Heo, S., Chung, Y. S., &amp; Mansoor, S. (2023). The Path to Smart Farming: Innovations and Opportunities in Precision Agriculture. </w:t>
      </w:r>
      <w:r w:rsidRPr="00BD3A17">
        <w:rPr>
          <w:rFonts w:ascii="Times New Roman" w:hAnsi="Times New Roman" w:cs="Times New Roman"/>
          <w:i/>
          <w:iCs/>
          <w:noProof/>
          <w:kern w:val="0"/>
          <w:sz w:val="24"/>
        </w:rPr>
        <w:t>Agriculture (Switzerland)</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13</w:t>
      </w:r>
      <w:r w:rsidRPr="00BD3A17">
        <w:rPr>
          <w:rFonts w:ascii="Times New Roman" w:hAnsi="Times New Roman" w:cs="Times New Roman"/>
          <w:noProof/>
          <w:kern w:val="0"/>
          <w:sz w:val="24"/>
        </w:rPr>
        <w:t>(8), 1–26. https://doi.org/10.3390/agriculture13081593</w:t>
      </w:r>
    </w:p>
    <w:p w14:paraId="32FD6ED8"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Kell, S., Rosenfeld, A., Cunningham, S., Dobbie, S., &amp; Maxted, N. (2018). The benefits of exotic food crops cultivated by small-scale growers in the UK. </w:t>
      </w:r>
      <w:r w:rsidRPr="00BD3A17">
        <w:rPr>
          <w:rFonts w:ascii="Times New Roman" w:hAnsi="Times New Roman" w:cs="Times New Roman"/>
          <w:i/>
          <w:iCs/>
          <w:noProof/>
          <w:kern w:val="0"/>
          <w:sz w:val="24"/>
        </w:rPr>
        <w:t>Renewable Agriculture and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33</w:t>
      </w:r>
      <w:r w:rsidRPr="00BD3A17">
        <w:rPr>
          <w:rFonts w:ascii="Times New Roman" w:hAnsi="Times New Roman" w:cs="Times New Roman"/>
          <w:noProof/>
          <w:kern w:val="0"/>
          <w:sz w:val="24"/>
        </w:rPr>
        <w:t>(6), 569–584. https://doi.org/DOI: 10.1017/S1742170517000424</w:t>
      </w:r>
    </w:p>
    <w:p w14:paraId="3F921090" w14:textId="1482080D"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Kumar, A. (2023). </w:t>
      </w:r>
      <w:r w:rsidRPr="00BD3A17">
        <w:rPr>
          <w:rFonts w:ascii="Times New Roman" w:hAnsi="Times New Roman" w:cs="Times New Roman"/>
          <w:i/>
          <w:iCs/>
          <w:noProof/>
          <w:kern w:val="0"/>
          <w:sz w:val="24"/>
        </w:rPr>
        <w:t>Plant Quarantine and Inspection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July</w:t>
      </w:r>
      <w:r w:rsidRPr="00BD3A17">
        <w:rPr>
          <w:rFonts w:ascii="Times New Roman" w:hAnsi="Times New Roman" w:cs="Times New Roman"/>
          <w:noProof/>
          <w:kern w:val="0"/>
          <w:sz w:val="24"/>
        </w:rPr>
        <w:t>.</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https://www.researchgate.net/publication/374140000_Plant_Quarantine_and_Inspection</w:t>
      </w:r>
    </w:p>
    <w:p w14:paraId="619231B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Lohitha, P., Savitha, B. K., Indu Rani, C., Vanitha, K., Iyanar, K., &amp; Ashok Kumar, G. (2025). Adaptability of exotic crucifers in Indian agro-environments: A comparative study in Hyderabad and Coimbatore. </w:t>
      </w:r>
      <w:r w:rsidRPr="00BD3A17">
        <w:rPr>
          <w:rFonts w:ascii="Times New Roman" w:hAnsi="Times New Roman" w:cs="Times New Roman"/>
          <w:i/>
          <w:iCs/>
          <w:noProof/>
          <w:kern w:val="0"/>
          <w:sz w:val="24"/>
        </w:rPr>
        <w:t>Plant Science Today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w:t>
      </w:r>
      <w:r w:rsidRPr="00BD3A17">
        <w:rPr>
          <w:rFonts w:ascii="Times New Roman" w:hAnsi="Times New Roman" w:cs="Times New Roman"/>
          <w:noProof/>
          <w:kern w:val="0"/>
          <w:sz w:val="24"/>
        </w:rPr>
        <w:t>(sp4 SE-Research Articles). https://doi.org/10.14719/pst.5467</w:t>
      </w:r>
    </w:p>
    <w:p w14:paraId="408A054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Marappan, K., Sadasivam, S., Natarajan, N., Arumugam, V. A., Lakshmaiah, K., Thangaraj, M., Giridhar Gopal, M., &amp; Asokan, A. (2025). Underutilized fruit crops as a sustainable approach to enhancing nutritional security and promoting economic growth.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w:t>
      </w:r>
      <w:r w:rsidRPr="00BD3A17">
        <w:rPr>
          <w:rFonts w:ascii="Times New Roman" w:hAnsi="Times New Roman" w:cs="Times New Roman"/>
          <w:noProof/>
          <w:kern w:val="0"/>
          <w:sz w:val="24"/>
        </w:rPr>
        <w:t>. https://doi.org/10.3389/fsufs.2025.1618112</w:t>
      </w:r>
    </w:p>
    <w:p w14:paraId="09FA7AA6"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McLaughlin, S. P. (1996). Evolution of crop plants. 2nd Ed. </w:t>
      </w:r>
      <w:r w:rsidRPr="00BD3A17">
        <w:rPr>
          <w:rFonts w:ascii="Times New Roman" w:hAnsi="Times New Roman" w:cs="Times New Roman"/>
          <w:i/>
          <w:iCs/>
          <w:noProof/>
          <w:kern w:val="0"/>
          <w:sz w:val="24"/>
        </w:rPr>
        <w:t>Economic Botany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50</w:t>
      </w:r>
      <w:r w:rsidRPr="00BD3A17">
        <w:rPr>
          <w:rFonts w:ascii="Times New Roman" w:hAnsi="Times New Roman" w:cs="Times New Roman"/>
          <w:noProof/>
          <w:kern w:val="0"/>
          <w:sz w:val="24"/>
        </w:rPr>
        <w:t>(3), 279. https://doi.org/10.1007/BF02907332</w:t>
      </w:r>
    </w:p>
    <w:p w14:paraId="693FE8B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Muluneh, M. G. (2021). Impact of climate change on biodiversity and food security: a global perspective—a review article. </w:t>
      </w:r>
      <w:r w:rsidRPr="00BD3A17">
        <w:rPr>
          <w:rFonts w:ascii="Times New Roman" w:hAnsi="Times New Roman" w:cs="Times New Roman"/>
          <w:i/>
          <w:iCs/>
          <w:noProof/>
          <w:kern w:val="0"/>
          <w:sz w:val="24"/>
        </w:rPr>
        <w:t>Agriculture &amp; Food Security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w:t>
      </w:r>
      <w:r w:rsidRPr="00BD3A17">
        <w:rPr>
          <w:rFonts w:ascii="Times New Roman" w:hAnsi="Times New Roman" w:cs="Times New Roman"/>
          <w:noProof/>
          <w:kern w:val="0"/>
          <w:sz w:val="24"/>
        </w:rPr>
        <w:t>(1), 36. https://doi.org/10.1186/s40066-021-00318-5</w:t>
      </w:r>
    </w:p>
    <w:p w14:paraId="53CF1649" w14:textId="57AF2FEC"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O’Rourke, D. (2021). </w:t>
      </w:r>
      <w:r w:rsidRPr="00BD3A17">
        <w:rPr>
          <w:rFonts w:ascii="Times New Roman" w:hAnsi="Times New Roman" w:cs="Times New Roman"/>
          <w:i/>
          <w:iCs/>
          <w:noProof/>
          <w:kern w:val="0"/>
          <w:sz w:val="24"/>
        </w:rPr>
        <w:t>Economic Importance of the World Apple Industry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The Apple Genome</w:t>
      </w:r>
      <w:r w:rsidRPr="00BD3A17">
        <w:rPr>
          <w:rFonts w:ascii="Times New Roman" w:hAnsi="Times New Roman" w:cs="Times New Roman"/>
          <w:noProof/>
          <w:kern w:val="0"/>
          <w:sz w:val="24"/>
        </w:rPr>
        <w:t xml:space="preserve"> (S. S. Korban (Ed.); pp. 1–18). Springer International Publishing. https://doi.org/10.1007/978-3-030-74682-7_1</w:t>
      </w:r>
    </w:p>
    <w:p w14:paraId="4A96C0A4"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Oli, S., Joshi, R., &amp; Bohara, B. (2024). </w:t>
      </w:r>
      <w:r w:rsidRPr="00BD3A17">
        <w:rPr>
          <w:rFonts w:ascii="Times New Roman" w:hAnsi="Times New Roman" w:cs="Times New Roman"/>
          <w:i/>
          <w:iCs/>
          <w:noProof/>
          <w:kern w:val="0"/>
          <w:sz w:val="24"/>
        </w:rPr>
        <w:t>A Review on Parthenium hysterophorus L. and its application in Agriculture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January</w:t>
      </w:r>
      <w:r w:rsidRPr="00BD3A17">
        <w:rPr>
          <w:rFonts w:ascii="Times New Roman" w:hAnsi="Times New Roman" w:cs="Times New Roman"/>
          <w:noProof/>
          <w:kern w:val="0"/>
          <w:sz w:val="24"/>
        </w:rPr>
        <w:t>. https://doi.org/10.48309/jrws.2023.409381.1198</w:t>
      </w:r>
    </w:p>
    <w:p w14:paraId="1469306B"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Paini, D. R., Sheppard, A. W., Cook, D. C., De Barro, P. J., Worner, S. P., &amp; Thomas, M. B. (2016). Global threat to agriculture from invasive species. </w:t>
      </w:r>
      <w:r w:rsidRPr="00BD3A17">
        <w:rPr>
          <w:rFonts w:ascii="Times New Roman" w:hAnsi="Times New Roman" w:cs="Times New Roman"/>
          <w:i/>
          <w:iCs/>
          <w:noProof/>
          <w:kern w:val="0"/>
          <w:sz w:val="24"/>
        </w:rPr>
        <w:t>Proceedings of the National Academy of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113</w:t>
      </w:r>
      <w:r w:rsidRPr="00BD3A17">
        <w:rPr>
          <w:rFonts w:ascii="Times New Roman" w:hAnsi="Times New Roman" w:cs="Times New Roman"/>
          <w:noProof/>
          <w:kern w:val="0"/>
          <w:sz w:val="24"/>
        </w:rPr>
        <w:t>(27), 7575–7579. https://doi.org/10.1073/pnas.1602205113</w:t>
      </w:r>
    </w:p>
    <w:p w14:paraId="22732E5F"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lastRenderedPageBreak/>
        <w:t xml:space="preserve">Pokharia, A. K., Sekar, B., Pal, J., &amp; Srivastava, A. (2009). Possible evidence of pre-Columbian transoceanic voyages based on conventional LSC and AMS14C dating of associated charcoal and a carbonized seed of custard apple (Annona squamosa L.). </w:t>
      </w:r>
      <w:r w:rsidRPr="00BD3A17">
        <w:rPr>
          <w:rFonts w:ascii="Times New Roman" w:hAnsi="Times New Roman" w:cs="Times New Roman"/>
          <w:i/>
          <w:iCs/>
          <w:noProof/>
          <w:kern w:val="0"/>
          <w:sz w:val="24"/>
        </w:rPr>
        <w:t>Radiocarbon</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51</w:t>
      </w:r>
      <w:r w:rsidRPr="00BD3A17">
        <w:rPr>
          <w:rFonts w:ascii="Times New Roman" w:hAnsi="Times New Roman" w:cs="Times New Roman"/>
          <w:noProof/>
          <w:kern w:val="0"/>
          <w:sz w:val="24"/>
        </w:rPr>
        <w:t>(3), 923–930. https://doi.org/10.1017/s0033822200033993</w:t>
      </w:r>
    </w:p>
    <w:p w14:paraId="37C6C083"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Potts, S. G., Imperatriz-Fonseca, V., Ngo, H. T., Aizen, M. A., Biesmeijer, J. C., Breeze, T. D., Dicks, L. V., Garibaldi, L. A., Hill, R., Settele, J., &amp; Vanbergen, A. J. (2016). Safeguarding pollinators and their values to human well-being. </w:t>
      </w:r>
      <w:r w:rsidRPr="00BD3A17">
        <w:rPr>
          <w:rFonts w:ascii="Times New Roman" w:hAnsi="Times New Roman" w:cs="Times New Roman"/>
          <w:i/>
          <w:iCs/>
          <w:noProof/>
          <w:kern w:val="0"/>
          <w:sz w:val="24"/>
        </w:rPr>
        <w:t>Nature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540</w:t>
      </w:r>
      <w:r w:rsidRPr="00BD3A17">
        <w:rPr>
          <w:rFonts w:ascii="Times New Roman" w:hAnsi="Times New Roman" w:cs="Times New Roman"/>
          <w:noProof/>
          <w:kern w:val="0"/>
          <w:sz w:val="24"/>
        </w:rPr>
        <w:t>(7632), 220–229. https://doi.org/10.1038/nature20588</w:t>
      </w:r>
    </w:p>
    <w:p w14:paraId="5ED43ECD" w14:textId="63A53459"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Saini, P., Saini, P., Kaur, J. J., Francies, R. M., Gani, M., Rajendra, A. A., Negi, N., Jagtap, A., Kadam, A., Singh, C., &amp; Chauhan, S. S. (2020). </w:t>
      </w:r>
      <w:r w:rsidRPr="00BD3A17">
        <w:rPr>
          <w:rFonts w:ascii="Times New Roman" w:hAnsi="Times New Roman" w:cs="Times New Roman"/>
          <w:i/>
          <w:iCs/>
          <w:noProof/>
          <w:kern w:val="0"/>
          <w:sz w:val="24"/>
        </w:rPr>
        <w:t>Molecular Approaches for Harvesting Natural Diversity for Crop Improvement BT</w:t>
      </w:r>
      <w:r w:rsidR="00AB0DEB">
        <w:rPr>
          <w:rFonts w:ascii="Times New Roman" w:hAnsi="Times New Roman" w:cs="Times New Roman"/>
          <w:i/>
          <w:iCs/>
          <w:noProof/>
          <w:kern w:val="0"/>
          <w:sz w:val="24"/>
        </w:rPr>
        <w:t xml:space="preserve"> </w:t>
      </w:r>
      <w:r w:rsidRPr="00BD3A17">
        <w:rPr>
          <w:rFonts w:ascii="Times New Roman" w:hAnsi="Times New Roman" w:cs="Times New Roman"/>
          <w:i/>
          <w:iCs/>
          <w:noProof/>
          <w:kern w:val="0"/>
          <w:sz w:val="24"/>
        </w:rPr>
        <w:t>- Rediscovery of Genetic and Genomic Resources for Future Food Security</w:t>
      </w:r>
      <w:r w:rsidRPr="00BD3A17">
        <w:rPr>
          <w:rFonts w:ascii="Times New Roman" w:hAnsi="Times New Roman" w:cs="Times New Roman"/>
          <w:noProof/>
          <w:kern w:val="0"/>
          <w:sz w:val="24"/>
        </w:rPr>
        <w:t xml:space="preserve"> (R. K. Salgotra &amp; S. M. Zargar (Eds.); pp. 67–169). Springer Singapore. https://doi.org/10.1007/978-981-15-0156-2_3</w:t>
      </w:r>
    </w:p>
    <w:p w14:paraId="0F7A16D1" w14:textId="4CAD8BA8"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Schneider, K., Mary, A., &amp; Gugerty, K. (2010). </w:t>
      </w:r>
      <w:r w:rsidRPr="00BD3A17">
        <w:rPr>
          <w:rFonts w:ascii="Times New Roman" w:hAnsi="Times New Roman" w:cs="Times New Roman"/>
          <w:i/>
          <w:iCs/>
          <w:noProof/>
          <w:kern w:val="0"/>
          <w:sz w:val="24"/>
        </w:rPr>
        <w:t>The Impact of Export-Driven Cash Crops On Smallholder Households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94</w:t>
      </w:r>
      <w:r w:rsidRPr="00BD3A17">
        <w:rPr>
          <w:rFonts w:ascii="Times New Roman" w:hAnsi="Times New Roman" w:cs="Times New Roman"/>
          <w:noProof/>
          <w:kern w:val="0"/>
          <w:sz w:val="24"/>
        </w:rPr>
        <w:t>, 1–27.</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https://epar.evans.uw.edu/research/impact-export-driven-cash-crops-smallholder-households</w:t>
      </w:r>
    </w:p>
    <w:p w14:paraId="59CA0952"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Shi, D., Zu, K., Nong, J., Yang, W., Zhang, Y., Liao, S., Zhu, G., &amp; Sun, J. (2025). How new plant species have been discovered in China: collection gaps and preferences over the past century. </w:t>
      </w:r>
      <w:r w:rsidRPr="00BD3A17">
        <w:rPr>
          <w:rFonts w:ascii="Times New Roman" w:hAnsi="Times New Roman" w:cs="Times New Roman"/>
          <w:i/>
          <w:iCs/>
          <w:noProof/>
          <w:kern w:val="0"/>
          <w:sz w:val="24"/>
        </w:rPr>
        <w:t>Frontiers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16</w:t>
      </w:r>
      <w:r w:rsidRPr="00BD3A17">
        <w:rPr>
          <w:rFonts w:ascii="Times New Roman" w:hAnsi="Times New Roman" w:cs="Times New Roman"/>
          <w:noProof/>
          <w:kern w:val="0"/>
          <w:sz w:val="24"/>
        </w:rPr>
        <w:t>(July), 1–10. https://doi.org/10.3389/fpls.2025.1605431</w:t>
      </w:r>
    </w:p>
    <w:p w14:paraId="36D46DE0"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Singh, A. (2017). Singh Anurudh K. 2017. Wild Relatives of Cultivated Plants in India: A Reservoir of Alternative Genetic Resources and More. Springer Nature Singapore Pte Ltd. 2017 pp. 310 ISBN 978-981-10-5115-9. In </w:t>
      </w:r>
      <w:r w:rsidRPr="00BD3A17">
        <w:rPr>
          <w:rFonts w:ascii="Times New Roman" w:hAnsi="Times New Roman" w:cs="Times New Roman"/>
          <w:i/>
          <w:iCs/>
          <w:noProof/>
          <w:kern w:val="0"/>
          <w:sz w:val="24"/>
        </w:rPr>
        <w:t>Wild Relatives of Cultivated Plants in India: A Reservoir of Alternative Genetic Resources and More</w:t>
      </w:r>
      <w:r w:rsidRPr="00BD3A17">
        <w:rPr>
          <w:rFonts w:ascii="Times New Roman" w:hAnsi="Times New Roman" w:cs="Times New Roman"/>
          <w:noProof/>
          <w:kern w:val="0"/>
          <w:sz w:val="24"/>
        </w:rPr>
        <w:t>. https://doi.org/10.1007/978-981-10-5116-6</w:t>
      </w:r>
    </w:p>
    <w:p w14:paraId="0E87F11C"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Sork, V. L. (2018). Genomic Studies of Local Adaptation in Natural Plant Populations. </w:t>
      </w:r>
      <w:r w:rsidRPr="00BD3A17">
        <w:rPr>
          <w:rFonts w:ascii="Times New Roman" w:hAnsi="Times New Roman" w:cs="Times New Roman"/>
          <w:i/>
          <w:iCs/>
          <w:noProof/>
          <w:kern w:val="0"/>
          <w:sz w:val="24"/>
        </w:rPr>
        <w:t>Journal of Heredity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109</w:t>
      </w:r>
      <w:r w:rsidRPr="00BD3A17">
        <w:rPr>
          <w:rFonts w:ascii="Times New Roman" w:hAnsi="Times New Roman" w:cs="Times New Roman"/>
          <w:noProof/>
          <w:kern w:val="0"/>
          <w:sz w:val="24"/>
        </w:rPr>
        <w:t>(1), 3–15. https://doi.org/10.1093/jhered/esx091</w:t>
      </w:r>
    </w:p>
    <w:p w14:paraId="103984A2" w14:textId="510A1D25"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Thandeka, N., Zondi, B., Simon, M., Ngidi, C., Ojo, T. O., &amp; Hlatshwayo, S. I. (2022). </w:t>
      </w:r>
      <w:r w:rsidRPr="00BD3A17">
        <w:rPr>
          <w:rFonts w:ascii="Times New Roman" w:hAnsi="Times New Roman" w:cs="Times New Roman"/>
          <w:i/>
          <w:iCs/>
          <w:noProof/>
          <w:kern w:val="0"/>
          <w:sz w:val="24"/>
        </w:rPr>
        <w:t>Impact of Market Participation of Indigenous Crops on Household Food Security of Smallholder Farmers of South Africa</w:t>
      </w:r>
      <w:r w:rsidRPr="00BD3A17">
        <w:rPr>
          <w:rFonts w:ascii="Times New Roman" w:hAnsi="Times New Roman" w:cs="Times New Roman"/>
          <w:noProof/>
          <w:kern w:val="0"/>
          <w:sz w:val="24"/>
        </w:rPr>
        <w:t>.</w:t>
      </w:r>
      <w:r w:rsidR="00860EFC" w:rsidRPr="00860EFC">
        <w:rPr>
          <w:rFonts w:ascii="Arial" w:eastAsia="Times New Roman" w:hAnsi="Arial" w:cs="Arial"/>
          <w:sz w:val="18"/>
          <w:szCs w:val="18"/>
        </w:rPr>
        <w:t xml:space="preserve"> </w:t>
      </w:r>
      <w:r w:rsidR="00860EFC">
        <w:rPr>
          <w:rFonts w:ascii="Arial" w:eastAsia="Times New Roman" w:hAnsi="Arial" w:cs="Arial"/>
          <w:sz w:val="18"/>
          <w:szCs w:val="18"/>
        </w:rPr>
        <w:t>https://doi.org/10.3390/su142215194</w:t>
      </w:r>
    </w:p>
    <w:p w14:paraId="09A1FCF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Boheemen, L. A., Atwater, D. Z., &amp; Hodgins, K. A. (2019). Rapid and repeated local adaptation to climate in an invasive plant. </w:t>
      </w:r>
      <w:r w:rsidRPr="00BD3A17">
        <w:rPr>
          <w:rFonts w:ascii="Times New Roman" w:hAnsi="Times New Roman" w:cs="Times New Roman"/>
          <w:i/>
          <w:iCs/>
          <w:noProof/>
          <w:kern w:val="0"/>
          <w:sz w:val="24"/>
        </w:rPr>
        <w:t>New Phytologist</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222</w:t>
      </w:r>
      <w:r w:rsidRPr="00BD3A17">
        <w:rPr>
          <w:rFonts w:ascii="Times New Roman" w:hAnsi="Times New Roman" w:cs="Times New Roman"/>
          <w:noProof/>
          <w:kern w:val="0"/>
          <w:sz w:val="24"/>
        </w:rPr>
        <w:t>(1), 614–627. https://doi.org/10.1111/nph.15564</w:t>
      </w:r>
    </w:p>
    <w:p w14:paraId="267164F9"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 Zonneveld, M., Turmel, M.-S., &amp; Hellin, J. (2020). Decision-Making to Diversify </w:t>
      </w:r>
      <w:r w:rsidRPr="00BD3A17">
        <w:rPr>
          <w:rFonts w:ascii="Times New Roman" w:hAnsi="Times New Roman" w:cs="Times New Roman"/>
          <w:noProof/>
          <w:kern w:val="0"/>
          <w:sz w:val="24"/>
        </w:rPr>
        <w:lastRenderedPageBreak/>
        <w:t xml:space="preserve">Farm Systems for Climate Change Adaptation. </w:t>
      </w:r>
      <w:r w:rsidRPr="00BD3A17">
        <w:rPr>
          <w:rFonts w:ascii="Times New Roman" w:hAnsi="Times New Roman" w:cs="Times New Roman"/>
          <w:i/>
          <w:iCs/>
          <w:noProof/>
          <w:kern w:val="0"/>
          <w:sz w:val="24"/>
        </w:rPr>
        <w:t>Frontiers in Sustainable Food Systems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Volume 4</w:t>
      </w:r>
      <w:r w:rsidRPr="00BD3A17">
        <w:rPr>
          <w:rFonts w:ascii="Times New Roman" w:hAnsi="Times New Roman" w:cs="Times New Roman"/>
          <w:noProof/>
          <w:kern w:val="0"/>
          <w:sz w:val="24"/>
        </w:rPr>
        <w:t>-</w:t>
      </w:r>
      <w:r w:rsidRPr="00BD3A17">
        <w:rPr>
          <w:rFonts w:ascii="Times New Roman" w:hAnsi="Times New Roman" w:cs="Times New Roman"/>
          <w:i/>
          <w:iCs/>
          <w:noProof/>
          <w:kern w:val="0"/>
          <w:sz w:val="24"/>
        </w:rPr>
        <w:t>2020</w:t>
      </w:r>
      <w:r w:rsidRPr="00BD3A17">
        <w:rPr>
          <w:rFonts w:ascii="Times New Roman" w:hAnsi="Times New Roman" w:cs="Times New Roman"/>
          <w:noProof/>
          <w:kern w:val="0"/>
          <w:sz w:val="24"/>
        </w:rPr>
        <w:t>. https://www.frontiersin.org/journals/sustainable-food-systems/articles/10.3389/fsufs.2020.00032</w:t>
      </w:r>
    </w:p>
    <w:p w14:paraId="673B5981"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Vanwallendael, A., Soltani, A., Emery, N. C., Peixoto, M. M., Olsen, J., &amp; Lowry, D. B. (2019). A Molecular View of Plant Local Adaptation: Incorporating Stress-Response Networks. </w:t>
      </w:r>
      <w:r w:rsidRPr="00BD3A17">
        <w:rPr>
          <w:rFonts w:ascii="Times New Roman" w:hAnsi="Times New Roman" w:cs="Times New Roman"/>
          <w:i/>
          <w:iCs/>
          <w:noProof/>
          <w:kern w:val="0"/>
          <w:sz w:val="24"/>
        </w:rPr>
        <w:t>Annual Review of Plant Biology</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70</w:t>
      </w:r>
      <w:r w:rsidRPr="00BD3A17">
        <w:rPr>
          <w:rFonts w:ascii="Times New Roman" w:hAnsi="Times New Roman" w:cs="Times New Roman"/>
          <w:noProof/>
          <w:kern w:val="0"/>
          <w:sz w:val="24"/>
        </w:rPr>
        <w:t>, 559–583. https://doi.org/10.1146/annurev-arplant-050718-100114</w:t>
      </w:r>
    </w:p>
    <w:p w14:paraId="6AE59AC7"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Wakchaure, G. C., Minhas, P. S., Kumar, S., Mane, P., Suresh Kumar, P., Rane, J., &amp; Pathak, H. (2023). Long-term response of dragon fruit (Hylocereus undatus) to transformed rooting zone of a shallow soil improving yield, storage quality, and profitability in a drought-prone semi-arid agro-ecosystem. </w:t>
      </w:r>
      <w:r w:rsidRPr="00BD3A17">
        <w:rPr>
          <w:rFonts w:ascii="Times New Roman" w:hAnsi="Times New Roman" w:cs="Times New Roman"/>
          <w:i/>
          <w:iCs/>
          <w:noProof/>
          <w:kern w:val="0"/>
          <w:sz w:val="24"/>
        </w:rPr>
        <w:t>Saudi Journal of Biological Sciences</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30</w:t>
      </w:r>
      <w:r w:rsidRPr="00BD3A17">
        <w:rPr>
          <w:rFonts w:ascii="Times New Roman" w:hAnsi="Times New Roman" w:cs="Times New Roman"/>
          <w:noProof/>
          <w:kern w:val="0"/>
          <w:sz w:val="24"/>
        </w:rPr>
        <w:t>(1), 103497. https://doi.org/https://doi.org/10.1016/j.sjbs.2022.103497</w:t>
      </w:r>
    </w:p>
    <w:p w14:paraId="056FBA3C"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kern w:val="0"/>
          <w:sz w:val="24"/>
        </w:rPr>
      </w:pPr>
      <w:r w:rsidRPr="00BD3A17">
        <w:rPr>
          <w:rFonts w:ascii="Times New Roman" w:hAnsi="Times New Roman" w:cs="Times New Roman"/>
          <w:noProof/>
          <w:kern w:val="0"/>
          <w:sz w:val="24"/>
        </w:rPr>
        <w:t xml:space="preserve">Wang, C., Hu, S., Gardner, C., &amp; Lübberstedt, T. (2017). Emerging Avenues for Utilization of Exotic Germplasm. </w:t>
      </w:r>
      <w:r w:rsidRPr="00BD3A17">
        <w:rPr>
          <w:rFonts w:ascii="Times New Roman" w:hAnsi="Times New Roman" w:cs="Times New Roman"/>
          <w:i/>
          <w:iCs/>
          <w:noProof/>
          <w:kern w:val="0"/>
          <w:sz w:val="24"/>
        </w:rPr>
        <w:t>Trends in Plant Science</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22</w:t>
      </w:r>
      <w:r w:rsidRPr="00BD3A17">
        <w:rPr>
          <w:rFonts w:ascii="Times New Roman" w:hAnsi="Times New Roman" w:cs="Times New Roman"/>
          <w:noProof/>
          <w:kern w:val="0"/>
          <w:sz w:val="24"/>
        </w:rPr>
        <w:t>(7), 624–637. https://doi.org/10.1016/j.tplants.2017.04.002</w:t>
      </w:r>
    </w:p>
    <w:p w14:paraId="2A483FAD" w14:textId="77777777" w:rsidR="00107F0C" w:rsidRPr="00BD3A17" w:rsidRDefault="00A5014C" w:rsidP="00BD3A17">
      <w:pPr>
        <w:pStyle w:val="ListParagraph"/>
        <w:widowControl w:val="0"/>
        <w:numPr>
          <w:ilvl w:val="0"/>
          <w:numId w:val="6"/>
        </w:numPr>
        <w:autoSpaceDE w:val="0"/>
        <w:autoSpaceDN w:val="0"/>
        <w:adjustRightInd w:val="0"/>
        <w:spacing w:line="360" w:lineRule="auto"/>
        <w:rPr>
          <w:rFonts w:ascii="Times New Roman" w:hAnsi="Times New Roman" w:cs="Times New Roman"/>
          <w:noProof/>
          <w:sz w:val="24"/>
        </w:rPr>
      </w:pPr>
      <w:r w:rsidRPr="00BD3A17">
        <w:rPr>
          <w:rFonts w:ascii="Times New Roman" w:hAnsi="Times New Roman" w:cs="Times New Roman"/>
          <w:noProof/>
          <w:kern w:val="0"/>
          <w:sz w:val="24"/>
        </w:rPr>
        <w:t xml:space="preserve">Zhu, Z., Miao, C., Yu, H., Fan, X., Wu, X., Liu, S., Dai, Z.-C., Ren, G., &amp; Du, D.-L. (2025). Defense Responses of Native Plant Communities to Alien Plant Invasion. </w:t>
      </w:r>
      <w:r w:rsidRPr="00BD3A17">
        <w:rPr>
          <w:rFonts w:ascii="Times New Roman" w:hAnsi="Times New Roman" w:cs="Times New Roman"/>
          <w:i/>
          <w:iCs/>
          <w:noProof/>
          <w:kern w:val="0"/>
          <w:sz w:val="24"/>
        </w:rPr>
        <w:t>Physiologia Plantarum</w:t>
      </w:r>
      <w:r w:rsidRPr="00BD3A17">
        <w:rPr>
          <w:rFonts w:ascii="Times New Roman" w:hAnsi="Times New Roman" w:cs="Times New Roman"/>
          <w:noProof/>
          <w:kern w:val="0"/>
          <w:sz w:val="24"/>
        </w:rPr>
        <w:t xml:space="preserve">, </w:t>
      </w:r>
      <w:r w:rsidRPr="00BD3A17">
        <w:rPr>
          <w:rFonts w:ascii="Times New Roman" w:hAnsi="Times New Roman" w:cs="Times New Roman"/>
          <w:i/>
          <w:iCs/>
          <w:noProof/>
          <w:kern w:val="0"/>
          <w:sz w:val="24"/>
        </w:rPr>
        <w:t>177</w:t>
      </w:r>
      <w:r w:rsidRPr="00BD3A17">
        <w:rPr>
          <w:rFonts w:ascii="Times New Roman" w:hAnsi="Times New Roman" w:cs="Times New Roman"/>
          <w:noProof/>
          <w:kern w:val="0"/>
          <w:sz w:val="24"/>
        </w:rPr>
        <w:t>. https://doi.org/10.1111/ppl.70492</w:t>
      </w:r>
    </w:p>
    <w:p w14:paraId="30BFAC4F" w14:textId="77777777" w:rsidR="00493703" w:rsidRPr="00A17C1E" w:rsidRDefault="00A5014C" w:rsidP="00E07221">
      <w:pPr>
        <w:shd w:val="clear" w:color="auto" w:fill="FFFFFF" w:themeFill="background1"/>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4423215" w14:textId="77777777" w:rsidR="0036062A" w:rsidRPr="00A17C1E" w:rsidRDefault="0036062A" w:rsidP="00E07221">
      <w:pPr>
        <w:spacing w:line="360" w:lineRule="auto"/>
        <w:jc w:val="both"/>
        <w:rPr>
          <w:rFonts w:ascii="Times New Roman" w:hAnsi="Times New Roman" w:cs="Times New Roman"/>
          <w:sz w:val="24"/>
          <w:szCs w:val="24"/>
        </w:rPr>
      </w:pPr>
    </w:p>
    <w:sectPr w:rsidR="0036062A" w:rsidRPr="00A17C1E" w:rsidSect="008F7A2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E9428" w14:textId="77777777" w:rsidR="00660536" w:rsidRDefault="00660536" w:rsidP="00444D63">
      <w:pPr>
        <w:spacing w:after="0" w:line="240" w:lineRule="auto"/>
      </w:pPr>
      <w:r>
        <w:separator/>
      </w:r>
    </w:p>
  </w:endnote>
  <w:endnote w:type="continuationSeparator" w:id="0">
    <w:p w14:paraId="2A19FC66" w14:textId="77777777" w:rsidR="00660536" w:rsidRDefault="00660536" w:rsidP="0044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3996" w14:textId="77777777" w:rsidR="00444D63" w:rsidRDefault="0044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FF1F" w14:textId="77777777" w:rsidR="00444D63" w:rsidRDefault="00444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0FBB" w14:textId="77777777" w:rsidR="00444D63" w:rsidRDefault="0044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9AEBA" w14:textId="77777777" w:rsidR="00660536" w:rsidRDefault="00660536" w:rsidP="00444D63">
      <w:pPr>
        <w:spacing w:after="0" w:line="240" w:lineRule="auto"/>
      </w:pPr>
      <w:r>
        <w:separator/>
      </w:r>
    </w:p>
  </w:footnote>
  <w:footnote w:type="continuationSeparator" w:id="0">
    <w:p w14:paraId="53F87039" w14:textId="77777777" w:rsidR="00660536" w:rsidRDefault="00660536" w:rsidP="00444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9A91" w14:textId="1682FFCF" w:rsidR="00444D63" w:rsidRDefault="00444D63">
    <w:pPr>
      <w:pStyle w:val="Header"/>
    </w:pPr>
    <w:r>
      <w:rPr>
        <w:noProof/>
      </w:rPr>
      <w:pict w14:anchorId="32F90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852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19EF" w14:textId="6316445F" w:rsidR="00444D63" w:rsidRDefault="00444D63">
    <w:pPr>
      <w:pStyle w:val="Header"/>
    </w:pPr>
    <w:r>
      <w:rPr>
        <w:noProof/>
      </w:rPr>
      <w:pict w14:anchorId="1E66A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852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524B" w14:textId="6A0875F4" w:rsidR="00444D63" w:rsidRDefault="00444D63">
    <w:pPr>
      <w:pStyle w:val="Header"/>
    </w:pPr>
    <w:r>
      <w:rPr>
        <w:noProof/>
      </w:rPr>
      <w:pict w14:anchorId="7B223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852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312"/>
    <w:multiLevelType w:val="hybridMultilevel"/>
    <w:tmpl w:val="769CCCB2"/>
    <w:lvl w:ilvl="0" w:tplc="E9D2C1BE">
      <w:start w:val="1"/>
      <w:numFmt w:val="bullet"/>
      <w:lvlText w:val="•"/>
      <w:lvlJc w:val="left"/>
      <w:pPr>
        <w:tabs>
          <w:tab w:val="num" w:pos="720"/>
        </w:tabs>
        <w:ind w:left="720" w:hanging="360"/>
      </w:pPr>
      <w:rPr>
        <w:rFonts w:ascii="Times New Roman" w:hAnsi="Times New Roman" w:hint="default"/>
      </w:rPr>
    </w:lvl>
    <w:lvl w:ilvl="1" w:tplc="40AA376E" w:tentative="1">
      <w:start w:val="1"/>
      <w:numFmt w:val="bullet"/>
      <w:lvlText w:val="•"/>
      <w:lvlJc w:val="left"/>
      <w:pPr>
        <w:tabs>
          <w:tab w:val="num" w:pos="1440"/>
        </w:tabs>
        <w:ind w:left="1440" w:hanging="360"/>
      </w:pPr>
      <w:rPr>
        <w:rFonts w:ascii="Times New Roman" w:hAnsi="Times New Roman" w:hint="default"/>
      </w:rPr>
    </w:lvl>
    <w:lvl w:ilvl="2" w:tplc="ECC85ADC" w:tentative="1">
      <w:start w:val="1"/>
      <w:numFmt w:val="bullet"/>
      <w:lvlText w:val="•"/>
      <w:lvlJc w:val="left"/>
      <w:pPr>
        <w:tabs>
          <w:tab w:val="num" w:pos="2160"/>
        </w:tabs>
        <w:ind w:left="2160" w:hanging="360"/>
      </w:pPr>
      <w:rPr>
        <w:rFonts w:ascii="Times New Roman" w:hAnsi="Times New Roman" w:hint="default"/>
      </w:rPr>
    </w:lvl>
    <w:lvl w:ilvl="3" w:tplc="363264E0" w:tentative="1">
      <w:start w:val="1"/>
      <w:numFmt w:val="bullet"/>
      <w:lvlText w:val="•"/>
      <w:lvlJc w:val="left"/>
      <w:pPr>
        <w:tabs>
          <w:tab w:val="num" w:pos="2880"/>
        </w:tabs>
        <w:ind w:left="2880" w:hanging="360"/>
      </w:pPr>
      <w:rPr>
        <w:rFonts w:ascii="Times New Roman" w:hAnsi="Times New Roman" w:hint="default"/>
      </w:rPr>
    </w:lvl>
    <w:lvl w:ilvl="4" w:tplc="3F36861C" w:tentative="1">
      <w:start w:val="1"/>
      <w:numFmt w:val="bullet"/>
      <w:lvlText w:val="•"/>
      <w:lvlJc w:val="left"/>
      <w:pPr>
        <w:tabs>
          <w:tab w:val="num" w:pos="3600"/>
        </w:tabs>
        <w:ind w:left="3600" w:hanging="360"/>
      </w:pPr>
      <w:rPr>
        <w:rFonts w:ascii="Times New Roman" w:hAnsi="Times New Roman" w:hint="default"/>
      </w:rPr>
    </w:lvl>
    <w:lvl w:ilvl="5" w:tplc="4EFEC91A" w:tentative="1">
      <w:start w:val="1"/>
      <w:numFmt w:val="bullet"/>
      <w:lvlText w:val="•"/>
      <w:lvlJc w:val="left"/>
      <w:pPr>
        <w:tabs>
          <w:tab w:val="num" w:pos="4320"/>
        </w:tabs>
        <w:ind w:left="4320" w:hanging="360"/>
      </w:pPr>
      <w:rPr>
        <w:rFonts w:ascii="Times New Roman" w:hAnsi="Times New Roman" w:hint="default"/>
      </w:rPr>
    </w:lvl>
    <w:lvl w:ilvl="6" w:tplc="8A765624" w:tentative="1">
      <w:start w:val="1"/>
      <w:numFmt w:val="bullet"/>
      <w:lvlText w:val="•"/>
      <w:lvlJc w:val="left"/>
      <w:pPr>
        <w:tabs>
          <w:tab w:val="num" w:pos="5040"/>
        </w:tabs>
        <w:ind w:left="5040" w:hanging="360"/>
      </w:pPr>
      <w:rPr>
        <w:rFonts w:ascii="Times New Roman" w:hAnsi="Times New Roman" w:hint="default"/>
      </w:rPr>
    </w:lvl>
    <w:lvl w:ilvl="7" w:tplc="13BC910E" w:tentative="1">
      <w:start w:val="1"/>
      <w:numFmt w:val="bullet"/>
      <w:lvlText w:val="•"/>
      <w:lvlJc w:val="left"/>
      <w:pPr>
        <w:tabs>
          <w:tab w:val="num" w:pos="5760"/>
        </w:tabs>
        <w:ind w:left="5760" w:hanging="360"/>
      </w:pPr>
      <w:rPr>
        <w:rFonts w:ascii="Times New Roman" w:hAnsi="Times New Roman" w:hint="default"/>
      </w:rPr>
    </w:lvl>
    <w:lvl w:ilvl="8" w:tplc="2F48272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6A6358"/>
    <w:multiLevelType w:val="hybridMultilevel"/>
    <w:tmpl w:val="81E6BCDC"/>
    <w:lvl w:ilvl="0" w:tplc="5AF4BCA2">
      <w:start w:val="1"/>
      <w:numFmt w:val="lowerLetter"/>
      <w:lvlText w:val="(%1)"/>
      <w:lvlJc w:val="left"/>
      <w:pPr>
        <w:ind w:left="720" w:hanging="360"/>
      </w:pPr>
      <w:rPr>
        <w:rFonts w:hint="default"/>
      </w:rPr>
    </w:lvl>
    <w:lvl w:ilvl="1" w:tplc="2CC29874" w:tentative="1">
      <w:start w:val="1"/>
      <w:numFmt w:val="lowerLetter"/>
      <w:lvlText w:val="%2."/>
      <w:lvlJc w:val="left"/>
      <w:pPr>
        <w:ind w:left="1440" w:hanging="360"/>
      </w:pPr>
    </w:lvl>
    <w:lvl w:ilvl="2" w:tplc="1434524A" w:tentative="1">
      <w:start w:val="1"/>
      <w:numFmt w:val="lowerRoman"/>
      <w:lvlText w:val="%3."/>
      <w:lvlJc w:val="right"/>
      <w:pPr>
        <w:ind w:left="2160" w:hanging="180"/>
      </w:pPr>
    </w:lvl>
    <w:lvl w:ilvl="3" w:tplc="342CD39E" w:tentative="1">
      <w:start w:val="1"/>
      <w:numFmt w:val="decimal"/>
      <w:lvlText w:val="%4."/>
      <w:lvlJc w:val="left"/>
      <w:pPr>
        <w:ind w:left="2880" w:hanging="360"/>
      </w:pPr>
    </w:lvl>
    <w:lvl w:ilvl="4" w:tplc="13D2B622" w:tentative="1">
      <w:start w:val="1"/>
      <w:numFmt w:val="lowerLetter"/>
      <w:lvlText w:val="%5."/>
      <w:lvlJc w:val="left"/>
      <w:pPr>
        <w:ind w:left="3600" w:hanging="360"/>
      </w:pPr>
    </w:lvl>
    <w:lvl w:ilvl="5" w:tplc="BD829540" w:tentative="1">
      <w:start w:val="1"/>
      <w:numFmt w:val="lowerRoman"/>
      <w:lvlText w:val="%6."/>
      <w:lvlJc w:val="right"/>
      <w:pPr>
        <w:ind w:left="4320" w:hanging="180"/>
      </w:pPr>
    </w:lvl>
    <w:lvl w:ilvl="6" w:tplc="2E7A87EE" w:tentative="1">
      <w:start w:val="1"/>
      <w:numFmt w:val="decimal"/>
      <w:lvlText w:val="%7."/>
      <w:lvlJc w:val="left"/>
      <w:pPr>
        <w:ind w:left="5040" w:hanging="360"/>
      </w:pPr>
    </w:lvl>
    <w:lvl w:ilvl="7" w:tplc="4C966A9C" w:tentative="1">
      <w:start w:val="1"/>
      <w:numFmt w:val="lowerLetter"/>
      <w:lvlText w:val="%8."/>
      <w:lvlJc w:val="left"/>
      <w:pPr>
        <w:ind w:left="5760" w:hanging="360"/>
      </w:pPr>
    </w:lvl>
    <w:lvl w:ilvl="8" w:tplc="6974288E" w:tentative="1">
      <w:start w:val="1"/>
      <w:numFmt w:val="lowerRoman"/>
      <w:lvlText w:val="%9."/>
      <w:lvlJc w:val="right"/>
      <w:pPr>
        <w:ind w:left="6480" w:hanging="180"/>
      </w:pPr>
    </w:lvl>
  </w:abstractNum>
  <w:abstractNum w:abstractNumId="2" w15:restartNumberingAfterBreak="0">
    <w:nsid w:val="0ABE4146"/>
    <w:multiLevelType w:val="multilevel"/>
    <w:tmpl w:val="B8BC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B40FF"/>
    <w:multiLevelType w:val="hybridMultilevel"/>
    <w:tmpl w:val="F1640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315F3B"/>
    <w:multiLevelType w:val="hybridMultilevel"/>
    <w:tmpl w:val="68A61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6445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2B1151"/>
    <w:multiLevelType w:val="hybridMultilevel"/>
    <w:tmpl w:val="7BC8290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E7C34D6"/>
    <w:multiLevelType w:val="hybridMultilevel"/>
    <w:tmpl w:val="DCB47D94"/>
    <w:lvl w:ilvl="0" w:tplc="3B6ACDE0">
      <w:start w:val="1"/>
      <w:numFmt w:val="decimal"/>
      <w:lvlText w:val="%1)"/>
      <w:lvlJc w:val="left"/>
      <w:pPr>
        <w:ind w:left="720" w:hanging="360"/>
      </w:pPr>
      <w:rPr>
        <w:rFonts w:hint="default"/>
      </w:rPr>
    </w:lvl>
    <w:lvl w:ilvl="1" w:tplc="B7280358" w:tentative="1">
      <w:start w:val="1"/>
      <w:numFmt w:val="lowerLetter"/>
      <w:lvlText w:val="%2."/>
      <w:lvlJc w:val="left"/>
      <w:pPr>
        <w:ind w:left="1440" w:hanging="360"/>
      </w:pPr>
    </w:lvl>
    <w:lvl w:ilvl="2" w:tplc="A42E0A5A" w:tentative="1">
      <w:start w:val="1"/>
      <w:numFmt w:val="lowerRoman"/>
      <w:lvlText w:val="%3."/>
      <w:lvlJc w:val="right"/>
      <w:pPr>
        <w:ind w:left="2160" w:hanging="180"/>
      </w:pPr>
    </w:lvl>
    <w:lvl w:ilvl="3" w:tplc="6F58FBAE" w:tentative="1">
      <w:start w:val="1"/>
      <w:numFmt w:val="decimal"/>
      <w:lvlText w:val="%4."/>
      <w:lvlJc w:val="left"/>
      <w:pPr>
        <w:ind w:left="2880" w:hanging="360"/>
      </w:pPr>
    </w:lvl>
    <w:lvl w:ilvl="4" w:tplc="F95E0DDC" w:tentative="1">
      <w:start w:val="1"/>
      <w:numFmt w:val="lowerLetter"/>
      <w:lvlText w:val="%5."/>
      <w:lvlJc w:val="left"/>
      <w:pPr>
        <w:ind w:left="3600" w:hanging="360"/>
      </w:pPr>
    </w:lvl>
    <w:lvl w:ilvl="5" w:tplc="077C7E40" w:tentative="1">
      <w:start w:val="1"/>
      <w:numFmt w:val="lowerRoman"/>
      <w:lvlText w:val="%6."/>
      <w:lvlJc w:val="right"/>
      <w:pPr>
        <w:ind w:left="4320" w:hanging="180"/>
      </w:pPr>
    </w:lvl>
    <w:lvl w:ilvl="6" w:tplc="029A26AA" w:tentative="1">
      <w:start w:val="1"/>
      <w:numFmt w:val="decimal"/>
      <w:lvlText w:val="%7."/>
      <w:lvlJc w:val="left"/>
      <w:pPr>
        <w:ind w:left="5040" w:hanging="360"/>
      </w:pPr>
    </w:lvl>
    <w:lvl w:ilvl="7" w:tplc="B08C7DF6" w:tentative="1">
      <w:start w:val="1"/>
      <w:numFmt w:val="lowerLetter"/>
      <w:lvlText w:val="%8."/>
      <w:lvlJc w:val="left"/>
      <w:pPr>
        <w:ind w:left="5760" w:hanging="360"/>
      </w:pPr>
    </w:lvl>
    <w:lvl w:ilvl="8" w:tplc="CDA25402" w:tentative="1">
      <w:start w:val="1"/>
      <w:numFmt w:val="lowerRoman"/>
      <w:lvlText w:val="%9."/>
      <w:lvlJc w:val="right"/>
      <w:pPr>
        <w:ind w:left="6480" w:hanging="180"/>
      </w:pPr>
    </w:lvl>
  </w:abstractNum>
  <w:abstractNum w:abstractNumId="8" w15:restartNumberingAfterBreak="0">
    <w:nsid w:val="50DB33E9"/>
    <w:multiLevelType w:val="hybridMultilevel"/>
    <w:tmpl w:val="5162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9504F"/>
    <w:multiLevelType w:val="hybridMultilevel"/>
    <w:tmpl w:val="7F0EAF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38364C"/>
    <w:multiLevelType w:val="multilevel"/>
    <w:tmpl w:val="9FC6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2"/>
  </w:num>
  <w:num w:numId="5">
    <w:abstractNumId w:val="0"/>
  </w:num>
  <w:num w:numId="6">
    <w:abstractNumId w:val="9"/>
  </w:num>
  <w:num w:numId="7">
    <w:abstractNumId w:val="6"/>
  </w:num>
  <w:num w:numId="8">
    <w:abstractNumId w:val="10"/>
  </w:num>
  <w:num w:numId="9">
    <w:abstractNumId w:val="4"/>
  </w:num>
  <w:num w:numId="10">
    <w:abstractNumId w:val="8"/>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0B"/>
    <w:rsid w:val="00000400"/>
    <w:rsid w:val="0000124F"/>
    <w:rsid w:val="00001CA0"/>
    <w:rsid w:val="00002D3E"/>
    <w:rsid w:val="00003A94"/>
    <w:rsid w:val="00004DF4"/>
    <w:rsid w:val="00011CA5"/>
    <w:rsid w:val="00011F43"/>
    <w:rsid w:val="000129C4"/>
    <w:rsid w:val="00014779"/>
    <w:rsid w:val="000161EB"/>
    <w:rsid w:val="0001720C"/>
    <w:rsid w:val="0002063B"/>
    <w:rsid w:val="00024EC0"/>
    <w:rsid w:val="000305C6"/>
    <w:rsid w:val="00031624"/>
    <w:rsid w:val="000329A7"/>
    <w:rsid w:val="00032F5E"/>
    <w:rsid w:val="0003387C"/>
    <w:rsid w:val="00033B9F"/>
    <w:rsid w:val="00033CDD"/>
    <w:rsid w:val="00033DB9"/>
    <w:rsid w:val="00034B04"/>
    <w:rsid w:val="0003574F"/>
    <w:rsid w:val="0003686C"/>
    <w:rsid w:val="000412E2"/>
    <w:rsid w:val="000437E2"/>
    <w:rsid w:val="00045660"/>
    <w:rsid w:val="000463D1"/>
    <w:rsid w:val="00050D3B"/>
    <w:rsid w:val="0005142A"/>
    <w:rsid w:val="00054B25"/>
    <w:rsid w:val="000564FD"/>
    <w:rsid w:val="000574FA"/>
    <w:rsid w:val="00060BD9"/>
    <w:rsid w:val="00062D67"/>
    <w:rsid w:val="00062F7F"/>
    <w:rsid w:val="00067CD1"/>
    <w:rsid w:val="000711DF"/>
    <w:rsid w:val="00071AC0"/>
    <w:rsid w:val="000736F5"/>
    <w:rsid w:val="00080E72"/>
    <w:rsid w:val="00082F4B"/>
    <w:rsid w:val="00082F5F"/>
    <w:rsid w:val="00084CFA"/>
    <w:rsid w:val="00086546"/>
    <w:rsid w:val="0009053D"/>
    <w:rsid w:val="00090C39"/>
    <w:rsid w:val="0009405C"/>
    <w:rsid w:val="0009747A"/>
    <w:rsid w:val="00097A44"/>
    <w:rsid w:val="000A2B12"/>
    <w:rsid w:val="000A2EEB"/>
    <w:rsid w:val="000A4143"/>
    <w:rsid w:val="000A54BA"/>
    <w:rsid w:val="000A5C5F"/>
    <w:rsid w:val="000A7D80"/>
    <w:rsid w:val="000B15CE"/>
    <w:rsid w:val="000B197C"/>
    <w:rsid w:val="000B27E5"/>
    <w:rsid w:val="000B3D5C"/>
    <w:rsid w:val="000C1093"/>
    <w:rsid w:val="000C1DD2"/>
    <w:rsid w:val="000C2BC5"/>
    <w:rsid w:val="000C33EE"/>
    <w:rsid w:val="000C37D7"/>
    <w:rsid w:val="000C6E6A"/>
    <w:rsid w:val="000D0E7B"/>
    <w:rsid w:val="000D742E"/>
    <w:rsid w:val="000E0CC6"/>
    <w:rsid w:val="000E26CE"/>
    <w:rsid w:val="000E6824"/>
    <w:rsid w:val="000E6DE3"/>
    <w:rsid w:val="000E6FD6"/>
    <w:rsid w:val="000E7239"/>
    <w:rsid w:val="000E7ACE"/>
    <w:rsid w:val="000F179B"/>
    <w:rsid w:val="000F4F58"/>
    <w:rsid w:val="00102A3B"/>
    <w:rsid w:val="00102A97"/>
    <w:rsid w:val="00107060"/>
    <w:rsid w:val="00107F0C"/>
    <w:rsid w:val="00110C3C"/>
    <w:rsid w:val="00111001"/>
    <w:rsid w:val="00116DC2"/>
    <w:rsid w:val="001178E2"/>
    <w:rsid w:val="00121E3C"/>
    <w:rsid w:val="001227F7"/>
    <w:rsid w:val="00122834"/>
    <w:rsid w:val="0012346B"/>
    <w:rsid w:val="00123D1D"/>
    <w:rsid w:val="0013396E"/>
    <w:rsid w:val="00134597"/>
    <w:rsid w:val="0013466A"/>
    <w:rsid w:val="00134D28"/>
    <w:rsid w:val="001354CB"/>
    <w:rsid w:val="00135E58"/>
    <w:rsid w:val="00136B3D"/>
    <w:rsid w:val="00141376"/>
    <w:rsid w:val="00143888"/>
    <w:rsid w:val="0014698F"/>
    <w:rsid w:val="001522DF"/>
    <w:rsid w:val="00152B36"/>
    <w:rsid w:val="001567E4"/>
    <w:rsid w:val="00157E61"/>
    <w:rsid w:val="00163FE7"/>
    <w:rsid w:val="0016607C"/>
    <w:rsid w:val="001660D6"/>
    <w:rsid w:val="0016721E"/>
    <w:rsid w:val="00173EDA"/>
    <w:rsid w:val="001749BC"/>
    <w:rsid w:val="0017747A"/>
    <w:rsid w:val="00177864"/>
    <w:rsid w:val="00180326"/>
    <w:rsid w:val="001806D8"/>
    <w:rsid w:val="001816C6"/>
    <w:rsid w:val="00182EC5"/>
    <w:rsid w:val="00184127"/>
    <w:rsid w:val="0018504B"/>
    <w:rsid w:val="0018590A"/>
    <w:rsid w:val="00186302"/>
    <w:rsid w:val="001876F5"/>
    <w:rsid w:val="0019108E"/>
    <w:rsid w:val="001917F7"/>
    <w:rsid w:val="00191F7D"/>
    <w:rsid w:val="00193359"/>
    <w:rsid w:val="001968B0"/>
    <w:rsid w:val="001A325A"/>
    <w:rsid w:val="001A352D"/>
    <w:rsid w:val="001A4479"/>
    <w:rsid w:val="001A46BA"/>
    <w:rsid w:val="001A699E"/>
    <w:rsid w:val="001B14DA"/>
    <w:rsid w:val="001B17CF"/>
    <w:rsid w:val="001B1CCF"/>
    <w:rsid w:val="001C001A"/>
    <w:rsid w:val="001C1DB2"/>
    <w:rsid w:val="001C3DE3"/>
    <w:rsid w:val="001C42FF"/>
    <w:rsid w:val="001C6FE6"/>
    <w:rsid w:val="001D0766"/>
    <w:rsid w:val="001D51FC"/>
    <w:rsid w:val="001E1A1A"/>
    <w:rsid w:val="001E63FD"/>
    <w:rsid w:val="001E6A32"/>
    <w:rsid w:val="001F0232"/>
    <w:rsid w:val="001F07E4"/>
    <w:rsid w:val="001F1215"/>
    <w:rsid w:val="001F478B"/>
    <w:rsid w:val="001F76C7"/>
    <w:rsid w:val="001F7D6E"/>
    <w:rsid w:val="00201802"/>
    <w:rsid w:val="00204B5C"/>
    <w:rsid w:val="00205D0E"/>
    <w:rsid w:val="002110EF"/>
    <w:rsid w:val="0021322B"/>
    <w:rsid w:val="00213CB7"/>
    <w:rsid w:val="0021425E"/>
    <w:rsid w:val="00214C26"/>
    <w:rsid w:val="00216C68"/>
    <w:rsid w:val="002171DC"/>
    <w:rsid w:val="00220522"/>
    <w:rsid w:val="002209CE"/>
    <w:rsid w:val="002233F6"/>
    <w:rsid w:val="00224C0E"/>
    <w:rsid w:val="002265BD"/>
    <w:rsid w:val="00227026"/>
    <w:rsid w:val="00227588"/>
    <w:rsid w:val="00230ED7"/>
    <w:rsid w:val="00243349"/>
    <w:rsid w:val="002435A1"/>
    <w:rsid w:val="002453AF"/>
    <w:rsid w:val="00246BFE"/>
    <w:rsid w:val="00250683"/>
    <w:rsid w:val="00251935"/>
    <w:rsid w:val="00257383"/>
    <w:rsid w:val="002600B9"/>
    <w:rsid w:val="00260B59"/>
    <w:rsid w:val="002657CF"/>
    <w:rsid w:val="00265B10"/>
    <w:rsid w:val="00266100"/>
    <w:rsid w:val="00266926"/>
    <w:rsid w:val="00270513"/>
    <w:rsid w:val="00271618"/>
    <w:rsid w:val="002716E3"/>
    <w:rsid w:val="00282000"/>
    <w:rsid w:val="00283418"/>
    <w:rsid w:val="00283C53"/>
    <w:rsid w:val="00284AA1"/>
    <w:rsid w:val="002928F7"/>
    <w:rsid w:val="00292AD4"/>
    <w:rsid w:val="0029353A"/>
    <w:rsid w:val="00293701"/>
    <w:rsid w:val="0029565D"/>
    <w:rsid w:val="00296AAD"/>
    <w:rsid w:val="00297417"/>
    <w:rsid w:val="00297D9E"/>
    <w:rsid w:val="002A03EC"/>
    <w:rsid w:val="002A1819"/>
    <w:rsid w:val="002B40DE"/>
    <w:rsid w:val="002B6E12"/>
    <w:rsid w:val="002C1081"/>
    <w:rsid w:val="002C340A"/>
    <w:rsid w:val="002C3F4E"/>
    <w:rsid w:val="002C6DFB"/>
    <w:rsid w:val="002D0CEB"/>
    <w:rsid w:val="002D2041"/>
    <w:rsid w:val="002D3F1D"/>
    <w:rsid w:val="002D64C8"/>
    <w:rsid w:val="002D7D11"/>
    <w:rsid w:val="002E1DBA"/>
    <w:rsid w:val="002E26FC"/>
    <w:rsid w:val="002E2CA7"/>
    <w:rsid w:val="002E4049"/>
    <w:rsid w:val="002E55EB"/>
    <w:rsid w:val="002E612A"/>
    <w:rsid w:val="002F0145"/>
    <w:rsid w:val="002F02FA"/>
    <w:rsid w:val="002F13EF"/>
    <w:rsid w:val="002F1495"/>
    <w:rsid w:val="002F28A1"/>
    <w:rsid w:val="002F35C2"/>
    <w:rsid w:val="002F577E"/>
    <w:rsid w:val="002F7EF2"/>
    <w:rsid w:val="00301975"/>
    <w:rsid w:val="003020EE"/>
    <w:rsid w:val="003037BD"/>
    <w:rsid w:val="0030568B"/>
    <w:rsid w:val="0031232C"/>
    <w:rsid w:val="00321906"/>
    <w:rsid w:val="00321B59"/>
    <w:rsid w:val="00321BAC"/>
    <w:rsid w:val="00322895"/>
    <w:rsid w:val="0032349C"/>
    <w:rsid w:val="00323C61"/>
    <w:rsid w:val="003247FF"/>
    <w:rsid w:val="0032573B"/>
    <w:rsid w:val="003332FE"/>
    <w:rsid w:val="00333F95"/>
    <w:rsid w:val="0033572B"/>
    <w:rsid w:val="00340007"/>
    <w:rsid w:val="003421B1"/>
    <w:rsid w:val="003426E2"/>
    <w:rsid w:val="00343F6B"/>
    <w:rsid w:val="0034643E"/>
    <w:rsid w:val="003520CF"/>
    <w:rsid w:val="00353A1D"/>
    <w:rsid w:val="003555DF"/>
    <w:rsid w:val="00355A7F"/>
    <w:rsid w:val="00356A48"/>
    <w:rsid w:val="00357C98"/>
    <w:rsid w:val="0036062A"/>
    <w:rsid w:val="00361FF7"/>
    <w:rsid w:val="00362AB9"/>
    <w:rsid w:val="003668CD"/>
    <w:rsid w:val="00371112"/>
    <w:rsid w:val="00372F25"/>
    <w:rsid w:val="00377752"/>
    <w:rsid w:val="00381031"/>
    <w:rsid w:val="00382A20"/>
    <w:rsid w:val="00387DA2"/>
    <w:rsid w:val="00390136"/>
    <w:rsid w:val="0039039A"/>
    <w:rsid w:val="003918A6"/>
    <w:rsid w:val="0039257B"/>
    <w:rsid w:val="00394D0B"/>
    <w:rsid w:val="00395106"/>
    <w:rsid w:val="003A2AD9"/>
    <w:rsid w:val="003A63A2"/>
    <w:rsid w:val="003A756D"/>
    <w:rsid w:val="003B126A"/>
    <w:rsid w:val="003C44DD"/>
    <w:rsid w:val="003C63E0"/>
    <w:rsid w:val="003C7AA6"/>
    <w:rsid w:val="003D0BB4"/>
    <w:rsid w:val="003D1F2A"/>
    <w:rsid w:val="003D3388"/>
    <w:rsid w:val="003D621B"/>
    <w:rsid w:val="003D7B02"/>
    <w:rsid w:val="003D7C1A"/>
    <w:rsid w:val="003E0EE8"/>
    <w:rsid w:val="003E30AC"/>
    <w:rsid w:val="003E345A"/>
    <w:rsid w:val="003E658B"/>
    <w:rsid w:val="003F3645"/>
    <w:rsid w:val="003F3A3A"/>
    <w:rsid w:val="003F3E81"/>
    <w:rsid w:val="003F4ABC"/>
    <w:rsid w:val="003F5A0A"/>
    <w:rsid w:val="003F682C"/>
    <w:rsid w:val="003F75BF"/>
    <w:rsid w:val="003F7C64"/>
    <w:rsid w:val="00400013"/>
    <w:rsid w:val="00401BA9"/>
    <w:rsid w:val="00403447"/>
    <w:rsid w:val="00405263"/>
    <w:rsid w:val="004115AE"/>
    <w:rsid w:val="0041210B"/>
    <w:rsid w:val="00416888"/>
    <w:rsid w:val="00422E45"/>
    <w:rsid w:val="00422E5F"/>
    <w:rsid w:val="00426B07"/>
    <w:rsid w:val="0043749F"/>
    <w:rsid w:val="00441915"/>
    <w:rsid w:val="00442148"/>
    <w:rsid w:val="00442FC9"/>
    <w:rsid w:val="00444D63"/>
    <w:rsid w:val="00444F0C"/>
    <w:rsid w:val="004451BC"/>
    <w:rsid w:val="00454958"/>
    <w:rsid w:val="00454A6B"/>
    <w:rsid w:val="00455F7B"/>
    <w:rsid w:val="00461C0A"/>
    <w:rsid w:val="004655D3"/>
    <w:rsid w:val="00465B10"/>
    <w:rsid w:val="004678A4"/>
    <w:rsid w:val="00471DA3"/>
    <w:rsid w:val="00473B0A"/>
    <w:rsid w:val="004742E0"/>
    <w:rsid w:val="00481536"/>
    <w:rsid w:val="00485856"/>
    <w:rsid w:val="00490213"/>
    <w:rsid w:val="004929F0"/>
    <w:rsid w:val="00493703"/>
    <w:rsid w:val="00494452"/>
    <w:rsid w:val="004A05B9"/>
    <w:rsid w:val="004A1305"/>
    <w:rsid w:val="004A470F"/>
    <w:rsid w:val="004A6D84"/>
    <w:rsid w:val="004A78F7"/>
    <w:rsid w:val="004A7E99"/>
    <w:rsid w:val="004B0A89"/>
    <w:rsid w:val="004B0AFA"/>
    <w:rsid w:val="004B39A2"/>
    <w:rsid w:val="004B3EAB"/>
    <w:rsid w:val="004C12EC"/>
    <w:rsid w:val="004C67FA"/>
    <w:rsid w:val="004D1DE0"/>
    <w:rsid w:val="004D2084"/>
    <w:rsid w:val="004D22B9"/>
    <w:rsid w:val="004D7AA8"/>
    <w:rsid w:val="004E105A"/>
    <w:rsid w:val="004E1857"/>
    <w:rsid w:val="004E4D4C"/>
    <w:rsid w:val="004E5926"/>
    <w:rsid w:val="004E5A82"/>
    <w:rsid w:val="004E7087"/>
    <w:rsid w:val="004F2A75"/>
    <w:rsid w:val="004F4D68"/>
    <w:rsid w:val="004F7BB3"/>
    <w:rsid w:val="005022E0"/>
    <w:rsid w:val="005043FB"/>
    <w:rsid w:val="00504A98"/>
    <w:rsid w:val="005076D5"/>
    <w:rsid w:val="00512CAA"/>
    <w:rsid w:val="00515B0A"/>
    <w:rsid w:val="0051754E"/>
    <w:rsid w:val="00521D0C"/>
    <w:rsid w:val="00523112"/>
    <w:rsid w:val="00523A25"/>
    <w:rsid w:val="005243BE"/>
    <w:rsid w:val="00524881"/>
    <w:rsid w:val="00524CD8"/>
    <w:rsid w:val="0053238E"/>
    <w:rsid w:val="00540946"/>
    <w:rsid w:val="00545422"/>
    <w:rsid w:val="005475F8"/>
    <w:rsid w:val="00550BE5"/>
    <w:rsid w:val="00560892"/>
    <w:rsid w:val="0056247A"/>
    <w:rsid w:val="00562B06"/>
    <w:rsid w:val="00563883"/>
    <w:rsid w:val="005710F0"/>
    <w:rsid w:val="00572164"/>
    <w:rsid w:val="005727B4"/>
    <w:rsid w:val="005736EB"/>
    <w:rsid w:val="00575875"/>
    <w:rsid w:val="0058003E"/>
    <w:rsid w:val="00580552"/>
    <w:rsid w:val="005833AC"/>
    <w:rsid w:val="00587C29"/>
    <w:rsid w:val="00590B71"/>
    <w:rsid w:val="00592512"/>
    <w:rsid w:val="005930F4"/>
    <w:rsid w:val="00595938"/>
    <w:rsid w:val="005A17A1"/>
    <w:rsid w:val="005A1D85"/>
    <w:rsid w:val="005A2C69"/>
    <w:rsid w:val="005A5182"/>
    <w:rsid w:val="005A6952"/>
    <w:rsid w:val="005B73E6"/>
    <w:rsid w:val="005C3029"/>
    <w:rsid w:val="005C3094"/>
    <w:rsid w:val="005C3624"/>
    <w:rsid w:val="005C37F0"/>
    <w:rsid w:val="005D100B"/>
    <w:rsid w:val="005D2185"/>
    <w:rsid w:val="005D303C"/>
    <w:rsid w:val="005E01A9"/>
    <w:rsid w:val="005E03D9"/>
    <w:rsid w:val="005E3067"/>
    <w:rsid w:val="005E33F1"/>
    <w:rsid w:val="005E5A08"/>
    <w:rsid w:val="005E698E"/>
    <w:rsid w:val="005E7B41"/>
    <w:rsid w:val="005F04C1"/>
    <w:rsid w:val="005F2FD3"/>
    <w:rsid w:val="005F30E6"/>
    <w:rsid w:val="005F44B9"/>
    <w:rsid w:val="005F4583"/>
    <w:rsid w:val="005F4B46"/>
    <w:rsid w:val="005F51E9"/>
    <w:rsid w:val="0060092B"/>
    <w:rsid w:val="006010D7"/>
    <w:rsid w:val="00606A05"/>
    <w:rsid w:val="0060742A"/>
    <w:rsid w:val="00607672"/>
    <w:rsid w:val="006105E3"/>
    <w:rsid w:val="00613B0B"/>
    <w:rsid w:val="0061625F"/>
    <w:rsid w:val="0061779D"/>
    <w:rsid w:val="0062495E"/>
    <w:rsid w:val="006262D5"/>
    <w:rsid w:val="00630222"/>
    <w:rsid w:val="00632CC1"/>
    <w:rsid w:val="0063698C"/>
    <w:rsid w:val="006371F9"/>
    <w:rsid w:val="00637E59"/>
    <w:rsid w:val="0064026F"/>
    <w:rsid w:val="0064429A"/>
    <w:rsid w:val="006449F3"/>
    <w:rsid w:val="00646ABB"/>
    <w:rsid w:val="006479E9"/>
    <w:rsid w:val="00650602"/>
    <w:rsid w:val="00651195"/>
    <w:rsid w:val="006545B5"/>
    <w:rsid w:val="006554E2"/>
    <w:rsid w:val="006558C8"/>
    <w:rsid w:val="00657BA6"/>
    <w:rsid w:val="00660536"/>
    <w:rsid w:val="00661516"/>
    <w:rsid w:val="00661E87"/>
    <w:rsid w:val="0066394E"/>
    <w:rsid w:val="00665566"/>
    <w:rsid w:val="00666914"/>
    <w:rsid w:val="006719A2"/>
    <w:rsid w:val="00671A33"/>
    <w:rsid w:val="00674558"/>
    <w:rsid w:val="00676DCA"/>
    <w:rsid w:val="00676EB1"/>
    <w:rsid w:val="00677EFE"/>
    <w:rsid w:val="006813EC"/>
    <w:rsid w:val="0068374F"/>
    <w:rsid w:val="00686013"/>
    <w:rsid w:val="00691F40"/>
    <w:rsid w:val="00693A3F"/>
    <w:rsid w:val="00694565"/>
    <w:rsid w:val="00696890"/>
    <w:rsid w:val="006A0622"/>
    <w:rsid w:val="006A0668"/>
    <w:rsid w:val="006A324E"/>
    <w:rsid w:val="006A41FA"/>
    <w:rsid w:val="006A48E1"/>
    <w:rsid w:val="006A5C64"/>
    <w:rsid w:val="006B0C47"/>
    <w:rsid w:val="006B3034"/>
    <w:rsid w:val="006B311B"/>
    <w:rsid w:val="006B5EC4"/>
    <w:rsid w:val="006B6A13"/>
    <w:rsid w:val="006B6A51"/>
    <w:rsid w:val="006B6E3F"/>
    <w:rsid w:val="006C2D27"/>
    <w:rsid w:val="006C5979"/>
    <w:rsid w:val="006D19B4"/>
    <w:rsid w:val="006D353A"/>
    <w:rsid w:val="006D3751"/>
    <w:rsid w:val="006D4F7E"/>
    <w:rsid w:val="006D7693"/>
    <w:rsid w:val="006E3C2F"/>
    <w:rsid w:val="006E503D"/>
    <w:rsid w:val="006E6B3D"/>
    <w:rsid w:val="006F2239"/>
    <w:rsid w:val="006F3070"/>
    <w:rsid w:val="006F6AF2"/>
    <w:rsid w:val="0070424A"/>
    <w:rsid w:val="007053D0"/>
    <w:rsid w:val="007118FE"/>
    <w:rsid w:val="007133A6"/>
    <w:rsid w:val="00714B0D"/>
    <w:rsid w:val="00721DF6"/>
    <w:rsid w:val="00723F00"/>
    <w:rsid w:val="007304BA"/>
    <w:rsid w:val="00737062"/>
    <w:rsid w:val="0074242D"/>
    <w:rsid w:val="00743442"/>
    <w:rsid w:val="007449FE"/>
    <w:rsid w:val="00750222"/>
    <w:rsid w:val="007561F6"/>
    <w:rsid w:val="0075718E"/>
    <w:rsid w:val="00761D90"/>
    <w:rsid w:val="00762E99"/>
    <w:rsid w:val="0076718C"/>
    <w:rsid w:val="00767278"/>
    <w:rsid w:val="0077100C"/>
    <w:rsid w:val="00773679"/>
    <w:rsid w:val="007745EA"/>
    <w:rsid w:val="00777E31"/>
    <w:rsid w:val="007800A2"/>
    <w:rsid w:val="0078060F"/>
    <w:rsid w:val="0078136F"/>
    <w:rsid w:val="00781C24"/>
    <w:rsid w:val="00784821"/>
    <w:rsid w:val="00787E3B"/>
    <w:rsid w:val="0079021F"/>
    <w:rsid w:val="0079143F"/>
    <w:rsid w:val="00792884"/>
    <w:rsid w:val="00793577"/>
    <w:rsid w:val="00793646"/>
    <w:rsid w:val="00793FF7"/>
    <w:rsid w:val="00795EE1"/>
    <w:rsid w:val="0079767E"/>
    <w:rsid w:val="007A0B78"/>
    <w:rsid w:val="007A298A"/>
    <w:rsid w:val="007A2CBD"/>
    <w:rsid w:val="007A37B0"/>
    <w:rsid w:val="007A5E66"/>
    <w:rsid w:val="007A64E2"/>
    <w:rsid w:val="007B14DE"/>
    <w:rsid w:val="007B4C51"/>
    <w:rsid w:val="007C1A7B"/>
    <w:rsid w:val="007C38D5"/>
    <w:rsid w:val="007C6EA9"/>
    <w:rsid w:val="007D285E"/>
    <w:rsid w:val="007D2D90"/>
    <w:rsid w:val="007D64B9"/>
    <w:rsid w:val="007D756E"/>
    <w:rsid w:val="007D7A88"/>
    <w:rsid w:val="007E0D65"/>
    <w:rsid w:val="007E420B"/>
    <w:rsid w:val="007E4A0D"/>
    <w:rsid w:val="007E5D26"/>
    <w:rsid w:val="007E646E"/>
    <w:rsid w:val="007E64A9"/>
    <w:rsid w:val="007F72BD"/>
    <w:rsid w:val="007F793F"/>
    <w:rsid w:val="00800319"/>
    <w:rsid w:val="00803183"/>
    <w:rsid w:val="00805283"/>
    <w:rsid w:val="00807964"/>
    <w:rsid w:val="00813A03"/>
    <w:rsid w:val="00817CD3"/>
    <w:rsid w:val="008228C6"/>
    <w:rsid w:val="008230C0"/>
    <w:rsid w:val="00823FC1"/>
    <w:rsid w:val="008242C3"/>
    <w:rsid w:val="00826A1E"/>
    <w:rsid w:val="00827814"/>
    <w:rsid w:val="00827D9B"/>
    <w:rsid w:val="008305CD"/>
    <w:rsid w:val="00830F6C"/>
    <w:rsid w:val="008316AE"/>
    <w:rsid w:val="0083319F"/>
    <w:rsid w:val="008415DC"/>
    <w:rsid w:val="0084368F"/>
    <w:rsid w:val="00843D18"/>
    <w:rsid w:val="00844088"/>
    <w:rsid w:val="008479E6"/>
    <w:rsid w:val="00851ADA"/>
    <w:rsid w:val="00851EAC"/>
    <w:rsid w:val="008526CF"/>
    <w:rsid w:val="00853495"/>
    <w:rsid w:val="0085645C"/>
    <w:rsid w:val="00856582"/>
    <w:rsid w:val="00860730"/>
    <w:rsid w:val="00860C88"/>
    <w:rsid w:val="00860EFC"/>
    <w:rsid w:val="00861971"/>
    <w:rsid w:val="00867E0B"/>
    <w:rsid w:val="00870C26"/>
    <w:rsid w:val="00875C64"/>
    <w:rsid w:val="00880A9D"/>
    <w:rsid w:val="00882793"/>
    <w:rsid w:val="00884830"/>
    <w:rsid w:val="008868D1"/>
    <w:rsid w:val="00890E45"/>
    <w:rsid w:val="00891C9F"/>
    <w:rsid w:val="0089273E"/>
    <w:rsid w:val="00893760"/>
    <w:rsid w:val="00894227"/>
    <w:rsid w:val="0089449A"/>
    <w:rsid w:val="00894515"/>
    <w:rsid w:val="00894575"/>
    <w:rsid w:val="008959B7"/>
    <w:rsid w:val="00896F67"/>
    <w:rsid w:val="008A0890"/>
    <w:rsid w:val="008A4850"/>
    <w:rsid w:val="008B34FA"/>
    <w:rsid w:val="008C0B68"/>
    <w:rsid w:val="008C7F51"/>
    <w:rsid w:val="008D03FF"/>
    <w:rsid w:val="008D1258"/>
    <w:rsid w:val="008D4B43"/>
    <w:rsid w:val="008D532B"/>
    <w:rsid w:val="008D6899"/>
    <w:rsid w:val="008E1EEB"/>
    <w:rsid w:val="008E2428"/>
    <w:rsid w:val="008E2F72"/>
    <w:rsid w:val="008E4C89"/>
    <w:rsid w:val="008E4EC3"/>
    <w:rsid w:val="008E63F2"/>
    <w:rsid w:val="008F04C0"/>
    <w:rsid w:val="008F3348"/>
    <w:rsid w:val="008F7A23"/>
    <w:rsid w:val="00901DC5"/>
    <w:rsid w:val="00901F6B"/>
    <w:rsid w:val="00902395"/>
    <w:rsid w:val="00905BDC"/>
    <w:rsid w:val="009063BD"/>
    <w:rsid w:val="009069A7"/>
    <w:rsid w:val="00910806"/>
    <w:rsid w:val="00911009"/>
    <w:rsid w:val="0091364C"/>
    <w:rsid w:val="0091537A"/>
    <w:rsid w:val="00916AB5"/>
    <w:rsid w:val="009221B0"/>
    <w:rsid w:val="009235D7"/>
    <w:rsid w:val="0092520D"/>
    <w:rsid w:val="00926E28"/>
    <w:rsid w:val="00930231"/>
    <w:rsid w:val="009330BA"/>
    <w:rsid w:val="009335C8"/>
    <w:rsid w:val="0093446E"/>
    <w:rsid w:val="009373A3"/>
    <w:rsid w:val="00940113"/>
    <w:rsid w:val="009403FC"/>
    <w:rsid w:val="009439EB"/>
    <w:rsid w:val="009456FD"/>
    <w:rsid w:val="009526ED"/>
    <w:rsid w:val="00954681"/>
    <w:rsid w:val="00956D48"/>
    <w:rsid w:val="0095727F"/>
    <w:rsid w:val="00957291"/>
    <w:rsid w:val="00957E09"/>
    <w:rsid w:val="009616B6"/>
    <w:rsid w:val="00962B27"/>
    <w:rsid w:val="00964A8D"/>
    <w:rsid w:val="00964D91"/>
    <w:rsid w:val="00966363"/>
    <w:rsid w:val="00967C72"/>
    <w:rsid w:val="009704F7"/>
    <w:rsid w:val="009719EE"/>
    <w:rsid w:val="0097420A"/>
    <w:rsid w:val="00977A09"/>
    <w:rsid w:val="009839D4"/>
    <w:rsid w:val="00983E1B"/>
    <w:rsid w:val="0098528E"/>
    <w:rsid w:val="0099121B"/>
    <w:rsid w:val="00993A10"/>
    <w:rsid w:val="009973DD"/>
    <w:rsid w:val="009A3186"/>
    <w:rsid w:val="009A49CE"/>
    <w:rsid w:val="009A53BD"/>
    <w:rsid w:val="009A55E7"/>
    <w:rsid w:val="009A565A"/>
    <w:rsid w:val="009B0682"/>
    <w:rsid w:val="009B0849"/>
    <w:rsid w:val="009B0C45"/>
    <w:rsid w:val="009B5A74"/>
    <w:rsid w:val="009C08DD"/>
    <w:rsid w:val="009C0E88"/>
    <w:rsid w:val="009C3858"/>
    <w:rsid w:val="009C49DC"/>
    <w:rsid w:val="009D1EBF"/>
    <w:rsid w:val="009D2E23"/>
    <w:rsid w:val="009D2FF8"/>
    <w:rsid w:val="009D36AE"/>
    <w:rsid w:val="009D4547"/>
    <w:rsid w:val="009E03B2"/>
    <w:rsid w:val="009E43E1"/>
    <w:rsid w:val="009E6743"/>
    <w:rsid w:val="009E6C04"/>
    <w:rsid w:val="009E720F"/>
    <w:rsid w:val="009F34E3"/>
    <w:rsid w:val="009F389D"/>
    <w:rsid w:val="009F42C5"/>
    <w:rsid w:val="009F54ED"/>
    <w:rsid w:val="009F5720"/>
    <w:rsid w:val="009F76A1"/>
    <w:rsid w:val="00A00BDB"/>
    <w:rsid w:val="00A019AE"/>
    <w:rsid w:val="00A019CB"/>
    <w:rsid w:val="00A01A0C"/>
    <w:rsid w:val="00A022F6"/>
    <w:rsid w:val="00A026B6"/>
    <w:rsid w:val="00A029FA"/>
    <w:rsid w:val="00A02E43"/>
    <w:rsid w:val="00A03F41"/>
    <w:rsid w:val="00A040B0"/>
    <w:rsid w:val="00A07232"/>
    <w:rsid w:val="00A12687"/>
    <w:rsid w:val="00A13C4B"/>
    <w:rsid w:val="00A13D83"/>
    <w:rsid w:val="00A15C56"/>
    <w:rsid w:val="00A15EC6"/>
    <w:rsid w:val="00A17458"/>
    <w:rsid w:val="00A1796E"/>
    <w:rsid w:val="00A17C1E"/>
    <w:rsid w:val="00A2257D"/>
    <w:rsid w:val="00A229BA"/>
    <w:rsid w:val="00A236DE"/>
    <w:rsid w:val="00A24DA6"/>
    <w:rsid w:val="00A26A3E"/>
    <w:rsid w:val="00A27AD0"/>
    <w:rsid w:val="00A30AFD"/>
    <w:rsid w:val="00A318F8"/>
    <w:rsid w:val="00A320EF"/>
    <w:rsid w:val="00A33D02"/>
    <w:rsid w:val="00A346B5"/>
    <w:rsid w:val="00A35547"/>
    <w:rsid w:val="00A358F0"/>
    <w:rsid w:val="00A37301"/>
    <w:rsid w:val="00A40DCD"/>
    <w:rsid w:val="00A4281F"/>
    <w:rsid w:val="00A4302F"/>
    <w:rsid w:val="00A44665"/>
    <w:rsid w:val="00A46166"/>
    <w:rsid w:val="00A5014C"/>
    <w:rsid w:val="00A51A3B"/>
    <w:rsid w:val="00A51F63"/>
    <w:rsid w:val="00A523C5"/>
    <w:rsid w:val="00A531E4"/>
    <w:rsid w:val="00A53726"/>
    <w:rsid w:val="00A55466"/>
    <w:rsid w:val="00A557C3"/>
    <w:rsid w:val="00A56105"/>
    <w:rsid w:val="00A57966"/>
    <w:rsid w:val="00A60E88"/>
    <w:rsid w:val="00A64B88"/>
    <w:rsid w:val="00A65CA1"/>
    <w:rsid w:val="00A667D1"/>
    <w:rsid w:val="00A672D3"/>
    <w:rsid w:val="00A707EB"/>
    <w:rsid w:val="00A70C92"/>
    <w:rsid w:val="00A71C1B"/>
    <w:rsid w:val="00A75BA4"/>
    <w:rsid w:val="00A76165"/>
    <w:rsid w:val="00A96376"/>
    <w:rsid w:val="00A96AE4"/>
    <w:rsid w:val="00A96F40"/>
    <w:rsid w:val="00A97B86"/>
    <w:rsid w:val="00A97CA2"/>
    <w:rsid w:val="00AA0ABE"/>
    <w:rsid w:val="00AA61E4"/>
    <w:rsid w:val="00AA6282"/>
    <w:rsid w:val="00AA7D0E"/>
    <w:rsid w:val="00AB0DEB"/>
    <w:rsid w:val="00AB1825"/>
    <w:rsid w:val="00AB412C"/>
    <w:rsid w:val="00AB415C"/>
    <w:rsid w:val="00AB6AD6"/>
    <w:rsid w:val="00AB6B6E"/>
    <w:rsid w:val="00AB7094"/>
    <w:rsid w:val="00AC1F10"/>
    <w:rsid w:val="00AC7180"/>
    <w:rsid w:val="00AC73A0"/>
    <w:rsid w:val="00AD58E7"/>
    <w:rsid w:val="00AD6A14"/>
    <w:rsid w:val="00AD6AED"/>
    <w:rsid w:val="00AD6F3C"/>
    <w:rsid w:val="00AD744A"/>
    <w:rsid w:val="00AE14F1"/>
    <w:rsid w:val="00AE1630"/>
    <w:rsid w:val="00AE1EFB"/>
    <w:rsid w:val="00AE20D7"/>
    <w:rsid w:val="00AE65B7"/>
    <w:rsid w:val="00AF0310"/>
    <w:rsid w:val="00B07F64"/>
    <w:rsid w:val="00B13392"/>
    <w:rsid w:val="00B1529E"/>
    <w:rsid w:val="00B16664"/>
    <w:rsid w:val="00B17352"/>
    <w:rsid w:val="00B212BF"/>
    <w:rsid w:val="00B2161A"/>
    <w:rsid w:val="00B24901"/>
    <w:rsid w:val="00B27056"/>
    <w:rsid w:val="00B27838"/>
    <w:rsid w:val="00B317BD"/>
    <w:rsid w:val="00B32731"/>
    <w:rsid w:val="00B3602A"/>
    <w:rsid w:val="00B41A4D"/>
    <w:rsid w:val="00B47780"/>
    <w:rsid w:val="00B47B17"/>
    <w:rsid w:val="00B50160"/>
    <w:rsid w:val="00B53DD7"/>
    <w:rsid w:val="00B5411A"/>
    <w:rsid w:val="00B62024"/>
    <w:rsid w:val="00B67487"/>
    <w:rsid w:val="00B679C1"/>
    <w:rsid w:val="00B71499"/>
    <w:rsid w:val="00B73991"/>
    <w:rsid w:val="00B74F82"/>
    <w:rsid w:val="00B7581A"/>
    <w:rsid w:val="00B826D5"/>
    <w:rsid w:val="00B85A8F"/>
    <w:rsid w:val="00B91008"/>
    <w:rsid w:val="00B94048"/>
    <w:rsid w:val="00B97E9A"/>
    <w:rsid w:val="00BA1534"/>
    <w:rsid w:val="00BA2EC9"/>
    <w:rsid w:val="00BA54BF"/>
    <w:rsid w:val="00BB5BEB"/>
    <w:rsid w:val="00BD3A17"/>
    <w:rsid w:val="00BD757F"/>
    <w:rsid w:val="00BD7842"/>
    <w:rsid w:val="00BE0418"/>
    <w:rsid w:val="00BE256A"/>
    <w:rsid w:val="00BE3845"/>
    <w:rsid w:val="00BE44C4"/>
    <w:rsid w:val="00BF09A5"/>
    <w:rsid w:val="00BF15DF"/>
    <w:rsid w:val="00BF2056"/>
    <w:rsid w:val="00BF49A0"/>
    <w:rsid w:val="00BF4DF6"/>
    <w:rsid w:val="00BF774A"/>
    <w:rsid w:val="00BF77A9"/>
    <w:rsid w:val="00C01E21"/>
    <w:rsid w:val="00C02B8C"/>
    <w:rsid w:val="00C06D41"/>
    <w:rsid w:val="00C078AC"/>
    <w:rsid w:val="00C14EF1"/>
    <w:rsid w:val="00C15192"/>
    <w:rsid w:val="00C158B9"/>
    <w:rsid w:val="00C15951"/>
    <w:rsid w:val="00C203F8"/>
    <w:rsid w:val="00C20CA6"/>
    <w:rsid w:val="00C2197B"/>
    <w:rsid w:val="00C21AF8"/>
    <w:rsid w:val="00C231C3"/>
    <w:rsid w:val="00C244B6"/>
    <w:rsid w:val="00C2547A"/>
    <w:rsid w:val="00C3295D"/>
    <w:rsid w:val="00C34072"/>
    <w:rsid w:val="00C35F53"/>
    <w:rsid w:val="00C36AF5"/>
    <w:rsid w:val="00C3764C"/>
    <w:rsid w:val="00C37E0F"/>
    <w:rsid w:val="00C41714"/>
    <w:rsid w:val="00C50674"/>
    <w:rsid w:val="00C514A4"/>
    <w:rsid w:val="00C538D6"/>
    <w:rsid w:val="00C559DF"/>
    <w:rsid w:val="00C55BF5"/>
    <w:rsid w:val="00C603D8"/>
    <w:rsid w:val="00C62AF8"/>
    <w:rsid w:val="00C6486A"/>
    <w:rsid w:val="00C654B4"/>
    <w:rsid w:val="00C673B4"/>
    <w:rsid w:val="00C739E8"/>
    <w:rsid w:val="00C73B8D"/>
    <w:rsid w:val="00C756ED"/>
    <w:rsid w:val="00C77A13"/>
    <w:rsid w:val="00C77F8A"/>
    <w:rsid w:val="00C83EA2"/>
    <w:rsid w:val="00C874E9"/>
    <w:rsid w:val="00C90C79"/>
    <w:rsid w:val="00C9351D"/>
    <w:rsid w:val="00C963A7"/>
    <w:rsid w:val="00C9681F"/>
    <w:rsid w:val="00CA4916"/>
    <w:rsid w:val="00CA4987"/>
    <w:rsid w:val="00CB0263"/>
    <w:rsid w:val="00CB0507"/>
    <w:rsid w:val="00CB0C5C"/>
    <w:rsid w:val="00CB11C7"/>
    <w:rsid w:val="00CB3200"/>
    <w:rsid w:val="00CB7396"/>
    <w:rsid w:val="00CB7C64"/>
    <w:rsid w:val="00CC05C0"/>
    <w:rsid w:val="00CC0F74"/>
    <w:rsid w:val="00CC2967"/>
    <w:rsid w:val="00CC2BC2"/>
    <w:rsid w:val="00CD6923"/>
    <w:rsid w:val="00CD6CA4"/>
    <w:rsid w:val="00CD7106"/>
    <w:rsid w:val="00CE0C3A"/>
    <w:rsid w:val="00CE15C1"/>
    <w:rsid w:val="00CE38A8"/>
    <w:rsid w:val="00CE3C1F"/>
    <w:rsid w:val="00CE5379"/>
    <w:rsid w:val="00CE68E5"/>
    <w:rsid w:val="00CE764C"/>
    <w:rsid w:val="00CF3289"/>
    <w:rsid w:val="00CF4941"/>
    <w:rsid w:val="00CF7889"/>
    <w:rsid w:val="00D0490B"/>
    <w:rsid w:val="00D15132"/>
    <w:rsid w:val="00D152EA"/>
    <w:rsid w:val="00D1779C"/>
    <w:rsid w:val="00D217CC"/>
    <w:rsid w:val="00D22889"/>
    <w:rsid w:val="00D23A22"/>
    <w:rsid w:val="00D2637E"/>
    <w:rsid w:val="00D3384F"/>
    <w:rsid w:val="00D33D55"/>
    <w:rsid w:val="00D34CFB"/>
    <w:rsid w:val="00D35783"/>
    <w:rsid w:val="00D37C98"/>
    <w:rsid w:val="00D41C2E"/>
    <w:rsid w:val="00D41C40"/>
    <w:rsid w:val="00D41D65"/>
    <w:rsid w:val="00D44111"/>
    <w:rsid w:val="00D44738"/>
    <w:rsid w:val="00D44CD2"/>
    <w:rsid w:val="00D50E10"/>
    <w:rsid w:val="00D556AC"/>
    <w:rsid w:val="00D57741"/>
    <w:rsid w:val="00D579E7"/>
    <w:rsid w:val="00D60EAC"/>
    <w:rsid w:val="00D612D5"/>
    <w:rsid w:val="00D61670"/>
    <w:rsid w:val="00D65248"/>
    <w:rsid w:val="00D65C75"/>
    <w:rsid w:val="00D705FE"/>
    <w:rsid w:val="00D70C92"/>
    <w:rsid w:val="00D74CD8"/>
    <w:rsid w:val="00D7572B"/>
    <w:rsid w:val="00D84177"/>
    <w:rsid w:val="00D846AE"/>
    <w:rsid w:val="00D865A3"/>
    <w:rsid w:val="00D87F39"/>
    <w:rsid w:val="00D92767"/>
    <w:rsid w:val="00D92963"/>
    <w:rsid w:val="00D95CA5"/>
    <w:rsid w:val="00DA0B26"/>
    <w:rsid w:val="00DA5241"/>
    <w:rsid w:val="00DA5858"/>
    <w:rsid w:val="00DA70A2"/>
    <w:rsid w:val="00DB0638"/>
    <w:rsid w:val="00DB1B24"/>
    <w:rsid w:val="00DC1226"/>
    <w:rsid w:val="00DC26DF"/>
    <w:rsid w:val="00DC38EA"/>
    <w:rsid w:val="00DC61C3"/>
    <w:rsid w:val="00DD1110"/>
    <w:rsid w:val="00DD28A1"/>
    <w:rsid w:val="00DD2D7C"/>
    <w:rsid w:val="00DD4B3F"/>
    <w:rsid w:val="00DD674F"/>
    <w:rsid w:val="00DD6C72"/>
    <w:rsid w:val="00DD6D48"/>
    <w:rsid w:val="00DD7BB6"/>
    <w:rsid w:val="00DE2F27"/>
    <w:rsid w:val="00DE3AE7"/>
    <w:rsid w:val="00DE4076"/>
    <w:rsid w:val="00DE440E"/>
    <w:rsid w:val="00DE674B"/>
    <w:rsid w:val="00DF00DF"/>
    <w:rsid w:val="00DF0C79"/>
    <w:rsid w:val="00DF6AED"/>
    <w:rsid w:val="00DF710A"/>
    <w:rsid w:val="00DF7281"/>
    <w:rsid w:val="00E027B1"/>
    <w:rsid w:val="00E037B1"/>
    <w:rsid w:val="00E03986"/>
    <w:rsid w:val="00E06B6F"/>
    <w:rsid w:val="00E07221"/>
    <w:rsid w:val="00E072BD"/>
    <w:rsid w:val="00E13BFC"/>
    <w:rsid w:val="00E15A77"/>
    <w:rsid w:val="00E15D3F"/>
    <w:rsid w:val="00E16338"/>
    <w:rsid w:val="00E206E5"/>
    <w:rsid w:val="00E208E3"/>
    <w:rsid w:val="00E20F54"/>
    <w:rsid w:val="00E2369B"/>
    <w:rsid w:val="00E300ED"/>
    <w:rsid w:val="00E31178"/>
    <w:rsid w:val="00E315C7"/>
    <w:rsid w:val="00E31719"/>
    <w:rsid w:val="00E321AE"/>
    <w:rsid w:val="00E327BA"/>
    <w:rsid w:val="00E329F3"/>
    <w:rsid w:val="00E32BDC"/>
    <w:rsid w:val="00E33228"/>
    <w:rsid w:val="00E336B7"/>
    <w:rsid w:val="00E4177F"/>
    <w:rsid w:val="00E42DD5"/>
    <w:rsid w:val="00E45242"/>
    <w:rsid w:val="00E46487"/>
    <w:rsid w:val="00E466AC"/>
    <w:rsid w:val="00E50880"/>
    <w:rsid w:val="00E56323"/>
    <w:rsid w:val="00E621D3"/>
    <w:rsid w:val="00E63400"/>
    <w:rsid w:val="00E6458A"/>
    <w:rsid w:val="00E679DD"/>
    <w:rsid w:val="00E70D53"/>
    <w:rsid w:val="00E70E68"/>
    <w:rsid w:val="00E73384"/>
    <w:rsid w:val="00E760B5"/>
    <w:rsid w:val="00E83CD1"/>
    <w:rsid w:val="00E85BFC"/>
    <w:rsid w:val="00E903F9"/>
    <w:rsid w:val="00E93F7F"/>
    <w:rsid w:val="00E94CD7"/>
    <w:rsid w:val="00E951C4"/>
    <w:rsid w:val="00E95911"/>
    <w:rsid w:val="00EA0B46"/>
    <w:rsid w:val="00EA2730"/>
    <w:rsid w:val="00EA615B"/>
    <w:rsid w:val="00EA69D7"/>
    <w:rsid w:val="00EA7B81"/>
    <w:rsid w:val="00EB0553"/>
    <w:rsid w:val="00EB1106"/>
    <w:rsid w:val="00EB3B35"/>
    <w:rsid w:val="00EB3C6A"/>
    <w:rsid w:val="00EC0C64"/>
    <w:rsid w:val="00ED495D"/>
    <w:rsid w:val="00ED5BE6"/>
    <w:rsid w:val="00ED6315"/>
    <w:rsid w:val="00EE1801"/>
    <w:rsid w:val="00EE6393"/>
    <w:rsid w:val="00EF0231"/>
    <w:rsid w:val="00EF06EC"/>
    <w:rsid w:val="00EF3166"/>
    <w:rsid w:val="00EF31FE"/>
    <w:rsid w:val="00EF35D1"/>
    <w:rsid w:val="00EF430A"/>
    <w:rsid w:val="00F00DB2"/>
    <w:rsid w:val="00F02C49"/>
    <w:rsid w:val="00F03509"/>
    <w:rsid w:val="00F04F76"/>
    <w:rsid w:val="00F05F72"/>
    <w:rsid w:val="00F070B8"/>
    <w:rsid w:val="00F2262B"/>
    <w:rsid w:val="00F227BC"/>
    <w:rsid w:val="00F23270"/>
    <w:rsid w:val="00F23A88"/>
    <w:rsid w:val="00F251FF"/>
    <w:rsid w:val="00F26B99"/>
    <w:rsid w:val="00F303BF"/>
    <w:rsid w:val="00F30FDB"/>
    <w:rsid w:val="00F35652"/>
    <w:rsid w:val="00F374D8"/>
    <w:rsid w:val="00F37DD4"/>
    <w:rsid w:val="00F42218"/>
    <w:rsid w:val="00F43FE3"/>
    <w:rsid w:val="00F4410A"/>
    <w:rsid w:val="00F45700"/>
    <w:rsid w:val="00F54DF6"/>
    <w:rsid w:val="00F552C1"/>
    <w:rsid w:val="00F55B7C"/>
    <w:rsid w:val="00F57426"/>
    <w:rsid w:val="00F63465"/>
    <w:rsid w:val="00F65143"/>
    <w:rsid w:val="00F71735"/>
    <w:rsid w:val="00F717AE"/>
    <w:rsid w:val="00F73BF2"/>
    <w:rsid w:val="00F74F0D"/>
    <w:rsid w:val="00F75E53"/>
    <w:rsid w:val="00F76604"/>
    <w:rsid w:val="00F77C85"/>
    <w:rsid w:val="00F812C7"/>
    <w:rsid w:val="00F81E48"/>
    <w:rsid w:val="00F83A95"/>
    <w:rsid w:val="00F83CE5"/>
    <w:rsid w:val="00F87094"/>
    <w:rsid w:val="00F91A1D"/>
    <w:rsid w:val="00F9502D"/>
    <w:rsid w:val="00F9614C"/>
    <w:rsid w:val="00F97E95"/>
    <w:rsid w:val="00FA0EB4"/>
    <w:rsid w:val="00FA47D8"/>
    <w:rsid w:val="00FB1020"/>
    <w:rsid w:val="00FB1848"/>
    <w:rsid w:val="00FB1950"/>
    <w:rsid w:val="00FB3155"/>
    <w:rsid w:val="00FB7FF2"/>
    <w:rsid w:val="00FC02EE"/>
    <w:rsid w:val="00FC3C24"/>
    <w:rsid w:val="00FC40A9"/>
    <w:rsid w:val="00FC42FD"/>
    <w:rsid w:val="00FC636E"/>
    <w:rsid w:val="00FD1811"/>
    <w:rsid w:val="00FD18E2"/>
    <w:rsid w:val="00FD38F0"/>
    <w:rsid w:val="00FD429E"/>
    <w:rsid w:val="00FD626B"/>
    <w:rsid w:val="00FE12FA"/>
    <w:rsid w:val="00FE201C"/>
    <w:rsid w:val="00FE3EA3"/>
    <w:rsid w:val="00FE606C"/>
    <w:rsid w:val="00FE6DFE"/>
    <w:rsid w:val="00FE783F"/>
    <w:rsid w:val="00FF2D17"/>
    <w:rsid w:val="00FF2D6E"/>
    <w:rsid w:val="00FF449D"/>
    <w:rsid w:val="00FF4B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E3F77"/>
  <w15:chartTrackingRefBased/>
  <w15:docId w15:val="{11DF8332-5244-4E0B-82F2-544403F2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A23"/>
    <w:pPr>
      <w:ind w:left="720"/>
      <w:contextualSpacing/>
    </w:pPr>
  </w:style>
  <w:style w:type="character" w:styleId="Hyperlink">
    <w:name w:val="Hyperlink"/>
    <w:basedOn w:val="DefaultParagraphFont"/>
    <w:uiPriority w:val="99"/>
    <w:unhideWhenUsed/>
    <w:rsid w:val="000A5C5F"/>
    <w:rPr>
      <w:color w:val="467886" w:themeColor="hyperlink"/>
      <w:u w:val="single"/>
    </w:rPr>
  </w:style>
  <w:style w:type="character" w:styleId="UnresolvedMention">
    <w:name w:val="Unresolved Mention"/>
    <w:basedOn w:val="DefaultParagraphFont"/>
    <w:uiPriority w:val="99"/>
    <w:semiHidden/>
    <w:unhideWhenUsed/>
    <w:rsid w:val="000A5C5F"/>
    <w:rPr>
      <w:color w:val="605E5C"/>
      <w:shd w:val="clear" w:color="auto" w:fill="E1DFDD"/>
    </w:rPr>
  </w:style>
  <w:style w:type="paragraph" w:styleId="NormalWeb">
    <w:name w:val="Normal (Web)"/>
    <w:basedOn w:val="Normal"/>
    <w:uiPriority w:val="99"/>
    <w:semiHidden/>
    <w:unhideWhenUsed/>
    <w:rsid w:val="005A5182"/>
    <w:rPr>
      <w:rFonts w:ascii="Times New Roman" w:hAnsi="Times New Roman" w:cs="Times New Roman"/>
      <w:sz w:val="24"/>
      <w:szCs w:val="24"/>
    </w:rPr>
  </w:style>
  <w:style w:type="table" w:styleId="TableGrid">
    <w:name w:val="Table Grid"/>
    <w:basedOn w:val="TableNormal"/>
    <w:uiPriority w:val="39"/>
    <w:rsid w:val="00BD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63"/>
  </w:style>
  <w:style w:type="paragraph" w:styleId="Footer">
    <w:name w:val="footer"/>
    <w:basedOn w:val="Normal"/>
    <w:link w:val="FooterChar"/>
    <w:uiPriority w:val="99"/>
    <w:unhideWhenUsed/>
    <w:rsid w:val="0044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C05ED-1838-4687-AD3C-28D4DAEF51B4}"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IN"/>
        </a:p>
      </dgm:t>
    </dgm:pt>
    <dgm:pt modelId="{CB2B0F2A-0151-4B64-9F0D-9C609B48723B}">
      <dgm:prSet phldrT="[Text]" custT="1"/>
      <dgm:spPr/>
      <dgm:t>
        <a:bodyPr/>
        <a:lstStyle/>
        <a:p>
          <a:r>
            <a:rPr lang="en-IN" sz="1200"/>
            <a:t>Quarantine &amp; Phytosanitary Checks</a:t>
          </a:r>
        </a:p>
      </dgm:t>
    </dgm:pt>
    <dgm:pt modelId="{8B7B7A3D-B27E-4857-8432-8EBDA4978740}" type="parTrans" cxnId="{57ACB33F-C88A-4B66-BBBB-BCD6B7CBD0F3}">
      <dgm:prSet/>
      <dgm:spPr/>
      <dgm:t>
        <a:bodyPr/>
        <a:lstStyle/>
        <a:p>
          <a:endParaRPr lang="en-IN"/>
        </a:p>
      </dgm:t>
    </dgm:pt>
    <dgm:pt modelId="{8AFA616F-6DD3-4F70-A4B5-7FC8BCF1A88B}" type="sibTrans" cxnId="{57ACB33F-C88A-4B66-BBBB-BCD6B7CBD0F3}">
      <dgm:prSet/>
      <dgm:spPr/>
      <dgm:t>
        <a:bodyPr/>
        <a:lstStyle/>
        <a:p>
          <a:endParaRPr lang="en-IN"/>
        </a:p>
      </dgm:t>
    </dgm:pt>
    <dgm:pt modelId="{1250E67D-8EE7-4459-A878-EF668A168A22}">
      <dgm:prSet phldrT="[Text]" custT="1"/>
      <dgm:spPr/>
      <dgm:t>
        <a:bodyPr/>
        <a:lstStyle/>
        <a:p>
          <a:r>
            <a:rPr lang="en-IN" sz="1200"/>
            <a:t>Approval &amp; Release of trial cultivation</a:t>
          </a:r>
        </a:p>
      </dgm:t>
    </dgm:pt>
    <dgm:pt modelId="{A0D16B3F-CD02-4722-AC5B-76F56256645F}" type="parTrans" cxnId="{AFB8B498-26C7-4F68-AD29-E5B855A4991C}">
      <dgm:prSet/>
      <dgm:spPr/>
      <dgm:t>
        <a:bodyPr/>
        <a:lstStyle/>
        <a:p>
          <a:endParaRPr lang="en-IN"/>
        </a:p>
      </dgm:t>
    </dgm:pt>
    <dgm:pt modelId="{2874EFE7-63DB-4CA5-9484-41774ED32627}" type="sibTrans" cxnId="{AFB8B498-26C7-4F68-AD29-E5B855A4991C}">
      <dgm:prSet/>
      <dgm:spPr/>
      <dgm:t>
        <a:bodyPr/>
        <a:lstStyle/>
        <a:p>
          <a:endParaRPr lang="en-IN"/>
        </a:p>
      </dgm:t>
    </dgm:pt>
    <dgm:pt modelId="{EA077C9E-BBDC-43E5-BD5A-F4BAA6B70762}">
      <dgm:prSet phldrT="[Text]" custT="1"/>
      <dgm:spPr/>
      <dgm:t>
        <a:bodyPr/>
        <a:lstStyle/>
        <a:p>
          <a:r>
            <a:rPr lang="en-IN" sz="1200"/>
            <a:t>Research trial and test adaptiblity </a:t>
          </a:r>
        </a:p>
      </dgm:t>
    </dgm:pt>
    <dgm:pt modelId="{C3048C12-B99E-4EB3-AC28-C2CEA2C42F7B}" type="parTrans" cxnId="{BAC14016-286F-4437-9307-F13F14A57811}">
      <dgm:prSet/>
      <dgm:spPr/>
      <dgm:t>
        <a:bodyPr/>
        <a:lstStyle/>
        <a:p>
          <a:endParaRPr lang="en-IN"/>
        </a:p>
      </dgm:t>
    </dgm:pt>
    <dgm:pt modelId="{CD53D459-9028-4BE5-98D5-85BF9DEE0B3D}" type="sibTrans" cxnId="{BAC14016-286F-4437-9307-F13F14A57811}">
      <dgm:prSet/>
      <dgm:spPr/>
      <dgm:t>
        <a:bodyPr/>
        <a:lstStyle/>
        <a:p>
          <a:endParaRPr lang="en-IN"/>
        </a:p>
      </dgm:t>
    </dgm:pt>
    <dgm:pt modelId="{9B343ED8-6E10-4A6B-B6D7-7EC6B4ED31F9}">
      <dgm:prSet phldrT="[Text]" custT="1"/>
      <dgm:spPr/>
      <dgm:t>
        <a:bodyPr/>
        <a:lstStyle/>
        <a:p>
          <a:r>
            <a:rPr lang="en-IN" sz="1200"/>
            <a:t>Development of local varities</a:t>
          </a:r>
        </a:p>
      </dgm:t>
    </dgm:pt>
    <dgm:pt modelId="{CCA0CC30-4E75-4BC4-9137-181770B914B7}" type="parTrans" cxnId="{78D03636-FF9B-422D-81A3-2697DFE0B108}">
      <dgm:prSet/>
      <dgm:spPr/>
      <dgm:t>
        <a:bodyPr/>
        <a:lstStyle/>
        <a:p>
          <a:endParaRPr lang="en-IN"/>
        </a:p>
      </dgm:t>
    </dgm:pt>
    <dgm:pt modelId="{58AF97E5-4089-408E-92E2-4A457C66D71D}" type="sibTrans" cxnId="{78D03636-FF9B-422D-81A3-2697DFE0B108}">
      <dgm:prSet/>
      <dgm:spPr/>
      <dgm:t>
        <a:bodyPr/>
        <a:lstStyle/>
        <a:p>
          <a:endParaRPr lang="en-IN"/>
        </a:p>
      </dgm:t>
    </dgm:pt>
    <dgm:pt modelId="{6E3AF35B-0D19-4429-9F8A-002232754B01}">
      <dgm:prSet phldrT="[Text]" custT="1"/>
      <dgm:spPr/>
      <dgm:t>
        <a:bodyPr/>
        <a:lstStyle/>
        <a:p>
          <a:r>
            <a:rPr lang="en-IN" sz="1200"/>
            <a:t>Training and awareness to farmers</a:t>
          </a:r>
        </a:p>
      </dgm:t>
    </dgm:pt>
    <dgm:pt modelId="{B7AAFDA0-AF91-4DAD-B364-23DB56C4F9B9}" type="parTrans" cxnId="{A3EAE82D-B117-4559-A0C6-2B46E9E02E76}">
      <dgm:prSet/>
      <dgm:spPr/>
      <dgm:t>
        <a:bodyPr/>
        <a:lstStyle/>
        <a:p>
          <a:endParaRPr lang="en-IN"/>
        </a:p>
      </dgm:t>
    </dgm:pt>
    <dgm:pt modelId="{1B9E6980-427B-458F-BD0E-BF11ECB66CE9}" type="sibTrans" cxnId="{A3EAE82D-B117-4559-A0C6-2B46E9E02E76}">
      <dgm:prSet/>
      <dgm:spPr/>
      <dgm:t>
        <a:bodyPr/>
        <a:lstStyle/>
        <a:p>
          <a:endParaRPr lang="en-IN"/>
        </a:p>
      </dgm:t>
    </dgm:pt>
    <dgm:pt modelId="{B1A762B9-7711-4347-9289-45424DAED480}">
      <dgm:prSet phldrT="[Text]" custT="1"/>
      <dgm:spPr/>
      <dgm:t>
        <a:bodyPr/>
        <a:lstStyle/>
        <a:p>
          <a:r>
            <a:rPr lang="en-IN" sz="1200"/>
            <a:t>Distribution of seeds and field trials to farmers</a:t>
          </a:r>
        </a:p>
      </dgm:t>
    </dgm:pt>
    <dgm:pt modelId="{5BEB79D6-ACA0-448E-A622-C107C5C1902C}" type="parTrans" cxnId="{541131C0-2DFB-4C12-82DF-040A10A66D3E}">
      <dgm:prSet/>
      <dgm:spPr/>
      <dgm:t>
        <a:bodyPr/>
        <a:lstStyle/>
        <a:p>
          <a:endParaRPr lang="en-IN"/>
        </a:p>
      </dgm:t>
    </dgm:pt>
    <dgm:pt modelId="{7AEDFBFF-9D98-423D-A9C8-B9E030A10D82}" type="sibTrans" cxnId="{541131C0-2DFB-4C12-82DF-040A10A66D3E}">
      <dgm:prSet/>
      <dgm:spPr/>
      <dgm:t>
        <a:bodyPr/>
        <a:lstStyle/>
        <a:p>
          <a:endParaRPr lang="en-IN"/>
        </a:p>
      </dgm:t>
    </dgm:pt>
    <dgm:pt modelId="{EDE6BDF1-B996-4A0B-895F-200892A54F0C}">
      <dgm:prSet phldrT="[Text]" custT="1"/>
      <dgm:spPr/>
      <dgm:t>
        <a:bodyPr/>
        <a:lstStyle/>
        <a:p>
          <a:r>
            <a:rPr lang="en-IN" sz="1200"/>
            <a:t>Evaluation and successful adaptation scaling up cultivation</a:t>
          </a:r>
        </a:p>
      </dgm:t>
    </dgm:pt>
    <dgm:pt modelId="{02952371-66CF-4E3E-8CC2-273EC662E64A}" type="parTrans" cxnId="{3851DEA2-13F7-4682-8AD5-76C42981355F}">
      <dgm:prSet/>
      <dgm:spPr/>
      <dgm:t>
        <a:bodyPr/>
        <a:lstStyle/>
        <a:p>
          <a:endParaRPr lang="en-IN"/>
        </a:p>
      </dgm:t>
    </dgm:pt>
    <dgm:pt modelId="{271C9594-FEA9-475B-8DC5-B53C94390DC1}" type="sibTrans" cxnId="{3851DEA2-13F7-4682-8AD5-76C42981355F}">
      <dgm:prSet/>
      <dgm:spPr/>
      <dgm:t>
        <a:bodyPr/>
        <a:lstStyle/>
        <a:p>
          <a:endParaRPr lang="en-IN"/>
        </a:p>
      </dgm:t>
    </dgm:pt>
    <dgm:pt modelId="{46B274E0-2067-4C6C-BADE-64F5AC63B7C5}">
      <dgm:prSet phldrT="[Text]" custT="1"/>
      <dgm:spPr/>
      <dgm:t>
        <a:bodyPr/>
        <a:lstStyle/>
        <a:p>
          <a:r>
            <a:rPr lang="en-IN" sz="1200"/>
            <a:t>Long term integration of exotic crop in the region </a:t>
          </a:r>
        </a:p>
      </dgm:t>
    </dgm:pt>
    <dgm:pt modelId="{F985CAD8-B037-411E-96AC-9AE1FF528080}" type="parTrans" cxnId="{DB49B527-1289-4FE3-8ED6-C2C93638CE7A}">
      <dgm:prSet/>
      <dgm:spPr/>
      <dgm:t>
        <a:bodyPr/>
        <a:lstStyle/>
        <a:p>
          <a:endParaRPr lang="en-IN"/>
        </a:p>
      </dgm:t>
    </dgm:pt>
    <dgm:pt modelId="{4CF58A12-7EF7-4412-A089-2363CD0B61E6}" type="sibTrans" cxnId="{DB49B527-1289-4FE3-8ED6-C2C93638CE7A}">
      <dgm:prSet/>
      <dgm:spPr/>
      <dgm:t>
        <a:bodyPr/>
        <a:lstStyle/>
        <a:p>
          <a:endParaRPr lang="en-IN"/>
        </a:p>
      </dgm:t>
    </dgm:pt>
    <dgm:pt modelId="{AB81B4F4-CF04-49D9-935C-E0938F3FF37E}">
      <dgm:prSet phldrT="[Text]" custT="1"/>
      <dgm:spPr/>
      <dgm:t>
        <a:bodyPr/>
        <a:lstStyle/>
        <a:p>
          <a:r>
            <a:rPr lang="en-IN" sz="1200"/>
            <a:t>Import request for plant material or seed </a:t>
          </a:r>
        </a:p>
      </dgm:t>
    </dgm:pt>
    <dgm:pt modelId="{5D9EE971-B6B6-4DC3-8536-3A67D0602441}" type="sibTrans" cxnId="{EAC5CE42-2ED3-414F-AEEB-C3244FCEE907}">
      <dgm:prSet/>
      <dgm:spPr/>
      <dgm:t>
        <a:bodyPr/>
        <a:lstStyle/>
        <a:p>
          <a:endParaRPr lang="en-IN"/>
        </a:p>
      </dgm:t>
    </dgm:pt>
    <dgm:pt modelId="{66C06AD0-DAA0-4C61-85D6-0491E3D3C67A}" type="parTrans" cxnId="{EAC5CE42-2ED3-414F-AEEB-C3244FCEE907}">
      <dgm:prSet/>
      <dgm:spPr/>
      <dgm:t>
        <a:bodyPr/>
        <a:lstStyle/>
        <a:p>
          <a:endParaRPr lang="en-IN"/>
        </a:p>
      </dgm:t>
    </dgm:pt>
    <dgm:pt modelId="{ACAEF7F9-1888-4B23-BDF0-D81EE5E16493}">
      <dgm:prSet phldrT="[Text]" custT="1"/>
      <dgm:spPr/>
      <dgm:t>
        <a:bodyPr/>
        <a:lstStyle/>
        <a:p>
          <a:r>
            <a:rPr lang="en-IN" sz="1200"/>
            <a:t>Identification and selection of exotic crop</a:t>
          </a:r>
        </a:p>
      </dgm:t>
    </dgm:pt>
    <dgm:pt modelId="{E0B8E73E-F272-48C1-9725-6F534682A81E}" type="sibTrans" cxnId="{17F17C74-37FD-4A16-B0E6-B0F4D8280D25}">
      <dgm:prSet/>
      <dgm:spPr/>
      <dgm:t>
        <a:bodyPr/>
        <a:lstStyle/>
        <a:p>
          <a:endParaRPr lang="en-IN"/>
        </a:p>
      </dgm:t>
    </dgm:pt>
    <dgm:pt modelId="{FAC2554C-6B5B-4A68-A723-6193A0AD31B0}" type="parTrans" cxnId="{17F17C74-37FD-4A16-B0E6-B0F4D8280D25}">
      <dgm:prSet/>
      <dgm:spPr/>
      <dgm:t>
        <a:bodyPr/>
        <a:lstStyle/>
        <a:p>
          <a:endParaRPr lang="en-IN"/>
        </a:p>
      </dgm:t>
    </dgm:pt>
    <dgm:pt modelId="{A9547242-29C2-4C3E-8EEB-A5AE61F23931}" type="pres">
      <dgm:prSet presAssocID="{F8CC05ED-1838-4687-AD3C-28D4DAEF51B4}" presName="Name0" presStyleCnt="0">
        <dgm:presLayoutVars>
          <dgm:dir/>
          <dgm:animLvl val="lvl"/>
          <dgm:resizeHandles val="exact"/>
        </dgm:presLayoutVars>
      </dgm:prSet>
      <dgm:spPr/>
    </dgm:pt>
    <dgm:pt modelId="{61D8CF9A-6618-4B14-B7A8-668BC56F090A}" type="pres">
      <dgm:prSet presAssocID="{46B274E0-2067-4C6C-BADE-64F5AC63B7C5}" presName="boxAndChildren" presStyleCnt="0"/>
      <dgm:spPr/>
    </dgm:pt>
    <dgm:pt modelId="{F842C1E1-C1AC-4570-B25D-6F727E0AC87E}" type="pres">
      <dgm:prSet presAssocID="{46B274E0-2067-4C6C-BADE-64F5AC63B7C5}" presName="parentTextBox" presStyleLbl="node1" presStyleIdx="0" presStyleCnt="10"/>
      <dgm:spPr/>
    </dgm:pt>
    <dgm:pt modelId="{F43F63E3-034F-4499-AD9C-20509D5ED168}" type="pres">
      <dgm:prSet presAssocID="{271C9594-FEA9-475B-8DC5-B53C94390DC1}" presName="sp" presStyleCnt="0"/>
      <dgm:spPr/>
    </dgm:pt>
    <dgm:pt modelId="{5BDFC68F-760B-420E-84F8-5B045B1AFE2A}" type="pres">
      <dgm:prSet presAssocID="{EDE6BDF1-B996-4A0B-895F-200892A54F0C}" presName="arrowAndChildren" presStyleCnt="0"/>
      <dgm:spPr/>
    </dgm:pt>
    <dgm:pt modelId="{B906A18C-30FE-4232-BCAD-F0BBC31517DB}" type="pres">
      <dgm:prSet presAssocID="{EDE6BDF1-B996-4A0B-895F-200892A54F0C}" presName="parentTextArrow" presStyleLbl="node1" presStyleIdx="1" presStyleCnt="10"/>
      <dgm:spPr/>
    </dgm:pt>
    <dgm:pt modelId="{F13623D9-03B7-42A4-858A-D5C6B64CC44E}" type="pres">
      <dgm:prSet presAssocID="{7AEDFBFF-9D98-423D-A9C8-B9E030A10D82}" presName="sp" presStyleCnt="0"/>
      <dgm:spPr/>
    </dgm:pt>
    <dgm:pt modelId="{46922FBA-8E6E-4EF4-B0E9-065CE0CCE0B4}" type="pres">
      <dgm:prSet presAssocID="{B1A762B9-7711-4347-9289-45424DAED480}" presName="arrowAndChildren" presStyleCnt="0"/>
      <dgm:spPr/>
    </dgm:pt>
    <dgm:pt modelId="{41C85B51-B3DE-4B19-9B8E-D6FA7F8803A5}" type="pres">
      <dgm:prSet presAssocID="{B1A762B9-7711-4347-9289-45424DAED480}" presName="parentTextArrow" presStyleLbl="node1" presStyleIdx="2" presStyleCnt="10" custLinFactNeighborX="4348" custLinFactNeighborY="10430"/>
      <dgm:spPr/>
    </dgm:pt>
    <dgm:pt modelId="{5C875FAB-9BB8-4DDC-9E16-B4EFB4AD720F}" type="pres">
      <dgm:prSet presAssocID="{1B9E6980-427B-458F-BD0E-BF11ECB66CE9}" presName="sp" presStyleCnt="0"/>
      <dgm:spPr/>
    </dgm:pt>
    <dgm:pt modelId="{CD5F9934-E74D-475E-AC3F-FA896FA603E5}" type="pres">
      <dgm:prSet presAssocID="{6E3AF35B-0D19-4429-9F8A-002232754B01}" presName="arrowAndChildren" presStyleCnt="0"/>
      <dgm:spPr/>
    </dgm:pt>
    <dgm:pt modelId="{1460D8CF-2E76-4843-BCDF-F0FC5288AAF5}" type="pres">
      <dgm:prSet presAssocID="{6E3AF35B-0D19-4429-9F8A-002232754B01}" presName="parentTextArrow" presStyleLbl="node1" presStyleIdx="3" presStyleCnt="10"/>
      <dgm:spPr/>
    </dgm:pt>
    <dgm:pt modelId="{D9A45298-7D5B-412D-900F-9EA64CB057BC}" type="pres">
      <dgm:prSet presAssocID="{58AF97E5-4089-408E-92E2-4A457C66D71D}" presName="sp" presStyleCnt="0"/>
      <dgm:spPr/>
    </dgm:pt>
    <dgm:pt modelId="{703AABCF-F536-4F71-A5DF-CD194FC377B5}" type="pres">
      <dgm:prSet presAssocID="{9B343ED8-6E10-4A6B-B6D7-7EC6B4ED31F9}" presName="arrowAndChildren" presStyleCnt="0"/>
      <dgm:spPr/>
    </dgm:pt>
    <dgm:pt modelId="{2263C85A-7AA7-4A55-BA34-8CA823130D73}" type="pres">
      <dgm:prSet presAssocID="{9B343ED8-6E10-4A6B-B6D7-7EC6B4ED31F9}" presName="parentTextArrow" presStyleLbl="node1" presStyleIdx="4" presStyleCnt="10"/>
      <dgm:spPr/>
    </dgm:pt>
    <dgm:pt modelId="{E258BC6D-803B-4847-A940-85E55D60B5A3}" type="pres">
      <dgm:prSet presAssocID="{CD53D459-9028-4BE5-98D5-85BF9DEE0B3D}" presName="sp" presStyleCnt="0"/>
      <dgm:spPr/>
    </dgm:pt>
    <dgm:pt modelId="{0D4E052C-0DBE-4603-989F-9AA179EA87CC}" type="pres">
      <dgm:prSet presAssocID="{EA077C9E-BBDC-43E5-BD5A-F4BAA6B70762}" presName="arrowAndChildren" presStyleCnt="0"/>
      <dgm:spPr/>
    </dgm:pt>
    <dgm:pt modelId="{C694EB11-1D76-4D8E-B65C-CD1B6C002156}" type="pres">
      <dgm:prSet presAssocID="{EA077C9E-BBDC-43E5-BD5A-F4BAA6B70762}" presName="parentTextArrow" presStyleLbl="node1" presStyleIdx="5" presStyleCnt="10" custLinFactNeighborX="235" custLinFactNeighborY="-1490"/>
      <dgm:spPr/>
    </dgm:pt>
    <dgm:pt modelId="{A5D6BB6C-58E3-4902-9D43-15EFCE444D64}" type="pres">
      <dgm:prSet presAssocID="{2874EFE7-63DB-4CA5-9484-41774ED32627}" presName="sp" presStyleCnt="0"/>
      <dgm:spPr/>
    </dgm:pt>
    <dgm:pt modelId="{A21B2784-8149-4EC8-8752-99B31ED9C748}" type="pres">
      <dgm:prSet presAssocID="{1250E67D-8EE7-4459-A878-EF668A168A22}" presName="arrowAndChildren" presStyleCnt="0"/>
      <dgm:spPr/>
    </dgm:pt>
    <dgm:pt modelId="{28AD1074-602B-4C2D-AB85-407F94093D48}" type="pres">
      <dgm:prSet presAssocID="{1250E67D-8EE7-4459-A878-EF668A168A22}" presName="parentTextArrow" presStyleLbl="node1" presStyleIdx="6" presStyleCnt="10"/>
      <dgm:spPr/>
    </dgm:pt>
    <dgm:pt modelId="{2F7D9439-7B6E-41BE-9AA5-E5146BE9F93D}" type="pres">
      <dgm:prSet presAssocID="{8AFA616F-6DD3-4F70-A4B5-7FC8BCF1A88B}" presName="sp" presStyleCnt="0"/>
      <dgm:spPr/>
    </dgm:pt>
    <dgm:pt modelId="{7E34D825-0F62-428B-8EF0-DB7243093FDD}" type="pres">
      <dgm:prSet presAssocID="{CB2B0F2A-0151-4B64-9F0D-9C609B48723B}" presName="arrowAndChildren" presStyleCnt="0"/>
      <dgm:spPr/>
    </dgm:pt>
    <dgm:pt modelId="{68B1D253-2E5F-42D9-9D7A-58F94C510AFC}" type="pres">
      <dgm:prSet presAssocID="{CB2B0F2A-0151-4B64-9F0D-9C609B48723B}" presName="parentTextArrow" presStyleLbl="node1" presStyleIdx="7" presStyleCnt="10" custLinFactNeighborX="118"/>
      <dgm:spPr/>
    </dgm:pt>
    <dgm:pt modelId="{9DB11C50-2EEC-4E39-BFFA-DDB55F2538A5}" type="pres">
      <dgm:prSet presAssocID="{5D9EE971-B6B6-4DC3-8536-3A67D0602441}" presName="sp" presStyleCnt="0"/>
      <dgm:spPr/>
    </dgm:pt>
    <dgm:pt modelId="{EF4E2833-6752-4331-8A3D-A286FBCE936B}" type="pres">
      <dgm:prSet presAssocID="{AB81B4F4-CF04-49D9-935C-E0938F3FF37E}" presName="arrowAndChildren" presStyleCnt="0"/>
      <dgm:spPr/>
    </dgm:pt>
    <dgm:pt modelId="{26EB202B-C5BD-497A-9298-4B21150DAD0D}" type="pres">
      <dgm:prSet presAssocID="{AB81B4F4-CF04-49D9-935C-E0938F3FF37E}" presName="parentTextArrow" presStyleLbl="node1" presStyleIdx="8" presStyleCnt="10" custScaleX="100000" custScaleY="135429"/>
      <dgm:spPr/>
    </dgm:pt>
    <dgm:pt modelId="{DA46375C-C878-43C0-86BF-073B2FDC8846}" type="pres">
      <dgm:prSet presAssocID="{E0B8E73E-F272-48C1-9725-6F534682A81E}" presName="sp" presStyleCnt="0"/>
      <dgm:spPr/>
    </dgm:pt>
    <dgm:pt modelId="{715217CC-8EB7-4FDE-9B8A-65D089A2826B}" type="pres">
      <dgm:prSet presAssocID="{ACAEF7F9-1888-4B23-BDF0-D81EE5E16493}" presName="arrowAndChildren" presStyleCnt="0"/>
      <dgm:spPr/>
    </dgm:pt>
    <dgm:pt modelId="{6D2F901D-789D-4434-AC31-220A26E24A37}" type="pres">
      <dgm:prSet presAssocID="{ACAEF7F9-1888-4B23-BDF0-D81EE5E16493}" presName="parentTextArrow" presStyleLbl="node1" presStyleIdx="9" presStyleCnt="10"/>
      <dgm:spPr/>
    </dgm:pt>
  </dgm:ptLst>
  <dgm:cxnLst>
    <dgm:cxn modelId="{BAC14016-286F-4437-9307-F13F14A57811}" srcId="{F8CC05ED-1838-4687-AD3C-28D4DAEF51B4}" destId="{EA077C9E-BBDC-43E5-BD5A-F4BAA6B70762}" srcOrd="4" destOrd="0" parTransId="{C3048C12-B99E-4EB3-AC28-C2CEA2C42F7B}" sibTransId="{CD53D459-9028-4BE5-98D5-85BF9DEE0B3D}"/>
    <dgm:cxn modelId="{7F0ED31C-2543-4C4B-8A15-F61A59855EC1}" type="presOf" srcId="{46B274E0-2067-4C6C-BADE-64F5AC63B7C5}" destId="{F842C1E1-C1AC-4570-B25D-6F727E0AC87E}" srcOrd="0" destOrd="0" presId="urn:microsoft.com/office/officeart/2005/8/layout/process4"/>
    <dgm:cxn modelId="{DB49B527-1289-4FE3-8ED6-C2C93638CE7A}" srcId="{F8CC05ED-1838-4687-AD3C-28D4DAEF51B4}" destId="{46B274E0-2067-4C6C-BADE-64F5AC63B7C5}" srcOrd="9" destOrd="0" parTransId="{F985CAD8-B037-411E-96AC-9AE1FF528080}" sibTransId="{4CF58A12-7EF7-4412-A089-2363CD0B61E6}"/>
    <dgm:cxn modelId="{A3EAE82D-B117-4559-A0C6-2B46E9E02E76}" srcId="{F8CC05ED-1838-4687-AD3C-28D4DAEF51B4}" destId="{6E3AF35B-0D19-4429-9F8A-002232754B01}" srcOrd="6" destOrd="0" parTransId="{B7AAFDA0-AF91-4DAD-B364-23DB56C4F9B9}" sibTransId="{1B9E6980-427B-458F-BD0E-BF11ECB66CE9}"/>
    <dgm:cxn modelId="{A3DADC35-799B-4FB6-97AE-9D1262D82863}" type="presOf" srcId="{EDE6BDF1-B996-4A0B-895F-200892A54F0C}" destId="{B906A18C-30FE-4232-BCAD-F0BBC31517DB}" srcOrd="0" destOrd="0" presId="urn:microsoft.com/office/officeart/2005/8/layout/process4"/>
    <dgm:cxn modelId="{78D03636-FF9B-422D-81A3-2697DFE0B108}" srcId="{F8CC05ED-1838-4687-AD3C-28D4DAEF51B4}" destId="{9B343ED8-6E10-4A6B-B6D7-7EC6B4ED31F9}" srcOrd="5" destOrd="0" parTransId="{CCA0CC30-4E75-4BC4-9137-181770B914B7}" sibTransId="{58AF97E5-4089-408E-92E2-4A457C66D71D}"/>
    <dgm:cxn modelId="{57ACB33F-C88A-4B66-BBBB-BCD6B7CBD0F3}" srcId="{F8CC05ED-1838-4687-AD3C-28D4DAEF51B4}" destId="{CB2B0F2A-0151-4B64-9F0D-9C609B48723B}" srcOrd="2" destOrd="0" parTransId="{8B7B7A3D-B27E-4857-8432-8EBDA4978740}" sibTransId="{8AFA616F-6DD3-4F70-A4B5-7FC8BCF1A88B}"/>
    <dgm:cxn modelId="{666F825F-2499-45EB-91EC-FD081FAA279A}" type="presOf" srcId="{B1A762B9-7711-4347-9289-45424DAED480}" destId="{41C85B51-B3DE-4B19-9B8E-D6FA7F8803A5}" srcOrd="0" destOrd="0" presId="urn:microsoft.com/office/officeart/2005/8/layout/process4"/>
    <dgm:cxn modelId="{6F272661-3A28-4BEB-B30C-D62694883346}" type="presOf" srcId="{AB81B4F4-CF04-49D9-935C-E0938F3FF37E}" destId="{26EB202B-C5BD-497A-9298-4B21150DAD0D}" srcOrd="0" destOrd="0" presId="urn:microsoft.com/office/officeart/2005/8/layout/process4"/>
    <dgm:cxn modelId="{EAC5CE42-2ED3-414F-AEEB-C3244FCEE907}" srcId="{F8CC05ED-1838-4687-AD3C-28D4DAEF51B4}" destId="{AB81B4F4-CF04-49D9-935C-E0938F3FF37E}" srcOrd="1" destOrd="0" parTransId="{66C06AD0-DAA0-4C61-85D6-0491E3D3C67A}" sibTransId="{5D9EE971-B6B6-4DC3-8536-3A67D0602441}"/>
    <dgm:cxn modelId="{A483FC48-DAD1-48B4-A8AC-300612097FEE}" type="presOf" srcId="{F8CC05ED-1838-4687-AD3C-28D4DAEF51B4}" destId="{A9547242-29C2-4C3E-8EEB-A5AE61F23931}" srcOrd="0" destOrd="0" presId="urn:microsoft.com/office/officeart/2005/8/layout/process4"/>
    <dgm:cxn modelId="{F9279270-63DC-4D2A-8FBA-DE9D0B90AB5F}" type="presOf" srcId="{9B343ED8-6E10-4A6B-B6D7-7EC6B4ED31F9}" destId="{2263C85A-7AA7-4A55-BA34-8CA823130D73}" srcOrd="0" destOrd="0" presId="urn:microsoft.com/office/officeart/2005/8/layout/process4"/>
    <dgm:cxn modelId="{17F17C74-37FD-4A16-B0E6-B0F4D8280D25}" srcId="{F8CC05ED-1838-4687-AD3C-28D4DAEF51B4}" destId="{ACAEF7F9-1888-4B23-BDF0-D81EE5E16493}" srcOrd="0" destOrd="0" parTransId="{FAC2554C-6B5B-4A68-A723-6193A0AD31B0}" sibTransId="{E0B8E73E-F272-48C1-9725-6F534682A81E}"/>
    <dgm:cxn modelId="{0609BA86-CA30-4EF9-9521-53B0519E6447}" type="presOf" srcId="{ACAEF7F9-1888-4B23-BDF0-D81EE5E16493}" destId="{6D2F901D-789D-4434-AC31-220A26E24A37}" srcOrd="0" destOrd="0" presId="urn:microsoft.com/office/officeart/2005/8/layout/process4"/>
    <dgm:cxn modelId="{AFB8B498-26C7-4F68-AD29-E5B855A4991C}" srcId="{F8CC05ED-1838-4687-AD3C-28D4DAEF51B4}" destId="{1250E67D-8EE7-4459-A878-EF668A168A22}" srcOrd="3" destOrd="0" parTransId="{A0D16B3F-CD02-4722-AC5B-76F56256645F}" sibTransId="{2874EFE7-63DB-4CA5-9484-41774ED32627}"/>
    <dgm:cxn modelId="{3851DEA2-13F7-4682-8AD5-76C42981355F}" srcId="{F8CC05ED-1838-4687-AD3C-28D4DAEF51B4}" destId="{EDE6BDF1-B996-4A0B-895F-200892A54F0C}" srcOrd="8" destOrd="0" parTransId="{02952371-66CF-4E3E-8CC2-273EC662E64A}" sibTransId="{271C9594-FEA9-475B-8DC5-B53C94390DC1}"/>
    <dgm:cxn modelId="{541131C0-2DFB-4C12-82DF-040A10A66D3E}" srcId="{F8CC05ED-1838-4687-AD3C-28D4DAEF51B4}" destId="{B1A762B9-7711-4347-9289-45424DAED480}" srcOrd="7" destOrd="0" parTransId="{5BEB79D6-ACA0-448E-A622-C107C5C1902C}" sibTransId="{7AEDFBFF-9D98-423D-A9C8-B9E030A10D82}"/>
    <dgm:cxn modelId="{2CA52FC3-106D-4CE0-B7F6-CD0478B3B4F1}" type="presOf" srcId="{1250E67D-8EE7-4459-A878-EF668A168A22}" destId="{28AD1074-602B-4C2D-AB85-407F94093D48}" srcOrd="0" destOrd="0" presId="urn:microsoft.com/office/officeart/2005/8/layout/process4"/>
    <dgm:cxn modelId="{FF3BEDDD-20FC-4FB8-9A00-66D82FCE107F}" type="presOf" srcId="{CB2B0F2A-0151-4B64-9F0D-9C609B48723B}" destId="{68B1D253-2E5F-42D9-9D7A-58F94C510AFC}" srcOrd="0" destOrd="0" presId="urn:microsoft.com/office/officeart/2005/8/layout/process4"/>
    <dgm:cxn modelId="{45F277DE-4F55-4F15-BCE0-913F5EB22081}" type="presOf" srcId="{EA077C9E-BBDC-43E5-BD5A-F4BAA6B70762}" destId="{C694EB11-1D76-4D8E-B65C-CD1B6C002156}" srcOrd="0" destOrd="0" presId="urn:microsoft.com/office/officeart/2005/8/layout/process4"/>
    <dgm:cxn modelId="{0EEA37E6-3618-4A6B-A576-66FB019262BF}" type="presOf" srcId="{6E3AF35B-0D19-4429-9F8A-002232754B01}" destId="{1460D8CF-2E76-4843-BCDF-F0FC5288AAF5}" srcOrd="0" destOrd="0" presId="urn:microsoft.com/office/officeart/2005/8/layout/process4"/>
    <dgm:cxn modelId="{526B23EB-106D-4B91-B24E-FA671A26509C}" type="presParOf" srcId="{A9547242-29C2-4C3E-8EEB-A5AE61F23931}" destId="{61D8CF9A-6618-4B14-B7A8-668BC56F090A}" srcOrd="0" destOrd="0" presId="urn:microsoft.com/office/officeart/2005/8/layout/process4"/>
    <dgm:cxn modelId="{1DFDBC7E-861F-455A-831C-474AFBE84B34}" type="presParOf" srcId="{61D8CF9A-6618-4B14-B7A8-668BC56F090A}" destId="{F842C1E1-C1AC-4570-B25D-6F727E0AC87E}" srcOrd="0" destOrd="0" presId="urn:microsoft.com/office/officeart/2005/8/layout/process4"/>
    <dgm:cxn modelId="{31195B6E-03B3-44B1-A413-6D7E2FCB49E1}" type="presParOf" srcId="{A9547242-29C2-4C3E-8EEB-A5AE61F23931}" destId="{F43F63E3-034F-4499-AD9C-20509D5ED168}" srcOrd="1" destOrd="0" presId="urn:microsoft.com/office/officeart/2005/8/layout/process4"/>
    <dgm:cxn modelId="{D85BFAD6-25A2-4BC8-B3F3-E5A1901C047C}" type="presParOf" srcId="{A9547242-29C2-4C3E-8EEB-A5AE61F23931}" destId="{5BDFC68F-760B-420E-84F8-5B045B1AFE2A}" srcOrd="2" destOrd="0" presId="urn:microsoft.com/office/officeart/2005/8/layout/process4"/>
    <dgm:cxn modelId="{813C75F6-29A9-467A-B166-95484AD475D6}" type="presParOf" srcId="{5BDFC68F-760B-420E-84F8-5B045B1AFE2A}" destId="{B906A18C-30FE-4232-BCAD-F0BBC31517DB}" srcOrd="0" destOrd="0" presId="urn:microsoft.com/office/officeart/2005/8/layout/process4"/>
    <dgm:cxn modelId="{4C8525BB-6891-4306-BEDA-9E85FCCC8B6A}" type="presParOf" srcId="{A9547242-29C2-4C3E-8EEB-A5AE61F23931}" destId="{F13623D9-03B7-42A4-858A-D5C6B64CC44E}" srcOrd="3" destOrd="0" presId="urn:microsoft.com/office/officeart/2005/8/layout/process4"/>
    <dgm:cxn modelId="{4BB17A42-9848-4FC1-8624-030C04861BFF}" type="presParOf" srcId="{A9547242-29C2-4C3E-8EEB-A5AE61F23931}" destId="{46922FBA-8E6E-4EF4-B0E9-065CE0CCE0B4}" srcOrd="4" destOrd="0" presId="urn:microsoft.com/office/officeart/2005/8/layout/process4"/>
    <dgm:cxn modelId="{F2112B34-FE20-4356-8349-0A4AD078BF7F}" type="presParOf" srcId="{46922FBA-8E6E-4EF4-B0E9-065CE0CCE0B4}" destId="{41C85B51-B3DE-4B19-9B8E-D6FA7F8803A5}" srcOrd="0" destOrd="0" presId="urn:microsoft.com/office/officeart/2005/8/layout/process4"/>
    <dgm:cxn modelId="{959C3380-89FC-413E-9FB6-9972B6FDC55C}" type="presParOf" srcId="{A9547242-29C2-4C3E-8EEB-A5AE61F23931}" destId="{5C875FAB-9BB8-4DDC-9E16-B4EFB4AD720F}" srcOrd="5" destOrd="0" presId="urn:microsoft.com/office/officeart/2005/8/layout/process4"/>
    <dgm:cxn modelId="{9E8FA0CB-4F74-43FB-827F-8EDADA87C58F}" type="presParOf" srcId="{A9547242-29C2-4C3E-8EEB-A5AE61F23931}" destId="{CD5F9934-E74D-475E-AC3F-FA896FA603E5}" srcOrd="6" destOrd="0" presId="urn:microsoft.com/office/officeart/2005/8/layout/process4"/>
    <dgm:cxn modelId="{3A5886D2-01EE-4767-BF11-DFF114154B5D}" type="presParOf" srcId="{CD5F9934-E74D-475E-AC3F-FA896FA603E5}" destId="{1460D8CF-2E76-4843-BCDF-F0FC5288AAF5}" srcOrd="0" destOrd="0" presId="urn:microsoft.com/office/officeart/2005/8/layout/process4"/>
    <dgm:cxn modelId="{D5E1B785-FF95-44EE-8C10-9A2055FB1059}" type="presParOf" srcId="{A9547242-29C2-4C3E-8EEB-A5AE61F23931}" destId="{D9A45298-7D5B-412D-900F-9EA64CB057BC}" srcOrd="7" destOrd="0" presId="urn:microsoft.com/office/officeart/2005/8/layout/process4"/>
    <dgm:cxn modelId="{58ECD263-90BF-4FA6-B31E-A0E0F5102AFA}" type="presParOf" srcId="{A9547242-29C2-4C3E-8EEB-A5AE61F23931}" destId="{703AABCF-F536-4F71-A5DF-CD194FC377B5}" srcOrd="8" destOrd="0" presId="urn:microsoft.com/office/officeart/2005/8/layout/process4"/>
    <dgm:cxn modelId="{FCA82C1C-BFB1-4BAA-8189-4A4180FDD332}" type="presParOf" srcId="{703AABCF-F536-4F71-A5DF-CD194FC377B5}" destId="{2263C85A-7AA7-4A55-BA34-8CA823130D73}" srcOrd="0" destOrd="0" presId="urn:microsoft.com/office/officeart/2005/8/layout/process4"/>
    <dgm:cxn modelId="{BD9C3C64-7006-48EA-B513-4674A18C584B}" type="presParOf" srcId="{A9547242-29C2-4C3E-8EEB-A5AE61F23931}" destId="{E258BC6D-803B-4847-A940-85E55D60B5A3}" srcOrd="9" destOrd="0" presId="urn:microsoft.com/office/officeart/2005/8/layout/process4"/>
    <dgm:cxn modelId="{B467E64C-8C3B-47F3-AE21-262BAE645FE9}" type="presParOf" srcId="{A9547242-29C2-4C3E-8EEB-A5AE61F23931}" destId="{0D4E052C-0DBE-4603-989F-9AA179EA87CC}" srcOrd="10" destOrd="0" presId="urn:microsoft.com/office/officeart/2005/8/layout/process4"/>
    <dgm:cxn modelId="{7E24A4B3-4E2F-4D55-91B7-917F72BBC941}" type="presParOf" srcId="{0D4E052C-0DBE-4603-989F-9AA179EA87CC}" destId="{C694EB11-1D76-4D8E-B65C-CD1B6C002156}" srcOrd="0" destOrd="0" presId="urn:microsoft.com/office/officeart/2005/8/layout/process4"/>
    <dgm:cxn modelId="{969629AE-3873-49B4-B9F3-53F994E30463}" type="presParOf" srcId="{A9547242-29C2-4C3E-8EEB-A5AE61F23931}" destId="{A5D6BB6C-58E3-4902-9D43-15EFCE444D64}" srcOrd="11" destOrd="0" presId="urn:microsoft.com/office/officeart/2005/8/layout/process4"/>
    <dgm:cxn modelId="{1290C005-AB6F-4245-9384-64FA7DA36FED}" type="presParOf" srcId="{A9547242-29C2-4C3E-8EEB-A5AE61F23931}" destId="{A21B2784-8149-4EC8-8752-99B31ED9C748}" srcOrd="12" destOrd="0" presId="urn:microsoft.com/office/officeart/2005/8/layout/process4"/>
    <dgm:cxn modelId="{CD0C78CF-D929-4BE0-BAB5-DC6402766D9C}" type="presParOf" srcId="{A21B2784-8149-4EC8-8752-99B31ED9C748}" destId="{28AD1074-602B-4C2D-AB85-407F94093D48}" srcOrd="0" destOrd="0" presId="urn:microsoft.com/office/officeart/2005/8/layout/process4"/>
    <dgm:cxn modelId="{9E029C00-F1D3-48FE-8A62-E6FCE05D0EA5}" type="presParOf" srcId="{A9547242-29C2-4C3E-8EEB-A5AE61F23931}" destId="{2F7D9439-7B6E-41BE-9AA5-E5146BE9F93D}" srcOrd="13" destOrd="0" presId="urn:microsoft.com/office/officeart/2005/8/layout/process4"/>
    <dgm:cxn modelId="{F4670E9F-E6DB-44C6-82E1-16C97701C921}" type="presParOf" srcId="{A9547242-29C2-4C3E-8EEB-A5AE61F23931}" destId="{7E34D825-0F62-428B-8EF0-DB7243093FDD}" srcOrd="14" destOrd="0" presId="urn:microsoft.com/office/officeart/2005/8/layout/process4"/>
    <dgm:cxn modelId="{25CA574E-07FA-438F-95D9-AB6A2295C2DC}" type="presParOf" srcId="{7E34D825-0F62-428B-8EF0-DB7243093FDD}" destId="{68B1D253-2E5F-42D9-9D7A-58F94C510AFC}" srcOrd="0" destOrd="0" presId="urn:microsoft.com/office/officeart/2005/8/layout/process4"/>
    <dgm:cxn modelId="{CE0483D1-5A58-487E-BBBF-C4834D5E9D93}" type="presParOf" srcId="{A9547242-29C2-4C3E-8EEB-A5AE61F23931}" destId="{9DB11C50-2EEC-4E39-BFFA-DDB55F2538A5}" srcOrd="15" destOrd="0" presId="urn:microsoft.com/office/officeart/2005/8/layout/process4"/>
    <dgm:cxn modelId="{D29030ED-8B2D-4F63-9FF9-6EED1AD032F9}" type="presParOf" srcId="{A9547242-29C2-4C3E-8EEB-A5AE61F23931}" destId="{EF4E2833-6752-4331-8A3D-A286FBCE936B}" srcOrd="16" destOrd="0" presId="urn:microsoft.com/office/officeart/2005/8/layout/process4"/>
    <dgm:cxn modelId="{8185D873-8479-4416-8CA3-30F41D8489C5}" type="presParOf" srcId="{EF4E2833-6752-4331-8A3D-A286FBCE936B}" destId="{26EB202B-C5BD-497A-9298-4B21150DAD0D}" srcOrd="0" destOrd="0" presId="urn:microsoft.com/office/officeart/2005/8/layout/process4"/>
    <dgm:cxn modelId="{EA426ECD-9DC6-4513-9540-41875981E053}" type="presParOf" srcId="{A9547242-29C2-4C3E-8EEB-A5AE61F23931}" destId="{DA46375C-C878-43C0-86BF-073B2FDC8846}" srcOrd="17" destOrd="0" presId="urn:microsoft.com/office/officeart/2005/8/layout/process4"/>
    <dgm:cxn modelId="{9562F0FA-5D68-4129-B92F-1399133A3999}" type="presParOf" srcId="{A9547242-29C2-4C3E-8EEB-A5AE61F23931}" destId="{715217CC-8EB7-4FDE-9B8A-65D089A2826B}" srcOrd="18" destOrd="0" presId="urn:microsoft.com/office/officeart/2005/8/layout/process4"/>
    <dgm:cxn modelId="{79C76812-A53B-49CC-A071-8C7D30CB3CE9}" type="presParOf" srcId="{715217CC-8EB7-4FDE-9B8A-65D089A2826B}" destId="{6D2F901D-789D-4434-AC31-220A26E24A37}"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42C1E1-C1AC-4570-B25D-6F727E0AC87E}">
      <dsp:nvSpPr>
        <dsp:cNvPr id="0" name=""/>
        <dsp:cNvSpPr/>
      </dsp:nvSpPr>
      <dsp:spPr>
        <a:xfrm>
          <a:off x="0" y="3599664"/>
          <a:ext cx="4925028" cy="252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Long term integration of exotic crop in the region </a:t>
          </a:r>
        </a:p>
      </dsp:txBody>
      <dsp:txXfrm>
        <a:off x="0" y="3599664"/>
        <a:ext cx="4925028" cy="252545"/>
      </dsp:txXfrm>
    </dsp:sp>
    <dsp:sp modelId="{B906A18C-30FE-4232-BCAD-F0BBC31517DB}">
      <dsp:nvSpPr>
        <dsp:cNvPr id="0" name=""/>
        <dsp:cNvSpPr/>
      </dsp:nvSpPr>
      <dsp:spPr>
        <a:xfrm rot="10800000">
          <a:off x="0" y="3215036"/>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Evaluation and successful adaptation scaling up cultivation</a:t>
          </a:r>
        </a:p>
      </dsp:txBody>
      <dsp:txXfrm rot="10800000">
        <a:off x="0" y="3215036"/>
        <a:ext cx="4925028" cy="252380"/>
      </dsp:txXfrm>
    </dsp:sp>
    <dsp:sp modelId="{41C85B51-B3DE-4B19-9B8E-D6FA7F8803A5}">
      <dsp:nvSpPr>
        <dsp:cNvPr id="0" name=""/>
        <dsp:cNvSpPr/>
      </dsp:nvSpPr>
      <dsp:spPr>
        <a:xfrm rot="10800000">
          <a:off x="0" y="2870921"/>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Distribution of seeds and field trials to farmers</a:t>
          </a:r>
        </a:p>
      </dsp:txBody>
      <dsp:txXfrm rot="10800000">
        <a:off x="0" y="2870921"/>
        <a:ext cx="4925028" cy="252380"/>
      </dsp:txXfrm>
    </dsp:sp>
    <dsp:sp modelId="{1460D8CF-2E76-4843-BCDF-F0FC5288AAF5}">
      <dsp:nvSpPr>
        <dsp:cNvPr id="0" name=""/>
        <dsp:cNvSpPr/>
      </dsp:nvSpPr>
      <dsp:spPr>
        <a:xfrm rot="10800000">
          <a:off x="0" y="2445782"/>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Training and awareness to farmers</a:t>
          </a:r>
        </a:p>
      </dsp:txBody>
      <dsp:txXfrm rot="10800000">
        <a:off x="0" y="2445782"/>
        <a:ext cx="4925028" cy="252380"/>
      </dsp:txXfrm>
    </dsp:sp>
    <dsp:sp modelId="{2263C85A-7AA7-4A55-BA34-8CA823130D73}">
      <dsp:nvSpPr>
        <dsp:cNvPr id="0" name=""/>
        <dsp:cNvSpPr/>
      </dsp:nvSpPr>
      <dsp:spPr>
        <a:xfrm rot="10800000">
          <a:off x="0" y="2061155"/>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Development of local varities</a:t>
          </a:r>
        </a:p>
      </dsp:txBody>
      <dsp:txXfrm rot="10800000">
        <a:off x="0" y="2061155"/>
        <a:ext cx="4925028" cy="252380"/>
      </dsp:txXfrm>
    </dsp:sp>
    <dsp:sp modelId="{C694EB11-1D76-4D8E-B65C-CD1B6C002156}">
      <dsp:nvSpPr>
        <dsp:cNvPr id="0" name=""/>
        <dsp:cNvSpPr/>
      </dsp:nvSpPr>
      <dsp:spPr>
        <a:xfrm rot="10800000">
          <a:off x="0" y="1670740"/>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Research trial and test adaptiblity </a:t>
          </a:r>
        </a:p>
      </dsp:txBody>
      <dsp:txXfrm rot="10800000">
        <a:off x="0" y="1670740"/>
        <a:ext cx="4925028" cy="252380"/>
      </dsp:txXfrm>
    </dsp:sp>
    <dsp:sp modelId="{28AD1074-602B-4C2D-AB85-407F94093D48}">
      <dsp:nvSpPr>
        <dsp:cNvPr id="0" name=""/>
        <dsp:cNvSpPr/>
      </dsp:nvSpPr>
      <dsp:spPr>
        <a:xfrm rot="10800000">
          <a:off x="0" y="1291900"/>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Approval &amp; Release of trial cultivation</a:t>
          </a:r>
        </a:p>
      </dsp:txBody>
      <dsp:txXfrm rot="10800000">
        <a:off x="0" y="1291900"/>
        <a:ext cx="4925028" cy="252380"/>
      </dsp:txXfrm>
    </dsp:sp>
    <dsp:sp modelId="{68B1D253-2E5F-42D9-9D7A-58F94C510AFC}">
      <dsp:nvSpPr>
        <dsp:cNvPr id="0" name=""/>
        <dsp:cNvSpPr/>
      </dsp:nvSpPr>
      <dsp:spPr>
        <a:xfrm rot="10800000">
          <a:off x="0" y="907273"/>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Quarantine &amp; Phytosanitary Checks</a:t>
          </a:r>
        </a:p>
      </dsp:txBody>
      <dsp:txXfrm rot="10800000">
        <a:off x="0" y="907273"/>
        <a:ext cx="4925028" cy="252380"/>
      </dsp:txXfrm>
    </dsp:sp>
    <dsp:sp modelId="{26EB202B-C5BD-497A-9298-4B21150DAD0D}">
      <dsp:nvSpPr>
        <dsp:cNvPr id="0" name=""/>
        <dsp:cNvSpPr/>
      </dsp:nvSpPr>
      <dsp:spPr>
        <a:xfrm rot="10800000">
          <a:off x="0" y="385034"/>
          <a:ext cx="4925028" cy="52602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Import request for plant material or seed </a:t>
          </a:r>
        </a:p>
      </dsp:txBody>
      <dsp:txXfrm rot="10800000">
        <a:off x="0" y="385034"/>
        <a:ext cx="4925028" cy="341797"/>
      </dsp:txXfrm>
    </dsp:sp>
    <dsp:sp modelId="{6D2F901D-789D-4434-AC31-220A26E24A37}">
      <dsp:nvSpPr>
        <dsp:cNvPr id="0" name=""/>
        <dsp:cNvSpPr/>
      </dsp:nvSpPr>
      <dsp:spPr>
        <a:xfrm rot="10800000">
          <a:off x="0" y="406"/>
          <a:ext cx="4925028" cy="38841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IN" sz="1200" kern="1200"/>
            <a:t>Identification and selection of exotic crop</a:t>
          </a:r>
        </a:p>
      </dsp:txBody>
      <dsp:txXfrm rot="10800000">
        <a:off x="0" y="406"/>
        <a:ext cx="4925028" cy="2523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B29B0-B543-406E-B9C0-0A3FE055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23688</Words>
  <Characters>135026</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amitraj2002jrd@gmail.com</dc:creator>
  <cp:lastModifiedBy>SDI 1084</cp:lastModifiedBy>
  <cp:revision>8</cp:revision>
  <dcterms:created xsi:type="dcterms:W3CDTF">2025-12-18T14:10:00Z</dcterms:created>
  <dcterms:modified xsi:type="dcterms:W3CDTF">2025-12-30T08:30:00Z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18th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efc943da-533f-39b1-a58f-0f15d0667ec5</vt:lpwstr>
  </property>
  <property fmtid="{D5CDD505-2E9C-101B-9397-08002B2CF9AE}" pid="25" name="GrammarlyDocumentId">
    <vt:lpwstr>fba804bd-cd68-436b-b02d-8ec432944896</vt:lpwstr>
  </property>
</Properties>
</file>