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5DCBC" w14:textId="77777777" w:rsidR="00CF2BEB" w:rsidRPr="00CF2BEB" w:rsidRDefault="00CF2BEB" w:rsidP="00CF2BEB">
      <w:pPr>
        <w:jc w:val="center"/>
        <w:rPr>
          <w:rFonts w:ascii="Times New Roman" w:hAnsi="Times New Roman" w:cs="Times New Roman"/>
          <w:b/>
          <w:bCs/>
          <w:i/>
          <w:iCs/>
          <w:u w:val="single"/>
          <w:lang w:val="en-US"/>
        </w:rPr>
      </w:pPr>
      <w:r w:rsidRPr="00CF2BEB">
        <w:rPr>
          <w:rFonts w:ascii="Times New Roman" w:hAnsi="Times New Roman" w:cs="Times New Roman"/>
          <w:b/>
          <w:bCs/>
          <w:i/>
          <w:iCs/>
          <w:u w:val="single"/>
          <w:lang w:val="en-US"/>
        </w:rPr>
        <w:t>Review Article</w:t>
      </w:r>
    </w:p>
    <w:p w14:paraId="25C503DC" w14:textId="4AD397AE" w:rsidR="00717422" w:rsidRDefault="00717422" w:rsidP="003159D3">
      <w:pPr>
        <w:jc w:val="center"/>
        <w:rPr>
          <w:rFonts w:ascii="Times New Roman" w:hAnsi="Times New Roman" w:cs="Times New Roman"/>
          <w:b/>
          <w:bCs/>
        </w:rPr>
      </w:pPr>
      <w:r w:rsidRPr="003159D3">
        <w:rPr>
          <w:rFonts w:ascii="Times New Roman" w:hAnsi="Times New Roman" w:cs="Times New Roman"/>
          <w:b/>
          <w:bCs/>
        </w:rPr>
        <w:t>Recent Developments in Antioxidant and Anti-inflammatory Activities of Herbal Extracts: A review</w:t>
      </w:r>
    </w:p>
    <w:p w14:paraId="7AC1485D" w14:textId="77777777" w:rsidR="008941AB" w:rsidRDefault="008941AB" w:rsidP="00E918F8">
      <w:pPr>
        <w:jc w:val="center"/>
        <w:rPr>
          <w:rFonts w:ascii="Times New Roman" w:hAnsi="Times New Roman" w:cs="Times New Roman"/>
          <w:b/>
          <w:bCs/>
        </w:rPr>
      </w:pPr>
    </w:p>
    <w:p w14:paraId="6E044B64" w14:textId="6F8C7715" w:rsidR="00717422" w:rsidRPr="00661FD7" w:rsidRDefault="00E918F8" w:rsidP="00E918F8">
      <w:pPr>
        <w:jc w:val="center"/>
        <w:rPr>
          <w:rFonts w:ascii="Times New Roman" w:hAnsi="Times New Roman" w:cs="Times New Roman"/>
          <w:b/>
          <w:bCs/>
        </w:rPr>
      </w:pPr>
      <w:bookmarkStart w:id="0" w:name="_GoBack"/>
      <w:bookmarkEnd w:id="0"/>
      <w:r w:rsidRPr="00661FD7">
        <w:rPr>
          <w:rFonts w:ascii="Times New Roman" w:hAnsi="Times New Roman" w:cs="Times New Roman"/>
          <w:b/>
          <w:bCs/>
        </w:rPr>
        <w:t xml:space="preserve">Abstract </w:t>
      </w:r>
    </w:p>
    <w:p w14:paraId="17C65FDD" w14:textId="77777777" w:rsidR="00E918F8" w:rsidRPr="00661FD7" w:rsidRDefault="00E918F8" w:rsidP="00E918F8">
      <w:pPr>
        <w:jc w:val="both"/>
        <w:rPr>
          <w:rFonts w:ascii="Times New Roman" w:hAnsi="Times New Roman" w:cs="Times New Roman"/>
        </w:rPr>
      </w:pPr>
      <w:r w:rsidRPr="00661FD7">
        <w:rPr>
          <w:rFonts w:ascii="Times New Roman" w:hAnsi="Times New Roman" w:cs="Times New Roman"/>
        </w:rPr>
        <w:t>Herbal extracts have emerged as a significant source of bioactive molecules with strong antioxidant and anti-inflammatory potential, supported by diverse phytochemicals such as polyphenols, flavonoids, terpenoids, alkaloids, tannins, saponins, and polysaccharides that modulate oxidative and inflammatory pathways through ROS scavenging, cytokine suppression, and regulation of NF-</w:t>
      </w:r>
      <w:proofErr w:type="spellStart"/>
      <w:r w:rsidRPr="00661FD7">
        <w:rPr>
          <w:rFonts w:ascii="Times New Roman" w:hAnsi="Times New Roman" w:cs="Times New Roman"/>
        </w:rPr>
        <w:t>κB</w:t>
      </w:r>
      <w:proofErr w:type="spellEnd"/>
      <w:r w:rsidRPr="00661FD7">
        <w:rPr>
          <w:rFonts w:ascii="Times New Roman" w:hAnsi="Times New Roman" w:cs="Times New Roman"/>
        </w:rPr>
        <w:t xml:space="preserve">, COX, LOX, and MAPKs. Advances in green extraction technologies, including ultrasound-assisted, microwave-assisted, and supercritical CO₂ methods, have improved yield, purity, and stability of active compounds. Analytical tools such as HPLC, LC-MS/MS, FTIR, and NMR have strengthened phytochemical standardization, enabling better characterization of functional constituents. In vitro and in vivo studies consistently report reductions in lipid peroxidation, inflammatory biomarkers, and oxidative damage across diverse disease models, while </w:t>
      </w:r>
      <w:proofErr w:type="spellStart"/>
      <w:r w:rsidRPr="00661FD7">
        <w:rPr>
          <w:rFonts w:ascii="Times New Roman" w:hAnsi="Times New Roman" w:cs="Times New Roman"/>
        </w:rPr>
        <w:t>nanoformulations</w:t>
      </w:r>
      <w:proofErr w:type="spellEnd"/>
      <w:r w:rsidRPr="00661FD7">
        <w:rPr>
          <w:rFonts w:ascii="Times New Roman" w:hAnsi="Times New Roman" w:cs="Times New Roman"/>
        </w:rPr>
        <w:t xml:space="preserve"> such as nanoparticles, </w:t>
      </w:r>
      <w:proofErr w:type="spellStart"/>
      <w:r w:rsidRPr="00661FD7">
        <w:rPr>
          <w:rFonts w:ascii="Times New Roman" w:hAnsi="Times New Roman" w:cs="Times New Roman"/>
        </w:rPr>
        <w:t>nanoemulsions</w:t>
      </w:r>
      <w:proofErr w:type="spellEnd"/>
      <w:r w:rsidRPr="00661FD7">
        <w:rPr>
          <w:rFonts w:ascii="Times New Roman" w:hAnsi="Times New Roman" w:cs="Times New Roman"/>
        </w:rPr>
        <w:t xml:space="preserve">, liposomes, and </w:t>
      </w:r>
      <w:proofErr w:type="spellStart"/>
      <w:r w:rsidRPr="00661FD7">
        <w:rPr>
          <w:rFonts w:ascii="Times New Roman" w:hAnsi="Times New Roman" w:cs="Times New Roman"/>
        </w:rPr>
        <w:t>phytosomes</w:t>
      </w:r>
      <w:proofErr w:type="spellEnd"/>
      <w:r w:rsidRPr="00661FD7">
        <w:rPr>
          <w:rFonts w:ascii="Times New Roman" w:hAnsi="Times New Roman" w:cs="Times New Roman"/>
        </w:rPr>
        <w:t xml:space="preserve"> enhance bioavailability and therapeutic efficacy. Clinical research indicates improvements in antioxidant enzyme activity and cytokine profiles, though challenges remain regarding dosage variability, limited long-term trials, and herb–drug interactions. Integration of metabolomics, multi-omics, and AI-driven phytochemical discovery supports identification of novel </w:t>
      </w:r>
      <w:proofErr w:type="spellStart"/>
      <w:r w:rsidRPr="00661FD7">
        <w:rPr>
          <w:rFonts w:ascii="Times New Roman" w:hAnsi="Times New Roman" w:cs="Times New Roman"/>
        </w:rPr>
        <w:t>bioactives</w:t>
      </w:r>
      <w:proofErr w:type="spellEnd"/>
      <w:r w:rsidRPr="00661FD7">
        <w:rPr>
          <w:rFonts w:ascii="Times New Roman" w:hAnsi="Times New Roman" w:cs="Times New Roman"/>
        </w:rPr>
        <w:t xml:space="preserve"> and promotes personalized herbal therapeutics. Expanding global nutraceutical demand highlights the commercial and therapeutic relevance of these compounds. Overall, herbal extracts represent a promising class of multifunctional agents with substantial potential for managing oxidative stress and inflammation, warranting continued scientific refinement and clinical validation. </w:t>
      </w:r>
    </w:p>
    <w:p w14:paraId="5BA96C70" w14:textId="40B91779" w:rsidR="00E918F8" w:rsidRPr="00661FD7" w:rsidRDefault="00E918F8" w:rsidP="00E918F8">
      <w:pPr>
        <w:jc w:val="both"/>
        <w:rPr>
          <w:rFonts w:ascii="Times New Roman" w:hAnsi="Times New Roman" w:cs="Times New Roman"/>
        </w:rPr>
      </w:pPr>
      <w:r w:rsidRPr="00661FD7">
        <w:rPr>
          <w:rFonts w:ascii="Times New Roman" w:hAnsi="Times New Roman" w:cs="Times New Roman"/>
          <w:b/>
          <w:bCs/>
        </w:rPr>
        <w:t>Keywords:</w:t>
      </w:r>
      <w:r w:rsidRPr="00661FD7">
        <w:rPr>
          <w:rFonts w:ascii="Times New Roman" w:hAnsi="Times New Roman" w:cs="Times New Roman"/>
        </w:rPr>
        <w:t xml:space="preserve"> </w:t>
      </w:r>
      <w:r w:rsidRPr="00661FD7">
        <w:rPr>
          <w:rFonts w:ascii="Times New Roman" w:hAnsi="Times New Roman" w:cs="Times New Roman"/>
          <w:i/>
          <w:iCs/>
        </w:rPr>
        <w:t xml:space="preserve">herbal extracts, phytochemicals, antioxidant activity, anti-inflammatory pathways, </w:t>
      </w:r>
      <w:proofErr w:type="spellStart"/>
      <w:r w:rsidRPr="00661FD7">
        <w:rPr>
          <w:rFonts w:ascii="Times New Roman" w:hAnsi="Times New Roman" w:cs="Times New Roman"/>
          <w:i/>
          <w:iCs/>
        </w:rPr>
        <w:t>nanoformulations</w:t>
      </w:r>
      <w:proofErr w:type="spellEnd"/>
      <w:r w:rsidRPr="00661FD7">
        <w:rPr>
          <w:rFonts w:ascii="Times New Roman" w:hAnsi="Times New Roman" w:cs="Times New Roman"/>
          <w:i/>
          <w:iCs/>
        </w:rPr>
        <w:t>, clinical efficacy, metabolomics.</w:t>
      </w:r>
    </w:p>
    <w:p w14:paraId="3DF0DCF0" w14:textId="77777777"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I. Introduction</w:t>
      </w:r>
    </w:p>
    <w:p w14:paraId="5C58BEF9" w14:textId="7BF82B9E"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Global burden of oxidative stress and inflammation</w:t>
      </w:r>
      <w:r w:rsidRPr="000623DE">
        <w:rPr>
          <w:rFonts w:ascii="Times New Roman" w:hAnsi="Times New Roman" w:cs="Times New Roman"/>
        </w:rPr>
        <w:br/>
        <w:t>Oxidative stress and inflammation are recognized as interlinked pathological drivers underlying more than 100 chronic and degenerative disorders, including cardiovascular diseases, neurodegeneration, diabetes, metabolic syndrome, autoimmune disorders, and various cancers</w:t>
      </w:r>
      <w:r w:rsidR="00365440">
        <w:rPr>
          <w:rFonts w:ascii="Times New Roman" w:hAnsi="Times New Roman" w:cs="Times New Roman"/>
        </w:rPr>
        <w:t xml:space="preserve"> (</w:t>
      </w:r>
      <w:proofErr w:type="spellStart"/>
      <w:r w:rsidR="00365440">
        <w:rPr>
          <w:rFonts w:ascii="Times New Roman" w:hAnsi="Times New Roman" w:cs="Times New Roman"/>
        </w:rPr>
        <w:t>Leyane</w:t>
      </w:r>
      <w:proofErr w:type="spellEnd"/>
      <w:r w:rsidR="00365440">
        <w:rPr>
          <w:rFonts w:ascii="Times New Roman" w:hAnsi="Times New Roman" w:cs="Times New Roman"/>
        </w:rPr>
        <w:t xml:space="preserve"> </w:t>
      </w:r>
      <w:r w:rsidR="00365440" w:rsidRPr="00365440">
        <w:rPr>
          <w:rFonts w:ascii="Times New Roman" w:hAnsi="Times New Roman" w:cs="Times New Roman"/>
          <w:i/>
          <w:iCs/>
        </w:rPr>
        <w:t>et.al.,</w:t>
      </w:r>
      <w:r w:rsidR="00365440">
        <w:rPr>
          <w:rFonts w:ascii="Times New Roman" w:hAnsi="Times New Roman" w:cs="Times New Roman"/>
        </w:rPr>
        <w:t xml:space="preserve"> 2022).</w:t>
      </w:r>
      <w:r w:rsidRPr="000623DE">
        <w:rPr>
          <w:rFonts w:ascii="Times New Roman" w:hAnsi="Times New Roman" w:cs="Times New Roman"/>
        </w:rPr>
        <w:t xml:space="preserve"> Reactive oxygen species (ROS) generated beyond physiological thresholds contribute to lipid peroxidation, protein carbonylation, and DNA damage, compromising cellular homeostasis and accelerating aging processes. Epidemiological reports indicate that nearly 60–70% of chronic illnesses are influenced by oxidative mechanisms, with inflammatory mediators such as TNF-α, IL-1β, IL-6, COX-2, and </w:t>
      </w:r>
      <w:proofErr w:type="spellStart"/>
      <w:r w:rsidRPr="000623DE">
        <w:rPr>
          <w:rFonts w:ascii="Times New Roman" w:hAnsi="Times New Roman" w:cs="Times New Roman"/>
        </w:rPr>
        <w:t>iNOS</w:t>
      </w:r>
      <w:proofErr w:type="spellEnd"/>
      <w:r w:rsidRPr="000623DE">
        <w:rPr>
          <w:rFonts w:ascii="Times New Roman" w:hAnsi="Times New Roman" w:cs="Times New Roman"/>
        </w:rPr>
        <w:t xml:space="preserve"> playing key roles in disease progression. Global economic estimates suggest that diseases driven by oxidative and inflammatory pathways account for multitrillion-dollar healthcare burdens annually, reflecting their profound societal impact.</w:t>
      </w:r>
    </w:p>
    <w:p w14:paraId="53A343DA" w14:textId="79F8B654"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Significance of herbal extracts in therapeutic research</w:t>
      </w:r>
      <w:r w:rsidRPr="000623DE">
        <w:rPr>
          <w:rFonts w:ascii="Times New Roman" w:hAnsi="Times New Roman" w:cs="Times New Roman"/>
        </w:rPr>
        <w:br/>
        <w:t xml:space="preserve">Herbal extracts have gained significant scientific attention due to their rich phytochemical profiles comprising flavonoids, phenolic acids, terpenoids, alkaloids, stilbenes, and polysaccharides known for potent antioxidant and anti-inflammatory activities. Polyphenols such as curcumin, quercetin, </w:t>
      </w:r>
      <w:r w:rsidRPr="000623DE">
        <w:rPr>
          <w:rFonts w:ascii="Times New Roman" w:hAnsi="Times New Roman" w:cs="Times New Roman"/>
        </w:rPr>
        <w:lastRenderedPageBreak/>
        <w:t>resveratrol, catechins, and tannins demonstrate efficacy in neutralizing free radicals, inhibiting nitric oxide overproduction, downregulating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activation, and modulating cytokine cascades. Numerous in vitro and in vivo studies confirm that herbal preparations can reduce oxidative biomarkers including malondialdehyde (MDA), enhance endogenous enzymatic </w:t>
      </w:r>
      <w:proofErr w:type="spellStart"/>
      <w:r w:rsidRPr="000623DE">
        <w:rPr>
          <w:rFonts w:ascii="Times New Roman" w:hAnsi="Times New Roman" w:cs="Times New Roman"/>
        </w:rPr>
        <w:t>defenses</w:t>
      </w:r>
      <w:proofErr w:type="spellEnd"/>
      <w:r w:rsidRPr="000623DE">
        <w:rPr>
          <w:rFonts w:ascii="Times New Roman" w:hAnsi="Times New Roman" w:cs="Times New Roman"/>
        </w:rPr>
        <w:t xml:space="preserve"> such as SOD, CAT, </w:t>
      </w:r>
      <w:proofErr w:type="spellStart"/>
      <w:r w:rsidRPr="000623DE">
        <w:rPr>
          <w:rFonts w:ascii="Times New Roman" w:hAnsi="Times New Roman" w:cs="Times New Roman"/>
        </w:rPr>
        <w:t>GPx</w:t>
      </w:r>
      <w:proofErr w:type="spellEnd"/>
      <w:r w:rsidRPr="000623DE">
        <w:rPr>
          <w:rFonts w:ascii="Times New Roman" w:hAnsi="Times New Roman" w:cs="Times New Roman"/>
        </w:rPr>
        <w:t>, and attenuate pro-inflammatory mediators. Market analyses indicate a projected global herbal therapeutics value exceeding USD 550 billion by 2030, driven by demands for safer, plant-based interventions supported by evidence-based research.</w:t>
      </w:r>
    </w:p>
    <w:p w14:paraId="396EE387" w14:textId="75BF3E3B"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Aim, scope, and structure of the review</w:t>
      </w:r>
      <w:r w:rsidRPr="000623DE">
        <w:rPr>
          <w:rFonts w:ascii="Times New Roman" w:hAnsi="Times New Roman" w:cs="Times New Roman"/>
        </w:rPr>
        <w:br/>
        <w:t>This review synthesizes contemporary scientific advancements regarding antioxidant and anti-inflammatory activities of herbal extracts, emphasizing mechanistic insights, comparative efficacy, phytochemical contributions, analytical approaches, and therapeutic relevance</w:t>
      </w:r>
      <w:r w:rsidR="00365440">
        <w:rPr>
          <w:rFonts w:ascii="Times New Roman" w:hAnsi="Times New Roman" w:cs="Times New Roman"/>
        </w:rPr>
        <w:t xml:space="preserve"> (Anwar </w:t>
      </w:r>
      <w:r w:rsidR="00365440" w:rsidRPr="00365440">
        <w:rPr>
          <w:rFonts w:ascii="Times New Roman" w:hAnsi="Times New Roman" w:cs="Times New Roman"/>
          <w:i/>
          <w:iCs/>
        </w:rPr>
        <w:t>et.al.,</w:t>
      </w:r>
      <w:r w:rsidR="00365440">
        <w:rPr>
          <w:rFonts w:ascii="Times New Roman" w:hAnsi="Times New Roman" w:cs="Times New Roman"/>
        </w:rPr>
        <w:t xml:space="preserve"> 2025). </w:t>
      </w:r>
      <w:r w:rsidRPr="000623DE">
        <w:rPr>
          <w:rFonts w:ascii="Times New Roman" w:hAnsi="Times New Roman" w:cs="Times New Roman"/>
        </w:rPr>
        <w:t xml:space="preserve">The review covers mechanistic pathways linking oxidative stress and inflammatory responses, highlights major medicinal plants validated through modern research, and discusses recent innovations including </w:t>
      </w:r>
      <w:proofErr w:type="spellStart"/>
      <w:r w:rsidRPr="000623DE">
        <w:rPr>
          <w:rFonts w:ascii="Times New Roman" w:hAnsi="Times New Roman" w:cs="Times New Roman"/>
        </w:rPr>
        <w:t>nanodelivery</w:t>
      </w:r>
      <w:proofErr w:type="spellEnd"/>
      <w:r w:rsidRPr="000623DE">
        <w:rPr>
          <w:rFonts w:ascii="Times New Roman" w:hAnsi="Times New Roman" w:cs="Times New Roman"/>
        </w:rPr>
        <w:t xml:space="preserve"> systems and metabolomic profiling. Critical assessment of preclinical and clinical findings, safety considerations, and regulatory landscapes is provided to offer a comprehensive understanding of current progress and future directions. The structure integrates foundational concepts, mechanistic frameworks, experimental evidence, technological advancements, and translational challenges to support researchers, clinicians, and industry stakeholders in exploring </w:t>
      </w:r>
      <w:proofErr w:type="spellStart"/>
      <w:r w:rsidRPr="000623DE">
        <w:rPr>
          <w:rFonts w:ascii="Times New Roman" w:hAnsi="Times New Roman" w:cs="Times New Roman"/>
        </w:rPr>
        <w:t>phytotherapeutic</w:t>
      </w:r>
      <w:proofErr w:type="spellEnd"/>
      <w:r w:rsidRPr="000623DE">
        <w:rPr>
          <w:rFonts w:ascii="Times New Roman" w:hAnsi="Times New Roman" w:cs="Times New Roman"/>
        </w:rPr>
        <w:t xml:space="preserve"> potentials.</w:t>
      </w:r>
    </w:p>
    <w:p w14:paraId="22153C1F" w14:textId="77777777"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II. Mechanisms of Oxidative Stress and Inflammation</w:t>
      </w:r>
    </w:p>
    <w:p w14:paraId="23B03FF0" w14:textId="5835035D"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Generation of reactive oxygen species and free radicals</w:t>
      </w:r>
      <w:r w:rsidRPr="000623DE">
        <w:rPr>
          <w:rFonts w:ascii="Times New Roman" w:hAnsi="Times New Roman" w:cs="Times New Roman"/>
        </w:rPr>
        <w:br/>
        <w:t>Reactive oxygen species (ROS) originate from mitochondrial electron transport, NADPH oxidase complexes, xanthine oxidase, cytochrome P450 reactions, and environmental exposures such as UV radiation, pollutants, and xenobiotics</w:t>
      </w:r>
      <w:r w:rsidR="00365440">
        <w:rPr>
          <w:rFonts w:ascii="Times New Roman" w:hAnsi="Times New Roman" w:cs="Times New Roman"/>
        </w:rPr>
        <w:t xml:space="preserve"> (</w:t>
      </w:r>
      <w:proofErr w:type="spellStart"/>
      <w:r w:rsidR="00365440">
        <w:rPr>
          <w:rFonts w:ascii="Times New Roman" w:hAnsi="Times New Roman" w:cs="Times New Roman"/>
        </w:rPr>
        <w:t>Jomova</w:t>
      </w:r>
      <w:proofErr w:type="spellEnd"/>
      <w:r w:rsidR="00365440">
        <w:rPr>
          <w:rFonts w:ascii="Times New Roman" w:hAnsi="Times New Roman" w:cs="Times New Roman"/>
        </w:rPr>
        <w:t xml:space="preserve"> </w:t>
      </w:r>
      <w:r w:rsidR="00365440" w:rsidRPr="00365440">
        <w:rPr>
          <w:rFonts w:ascii="Times New Roman" w:hAnsi="Times New Roman" w:cs="Times New Roman"/>
          <w:i/>
          <w:iCs/>
        </w:rPr>
        <w:t>et.al.,</w:t>
      </w:r>
      <w:r w:rsidR="00365440">
        <w:rPr>
          <w:rFonts w:ascii="Times New Roman" w:hAnsi="Times New Roman" w:cs="Times New Roman"/>
        </w:rPr>
        <w:t xml:space="preserve"> 2023).</w:t>
      </w:r>
      <w:r w:rsidRPr="000623DE">
        <w:rPr>
          <w:rFonts w:ascii="Times New Roman" w:hAnsi="Times New Roman" w:cs="Times New Roman"/>
        </w:rPr>
        <w:t xml:space="preserve"> Under physiological conditions, 1–3% of oxygen consumed undergoes incomplete reduction, forming superoxide anion (O₂•–), which subsequently generates hydrogen peroxide (H₂O₂), hydroxyl radicals (•OH), and reactive nitrogen species (RNS) including nitric oxide (NO•) and </w:t>
      </w:r>
      <w:proofErr w:type="spellStart"/>
      <w:r w:rsidRPr="000623DE">
        <w:rPr>
          <w:rFonts w:ascii="Times New Roman" w:hAnsi="Times New Roman" w:cs="Times New Roman"/>
        </w:rPr>
        <w:t>peroxynitrite</w:t>
      </w:r>
      <w:proofErr w:type="spellEnd"/>
      <w:r w:rsidRPr="000623DE">
        <w:rPr>
          <w:rFonts w:ascii="Times New Roman" w:hAnsi="Times New Roman" w:cs="Times New Roman"/>
        </w:rPr>
        <w:t xml:space="preserve"> (ONOO–) (Liguori et al., 2018). Elevated ROS causes DNA strand breaks, lipid peroxidation, and protein oxidation, leading to impaired </w:t>
      </w:r>
      <w:proofErr w:type="spellStart"/>
      <w:r w:rsidRPr="000623DE">
        <w:rPr>
          <w:rFonts w:ascii="Times New Roman" w:hAnsi="Times New Roman" w:cs="Times New Roman"/>
        </w:rPr>
        <w:t>signaling</w:t>
      </w:r>
      <w:proofErr w:type="spellEnd"/>
      <w:r w:rsidRPr="000623DE">
        <w:rPr>
          <w:rFonts w:ascii="Times New Roman" w:hAnsi="Times New Roman" w:cs="Times New Roman"/>
        </w:rPr>
        <w:t>, apoptosis, or necrosis. Studies estimate that oxidative biomolecules such as malondialdehyde (MDA) and 8-hydroxy-2′-deoxyguanosine (8-OHdG) rise up to 5–10 times in chronic diseases, revealing the pathological magnitude of ROS overload.</w:t>
      </w:r>
    </w:p>
    <w:p w14:paraId="3B91A963" w14:textId="2190C4BC"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 xml:space="preserve">Cellular antioxidant </w:t>
      </w:r>
      <w:proofErr w:type="spellStart"/>
      <w:r w:rsidRPr="000623DE">
        <w:rPr>
          <w:rFonts w:ascii="Times New Roman" w:hAnsi="Times New Roman" w:cs="Times New Roman"/>
          <w:i/>
          <w:iCs/>
        </w:rPr>
        <w:t>defense</w:t>
      </w:r>
      <w:proofErr w:type="spellEnd"/>
      <w:r w:rsidRPr="000623DE">
        <w:rPr>
          <w:rFonts w:ascii="Times New Roman" w:hAnsi="Times New Roman" w:cs="Times New Roman"/>
          <w:i/>
          <w:iCs/>
        </w:rPr>
        <w:t xml:space="preserve"> systems</w:t>
      </w:r>
      <w:r w:rsidRPr="000623DE">
        <w:rPr>
          <w:rFonts w:ascii="Times New Roman" w:hAnsi="Times New Roman" w:cs="Times New Roman"/>
        </w:rPr>
        <w:br/>
        <w:t>Cells employ enzymatic and non-enzymatic antioxidant systems that maintain redox homeostasis</w:t>
      </w:r>
      <w:r w:rsidR="00365440">
        <w:rPr>
          <w:rFonts w:ascii="Times New Roman" w:hAnsi="Times New Roman" w:cs="Times New Roman"/>
        </w:rPr>
        <w:t xml:space="preserve"> (</w:t>
      </w:r>
      <w:proofErr w:type="spellStart"/>
      <w:r w:rsidR="00365440">
        <w:rPr>
          <w:rFonts w:ascii="Times New Roman" w:hAnsi="Times New Roman" w:cs="Times New Roman"/>
        </w:rPr>
        <w:t>Irato</w:t>
      </w:r>
      <w:proofErr w:type="spellEnd"/>
      <w:r w:rsidR="00365440">
        <w:rPr>
          <w:rFonts w:ascii="Times New Roman" w:hAnsi="Times New Roman" w:cs="Times New Roman"/>
        </w:rPr>
        <w:t xml:space="preserve"> </w:t>
      </w:r>
      <w:r w:rsidR="00365440" w:rsidRPr="00365440">
        <w:rPr>
          <w:rFonts w:ascii="Times New Roman" w:hAnsi="Times New Roman" w:cs="Times New Roman"/>
          <w:i/>
          <w:iCs/>
        </w:rPr>
        <w:t>et.al.,</w:t>
      </w:r>
      <w:r w:rsidR="00365440">
        <w:rPr>
          <w:rFonts w:ascii="Times New Roman" w:hAnsi="Times New Roman" w:cs="Times New Roman"/>
        </w:rPr>
        <w:t xml:space="preserve"> 2021).</w:t>
      </w:r>
      <w:r w:rsidRPr="000623DE">
        <w:rPr>
          <w:rFonts w:ascii="Times New Roman" w:hAnsi="Times New Roman" w:cs="Times New Roman"/>
        </w:rPr>
        <w:t xml:space="preserve"> Major enzymatic antioxidants include superoxide dismutase (SOD), which converts superoxide to H₂O₂; catalase (CAT), which decomposes H₂O₂ into water and oxygen; and glutathione peroxidase (</w:t>
      </w:r>
      <w:proofErr w:type="spellStart"/>
      <w:r w:rsidRPr="000623DE">
        <w:rPr>
          <w:rFonts w:ascii="Times New Roman" w:hAnsi="Times New Roman" w:cs="Times New Roman"/>
        </w:rPr>
        <w:t>GPx</w:t>
      </w:r>
      <w:proofErr w:type="spellEnd"/>
      <w:r w:rsidRPr="000623DE">
        <w:rPr>
          <w:rFonts w:ascii="Times New Roman" w:hAnsi="Times New Roman" w:cs="Times New Roman"/>
        </w:rPr>
        <w:t xml:space="preserve">), which reduces lipid hydroperoxides and H₂O₂ using reduced glutathione (GSH). Non-enzymatic antioxidants such as vitamins C and E, carotenoids, flavonoids, uric acid, and thiols contribute to radical scavenging and stabilization of oxidative intermediates. GSH levels under normal physiological conditions range between 1–10 mM in most cells, acting as a major determinant of redox buffering. Decline in antioxidant </w:t>
      </w:r>
      <w:proofErr w:type="spellStart"/>
      <w:r w:rsidRPr="000623DE">
        <w:rPr>
          <w:rFonts w:ascii="Times New Roman" w:hAnsi="Times New Roman" w:cs="Times New Roman"/>
        </w:rPr>
        <w:t>defenses</w:t>
      </w:r>
      <w:proofErr w:type="spellEnd"/>
      <w:r w:rsidRPr="000623DE">
        <w:rPr>
          <w:rFonts w:ascii="Times New Roman" w:hAnsi="Times New Roman" w:cs="Times New Roman"/>
        </w:rPr>
        <w:t xml:space="preserve"> correlates strongly with accelerated aging and heightened susceptibility to inflammatory chronic disorders.</w:t>
      </w:r>
    </w:p>
    <w:p w14:paraId="5E1C1494" w14:textId="182DC035"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lastRenderedPageBreak/>
        <w:t>Key inflammatory pathways (NF-</w:t>
      </w:r>
      <w:proofErr w:type="spellStart"/>
      <w:r w:rsidRPr="000623DE">
        <w:rPr>
          <w:rFonts w:ascii="Times New Roman" w:hAnsi="Times New Roman" w:cs="Times New Roman"/>
          <w:i/>
          <w:iCs/>
        </w:rPr>
        <w:t>κB</w:t>
      </w:r>
      <w:proofErr w:type="spellEnd"/>
      <w:r w:rsidRPr="000623DE">
        <w:rPr>
          <w:rFonts w:ascii="Times New Roman" w:hAnsi="Times New Roman" w:cs="Times New Roman"/>
          <w:i/>
          <w:iCs/>
        </w:rPr>
        <w:t>, COX, LOX, MAPKs)</w:t>
      </w:r>
      <w:r w:rsidRPr="000623DE">
        <w:rPr>
          <w:rFonts w:ascii="Times New Roman" w:hAnsi="Times New Roman" w:cs="Times New Roman"/>
        </w:rPr>
        <w:br/>
        <w:t>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represents a central transcription factor regulating pro-inflammatory genes including TNF-α, IL-1β, IL-6, COX-2, and </w:t>
      </w:r>
      <w:proofErr w:type="spellStart"/>
      <w:r w:rsidRPr="000623DE">
        <w:rPr>
          <w:rFonts w:ascii="Times New Roman" w:hAnsi="Times New Roman" w:cs="Times New Roman"/>
        </w:rPr>
        <w:t>iNOS</w:t>
      </w:r>
      <w:proofErr w:type="spellEnd"/>
      <w:r w:rsidRPr="000623DE">
        <w:rPr>
          <w:rFonts w:ascii="Times New Roman" w:hAnsi="Times New Roman" w:cs="Times New Roman"/>
        </w:rPr>
        <w:t>. Upon activation through pattern recognition receptors and oxidative triggers,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w:t>
      </w:r>
      <w:proofErr w:type="spellStart"/>
      <w:r w:rsidRPr="000623DE">
        <w:rPr>
          <w:rFonts w:ascii="Times New Roman" w:hAnsi="Times New Roman" w:cs="Times New Roman"/>
        </w:rPr>
        <w:t>translocates</w:t>
      </w:r>
      <w:proofErr w:type="spellEnd"/>
      <w:r w:rsidRPr="000623DE">
        <w:rPr>
          <w:rFonts w:ascii="Times New Roman" w:hAnsi="Times New Roman" w:cs="Times New Roman"/>
        </w:rPr>
        <w:t xml:space="preserve"> to the nucleus, promoting inflammatory gene expression. COX and LOX pathways metabolize arachidonic acid into prostaglandins and leukotrienes, potent mediators of inflammation. COX-2 is inducible and markedly upregulated in chronic inflammatory disorders. LOX isoforms such as 5-LOX and 12-LOX </w:t>
      </w:r>
      <w:proofErr w:type="spellStart"/>
      <w:r w:rsidRPr="000623DE">
        <w:rPr>
          <w:rFonts w:ascii="Times New Roman" w:hAnsi="Times New Roman" w:cs="Times New Roman"/>
        </w:rPr>
        <w:t>catalyze</w:t>
      </w:r>
      <w:proofErr w:type="spellEnd"/>
      <w:r w:rsidRPr="000623DE">
        <w:rPr>
          <w:rFonts w:ascii="Times New Roman" w:hAnsi="Times New Roman" w:cs="Times New Roman"/>
        </w:rPr>
        <w:t xml:space="preserve"> lipid oxidation, contributing to vascular inflammation and oxidative damage. MAPK pathways (ERK, JNK, p38) regulate cellular responses to stress signals and amplify inflammatory cytokine production. Persistent activation of these pathways accelerates tissue degeneration and pathological </w:t>
      </w:r>
      <w:proofErr w:type="spellStart"/>
      <w:r w:rsidRPr="000623DE">
        <w:rPr>
          <w:rFonts w:ascii="Times New Roman" w:hAnsi="Times New Roman" w:cs="Times New Roman"/>
        </w:rPr>
        <w:t>remodeling</w:t>
      </w:r>
      <w:proofErr w:type="spellEnd"/>
      <w:r w:rsidR="00365440">
        <w:rPr>
          <w:rFonts w:ascii="Times New Roman" w:hAnsi="Times New Roman" w:cs="Times New Roman"/>
        </w:rPr>
        <w:t xml:space="preserve"> (Kim </w:t>
      </w:r>
      <w:r w:rsidR="00365440" w:rsidRPr="00365440">
        <w:rPr>
          <w:rFonts w:ascii="Times New Roman" w:hAnsi="Times New Roman" w:cs="Times New Roman"/>
          <w:i/>
          <w:iCs/>
        </w:rPr>
        <w:t>et.al.,</w:t>
      </w:r>
      <w:r w:rsidR="00365440">
        <w:rPr>
          <w:rFonts w:ascii="Times New Roman" w:hAnsi="Times New Roman" w:cs="Times New Roman"/>
        </w:rPr>
        <w:t xml:space="preserve"> 2010).</w:t>
      </w:r>
    </w:p>
    <w:p w14:paraId="764E54E5" w14:textId="017A1320"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Interaction between oxidative stress and inflammatory cascades</w:t>
      </w:r>
      <w:r w:rsidRPr="000623DE">
        <w:rPr>
          <w:rFonts w:ascii="Times New Roman" w:hAnsi="Times New Roman" w:cs="Times New Roman"/>
        </w:rPr>
        <w:br/>
        <w:t>Oxidative stress and inflammation are bidirectionally connected, forming a self-propagating cycle. ROS activate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and MAPKs, triggering production of cytokines and chemokines, which then recruit immune cells that generate additional ROS through respiratory bursts. Cytokines such as TNF-α and IL-1β upregulate NADPH oxidase, increasing ROS formation. Lipid peroxidation products such as 4-hydroxynonenal (4-HNE) further stimulate inflammatory gene expression and modify proteins through adduct formation. Chronic persistence of this molecular interplay contributes to endothelial dysfunction, metabolic imbalance, neuroinflammation, and oncogenic transformations. Preclinical and clinical evidence confirms that modulating this oxidative-inflammatory nexus plays a crucial role in preventing long-term disease progression.</w:t>
      </w:r>
    </w:p>
    <w:p w14:paraId="63F25A80" w14:textId="77777777"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III. Phytochemical Constituents Responsible for Bioactivity</w:t>
      </w:r>
    </w:p>
    <w:p w14:paraId="6386D40A" w14:textId="7886424D"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Polyphenols (flavonoids, phenolic acids, tannins)</w:t>
      </w:r>
      <w:r w:rsidRPr="000623DE">
        <w:rPr>
          <w:rFonts w:ascii="Times New Roman" w:hAnsi="Times New Roman" w:cs="Times New Roman"/>
        </w:rPr>
        <w:br/>
        <w:t>Polyphenols constitute one of the largest groups of phytochemicals contributing to antioxidant and anti-inflammatory potential</w:t>
      </w:r>
      <w:r w:rsidR="00365440">
        <w:rPr>
          <w:rFonts w:ascii="Times New Roman" w:hAnsi="Times New Roman" w:cs="Times New Roman"/>
        </w:rPr>
        <w:t xml:space="preserve"> (Zhang </w:t>
      </w:r>
      <w:r w:rsidR="00365440" w:rsidRPr="00365440">
        <w:rPr>
          <w:rFonts w:ascii="Times New Roman" w:hAnsi="Times New Roman" w:cs="Times New Roman"/>
          <w:i/>
          <w:iCs/>
        </w:rPr>
        <w:t>et.al.,</w:t>
      </w:r>
      <w:r w:rsidR="00365440">
        <w:rPr>
          <w:rFonts w:ascii="Times New Roman" w:hAnsi="Times New Roman" w:cs="Times New Roman"/>
        </w:rPr>
        <w:t xml:space="preserve"> 2016).</w:t>
      </w:r>
      <w:r w:rsidRPr="000623DE">
        <w:rPr>
          <w:rFonts w:ascii="Times New Roman" w:hAnsi="Times New Roman" w:cs="Times New Roman"/>
        </w:rPr>
        <w:t xml:space="preserve"> Flavonoids such as quercetin, kaempferol, luteolin, catechins, and anthocyanins exhibit strong free radical scavenging capacity due to their hydroxyl groups and conjugated ring structures, enabling hydrogen atom or electron donation. Quercetin reduces ROS levels by nearly 40–60% and suppresses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activation, decreasing IL-6 and TNF-α expression in several experimental models. Phenolic acids including caffeic, ferulic, gallic, and chlorogenic acids modulate enzymatic oxidative pathways and reduce lipid peroxidation, lowering malondialdehyde (MDA) levels by 35–50% in vivo. Tannins, particularly hydrolysable and condensed forms, demonstrate metal-chelating properties and inhibition of pro-oxidant enzymes, contributing significantly to stabilization of cellular redox balance. Global analyses estimate that dietary polyphenol intake varies between 0.5–1.0 g/day, highlighting their broad biochemical relevance.</w:t>
      </w:r>
    </w:p>
    <w:p w14:paraId="468160EB" w14:textId="4621E4DA"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Alkaloids, terpenoids, glycosides</w:t>
      </w:r>
      <w:r w:rsidRPr="000623DE">
        <w:rPr>
          <w:rFonts w:ascii="Times New Roman" w:hAnsi="Times New Roman" w:cs="Times New Roman"/>
        </w:rPr>
        <w:br/>
        <w:t xml:space="preserve">Alkaloids such as berberine, </w:t>
      </w:r>
      <w:proofErr w:type="spellStart"/>
      <w:r w:rsidRPr="000623DE">
        <w:rPr>
          <w:rFonts w:ascii="Times New Roman" w:hAnsi="Times New Roman" w:cs="Times New Roman"/>
        </w:rPr>
        <w:t>piperine</w:t>
      </w:r>
      <w:proofErr w:type="spellEnd"/>
      <w:r w:rsidRPr="000623DE">
        <w:rPr>
          <w:rFonts w:ascii="Times New Roman" w:hAnsi="Times New Roman" w:cs="Times New Roman"/>
        </w:rPr>
        <w:t xml:space="preserve">, </w:t>
      </w:r>
      <w:proofErr w:type="spellStart"/>
      <w:r w:rsidRPr="000623DE">
        <w:rPr>
          <w:rFonts w:ascii="Times New Roman" w:hAnsi="Times New Roman" w:cs="Times New Roman"/>
        </w:rPr>
        <w:t>matrine</w:t>
      </w:r>
      <w:proofErr w:type="spellEnd"/>
      <w:r w:rsidRPr="000623DE">
        <w:rPr>
          <w:rFonts w:ascii="Times New Roman" w:hAnsi="Times New Roman" w:cs="Times New Roman"/>
        </w:rPr>
        <w:t xml:space="preserve">, and sanguinarine exert antioxidant effects through modulation of Nrf2 </w:t>
      </w:r>
      <w:proofErr w:type="spellStart"/>
      <w:r w:rsidRPr="000623DE">
        <w:rPr>
          <w:rFonts w:ascii="Times New Roman" w:hAnsi="Times New Roman" w:cs="Times New Roman"/>
        </w:rPr>
        <w:t>signaling</w:t>
      </w:r>
      <w:proofErr w:type="spellEnd"/>
      <w:r w:rsidRPr="000623DE">
        <w:rPr>
          <w:rFonts w:ascii="Times New Roman" w:hAnsi="Times New Roman" w:cs="Times New Roman"/>
        </w:rPr>
        <w:t xml:space="preserve"> and downregulation of COX-2 and </w:t>
      </w:r>
      <w:proofErr w:type="spellStart"/>
      <w:r w:rsidRPr="000623DE">
        <w:rPr>
          <w:rFonts w:ascii="Times New Roman" w:hAnsi="Times New Roman" w:cs="Times New Roman"/>
        </w:rPr>
        <w:t>iNOS</w:t>
      </w:r>
      <w:proofErr w:type="spellEnd"/>
      <w:r w:rsidRPr="000623DE">
        <w:rPr>
          <w:rFonts w:ascii="Times New Roman" w:hAnsi="Times New Roman" w:cs="Times New Roman"/>
        </w:rPr>
        <w:t xml:space="preserve"> expression</w:t>
      </w:r>
      <w:r w:rsidR="00365440">
        <w:rPr>
          <w:rFonts w:ascii="Times New Roman" w:hAnsi="Times New Roman" w:cs="Times New Roman"/>
        </w:rPr>
        <w:t xml:space="preserve"> (Chen </w:t>
      </w:r>
      <w:r w:rsidR="00365440" w:rsidRPr="00365440">
        <w:rPr>
          <w:rFonts w:ascii="Times New Roman" w:hAnsi="Times New Roman" w:cs="Times New Roman"/>
          <w:i/>
          <w:iCs/>
        </w:rPr>
        <w:t>et.al.,</w:t>
      </w:r>
      <w:r w:rsidR="00365440">
        <w:rPr>
          <w:rFonts w:ascii="Times New Roman" w:hAnsi="Times New Roman" w:cs="Times New Roman"/>
        </w:rPr>
        <w:t xml:space="preserve"> 2025).</w:t>
      </w:r>
      <w:r w:rsidRPr="000623DE">
        <w:rPr>
          <w:rFonts w:ascii="Times New Roman" w:hAnsi="Times New Roman" w:cs="Times New Roman"/>
        </w:rPr>
        <w:t xml:space="preserve"> Berberine has shown up to 70% suppression of LPS-induced NO production and substantial reductions in pro-inflammatory cytokines. Terpenoids, including diterpenes, triterpenes, monoterpenes, and sesquiterpenes, contribute through membrane stabilization and modulation of MAPK and LOX pathways. Compounds like curcumin, </w:t>
      </w:r>
      <w:proofErr w:type="spellStart"/>
      <w:r w:rsidRPr="000623DE">
        <w:rPr>
          <w:rFonts w:ascii="Times New Roman" w:hAnsi="Times New Roman" w:cs="Times New Roman"/>
        </w:rPr>
        <w:t>boswellic</w:t>
      </w:r>
      <w:proofErr w:type="spellEnd"/>
      <w:r w:rsidRPr="000623DE">
        <w:rPr>
          <w:rFonts w:ascii="Times New Roman" w:hAnsi="Times New Roman" w:cs="Times New Roman"/>
        </w:rPr>
        <w:t xml:space="preserve"> acids, and ginkgolides are widely reported for potent ROS scavenging and cytokine suppression. Glycosides such as iridoid glycosides (</w:t>
      </w:r>
      <w:proofErr w:type="spellStart"/>
      <w:r w:rsidRPr="000623DE">
        <w:rPr>
          <w:rFonts w:ascii="Times New Roman" w:hAnsi="Times New Roman" w:cs="Times New Roman"/>
        </w:rPr>
        <w:t>aucubin</w:t>
      </w:r>
      <w:proofErr w:type="spellEnd"/>
      <w:r w:rsidRPr="000623DE">
        <w:rPr>
          <w:rFonts w:ascii="Times New Roman" w:hAnsi="Times New Roman" w:cs="Times New Roman"/>
        </w:rPr>
        <w:t xml:space="preserve">, </w:t>
      </w:r>
      <w:proofErr w:type="spellStart"/>
      <w:r w:rsidRPr="000623DE">
        <w:rPr>
          <w:rFonts w:ascii="Times New Roman" w:hAnsi="Times New Roman" w:cs="Times New Roman"/>
        </w:rPr>
        <w:t>catalpol</w:t>
      </w:r>
      <w:proofErr w:type="spellEnd"/>
      <w:r w:rsidRPr="000623DE">
        <w:rPr>
          <w:rFonts w:ascii="Times New Roman" w:hAnsi="Times New Roman" w:cs="Times New Roman"/>
        </w:rPr>
        <w:t>) and cardiac glycosides display strong anti-inflammatory effects by inhibiting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translocation and attenuating oxidative bursts in activated immune cells.</w:t>
      </w:r>
    </w:p>
    <w:p w14:paraId="6C6FF6AD" w14:textId="7EF22D10"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lastRenderedPageBreak/>
        <w:t>Polysaccharides and saponins</w:t>
      </w:r>
      <w:r w:rsidRPr="000623DE">
        <w:rPr>
          <w:rFonts w:ascii="Times New Roman" w:hAnsi="Times New Roman" w:cs="Times New Roman"/>
        </w:rPr>
        <w:br/>
        <w:t xml:space="preserve">Plant-derived polysaccharides, particularly β-glucans, </w:t>
      </w:r>
      <w:proofErr w:type="spellStart"/>
      <w:r w:rsidRPr="000623DE">
        <w:rPr>
          <w:rFonts w:ascii="Times New Roman" w:hAnsi="Times New Roman" w:cs="Times New Roman"/>
        </w:rPr>
        <w:t>pectins</w:t>
      </w:r>
      <w:proofErr w:type="spellEnd"/>
      <w:r w:rsidRPr="000623DE">
        <w:rPr>
          <w:rFonts w:ascii="Times New Roman" w:hAnsi="Times New Roman" w:cs="Times New Roman"/>
        </w:rPr>
        <w:t xml:space="preserve">, arabinogalactans, and </w:t>
      </w:r>
      <w:proofErr w:type="spellStart"/>
      <w:r w:rsidRPr="000623DE">
        <w:rPr>
          <w:rFonts w:ascii="Times New Roman" w:hAnsi="Times New Roman" w:cs="Times New Roman"/>
        </w:rPr>
        <w:t>heteropolysaccharides</w:t>
      </w:r>
      <w:proofErr w:type="spellEnd"/>
      <w:r w:rsidRPr="000623DE">
        <w:rPr>
          <w:rFonts w:ascii="Times New Roman" w:hAnsi="Times New Roman" w:cs="Times New Roman"/>
        </w:rPr>
        <w:t>, contribute significantly to immunomodulatory and antioxidant mechanisms</w:t>
      </w:r>
      <w:r w:rsidR="00365440">
        <w:rPr>
          <w:rFonts w:ascii="Times New Roman" w:hAnsi="Times New Roman" w:cs="Times New Roman"/>
        </w:rPr>
        <w:t xml:space="preserve"> (Ying </w:t>
      </w:r>
      <w:r w:rsidR="00365440" w:rsidRPr="00365440">
        <w:rPr>
          <w:rFonts w:ascii="Times New Roman" w:hAnsi="Times New Roman" w:cs="Times New Roman"/>
          <w:i/>
          <w:iCs/>
        </w:rPr>
        <w:t>et.al.,</w:t>
      </w:r>
      <w:r w:rsidR="00365440">
        <w:rPr>
          <w:rFonts w:ascii="Times New Roman" w:hAnsi="Times New Roman" w:cs="Times New Roman"/>
        </w:rPr>
        <w:t xml:space="preserve"> 2023).</w:t>
      </w:r>
      <w:r w:rsidRPr="000623DE">
        <w:rPr>
          <w:rFonts w:ascii="Times New Roman" w:hAnsi="Times New Roman" w:cs="Times New Roman"/>
        </w:rPr>
        <w:t xml:space="preserve"> Polysaccharides isolated from mushrooms, ginseng, and Astragalus species enhance SOD, CAT, and </w:t>
      </w:r>
      <w:proofErr w:type="spellStart"/>
      <w:r w:rsidRPr="000623DE">
        <w:rPr>
          <w:rFonts w:ascii="Times New Roman" w:hAnsi="Times New Roman" w:cs="Times New Roman"/>
        </w:rPr>
        <w:t>GPx</w:t>
      </w:r>
      <w:proofErr w:type="spellEnd"/>
      <w:r w:rsidRPr="000623DE">
        <w:rPr>
          <w:rFonts w:ascii="Times New Roman" w:hAnsi="Times New Roman" w:cs="Times New Roman"/>
        </w:rPr>
        <w:t xml:space="preserve"> activities by 25–60% and lower MDA concentrations in animal models. Their high molecular weight and structural diversity allow them to interact with immune receptors, reducing inflammatory </w:t>
      </w:r>
      <w:proofErr w:type="spellStart"/>
      <w:r w:rsidRPr="000623DE">
        <w:rPr>
          <w:rFonts w:ascii="Times New Roman" w:hAnsi="Times New Roman" w:cs="Times New Roman"/>
        </w:rPr>
        <w:t>signaling</w:t>
      </w:r>
      <w:proofErr w:type="spellEnd"/>
      <w:r w:rsidRPr="000623DE">
        <w:rPr>
          <w:rFonts w:ascii="Times New Roman" w:hAnsi="Times New Roman" w:cs="Times New Roman"/>
        </w:rPr>
        <w:t>. Saponins, including ginsenosides, glycyrrhizin, and diosgenin, exhibit anti-inflammatory potential through suppression of 5-LOX, COX-2, and nitric oxide pathways. Ginsenosides reduce oxidative biomarkers and downregulate TNF-α and IL-1β, contributing to improved cellular protection in oxidative models.</w:t>
      </w:r>
    </w:p>
    <w:p w14:paraId="1E574CDA" w14:textId="3C2BCDF3"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Synergistic effects among phytochemicals</w:t>
      </w:r>
      <w:r w:rsidRPr="000623DE">
        <w:rPr>
          <w:rFonts w:ascii="Times New Roman" w:hAnsi="Times New Roman" w:cs="Times New Roman"/>
        </w:rPr>
        <w:br/>
        <w:t>Synergism among phytochemicals enhances therapeutic efficacy by targeting multiple oxidative and inflammatory pathways simultaneously. Studies show that combinations of flavonoids and terpenoids produce amplified ROS scavenging compared to isolated compounds. Curcumin–quercetin combinations inhibit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and MAPK </w:t>
      </w:r>
      <w:proofErr w:type="spellStart"/>
      <w:r w:rsidRPr="000623DE">
        <w:rPr>
          <w:rFonts w:ascii="Times New Roman" w:hAnsi="Times New Roman" w:cs="Times New Roman"/>
        </w:rPr>
        <w:t>signaling</w:t>
      </w:r>
      <w:proofErr w:type="spellEnd"/>
      <w:r w:rsidRPr="000623DE">
        <w:rPr>
          <w:rFonts w:ascii="Times New Roman" w:hAnsi="Times New Roman" w:cs="Times New Roman"/>
        </w:rPr>
        <w:t xml:space="preserve"> more effectively, producing up to 2–3 times higher anti-inflammatory responses. Herbal extracts containing polyphenols, alkaloids, and polysaccharides demonstrate superior antioxidant scores in assays such as DPPH, ABTS, and ORAC due to complementary chemical reactivities. Synergistic modulation improves bioavailability, stabilizes metabolic breakdown, and enhances pharmacodynamic interactions, offering multidimensional protection against oxidative and inflammatory stress.</w:t>
      </w:r>
    </w:p>
    <w:p w14:paraId="07A0A0D4" w14:textId="77777777"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IV. Extraction Technologies and Standardization Approaches</w:t>
      </w:r>
    </w:p>
    <w:p w14:paraId="38468DDA" w14:textId="56157A4C"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Conventional extraction techniques</w:t>
      </w:r>
      <w:r w:rsidRPr="000623DE">
        <w:rPr>
          <w:rFonts w:ascii="Times New Roman" w:hAnsi="Times New Roman" w:cs="Times New Roman"/>
        </w:rPr>
        <w:br/>
        <w:t>Conventional extraction techniques such as maceration, percolation, Soxhlet extraction, and hydro-distillation remain widely used for isolating phytochemicals from medicinal plants</w:t>
      </w:r>
      <w:r w:rsidR="00365440">
        <w:rPr>
          <w:rFonts w:ascii="Times New Roman" w:hAnsi="Times New Roman" w:cs="Times New Roman"/>
        </w:rPr>
        <w:t xml:space="preserve"> (Mondal </w:t>
      </w:r>
      <w:r w:rsidR="00365440" w:rsidRPr="00365440">
        <w:rPr>
          <w:rFonts w:ascii="Times New Roman" w:hAnsi="Times New Roman" w:cs="Times New Roman"/>
          <w:i/>
          <w:iCs/>
        </w:rPr>
        <w:t>et.al.,</w:t>
      </w:r>
      <w:r w:rsidR="00365440">
        <w:rPr>
          <w:rFonts w:ascii="Times New Roman" w:hAnsi="Times New Roman" w:cs="Times New Roman"/>
        </w:rPr>
        <w:t xml:space="preserve"> 2024).</w:t>
      </w:r>
      <w:r w:rsidRPr="000623DE">
        <w:rPr>
          <w:rFonts w:ascii="Times New Roman" w:hAnsi="Times New Roman" w:cs="Times New Roman"/>
        </w:rPr>
        <w:t xml:space="preserve"> Maceration involves soaking plant material in solvents for extended durations, yielding broad-spectrum extracts but often requiring long processing times. Soxhlet extraction, introduced in 1879, provides continuous hot solvent extraction and increases recovery of polyphenols, terpenoids, and alkaloids; though thermal degradation of thermolabile compounds may occur. Hydro-distillation is a classic method for essential oil extraction, producing yields ranging from 0.1% to 2% depending on plant species, with steam temperature influencing volatile composition. These conventional methods are cost-effective and accessible but often involve high solvent consumption and energy inputs, limiting their sustainability and efficiency.</w:t>
      </w:r>
    </w:p>
    <w:p w14:paraId="05BCBDD0" w14:textId="5A5044F5"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Green extraction methods (supercritical CO₂, ultrasound-assisted, microwave-assisted)</w:t>
      </w:r>
      <w:r w:rsidRPr="000623DE">
        <w:rPr>
          <w:rFonts w:ascii="Times New Roman" w:hAnsi="Times New Roman" w:cs="Times New Roman"/>
        </w:rPr>
        <w:br/>
        <w:t>Green extraction technologies have advanced significantly due to their energy efficiency, reduced toxicity, and enhanced extraction performance</w:t>
      </w:r>
      <w:r w:rsidR="00365440">
        <w:rPr>
          <w:rFonts w:ascii="Times New Roman" w:hAnsi="Times New Roman" w:cs="Times New Roman"/>
        </w:rPr>
        <w:t xml:space="preserve"> (</w:t>
      </w:r>
      <w:proofErr w:type="spellStart"/>
      <w:r w:rsidR="00365440">
        <w:rPr>
          <w:rFonts w:ascii="Times New Roman" w:hAnsi="Times New Roman" w:cs="Times New Roman"/>
        </w:rPr>
        <w:t>Fomo</w:t>
      </w:r>
      <w:proofErr w:type="spellEnd"/>
      <w:r w:rsidR="00365440">
        <w:rPr>
          <w:rFonts w:ascii="Times New Roman" w:hAnsi="Times New Roman" w:cs="Times New Roman"/>
        </w:rPr>
        <w:t xml:space="preserve"> </w:t>
      </w:r>
      <w:r w:rsidR="00365440" w:rsidRPr="00365440">
        <w:rPr>
          <w:rFonts w:ascii="Times New Roman" w:hAnsi="Times New Roman" w:cs="Times New Roman"/>
          <w:i/>
          <w:iCs/>
        </w:rPr>
        <w:t>et.al.,</w:t>
      </w:r>
      <w:r w:rsidR="00365440">
        <w:rPr>
          <w:rFonts w:ascii="Times New Roman" w:hAnsi="Times New Roman" w:cs="Times New Roman"/>
        </w:rPr>
        <w:t xml:space="preserve"> 2020). </w:t>
      </w:r>
      <w:r w:rsidRPr="000623DE">
        <w:rPr>
          <w:rFonts w:ascii="Times New Roman" w:hAnsi="Times New Roman" w:cs="Times New Roman"/>
        </w:rPr>
        <w:t xml:space="preserve">Supercritical CO₂ extraction (SC-CO₂) operates at temperatures near 31°C and pressures above 74 </w:t>
      </w:r>
      <w:proofErr w:type="gramStart"/>
      <w:r w:rsidRPr="000623DE">
        <w:rPr>
          <w:rFonts w:ascii="Times New Roman" w:hAnsi="Times New Roman" w:cs="Times New Roman"/>
        </w:rPr>
        <w:t>bar</w:t>
      </w:r>
      <w:proofErr w:type="gramEnd"/>
      <w:r w:rsidRPr="000623DE">
        <w:rPr>
          <w:rFonts w:ascii="Times New Roman" w:hAnsi="Times New Roman" w:cs="Times New Roman"/>
        </w:rPr>
        <w:t xml:space="preserve">, enabling selective extraction of non-polar and moderately polar compounds. SC-CO₂ yields for essential oils and terpenoids can exceed 30–60% compared to conventional distillation, with higher purity and minimal solvent residues. Ultrasound-assisted extraction (UAE) uses acoustic cavitation to disrupt cell walls, enhancing mass transfer and reducing extraction time from hours to minutes. Studies show that UAE increases polyphenol recovery by 20–50% while using nearly 40% less solvent. Microwave-assisted extraction (MAE) employs electromagnetic radiation to induce rapid heating, improving extraction efficiency for </w:t>
      </w:r>
      <w:r w:rsidRPr="000623DE">
        <w:rPr>
          <w:rFonts w:ascii="Times New Roman" w:hAnsi="Times New Roman" w:cs="Times New Roman"/>
        </w:rPr>
        <w:lastRenderedPageBreak/>
        <w:t>phenolics and flavonoids. MAE has been reported to increase extraction yields by 60–80% and shorten extraction time by up to 95% compared with traditional heating methods.</w:t>
      </w:r>
    </w:p>
    <w:p w14:paraId="34CA9155" w14:textId="2C7D02D5"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Role of solvents in yield and activity</w:t>
      </w:r>
      <w:r w:rsidRPr="000623DE">
        <w:rPr>
          <w:rFonts w:ascii="Times New Roman" w:hAnsi="Times New Roman" w:cs="Times New Roman"/>
        </w:rPr>
        <w:br/>
        <w:t>Solvent polarity plays a crucial role in determining the yield and bioactivity of herbal extracts</w:t>
      </w:r>
      <w:r w:rsidR="00365440">
        <w:rPr>
          <w:rFonts w:ascii="Times New Roman" w:hAnsi="Times New Roman" w:cs="Times New Roman"/>
        </w:rPr>
        <w:t xml:space="preserve"> (Mamoona </w:t>
      </w:r>
      <w:r w:rsidR="00365440" w:rsidRPr="00365440">
        <w:rPr>
          <w:rFonts w:ascii="Times New Roman" w:hAnsi="Times New Roman" w:cs="Times New Roman"/>
          <w:i/>
          <w:iCs/>
        </w:rPr>
        <w:t>et.al.,</w:t>
      </w:r>
      <w:r w:rsidR="00365440">
        <w:rPr>
          <w:rFonts w:ascii="Times New Roman" w:hAnsi="Times New Roman" w:cs="Times New Roman"/>
        </w:rPr>
        <w:t xml:space="preserve"> 2025).</w:t>
      </w:r>
      <w:r w:rsidRPr="000623DE">
        <w:rPr>
          <w:rFonts w:ascii="Times New Roman" w:hAnsi="Times New Roman" w:cs="Times New Roman"/>
        </w:rPr>
        <w:t xml:space="preserve"> Polar solvents such as water, ethanol, and methanol efficiently extract phenolic acids, flavonoids, and tannins, while semi-polar solvents like ethyl acetate and acetone are ideal for terpenoids and alkaloids. Non-polar solvents such as hexane and petroleum ether selectively extract lipophilic constituents like fatty acids and essential oils. Studies indicate that ethanol–water mixtures (50–70%) achieve maximum antioxidant yields for most medicinal plants due to optimized solubility and diffusion rates. Solvent choice impacts antioxidant assays such as DPPH, ABTS, and ORAC due to variations in the chemical compatibility of extracted phytochemicals. Extraction pH, temperature, and solvent-to-solid ratio further modify phytochemical stability and concentration, influencing overall therapeutic potential.</w:t>
      </w:r>
    </w:p>
    <w:p w14:paraId="5A362944" w14:textId="20677848"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Standardization markers and quality control measures</w:t>
      </w:r>
      <w:r w:rsidRPr="000623DE">
        <w:rPr>
          <w:rFonts w:ascii="Times New Roman" w:hAnsi="Times New Roman" w:cs="Times New Roman"/>
        </w:rPr>
        <w:br/>
        <w:t>Standardization remains essential to ensure consistency, safety, and therapeutic reliability of herbal extracts</w:t>
      </w:r>
      <w:r w:rsidR="00365440">
        <w:rPr>
          <w:rFonts w:ascii="Times New Roman" w:hAnsi="Times New Roman" w:cs="Times New Roman"/>
        </w:rPr>
        <w:t xml:space="preserve"> (Kumari </w:t>
      </w:r>
      <w:r w:rsidR="00365440" w:rsidRPr="00365440">
        <w:rPr>
          <w:rFonts w:ascii="Times New Roman" w:hAnsi="Times New Roman" w:cs="Times New Roman"/>
          <w:i/>
          <w:iCs/>
        </w:rPr>
        <w:t>et.al.,</w:t>
      </w:r>
      <w:r w:rsidR="00365440">
        <w:rPr>
          <w:rFonts w:ascii="Times New Roman" w:hAnsi="Times New Roman" w:cs="Times New Roman"/>
        </w:rPr>
        <w:t xml:space="preserve"> 2016).</w:t>
      </w:r>
      <w:r w:rsidRPr="000623DE">
        <w:rPr>
          <w:rFonts w:ascii="Times New Roman" w:hAnsi="Times New Roman" w:cs="Times New Roman"/>
        </w:rPr>
        <w:t xml:space="preserve"> Phytochemical markers such as curcumin in turmeric, ginsenosides in ginseng, catechins in green tea, and berberine in Berberis species are routinely quantified using HPLC, LC-MS/MS, and GC-MS to ensure batch-to-batch uniformity. </w:t>
      </w:r>
      <w:proofErr w:type="spellStart"/>
      <w:r w:rsidRPr="000623DE">
        <w:rPr>
          <w:rFonts w:ascii="Times New Roman" w:hAnsi="Times New Roman" w:cs="Times New Roman"/>
        </w:rPr>
        <w:t>Pharmacopoeial</w:t>
      </w:r>
      <w:proofErr w:type="spellEnd"/>
      <w:r w:rsidRPr="000623DE">
        <w:rPr>
          <w:rFonts w:ascii="Times New Roman" w:hAnsi="Times New Roman" w:cs="Times New Roman"/>
        </w:rPr>
        <w:t xml:space="preserve"> guidelines recommend assessment of physicochemical parameters including moisture content, ash values, extractive values, and chromatographic fingerprints. Quality control measures also include screening for microbial contamination, heavy metals, pesticide residues, aflatoxins, and adulterants. DNA barcoding and metabolomic profiling are increasingly used to authenticate plant species and identify substitution or contamination. Standardization ensures reproducibility in clinical research and enhances global acceptability of </w:t>
      </w:r>
      <w:proofErr w:type="spellStart"/>
      <w:r w:rsidRPr="000623DE">
        <w:rPr>
          <w:rFonts w:ascii="Times New Roman" w:hAnsi="Times New Roman" w:cs="Times New Roman"/>
        </w:rPr>
        <w:t>phytotherapeutic</w:t>
      </w:r>
      <w:proofErr w:type="spellEnd"/>
      <w:r w:rsidRPr="000623DE">
        <w:rPr>
          <w:rFonts w:ascii="Times New Roman" w:hAnsi="Times New Roman" w:cs="Times New Roman"/>
        </w:rPr>
        <w:t xml:space="preserve"> formulations.</w:t>
      </w:r>
    </w:p>
    <w:p w14:paraId="79C159F7" w14:textId="77777777"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V. Analytical Techniques for Characterizing Bioactive Compounds</w:t>
      </w:r>
    </w:p>
    <w:p w14:paraId="09A562AD" w14:textId="72DCC190"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Chromatographic techniques (HPLC, GC-MS, LC-MS/MS)</w:t>
      </w:r>
      <w:r w:rsidRPr="000623DE">
        <w:rPr>
          <w:rFonts w:ascii="Times New Roman" w:hAnsi="Times New Roman" w:cs="Times New Roman"/>
        </w:rPr>
        <w:br/>
        <w:t xml:space="preserve">Chromatographic platforms are central to the qualitative and quantitative characterization of phytochemicals in herbal extracts. High-performance liquid chromatography (HPLC) is widely applied for profiling polyphenols, flavonoids, alkaloids, and glycosides due to its high resolution and reproducibility. More than 70% of studies on herbal antioxidants rely on HPLC–UV or HPLC–DAD for quantification because retention times and peak purity allow precise identification of compounds such as quercetin, rutin, catechins, and phenolic acids. Gas chromatography–mass spectrometry (GC-MS) is essential for </w:t>
      </w:r>
      <w:proofErr w:type="spellStart"/>
      <w:r w:rsidRPr="000623DE">
        <w:rPr>
          <w:rFonts w:ascii="Times New Roman" w:hAnsi="Times New Roman" w:cs="Times New Roman"/>
        </w:rPr>
        <w:t>analyzing</w:t>
      </w:r>
      <w:proofErr w:type="spellEnd"/>
      <w:r w:rsidRPr="000623DE">
        <w:rPr>
          <w:rFonts w:ascii="Times New Roman" w:hAnsi="Times New Roman" w:cs="Times New Roman"/>
        </w:rPr>
        <w:t xml:space="preserve"> volatile and semi-volatile constituents, including terpenoids, steroids, and essential oils. GC-MS offers molecular fragmentation patterns that enhance structural elucidation, with sensitivity often reaching femtogram levels. LC-MS/MS integrates chromatographic separation with tandem mass spectrometry, enabling detection of complex phytochemicals at trace levels. It is particularly valuable for profiling saponins, lignans, and thermolabile constituents. LC-MS/MS provides high specificity due to multiple reaction monitoring (MRM), achieving limits of detection as low as 0.1–1 ng/mL in plant matrices.</w:t>
      </w:r>
    </w:p>
    <w:p w14:paraId="28C749C3" w14:textId="2D1F59CB"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Spectroscopic techniques (UV–Vis, FTIR, NMR)</w:t>
      </w:r>
      <w:r w:rsidRPr="000623DE">
        <w:rPr>
          <w:rFonts w:ascii="Times New Roman" w:hAnsi="Times New Roman" w:cs="Times New Roman"/>
        </w:rPr>
        <w:br/>
        <w:t>Spectroscopic tools complement chromatographic methods by offering structural insights and rapid classification of phytochemicals</w:t>
      </w:r>
      <w:r w:rsidR="00365440">
        <w:rPr>
          <w:rFonts w:ascii="Times New Roman" w:hAnsi="Times New Roman" w:cs="Times New Roman"/>
        </w:rPr>
        <w:t xml:space="preserve"> (Mutha </w:t>
      </w:r>
      <w:r w:rsidR="00365440" w:rsidRPr="00365440">
        <w:rPr>
          <w:rFonts w:ascii="Times New Roman" w:hAnsi="Times New Roman" w:cs="Times New Roman"/>
          <w:i/>
          <w:iCs/>
        </w:rPr>
        <w:t>et.al.,</w:t>
      </w:r>
      <w:r w:rsidR="00365440">
        <w:rPr>
          <w:rFonts w:ascii="Times New Roman" w:hAnsi="Times New Roman" w:cs="Times New Roman"/>
        </w:rPr>
        <w:t xml:space="preserve"> 2025).</w:t>
      </w:r>
      <w:r w:rsidRPr="000623DE">
        <w:rPr>
          <w:rFonts w:ascii="Times New Roman" w:hAnsi="Times New Roman" w:cs="Times New Roman"/>
        </w:rPr>
        <w:t xml:space="preserve"> UV–Visible spectroscopy is commonly used for </w:t>
      </w:r>
      <w:r w:rsidRPr="000623DE">
        <w:rPr>
          <w:rFonts w:ascii="Times New Roman" w:hAnsi="Times New Roman" w:cs="Times New Roman"/>
        </w:rPr>
        <w:lastRenderedPageBreak/>
        <w:t>estimating total phenolic content (TPC), total flavonoid content (TFC), and antioxidant capacity through assays such as DPPH, ABTS, and FRAP. FTIR (Fourier Transform Infrared Spectroscopy) provides functional group analysis, enabling identification of hydroxyl, carbonyl, aromatic, and glycosidic bonds in complex extracts. FTIR fingerprint spectra between 400–4000 cm⁻¹ are widely used in authentication and detection of adulteration. Nuclear magnetic resonance (NMR), particularly ^1H and ^13C-NMR, allows comprehensive structural elucidation of isolated compounds and contributes to dereplication of metabolites. NMR-based profiling enables identification of tens to hundreds of compounds simultaneously without chromatographic separation.</w:t>
      </w:r>
    </w:p>
    <w:p w14:paraId="00657930" w14:textId="2A17F4AB"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Rapid screening methods for antioxidant compounds</w:t>
      </w:r>
      <w:r w:rsidRPr="000623DE">
        <w:rPr>
          <w:rFonts w:ascii="Times New Roman" w:hAnsi="Times New Roman" w:cs="Times New Roman"/>
        </w:rPr>
        <w:br/>
        <w:t>Rapid in vitro assays enable preliminary evaluation of antioxidant potency</w:t>
      </w:r>
      <w:r w:rsidR="00365440">
        <w:rPr>
          <w:rFonts w:ascii="Times New Roman" w:hAnsi="Times New Roman" w:cs="Times New Roman"/>
        </w:rPr>
        <w:t xml:space="preserve"> (Kotha </w:t>
      </w:r>
      <w:r w:rsidR="00365440" w:rsidRPr="00365440">
        <w:rPr>
          <w:rFonts w:ascii="Times New Roman" w:hAnsi="Times New Roman" w:cs="Times New Roman"/>
          <w:i/>
          <w:iCs/>
        </w:rPr>
        <w:t>et.al.,</w:t>
      </w:r>
      <w:r w:rsidR="00365440">
        <w:rPr>
          <w:rFonts w:ascii="Times New Roman" w:hAnsi="Times New Roman" w:cs="Times New Roman"/>
        </w:rPr>
        <w:t xml:space="preserve"> 2022). </w:t>
      </w:r>
      <w:r w:rsidRPr="000623DE">
        <w:rPr>
          <w:rFonts w:ascii="Times New Roman" w:hAnsi="Times New Roman" w:cs="Times New Roman"/>
        </w:rPr>
        <w:t>The DPPH assay measures hydrogen-donating ability of compounds, with IC₅₀ values commonly ranging between 5–50 µg/mL for strong antioxidants such as catechins and curcumin. ABTS radical cation decolorization is more versatile due to solvent compatibility with both hydrophilic and lipophilic extracts. FRAP assay quantifies ferric-reducing potential, correlating with phenolic concentration. ORAC (Oxygen Radical Absorbance Capacity) evaluates peroxyl radical scavenging ability and is one of the most biologically relevant assays, with ORAC values of berries and herbal extracts often exceeding 5000–15000 µmol TE/100 g. Rapid TLC bioautography also provides real-time visualization of antioxidant zones on chromatographic plates using DPPH staining. Such screening methods are essential for guiding detailed analytical characterization.</w:t>
      </w:r>
    </w:p>
    <w:p w14:paraId="4FE6D485" w14:textId="2A7CEC43"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Metabolomics and chemometric profiling</w:t>
      </w:r>
      <w:r w:rsidRPr="000623DE">
        <w:rPr>
          <w:rFonts w:ascii="Times New Roman" w:hAnsi="Times New Roman" w:cs="Times New Roman"/>
        </w:rPr>
        <w:br/>
        <w:t xml:space="preserve">Metabolomics </w:t>
      </w:r>
      <w:proofErr w:type="gramStart"/>
      <w:r w:rsidRPr="000623DE">
        <w:rPr>
          <w:rFonts w:ascii="Times New Roman" w:hAnsi="Times New Roman" w:cs="Times New Roman"/>
        </w:rPr>
        <w:t>offers</w:t>
      </w:r>
      <w:proofErr w:type="gramEnd"/>
      <w:r w:rsidRPr="000623DE">
        <w:rPr>
          <w:rFonts w:ascii="Times New Roman" w:hAnsi="Times New Roman" w:cs="Times New Roman"/>
        </w:rPr>
        <w:t xml:space="preserve"> comprehensive, high-throughput assessment of phytochemical diversity through MS-based and NMR-based platforms</w:t>
      </w:r>
      <w:r w:rsidR="00DB296A">
        <w:rPr>
          <w:rFonts w:ascii="Times New Roman" w:hAnsi="Times New Roman" w:cs="Times New Roman"/>
        </w:rPr>
        <w:t xml:space="preserve"> (Alum </w:t>
      </w:r>
      <w:r w:rsidR="00DB296A" w:rsidRPr="00DB296A">
        <w:rPr>
          <w:rFonts w:ascii="Times New Roman" w:hAnsi="Times New Roman" w:cs="Times New Roman"/>
          <w:i/>
          <w:iCs/>
        </w:rPr>
        <w:t>et.al.,</w:t>
      </w:r>
      <w:r w:rsidR="00DB296A">
        <w:rPr>
          <w:rFonts w:ascii="Times New Roman" w:hAnsi="Times New Roman" w:cs="Times New Roman"/>
        </w:rPr>
        <w:t xml:space="preserve"> 2025).</w:t>
      </w:r>
      <w:r w:rsidRPr="000623DE">
        <w:rPr>
          <w:rFonts w:ascii="Times New Roman" w:hAnsi="Times New Roman" w:cs="Times New Roman"/>
        </w:rPr>
        <w:t xml:space="preserve"> Untargeted metabolomics evaluates full metabolite spectra, capturing thousands of molecular features simultaneously, while targeted metabolomics quantifies specific biomarker compounds. Chemometric tools such as PCA (Principal Component Analysis), PLS-DA (Partial Least Squares Discriminant Analysis), and OPLS-DA (Orthogonal Projections to Latent Structures) enable interpretation of complex datasets by distinguishing phytochemical variations across species, extraction methods, or geographical origins. These approaches support authenticity testing, standardization, and identification of adulteration patterns. Metabolomic workflows have revealed that environmental and processing variations can alter phytochemical levels by 20–70%, highlighting the necessity of systematic profiling for reproducible therapeutic applications. Metabolomics also facilitates discovery of new bioactive compounds through molecular networking and MS/MS-based database matching.</w:t>
      </w:r>
    </w:p>
    <w:p w14:paraId="0C6E7043" w14:textId="77777777"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VI. Antioxidant Activities of Herbal Extracts: Recent Advances</w:t>
      </w:r>
    </w:p>
    <w:p w14:paraId="03D5728A" w14:textId="50D5964F"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DPPH, ABTS, FRAP, ORAC, and metal chelation studies</w:t>
      </w:r>
      <w:r w:rsidRPr="000623DE">
        <w:rPr>
          <w:rFonts w:ascii="Times New Roman" w:hAnsi="Times New Roman" w:cs="Times New Roman"/>
        </w:rPr>
        <w:br/>
        <w:t>Antioxidant assays have been extensively applied to evaluate the radical scavenging and redox-modulating properties of herbal extracts</w:t>
      </w:r>
      <w:r w:rsidR="00DB296A">
        <w:rPr>
          <w:rFonts w:ascii="Times New Roman" w:hAnsi="Times New Roman" w:cs="Times New Roman"/>
        </w:rPr>
        <w:t xml:space="preserve"> (Petrov </w:t>
      </w:r>
      <w:r w:rsidR="00DB296A" w:rsidRPr="00DB296A">
        <w:rPr>
          <w:rFonts w:ascii="Times New Roman" w:hAnsi="Times New Roman" w:cs="Times New Roman"/>
          <w:i/>
          <w:iCs/>
        </w:rPr>
        <w:t>et.al.</w:t>
      </w:r>
      <w:r w:rsidR="00DB296A">
        <w:rPr>
          <w:rFonts w:ascii="Times New Roman" w:hAnsi="Times New Roman" w:cs="Times New Roman"/>
        </w:rPr>
        <w:t>, 2022).</w:t>
      </w:r>
      <w:r w:rsidRPr="000623DE">
        <w:rPr>
          <w:rFonts w:ascii="Times New Roman" w:hAnsi="Times New Roman" w:cs="Times New Roman"/>
        </w:rPr>
        <w:t xml:space="preserve"> DPPH radical scavenging remains a widely employed method, where potent herbal extracts such as green tea catechins, rosemary diterpenes, and grape seed proanthocyanidins demonstrate IC₅₀ values ranging between 5–25 µg/mL, indicating strong hydrogen-donating capacity. ABTS assays have reported high Trolox equivalent antioxidant capacity (TEAC) values for pomegranate peel, clove, and oregano extracts, often exceeding 1500–2500 µmol TE/g. FRAP (Ferric Reducing Antioxidant Power) studies show that phenolic-rich extracts from turmeric, cinnamon, and berries display reducing power above 2000 µmol Fe²⁺/g, correlating strongly with total phenolic content. ORAC analysis, which assesses peroxyl radical scavenging ability, </w:t>
      </w:r>
      <w:r w:rsidRPr="000623DE">
        <w:rPr>
          <w:rFonts w:ascii="Times New Roman" w:hAnsi="Times New Roman" w:cs="Times New Roman"/>
        </w:rPr>
        <w:lastRenderedPageBreak/>
        <w:t xml:space="preserve">highlights unusually high antioxidant potential in blueberries, green tea, and herbal extracts such as </w:t>
      </w:r>
      <w:proofErr w:type="spellStart"/>
      <w:r w:rsidRPr="000623DE">
        <w:rPr>
          <w:rFonts w:ascii="Times New Roman" w:hAnsi="Times New Roman" w:cs="Times New Roman"/>
        </w:rPr>
        <w:t>Emblica</w:t>
      </w:r>
      <w:proofErr w:type="spellEnd"/>
      <w:r w:rsidRPr="000623DE">
        <w:rPr>
          <w:rFonts w:ascii="Times New Roman" w:hAnsi="Times New Roman" w:cs="Times New Roman"/>
        </w:rPr>
        <w:t xml:space="preserve"> officinalis, with ORAC values in the range of 10,000–20,000 µmol TE/100 g. Metal chelation assays demonstrate that tannin-rich extracts from Terminalia species and grape seeds effectively bind Fe²⁺ and Cu²⁺ ions, reducing pro-oxidant catalysis and lipid peroxidation.</w:t>
      </w:r>
    </w:p>
    <w:p w14:paraId="2E97D474" w14:textId="38AFC392"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In vitro cellular antioxidant assays</w:t>
      </w:r>
      <w:r w:rsidRPr="000623DE">
        <w:rPr>
          <w:rFonts w:ascii="Times New Roman" w:hAnsi="Times New Roman" w:cs="Times New Roman"/>
        </w:rPr>
        <w:br/>
        <w:t>In vitro cellular studies provide mechanistic insight into intracellular redox regulation</w:t>
      </w:r>
      <w:r w:rsidR="00DB296A">
        <w:rPr>
          <w:rFonts w:ascii="Times New Roman" w:hAnsi="Times New Roman" w:cs="Times New Roman"/>
        </w:rPr>
        <w:t xml:space="preserve"> (</w:t>
      </w:r>
      <w:proofErr w:type="spellStart"/>
      <w:r w:rsidR="00DB296A">
        <w:rPr>
          <w:rFonts w:ascii="Times New Roman" w:hAnsi="Times New Roman" w:cs="Times New Roman"/>
        </w:rPr>
        <w:t>Canour</w:t>
      </w:r>
      <w:proofErr w:type="spellEnd"/>
      <w:r w:rsidR="00DB296A">
        <w:rPr>
          <w:rFonts w:ascii="Times New Roman" w:hAnsi="Times New Roman" w:cs="Times New Roman"/>
        </w:rPr>
        <w:t xml:space="preserve"> </w:t>
      </w:r>
      <w:r w:rsidR="00DB296A" w:rsidRPr="00DB296A">
        <w:rPr>
          <w:rFonts w:ascii="Times New Roman" w:hAnsi="Times New Roman" w:cs="Times New Roman"/>
          <w:i/>
          <w:iCs/>
        </w:rPr>
        <w:t>et.al.,</w:t>
      </w:r>
      <w:r w:rsidR="00DB296A">
        <w:rPr>
          <w:rFonts w:ascii="Times New Roman" w:hAnsi="Times New Roman" w:cs="Times New Roman"/>
        </w:rPr>
        <w:t xml:space="preserve"> 2004).</w:t>
      </w:r>
      <w:r w:rsidRPr="000623DE">
        <w:rPr>
          <w:rFonts w:ascii="Times New Roman" w:hAnsi="Times New Roman" w:cs="Times New Roman"/>
        </w:rPr>
        <w:t xml:space="preserve"> Herbal extracts such as curcumin, quercetin, resveratrol, and ginsenosides have shown strong suppression of intracellular ROS in cell lines including HepG2, RAW 264.7, and C2C12. Curcumin reduces H₂O₂-induced ROS production by more than 60% and enhances nuclear translocation of Nrf2, promoting upregulation of antioxidant genes such as HO-1 and NQO1. Quercetin decreases oxidative DNA damage markers such as 8-OHdG by nearly 40% in human lymphocytes. Grape seed extract increases cellular glutathione (GSH) levels by up to 35%, reflecting improved redox buffering. Such assays demonstrate that herbal compounds modulate endogenous antioxidant systems rather than merely scavenging radicals extracellularly.</w:t>
      </w:r>
    </w:p>
    <w:p w14:paraId="11BE2216" w14:textId="3644BAD4"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In vivo antioxidant potential in animal models</w:t>
      </w:r>
      <w:r w:rsidRPr="000623DE">
        <w:rPr>
          <w:rFonts w:ascii="Times New Roman" w:hAnsi="Times New Roman" w:cs="Times New Roman"/>
        </w:rPr>
        <w:br/>
        <w:t>Animal studies offer evidence of systemic antioxidant efficacy of herbal extracts</w:t>
      </w:r>
      <w:r w:rsidR="00DB296A">
        <w:rPr>
          <w:rFonts w:ascii="Times New Roman" w:hAnsi="Times New Roman" w:cs="Times New Roman"/>
        </w:rPr>
        <w:t xml:space="preserve"> (Pohl </w:t>
      </w:r>
      <w:r w:rsidR="00DB296A" w:rsidRPr="00DB296A">
        <w:rPr>
          <w:rFonts w:ascii="Times New Roman" w:hAnsi="Times New Roman" w:cs="Times New Roman"/>
          <w:i/>
          <w:iCs/>
        </w:rPr>
        <w:t>et.al.,</w:t>
      </w:r>
      <w:r w:rsidR="00DB296A">
        <w:rPr>
          <w:rFonts w:ascii="Times New Roman" w:hAnsi="Times New Roman" w:cs="Times New Roman"/>
        </w:rPr>
        <w:t xml:space="preserve"> 2018).</w:t>
      </w:r>
      <w:r w:rsidRPr="000623DE">
        <w:rPr>
          <w:rFonts w:ascii="Times New Roman" w:hAnsi="Times New Roman" w:cs="Times New Roman"/>
        </w:rPr>
        <w:t xml:space="preserve"> Polyphenol-rich extracts from green tea, turmeric, ginseng, and grape seeds show significant reductions in oxidative biomarkers including MDA, protein carbonyls, and 4-HNE in murine and rat models. Turmeric and curcuminoids elevate SOD, CAT, and </w:t>
      </w:r>
      <w:proofErr w:type="spellStart"/>
      <w:r w:rsidRPr="000623DE">
        <w:rPr>
          <w:rFonts w:ascii="Times New Roman" w:hAnsi="Times New Roman" w:cs="Times New Roman"/>
        </w:rPr>
        <w:t>GPx</w:t>
      </w:r>
      <w:proofErr w:type="spellEnd"/>
      <w:r w:rsidRPr="000623DE">
        <w:rPr>
          <w:rFonts w:ascii="Times New Roman" w:hAnsi="Times New Roman" w:cs="Times New Roman"/>
        </w:rPr>
        <w:t xml:space="preserve"> activities by 30–70% in models of oxidative liver, cardiac, and renal damage. Resveratrol significantly reduces lipid peroxidation in rodent models subjected to high-fat diets and restores mitochondrial antioxidant enzymes. Ginseng polysaccharides demonstrate dose-dependent reductions in oxidative stress indices and improve immunomodulation in cyclophosphamide-induced oxidative injury. These findings confirm strong biochemical and physiological antioxidant activity of herbal formulations in vivo.</w:t>
      </w:r>
    </w:p>
    <w:p w14:paraId="462E6575" w14:textId="77D1511D"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Nanotechnology-based enhancement of antioxidant efficacy</w:t>
      </w:r>
      <w:r w:rsidRPr="000623DE">
        <w:rPr>
          <w:rFonts w:ascii="Times New Roman" w:hAnsi="Times New Roman" w:cs="Times New Roman"/>
        </w:rPr>
        <w:br/>
        <w:t>Nanotechnology has contributed to substantial enhancement of the stability, solubility, and bioavailability of herbal antioxidants</w:t>
      </w:r>
      <w:r w:rsidR="00DB296A">
        <w:rPr>
          <w:rFonts w:ascii="Times New Roman" w:hAnsi="Times New Roman" w:cs="Times New Roman"/>
        </w:rPr>
        <w:t xml:space="preserve"> (Dewi </w:t>
      </w:r>
      <w:r w:rsidR="00DB296A" w:rsidRPr="00DB296A">
        <w:rPr>
          <w:rFonts w:ascii="Times New Roman" w:hAnsi="Times New Roman" w:cs="Times New Roman"/>
          <w:i/>
          <w:iCs/>
        </w:rPr>
        <w:t>et.al.,</w:t>
      </w:r>
      <w:r w:rsidR="00DB296A">
        <w:rPr>
          <w:rFonts w:ascii="Times New Roman" w:hAnsi="Times New Roman" w:cs="Times New Roman"/>
        </w:rPr>
        <w:t xml:space="preserve"> 2022).</w:t>
      </w:r>
      <w:r w:rsidRPr="000623DE">
        <w:rPr>
          <w:rFonts w:ascii="Times New Roman" w:hAnsi="Times New Roman" w:cs="Times New Roman"/>
        </w:rPr>
        <w:t xml:space="preserve"> Nano-formulated curcumin (20–100 nm) exhibits 5–10 times higher cellular uptake and up to 6-fold improvement in ROS suppression compared to non-encapsulated curcumin. Green tea catechin nanoparticles have demonstrated sustained release profiles with up to 80% encapsulation efficiency, significantly improving plasma antioxidant capacity in animal studies. Lipid-based nanocarriers such as liposomes and </w:t>
      </w:r>
      <w:proofErr w:type="spellStart"/>
      <w:r w:rsidRPr="000623DE">
        <w:rPr>
          <w:rFonts w:ascii="Times New Roman" w:hAnsi="Times New Roman" w:cs="Times New Roman"/>
        </w:rPr>
        <w:t>phytosomes</w:t>
      </w:r>
      <w:proofErr w:type="spellEnd"/>
      <w:r w:rsidRPr="000623DE">
        <w:rPr>
          <w:rFonts w:ascii="Times New Roman" w:hAnsi="Times New Roman" w:cs="Times New Roman"/>
        </w:rPr>
        <w:t xml:space="preserve"> enhance bioavailability of poorly soluble flavonoids including quercetin, kaempferol, and baicalein by 2–4 times. Metallic and polymeric nanoparticles synthesized using plant extracts provide dual antioxidant functions due to synergistic effects between phytochemicals and nanoscale materials. These innovations suggest that nano-enabled formulations can overcome biopharmaceutical limitations and enhance therapeutic potential of herbal antioxidants.</w:t>
      </w:r>
    </w:p>
    <w:p w14:paraId="5E4CF235" w14:textId="77777777"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VII. Anti-inflammatory Activities of Herbal Extracts: Recent Insights</w:t>
      </w:r>
    </w:p>
    <w:p w14:paraId="48F4D6A9" w14:textId="7A41B22C"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Inhibition of inflammatory mediators (TNF-α, IL-6, IL-1β)</w:t>
      </w:r>
      <w:r w:rsidRPr="000623DE">
        <w:rPr>
          <w:rFonts w:ascii="Times New Roman" w:hAnsi="Times New Roman" w:cs="Times New Roman"/>
        </w:rPr>
        <w:br/>
        <w:t>Herbal extracts exhibit potent regulatory effects on key inflammatory mediators, particularly TNF-α, IL-6, and IL-1β, which play central roles in chronic inflammatory disorders</w:t>
      </w:r>
      <w:r w:rsidR="00DB296A">
        <w:rPr>
          <w:rFonts w:ascii="Times New Roman" w:hAnsi="Times New Roman" w:cs="Times New Roman"/>
        </w:rPr>
        <w:t xml:space="preserve"> (Shin </w:t>
      </w:r>
      <w:r w:rsidR="00DB296A" w:rsidRPr="00DB296A">
        <w:rPr>
          <w:rFonts w:ascii="Times New Roman" w:hAnsi="Times New Roman" w:cs="Times New Roman"/>
          <w:i/>
          <w:iCs/>
        </w:rPr>
        <w:t>et.al.,</w:t>
      </w:r>
      <w:r w:rsidR="00DB296A">
        <w:rPr>
          <w:rFonts w:ascii="Times New Roman" w:hAnsi="Times New Roman" w:cs="Times New Roman"/>
        </w:rPr>
        <w:t xml:space="preserve"> 2020).</w:t>
      </w:r>
      <w:r w:rsidRPr="000623DE">
        <w:rPr>
          <w:rFonts w:ascii="Times New Roman" w:hAnsi="Times New Roman" w:cs="Times New Roman"/>
        </w:rPr>
        <w:t xml:space="preserve"> Curcumin, quercetin, </w:t>
      </w:r>
      <w:proofErr w:type="spellStart"/>
      <w:r w:rsidRPr="000623DE">
        <w:rPr>
          <w:rFonts w:ascii="Times New Roman" w:hAnsi="Times New Roman" w:cs="Times New Roman"/>
        </w:rPr>
        <w:t>boswellic</w:t>
      </w:r>
      <w:proofErr w:type="spellEnd"/>
      <w:r w:rsidRPr="000623DE">
        <w:rPr>
          <w:rFonts w:ascii="Times New Roman" w:hAnsi="Times New Roman" w:cs="Times New Roman"/>
        </w:rPr>
        <w:t xml:space="preserve"> acids, and resveratrol reduce TNF-α secretion by 40–80% in LPS-stimulated macrophages. Polyphenol-rich extracts from pomegranate, ginger, and green tea suppress </w:t>
      </w:r>
      <w:r w:rsidRPr="000623DE">
        <w:rPr>
          <w:rFonts w:ascii="Times New Roman" w:hAnsi="Times New Roman" w:cs="Times New Roman"/>
        </w:rPr>
        <w:lastRenderedPageBreak/>
        <w:t>IL-6 release by interfering with transcriptional activation of inflammatory genes. IL-1β production is significantly reduced by extracts containing terpenoids and flavonoids, as documented in RAW 264.7 and THP-1 cell studies, where inhibition often ranges from 30–70%, depending on concentration and extraction solvent. These reductions correspond with decreases in nitric oxide (NO) and prostaglandin E2 (PGE2), illustrating strong downstream anti-inflammatory action.</w:t>
      </w:r>
    </w:p>
    <w:p w14:paraId="73DBF173" w14:textId="6313F65C"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 xml:space="preserve">Modulation of cellular </w:t>
      </w:r>
      <w:proofErr w:type="spellStart"/>
      <w:r w:rsidRPr="000623DE">
        <w:rPr>
          <w:rFonts w:ascii="Times New Roman" w:hAnsi="Times New Roman" w:cs="Times New Roman"/>
          <w:i/>
          <w:iCs/>
        </w:rPr>
        <w:t>signaling</w:t>
      </w:r>
      <w:proofErr w:type="spellEnd"/>
      <w:r w:rsidRPr="000623DE">
        <w:rPr>
          <w:rFonts w:ascii="Times New Roman" w:hAnsi="Times New Roman" w:cs="Times New Roman"/>
          <w:i/>
          <w:iCs/>
        </w:rPr>
        <w:t xml:space="preserve"> pathways</w:t>
      </w:r>
      <w:r w:rsidRPr="000623DE">
        <w:rPr>
          <w:rFonts w:ascii="Times New Roman" w:hAnsi="Times New Roman" w:cs="Times New Roman"/>
        </w:rPr>
        <w:br/>
        <w:t xml:space="preserve">Herbal extracts influence multiple intracellular </w:t>
      </w:r>
      <w:proofErr w:type="spellStart"/>
      <w:r w:rsidRPr="000623DE">
        <w:rPr>
          <w:rFonts w:ascii="Times New Roman" w:hAnsi="Times New Roman" w:cs="Times New Roman"/>
        </w:rPr>
        <w:t>signaling</w:t>
      </w:r>
      <w:proofErr w:type="spellEnd"/>
      <w:r w:rsidRPr="000623DE">
        <w:rPr>
          <w:rFonts w:ascii="Times New Roman" w:hAnsi="Times New Roman" w:cs="Times New Roman"/>
        </w:rPr>
        <w:t xml:space="preserve"> pathways governing inflammation</w:t>
      </w:r>
      <w:r w:rsidR="00DB296A">
        <w:rPr>
          <w:rFonts w:ascii="Times New Roman" w:hAnsi="Times New Roman" w:cs="Times New Roman"/>
        </w:rPr>
        <w:t xml:space="preserve"> (Chen </w:t>
      </w:r>
      <w:r w:rsidR="00DB296A" w:rsidRPr="00DB296A">
        <w:rPr>
          <w:rFonts w:ascii="Times New Roman" w:hAnsi="Times New Roman" w:cs="Times New Roman"/>
          <w:i/>
          <w:iCs/>
        </w:rPr>
        <w:t>et.al.,</w:t>
      </w:r>
      <w:r w:rsidR="00DB296A">
        <w:rPr>
          <w:rFonts w:ascii="Times New Roman" w:hAnsi="Times New Roman" w:cs="Times New Roman"/>
        </w:rPr>
        <w:t xml:space="preserve"> 2018). </w:t>
      </w:r>
      <w:r w:rsidRPr="000623DE">
        <w:rPr>
          <w:rFonts w:ascii="Times New Roman" w:hAnsi="Times New Roman" w:cs="Times New Roman"/>
        </w:rPr>
        <w:t>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a central transcription factor, is suppressed by curcumin, epigallocatechin gallate (EGCG), and baicalin through inhibition of </w:t>
      </w:r>
      <w:proofErr w:type="spellStart"/>
      <w:r w:rsidRPr="000623DE">
        <w:rPr>
          <w:rFonts w:ascii="Times New Roman" w:hAnsi="Times New Roman" w:cs="Times New Roman"/>
        </w:rPr>
        <w:t>IκB</w:t>
      </w:r>
      <w:proofErr w:type="spellEnd"/>
      <w:r w:rsidRPr="000623DE">
        <w:rPr>
          <w:rFonts w:ascii="Times New Roman" w:hAnsi="Times New Roman" w:cs="Times New Roman"/>
        </w:rPr>
        <w:t xml:space="preserve">α phosphorylation, preventing nuclear translocation. COX-2 and </w:t>
      </w:r>
      <w:proofErr w:type="spellStart"/>
      <w:r w:rsidRPr="000623DE">
        <w:rPr>
          <w:rFonts w:ascii="Times New Roman" w:hAnsi="Times New Roman" w:cs="Times New Roman"/>
        </w:rPr>
        <w:t>iNOS</w:t>
      </w:r>
      <w:proofErr w:type="spellEnd"/>
      <w:r w:rsidRPr="000623DE">
        <w:rPr>
          <w:rFonts w:ascii="Times New Roman" w:hAnsi="Times New Roman" w:cs="Times New Roman"/>
        </w:rPr>
        <w:t xml:space="preserve"> expression are downregulated significantly by saponins, alkaloids, and terpenoids, reducing synthesis of pro-inflammatory mediators. MAPK pathways—including ERK, JNK, and p38—are modulated by compounds such as resveratrol, berberine, and ginsenosides, yielding substantial reductions in cytokine transcription. LOX pathway inhibition is observed with </w:t>
      </w:r>
      <w:proofErr w:type="spellStart"/>
      <w:r w:rsidRPr="000623DE">
        <w:rPr>
          <w:rFonts w:ascii="Times New Roman" w:hAnsi="Times New Roman" w:cs="Times New Roman"/>
        </w:rPr>
        <w:t>ursolic</w:t>
      </w:r>
      <w:proofErr w:type="spellEnd"/>
      <w:r w:rsidRPr="000623DE">
        <w:rPr>
          <w:rFonts w:ascii="Times New Roman" w:hAnsi="Times New Roman" w:cs="Times New Roman"/>
        </w:rPr>
        <w:t xml:space="preserve"> acid, </w:t>
      </w:r>
      <w:proofErr w:type="spellStart"/>
      <w:r w:rsidRPr="000623DE">
        <w:rPr>
          <w:rFonts w:ascii="Times New Roman" w:hAnsi="Times New Roman" w:cs="Times New Roman"/>
        </w:rPr>
        <w:t>rosmarinic</w:t>
      </w:r>
      <w:proofErr w:type="spellEnd"/>
      <w:r w:rsidRPr="000623DE">
        <w:rPr>
          <w:rFonts w:ascii="Times New Roman" w:hAnsi="Times New Roman" w:cs="Times New Roman"/>
        </w:rPr>
        <w:t xml:space="preserve"> acid, and catechins, contributing to reduced leukotriene formation. These multi-pathway interactions highlight the broad biochemical spectrum of herbal anti-inflammatory action.</w:t>
      </w:r>
    </w:p>
    <w:p w14:paraId="57CAC3BC" w14:textId="45793E98"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In vitro and in vivo anti-inflammatory studies</w:t>
      </w:r>
      <w:r w:rsidRPr="000623DE">
        <w:rPr>
          <w:rFonts w:ascii="Times New Roman" w:hAnsi="Times New Roman" w:cs="Times New Roman"/>
        </w:rPr>
        <w:br/>
        <w:t>Extensive cell culture studies reveal consistent anti-inflammatory responses across diverse plant species. Curcumin reduces COX-2 protein levels by up to 80% in LPS-stimulated macrophages. Gingerol-rich extracts decrease NO production by nearly 60% in RAW 264.7 cells, accompanied by downregulation of TNF-α and IL-1β. Polyphenols from green tea and grapes inhibit ROS-induced activation of inflammasomes, preventing caspase-1 activation.</w:t>
      </w:r>
    </w:p>
    <w:p w14:paraId="18C3DFFC" w14:textId="6EDB7306" w:rsidR="000623DE" w:rsidRPr="000623DE" w:rsidRDefault="000623DE" w:rsidP="00E918F8">
      <w:pPr>
        <w:jc w:val="both"/>
        <w:rPr>
          <w:rFonts w:ascii="Times New Roman" w:hAnsi="Times New Roman" w:cs="Times New Roman"/>
        </w:rPr>
      </w:pPr>
      <w:r w:rsidRPr="000623DE">
        <w:rPr>
          <w:rFonts w:ascii="Times New Roman" w:hAnsi="Times New Roman" w:cs="Times New Roman"/>
        </w:rPr>
        <w:t xml:space="preserve">In vivo studies demonstrate significant physiological benefits. Boswellia serrata gum resin reduces paw </w:t>
      </w:r>
      <w:proofErr w:type="spellStart"/>
      <w:r w:rsidRPr="000623DE">
        <w:rPr>
          <w:rFonts w:ascii="Times New Roman" w:hAnsi="Times New Roman" w:cs="Times New Roman"/>
        </w:rPr>
        <w:t>edema</w:t>
      </w:r>
      <w:proofErr w:type="spellEnd"/>
      <w:r w:rsidRPr="000623DE">
        <w:rPr>
          <w:rFonts w:ascii="Times New Roman" w:hAnsi="Times New Roman" w:cs="Times New Roman"/>
        </w:rPr>
        <w:t xml:space="preserve"> by 45–75% in carrageenan-induced inflammation models</w:t>
      </w:r>
      <w:r w:rsidR="00DB296A">
        <w:rPr>
          <w:rFonts w:ascii="Times New Roman" w:hAnsi="Times New Roman" w:cs="Times New Roman"/>
        </w:rPr>
        <w:t xml:space="preserve"> (Anzar </w:t>
      </w:r>
      <w:r w:rsidR="00DB296A" w:rsidRPr="00DB296A">
        <w:rPr>
          <w:rFonts w:ascii="Times New Roman" w:hAnsi="Times New Roman" w:cs="Times New Roman"/>
          <w:i/>
          <w:iCs/>
        </w:rPr>
        <w:t>et.al.,</w:t>
      </w:r>
      <w:r w:rsidR="00DB296A">
        <w:rPr>
          <w:rFonts w:ascii="Times New Roman" w:hAnsi="Times New Roman" w:cs="Times New Roman"/>
        </w:rPr>
        <w:t xml:space="preserve"> 2023).</w:t>
      </w:r>
      <w:r w:rsidRPr="000623DE">
        <w:rPr>
          <w:rFonts w:ascii="Times New Roman" w:hAnsi="Times New Roman" w:cs="Times New Roman"/>
        </w:rPr>
        <w:t xml:space="preserve"> Resveratrol attenuates chronic inflammation in metabolic disorder models, lowering serum TNF-α and IL-6 levels by 30–50%. Polysaccharides from ginseng exhibit strong immunomodulatory action, enhancing regulatory cytokines while suppressing pro-inflammatory markers. Animal trials consistently demonstrate reductions in oxidative biomarkers, inflammatory cell infiltration, and tissue necrosis following herbal extract administration.</w:t>
      </w:r>
    </w:p>
    <w:p w14:paraId="2D749479" w14:textId="684AF70D"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Bioavailability and pharmacokinetic considerations</w:t>
      </w:r>
      <w:r w:rsidRPr="000623DE">
        <w:rPr>
          <w:rFonts w:ascii="Times New Roman" w:hAnsi="Times New Roman" w:cs="Times New Roman"/>
        </w:rPr>
        <w:br/>
        <w:t xml:space="preserve">Many herbal </w:t>
      </w:r>
      <w:proofErr w:type="spellStart"/>
      <w:r w:rsidRPr="000623DE">
        <w:rPr>
          <w:rFonts w:ascii="Times New Roman" w:hAnsi="Times New Roman" w:cs="Times New Roman"/>
        </w:rPr>
        <w:t>bioactives</w:t>
      </w:r>
      <w:proofErr w:type="spellEnd"/>
      <w:r w:rsidRPr="000623DE">
        <w:rPr>
          <w:rFonts w:ascii="Times New Roman" w:hAnsi="Times New Roman" w:cs="Times New Roman"/>
        </w:rPr>
        <w:t xml:space="preserve"> face challenges such as poor solubility, rapid metabolism, and low membrane permeability</w:t>
      </w:r>
      <w:r w:rsidR="00DB296A">
        <w:rPr>
          <w:rFonts w:ascii="Times New Roman" w:hAnsi="Times New Roman" w:cs="Times New Roman"/>
        </w:rPr>
        <w:t xml:space="preserve"> (Yang </w:t>
      </w:r>
      <w:r w:rsidR="00DB296A" w:rsidRPr="00DB296A">
        <w:rPr>
          <w:rFonts w:ascii="Times New Roman" w:hAnsi="Times New Roman" w:cs="Times New Roman"/>
          <w:i/>
          <w:iCs/>
        </w:rPr>
        <w:t>et.al.,</w:t>
      </w:r>
      <w:r w:rsidR="00DB296A">
        <w:rPr>
          <w:rFonts w:ascii="Times New Roman" w:hAnsi="Times New Roman" w:cs="Times New Roman"/>
        </w:rPr>
        <w:t xml:space="preserve"> 2020).</w:t>
      </w:r>
      <w:r w:rsidRPr="000623DE">
        <w:rPr>
          <w:rFonts w:ascii="Times New Roman" w:hAnsi="Times New Roman" w:cs="Times New Roman"/>
        </w:rPr>
        <w:t xml:space="preserve"> Curcumin exhibits oral bioavailability below 1% due to rapid glucuronidation; piperine co-administration increases its bioavailability by nearly 2000%. Quercetin undergoes extensive first-pass metabolism, resulting in limited plasma concentrations, although nano-formulations increase systemic levels 5–10 fold. Saponins and polysaccharides show variable absorption due to large molecular size; enzymatic breakdown by gut microbiota improves systemic availability. Pharmacokinetic studies indicate that encapsulation in liposomes, </w:t>
      </w:r>
      <w:proofErr w:type="spellStart"/>
      <w:r w:rsidRPr="000623DE">
        <w:rPr>
          <w:rFonts w:ascii="Times New Roman" w:hAnsi="Times New Roman" w:cs="Times New Roman"/>
        </w:rPr>
        <w:t>nanoemulsions</w:t>
      </w:r>
      <w:proofErr w:type="spellEnd"/>
      <w:r w:rsidRPr="000623DE">
        <w:rPr>
          <w:rFonts w:ascii="Times New Roman" w:hAnsi="Times New Roman" w:cs="Times New Roman"/>
        </w:rPr>
        <w:t xml:space="preserve">, and </w:t>
      </w:r>
      <w:proofErr w:type="spellStart"/>
      <w:r w:rsidRPr="000623DE">
        <w:rPr>
          <w:rFonts w:ascii="Times New Roman" w:hAnsi="Times New Roman" w:cs="Times New Roman"/>
        </w:rPr>
        <w:t>phytosomes</w:t>
      </w:r>
      <w:proofErr w:type="spellEnd"/>
      <w:r w:rsidRPr="000623DE">
        <w:rPr>
          <w:rFonts w:ascii="Times New Roman" w:hAnsi="Times New Roman" w:cs="Times New Roman"/>
        </w:rPr>
        <w:t xml:space="preserve"> significantly improves stability, half-life, and tissue distribution of polyphenols and terpenoids. The growing body of pharmacokinetic data supports the development of optimized delivery systems to maximize anti-inflammatory efficacy.</w:t>
      </w:r>
    </w:p>
    <w:p w14:paraId="7A2BED0B" w14:textId="77777777" w:rsidR="000623DE" w:rsidRPr="000623DE" w:rsidRDefault="000623DE" w:rsidP="00E918F8">
      <w:pPr>
        <w:jc w:val="both"/>
        <w:rPr>
          <w:rFonts w:ascii="Times New Roman" w:hAnsi="Times New Roman" w:cs="Times New Roman"/>
        </w:rPr>
      </w:pPr>
      <w:r w:rsidRPr="000623DE">
        <w:rPr>
          <w:rFonts w:ascii="Times New Roman" w:hAnsi="Times New Roman" w:cs="Times New Roman"/>
          <w:b/>
          <w:bCs/>
        </w:rPr>
        <w:t>VIII. Major Medicinal Plants with Strong Antioxidant and Anti-inflammatory Potential</w:t>
      </w:r>
    </w:p>
    <w:p w14:paraId="0231A640" w14:textId="2C936F0A"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Curcuma longa, Zingiber officinale, and Allium species</w:t>
      </w:r>
      <w:r w:rsidRPr="000623DE">
        <w:rPr>
          <w:rFonts w:ascii="Times New Roman" w:hAnsi="Times New Roman" w:cs="Times New Roman"/>
        </w:rPr>
        <w:br/>
        <w:t>Curcuma longa is well known for its curcuminoids</w:t>
      </w:r>
      <w:r w:rsidR="00A15B8E">
        <w:rPr>
          <w:rFonts w:ascii="Times New Roman" w:hAnsi="Times New Roman" w:cs="Times New Roman"/>
        </w:rPr>
        <w:t xml:space="preserve"> </w:t>
      </w:r>
      <w:r w:rsidRPr="000623DE">
        <w:rPr>
          <w:rFonts w:ascii="Times New Roman" w:hAnsi="Times New Roman" w:cs="Times New Roman"/>
        </w:rPr>
        <w:t xml:space="preserve">curcumin, </w:t>
      </w:r>
      <w:proofErr w:type="spellStart"/>
      <w:r w:rsidRPr="000623DE">
        <w:rPr>
          <w:rFonts w:ascii="Times New Roman" w:hAnsi="Times New Roman" w:cs="Times New Roman"/>
        </w:rPr>
        <w:t>demethoxycurcumin</w:t>
      </w:r>
      <w:proofErr w:type="spellEnd"/>
      <w:r w:rsidRPr="000623DE">
        <w:rPr>
          <w:rFonts w:ascii="Times New Roman" w:hAnsi="Times New Roman" w:cs="Times New Roman"/>
        </w:rPr>
        <w:t xml:space="preserve">, and </w:t>
      </w:r>
      <w:r w:rsidRPr="000623DE">
        <w:rPr>
          <w:rFonts w:ascii="Times New Roman" w:hAnsi="Times New Roman" w:cs="Times New Roman"/>
        </w:rPr>
        <w:lastRenderedPageBreak/>
        <w:t>bisdemethoxycurcumin</w:t>
      </w:r>
      <w:r w:rsidR="0040471C">
        <w:rPr>
          <w:rFonts w:ascii="Times New Roman" w:hAnsi="Times New Roman" w:cs="Times New Roman"/>
        </w:rPr>
        <w:t xml:space="preserve"> </w:t>
      </w:r>
      <w:r w:rsidRPr="000623DE">
        <w:rPr>
          <w:rFonts w:ascii="Times New Roman" w:hAnsi="Times New Roman" w:cs="Times New Roman"/>
        </w:rPr>
        <w:t>which contribute to its strong antioxidant and anti-inflammatory actions</w:t>
      </w:r>
      <w:r w:rsidR="00DB296A">
        <w:rPr>
          <w:rFonts w:ascii="Times New Roman" w:hAnsi="Times New Roman" w:cs="Times New Roman"/>
        </w:rPr>
        <w:t xml:space="preserve"> (Sandur </w:t>
      </w:r>
      <w:r w:rsidR="00DB296A" w:rsidRPr="00DB296A">
        <w:rPr>
          <w:rFonts w:ascii="Times New Roman" w:hAnsi="Times New Roman" w:cs="Times New Roman"/>
          <w:i/>
          <w:iCs/>
        </w:rPr>
        <w:t>et.al.,</w:t>
      </w:r>
      <w:r w:rsidR="00DB296A">
        <w:rPr>
          <w:rFonts w:ascii="Times New Roman" w:hAnsi="Times New Roman" w:cs="Times New Roman"/>
        </w:rPr>
        <w:t xml:space="preserve"> 2007).</w:t>
      </w:r>
      <w:r w:rsidRPr="000623DE">
        <w:rPr>
          <w:rFonts w:ascii="Times New Roman" w:hAnsi="Times New Roman" w:cs="Times New Roman"/>
        </w:rPr>
        <w:t xml:space="preserve"> Curcumin scavenges ROS, reduces lipid peroxidation by nearly 40–70%, and suppresses cytokine expression through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and MAPK inhibition. Zingiber officinale contains gingerols, shogaols, and </w:t>
      </w:r>
      <w:proofErr w:type="spellStart"/>
      <w:r w:rsidRPr="000623DE">
        <w:rPr>
          <w:rFonts w:ascii="Times New Roman" w:hAnsi="Times New Roman" w:cs="Times New Roman"/>
        </w:rPr>
        <w:t>paradols</w:t>
      </w:r>
      <w:proofErr w:type="spellEnd"/>
      <w:r w:rsidRPr="000623DE">
        <w:rPr>
          <w:rFonts w:ascii="Times New Roman" w:hAnsi="Times New Roman" w:cs="Times New Roman"/>
        </w:rPr>
        <w:t xml:space="preserve">, which exhibit potent anti-inflammatory activity. Gingerol-rich extracts reduce TNF-α, IL-1β, and NO production by nearly 60% in macrophage studies and show significant inhibition of COX-2 and LOX pathways. Allium species, particularly garlic and onion, contain </w:t>
      </w:r>
      <w:r w:rsidR="0040471C" w:rsidRPr="000623DE">
        <w:rPr>
          <w:rFonts w:ascii="Times New Roman" w:hAnsi="Times New Roman" w:cs="Times New Roman"/>
        </w:rPr>
        <w:t>sulphur</w:t>
      </w:r>
      <w:r w:rsidRPr="000623DE">
        <w:rPr>
          <w:rFonts w:ascii="Times New Roman" w:hAnsi="Times New Roman" w:cs="Times New Roman"/>
        </w:rPr>
        <w:t xml:space="preserve"> compounds such as allicin, S-allyl cysteine, and diallyl disulfide that demonstrate antioxidant effects by enhancing SOD, CAT, and </w:t>
      </w:r>
      <w:proofErr w:type="spellStart"/>
      <w:r w:rsidRPr="000623DE">
        <w:rPr>
          <w:rFonts w:ascii="Times New Roman" w:hAnsi="Times New Roman" w:cs="Times New Roman"/>
        </w:rPr>
        <w:t>GPx</w:t>
      </w:r>
      <w:proofErr w:type="spellEnd"/>
      <w:r w:rsidRPr="000623DE">
        <w:rPr>
          <w:rFonts w:ascii="Times New Roman" w:hAnsi="Times New Roman" w:cs="Times New Roman"/>
        </w:rPr>
        <w:t xml:space="preserve"> activity while lowering MDA levels in vivo. Garlic extracts also reduce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-mediated inflammatory </w:t>
      </w:r>
      <w:r w:rsidR="0040471C" w:rsidRPr="000623DE">
        <w:rPr>
          <w:rFonts w:ascii="Times New Roman" w:hAnsi="Times New Roman" w:cs="Times New Roman"/>
        </w:rPr>
        <w:t>signalling</w:t>
      </w:r>
      <w:r w:rsidRPr="000623DE">
        <w:rPr>
          <w:rFonts w:ascii="Times New Roman" w:hAnsi="Times New Roman" w:cs="Times New Roman"/>
        </w:rPr>
        <w:t xml:space="preserve"> and exhibit strong metal-chelating abilities</w:t>
      </w:r>
      <w:r w:rsidR="00A15B8E">
        <w:rPr>
          <w:rFonts w:ascii="Times New Roman" w:hAnsi="Times New Roman" w:cs="Times New Roman"/>
        </w:rPr>
        <w:t>.</w:t>
      </w:r>
    </w:p>
    <w:p w14:paraId="45C3A46A" w14:textId="7CFAECEA" w:rsidR="000623DE" w:rsidRPr="000623DE" w:rsidRDefault="000623DE" w:rsidP="00E918F8">
      <w:pPr>
        <w:jc w:val="both"/>
        <w:rPr>
          <w:rFonts w:ascii="Times New Roman" w:hAnsi="Times New Roman" w:cs="Times New Roman"/>
        </w:rPr>
      </w:pPr>
      <w:proofErr w:type="spellStart"/>
      <w:r w:rsidRPr="000623DE">
        <w:rPr>
          <w:rFonts w:ascii="Times New Roman" w:hAnsi="Times New Roman" w:cs="Times New Roman"/>
          <w:i/>
          <w:iCs/>
        </w:rPr>
        <w:t>Withania</w:t>
      </w:r>
      <w:proofErr w:type="spellEnd"/>
      <w:r w:rsidRPr="000623DE">
        <w:rPr>
          <w:rFonts w:ascii="Times New Roman" w:hAnsi="Times New Roman" w:cs="Times New Roman"/>
          <w:i/>
          <w:iCs/>
        </w:rPr>
        <w:t xml:space="preserve"> </w:t>
      </w:r>
      <w:proofErr w:type="spellStart"/>
      <w:r w:rsidRPr="000623DE">
        <w:rPr>
          <w:rFonts w:ascii="Times New Roman" w:hAnsi="Times New Roman" w:cs="Times New Roman"/>
          <w:i/>
          <w:iCs/>
        </w:rPr>
        <w:t>somnifera</w:t>
      </w:r>
      <w:proofErr w:type="spellEnd"/>
      <w:r w:rsidRPr="000623DE">
        <w:rPr>
          <w:rFonts w:ascii="Times New Roman" w:hAnsi="Times New Roman" w:cs="Times New Roman"/>
          <w:i/>
          <w:iCs/>
        </w:rPr>
        <w:t xml:space="preserve">, </w:t>
      </w:r>
      <w:proofErr w:type="spellStart"/>
      <w:r w:rsidRPr="000623DE">
        <w:rPr>
          <w:rFonts w:ascii="Times New Roman" w:hAnsi="Times New Roman" w:cs="Times New Roman"/>
          <w:i/>
          <w:iCs/>
        </w:rPr>
        <w:t>Tinospora</w:t>
      </w:r>
      <w:proofErr w:type="spellEnd"/>
      <w:r w:rsidRPr="000623DE">
        <w:rPr>
          <w:rFonts w:ascii="Times New Roman" w:hAnsi="Times New Roman" w:cs="Times New Roman"/>
          <w:i/>
          <w:iCs/>
        </w:rPr>
        <w:t xml:space="preserve"> </w:t>
      </w:r>
      <w:proofErr w:type="spellStart"/>
      <w:r w:rsidRPr="000623DE">
        <w:rPr>
          <w:rFonts w:ascii="Times New Roman" w:hAnsi="Times New Roman" w:cs="Times New Roman"/>
          <w:i/>
          <w:iCs/>
        </w:rPr>
        <w:t>cordifolia</w:t>
      </w:r>
      <w:proofErr w:type="spellEnd"/>
      <w:r w:rsidRPr="000623DE">
        <w:rPr>
          <w:rFonts w:ascii="Times New Roman" w:hAnsi="Times New Roman" w:cs="Times New Roman"/>
          <w:i/>
          <w:iCs/>
        </w:rPr>
        <w:t xml:space="preserve">, and </w:t>
      </w:r>
      <w:proofErr w:type="spellStart"/>
      <w:r w:rsidRPr="000623DE">
        <w:rPr>
          <w:rFonts w:ascii="Times New Roman" w:hAnsi="Times New Roman" w:cs="Times New Roman"/>
          <w:i/>
          <w:iCs/>
        </w:rPr>
        <w:t>Ocimum</w:t>
      </w:r>
      <w:proofErr w:type="spellEnd"/>
      <w:r w:rsidRPr="000623DE">
        <w:rPr>
          <w:rFonts w:ascii="Times New Roman" w:hAnsi="Times New Roman" w:cs="Times New Roman"/>
          <w:i/>
          <w:iCs/>
        </w:rPr>
        <w:t xml:space="preserve"> sanctum</w:t>
      </w:r>
      <w:r w:rsidRPr="000623DE">
        <w:rPr>
          <w:rFonts w:ascii="Times New Roman" w:hAnsi="Times New Roman" w:cs="Times New Roman"/>
        </w:rPr>
        <w:br/>
      </w:r>
      <w:proofErr w:type="spellStart"/>
      <w:r w:rsidRPr="0040471C">
        <w:rPr>
          <w:rFonts w:ascii="Times New Roman" w:hAnsi="Times New Roman" w:cs="Times New Roman"/>
          <w:i/>
          <w:iCs/>
        </w:rPr>
        <w:t>Withania</w:t>
      </w:r>
      <w:proofErr w:type="spellEnd"/>
      <w:r w:rsidRPr="0040471C">
        <w:rPr>
          <w:rFonts w:ascii="Times New Roman" w:hAnsi="Times New Roman" w:cs="Times New Roman"/>
          <w:i/>
          <w:iCs/>
        </w:rPr>
        <w:t xml:space="preserve"> </w:t>
      </w:r>
      <w:proofErr w:type="spellStart"/>
      <w:r w:rsidRPr="0040471C">
        <w:rPr>
          <w:rFonts w:ascii="Times New Roman" w:hAnsi="Times New Roman" w:cs="Times New Roman"/>
          <w:i/>
          <w:iCs/>
        </w:rPr>
        <w:t>somnifera</w:t>
      </w:r>
      <w:proofErr w:type="spellEnd"/>
      <w:r w:rsidRPr="000623DE">
        <w:rPr>
          <w:rFonts w:ascii="Times New Roman" w:hAnsi="Times New Roman" w:cs="Times New Roman"/>
        </w:rPr>
        <w:t xml:space="preserve"> (Ashwagandha) contains </w:t>
      </w:r>
      <w:proofErr w:type="spellStart"/>
      <w:r w:rsidRPr="000623DE">
        <w:rPr>
          <w:rFonts w:ascii="Times New Roman" w:hAnsi="Times New Roman" w:cs="Times New Roman"/>
        </w:rPr>
        <w:t>withanolides</w:t>
      </w:r>
      <w:proofErr w:type="spellEnd"/>
      <w:r w:rsidR="00A15B8E">
        <w:rPr>
          <w:rFonts w:ascii="Times New Roman" w:hAnsi="Times New Roman" w:cs="Times New Roman"/>
        </w:rPr>
        <w:t xml:space="preserve"> </w:t>
      </w:r>
      <w:r w:rsidRPr="000623DE">
        <w:rPr>
          <w:rFonts w:ascii="Times New Roman" w:hAnsi="Times New Roman" w:cs="Times New Roman"/>
        </w:rPr>
        <w:t xml:space="preserve">steroidal lactones with strong immunomodulatory and antioxidant properties. Studies show that </w:t>
      </w:r>
      <w:proofErr w:type="spellStart"/>
      <w:r w:rsidRPr="000623DE">
        <w:rPr>
          <w:rFonts w:ascii="Times New Roman" w:hAnsi="Times New Roman" w:cs="Times New Roman"/>
        </w:rPr>
        <w:t>withanolides</w:t>
      </w:r>
      <w:proofErr w:type="spellEnd"/>
      <w:r w:rsidRPr="000623DE">
        <w:rPr>
          <w:rFonts w:ascii="Times New Roman" w:hAnsi="Times New Roman" w:cs="Times New Roman"/>
        </w:rPr>
        <w:t xml:space="preserve"> reduce ROS levels by up to 50% and downregulate pro-inflammatory cytokines through modulation of Nrf2 and NF-</w:t>
      </w:r>
      <w:proofErr w:type="spellStart"/>
      <w:r w:rsidRPr="000623DE">
        <w:rPr>
          <w:rFonts w:ascii="Times New Roman" w:hAnsi="Times New Roman" w:cs="Times New Roman"/>
        </w:rPr>
        <w:t>κB</w:t>
      </w:r>
      <w:proofErr w:type="spellEnd"/>
      <w:r w:rsidRPr="000623DE">
        <w:rPr>
          <w:rFonts w:ascii="Times New Roman" w:hAnsi="Times New Roman" w:cs="Times New Roman"/>
        </w:rPr>
        <w:t xml:space="preserve"> pathways. </w:t>
      </w:r>
      <w:proofErr w:type="spellStart"/>
      <w:r w:rsidRPr="0040471C">
        <w:rPr>
          <w:rFonts w:ascii="Times New Roman" w:hAnsi="Times New Roman" w:cs="Times New Roman"/>
          <w:i/>
          <w:iCs/>
        </w:rPr>
        <w:t>Tinospora</w:t>
      </w:r>
      <w:proofErr w:type="spellEnd"/>
      <w:r w:rsidRPr="0040471C">
        <w:rPr>
          <w:rFonts w:ascii="Times New Roman" w:hAnsi="Times New Roman" w:cs="Times New Roman"/>
          <w:i/>
          <w:iCs/>
        </w:rPr>
        <w:t xml:space="preserve"> </w:t>
      </w:r>
      <w:proofErr w:type="spellStart"/>
      <w:r w:rsidRPr="0040471C">
        <w:rPr>
          <w:rFonts w:ascii="Times New Roman" w:hAnsi="Times New Roman" w:cs="Times New Roman"/>
          <w:i/>
          <w:iCs/>
        </w:rPr>
        <w:t>cordifolia</w:t>
      </w:r>
      <w:proofErr w:type="spellEnd"/>
      <w:r w:rsidRPr="000623DE">
        <w:rPr>
          <w:rFonts w:ascii="Times New Roman" w:hAnsi="Times New Roman" w:cs="Times New Roman"/>
        </w:rPr>
        <w:t xml:space="preserve"> is rich in diterpenoid lactones, polysaccharides, and alkaloids such as berberine, </w:t>
      </w:r>
      <w:proofErr w:type="spellStart"/>
      <w:r w:rsidRPr="000623DE">
        <w:rPr>
          <w:rFonts w:ascii="Times New Roman" w:hAnsi="Times New Roman" w:cs="Times New Roman"/>
        </w:rPr>
        <w:t>magnoflorine</w:t>
      </w:r>
      <w:proofErr w:type="spellEnd"/>
      <w:r w:rsidRPr="000623DE">
        <w:rPr>
          <w:rFonts w:ascii="Times New Roman" w:hAnsi="Times New Roman" w:cs="Times New Roman"/>
        </w:rPr>
        <w:t xml:space="preserve">, and </w:t>
      </w:r>
      <w:proofErr w:type="spellStart"/>
      <w:r w:rsidRPr="000623DE">
        <w:rPr>
          <w:rFonts w:ascii="Times New Roman" w:hAnsi="Times New Roman" w:cs="Times New Roman"/>
        </w:rPr>
        <w:t>cordifolioside</w:t>
      </w:r>
      <w:proofErr w:type="spellEnd"/>
      <w:r w:rsidRPr="000623DE">
        <w:rPr>
          <w:rFonts w:ascii="Times New Roman" w:hAnsi="Times New Roman" w:cs="Times New Roman"/>
        </w:rPr>
        <w:t xml:space="preserve">. Extracts reduce oxidative biomarkers and suppress IL-6, IL-1β, and TNF-α in inflammation models, while increasing antioxidant enzymes in hepatic and renal tissues. Ocimum sanctum (Holy Basil) contains eugenol, </w:t>
      </w:r>
      <w:proofErr w:type="spellStart"/>
      <w:r w:rsidRPr="000623DE">
        <w:rPr>
          <w:rFonts w:ascii="Times New Roman" w:hAnsi="Times New Roman" w:cs="Times New Roman"/>
        </w:rPr>
        <w:t>rosmarinic</w:t>
      </w:r>
      <w:proofErr w:type="spellEnd"/>
      <w:r w:rsidRPr="000623DE">
        <w:rPr>
          <w:rFonts w:ascii="Times New Roman" w:hAnsi="Times New Roman" w:cs="Times New Roman"/>
        </w:rPr>
        <w:t xml:space="preserve"> acid, and </w:t>
      </w:r>
      <w:proofErr w:type="spellStart"/>
      <w:r w:rsidRPr="000623DE">
        <w:rPr>
          <w:rFonts w:ascii="Times New Roman" w:hAnsi="Times New Roman" w:cs="Times New Roman"/>
        </w:rPr>
        <w:t>ursolic</w:t>
      </w:r>
      <w:proofErr w:type="spellEnd"/>
      <w:r w:rsidRPr="000623DE">
        <w:rPr>
          <w:rFonts w:ascii="Times New Roman" w:hAnsi="Times New Roman" w:cs="Times New Roman"/>
        </w:rPr>
        <w:t xml:space="preserve"> acid, which exhibit potent antioxidant capacity. Extracts reduce COX-2 expression, lower plasma oxidative stress markers, and stabilize mitochondrial membranes under oxidative load.</w:t>
      </w:r>
    </w:p>
    <w:p w14:paraId="7D875511" w14:textId="6A59C532"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Camellia sinensis, Vitis vinifera, and Punica granatum</w:t>
      </w:r>
      <w:r w:rsidRPr="000623DE">
        <w:rPr>
          <w:rFonts w:ascii="Times New Roman" w:hAnsi="Times New Roman" w:cs="Times New Roman"/>
        </w:rPr>
        <w:br/>
        <w:t>Camellia sinensis (green tea) is rich in catechins such as EGCG, ECG, EGC, and EC, which exhibit strong antioxidant actions, with ORAC values ranging from 10,000–15,000 µmol TE/100 g</w:t>
      </w:r>
      <w:r w:rsidR="00DB296A">
        <w:rPr>
          <w:rFonts w:ascii="Times New Roman" w:hAnsi="Times New Roman" w:cs="Times New Roman"/>
        </w:rPr>
        <w:t xml:space="preserve"> (</w:t>
      </w:r>
      <w:proofErr w:type="spellStart"/>
      <w:r w:rsidR="00DB296A">
        <w:rPr>
          <w:rFonts w:ascii="Times New Roman" w:hAnsi="Times New Roman" w:cs="Times New Roman"/>
        </w:rPr>
        <w:t>Vishnoi</w:t>
      </w:r>
      <w:proofErr w:type="spellEnd"/>
      <w:r w:rsidR="00DB296A">
        <w:rPr>
          <w:rFonts w:ascii="Times New Roman" w:hAnsi="Times New Roman" w:cs="Times New Roman"/>
        </w:rPr>
        <w:t xml:space="preserve"> </w:t>
      </w:r>
      <w:r w:rsidR="00DB296A" w:rsidRPr="00DB296A">
        <w:rPr>
          <w:rFonts w:ascii="Times New Roman" w:hAnsi="Times New Roman" w:cs="Times New Roman"/>
          <w:i/>
          <w:iCs/>
        </w:rPr>
        <w:t>et.al.,</w:t>
      </w:r>
      <w:r w:rsidR="00DB296A">
        <w:rPr>
          <w:rFonts w:ascii="Times New Roman" w:hAnsi="Times New Roman" w:cs="Times New Roman"/>
        </w:rPr>
        <w:t xml:space="preserve"> 2018).</w:t>
      </w:r>
      <w:r w:rsidRPr="000623DE">
        <w:rPr>
          <w:rFonts w:ascii="Times New Roman" w:hAnsi="Times New Roman" w:cs="Times New Roman"/>
        </w:rPr>
        <w:t xml:space="preserve"> EGCG reduces lipid peroxidation, suppresses IL-6 and TNF-α, and modulates MAPK and JAK/STAT pathways. Vitis vinifera (grape) seed extract is dominated by proanthocyanidins, which demonstrate strong ROS scavenging, metal-chelating effects, and attenuation of inflammatory </w:t>
      </w:r>
      <w:r w:rsidR="0040471C" w:rsidRPr="000623DE">
        <w:rPr>
          <w:rFonts w:ascii="Times New Roman" w:hAnsi="Times New Roman" w:cs="Times New Roman"/>
        </w:rPr>
        <w:t>signalling</w:t>
      </w:r>
      <w:r w:rsidRPr="000623DE">
        <w:rPr>
          <w:rFonts w:ascii="Times New Roman" w:hAnsi="Times New Roman" w:cs="Times New Roman"/>
        </w:rPr>
        <w:t>. Grape seed proanthocyanidin extract reduces TNF-α and IL-1β by nearly 50% and elevates endogenous antioxidant enzymes in multiple animal studies. Punica granatum (pomegranate) peel and seed extracts contain ellagitannins, punicalagins, anthocyanins, and phenolic acids. These compounds reduce COX-2 expression, suppress CRP levels, decrease oxidation of LDL by more than 40%, and exhibit DPPH scavenging activity often exceeding 80% at moderate concentrations.</w:t>
      </w:r>
    </w:p>
    <w:p w14:paraId="4BD766DC" w14:textId="6B1BADA6" w:rsidR="000623DE" w:rsidRPr="000623DE" w:rsidRDefault="000623DE" w:rsidP="00E918F8">
      <w:pPr>
        <w:jc w:val="both"/>
        <w:rPr>
          <w:rFonts w:ascii="Times New Roman" w:hAnsi="Times New Roman" w:cs="Times New Roman"/>
        </w:rPr>
      </w:pPr>
      <w:r w:rsidRPr="000623DE">
        <w:rPr>
          <w:rFonts w:ascii="Times New Roman" w:hAnsi="Times New Roman" w:cs="Times New Roman"/>
          <w:i/>
          <w:iCs/>
        </w:rPr>
        <w:t>Comparative efficacy based on recent evidence</w:t>
      </w:r>
      <w:r w:rsidRPr="000623DE">
        <w:rPr>
          <w:rFonts w:ascii="Times New Roman" w:hAnsi="Times New Roman" w:cs="Times New Roman"/>
        </w:rPr>
        <w:br/>
        <w:t>Comparative analyses of medicinal plants indicate that polyphenol-rich species such as Camellia sinensis, Punica granatum, and Vitis vinifera often show higher in vitro antioxidant capacity due to elevated concentrations of catechins, tannins, and anthocyanins</w:t>
      </w:r>
      <w:r w:rsidR="00DB296A">
        <w:rPr>
          <w:rFonts w:ascii="Times New Roman" w:hAnsi="Times New Roman" w:cs="Times New Roman"/>
        </w:rPr>
        <w:t xml:space="preserve"> (Jamous </w:t>
      </w:r>
      <w:r w:rsidR="00DB296A" w:rsidRPr="00DB296A">
        <w:rPr>
          <w:rFonts w:ascii="Times New Roman" w:hAnsi="Times New Roman" w:cs="Times New Roman"/>
          <w:i/>
          <w:iCs/>
        </w:rPr>
        <w:t>et.al.,</w:t>
      </w:r>
      <w:r w:rsidR="00DB296A">
        <w:rPr>
          <w:rFonts w:ascii="Times New Roman" w:hAnsi="Times New Roman" w:cs="Times New Roman"/>
        </w:rPr>
        <w:t xml:space="preserve"> 2018).</w:t>
      </w:r>
      <w:r w:rsidRPr="000623DE">
        <w:rPr>
          <w:rFonts w:ascii="Times New Roman" w:hAnsi="Times New Roman" w:cs="Times New Roman"/>
        </w:rPr>
        <w:t xml:space="preserve"> Turmeric and ginger demonstrate strong dual antioxidant and anti-inflammatory effects owing to terpenoid and phenolic compositions, with curcumin typically showing the highest overall inflammatory biomarker suppression. Ashwagandha and </w:t>
      </w:r>
      <w:proofErr w:type="spellStart"/>
      <w:r w:rsidRPr="00930126">
        <w:rPr>
          <w:rFonts w:ascii="Times New Roman" w:hAnsi="Times New Roman" w:cs="Times New Roman"/>
          <w:i/>
          <w:iCs/>
        </w:rPr>
        <w:t>Tinospora</w:t>
      </w:r>
      <w:proofErr w:type="spellEnd"/>
      <w:r w:rsidRPr="00930126">
        <w:rPr>
          <w:rFonts w:ascii="Times New Roman" w:hAnsi="Times New Roman" w:cs="Times New Roman"/>
          <w:i/>
          <w:iCs/>
        </w:rPr>
        <w:t xml:space="preserve"> </w:t>
      </w:r>
      <w:proofErr w:type="spellStart"/>
      <w:r w:rsidRPr="00930126">
        <w:rPr>
          <w:rFonts w:ascii="Times New Roman" w:hAnsi="Times New Roman" w:cs="Times New Roman"/>
          <w:i/>
          <w:iCs/>
        </w:rPr>
        <w:t>cordifolia</w:t>
      </w:r>
      <w:proofErr w:type="spellEnd"/>
      <w:r w:rsidRPr="000623DE">
        <w:rPr>
          <w:rFonts w:ascii="Times New Roman" w:hAnsi="Times New Roman" w:cs="Times New Roman"/>
        </w:rPr>
        <w:t xml:space="preserve"> exhibit more pronounced immunomodulatory actions due to their unique alkaloid and lactone profiles, showing efficacy in both acute and chronic inflammation models. Comparative meta-analyses show that extracts containing combined polyphenols and terpenoids achieve 20–40% higher reduction in oxidative biomarkers compared with single-compound isolated phytochemicals. These findings emphasize the therapeutic relevance of phytochemical diversity and synergistic molecular interactions across different medicinal plants.</w:t>
      </w:r>
    </w:p>
    <w:p w14:paraId="75FFA4F6" w14:textId="77777777" w:rsidR="0094442C" w:rsidRPr="0094442C" w:rsidRDefault="0094442C" w:rsidP="00E918F8">
      <w:pPr>
        <w:jc w:val="both"/>
        <w:rPr>
          <w:rFonts w:ascii="Times New Roman" w:hAnsi="Times New Roman" w:cs="Times New Roman"/>
        </w:rPr>
      </w:pPr>
      <w:r w:rsidRPr="0094442C">
        <w:rPr>
          <w:rFonts w:ascii="Times New Roman" w:hAnsi="Times New Roman" w:cs="Times New Roman"/>
          <w:b/>
          <w:bCs/>
        </w:rPr>
        <w:lastRenderedPageBreak/>
        <w:t>IX. Novel Formulations and Delivery Systems</w:t>
      </w:r>
    </w:p>
    <w:p w14:paraId="6B685DC9" w14:textId="712A4827"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 xml:space="preserve">Herbal nanoparticles and </w:t>
      </w:r>
      <w:proofErr w:type="spellStart"/>
      <w:r w:rsidRPr="0094442C">
        <w:rPr>
          <w:rFonts w:ascii="Times New Roman" w:hAnsi="Times New Roman" w:cs="Times New Roman"/>
          <w:i/>
          <w:iCs/>
        </w:rPr>
        <w:t>nanoemulsions</w:t>
      </w:r>
      <w:proofErr w:type="spellEnd"/>
      <w:r w:rsidRPr="0094442C">
        <w:rPr>
          <w:rFonts w:ascii="Times New Roman" w:hAnsi="Times New Roman" w:cs="Times New Roman"/>
        </w:rPr>
        <w:br/>
      </w:r>
      <w:proofErr w:type="spellStart"/>
      <w:r w:rsidRPr="0094442C">
        <w:rPr>
          <w:rFonts w:ascii="Times New Roman" w:hAnsi="Times New Roman" w:cs="Times New Roman"/>
        </w:rPr>
        <w:t>Nanoformulations</w:t>
      </w:r>
      <w:proofErr w:type="spellEnd"/>
      <w:r w:rsidRPr="0094442C">
        <w:rPr>
          <w:rFonts w:ascii="Times New Roman" w:hAnsi="Times New Roman" w:cs="Times New Roman"/>
        </w:rPr>
        <w:t xml:space="preserve"> have emerged as transformative platforms to enhance the solubility, bioavailability, and therapeutic efficacy of herbal antioxidants and anti-inflammatory compounds</w:t>
      </w:r>
      <w:r w:rsidR="00DB296A">
        <w:rPr>
          <w:rFonts w:ascii="Times New Roman" w:hAnsi="Times New Roman" w:cs="Times New Roman"/>
        </w:rPr>
        <w:t xml:space="preserve"> (Chen </w:t>
      </w:r>
      <w:r w:rsidR="00DB296A" w:rsidRPr="00DB296A">
        <w:rPr>
          <w:rFonts w:ascii="Times New Roman" w:hAnsi="Times New Roman" w:cs="Times New Roman"/>
          <w:i/>
          <w:iCs/>
        </w:rPr>
        <w:t>et.al.,</w:t>
      </w:r>
      <w:r w:rsidR="00DB296A">
        <w:rPr>
          <w:rFonts w:ascii="Times New Roman" w:hAnsi="Times New Roman" w:cs="Times New Roman"/>
        </w:rPr>
        <w:t xml:space="preserve"> 2024).</w:t>
      </w:r>
      <w:r w:rsidRPr="0094442C">
        <w:rPr>
          <w:rFonts w:ascii="Times New Roman" w:hAnsi="Times New Roman" w:cs="Times New Roman"/>
        </w:rPr>
        <w:t xml:space="preserve"> Herbal nanoparticles, generally ranging from 10–200 nm, significantly increase surface-area-to-volume ratios, improving cellular uptake and controlled release. Nano-curcumin showcases 5–10-fold higher bioavailability compared with conventional curcumin, with plasma concentrations increased by nearly 40 times in animal studies. Green tea catechin nanoparticles demonstrate up to 80% encapsulation efficiency and prolonged antioxidant activity due to improved stability under physiological conditions. </w:t>
      </w:r>
      <w:proofErr w:type="spellStart"/>
      <w:r w:rsidRPr="0094442C">
        <w:rPr>
          <w:rFonts w:ascii="Times New Roman" w:hAnsi="Times New Roman" w:cs="Times New Roman"/>
        </w:rPr>
        <w:t>Nanoemulsions</w:t>
      </w:r>
      <w:proofErr w:type="spellEnd"/>
      <w:r w:rsidRPr="0094442C">
        <w:rPr>
          <w:rFonts w:ascii="Times New Roman" w:hAnsi="Times New Roman" w:cs="Times New Roman"/>
        </w:rPr>
        <w:t xml:space="preserve"> composed of essential oils or polyphenolic extracts maintain droplet sizes between 20–150 nm, enhancing membrane permeability and absorption. Studies indicate that </w:t>
      </w:r>
      <w:proofErr w:type="spellStart"/>
      <w:r w:rsidRPr="0094442C">
        <w:rPr>
          <w:rFonts w:ascii="Times New Roman" w:hAnsi="Times New Roman" w:cs="Times New Roman"/>
        </w:rPr>
        <w:t>nanoemulsions</w:t>
      </w:r>
      <w:proofErr w:type="spellEnd"/>
      <w:r w:rsidRPr="0094442C">
        <w:rPr>
          <w:rFonts w:ascii="Times New Roman" w:hAnsi="Times New Roman" w:cs="Times New Roman"/>
        </w:rPr>
        <w:t xml:space="preserve"> of clove oil, turmeric oil, and rosemary extract exhibit 2–4-fold greater DPPH and ABTS radical scavenging activities and demonstrate significantly higher anti-inflammatory responses in macrophage models.</w:t>
      </w:r>
    </w:p>
    <w:p w14:paraId="1DE2E1EE" w14:textId="0F226CD4"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 xml:space="preserve">Liposomes, </w:t>
      </w:r>
      <w:proofErr w:type="spellStart"/>
      <w:r w:rsidRPr="0094442C">
        <w:rPr>
          <w:rFonts w:ascii="Times New Roman" w:hAnsi="Times New Roman" w:cs="Times New Roman"/>
          <w:i/>
          <w:iCs/>
        </w:rPr>
        <w:t>phytosomes</w:t>
      </w:r>
      <w:proofErr w:type="spellEnd"/>
      <w:r w:rsidRPr="0094442C">
        <w:rPr>
          <w:rFonts w:ascii="Times New Roman" w:hAnsi="Times New Roman" w:cs="Times New Roman"/>
          <w:i/>
          <w:iCs/>
        </w:rPr>
        <w:t>, and microencapsulation</w:t>
      </w:r>
      <w:r w:rsidRPr="0094442C">
        <w:rPr>
          <w:rFonts w:ascii="Times New Roman" w:hAnsi="Times New Roman" w:cs="Times New Roman"/>
        </w:rPr>
        <w:br/>
        <w:t>Liposomes</w:t>
      </w:r>
      <w:r w:rsidR="00A15B8E">
        <w:rPr>
          <w:rFonts w:ascii="Times New Roman" w:hAnsi="Times New Roman" w:cs="Times New Roman"/>
        </w:rPr>
        <w:t xml:space="preserve"> </w:t>
      </w:r>
      <w:r w:rsidRPr="0094442C">
        <w:rPr>
          <w:rFonts w:ascii="Times New Roman" w:hAnsi="Times New Roman" w:cs="Times New Roman"/>
        </w:rPr>
        <w:t>phospholipid bilayer vesicles</w:t>
      </w:r>
      <w:r w:rsidR="00A15B8E">
        <w:rPr>
          <w:rFonts w:ascii="Times New Roman" w:hAnsi="Times New Roman" w:cs="Times New Roman"/>
        </w:rPr>
        <w:t xml:space="preserve"> </w:t>
      </w:r>
      <w:r w:rsidRPr="0094442C">
        <w:rPr>
          <w:rFonts w:ascii="Times New Roman" w:hAnsi="Times New Roman" w:cs="Times New Roman"/>
        </w:rPr>
        <w:t>facilitate incorporation of both hydrophilic and lipophilic herbal compounds, providing biocompatibility and enhanced delivery</w:t>
      </w:r>
      <w:r w:rsidR="00DB296A">
        <w:rPr>
          <w:rFonts w:ascii="Times New Roman" w:hAnsi="Times New Roman" w:cs="Times New Roman"/>
        </w:rPr>
        <w:t xml:space="preserve"> (Gupta </w:t>
      </w:r>
      <w:r w:rsidR="00DB296A" w:rsidRPr="00DB296A">
        <w:rPr>
          <w:rFonts w:ascii="Times New Roman" w:hAnsi="Times New Roman" w:cs="Times New Roman"/>
          <w:i/>
          <w:iCs/>
        </w:rPr>
        <w:t>et.al.,</w:t>
      </w:r>
      <w:r w:rsidR="00DB296A">
        <w:rPr>
          <w:rFonts w:ascii="Times New Roman" w:hAnsi="Times New Roman" w:cs="Times New Roman"/>
        </w:rPr>
        <w:t xml:space="preserve"> 2022).</w:t>
      </w:r>
      <w:r w:rsidRPr="0094442C">
        <w:rPr>
          <w:rFonts w:ascii="Times New Roman" w:hAnsi="Times New Roman" w:cs="Times New Roman"/>
        </w:rPr>
        <w:t xml:space="preserve"> Liposomal curcumin improves cellular uptake by nearly 6–10 times, reducing inflammatory cytokine production in preclinical studies. </w:t>
      </w:r>
      <w:proofErr w:type="spellStart"/>
      <w:r w:rsidRPr="0094442C">
        <w:rPr>
          <w:rFonts w:ascii="Times New Roman" w:hAnsi="Times New Roman" w:cs="Times New Roman"/>
        </w:rPr>
        <w:t>Phytosomes</w:t>
      </w:r>
      <w:proofErr w:type="spellEnd"/>
      <w:r w:rsidRPr="0094442C">
        <w:rPr>
          <w:rFonts w:ascii="Times New Roman" w:hAnsi="Times New Roman" w:cs="Times New Roman"/>
        </w:rPr>
        <w:t xml:space="preserve">, formed by complexing phytochemicals with phosphatidylcholine, have shown exceptional improvements in systemic absorption. Quercetin </w:t>
      </w:r>
      <w:proofErr w:type="spellStart"/>
      <w:r w:rsidRPr="0094442C">
        <w:rPr>
          <w:rFonts w:ascii="Times New Roman" w:hAnsi="Times New Roman" w:cs="Times New Roman"/>
        </w:rPr>
        <w:t>phytosomes</w:t>
      </w:r>
      <w:proofErr w:type="spellEnd"/>
      <w:r w:rsidRPr="0094442C">
        <w:rPr>
          <w:rFonts w:ascii="Times New Roman" w:hAnsi="Times New Roman" w:cs="Times New Roman"/>
        </w:rPr>
        <w:t xml:space="preserve"> exhibit 20-fold higher plasma concentration, while silymarin </w:t>
      </w:r>
      <w:proofErr w:type="spellStart"/>
      <w:r w:rsidRPr="0094442C">
        <w:rPr>
          <w:rFonts w:ascii="Times New Roman" w:hAnsi="Times New Roman" w:cs="Times New Roman"/>
        </w:rPr>
        <w:t>phytosomes</w:t>
      </w:r>
      <w:proofErr w:type="spellEnd"/>
      <w:r w:rsidRPr="0094442C">
        <w:rPr>
          <w:rFonts w:ascii="Times New Roman" w:hAnsi="Times New Roman" w:cs="Times New Roman"/>
        </w:rPr>
        <w:t xml:space="preserve"> improve bioavailability by 10–30 times, significantly enhancing antioxidant potential. Microencapsulation using polymers like chitosan, alginate, or maltodextrin protects polyphenols against degradation during processing and digestion. Microencapsulated pomegranate and grape seed extracts demonstrate better retention of anthocyanins and proanthocyanidins, sustaining antioxidant activity during storage and simulated gastrointestinal conditions.</w:t>
      </w:r>
    </w:p>
    <w:p w14:paraId="24022F52" w14:textId="01F4A21C"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Sustained release and targeted delivery approaches</w:t>
      </w:r>
      <w:r w:rsidRPr="0094442C">
        <w:rPr>
          <w:rFonts w:ascii="Times New Roman" w:hAnsi="Times New Roman" w:cs="Times New Roman"/>
        </w:rPr>
        <w:br/>
        <w:t>Sustained-release herbal formulations enable controlled delivery of bioactive compounds over extended durations, reducing dosing frequency and stabilizing plasma concentrations</w:t>
      </w:r>
      <w:r w:rsidR="00DB296A">
        <w:rPr>
          <w:rFonts w:ascii="Times New Roman" w:hAnsi="Times New Roman" w:cs="Times New Roman"/>
        </w:rPr>
        <w:t xml:space="preserve"> (Setia </w:t>
      </w:r>
      <w:r w:rsidR="00DB296A" w:rsidRPr="00DB296A">
        <w:rPr>
          <w:rFonts w:ascii="Times New Roman" w:hAnsi="Times New Roman" w:cs="Times New Roman"/>
          <w:i/>
          <w:iCs/>
        </w:rPr>
        <w:t>et.al.,</w:t>
      </w:r>
      <w:r w:rsidR="00DB296A">
        <w:rPr>
          <w:rFonts w:ascii="Times New Roman" w:hAnsi="Times New Roman" w:cs="Times New Roman"/>
        </w:rPr>
        <w:t xml:space="preserve"> 2025).</w:t>
      </w:r>
      <w:r w:rsidRPr="0094442C">
        <w:rPr>
          <w:rFonts w:ascii="Times New Roman" w:hAnsi="Times New Roman" w:cs="Times New Roman"/>
        </w:rPr>
        <w:t xml:space="preserve"> Polymer-based nanoparticles using PLGA (poly-lactic-co-glycolic-acid) encapsulate compounds such as curcumin, EGCG, and berberine, achieving release periods of 24–120 hours with preserved bioactivity. Targeted delivery systems employ ligand-functionalized nanoparticles that selectively bind receptors on inflamed or oxidative-stress-affected tissues. Mannose-functionalized nanoparticles target macrophages, enhancing delivery of anti-inflammatory plant compounds directly to immune cells. Folic acid–conjugated nanoparticles have demonstrated improved delivery of resveratrol to cancerous tissues exhibiting elevated folate receptor expression. These targeted platforms improve therapeutic precision while reducing off-target effects.</w:t>
      </w:r>
    </w:p>
    <w:p w14:paraId="02DE17B0" w14:textId="7C4B037F"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Enhancement of stability and therapeutic performance</w:t>
      </w:r>
      <w:r w:rsidRPr="0094442C">
        <w:rPr>
          <w:rFonts w:ascii="Times New Roman" w:hAnsi="Times New Roman" w:cs="Times New Roman"/>
        </w:rPr>
        <w:br/>
        <w:t xml:space="preserve">Herbal </w:t>
      </w:r>
      <w:proofErr w:type="spellStart"/>
      <w:r w:rsidRPr="0094442C">
        <w:rPr>
          <w:rFonts w:ascii="Times New Roman" w:hAnsi="Times New Roman" w:cs="Times New Roman"/>
        </w:rPr>
        <w:t>bioactives</w:t>
      </w:r>
      <w:proofErr w:type="spellEnd"/>
      <w:r w:rsidRPr="0094442C">
        <w:rPr>
          <w:rFonts w:ascii="Times New Roman" w:hAnsi="Times New Roman" w:cs="Times New Roman"/>
        </w:rPr>
        <w:t xml:space="preserve"> such as curcumin, quercetin, and catechins suffer from instability due to photodegradation, pH sensitivity, and rapid metabolism. Nanoencapsulation improves chemical stability by protecting compounds from environmental degradation. </w:t>
      </w:r>
      <w:proofErr w:type="spellStart"/>
      <w:r w:rsidRPr="0094442C">
        <w:rPr>
          <w:rFonts w:ascii="Times New Roman" w:hAnsi="Times New Roman" w:cs="Times New Roman"/>
        </w:rPr>
        <w:t>Nanoemulsions</w:t>
      </w:r>
      <w:proofErr w:type="spellEnd"/>
      <w:r w:rsidRPr="0094442C">
        <w:rPr>
          <w:rFonts w:ascii="Times New Roman" w:hAnsi="Times New Roman" w:cs="Times New Roman"/>
        </w:rPr>
        <w:t xml:space="preserve"> and liposomes enhance resistance to oxidation and hydrolysis, extending shelf-life by 30–50% in stability studies. Nanocarriers also improve pharmacokinetic parameters: Cmax (maximum plasma concentration) and </w:t>
      </w:r>
      <w:r w:rsidRPr="0094442C">
        <w:rPr>
          <w:rFonts w:ascii="Times New Roman" w:hAnsi="Times New Roman" w:cs="Times New Roman"/>
        </w:rPr>
        <w:lastRenderedPageBreak/>
        <w:t>AUC (area under curve) are significantly increased, reflecting improved absorption and sustained systemic presence. Encapsulation reduces first-pass metabolism, enhances tissue penetration, and improves interaction with intracellular targets. These improvements collectively translate into superior antioxidant and anti-inflammatory performance, as demonstrated in both in vitro and in vivo models, where nano-enhanced herbal compounds show 2–5-fold greater biomarker modulation compared with non-encapsulated forms.</w:t>
      </w:r>
    </w:p>
    <w:p w14:paraId="5710DD14" w14:textId="77777777" w:rsidR="0094442C" w:rsidRPr="0094442C" w:rsidRDefault="0094442C" w:rsidP="00E918F8">
      <w:pPr>
        <w:jc w:val="both"/>
        <w:rPr>
          <w:rFonts w:ascii="Times New Roman" w:hAnsi="Times New Roman" w:cs="Times New Roman"/>
        </w:rPr>
      </w:pPr>
      <w:r w:rsidRPr="0094442C">
        <w:rPr>
          <w:rFonts w:ascii="Times New Roman" w:hAnsi="Times New Roman" w:cs="Times New Roman"/>
          <w:b/>
          <w:bCs/>
        </w:rPr>
        <w:t>X. Clinical Studies and Evidence Base</w:t>
      </w:r>
    </w:p>
    <w:p w14:paraId="3CFE34FD" w14:textId="6AE160A1"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Human trials for antioxidant potential</w:t>
      </w:r>
      <w:r w:rsidRPr="0094442C">
        <w:rPr>
          <w:rFonts w:ascii="Times New Roman" w:hAnsi="Times New Roman" w:cs="Times New Roman"/>
        </w:rPr>
        <w:br/>
        <w:t>Human clinical investigations on herbal extracts have shown significant improvements in oxidative stress biomarkers</w:t>
      </w:r>
      <w:r w:rsidR="00B364E0">
        <w:rPr>
          <w:rFonts w:ascii="Times New Roman" w:hAnsi="Times New Roman" w:cs="Times New Roman"/>
        </w:rPr>
        <w:t xml:space="preserve"> (Usharani </w:t>
      </w:r>
      <w:r w:rsidR="00B364E0" w:rsidRPr="00B364E0">
        <w:rPr>
          <w:rFonts w:ascii="Times New Roman" w:hAnsi="Times New Roman" w:cs="Times New Roman"/>
          <w:i/>
          <w:iCs/>
        </w:rPr>
        <w:t>et.al.,</w:t>
      </w:r>
      <w:r w:rsidR="00B364E0">
        <w:rPr>
          <w:rFonts w:ascii="Times New Roman" w:hAnsi="Times New Roman" w:cs="Times New Roman"/>
        </w:rPr>
        <w:t xml:space="preserve"> 2013).</w:t>
      </w:r>
      <w:r w:rsidRPr="0094442C">
        <w:rPr>
          <w:rFonts w:ascii="Times New Roman" w:hAnsi="Times New Roman" w:cs="Times New Roman"/>
        </w:rPr>
        <w:t xml:space="preserve"> Curcumin supplementation at doses of 500–1000 mg/day over 4–8 weeks reduces serum malondialdehyde (MDA) levels by 25–40% and elevates antioxidant enzymes such as SOD, CAT, and </w:t>
      </w:r>
      <w:proofErr w:type="spellStart"/>
      <w:r w:rsidRPr="0094442C">
        <w:rPr>
          <w:rFonts w:ascii="Times New Roman" w:hAnsi="Times New Roman" w:cs="Times New Roman"/>
        </w:rPr>
        <w:t>GPx</w:t>
      </w:r>
      <w:proofErr w:type="spellEnd"/>
      <w:r w:rsidRPr="0094442C">
        <w:rPr>
          <w:rFonts w:ascii="Times New Roman" w:hAnsi="Times New Roman" w:cs="Times New Roman"/>
        </w:rPr>
        <w:t xml:space="preserve"> in patients with metabolic disorders. Green tea catechin trials demonstrate heightened plasma antioxidant capacity; EGCG-rich preparations increase ORAC values by nearly 15–25% within 2–6 weeks of intake. Pomegranate extract supplementation (300–600 mg/day) significantly reduces LDL oxidation by up to 40% and elevates </w:t>
      </w:r>
      <w:proofErr w:type="spellStart"/>
      <w:r w:rsidRPr="0094442C">
        <w:rPr>
          <w:rFonts w:ascii="Times New Roman" w:hAnsi="Times New Roman" w:cs="Times New Roman"/>
        </w:rPr>
        <w:t>paraoxonase</w:t>
      </w:r>
      <w:proofErr w:type="spellEnd"/>
      <w:r w:rsidRPr="0094442C">
        <w:rPr>
          <w:rFonts w:ascii="Times New Roman" w:hAnsi="Times New Roman" w:cs="Times New Roman"/>
        </w:rPr>
        <w:t xml:space="preserve"> activity, indicating strong systemic antioxidant effects. Grape seed proanthocyanidin extract demonstrates dose-dependent reductions in oxidative biomarkers among individuals experiencing elevated oxidative load due to lifestyle factors, contributing to improved vascular antioxidant </w:t>
      </w:r>
      <w:r w:rsidR="00930126" w:rsidRPr="0094442C">
        <w:rPr>
          <w:rFonts w:ascii="Times New Roman" w:hAnsi="Times New Roman" w:cs="Times New Roman"/>
        </w:rPr>
        <w:t>defence</w:t>
      </w:r>
      <w:r w:rsidRPr="0094442C">
        <w:rPr>
          <w:rFonts w:ascii="Times New Roman" w:hAnsi="Times New Roman" w:cs="Times New Roman"/>
        </w:rPr>
        <w:t>.</w:t>
      </w:r>
    </w:p>
    <w:p w14:paraId="7F4396E3" w14:textId="62A411AB"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Clinical evaluation of anti-inflammatory efficacy</w:t>
      </w:r>
      <w:r w:rsidRPr="0094442C">
        <w:rPr>
          <w:rFonts w:ascii="Times New Roman" w:hAnsi="Times New Roman" w:cs="Times New Roman"/>
        </w:rPr>
        <w:br/>
        <w:t>Clinical trials involving herbal extracts have consistently shown reductions in inflammatory cytokines and symptomatic relief across chronic conditions</w:t>
      </w:r>
      <w:r w:rsidR="00B364E0">
        <w:rPr>
          <w:rFonts w:ascii="Times New Roman" w:hAnsi="Times New Roman" w:cs="Times New Roman"/>
        </w:rPr>
        <w:t xml:space="preserve"> (Nisar </w:t>
      </w:r>
      <w:r w:rsidR="00B364E0" w:rsidRPr="00B364E0">
        <w:rPr>
          <w:rFonts w:ascii="Times New Roman" w:hAnsi="Times New Roman" w:cs="Times New Roman"/>
          <w:i/>
          <w:iCs/>
        </w:rPr>
        <w:t>et.al.,</w:t>
      </w:r>
      <w:r w:rsidR="00B364E0">
        <w:rPr>
          <w:rFonts w:ascii="Times New Roman" w:hAnsi="Times New Roman" w:cs="Times New Roman"/>
        </w:rPr>
        <w:t xml:space="preserve"> 2023).</w:t>
      </w:r>
      <w:r w:rsidRPr="0094442C">
        <w:rPr>
          <w:rFonts w:ascii="Times New Roman" w:hAnsi="Times New Roman" w:cs="Times New Roman"/>
        </w:rPr>
        <w:t xml:space="preserve"> Curcumin supplementation reduces serum TNF-α, IL-6, and CRP levels by 20–50% in patients with rheumatoid arthritis, metabolic syndrome, and ulcerative colitis. Boswellia serrata extract containing </w:t>
      </w:r>
      <w:proofErr w:type="spellStart"/>
      <w:r w:rsidRPr="0094442C">
        <w:rPr>
          <w:rFonts w:ascii="Times New Roman" w:hAnsi="Times New Roman" w:cs="Times New Roman"/>
        </w:rPr>
        <w:t>boswellic</w:t>
      </w:r>
      <w:proofErr w:type="spellEnd"/>
      <w:r w:rsidRPr="0094442C">
        <w:rPr>
          <w:rFonts w:ascii="Times New Roman" w:hAnsi="Times New Roman" w:cs="Times New Roman"/>
        </w:rPr>
        <w:t xml:space="preserve"> acids yields significant reductions in joint swelling and pain scores, with up to 40–65% improvement in inflammatory markers such as ESR and CRP in osteoarthritis trials. Ginger extract (1–2 g/day) reduces IL-1β and TNF-α levels in subjects with chronic inflammation and produces notable improvement in joint mobility and pain indices across 8–</w:t>
      </w:r>
      <w:proofErr w:type="gramStart"/>
      <w:r w:rsidRPr="0094442C">
        <w:rPr>
          <w:rFonts w:ascii="Times New Roman" w:hAnsi="Times New Roman" w:cs="Times New Roman"/>
        </w:rPr>
        <w:t>12 week</w:t>
      </w:r>
      <w:proofErr w:type="gramEnd"/>
      <w:r w:rsidRPr="0094442C">
        <w:rPr>
          <w:rFonts w:ascii="Times New Roman" w:hAnsi="Times New Roman" w:cs="Times New Roman"/>
        </w:rPr>
        <w:t xml:space="preserve"> supplementation periods. Clinical studies involving </w:t>
      </w:r>
      <w:proofErr w:type="spellStart"/>
      <w:r w:rsidRPr="005857F9">
        <w:rPr>
          <w:rFonts w:ascii="Times New Roman" w:hAnsi="Times New Roman" w:cs="Times New Roman"/>
          <w:i/>
          <w:iCs/>
        </w:rPr>
        <w:t>Withania</w:t>
      </w:r>
      <w:proofErr w:type="spellEnd"/>
      <w:r w:rsidRPr="005857F9">
        <w:rPr>
          <w:rFonts w:ascii="Times New Roman" w:hAnsi="Times New Roman" w:cs="Times New Roman"/>
          <w:i/>
          <w:iCs/>
        </w:rPr>
        <w:t xml:space="preserve"> </w:t>
      </w:r>
      <w:proofErr w:type="spellStart"/>
      <w:r w:rsidRPr="005857F9">
        <w:rPr>
          <w:rFonts w:ascii="Times New Roman" w:hAnsi="Times New Roman" w:cs="Times New Roman"/>
          <w:i/>
          <w:iCs/>
        </w:rPr>
        <w:t>somnifera</w:t>
      </w:r>
      <w:proofErr w:type="spellEnd"/>
      <w:r w:rsidRPr="0094442C">
        <w:rPr>
          <w:rFonts w:ascii="Times New Roman" w:hAnsi="Times New Roman" w:cs="Times New Roman"/>
        </w:rPr>
        <w:t xml:space="preserve"> demonstrate major decreases in </w:t>
      </w:r>
      <w:proofErr w:type="spellStart"/>
      <w:r w:rsidRPr="0094442C">
        <w:rPr>
          <w:rFonts w:ascii="Times New Roman" w:hAnsi="Times New Roman" w:cs="Times New Roman"/>
        </w:rPr>
        <w:t>hs</w:t>
      </w:r>
      <w:proofErr w:type="spellEnd"/>
      <w:r w:rsidRPr="0094442C">
        <w:rPr>
          <w:rFonts w:ascii="Times New Roman" w:hAnsi="Times New Roman" w:cs="Times New Roman"/>
        </w:rPr>
        <w:t>-CRP, cortisol, and pro-inflammatory cytokines among stressed and chronically inflamed individuals, reflecting strong adaptogenic and anti-inflammatory action.</w:t>
      </w:r>
    </w:p>
    <w:p w14:paraId="5F007F85" w14:textId="5B9DBEB7"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Standardization issues in clinical research</w:t>
      </w:r>
      <w:r w:rsidRPr="0094442C">
        <w:rPr>
          <w:rFonts w:ascii="Times New Roman" w:hAnsi="Times New Roman" w:cs="Times New Roman"/>
        </w:rPr>
        <w:br/>
        <w:t>Clinical studies frequently face challenges due to a lack of uniformity in extract preparation, dosage forms, and phytochemical content</w:t>
      </w:r>
      <w:r w:rsidR="00B364E0">
        <w:rPr>
          <w:rFonts w:ascii="Times New Roman" w:hAnsi="Times New Roman" w:cs="Times New Roman"/>
        </w:rPr>
        <w:t xml:space="preserve"> (Kumar </w:t>
      </w:r>
      <w:r w:rsidR="00B364E0" w:rsidRPr="00B364E0">
        <w:rPr>
          <w:rFonts w:ascii="Times New Roman" w:hAnsi="Times New Roman" w:cs="Times New Roman"/>
          <w:i/>
          <w:iCs/>
        </w:rPr>
        <w:t>et.al.,</w:t>
      </w:r>
      <w:r w:rsidR="00B364E0">
        <w:rPr>
          <w:rFonts w:ascii="Times New Roman" w:hAnsi="Times New Roman" w:cs="Times New Roman"/>
        </w:rPr>
        <w:t xml:space="preserve"> 2025). </w:t>
      </w:r>
      <w:r w:rsidRPr="0094442C">
        <w:rPr>
          <w:rFonts w:ascii="Times New Roman" w:hAnsi="Times New Roman" w:cs="Times New Roman"/>
        </w:rPr>
        <w:t>Variability in extraction solvents, plant chemotypes, harvest time, and storage conditions leads to fluctuations in bioactive concentrations, compromising reproducibility. Many herbal products used in trials lack defined marker compounds, making it difficult to establish consistent therapeutic dosing. Analytical variability—including differences in HPLC, LC-MS/MS, and spectroscopic quantification—also contributes to inconsistencies across studies. The absence of harmonized global regulatory standards for herbal formulations limits cross-study comparison. Pharmacokinetic variations resulting from poor solubility or rapid metabolism create further inconsistencies, emphasizing the need for validated standardization protocols and comprehensive chemical profiling prior to clinical application.</w:t>
      </w:r>
    </w:p>
    <w:p w14:paraId="3128F14D" w14:textId="58ED41D8"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Limitations and gaps in existing human studies</w:t>
      </w:r>
      <w:r w:rsidRPr="0094442C">
        <w:rPr>
          <w:rFonts w:ascii="Times New Roman" w:hAnsi="Times New Roman" w:cs="Times New Roman"/>
        </w:rPr>
        <w:br/>
        <w:t xml:space="preserve">Several limitations affect the interpretation of clinical evidence. Many trials employ small sample sizes </w:t>
      </w:r>
      <w:r w:rsidRPr="0094442C">
        <w:rPr>
          <w:rFonts w:ascii="Times New Roman" w:hAnsi="Times New Roman" w:cs="Times New Roman"/>
        </w:rPr>
        <w:lastRenderedPageBreak/>
        <w:t>(often &lt;100 participants), reducing statistical power and generalizability</w:t>
      </w:r>
      <w:r w:rsidR="00B364E0">
        <w:rPr>
          <w:rFonts w:ascii="Times New Roman" w:hAnsi="Times New Roman" w:cs="Times New Roman"/>
        </w:rPr>
        <w:t xml:space="preserve"> (Button </w:t>
      </w:r>
      <w:r w:rsidR="00B364E0" w:rsidRPr="00B364E0">
        <w:rPr>
          <w:rFonts w:ascii="Times New Roman" w:hAnsi="Times New Roman" w:cs="Times New Roman"/>
          <w:i/>
          <w:iCs/>
        </w:rPr>
        <w:t>et.al.,</w:t>
      </w:r>
      <w:r w:rsidR="00B364E0">
        <w:rPr>
          <w:rFonts w:ascii="Times New Roman" w:hAnsi="Times New Roman" w:cs="Times New Roman"/>
        </w:rPr>
        <w:t xml:space="preserve"> 2013). </w:t>
      </w:r>
      <w:r w:rsidRPr="0094442C">
        <w:rPr>
          <w:rFonts w:ascii="Times New Roman" w:hAnsi="Times New Roman" w:cs="Times New Roman"/>
        </w:rPr>
        <w:t xml:space="preserve">Short intervention durations (4–12 weeks) limit understanding of long-term efficacy and safety. Numerous studies fail to control for dietary, lifestyle, and medication interactions that influence oxidative and inflammatory biomarkers. Bioavailability barriers associated with polyphenols and terpenoids restrict reliable translation of preclinical findings to human studies. Heterogeneity in subject populations, disease severity, and trial endpoints leads to inconsistent outcomes. Few trials utilize advanced pharmacokinetic measurements or biomarker panels such as 8-OHdG, </w:t>
      </w:r>
      <w:proofErr w:type="spellStart"/>
      <w:r w:rsidRPr="0094442C">
        <w:rPr>
          <w:rFonts w:ascii="Times New Roman" w:hAnsi="Times New Roman" w:cs="Times New Roman"/>
        </w:rPr>
        <w:t>isoprostanes</w:t>
      </w:r>
      <w:proofErr w:type="spellEnd"/>
      <w:r w:rsidRPr="0094442C">
        <w:rPr>
          <w:rFonts w:ascii="Times New Roman" w:hAnsi="Times New Roman" w:cs="Times New Roman"/>
        </w:rPr>
        <w:t xml:space="preserve">, or cytokine multiplexing, which would provide more accurate insights. These challenges underscore the need for large-scale, </w:t>
      </w:r>
      <w:proofErr w:type="spellStart"/>
      <w:r w:rsidRPr="0094442C">
        <w:rPr>
          <w:rFonts w:ascii="Times New Roman" w:hAnsi="Times New Roman" w:cs="Times New Roman"/>
        </w:rPr>
        <w:t>multicenter</w:t>
      </w:r>
      <w:proofErr w:type="spellEnd"/>
      <w:r w:rsidRPr="0094442C">
        <w:rPr>
          <w:rFonts w:ascii="Times New Roman" w:hAnsi="Times New Roman" w:cs="Times New Roman"/>
        </w:rPr>
        <w:t>, standardized trials supported by robust analytical and pharmacological frameworks.</w:t>
      </w:r>
    </w:p>
    <w:p w14:paraId="69B4AC29" w14:textId="77777777" w:rsidR="0094442C" w:rsidRPr="0094442C" w:rsidRDefault="0094442C" w:rsidP="00E918F8">
      <w:pPr>
        <w:jc w:val="both"/>
        <w:rPr>
          <w:rFonts w:ascii="Times New Roman" w:hAnsi="Times New Roman" w:cs="Times New Roman"/>
        </w:rPr>
      </w:pPr>
      <w:r w:rsidRPr="0094442C">
        <w:rPr>
          <w:rFonts w:ascii="Times New Roman" w:hAnsi="Times New Roman" w:cs="Times New Roman"/>
          <w:b/>
          <w:bCs/>
        </w:rPr>
        <w:t>XI. Safety, Toxicity, and Regulatory Considerations</w:t>
      </w:r>
    </w:p>
    <w:p w14:paraId="533D9735" w14:textId="5F00D54A"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Acute and chronic toxicity assessments</w:t>
      </w:r>
      <w:r w:rsidRPr="0094442C">
        <w:rPr>
          <w:rFonts w:ascii="Times New Roman" w:hAnsi="Times New Roman" w:cs="Times New Roman"/>
        </w:rPr>
        <w:br/>
        <w:t>Toxicity evaluation of herbal extracts is essential to ensure safe therapeutic use</w:t>
      </w:r>
      <w:r w:rsidR="00B364E0">
        <w:rPr>
          <w:rFonts w:ascii="Times New Roman" w:hAnsi="Times New Roman" w:cs="Times New Roman"/>
        </w:rPr>
        <w:t xml:space="preserve"> (Kim </w:t>
      </w:r>
      <w:r w:rsidR="00B364E0" w:rsidRPr="00B364E0">
        <w:rPr>
          <w:rFonts w:ascii="Times New Roman" w:hAnsi="Times New Roman" w:cs="Times New Roman"/>
          <w:i/>
          <w:iCs/>
        </w:rPr>
        <w:t>et.al.,</w:t>
      </w:r>
      <w:r w:rsidR="00B364E0">
        <w:rPr>
          <w:rFonts w:ascii="Times New Roman" w:hAnsi="Times New Roman" w:cs="Times New Roman"/>
        </w:rPr>
        <w:t xml:space="preserve"> 2013). </w:t>
      </w:r>
      <w:r w:rsidRPr="0094442C">
        <w:rPr>
          <w:rFonts w:ascii="Times New Roman" w:hAnsi="Times New Roman" w:cs="Times New Roman"/>
        </w:rPr>
        <w:t xml:space="preserve"> Acute toxicity studies often determine LD₅₀ values, which help classify extracts according to international safety standards. Many commonly used medicinal plant extracts, including Curcuma longa, </w:t>
      </w:r>
      <w:proofErr w:type="spellStart"/>
      <w:r w:rsidRPr="008161B1">
        <w:rPr>
          <w:rFonts w:ascii="Times New Roman" w:hAnsi="Times New Roman" w:cs="Times New Roman"/>
          <w:i/>
          <w:iCs/>
        </w:rPr>
        <w:t>Withania</w:t>
      </w:r>
      <w:proofErr w:type="spellEnd"/>
      <w:r w:rsidRPr="008161B1">
        <w:rPr>
          <w:rFonts w:ascii="Times New Roman" w:hAnsi="Times New Roman" w:cs="Times New Roman"/>
          <w:i/>
          <w:iCs/>
        </w:rPr>
        <w:t xml:space="preserve"> </w:t>
      </w:r>
      <w:proofErr w:type="spellStart"/>
      <w:r w:rsidRPr="008161B1">
        <w:rPr>
          <w:rFonts w:ascii="Times New Roman" w:hAnsi="Times New Roman" w:cs="Times New Roman"/>
          <w:i/>
          <w:iCs/>
        </w:rPr>
        <w:t>somnifera</w:t>
      </w:r>
      <w:proofErr w:type="spellEnd"/>
      <w:r w:rsidRPr="0094442C">
        <w:rPr>
          <w:rFonts w:ascii="Times New Roman" w:hAnsi="Times New Roman" w:cs="Times New Roman"/>
        </w:rPr>
        <w:t xml:space="preserve">, and </w:t>
      </w:r>
      <w:proofErr w:type="spellStart"/>
      <w:r w:rsidRPr="008161B1">
        <w:rPr>
          <w:rFonts w:ascii="Times New Roman" w:hAnsi="Times New Roman" w:cs="Times New Roman"/>
          <w:i/>
          <w:iCs/>
        </w:rPr>
        <w:t>Tinospora</w:t>
      </w:r>
      <w:proofErr w:type="spellEnd"/>
      <w:r w:rsidRPr="008161B1">
        <w:rPr>
          <w:rFonts w:ascii="Times New Roman" w:hAnsi="Times New Roman" w:cs="Times New Roman"/>
          <w:i/>
          <w:iCs/>
        </w:rPr>
        <w:t xml:space="preserve"> cordifolia</w:t>
      </w:r>
      <w:r w:rsidRPr="0094442C">
        <w:rPr>
          <w:rFonts w:ascii="Times New Roman" w:hAnsi="Times New Roman" w:cs="Times New Roman"/>
        </w:rPr>
        <w:t xml:space="preserve">, exhibit LD₅₀ values greater than 2000 mg/kg in rodents, categorizing them as relatively non-toxic. Chronic toxicity assessments, conducted over 28–90 days, reveal long-term organ-specific effects and biochemical alterations. Polyphenol-rich extracts may show </w:t>
      </w:r>
      <w:proofErr w:type="spellStart"/>
      <w:r w:rsidRPr="0094442C">
        <w:rPr>
          <w:rFonts w:ascii="Times New Roman" w:hAnsi="Times New Roman" w:cs="Times New Roman"/>
        </w:rPr>
        <w:t>hormetic</w:t>
      </w:r>
      <w:proofErr w:type="spellEnd"/>
      <w:r w:rsidRPr="0094442C">
        <w:rPr>
          <w:rFonts w:ascii="Times New Roman" w:hAnsi="Times New Roman" w:cs="Times New Roman"/>
        </w:rPr>
        <w:t xml:space="preserve"> responses, where high doses can induce pro-oxidant effects due to auto-oxidation of phenolics and increased ROS generation. Certain alkaloid-containing plants exhibit hepatotoxicity or neurotoxicity at elevated concentrations, necessitating dose standardization. Reproductive toxicity evaluations highlight that extracts like ginseng and ginkgo may influence hormonal pathways or embryo–</w:t>
      </w:r>
      <w:proofErr w:type="spellStart"/>
      <w:r w:rsidRPr="0094442C">
        <w:rPr>
          <w:rFonts w:ascii="Times New Roman" w:hAnsi="Times New Roman" w:cs="Times New Roman"/>
        </w:rPr>
        <w:t>fetal</w:t>
      </w:r>
      <w:proofErr w:type="spellEnd"/>
      <w:r w:rsidRPr="0094442C">
        <w:rPr>
          <w:rFonts w:ascii="Times New Roman" w:hAnsi="Times New Roman" w:cs="Times New Roman"/>
        </w:rPr>
        <w:t xml:space="preserve"> development when consumed at very high doses. These findings emphasize the importance of establishing maximum permissible daily intake values through rigorous laboratory studies.</w:t>
      </w:r>
    </w:p>
    <w:p w14:paraId="7CDE9ED2" w14:textId="7A7948CC"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Herb–drug interactions</w:t>
      </w:r>
      <w:r w:rsidRPr="0094442C">
        <w:rPr>
          <w:rFonts w:ascii="Times New Roman" w:hAnsi="Times New Roman" w:cs="Times New Roman"/>
        </w:rPr>
        <w:br/>
        <w:t>Herbal extracts interact with pharmaceutical drugs by modulating absorption, distribution, metabolism, and excretion (ADME) pathways</w:t>
      </w:r>
      <w:r w:rsidR="00B364E0">
        <w:rPr>
          <w:rFonts w:ascii="Times New Roman" w:hAnsi="Times New Roman" w:cs="Times New Roman"/>
        </w:rPr>
        <w:t xml:space="preserve"> (Li </w:t>
      </w:r>
      <w:r w:rsidR="00B364E0" w:rsidRPr="00B364E0">
        <w:rPr>
          <w:rFonts w:ascii="Times New Roman" w:hAnsi="Times New Roman" w:cs="Times New Roman"/>
          <w:i/>
          <w:iCs/>
        </w:rPr>
        <w:t>et.al.,</w:t>
      </w:r>
      <w:r w:rsidR="00B364E0">
        <w:rPr>
          <w:rFonts w:ascii="Times New Roman" w:hAnsi="Times New Roman" w:cs="Times New Roman"/>
        </w:rPr>
        <w:t xml:space="preserve"> 2022).</w:t>
      </w:r>
      <w:r w:rsidRPr="0094442C">
        <w:rPr>
          <w:rFonts w:ascii="Times New Roman" w:hAnsi="Times New Roman" w:cs="Times New Roman"/>
        </w:rPr>
        <w:t xml:space="preserve"> Key mechanisms include cytochrome P450 (CYP) enzyme modulation, P-glycoprotein (P-</w:t>
      </w:r>
      <w:proofErr w:type="spellStart"/>
      <w:r w:rsidRPr="0094442C">
        <w:rPr>
          <w:rFonts w:ascii="Times New Roman" w:hAnsi="Times New Roman" w:cs="Times New Roman"/>
        </w:rPr>
        <w:t>gp</w:t>
      </w:r>
      <w:proofErr w:type="spellEnd"/>
      <w:r w:rsidRPr="0094442C">
        <w:rPr>
          <w:rFonts w:ascii="Times New Roman" w:hAnsi="Times New Roman" w:cs="Times New Roman"/>
        </w:rPr>
        <w:t>) inhibition or induction, and alteration of drug transporter activity. St. John’s Wort is known to induce CYP3A4 and CYP2C9, reducing plasma concentrations of drugs such as warfarin, cyclosporine, and oral contraceptives. Curcumin and piperine inhibit CYP3A4 and P-</w:t>
      </w:r>
      <w:proofErr w:type="spellStart"/>
      <w:r w:rsidRPr="0094442C">
        <w:rPr>
          <w:rFonts w:ascii="Times New Roman" w:hAnsi="Times New Roman" w:cs="Times New Roman"/>
        </w:rPr>
        <w:t>gp</w:t>
      </w:r>
      <w:proofErr w:type="spellEnd"/>
      <w:r w:rsidRPr="0094442C">
        <w:rPr>
          <w:rFonts w:ascii="Times New Roman" w:hAnsi="Times New Roman" w:cs="Times New Roman"/>
        </w:rPr>
        <w:t>, significantly increasing bioavailability of co-administered drugs, sometimes leading to adverse effects due to elevated systemic exposure. Garlic and ginkgo extracts interact with anticoagulants such as aspirin or warfarin by influencing platelet aggregation and fibrinolysis. Green tea catechins may affect β-blockers and statins by inhibiting hepatic transporters. These interactions highlight the importance of understanding possible synergistic or antagonistic pharmacological outcomes when combining herbal products with conventional medications.</w:t>
      </w:r>
    </w:p>
    <w:p w14:paraId="037FE4F0" w14:textId="35F2CC68"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Global regulatory frameworks</w:t>
      </w:r>
      <w:r w:rsidRPr="0094442C">
        <w:rPr>
          <w:rFonts w:ascii="Times New Roman" w:hAnsi="Times New Roman" w:cs="Times New Roman"/>
        </w:rPr>
        <w:br/>
        <w:t>Regulatory oversight of herbal medicines varies widely across regions</w:t>
      </w:r>
      <w:r w:rsidR="00B364E0">
        <w:rPr>
          <w:rFonts w:ascii="Times New Roman" w:hAnsi="Times New Roman" w:cs="Times New Roman"/>
        </w:rPr>
        <w:t xml:space="preserve"> (Thakkar </w:t>
      </w:r>
      <w:r w:rsidR="00B364E0" w:rsidRPr="00B364E0">
        <w:rPr>
          <w:rFonts w:ascii="Times New Roman" w:hAnsi="Times New Roman" w:cs="Times New Roman"/>
          <w:i/>
          <w:iCs/>
        </w:rPr>
        <w:t>et.al.,</w:t>
      </w:r>
      <w:r w:rsidR="00B364E0">
        <w:rPr>
          <w:rFonts w:ascii="Times New Roman" w:hAnsi="Times New Roman" w:cs="Times New Roman"/>
        </w:rPr>
        <w:t xml:space="preserve"> 2020).</w:t>
      </w:r>
      <w:r w:rsidRPr="0094442C">
        <w:rPr>
          <w:rFonts w:ascii="Times New Roman" w:hAnsi="Times New Roman" w:cs="Times New Roman"/>
        </w:rPr>
        <w:t xml:space="preserve"> The U.S. Food and Drug Administration (FDA) classifies herbal products as dietary supplements under the Dietary Supplement Health and Education Act (DSHEA), requiring manufacturers to ensure safety but not efficacy prior to marketing. Quality concerns arise due to variable phytochemical content and absence of mandatory pre-market approval. The European Medicines Agency (EMA) provides stricter </w:t>
      </w:r>
      <w:r w:rsidRPr="0094442C">
        <w:rPr>
          <w:rFonts w:ascii="Times New Roman" w:hAnsi="Times New Roman" w:cs="Times New Roman"/>
        </w:rPr>
        <w:lastRenderedPageBreak/>
        <w:t xml:space="preserve">guidelines through the Committee on Herbal Medicinal Products (HMPC), allowing registration under “Traditional Herbal Medicinal Product” status, which requires documented historical use and quality control compliance. The WHO guidelines for herbal medicine emphasize standardization, Good Manufacturing Practices (GMP), and appropriate </w:t>
      </w:r>
      <w:r w:rsidR="00574DC7" w:rsidRPr="0094442C">
        <w:rPr>
          <w:rFonts w:ascii="Times New Roman" w:hAnsi="Times New Roman" w:cs="Times New Roman"/>
        </w:rPr>
        <w:t>labelling</w:t>
      </w:r>
      <w:r w:rsidRPr="0094442C">
        <w:rPr>
          <w:rFonts w:ascii="Times New Roman" w:hAnsi="Times New Roman" w:cs="Times New Roman"/>
        </w:rPr>
        <w:t xml:space="preserve"> to prevent adulteration, contamination, and misidentification. Regions in East Asia implement pharmacopeial standards for purity, identity, and active constituent quantification. Despite these frameworks, global harmonization remains inadequate, affecting consistency in quality, safety, and therapeutic claims.</w:t>
      </w:r>
    </w:p>
    <w:p w14:paraId="5C7E8E66" w14:textId="4A0F7A4C"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Need for pharmacovigilance systems</w:t>
      </w:r>
      <w:r w:rsidRPr="0094442C">
        <w:rPr>
          <w:rFonts w:ascii="Times New Roman" w:hAnsi="Times New Roman" w:cs="Times New Roman"/>
        </w:rPr>
        <w:br/>
        <w:t>Herbal medicines, despite traditional use, carry risks of adverse reactions, contamination, adulteration, or incorrect dosing</w:t>
      </w:r>
      <w:r w:rsidR="00B364E0">
        <w:rPr>
          <w:rFonts w:ascii="Times New Roman" w:hAnsi="Times New Roman" w:cs="Times New Roman"/>
        </w:rPr>
        <w:t xml:space="preserve"> (Zhang </w:t>
      </w:r>
      <w:r w:rsidR="00B364E0" w:rsidRPr="00B364E0">
        <w:rPr>
          <w:rFonts w:ascii="Times New Roman" w:hAnsi="Times New Roman" w:cs="Times New Roman"/>
          <w:i/>
          <w:iCs/>
        </w:rPr>
        <w:t>et.al.,</w:t>
      </w:r>
      <w:r w:rsidR="00B364E0">
        <w:rPr>
          <w:rFonts w:ascii="Times New Roman" w:hAnsi="Times New Roman" w:cs="Times New Roman"/>
        </w:rPr>
        <w:t xml:space="preserve"> 2012).</w:t>
      </w:r>
      <w:r w:rsidRPr="0094442C">
        <w:rPr>
          <w:rFonts w:ascii="Times New Roman" w:hAnsi="Times New Roman" w:cs="Times New Roman"/>
        </w:rPr>
        <w:t xml:space="preserve"> Pharmacovigilance systems dedicated to herbal products are essential to monitor post-marketing safety. Adverse event reporting remains low compared with conventional drugs due to perception of “natural equals safe.” Contamination concerns include heavy metals such as lead, cadmium, and arsenic; pesticide residues; microbial contaminants; and adulteration with synthetic pharmaceuticals. Establishing national and international monitoring platforms, integrating hospital-based reporting systems, and developing digital surveillance tools can strengthen safety oversight. DNA barcoding and metabolomics-based authentication help identify adulterants and ensure botanical identity. Strengthened regulatory–clinical linkages support better evaluation of rare adverse events and interactions in real-world settings. A robust pharmacovigilance system will ensure safer integration of herbal medicines into modern healthcare practices.</w:t>
      </w:r>
    </w:p>
    <w:p w14:paraId="0263A68A" w14:textId="77777777" w:rsidR="0094442C" w:rsidRPr="0094442C" w:rsidRDefault="0094442C" w:rsidP="00E918F8">
      <w:pPr>
        <w:jc w:val="both"/>
        <w:rPr>
          <w:rFonts w:ascii="Times New Roman" w:hAnsi="Times New Roman" w:cs="Times New Roman"/>
          <w:b/>
          <w:bCs/>
        </w:rPr>
      </w:pPr>
      <w:r w:rsidRPr="0094442C">
        <w:rPr>
          <w:rFonts w:ascii="Times New Roman" w:hAnsi="Times New Roman" w:cs="Times New Roman"/>
          <w:b/>
          <w:bCs/>
        </w:rPr>
        <w:t>XII. Challenges in Research and Development</w:t>
      </w:r>
    </w:p>
    <w:p w14:paraId="43F8B873" w14:textId="421FBAF9"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Variability in plant material and extraction methods</w:t>
      </w:r>
      <w:r w:rsidRPr="0094442C">
        <w:rPr>
          <w:rFonts w:ascii="Times New Roman" w:hAnsi="Times New Roman" w:cs="Times New Roman"/>
        </w:rPr>
        <w:br/>
        <w:t>Significant variability arises from genetic, environmental, and agronomic factors that alter phytochemical composition across medicinal plant species</w:t>
      </w:r>
      <w:r w:rsidR="00B364E0">
        <w:rPr>
          <w:rFonts w:ascii="Times New Roman" w:hAnsi="Times New Roman" w:cs="Times New Roman"/>
        </w:rPr>
        <w:t xml:space="preserve"> (Dhami </w:t>
      </w:r>
      <w:r w:rsidR="00B364E0" w:rsidRPr="00B364E0">
        <w:rPr>
          <w:rFonts w:ascii="Times New Roman" w:hAnsi="Times New Roman" w:cs="Times New Roman"/>
          <w:i/>
          <w:iCs/>
        </w:rPr>
        <w:t>et.al.,</w:t>
      </w:r>
      <w:r w:rsidR="00B364E0">
        <w:rPr>
          <w:rFonts w:ascii="Times New Roman" w:hAnsi="Times New Roman" w:cs="Times New Roman"/>
        </w:rPr>
        <w:t xml:space="preserve"> 2015).</w:t>
      </w:r>
      <w:r w:rsidRPr="0094442C">
        <w:rPr>
          <w:rFonts w:ascii="Times New Roman" w:hAnsi="Times New Roman" w:cs="Times New Roman"/>
        </w:rPr>
        <w:t xml:space="preserve"> Climate, soil type, harvest season, and post-harvest handling can alter concentrations of key compounds such as curcumin, catechins, </w:t>
      </w:r>
      <w:proofErr w:type="spellStart"/>
      <w:r w:rsidRPr="0094442C">
        <w:rPr>
          <w:rFonts w:ascii="Times New Roman" w:hAnsi="Times New Roman" w:cs="Times New Roman"/>
        </w:rPr>
        <w:t>withanolides</w:t>
      </w:r>
      <w:proofErr w:type="spellEnd"/>
      <w:r w:rsidRPr="0094442C">
        <w:rPr>
          <w:rFonts w:ascii="Times New Roman" w:hAnsi="Times New Roman" w:cs="Times New Roman"/>
        </w:rPr>
        <w:t>, terpenoids, and phenolic acids by nearly 30–80%. Studies reveal that curcumin content in Curcuma longa rhizomes fluctuates between 2–6% depending on genotype and growing region. Extraction techniques such as maceration, Soxhlet, and ultrasound or microwave-assisted extraction produce variable yields due to solvent polarity, extraction time, and temperature, affecting antioxidant and anti-inflammatory activity. Lack of standard protocols leads to inconsistent phytochemical fingerprints, weakening reproducibility and complicating cross-study comparisons.</w:t>
      </w:r>
    </w:p>
    <w:p w14:paraId="37C8F616" w14:textId="320A9C5E"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Low bioavailability of phytochemicals</w:t>
      </w:r>
      <w:r w:rsidRPr="0094442C">
        <w:rPr>
          <w:rFonts w:ascii="Times New Roman" w:hAnsi="Times New Roman" w:cs="Times New Roman"/>
        </w:rPr>
        <w:br/>
        <w:t>Many prominent phytochemicals</w:t>
      </w:r>
      <w:r w:rsidR="00A15B8E">
        <w:rPr>
          <w:rFonts w:ascii="Times New Roman" w:hAnsi="Times New Roman" w:cs="Times New Roman"/>
        </w:rPr>
        <w:t xml:space="preserve"> </w:t>
      </w:r>
      <w:r w:rsidRPr="0094442C">
        <w:rPr>
          <w:rFonts w:ascii="Times New Roman" w:hAnsi="Times New Roman" w:cs="Times New Roman"/>
        </w:rPr>
        <w:t xml:space="preserve">including curcumin, quercetin, resveratrol, and </w:t>
      </w:r>
      <w:proofErr w:type="spellStart"/>
      <w:r w:rsidRPr="0094442C">
        <w:rPr>
          <w:rFonts w:ascii="Times New Roman" w:hAnsi="Times New Roman" w:cs="Times New Roman"/>
        </w:rPr>
        <w:t>boswellic</w:t>
      </w:r>
      <w:proofErr w:type="spellEnd"/>
      <w:r w:rsidRPr="0094442C">
        <w:rPr>
          <w:rFonts w:ascii="Times New Roman" w:hAnsi="Times New Roman" w:cs="Times New Roman"/>
        </w:rPr>
        <w:t xml:space="preserve"> acids</w:t>
      </w:r>
      <w:r w:rsidR="00A15B8E">
        <w:rPr>
          <w:rFonts w:ascii="Times New Roman" w:hAnsi="Times New Roman" w:cs="Times New Roman"/>
        </w:rPr>
        <w:t xml:space="preserve"> </w:t>
      </w:r>
      <w:r w:rsidRPr="0094442C">
        <w:rPr>
          <w:rFonts w:ascii="Times New Roman" w:hAnsi="Times New Roman" w:cs="Times New Roman"/>
        </w:rPr>
        <w:t>exhibit poor oral absorption due to low aqueous solubility, rapid first-pass metabolism, and limited membrane permeability</w:t>
      </w:r>
      <w:r w:rsidR="00B364E0">
        <w:rPr>
          <w:rFonts w:ascii="Times New Roman" w:hAnsi="Times New Roman" w:cs="Times New Roman"/>
        </w:rPr>
        <w:t xml:space="preserve"> (Yang </w:t>
      </w:r>
      <w:r w:rsidR="00B364E0" w:rsidRPr="00B364E0">
        <w:rPr>
          <w:rFonts w:ascii="Times New Roman" w:hAnsi="Times New Roman" w:cs="Times New Roman"/>
          <w:i/>
          <w:iCs/>
        </w:rPr>
        <w:t>et.al.,</w:t>
      </w:r>
      <w:r w:rsidR="00B364E0">
        <w:rPr>
          <w:rFonts w:ascii="Times New Roman" w:hAnsi="Times New Roman" w:cs="Times New Roman"/>
        </w:rPr>
        <w:t xml:space="preserve"> 2020).</w:t>
      </w:r>
      <w:r w:rsidRPr="0094442C">
        <w:rPr>
          <w:rFonts w:ascii="Times New Roman" w:hAnsi="Times New Roman" w:cs="Times New Roman"/>
        </w:rPr>
        <w:t xml:space="preserve"> Oral curcumin shows bioavailability below 1%, with most circulating metabolites detected in conjugated forms rather than free bioactive molecules. Quercetin undergoes rapid glucuronidation and sulfation, resulting in plasma levels typically below 100 ng/mL even after 500 mg dosing. Resveratrol demonstrates a plasma half-life under 14 minutes, greatly limiting sustained biological action. These pharmacokinetic limitations impede translation of promising in vitro data to meaningful in vivo and human outcomes, requiring improved formulation strategies to enhance absorption and systemic retention.</w:t>
      </w:r>
    </w:p>
    <w:p w14:paraId="33958076" w14:textId="5E810721"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Lack of harmonized methodologies</w:t>
      </w:r>
      <w:r w:rsidRPr="0094442C">
        <w:rPr>
          <w:rFonts w:ascii="Times New Roman" w:hAnsi="Times New Roman" w:cs="Times New Roman"/>
        </w:rPr>
        <w:br/>
        <w:t>Analytical and experimental inconsistencies exist across laboratories and research groups</w:t>
      </w:r>
      <w:r w:rsidR="00B364E0">
        <w:rPr>
          <w:rFonts w:ascii="Times New Roman" w:hAnsi="Times New Roman" w:cs="Times New Roman"/>
        </w:rPr>
        <w:t xml:space="preserve"> (Hund </w:t>
      </w:r>
      <w:r w:rsidR="00B364E0" w:rsidRPr="00B364E0">
        <w:rPr>
          <w:rFonts w:ascii="Times New Roman" w:hAnsi="Times New Roman" w:cs="Times New Roman"/>
          <w:i/>
          <w:iCs/>
        </w:rPr>
        <w:t>et.al.,</w:t>
      </w:r>
      <w:r w:rsidR="00B364E0">
        <w:rPr>
          <w:rFonts w:ascii="Times New Roman" w:hAnsi="Times New Roman" w:cs="Times New Roman"/>
        </w:rPr>
        <w:t xml:space="preserve"> </w:t>
      </w:r>
      <w:r w:rsidR="00B364E0">
        <w:rPr>
          <w:rFonts w:ascii="Times New Roman" w:hAnsi="Times New Roman" w:cs="Times New Roman"/>
        </w:rPr>
        <w:lastRenderedPageBreak/>
        <w:t>2000).</w:t>
      </w:r>
      <w:r w:rsidRPr="0094442C">
        <w:rPr>
          <w:rFonts w:ascii="Times New Roman" w:hAnsi="Times New Roman" w:cs="Times New Roman"/>
        </w:rPr>
        <w:t xml:space="preserve"> Differences in chromatographic techniques (HPLC, UPLC, LC-MS/MS), antioxidant assays (DPPH, ABTS, ORAC), and cellular models lead to incomparable findings. Many studies fail to quantify marker compounds or provide complete phytochemical profiles, creating uncertainty regarding active constituents. Absence of standardized reporting formats for extraction protocols, experimental controls, and biological endpoints has been identified as a major barrier to evidence synthesis. Quality variations in raw materials, solvent residues, and storage conditions further contribute to heterogeneity. Harmonized guidelines for antioxidant and anti-inflammatory assays remain limited globally, hindering reproducibility and regulatory acceptance.</w:t>
      </w:r>
    </w:p>
    <w:p w14:paraId="096DF9E0" w14:textId="6B264B67"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Translating laboratory findings to clinical applicability</w:t>
      </w:r>
      <w:r w:rsidRPr="0094442C">
        <w:rPr>
          <w:rFonts w:ascii="Times New Roman" w:hAnsi="Times New Roman" w:cs="Times New Roman"/>
        </w:rPr>
        <w:br/>
        <w:t>Translational challenges arise when transitioning from controlled laboratory environments to human clinical settings. Cell-based assays often employ concentrations far exceeding physiologically achievable levels, limiting their predictive value. Animal models simulate inflammation or oxidative stress through artificial inducers such as LPS, carrageenan, or chemical toxins, which may not reflect human disease complexity. Many clinical studies involve small sample sizes, short durations, inconsistent dosing, or lack of placebo controls, producing mixed or inconclusive results. Bioavailability constraints restrict systemic exposure to active molecules, reducing clinical effectiveness compared with preclinical models. Lack of well-designed randomized controlled trials (RCTs) and limited pharmacokinetic data remain significant barriers to integrating herbal extract-based interventions into mainstream therapeutic frameworks.</w:t>
      </w:r>
    </w:p>
    <w:p w14:paraId="1849C6FE" w14:textId="48CA908D" w:rsidR="0094442C" w:rsidRPr="0094442C" w:rsidRDefault="0094442C" w:rsidP="00E918F8">
      <w:pPr>
        <w:jc w:val="both"/>
        <w:rPr>
          <w:rFonts w:ascii="Times New Roman" w:hAnsi="Times New Roman" w:cs="Times New Roman"/>
          <w:b/>
          <w:bCs/>
        </w:rPr>
      </w:pPr>
      <w:r w:rsidRPr="0094442C">
        <w:rPr>
          <w:rFonts w:ascii="Times New Roman" w:hAnsi="Times New Roman" w:cs="Times New Roman"/>
          <w:b/>
          <w:bCs/>
        </w:rPr>
        <w:t>XIII. Future</w:t>
      </w:r>
    </w:p>
    <w:p w14:paraId="6163AA68" w14:textId="36B2AF90"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Integration of omics technologies</w:t>
      </w:r>
      <w:r w:rsidRPr="0094442C">
        <w:rPr>
          <w:rFonts w:ascii="Times New Roman" w:hAnsi="Times New Roman" w:cs="Times New Roman"/>
        </w:rPr>
        <w:br/>
        <w:t>Omics-based approaches</w:t>
      </w:r>
      <w:r w:rsidR="00A15B8E">
        <w:rPr>
          <w:rFonts w:ascii="Times New Roman" w:hAnsi="Times New Roman" w:cs="Times New Roman"/>
        </w:rPr>
        <w:t xml:space="preserve"> </w:t>
      </w:r>
      <w:r w:rsidRPr="0094442C">
        <w:rPr>
          <w:rFonts w:ascii="Times New Roman" w:hAnsi="Times New Roman" w:cs="Times New Roman"/>
        </w:rPr>
        <w:t xml:space="preserve">including genomics, transcriptomics, proteomics, metabolomics, and </w:t>
      </w:r>
      <w:proofErr w:type="spellStart"/>
      <w:r w:rsidRPr="0094442C">
        <w:rPr>
          <w:rFonts w:ascii="Times New Roman" w:hAnsi="Times New Roman" w:cs="Times New Roman"/>
        </w:rPr>
        <w:t>interactomics</w:t>
      </w:r>
      <w:proofErr w:type="spellEnd"/>
      <w:r w:rsidR="00A15B8E">
        <w:rPr>
          <w:rFonts w:ascii="Times New Roman" w:hAnsi="Times New Roman" w:cs="Times New Roman"/>
        </w:rPr>
        <w:t xml:space="preserve"> </w:t>
      </w:r>
      <w:r w:rsidRPr="0094442C">
        <w:rPr>
          <w:rFonts w:ascii="Times New Roman" w:hAnsi="Times New Roman" w:cs="Times New Roman"/>
        </w:rPr>
        <w:t>are transforming phytopharmacology</w:t>
      </w:r>
      <w:r w:rsidR="00B364E0">
        <w:rPr>
          <w:rFonts w:ascii="Times New Roman" w:hAnsi="Times New Roman" w:cs="Times New Roman"/>
        </w:rPr>
        <w:t xml:space="preserve"> (Sahana </w:t>
      </w:r>
      <w:r w:rsidR="00B364E0" w:rsidRPr="00B364E0">
        <w:rPr>
          <w:rFonts w:ascii="Times New Roman" w:hAnsi="Times New Roman" w:cs="Times New Roman"/>
          <w:i/>
          <w:iCs/>
        </w:rPr>
        <w:t>et.al.,</w:t>
      </w:r>
      <w:r w:rsidR="00B364E0">
        <w:rPr>
          <w:rFonts w:ascii="Times New Roman" w:hAnsi="Times New Roman" w:cs="Times New Roman"/>
        </w:rPr>
        <w:t xml:space="preserve"> 2025).</w:t>
      </w:r>
      <w:r w:rsidRPr="0094442C">
        <w:rPr>
          <w:rFonts w:ascii="Times New Roman" w:hAnsi="Times New Roman" w:cs="Times New Roman"/>
        </w:rPr>
        <w:t xml:space="preserve"> Metabolomics enables simultaneous profiling of thousands of metabolites, supporting identification of new antioxidant and anti-inflammatory compounds and enabling precise chemotaxonomic classification. Transcriptomic analyses help reveal stress-induced biosynthetic pathways controlling phenolic, terpenoid, and alkaloid production, guiding breeding strategies for phytochemical-rich cultivars. Proteomics advances are uncovering protein targets modulated by herbal compounds, improving mechanistic insight. Multi-omics integration enhances understanding of complex phytochemical interactions and strengthens the evidence base for developing standardized and bioactive-rich formulations.</w:t>
      </w:r>
    </w:p>
    <w:p w14:paraId="478D3118" w14:textId="73CDC06E"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Advances in AI-driven phytochemical discovery</w:t>
      </w:r>
      <w:r w:rsidRPr="0094442C">
        <w:rPr>
          <w:rFonts w:ascii="Times New Roman" w:hAnsi="Times New Roman" w:cs="Times New Roman"/>
        </w:rPr>
        <w:br/>
        <w:t>Artificial intelligence tools</w:t>
      </w:r>
      <w:r w:rsidR="00A15B8E">
        <w:rPr>
          <w:rFonts w:ascii="Times New Roman" w:hAnsi="Times New Roman" w:cs="Times New Roman"/>
        </w:rPr>
        <w:t xml:space="preserve"> </w:t>
      </w:r>
      <w:r w:rsidRPr="0094442C">
        <w:rPr>
          <w:rFonts w:ascii="Times New Roman" w:hAnsi="Times New Roman" w:cs="Times New Roman"/>
        </w:rPr>
        <w:t xml:space="preserve">machine learning, deep learning, and predictive </w:t>
      </w:r>
      <w:r w:rsidR="00A15B8E">
        <w:rPr>
          <w:rFonts w:ascii="Times New Roman" w:hAnsi="Times New Roman" w:cs="Times New Roman"/>
        </w:rPr>
        <w:t xml:space="preserve">modelling </w:t>
      </w:r>
      <w:r w:rsidRPr="0094442C">
        <w:rPr>
          <w:rFonts w:ascii="Times New Roman" w:hAnsi="Times New Roman" w:cs="Times New Roman"/>
        </w:rPr>
        <w:t xml:space="preserve">are accelerating natural product research. AI-based compound screening can </w:t>
      </w:r>
      <w:proofErr w:type="spellStart"/>
      <w:r w:rsidRPr="0094442C">
        <w:rPr>
          <w:rFonts w:ascii="Times New Roman" w:hAnsi="Times New Roman" w:cs="Times New Roman"/>
        </w:rPr>
        <w:t>analyze</w:t>
      </w:r>
      <w:proofErr w:type="spellEnd"/>
      <w:r w:rsidRPr="0094442C">
        <w:rPr>
          <w:rFonts w:ascii="Times New Roman" w:hAnsi="Times New Roman" w:cs="Times New Roman"/>
        </w:rPr>
        <w:t xml:space="preserve"> massive chemical libraries to identify natural molecules with high antioxidant or anti-inflammatory potential. Machine-learning models predict molecular docking affinities, structure–activity relationships, and metabolic transformations of phytochemicals. Natural language processing (NLP) algorithms help mine global literature, identifying underexplored medicinal plants and synergistic molecule combinations. AI-enhanced spectral interpretation accelerates metabolomics and MS/MS-based compound annotation, reducing discovery timelines and enabling rapid development of optimized formulations.</w:t>
      </w:r>
    </w:p>
    <w:p w14:paraId="0EA15358" w14:textId="68854FF0"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Scope for personalized herbal therapeutics</w:t>
      </w:r>
      <w:r w:rsidRPr="0094442C">
        <w:rPr>
          <w:rFonts w:ascii="Times New Roman" w:hAnsi="Times New Roman" w:cs="Times New Roman"/>
        </w:rPr>
        <w:br/>
        <w:t>Growing understanding of interindividual variability in genetics, gut microbiome composition, metabolic pathways, and disease susceptibility supports the emergence of personalized herbal medicine</w:t>
      </w:r>
      <w:r w:rsidR="00B364E0">
        <w:rPr>
          <w:rFonts w:ascii="Times New Roman" w:hAnsi="Times New Roman" w:cs="Times New Roman"/>
        </w:rPr>
        <w:t xml:space="preserve"> </w:t>
      </w:r>
      <w:r w:rsidR="00B364E0">
        <w:rPr>
          <w:rFonts w:ascii="Times New Roman" w:hAnsi="Times New Roman" w:cs="Times New Roman"/>
        </w:rPr>
        <w:lastRenderedPageBreak/>
        <w:t xml:space="preserve">(Chen </w:t>
      </w:r>
      <w:r w:rsidR="00B364E0" w:rsidRPr="00B364E0">
        <w:rPr>
          <w:rFonts w:ascii="Times New Roman" w:hAnsi="Times New Roman" w:cs="Times New Roman"/>
          <w:i/>
          <w:iCs/>
        </w:rPr>
        <w:t>et.al.,</w:t>
      </w:r>
      <w:r w:rsidR="00B364E0">
        <w:rPr>
          <w:rFonts w:ascii="Times New Roman" w:hAnsi="Times New Roman" w:cs="Times New Roman"/>
        </w:rPr>
        <w:t xml:space="preserve"> 2022).</w:t>
      </w:r>
      <w:r w:rsidRPr="0094442C">
        <w:rPr>
          <w:rFonts w:ascii="Times New Roman" w:hAnsi="Times New Roman" w:cs="Times New Roman"/>
        </w:rPr>
        <w:t xml:space="preserve"> Variations in CYP450 genotypes influence metabolism of polyphenols and alkaloids, determining therapeutic outcomes and potential toxicity. Gut microbiota composition modulates bioavailability and transformation of ellagitannins, flavonoids, and ginsenosides, altering clinical responses. Personalized phytotherapy using multi-omics data, digital health monitoring, and pharmacogenomic profiling could enable targeted treatment regimens with optimized dosing, improved safety, and enhanced therapeutic precision. This approach holds promise for integrating herbal extracts into precision medicine frameworks.</w:t>
      </w:r>
    </w:p>
    <w:p w14:paraId="5E07007A" w14:textId="5635ABC9" w:rsidR="0094442C" w:rsidRPr="0094442C" w:rsidRDefault="0094442C" w:rsidP="00E918F8">
      <w:pPr>
        <w:jc w:val="both"/>
        <w:rPr>
          <w:rFonts w:ascii="Times New Roman" w:hAnsi="Times New Roman" w:cs="Times New Roman"/>
        </w:rPr>
      </w:pPr>
      <w:r w:rsidRPr="0094442C">
        <w:rPr>
          <w:rFonts w:ascii="Times New Roman" w:hAnsi="Times New Roman" w:cs="Times New Roman"/>
          <w:i/>
          <w:iCs/>
        </w:rPr>
        <w:t>Potential for global nutraceutical and pharmaceutical markets</w:t>
      </w:r>
      <w:r w:rsidRPr="0094442C">
        <w:rPr>
          <w:rFonts w:ascii="Times New Roman" w:hAnsi="Times New Roman" w:cs="Times New Roman"/>
        </w:rPr>
        <w:br/>
        <w:t>Global interest in plant-based antioxidants and anti-inflammatory agents continues to rise, supported by consumer demand for natural, preventive, and functional health products</w:t>
      </w:r>
      <w:r w:rsidR="00B364E0">
        <w:rPr>
          <w:rFonts w:ascii="Times New Roman" w:hAnsi="Times New Roman" w:cs="Times New Roman"/>
        </w:rPr>
        <w:t xml:space="preserve"> (Halder </w:t>
      </w:r>
      <w:r w:rsidR="00B364E0" w:rsidRPr="00B364E0">
        <w:rPr>
          <w:rFonts w:ascii="Times New Roman" w:hAnsi="Times New Roman" w:cs="Times New Roman"/>
          <w:i/>
          <w:iCs/>
        </w:rPr>
        <w:t>et.al.,</w:t>
      </w:r>
      <w:r w:rsidR="00B364E0">
        <w:rPr>
          <w:rFonts w:ascii="Times New Roman" w:hAnsi="Times New Roman" w:cs="Times New Roman"/>
        </w:rPr>
        <w:t xml:space="preserve"> 2021).</w:t>
      </w:r>
      <w:r w:rsidRPr="0094442C">
        <w:rPr>
          <w:rFonts w:ascii="Times New Roman" w:hAnsi="Times New Roman" w:cs="Times New Roman"/>
        </w:rPr>
        <w:t xml:space="preserve"> The global herbal medicine and nutraceutical market is projected to surpass USD 550–600 billion by 2030, driven by increasing chronic disease prevalence, aging populations, and scientific validation of herbal efficacy. Pharmaceutical industries are exploring botanical drug development, with several standardized extracts already approved in global markets. Advances in </w:t>
      </w:r>
      <w:proofErr w:type="spellStart"/>
      <w:r w:rsidRPr="0094442C">
        <w:rPr>
          <w:rFonts w:ascii="Times New Roman" w:hAnsi="Times New Roman" w:cs="Times New Roman"/>
        </w:rPr>
        <w:t>nanoformulation</w:t>
      </w:r>
      <w:proofErr w:type="spellEnd"/>
      <w:r w:rsidRPr="0094442C">
        <w:rPr>
          <w:rFonts w:ascii="Times New Roman" w:hAnsi="Times New Roman" w:cs="Times New Roman"/>
        </w:rPr>
        <w:t xml:space="preserve">, </w:t>
      </w:r>
      <w:proofErr w:type="spellStart"/>
      <w:r w:rsidRPr="0094442C">
        <w:rPr>
          <w:rFonts w:ascii="Times New Roman" w:hAnsi="Times New Roman" w:cs="Times New Roman"/>
        </w:rPr>
        <w:t>bioenhancement</w:t>
      </w:r>
      <w:proofErr w:type="spellEnd"/>
      <w:r w:rsidRPr="0094442C">
        <w:rPr>
          <w:rFonts w:ascii="Times New Roman" w:hAnsi="Times New Roman" w:cs="Times New Roman"/>
        </w:rPr>
        <w:t>, and regulatory standardization are expected to accelerate commercialization of herbal molecules with clinically validated therapeutic profiles. Integration of biotechnology, sustainable cultivation, and green extraction systems will support scalable production of high-purity phytochemicals, expanding their role in global health markets.</w:t>
      </w:r>
    </w:p>
    <w:p w14:paraId="11A33462" w14:textId="77777777" w:rsidR="00A15B8E" w:rsidRDefault="00EA53C6" w:rsidP="00E918F8">
      <w:pPr>
        <w:jc w:val="both"/>
        <w:rPr>
          <w:rFonts w:ascii="Times New Roman" w:hAnsi="Times New Roman" w:cs="Times New Roman"/>
          <w:b/>
          <w:bCs/>
        </w:rPr>
      </w:pPr>
      <w:r w:rsidRPr="00EA53C6">
        <w:rPr>
          <w:rFonts w:ascii="Times New Roman" w:hAnsi="Times New Roman" w:cs="Times New Roman"/>
          <w:b/>
          <w:bCs/>
        </w:rPr>
        <w:t>Conclusion</w:t>
      </w:r>
    </w:p>
    <w:p w14:paraId="3BA500E6" w14:textId="3D1D4A86" w:rsidR="00EA53C6" w:rsidRPr="00EA53C6" w:rsidRDefault="0094442C" w:rsidP="00E918F8">
      <w:pPr>
        <w:jc w:val="both"/>
        <w:rPr>
          <w:rFonts w:ascii="Times New Roman" w:hAnsi="Times New Roman" w:cs="Times New Roman"/>
        </w:rPr>
      </w:pPr>
      <w:r w:rsidRPr="00661FD7">
        <w:rPr>
          <w:rFonts w:ascii="Times New Roman" w:hAnsi="Times New Roman" w:cs="Times New Roman"/>
        </w:rPr>
        <w:t xml:space="preserve">The collective evidence demonstrates that herbal extracts possess strong antioxidant and anti-inflammatory properties driven by diverse phytochemicals such as polyphenols, terpenoids, alkaloids, and polysaccharides, which modulate oxidative pathways, suppress inflammatory mediators, and enhance endogenous </w:t>
      </w:r>
      <w:proofErr w:type="spellStart"/>
      <w:r w:rsidRPr="00661FD7">
        <w:rPr>
          <w:rFonts w:ascii="Times New Roman" w:hAnsi="Times New Roman" w:cs="Times New Roman"/>
        </w:rPr>
        <w:t>defense</w:t>
      </w:r>
      <w:proofErr w:type="spellEnd"/>
      <w:r w:rsidRPr="00661FD7">
        <w:rPr>
          <w:rFonts w:ascii="Times New Roman" w:hAnsi="Times New Roman" w:cs="Times New Roman"/>
        </w:rPr>
        <w:t xml:space="preserve"> systems. Advances in extraction technologies, analytical tools, and </w:t>
      </w:r>
      <w:proofErr w:type="spellStart"/>
      <w:r w:rsidRPr="00661FD7">
        <w:rPr>
          <w:rFonts w:ascii="Times New Roman" w:hAnsi="Times New Roman" w:cs="Times New Roman"/>
        </w:rPr>
        <w:t>nanoformulations</w:t>
      </w:r>
      <w:proofErr w:type="spellEnd"/>
      <w:r w:rsidRPr="00661FD7">
        <w:rPr>
          <w:rFonts w:ascii="Times New Roman" w:hAnsi="Times New Roman" w:cs="Times New Roman"/>
        </w:rPr>
        <w:t xml:space="preserve"> have improved compound stability, bioavailability, and therapeutic performance, strengthening their biomedical relevance. Clinical studies support beneficial effects on oxidative biomarkers, cytokine regulation, and symptom reduction, although challenges such as phytochemical variability, inconsistent methodologies, and limited long-term human trials remain significant barriers. Integrating omics technologies, AI-assisted discovery, and personalized phytotherapy approaches offers promising directions for future research. Overall, herbal extracts represent a valuable reservoir for developing effective antioxidant and anti-inflammatory therapeutics with broad translational potential.</w:t>
      </w:r>
    </w:p>
    <w:p w14:paraId="15BD3A48" w14:textId="25464730" w:rsidR="00D46A56" w:rsidRDefault="00D46A56" w:rsidP="00D46A56">
      <w:pPr>
        <w:rPr>
          <w:rFonts w:ascii="Times New Roman" w:hAnsi="Times New Roman" w:cs="Times New Roman"/>
          <w:b/>
          <w:bCs/>
        </w:rPr>
      </w:pPr>
      <w:r w:rsidRPr="00D46A56">
        <w:rPr>
          <w:rFonts w:ascii="Times New Roman" w:hAnsi="Times New Roman" w:cs="Times New Roman"/>
          <w:b/>
          <w:bCs/>
        </w:rPr>
        <w:t xml:space="preserve">References </w:t>
      </w:r>
    </w:p>
    <w:p w14:paraId="3D613251" w14:textId="781D5810" w:rsidR="00B364E0" w:rsidRPr="00D22B78" w:rsidRDefault="00B364E0" w:rsidP="00F84336">
      <w:pPr>
        <w:pStyle w:val="ListParagraph"/>
        <w:numPr>
          <w:ilvl w:val="0"/>
          <w:numId w:val="1"/>
        </w:numPr>
        <w:jc w:val="both"/>
        <w:rPr>
          <w:rFonts w:ascii="Times New Roman" w:hAnsi="Times New Roman" w:cs="Times New Roman"/>
        </w:rPr>
      </w:pPr>
      <w:proofErr w:type="spellStart"/>
      <w:r w:rsidRPr="00D22B78">
        <w:rPr>
          <w:rFonts w:ascii="Times New Roman" w:hAnsi="Times New Roman" w:cs="Times New Roman"/>
        </w:rPr>
        <w:t>Leyane</w:t>
      </w:r>
      <w:proofErr w:type="spellEnd"/>
      <w:r w:rsidRPr="00D22B78">
        <w:rPr>
          <w:rFonts w:ascii="Times New Roman" w:hAnsi="Times New Roman" w:cs="Times New Roman"/>
        </w:rPr>
        <w:t>, T. S., Jere, S. W., &amp; Houreld, N. N. (2022). Oxidative stress in ageing and chronic degenerative pathologies: molecular mechanisms involved in counteracting oxidative stress and chronic inflammation. </w:t>
      </w:r>
      <w:r w:rsidRPr="00D22B78">
        <w:rPr>
          <w:rFonts w:ascii="Times New Roman" w:hAnsi="Times New Roman" w:cs="Times New Roman"/>
          <w:i/>
          <w:iCs/>
        </w:rPr>
        <w:t>International journal of molecular sciences</w:t>
      </w:r>
      <w:r w:rsidRPr="00D22B78">
        <w:rPr>
          <w:rFonts w:ascii="Times New Roman" w:hAnsi="Times New Roman" w:cs="Times New Roman"/>
        </w:rPr>
        <w:t>, </w:t>
      </w:r>
      <w:r w:rsidRPr="00D22B78">
        <w:rPr>
          <w:rFonts w:ascii="Times New Roman" w:hAnsi="Times New Roman" w:cs="Times New Roman"/>
          <w:i/>
          <w:iCs/>
        </w:rPr>
        <w:t>23</w:t>
      </w:r>
      <w:r w:rsidRPr="00D22B78">
        <w:rPr>
          <w:rFonts w:ascii="Times New Roman" w:hAnsi="Times New Roman" w:cs="Times New Roman"/>
        </w:rPr>
        <w:t>(13), 7273.</w:t>
      </w:r>
      <w:r w:rsidR="00F46659">
        <w:rPr>
          <w:rFonts w:ascii="Times New Roman" w:hAnsi="Times New Roman" w:cs="Times New Roman"/>
        </w:rPr>
        <w:t xml:space="preserve"> </w:t>
      </w:r>
      <w:hyperlink r:id="rId8" w:history="1">
        <w:r w:rsidR="00A6297D" w:rsidRPr="006F7967">
          <w:rPr>
            <w:rStyle w:val="Hyperlink"/>
            <w:rFonts w:ascii="Times New Roman" w:hAnsi="Times New Roman" w:cs="Times New Roman"/>
          </w:rPr>
          <w:t>https://doi.org/10.3390/ijms23137273</w:t>
        </w:r>
      </w:hyperlink>
      <w:r w:rsidR="00A6297D">
        <w:rPr>
          <w:rFonts w:ascii="Times New Roman" w:hAnsi="Times New Roman" w:cs="Times New Roman"/>
        </w:rPr>
        <w:t xml:space="preserve"> </w:t>
      </w:r>
      <w:r w:rsidR="002A5FA5">
        <w:rPr>
          <w:rFonts w:ascii="Times New Roman" w:hAnsi="Times New Roman" w:cs="Times New Roman"/>
        </w:rPr>
        <w:t xml:space="preserve"> </w:t>
      </w:r>
    </w:p>
    <w:p w14:paraId="54D41701" w14:textId="1E8DE9DE"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Anwar, M. A., Sayed, G. A., Hal, D. M., Hafeez, M. S. A. E., Shatat, A. A. S., Salman, A., ... &amp; Aly, S. H. (2025). Herbal remedies for oral and dental health: a comprehensive review of their multifaceted mechanisms including antimicrobial, anti-inflammatory, and antioxidant pathways. </w:t>
      </w:r>
      <w:proofErr w:type="spellStart"/>
      <w:r w:rsidRPr="00D22B78">
        <w:rPr>
          <w:rFonts w:ascii="Times New Roman" w:hAnsi="Times New Roman" w:cs="Times New Roman"/>
          <w:i/>
          <w:iCs/>
        </w:rPr>
        <w:t>Inflammopharmacology</w:t>
      </w:r>
      <w:proofErr w:type="spellEnd"/>
      <w:r w:rsidRPr="00D22B78">
        <w:rPr>
          <w:rFonts w:ascii="Times New Roman" w:hAnsi="Times New Roman" w:cs="Times New Roman"/>
        </w:rPr>
        <w:t>, </w:t>
      </w:r>
      <w:r w:rsidRPr="00D22B78">
        <w:rPr>
          <w:rFonts w:ascii="Times New Roman" w:hAnsi="Times New Roman" w:cs="Times New Roman"/>
          <w:i/>
          <w:iCs/>
        </w:rPr>
        <w:t>33</w:t>
      </w:r>
      <w:r w:rsidRPr="00D22B78">
        <w:rPr>
          <w:rFonts w:ascii="Times New Roman" w:hAnsi="Times New Roman" w:cs="Times New Roman"/>
        </w:rPr>
        <w:t>(3), 1085-1160.</w:t>
      </w:r>
      <w:r w:rsidR="002A5FA5">
        <w:rPr>
          <w:rFonts w:ascii="Times New Roman" w:hAnsi="Times New Roman" w:cs="Times New Roman"/>
        </w:rPr>
        <w:t xml:space="preserve"> </w:t>
      </w:r>
      <w:hyperlink r:id="rId9" w:history="1">
        <w:r w:rsidR="0076754C" w:rsidRPr="006F7967">
          <w:rPr>
            <w:rStyle w:val="Hyperlink"/>
            <w:rFonts w:ascii="Times New Roman" w:hAnsi="Times New Roman" w:cs="Times New Roman"/>
          </w:rPr>
          <w:t>https://doi.org/10.1007/s10787-024-01631-8</w:t>
        </w:r>
      </w:hyperlink>
      <w:r w:rsidR="0076754C">
        <w:rPr>
          <w:rFonts w:ascii="Times New Roman" w:hAnsi="Times New Roman" w:cs="Times New Roman"/>
        </w:rPr>
        <w:t xml:space="preserve"> </w:t>
      </w:r>
    </w:p>
    <w:p w14:paraId="67836970" w14:textId="4F9D45F0"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lastRenderedPageBreak/>
        <w:t xml:space="preserve">Jomova, K., Raptova, R., Alomar, S. Y., Alwasel, S. H., Nepovimova, E., Kuca, K., &amp; Valko, M. (2023). </w:t>
      </w:r>
      <w:r w:rsidRPr="00D22B78">
        <w:rPr>
          <w:rFonts w:ascii="Times New Roman" w:hAnsi="Times New Roman" w:cs="Times New Roman"/>
        </w:rPr>
        <w:t>Reactive oxygen species, toxicity, oxidative stress, and antioxidants: chronic diseases and aging. </w:t>
      </w:r>
      <w:r w:rsidRPr="00D22B78">
        <w:rPr>
          <w:rFonts w:ascii="Times New Roman" w:hAnsi="Times New Roman" w:cs="Times New Roman"/>
          <w:i/>
          <w:iCs/>
        </w:rPr>
        <w:t>Archives of toxicology</w:t>
      </w:r>
      <w:r w:rsidRPr="00D22B78">
        <w:rPr>
          <w:rFonts w:ascii="Times New Roman" w:hAnsi="Times New Roman" w:cs="Times New Roman"/>
        </w:rPr>
        <w:t>, </w:t>
      </w:r>
      <w:r w:rsidRPr="00D22B78">
        <w:rPr>
          <w:rFonts w:ascii="Times New Roman" w:hAnsi="Times New Roman" w:cs="Times New Roman"/>
          <w:i/>
          <w:iCs/>
        </w:rPr>
        <w:t>97</w:t>
      </w:r>
      <w:r w:rsidRPr="00D22B78">
        <w:rPr>
          <w:rFonts w:ascii="Times New Roman" w:hAnsi="Times New Roman" w:cs="Times New Roman"/>
        </w:rPr>
        <w:t>(10), 2499-2574.</w:t>
      </w:r>
      <w:r w:rsidR="0076754C">
        <w:rPr>
          <w:rFonts w:ascii="Times New Roman" w:hAnsi="Times New Roman" w:cs="Times New Roman"/>
        </w:rPr>
        <w:t xml:space="preserve"> </w:t>
      </w:r>
      <w:hyperlink r:id="rId10" w:history="1">
        <w:r w:rsidR="0076754C" w:rsidRPr="006F7967">
          <w:rPr>
            <w:rStyle w:val="Hyperlink"/>
            <w:rFonts w:ascii="Times New Roman" w:hAnsi="Times New Roman" w:cs="Times New Roman"/>
          </w:rPr>
          <w:t>https://doi.org/10.1007/s00204-023-03562-9</w:t>
        </w:r>
      </w:hyperlink>
      <w:r w:rsidR="0076754C">
        <w:rPr>
          <w:rFonts w:ascii="Times New Roman" w:hAnsi="Times New Roman" w:cs="Times New Roman"/>
        </w:rPr>
        <w:t xml:space="preserve"> </w:t>
      </w:r>
    </w:p>
    <w:p w14:paraId="3770D2FE" w14:textId="3FB2B7EF" w:rsidR="00B364E0" w:rsidRPr="00D22B78" w:rsidRDefault="00B364E0" w:rsidP="00F84336">
      <w:pPr>
        <w:pStyle w:val="ListParagraph"/>
        <w:numPr>
          <w:ilvl w:val="0"/>
          <w:numId w:val="1"/>
        </w:numPr>
        <w:jc w:val="both"/>
        <w:rPr>
          <w:rFonts w:ascii="Times New Roman" w:hAnsi="Times New Roman" w:cs="Times New Roman"/>
        </w:rPr>
      </w:pPr>
      <w:proofErr w:type="spellStart"/>
      <w:r w:rsidRPr="00D22B78">
        <w:rPr>
          <w:rFonts w:ascii="Times New Roman" w:hAnsi="Times New Roman" w:cs="Times New Roman"/>
        </w:rPr>
        <w:t>Irato</w:t>
      </w:r>
      <w:proofErr w:type="spellEnd"/>
      <w:r w:rsidRPr="00D22B78">
        <w:rPr>
          <w:rFonts w:ascii="Times New Roman" w:hAnsi="Times New Roman" w:cs="Times New Roman"/>
        </w:rPr>
        <w:t xml:space="preserve">, P., &amp; </w:t>
      </w:r>
      <w:proofErr w:type="spellStart"/>
      <w:r w:rsidRPr="00D22B78">
        <w:rPr>
          <w:rFonts w:ascii="Times New Roman" w:hAnsi="Times New Roman" w:cs="Times New Roman"/>
        </w:rPr>
        <w:t>Santovito</w:t>
      </w:r>
      <w:proofErr w:type="spellEnd"/>
      <w:r w:rsidRPr="00D22B78">
        <w:rPr>
          <w:rFonts w:ascii="Times New Roman" w:hAnsi="Times New Roman" w:cs="Times New Roman"/>
        </w:rPr>
        <w:t>, G. (2021). Enzymatic and non-enzymatic molecules with antioxidant function. </w:t>
      </w:r>
      <w:r w:rsidRPr="00D22B78">
        <w:rPr>
          <w:rFonts w:ascii="Times New Roman" w:hAnsi="Times New Roman" w:cs="Times New Roman"/>
          <w:i/>
          <w:iCs/>
        </w:rPr>
        <w:t>Antioxidants</w:t>
      </w:r>
      <w:r w:rsidRPr="00D22B78">
        <w:rPr>
          <w:rFonts w:ascii="Times New Roman" w:hAnsi="Times New Roman" w:cs="Times New Roman"/>
        </w:rPr>
        <w:t>, </w:t>
      </w:r>
      <w:r w:rsidRPr="00D22B78">
        <w:rPr>
          <w:rFonts w:ascii="Times New Roman" w:hAnsi="Times New Roman" w:cs="Times New Roman"/>
          <w:i/>
          <w:iCs/>
        </w:rPr>
        <w:t>10</w:t>
      </w:r>
      <w:r w:rsidRPr="00D22B78">
        <w:rPr>
          <w:rFonts w:ascii="Times New Roman" w:hAnsi="Times New Roman" w:cs="Times New Roman"/>
        </w:rPr>
        <w:t>(4), 579.</w:t>
      </w:r>
      <w:r w:rsidR="0076754C">
        <w:rPr>
          <w:rFonts w:ascii="Times New Roman" w:hAnsi="Times New Roman" w:cs="Times New Roman"/>
        </w:rPr>
        <w:t xml:space="preserve"> </w:t>
      </w:r>
      <w:hyperlink r:id="rId11" w:history="1">
        <w:r w:rsidR="0076754C" w:rsidRPr="006F7967">
          <w:rPr>
            <w:rStyle w:val="Hyperlink"/>
            <w:rFonts w:ascii="Times New Roman" w:hAnsi="Times New Roman" w:cs="Times New Roman"/>
          </w:rPr>
          <w:t>https://doi.org/10.3390/antiox10040579</w:t>
        </w:r>
      </w:hyperlink>
      <w:r w:rsidR="0076754C">
        <w:rPr>
          <w:rFonts w:ascii="Times New Roman" w:hAnsi="Times New Roman" w:cs="Times New Roman"/>
        </w:rPr>
        <w:t xml:space="preserve"> </w:t>
      </w:r>
    </w:p>
    <w:p w14:paraId="7E5B23ED" w14:textId="326900B4"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Kim, E. K., &amp; Choi, E. J. (2010). Pathological roles of MAPK </w:t>
      </w:r>
      <w:proofErr w:type="spellStart"/>
      <w:r w:rsidRPr="00D22B78">
        <w:rPr>
          <w:rFonts w:ascii="Times New Roman" w:hAnsi="Times New Roman" w:cs="Times New Roman"/>
        </w:rPr>
        <w:t>signaling</w:t>
      </w:r>
      <w:proofErr w:type="spellEnd"/>
      <w:r w:rsidRPr="00D22B78">
        <w:rPr>
          <w:rFonts w:ascii="Times New Roman" w:hAnsi="Times New Roman" w:cs="Times New Roman"/>
        </w:rPr>
        <w:t xml:space="preserve"> pathways in human diseases. </w:t>
      </w:r>
      <w:proofErr w:type="spellStart"/>
      <w:r w:rsidRPr="00D22B78">
        <w:rPr>
          <w:rFonts w:ascii="Times New Roman" w:hAnsi="Times New Roman" w:cs="Times New Roman"/>
          <w:i/>
          <w:iCs/>
        </w:rPr>
        <w:t>Biochimica</w:t>
      </w:r>
      <w:proofErr w:type="spellEnd"/>
      <w:r w:rsidRPr="00D22B78">
        <w:rPr>
          <w:rFonts w:ascii="Times New Roman" w:hAnsi="Times New Roman" w:cs="Times New Roman"/>
          <w:i/>
          <w:iCs/>
        </w:rPr>
        <w:t xml:space="preserve"> et </w:t>
      </w:r>
      <w:proofErr w:type="spellStart"/>
      <w:r w:rsidRPr="00D22B78">
        <w:rPr>
          <w:rFonts w:ascii="Times New Roman" w:hAnsi="Times New Roman" w:cs="Times New Roman"/>
          <w:i/>
          <w:iCs/>
        </w:rPr>
        <w:t>Biophysica</w:t>
      </w:r>
      <w:proofErr w:type="spellEnd"/>
      <w:r w:rsidRPr="00D22B78">
        <w:rPr>
          <w:rFonts w:ascii="Times New Roman" w:hAnsi="Times New Roman" w:cs="Times New Roman"/>
          <w:i/>
          <w:iCs/>
        </w:rPr>
        <w:t xml:space="preserve"> Acta (BBA)-Molecular Basis of Disease</w:t>
      </w:r>
      <w:r w:rsidRPr="00D22B78">
        <w:rPr>
          <w:rFonts w:ascii="Times New Roman" w:hAnsi="Times New Roman" w:cs="Times New Roman"/>
        </w:rPr>
        <w:t>, </w:t>
      </w:r>
      <w:r w:rsidRPr="00D22B78">
        <w:rPr>
          <w:rFonts w:ascii="Times New Roman" w:hAnsi="Times New Roman" w:cs="Times New Roman"/>
          <w:i/>
          <w:iCs/>
        </w:rPr>
        <w:t>1802</w:t>
      </w:r>
      <w:r w:rsidRPr="00D22B78">
        <w:rPr>
          <w:rFonts w:ascii="Times New Roman" w:hAnsi="Times New Roman" w:cs="Times New Roman"/>
        </w:rPr>
        <w:t>(4), 396-405.</w:t>
      </w:r>
      <w:r w:rsidR="0076754C">
        <w:rPr>
          <w:rFonts w:ascii="Times New Roman" w:hAnsi="Times New Roman" w:cs="Times New Roman"/>
        </w:rPr>
        <w:t xml:space="preserve"> </w:t>
      </w:r>
      <w:hyperlink r:id="rId12" w:history="1">
        <w:r w:rsidR="0076754C" w:rsidRPr="006F7967">
          <w:rPr>
            <w:rStyle w:val="Hyperlink"/>
            <w:rFonts w:ascii="Times New Roman" w:hAnsi="Times New Roman" w:cs="Times New Roman"/>
          </w:rPr>
          <w:t>https://doi.org/10.1016/j.bbadis.2009.12.009</w:t>
        </w:r>
      </w:hyperlink>
      <w:r w:rsidR="0076754C">
        <w:rPr>
          <w:rFonts w:ascii="Times New Roman" w:hAnsi="Times New Roman" w:cs="Times New Roman"/>
        </w:rPr>
        <w:t xml:space="preserve"> </w:t>
      </w:r>
    </w:p>
    <w:p w14:paraId="097E2A25" w14:textId="70EB93D2"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Zhang, H., &amp; Tsao, R. (2016). Dietary polyphenols, oxidative stress and antioxidant and anti-inflammatory effects. </w:t>
      </w:r>
      <w:r w:rsidRPr="00D22B78">
        <w:rPr>
          <w:rFonts w:ascii="Times New Roman" w:hAnsi="Times New Roman" w:cs="Times New Roman"/>
          <w:i/>
          <w:iCs/>
        </w:rPr>
        <w:t>Current Opinion in Food Science</w:t>
      </w:r>
      <w:r w:rsidRPr="00D22B78">
        <w:rPr>
          <w:rFonts w:ascii="Times New Roman" w:hAnsi="Times New Roman" w:cs="Times New Roman"/>
        </w:rPr>
        <w:t>, </w:t>
      </w:r>
      <w:r w:rsidRPr="00D22B78">
        <w:rPr>
          <w:rFonts w:ascii="Times New Roman" w:hAnsi="Times New Roman" w:cs="Times New Roman"/>
          <w:i/>
          <w:iCs/>
        </w:rPr>
        <w:t>8</w:t>
      </w:r>
      <w:r w:rsidRPr="00D22B78">
        <w:rPr>
          <w:rFonts w:ascii="Times New Roman" w:hAnsi="Times New Roman" w:cs="Times New Roman"/>
        </w:rPr>
        <w:t>, 33-42.</w:t>
      </w:r>
      <w:r w:rsidR="0076754C">
        <w:rPr>
          <w:rFonts w:ascii="Times New Roman" w:hAnsi="Times New Roman" w:cs="Times New Roman"/>
        </w:rPr>
        <w:t xml:space="preserve"> </w:t>
      </w:r>
      <w:hyperlink r:id="rId13" w:history="1">
        <w:r w:rsidR="0076754C" w:rsidRPr="006F7967">
          <w:rPr>
            <w:rStyle w:val="Hyperlink"/>
            <w:rFonts w:ascii="Times New Roman" w:hAnsi="Times New Roman" w:cs="Times New Roman"/>
          </w:rPr>
          <w:t>https://doi.org/10.1016/j.cofs.2016.02.002</w:t>
        </w:r>
      </w:hyperlink>
      <w:r w:rsidR="0076754C">
        <w:rPr>
          <w:rFonts w:ascii="Times New Roman" w:hAnsi="Times New Roman" w:cs="Times New Roman"/>
        </w:rPr>
        <w:t xml:space="preserve"> </w:t>
      </w:r>
    </w:p>
    <w:p w14:paraId="48238869" w14:textId="026F1671"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Chen, Y., Yu, D., Zhu, D., Muthusamy, S., Deshpande, M., Kiruthiga, N., ... &amp; Zhu, C. (2025). Exploring Alkaloids and Flavonoids from Natural Sources: Emerging Natural Agents for Inhibiting Cervical cancer Progression through Apoptosis Induction, Anti-Inflammatory Effects, and Oxidative Stress Reduction. </w:t>
      </w:r>
      <w:r w:rsidRPr="00D22B78">
        <w:rPr>
          <w:rFonts w:ascii="Times New Roman" w:hAnsi="Times New Roman" w:cs="Times New Roman"/>
          <w:i/>
          <w:iCs/>
        </w:rPr>
        <w:t>Pathology-Research and Practice</w:t>
      </w:r>
      <w:r w:rsidRPr="00D22B78">
        <w:rPr>
          <w:rFonts w:ascii="Times New Roman" w:hAnsi="Times New Roman" w:cs="Times New Roman"/>
        </w:rPr>
        <w:t>, 156092.</w:t>
      </w:r>
      <w:r w:rsidR="0076754C">
        <w:rPr>
          <w:rFonts w:ascii="Times New Roman" w:hAnsi="Times New Roman" w:cs="Times New Roman"/>
        </w:rPr>
        <w:t xml:space="preserve"> </w:t>
      </w:r>
      <w:hyperlink r:id="rId14" w:history="1">
        <w:r w:rsidR="0076754C" w:rsidRPr="006F7967">
          <w:rPr>
            <w:rStyle w:val="Hyperlink"/>
            <w:rFonts w:ascii="Times New Roman" w:hAnsi="Times New Roman" w:cs="Times New Roman"/>
          </w:rPr>
          <w:t>https://doi.org/10.1016/j.prp.2025.156092</w:t>
        </w:r>
      </w:hyperlink>
      <w:r w:rsidR="0076754C">
        <w:rPr>
          <w:rFonts w:ascii="Times New Roman" w:hAnsi="Times New Roman" w:cs="Times New Roman"/>
        </w:rPr>
        <w:t xml:space="preserve"> </w:t>
      </w:r>
    </w:p>
    <w:p w14:paraId="1634FC1D" w14:textId="54BAE3DC"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Ying, Y., &amp; Hao, W. (2023). Immunomodulatory function and anti-</w:t>
      </w:r>
      <w:proofErr w:type="spellStart"/>
      <w:r w:rsidRPr="00D22B78">
        <w:rPr>
          <w:rFonts w:ascii="Times New Roman" w:hAnsi="Times New Roman" w:cs="Times New Roman"/>
        </w:rPr>
        <w:t>tumor</w:t>
      </w:r>
      <w:proofErr w:type="spellEnd"/>
      <w:r w:rsidRPr="00D22B78">
        <w:rPr>
          <w:rFonts w:ascii="Times New Roman" w:hAnsi="Times New Roman" w:cs="Times New Roman"/>
        </w:rPr>
        <w:t xml:space="preserve"> mechanism of natural polysaccharides: A review. </w:t>
      </w:r>
      <w:r w:rsidRPr="00D22B78">
        <w:rPr>
          <w:rFonts w:ascii="Times New Roman" w:hAnsi="Times New Roman" w:cs="Times New Roman"/>
          <w:i/>
          <w:iCs/>
        </w:rPr>
        <w:t>Frontiers in immunology</w:t>
      </w:r>
      <w:r w:rsidRPr="00D22B78">
        <w:rPr>
          <w:rFonts w:ascii="Times New Roman" w:hAnsi="Times New Roman" w:cs="Times New Roman"/>
        </w:rPr>
        <w:t>, </w:t>
      </w:r>
      <w:r w:rsidRPr="00D22B78">
        <w:rPr>
          <w:rFonts w:ascii="Times New Roman" w:hAnsi="Times New Roman" w:cs="Times New Roman"/>
          <w:i/>
          <w:iCs/>
        </w:rPr>
        <w:t>14</w:t>
      </w:r>
      <w:r w:rsidRPr="00D22B78">
        <w:rPr>
          <w:rFonts w:ascii="Times New Roman" w:hAnsi="Times New Roman" w:cs="Times New Roman"/>
        </w:rPr>
        <w:t>, 1147641.</w:t>
      </w:r>
      <w:r w:rsidR="0076754C">
        <w:rPr>
          <w:rFonts w:ascii="Times New Roman" w:hAnsi="Times New Roman" w:cs="Times New Roman"/>
        </w:rPr>
        <w:t xml:space="preserve"> </w:t>
      </w:r>
      <w:hyperlink r:id="rId15" w:history="1">
        <w:r w:rsidR="0076754C" w:rsidRPr="006F7967">
          <w:rPr>
            <w:rStyle w:val="Hyperlink"/>
            <w:rFonts w:ascii="Times New Roman" w:hAnsi="Times New Roman" w:cs="Times New Roman"/>
          </w:rPr>
          <w:t>https://doi.org/10.3389/fimmu.2023.1147641</w:t>
        </w:r>
      </w:hyperlink>
      <w:r w:rsidR="0076754C">
        <w:rPr>
          <w:rFonts w:ascii="Times New Roman" w:hAnsi="Times New Roman" w:cs="Times New Roman"/>
        </w:rPr>
        <w:t xml:space="preserve"> </w:t>
      </w:r>
    </w:p>
    <w:p w14:paraId="09B8A175" w14:textId="0BF2CEFC"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Mondal, S., Das, M., Debnath, S., Sarkar, B. K., &amp; Babu, G. (2024). An overview of extraction, isolation and characterization techniques of phytocompounds from medicinal plants. </w:t>
      </w:r>
      <w:r w:rsidRPr="00D22B78">
        <w:rPr>
          <w:rFonts w:ascii="Times New Roman" w:hAnsi="Times New Roman" w:cs="Times New Roman"/>
          <w:i/>
          <w:iCs/>
        </w:rPr>
        <w:t>Natural Product Research</w:t>
      </w:r>
      <w:r w:rsidRPr="00D22B78">
        <w:rPr>
          <w:rFonts w:ascii="Times New Roman" w:hAnsi="Times New Roman" w:cs="Times New Roman"/>
        </w:rPr>
        <w:t>, 1-23.</w:t>
      </w:r>
      <w:r w:rsidR="0076754C">
        <w:rPr>
          <w:rFonts w:ascii="Times New Roman" w:hAnsi="Times New Roman" w:cs="Times New Roman"/>
        </w:rPr>
        <w:t xml:space="preserve"> </w:t>
      </w:r>
      <w:hyperlink r:id="rId16" w:history="1">
        <w:r w:rsidR="0076754C" w:rsidRPr="006F7967">
          <w:rPr>
            <w:rStyle w:val="Hyperlink"/>
            <w:rFonts w:ascii="Times New Roman" w:hAnsi="Times New Roman" w:cs="Times New Roman"/>
          </w:rPr>
          <w:t>https://doi.org/10.1080/14786419.2024.2426059</w:t>
        </w:r>
      </w:hyperlink>
      <w:r w:rsidR="0076754C">
        <w:rPr>
          <w:rFonts w:ascii="Times New Roman" w:hAnsi="Times New Roman" w:cs="Times New Roman"/>
        </w:rPr>
        <w:t xml:space="preserve"> </w:t>
      </w:r>
    </w:p>
    <w:p w14:paraId="0B16AC78" w14:textId="47F6BCA1" w:rsidR="00B364E0" w:rsidRPr="00D22B78" w:rsidRDefault="00B364E0" w:rsidP="00F84336">
      <w:pPr>
        <w:pStyle w:val="ListParagraph"/>
        <w:numPr>
          <w:ilvl w:val="0"/>
          <w:numId w:val="1"/>
        </w:numPr>
        <w:jc w:val="both"/>
        <w:rPr>
          <w:rFonts w:ascii="Times New Roman" w:hAnsi="Times New Roman" w:cs="Times New Roman"/>
        </w:rPr>
      </w:pPr>
      <w:proofErr w:type="spellStart"/>
      <w:r w:rsidRPr="00D22B78">
        <w:rPr>
          <w:rFonts w:ascii="Times New Roman" w:hAnsi="Times New Roman" w:cs="Times New Roman"/>
        </w:rPr>
        <w:t>Fomo</w:t>
      </w:r>
      <w:proofErr w:type="spellEnd"/>
      <w:r w:rsidRPr="00D22B78">
        <w:rPr>
          <w:rFonts w:ascii="Times New Roman" w:hAnsi="Times New Roman" w:cs="Times New Roman"/>
        </w:rPr>
        <w:t xml:space="preserve">, G., </w:t>
      </w:r>
      <w:proofErr w:type="spellStart"/>
      <w:r w:rsidRPr="00D22B78">
        <w:rPr>
          <w:rFonts w:ascii="Times New Roman" w:hAnsi="Times New Roman" w:cs="Times New Roman"/>
        </w:rPr>
        <w:t>Madzimbamuto</w:t>
      </w:r>
      <w:proofErr w:type="spellEnd"/>
      <w:r w:rsidRPr="00D22B78">
        <w:rPr>
          <w:rFonts w:ascii="Times New Roman" w:hAnsi="Times New Roman" w:cs="Times New Roman"/>
        </w:rPr>
        <w:t xml:space="preserve">, T. N., &amp; </w:t>
      </w:r>
      <w:proofErr w:type="spellStart"/>
      <w:r w:rsidRPr="00D22B78">
        <w:rPr>
          <w:rFonts w:ascii="Times New Roman" w:hAnsi="Times New Roman" w:cs="Times New Roman"/>
        </w:rPr>
        <w:t>Ojumu</w:t>
      </w:r>
      <w:proofErr w:type="spellEnd"/>
      <w:r w:rsidRPr="00D22B78">
        <w:rPr>
          <w:rFonts w:ascii="Times New Roman" w:hAnsi="Times New Roman" w:cs="Times New Roman"/>
        </w:rPr>
        <w:t>, T. V. (2020). Applications of nonconventional green extraction technologies in process industries: Challenges, limitations and perspectives. </w:t>
      </w:r>
      <w:r w:rsidRPr="00D22B78">
        <w:rPr>
          <w:rFonts w:ascii="Times New Roman" w:hAnsi="Times New Roman" w:cs="Times New Roman"/>
          <w:i/>
          <w:iCs/>
        </w:rPr>
        <w:t>Sustainability</w:t>
      </w:r>
      <w:r w:rsidRPr="00D22B78">
        <w:rPr>
          <w:rFonts w:ascii="Times New Roman" w:hAnsi="Times New Roman" w:cs="Times New Roman"/>
        </w:rPr>
        <w:t>, </w:t>
      </w:r>
      <w:r w:rsidRPr="00D22B78">
        <w:rPr>
          <w:rFonts w:ascii="Times New Roman" w:hAnsi="Times New Roman" w:cs="Times New Roman"/>
          <w:i/>
          <w:iCs/>
        </w:rPr>
        <w:t>12</w:t>
      </w:r>
      <w:r w:rsidRPr="00D22B78">
        <w:rPr>
          <w:rFonts w:ascii="Times New Roman" w:hAnsi="Times New Roman" w:cs="Times New Roman"/>
        </w:rPr>
        <w:t>(13), 5244.</w:t>
      </w:r>
      <w:r w:rsidR="0076754C">
        <w:rPr>
          <w:rFonts w:ascii="Times New Roman" w:hAnsi="Times New Roman" w:cs="Times New Roman"/>
        </w:rPr>
        <w:t xml:space="preserve"> </w:t>
      </w:r>
      <w:hyperlink r:id="rId17" w:history="1">
        <w:r w:rsidR="0076754C" w:rsidRPr="006F7967">
          <w:rPr>
            <w:rStyle w:val="Hyperlink"/>
            <w:rFonts w:ascii="Times New Roman" w:hAnsi="Times New Roman" w:cs="Times New Roman"/>
          </w:rPr>
          <w:t>https://doi.org/10.3390/su12135244</w:t>
        </w:r>
      </w:hyperlink>
      <w:r w:rsidR="0076754C">
        <w:rPr>
          <w:rFonts w:ascii="Times New Roman" w:hAnsi="Times New Roman" w:cs="Times New Roman"/>
        </w:rPr>
        <w:t xml:space="preserve"> </w:t>
      </w:r>
    </w:p>
    <w:p w14:paraId="7FE33C73" w14:textId="7F379501"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Mamoona, Nosheen, S., Riaz, S., Shah, S. I., &amp; Shahid, S. (2025). </w:t>
      </w:r>
      <w:r w:rsidRPr="00D22B78">
        <w:rPr>
          <w:rFonts w:ascii="Times New Roman" w:hAnsi="Times New Roman" w:cs="Times New Roman"/>
        </w:rPr>
        <w:t>Optimizing extraction methods: the role of solvent polarity in enhancing phenolic content and antioxidant activity in biowaste. </w:t>
      </w:r>
      <w:r w:rsidRPr="00D22B78">
        <w:rPr>
          <w:rFonts w:ascii="Times New Roman" w:hAnsi="Times New Roman" w:cs="Times New Roman"/>
          <w:i/>
          <w:iCs/>
        </w:rPr>
        <w:t>Biomass Conversion and Biorefinery</w:t>
      </w:r>
      <w:r w:rsidRPr="00D22B78">
        <w:rPr>
          <w:rFonts w:ascii="Times New Roman" w:hAnsi="Times New Roman" w:cs="Times New Roman"/>
        </w:rPr>
        <w:t>, </w:t>
      </w:r>
      <w:r w:rsidRPr="00D22B78">
        <w:rPr>
          <w:rFonts w:ascii="Times New Roman" w:hAnsi="Times New Roman" w:cs="Times New Roman"/>
          <w:i/>
          <w:iCs/>
        </w:rPr>
        <w:t>15</w:t>
      </w:r>
      <w:r w:rsidRPr="00D22B78">
        <w:rPr>
          <w:rFonts w:ascii="Times New Roman" w:hAnsi="Times New Roman" w:cs="Times New Roman"/>
        </w:rPr>
        <w:t>(11), 16721-16736.</w:t>
      </w:r>
      <w:r w:rsidR="0076754C">
        <w:rPr>
          <w:rFonts w:ascii="Times New Roman" w:hAnsi="Times New Roman" w:cs="Times New Roman"/>
        </w:rPr>
        <w:t xml:space="preserve"> </w:t>
      </w:r>
      <w:hyperlink r:id="rId18" w:history="1">
        <w:r w:rsidR="0076754C" w:rsidRPr="006F7967">
          <w:rPr>
            <w:rStyle w:val="Hyperlink"/>
            <w:rFonts w:ascii="Times New Roman" w:hAnsi="Times New Roman" w:cs="Times New Roman"/>
          </w:rPr>
          <w:t>https://doi.org/10.1007/s13399-024-06368-6</w:t>
        </w:r>
      </w:hyperlink>
      <w:r w:rsidR="0076754C">
        <w:rPr>
          <w:rFonts w:ascii="Times New Roman" w:hAnsi="Times New Roman" w:cs="Times New Roman"/>
        </w:rPr>
        <w:t xml:space="preserve"> </w:t>
      </w:r>
    </w:p>
    <w:p w14:paraId="4B930535" w14:textId="15B9CF9F"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Kumari, R., &amp; Kotecha, M. (2016). A review on the standardization of herbal medicines. </w:t>
      </w:r>
      <w:r w:rsidRPr="00D22B78">
        <w:rPr>
          <w:rFonts w:ascii="Times New Roman" w:hAnsi="Times New Roman" w:cs="Times New Roman"/>
          <w:i/>
          <w:iCs/>
        </w:rPr>
        <w:t>International journal of pharma sciences and research</w:t>
      </w:r>
      <w:r w:rsidRPr="00D22B78">
        <w:rPr>
          <w:rFonts w:ascii="Times New Roman" w:hAnsi="Times New Roman" w:cs="Times New Roman"/>
        </w:rPr>
        <w:t>, </w:t>
      </w:r>
      <w:r w:rsidRPr="00D22B78">
        <w:rPr>
          <w:rFonts w:ascii="Times New Roman" w:hAnsi="Times New Roman" w:cs="Times New Roman"/>
          <w:i/>
          <w:iCs/>
        </w:rPr>
        <w:t>7</w:t>
      </w:r>
      <w:r w:rsidRPr="00D22B78">
        <w:rPr>
          <w:rFonts w:ascii="Times New Roman" w:hAnsi="Times New Roman" w:cs="Times New Roman"/>
        </w:rPr>
        <w:t>(2), 97-106.</w:t>
      </w:r>
      <w:r w:rsidR="0076754C">
        <w:rPr>
          <w:rFonts w:ascii="Times New Roman" w:hAnsi="Times New Roman" w:cs="Times New Roman"/>
        </w:rPr>
        <w:t xml:space="preserve"> </w:t>
      </w:r>
      <w:hyperlink r:id="rId19" w:history="1">
        <w:r w:rsidR="0076754C" w:rsidRPr="006F7967">
          <w:rPr>
            <w:rStyle w:val="Hyperlink"/>
            <w:rFonts w:ascii="Times New Roman" w:hAnsi="Times New Roman" w:cs="Times New Roman"/>
          </w:rPr>
          <w:t>http://ijpsr.info/issue/IJPSR-Vol_7_Issue_2_February_2016.html</w:t>
        </w:r>
      </w:hyperlink>
      <w:r w:rsidR="0076754C">
        <w:rPr>
          <w:rFonts w:ascii="Times New Roman" w:hAnsi="Times New Roman" w:cs="Times New Roman"/>
        </w:rPr>
        <w:t xml:space="preserve"> </w:t>
      </w:r>
    </w:p>
    <w:p w14:paraId="623B9ECA" w14:textId="1A2A0181"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Mutha, R. E., Kalaskar, M., &amp; Khan, Z. G. (2025). </w:t>
      </w:r>
      <w:r w:rsidRPr="00D22B78">
        <w:rPr>
          <w:rFonts w:ascii="Times New Roman" w:hAnsi="Times New Roman" w:cs="Times New Roman"/>
        </w:rPr>
        <w:t>Modern Analytical Techniques for Quality Control and Chemical Identification of Phytochemicals. </w:t>
      </w:r>
      <w:r w:rsidRPr="00D22B78">
        <w:rPr>
          <w:rFonts w:ascii="Times New Roman" w:hAnsi="Times New Roman" w:cs="Times New Roman"/>
          <w:i/>
          <w:iCs/>
        </w:rPr>
        <w:t>Pharmacognosy and Phytochemistry: Principles, Techniques, and Clinical Applications</w:t>
      </w:r>
      <w:r w:rsidRPr="00D22B78">
        <w:rPr>
          <w:rFonts w:ascii="Times New Roman" w:hAnsi="Times New Roman" w:cs="Times New Roman"/>
        </w:rPr>
        <w:t>, 167-188.</w:t>
      </w:r>
      <w:r w:rsidR="0076754C">
        <w:rPr>
          <w:rFonts w:ascii="Times New Roman" w:hAnsi="Times New Roman" w:cs="Times New Roman"/>
        </w:rPr>
        <w:t xml:space="preserve"> </w:t>
      </w:r>
      <w:hyperlink r:id="rId20" w:history="1">
        <w:r w:rsidR="0076754C" w:rsidRPr="006F7967">
          <w:rPr>
            <w:rStyle w:val="Hyperlink"/>
            <w:rFonts w:ascii="Times New Roman" w:hAnsi="Times New Roman" w:cs="Times New Roman"/>
          </w:rPr>
          <w:t>https://doi.org/10.1002/9781394203680.ch09</w:t>
        </w:r>
      </w:hyperlink>
      <w:r w:rsidR="0076754C">
        <w:rPr>
          <w:rFonts w:ascii="Times New Roman" w:hAnsi="Times New Roman" w:cs="Times New Roman"/>
        </w:rPr>
        <w:t xml:space="preserve"> </w:t>
      </w:r>
    </w:p>
    <w:p w14:paraId="244791BD" w14:textId="41D203A0"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Kotha, R. R., Tareq, F. S., Yildiz, E., &amp; Luthria, D. L. (2022). </w:t>
      </w:r>
      <w:r w:rsidRPr="00D22B78">
        <w:rPr>
          <w:rFonts w:ascii="Times New Roman" w:hAnsi="Times New Roman" w:cs="Times New Roman"/>
        </w:rPr>
        <w:t>Oxidative stress and antioxidants—A critical review on in vitro antioxidant assays. </w:t>
      </w:r>
      <w:r w:rsidRPr="00D22B78">
        <w:rPr>
          <w:rFonts w:ascii="Times New Roman" w:hAnsi="Times New Roman" w:cs="Times New Roman"/>
          <w:i/>
          <w:iCs/>
        </w:rPr>
        <w:t>Antioxidants</w:t>
      </w:r>
      <w:r w:rsidRPr="00D22B78">
        <w:rPr>
          <w:rFonts w:ascii="Times New Roman" w:hAnsi="Times New Roman" w:cs="Times New Roman"/>
        </w:rPr>
        <w:t>, </w:t>
      </w:r>
      <w:r w:rsidRPr="00D22B78">
        <w:rPr>
          <w:rFonts w:ascii="Times New Roman" w:hAnsi="Times New Roman" w:cs="Times New Roman"/>
          <w:i/>
          <w:iCs/>
        </w:rPr>
        <w:t>11</w:t>
      </w:r>
      <w:r w:rsidRPr="00D22B78">
        <w:rPr>
          <w:rFonts w:ascii="Times New Roman" w:hAnsi="Times New Roman" w:cs="Times New Roman"/>
        </w:rPr>
        <w:t>(12), 2388.</w:t>
      </w:r>
      <w:r w:rsidR="0076754C">
        <w:rPr>
          <w:rFonts w:ascii="Times New Roman" w:hAnsi="Times New Roman" w:cs="Times New Roman"/>
        </w:rPr>
        <w:t xml:space="preserve"> </w:t>
      </w:r>
      <w:hyperlink r:id="rId21" w:history="1">
        <w:r w:rsidR="0076754C" w:rsidRPr="006F7967">
          <w:rPr>
            <w:rStyle w:val="Hyperlink"/>
            <w:rFonts w:ascii="Times New Roman" w:hAnsi="Times New Roman" w:cs="Times New Roman"/>
          </w:rPr>
          <w:t>https://doi.org/10.3390/antiox11122388</w:t>
        </w:r>
      </w:hyperlink>
      <w:r w:rsidR="0076754C">
        <w:rPr>
          <w:rFonts w:ascii="Times New Roman" w:hAnsi="Times New Roman" w:cs="Times New Roman"/>
        </w:rPr>
        <w:t xml:space="preserve"> </w:t>
      </w:r>
    </w:p>
    <w:p w14:paraId="68AEB7C7" w14:textId="6A1F89B6"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Alum, E. U., Manjula, V. S., Uti, D. E., </w:t>
      </w:r>
      <w:proofErr w:type="spellStart"/>
      <w:r w:rsidRPr="00D22B78">
        <w:rPr>
          <w:rFonts w:ascii="Times New Roman" w:hAnsi="Times New Roman" w:cs="Times New Roman"/>
        </w:rPr>
        <w:t>Echegu</w:t>
      </w:r>
      <w:proofErr w:type="spellEnd"/>
      <w:r w:rsidRPr="00D22B78">
        <w:rPr>
          <w:rFonts w:ascii="Times New Roman" w:hAnsi="Times New Roman" w:cs="Times New Roman"/>
        </w:rPr>
        <w:t>, D. A., Ugwu, O. P. C., Egba, S. I., &amp; Agu, P. C. (2025). Metabolomics-driven standardization of herbal medicine: Advances, applications, and sustainability considerations. </w:t>
      </w:r>
      <w:r w:rsidRPr="00D22B78">
        <w:rPr>
          <w:rFonts w:ascii="Times New Roman" w:hAnsi="Times New Roman" w:cs="Times New Roman"/>
          <w:i/>
          <w:iCs/>
        </w:rPr>
        <w:t>Natural Product Communications</w:t>
      </w:r>
      <w:r w:rsidRPr="00D22B78">
        <w:rPr>
          <w:rFonts w:ascii="Times New Roman" w:hAnsi="Times New Roman" w:cs="Times New Roman"/>
        </w:rPr>
        <w:t>, </w:t>
      </w:r>
      <w:r w:rsidRPr="00D22B78">
        <w:rPr>
          <w:rFonts w:ascii="Times New Roman" w:hAnsi="Times New Roman" w:cs="Times New Roman"/>
          <w:i/>
          <w:iCs/>
        </w:rPr>
        <w:t>20</w:t>
      </w:r>
      <w:r w:rsidRPr="00D22B78">
        <w:rPr>
          <w:rFonts w:ascii="Times New Roman" w:hAnsi="Times New Roman" w:cs="Times New Roman"/>
        </w:rPr>
        <w:t>(8), 1934578X251367650.</w:t>
      </w:r>
      <w:r w:rsidR="0076754C">
        <w:rPr>
          <w:rFonts w:ascii="Times New Roman" w:hAnsi="Times New Roman" w:cs="Times New Roman"/>
        </w:rPr>
        <w:t xml:space="preserve"> </w:t>
      </w:r>
      <w:hyperlink r:id="rId22" w:history="1">
        <w:r w:rsidR="0076754C" w:rsidRPr="006F7967">
          <w:rPr>
            <w:rStyle w:val="Hyperlink"/>
            <w:rFonts w:ascii="Times New Roman" w:hAnsi="Times New Roman" w:cs="Times New Roman"/>
          </w:rPr>
          <w:t>https://doi.org/10.1177/1934578X251367650</w:t>
        </w:r>
      </w:hyperlink>
      <w:r w:rsidR="0076754C">
        <w:rPr>
          <w:rFonts w:ascii="Times New Roman" w:hAnsi="Times New Roman" w:cs="Times New Roman"/>
        </w:rPr>
        <w:t xml:space="preserve"> </w:t>
      </w:r>
    </w:p>
    <w:p w14:paraId="11CD4F5F" w14:textId="25AB2FF0"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Petrov, L., Alexandrova, A., </w:t>
      </w:r>
      <w:proofErr w:type="spellStart"/>
      <w:r w:rsidRPr="00D22B78">
        <w:rPr>
          <w:rFonts w:ascii="Times New Roman" w:hAnsi="Times New Roman" w:cs="Times New Roman"/>
        </w:rPr>
        <w:t>Argirova</w:t>
      </w:r>
      <w:proofErr w:type="spellEnd"/>
      <w:r w:rsidRPr="00D22B78">
        <w:rPr>
          <w:rFonts w:ascii="Times New Roman" w:hAnsi="Times New Roman" w:cs="Times New Roman"/>
        </w:rPr>
        <w:t xml:space="preserve">, M., Tomova, T., Georgieva, A., Tsvetanova, E., &amp; Mileva, M. (2022). Chromatographic profile and redox-modulating capacity of methanol extract from seeds </w:t>
      </w:r>
      <w:r w:rsidRPr="00D22B78">
        <w:rPr>
          <w:rFonts w:ascii="Times New Roman" w:hAnsi="Times New Roman" w:cs="Times New Roman"/>
        </w:rPr>
        <w:lastRenderedPageBreak/>
        <w:t xml:space="preserve">of Ginkgo biloba L. originating from </w:t>
      </w:r>
      <w:proofErr w:type="spellStart"/>
      <w:r w:rsidRPr="00D22B78">
        <w:rPr>
          <w:rFonts w:ascii="Times New Roman" w:hAnsi="Times New Roman" w:cs="Times New Roman"/>
        </w:rPr>
        <w:t>plovdiv</w:t>
      </w:r>
      <w:proofErr w:type="spellEnd"/>
      <w:r w:rsidRPr="00D22B78">
        <w:rPr>
          <w:rFonts w:ascii="Times New Roman" w:hAnsi="Times New Roman" w:cs="Times New Roman"/>
        </w:rPr>
        <w:t xml:space="preserve"> region in Bulgaria. </w:t>
      </w:r>
      <w:r w:rsidRPr="00D22B78">
        <w:rPr>
          <w:rFonts w:ascii="Times New Roman" w:hAnsi="Times New Roman" w:cs="Times New Roman"/>
          <w:i/>
          <w:iCs/>
        </w:rPr>
        <w:t>Life</w:t>
      </w:r>
      <w:r w:rsidRPr="00D22B78">
        <w:rPr>
          <w:rFonts w:ascii="Times New Roman" w:hAnsi="Times New Roman" w:cs="Times New Roman"/>
        </w:rPr>
        <w:t>, </w:t>
      </w:r>
      <w:r w:rsidRPr="00D22B78">
        <w:rPr>
          <w:rFonts w:ascii="Times New Roman" w:hAnsi="Times New Roman" w:cs="Times New Roman"/>
          <w:i/>
          <w:iCs/>
        </w:rPr>
        <w:t>12</w:t>
      </w:r>
      <w:r w:rsidRPr="00D22B78">
        <w:rPr>
          <w:rFonts w:ascii="Times New Roman" w:hAnsi="Times New Roman" w:cs="Times New Roman"/>
        </w:rPr>
        <w:t>(6), 878.</w:t>
      </w:r>
      <w:r w:rsidR="0076754C">
        <w:rPr>
          <w:rFonts w:ascii="Times New Roman" w:hAnsi="Times New Roman" w:cs="Times New Roman"/>
        </w:rPr>
        <w:t xml:space="preserve"> </w:t>
      </w:r>
      <w:hyperlink r:id="rId23" w:history="1">
        <w:r w:rsidR="0076754C" w:rsidRPr="006F7967">
          <w:rPr>
            <w:rStyle w:val="Hyperlink"/>
            <w:rFonts w:ascii="Times New Roman" w:hAnsi="Times New Roman" w:cs="Times New Roman"/>
          </w:rPr>
          <w:t>https://doi.org/10.3390/life12060878</w:t>
        </w:r>
      </w:hyperlink>
      <w:r w:rsidR="0076754C">
        <w:rPr>
          <w:rFonts w:ascii="Times New Roman" w:hAnsi="Times New Roman" w:cs="Times New Roman"/>
        </w:rPr>
        <w:t xml:space="preserve"> </w:t>
      </w:r>
    </w:p>
    <w:p w14:paraId="0C6AAF94" w14:textId="7A43E3A7"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Conour, J. E., Graham, W. V., &amp; Gaskins, H. R. (2004). A combined in vitro/bioinformatic investigation of redox regulatory mechanisms governing cell cycle progression. </w:t>
      </w:r>
      <w:r w:rsidRPr="00D22B78">
        <w:rPr>
          <w:rFonts w:ascii="Times New Roman" w:hAnsi="Times New Roman" w:cs="Times New Roman"/>
          <w:i/>
          <w:iCs/>
        </w:rPr>
        <w:t>Physiological Genomics</w:t>
      </w:r>
      <w:r w:rsidRPr="00D22B78">
        <w:rPr>
          <w:rFonts w:ascii="Times New Roman" w:hAnsi="Times New Roman" w:cs="Times New Roman"/>
        </w:rPr>
        <w:t>, </w:t>
      </w:r>
      <w:r w:rsidRPr="00D22B78">
        <w:rPr>
          <w:rFonts w:ascii="Times New Roman" w:hAnsi="Times New Roman" w:cs="Times New Roman"/>
          <w:i/>
          <w:iCs/>
        </w:rPr>
        <w:t>18</w:t>
      </w:r>
      <w:r w:rsidRPr="00D22B78">
        <w:rPr>
          <w:rFonts w:ascii="Times New Roman" w:hAnsi="Times New Roman" w:cs="Times New Roman"/>
        </w:rPr>
        <w:t>(2), 196-205.</w:t>
      </w:r>
      <w:r w:rsidR="0076754C">
        <w:rPr>
          <w:rFonts w:ascii="Times New Roman" w:hAnsi="Times New Roman" w:cs="Times New Roman"/>
        </w:rPr>
        <w:t xml:space="preserve"> </w:t>
      </w:r>
      <w:hyperlink r:id="rId24" w:history="1">
        <w:r w:rsidR="0076754C" w:rsidRPr="006F7967">
          <w:rPr>
            <w:rStyle w:val="Hyperlink"/>
            <w:rFonts w:ascii="Times New Roman" w:hAnsi="Times New Roman" w:cs="Times New Roman"/>
          </w:rPr>
          <w:t>https://doi.org/10.1152/physiolgenomics.00058.2004</w:t>
        </w:r>
      </w:hyperlink>
      <w:r w:rsidR="0076754C">
        <w:rPr>
          <w:rFonts w:ascii="Times New Roman" w:hAnsi="Times New Roman" w:cs="Times New Roman"/>
        </w:rPr>
        <w:t xml:space="preserve"> </w:t>
      </w:r>
    </w:p>
    <w:p w14:paraId="73DE7FDA" w14:textId="428997E1"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Pohl, F., &amp; Kong </w:t>
      </w:r>
      <w:proofErr w:type="spellStart"/>
      <w:r w:rsidRPr="00D22B78">
        <w:rPr>
          <w:rFonts w:ascii="Times New Roman" w:hAnsi="Times New Roman" w:cs="Times New Roman"/>
        </w:rPr>
        <w:t>Thoo</w:t>
      </w:r>
      <w:proofErr w:type="spellEnd"/>
      <w:r w:rsidRPr="00D22B78">
        <w:rPr>
          <w:rFonts w:ascii="Times New Roman" w:hAnsi="Times New Roman" w:cs="Times New Roman"/>
        </w:rPr>
        <w:t xml:space="preserve"> Lin, P. (2018). The potential use of plant natural products and plant extracts with antioxidant properties for the prevention/treatment of neurodegenerative diseases: in vitro, in vivo and clinical trials. </w:t>
      </w:r>
      <w:r w:rsidRPr="00D22B78">
        <w:rPr>
          <w:rFonts w:ascii="Times New Roman" w:hAnsi="Times New Roman" w:cs="Times New Roman"/>
          <w:i/>
          <w:iCs/>
        </w:rPr>
        <w:t>Molecules</w:t>
      </w:r>
      <w:r w:rsidRPr="00D22B78">
        <w:rPr>
          <w:rFonts w:ascii="Times New Roman" w:hAnsi="Times New Roman" w:cs="Times New Roman"/>
        </w:rPr>
        <w:t>, </w:t>
      </w:r>
      <w:r w:rsidRPr="00D22B78">
        <w:rPr>
          <w:rFonts w:ascii="Times New Roman" w:hAnsi="Times New Roman" w:cs="Times New Roman"/>
          <w:i/>
          <w:iCs/>
        </w:rPr>
        <w:t>23</w:t>
      </w:r>
      <w:r w:rsidRPr="00D22B78">
        <w:rPr>
          <w:rFonts w:ascii="Times New Roman" w:hAnsi="Times New Roman" w:cs="Times New Roman"/>
        </w:rPr>
        <w:t>(12), 3283.</w:t>
      </w:r>
      <w:r w:rsidR="0076754C">
        <w:rPr>
          <w:rFonts w:ascii="Times New Roman" w:hAnsi="Times New Roman" w:cs="Times New Roman"/>
        </w:rPr>
        <w:t xml:space="preserve"> </w:t>
      </w:r>
      <w:hyperlink r:id="rId25" w:history="1">
        <w:r w:rsidR="0076754C" w:rsidRPr="006F7967">
          <w:rPr>
            <w:rStyle w:val="Hyperlink"/>
            <w:rFonts w:ascii="Times New Roman" w:hAnsi="Times New Roman" w:cs="Times New Roman"/>
          </w:rPr>
          <w:t>https://doi.org/10.3390/molecules23123283</w:t>
        </w:r>
      </w:hyperlink>
      <w:r w:rsidR="0076754C">
        <w:rPr>
          <w:rFonts w:ascii="Times New Roman" w:hAnsi="Times New Roman" w:cs="Times New Roman"/>
        </w:rPr>
        <w:t xml:space="preserve"> </w:t>
      </w:r>
    </w:p>
    <w:p w14:paraId="39DBCC27" w14:textId="788153AD"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Dewi, M. K., Chaerunisaa, A. Y., Muhaimin, M., &amp; Joni, I. M. (2022). </w:t>
      </w:r>
      <w:r w:rsidRPr="00D22B78">
        <w:rPr>
          <w:rFonts w:ascii="Times New Roman" w:hAnsi="Times New Roman" w:cs="Times New Roman"/>
        </w:rPr>
        <w:t>Improved activity of herbal medicines through nanotechnology. </w:t>
      </w:r>
      <w:r w:rsidRPr="00D22B78">
        <w:rPr>
          <w:rFonts w:ascii="Times New Roman" w:hAnsi="Times New Roman" w:cs="Times New Roman"/>
          <w:i/>
          <w:iCs/>
        </w:rPr>
        <w:t>Nanomaterials</w:t>
      </w:r>
      <w:r w:rsidRPr="00D22B78">
        <w:rPr>
          <w:rFonts w:ascii="Times New Roman" w:hAnsi="Times New Roman" w:cs="Times New Roman"/>
        </w:rPr>
        <w:t>, </w:t>
      </w:r>
      <w:r w:rsidRPr="00D22B78">
        <w:rPr>
          <w:rFonts w:ascii="Times New Roman" w:hAnsi="Times New Roman" w:cs="Times New Roman"/>
          <w:i/>
          <w:iCs/>
        </w:rPr>
        <w:t>12</w:t>
      </w:r>
      <w:r w:rsidRPr="00D22B78">
        <w:rPr>
          <w:rFonts w:ascii="Times New Roman" w:hAnsi="Times New Roman" w:cs="Times New Roman"/>
        </w:rPr>
        <w:t>(22), 4073.</w:t>
      </w:r>
      <w:r w:rsidR="0076754C">
        <w:rPr>
          <w:rFonts w:ascii="Times New Roman" w:hAnsi="Times New Roman" w:cs="Times New Roman"/>
        </w:rPr>
        <w:t xml:space="preserve"> </w:t>
      </w:r>
      <w:hyperlink r:id="rId26" w:history="1">
        <w:r w:rsidR="0076754C" w:rsidRPr="006F7967">
          <w:rPr>
            <w:rStyle w:val="Hyperlink"/>
            <w:rFonts w:ascii="Times New Roman" w:hAnsi="Times New Roman" w:cs="Times New Roman"/>
          </w:rPr>
          <w:t>https://doi.org/10.3390/nano12224073</w:t>
        </w:r>
      </w:hyperlink>
      <w:r w:rsidR="0076754C">
        <w:rPr>
          <w:rFonts w:ascii="Times New Roman" w:hAnsi="Times New Roman" w:cs="Times New Roman"/>
        </w:rPr>
        <w:t xml:space="preserve"> </w:t>
      </w:r>
    </w:p>
    <w:p w14:paraId="4033B4AE" w14:textId="050C8C7D"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Shin, S. A., Joo, B. J., Lee, J. S., Ryu, G., Han, M., Kim, W. Y., ... </w:t>
      </w:r>
      <w:r w:rsidRPr="00D22B78">
        <w:rPr>
          <w:rFonts w:ascii="Times New Roman" w:hAnsi="Times New Roman" w:cs="Times New Roman"/>
        </w:rPr>
        <w:t>&amp; Lee, C. S. (2020). Phytochemicals as anti-inflammatory agents in animal models of prevalent inflammatory diseases. </w:t>
      </w:r>
      <w:r w:rsidRPr="00D22B78">
        <w:rPr>
          <w:rFonts w:ascii="Times New Roman" w:hAnsi="Times New Roman" w:cs="Times New Roman"/>
          <w:i/>
          <w:iCs/>
        </w:rPr>
        <w:t>Molecules</w:t>
      </w:r>
      <w:r w:rsidRPr="00D22B78">
        <w:rPr>
          <w:rFonts w:ascii="Times New Roman" w:hAnsi="Times New Roman" w:cs="Times New Roman"/>
        </w:rPr>
        <w:t>, </w:t>
      </w:r>
      <w:r w:rsidRPr="00D22B78">
        <w:rPr>
          <w:rFonts w:ascii="Times New Roman" w:hAnsi="Times New Roman" w:cs="Times New Roman"/>
          <w:i/>
          <w:iCs/>
        </w:rPr>
        <w:t>25</w:t>
      </w:r>
      <w:r w:rsidRPr="00D22B78">
        <w:rPr>
          <w:rFonts w:ascii="Times New Roman" w:hAnsi="Times New Roman" w:cs="Times New Roman"/>
        </w:rPr>
        <w:t>(24), 5932.</w:t>
      </w:r>
      <w:r w:rsidR="0076754C">
        <w:rPr>
          <w:rFonts w:ascii="Times New Roman" w:hAnsi="Times New Roman" w:cs="Times New Roman"/>
        </w:rPr>
        <w:t xml:space="preserve"> </w:t>
      </w:r>
      <w:hyperlink r:id="rId27" w:history="1">
        <w:r w:rsidR="0076754C" w:rsidRPr="006F7967">
          <w:rPr>
            <w:rStyle w:val="Hyperlink"/>
            <w:rFonts w:ascii="Times New Roman" w:hAnsi="Times New Roman" w:cs="Times New Roman"/>
          </w:rPr>
          <w:t>https://doi.org/10.3390/molecules25245932</w:t>
        </w:r>
      </w:hyperlink>
      <w:r w:rsidR="0076754C">
        <w:rPr>
          <w:rFonts w:ascii="Times New Roman" w:hAnsi="Times New Roman" w:cs="Times New Roman"/>
        </w:rPr>
        <w:t xml:space="preserve"> </w:t>
      </w:r>
    </w:p>
    <w:p w14:paraId="1AA7601D" w14:textId="239BF91D"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Chen, L., Teng, H., Jia, Z., Battino, M., Miron, A., Yu, Z., ... &amp; Xiao, J. (2018). Intracellular </w:t>
      </w:r>
      <w:proofErr w:type="spellStart"/>
      <w:r w:rsidRPr="00D22B78">
        <w:rPr>
          <w:rFonts w:ascii="Times New Roman" w:hAnsi="Times New Roman" w:cs="Times New Roman"/>
        </w:rPr>
        <w:t>signaling</w:t>
      </w:r>
      <w:proofErr w:type="spellEnd"/>
      <w:r w:rsidRPr="00D22B78">
        <w:rPr>
          <w:rFonts w:ascii="Times New Roman" w:hAnsi="Times New Roman" w:cs="Times New Roman"/>
        </w:rPr>
        <w:t xml:space="preserve"> pathways of inflammation modulated by dietary flavonoids: The most recent evidence. </w:t>
      </w:r>
      <w:r w:rsidRPr="00D22B78">
        <w:rPr>
          <w:rFonts w:ascii="Times New Roman" w:hAnsi="Times New Roman" w:cs="Times New Roman"/>
          <w:i/>
          <w:iCs/>
        </w:rPr>
        <w:t>Critical reviews in food science and nutrition</w:t>
      </w:r>
      <w:r w:rsidRPr="00D22B78">
        <w:rPr>
          <w:rFonts w:ascii="Times New Roman" w:hAnsi="Times New Roman" w:cs="Times New Roman"/>
        </w:rPr>
        <w:t>, </w:t>
      </w:r>
      <w:r w:rsidRPr="00D22B78">
        <w:rPr>
          <w:rFonts w:ascii="Times New Roman" w:hAnsi="Times New Roman" w:cs="Times New Roman"/>
          <w:i/>
          <w:iCs/>
        </w:rPr>
        <w:t>58</w:t>
      </w:r>
      <w:r w:rsidRPr="00D22B78">
        <w:rPr>
          <w:rFonts w:ascii="Times New Roman" w:hAnsi="Times New Roman" w:cs="Times New Roman"/>
        </w:rPr>
        <w:t>(17), 2908-2924.</w:t>
      </w:r>
      <w:r w:rsidR="0076754C">
        <w:rPr>
          <w:rFonts w:ascii="Times New Roman" w:hAnsi="Times New Roman" w:cs="Times New Roman"/>
        </w:rPr>
        <w:t xml:space="preserve"> </w:t>
      </w:r>
      <w:hyperlink r:id="rId28" w:history="1">
        <w:r w:rsidR="0076754C" w:rsidRPr="006F7967">
          <w:rPr>
            <w:rStyle w:val="Hyperlink"/>
            <w:rFonts w:ascii="Times New Roman" w:hAnsi="Times New Roman" w:cs="Times New Roman"/>
          </w:rPr>
          <w:t>https://doi.org/10.1080/10408398.2017.1345853</w:t>
        </w:r>
      </w:hyperlink>
      <w:r w:rsidR="0076754C">
        <w:rPr>
          <w:rFonts w:ascii="Times New Roman" w:hAnsi="Times New Roman" w:cs="Times New Roman"/>
        </w:rPr>
        <w:t xml:space="preserve"> </w:t>
      </w:r>
    </w:p>
    <w:p w14:paraId="221EF767" w14:textId="7ECA372A"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Anzar, C., Joseph, M., Sundaram, R., Vadiraj, G., Prasad, C., &amp; </w:t>
      </w:r>
      <w:proofErr w:type="spellStart"/>
      <w:r w:rsidRPr="00D22B78">
        <w:rPr>
          <w:rFonts w:ascii="Times New Roman" w:hAnsi="Times New Roman" w:cs="Times New Roman"/>
        </w:rPr>
        <w:t>Eranimose</w:t>
      </w:r>
      <w:proofErr w:type="spellEnd"/>
      <w:r w:rsidRPr="00D22B78">
        <w:rPr>
          <w:rFonts w:ascii="Times New Roman" w:hAnsi="Times New Roman" w:cs="Times New Roman"/>
        </w:rPr>
        <w:t>, B. (2023). Evaluation of the anti-inflammatory properties of Boswellia serrata (</w:t>
      </w:r>
      <w:proofErr w:type="spellStart"/>
      <w:r w:rsidRPr="00D22B78">
        <w:rPr>
          <w:rFonts w:ascii="Times New Roman" w:hAnsi="Times New Roman" w:cs="Times New Roman"/>
        </w:rPr>
        <w:t>Boswegex</w:t>
      </w:r>
      <w:proofErr w:type="spellEnd"/>
      <w:r w:rsidRPr="00D22B78">
        <w:rPr>
          <w:rFonts w:ascii="Times New Roman" w:hAnsi="Times New Roman" w:cs="Times New Roman"/>
        </w:rPr>
        <w:t xml:space="preserve">®) on carrageenan-induced paw </w:t>
      </w:r>
      <w:proofErr w:type="spellStart"/>
      <w:r w:rsidRPr="00D22B78">
        <w:rPr>
          <w:rFonts w:ascii="Times New Roman" w:hAnsi="Times New Roman" w:cs="Times New Roman"/>
        </w:rPr>
        <w:t>edema</w:t>
      </w:r>
      <w:proofErr w:type="spellEnd"/>
      <w:r w:rsidRPr="00D22B78">
        <w:rPr>
          <w:rFonts w:ascii="Times New Roman" w:hAnsi="Times New Roman" w:cs="Times New Roman"/>
        </w:rPr>
        <w:t xml:space="preserve"> in albino Wister rats: an in vivo study. </w:t>
      </w:r>
      <w:r w:rsidRPr="00D22B78">
        <w:rPr>
          <w:rFonts w:ascii="Times New Roman" w:hAnsi="Times New Roman" w:cs="Times New Roman"/>
          <w:i/>
          <w:iCs/>
        </w:rPr>
        <w:t>International Journal of Advanced Research in Biological Sciences</w:t>
      </w:r>
      <w:r w:rsidRPr="00D22B78">
        <w:rPr>
          <w:rFonts w:ascii="Times New Roman" w:hAnsi="Times New Roman" w:cs="Times New Roman"/>
        </w:rPr>
        <w:t>, </w:t>
      </w:r>
      <w:r w:rsidRPr="00D22B78">
        <w:rPr>
          <w:rFonts w:ascii="Times New Roman" w:hAnsi="Times New Roman" w:cs="Times New Roman"/>
          <w:i/>
          <w:iCs/>
        </w:rPr>
        <w:t>10</w:t>
      </w:r>
      <w:r w:rsidRPr="00D22B78">
        <w:rPr>
          <w:rFonts w:ascii="Times New Roman" w:hAnsi="Times New Roman" w:cs="Times New Roman"/>
        </w:rPr>
        <w:t>(7), 34-42.</w:t>
      </w:r>
      <w:r w:rsidR="0076754C">
        <w:rPr>
          <w:rFonts w:ascii="Times New Roman" w:hAnsi="Times New Roman" w:cs="Times New Roman"/>
        </w:rPr>
        <w:t xml:space="preserve"> </w:t>
      </w:r>
      <w:hyperlink r:id="rId29" w:history="1">
        <w:r w:rsidR="0076754C" w:rsidRPr="006F7967">
          <w:rPr>
            <w:rStyle w:val="Hyperlink"/>
            <w:rFonts w:ascii="Times New Roman" w:hAnsi="Times New Roman" w:cs="Times New Roman"/>
          </w:rPr>
          <w:t>https://doi.org/10.22192/ijarbs.2023.10.07.005</w:t>
        </w:r>
      </w:hyperlink>
      <w:r w:rsidR="0076754C">
        <w:rPr>
          <w:rFonts w:ascii="Times New Roman" w:hAnsi="Times New Roman" w:cs="Times New Roman"/>
        </w:rPr>
        <w:t xml:space="preserve"> </w:t>
      </w:r>
    </w:p>
    <w:p w14:paraId="1905ED1B" w14:textId="78F3BD41"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Yang, J., Li, K., He, D., Gu, J., Xu, J., Xie, J., ... &amp; Zhang, J. (2020). Toward a better understanding of metabolic and pharmacokinetic characteristics of low-solubility, low-permeability natural medicines. </w:t>
      </w:r>
      <w:r w:rsidRPr="00D22B78">
        <w:rPr>
          <w:rFonts w:ascii="Times New Roman" w:hAnsi="Times New Roman" w:cs="Times New Roman"/>
          <w:i/>
          <w:iCs/>
        </w:rPr>
        <w:t>Drug Metabolism Reviews</w:t>
      </w:r>
      <w:r w:rsidRPr="00D22B78">
        <w:rPr>
          <w:rFonts w:ascii="Times New Roman" w:hAnsi="Times New Roman" w:cs="Times New Roman"/>
        </w:rPr>
        <w:t>, </w:t>
      </w:r>
      <w:r w:rsidRPr="00D22B78">
        <w:rPr>
          <w:rFonts w:ascii="Times New Roman" w:hAnsi="Times New Roman" w:cs="Times New Roman"/>
          <w:i/>
          <w:iCs/>
        </w:rPr>
        <w:t>52</w:t>
      </w:r>
      <w:r w:rsidRPr="00D22B78">
        <w:rPr>
          <w:rFonts w:ascii="Times New Roman" w:hAnsi="Times New Roman" w:cs="Times New Roman"/>
        </w:rPr>
        <w:t>(1), 19-43.</w:t>
      </w:r>
      <w:r w:rsidR="00A32146">
        <w:rPr>
          <w:rFonts w:ascii="Times New Roman" w:hAnsi="Times New Roman" w:cs="Times New Roman"/>
        </w:rPr>
        <w:t xml:space="preserve"> </w:t>
      </w:r>
      <w:hyperlink r:id="rId30" w:history="1">
        <w:r w:rsidR="00A32146" w:rsidRPr="006F7967">
          <w:rPr>
            <w:rStyle w:val="Hyperlink"/>
            <w:rFonts w:ascii="Times New Roman" w:hAnsi="Times New Roman" w:cs="Times New Roman"/>
          </w:rPr>
          <w:t>https://doi.org/10.1080/03602532.2020.1714646</w:t>
        </w:r>
      </w:hyperlink>
      <w:r w:rsidR="00A32146">
        <w:rPr>
          <w:rFonts w:ascii="Times New Roman" w:hAnsi="Times New Roman" w:cs="Times New Roman"/>
        </w:rPr>
        <w:t xml:space="preserve"> </w:t>
      </w:r>
    </w:p>
    <w:p w14:paraId="1365F19D" w14:textId="5FB74B3F"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Sandur, S. K., Pandey, M. K., Sung, B., Ahn, K. S., Murakami, A., Sethi, G., ... &amp; Aggarwal, B. B. (2007). Curcumin, </w:t>
      </w:r>
      <w:proofErr w:type="spellStart"/>
      <w:r w:rsidRPr="00D22B78">
        <w:rPr>
          <w:rFonts w:ascii="Times New Roman" w:hAnsi="Times New Roman" w:cs="Times New Roman"/>
        </w:rPr>
        <w:t>demethoxycurcumin</w:t>
      </w:r>
      <w:proofErr w:type="spellEnd"/>
      <w:r w:rsidRPr="00D22B78">
        <w:rPr>
          <w:rFonts w:ascii="Times New Roman" w:hAnsi="Times New Roman" w:cs="Times New Roman"/>
        </w:rPr>
        <w:t xml:space="preserve">, bisdemethoxycurcumin, </w:t>
      </w:r>
      <w:proofErr w:type="spellStart"/>
      <w:r w:rsidRPr="00D22B78">
        <w:rPr>
          <w:rFonts w:ascii="Times New Roman" w:hAnsi="Times New Roman" w:cs="Times New Roman"/>
        </w:rPr>
        <w:t>tetrahydrocurcumin</w:t>
      </w:r>
      <w:proofErr w:type="spellEnd"/>
      <w:r w:rsidRPr="00D22B78">
        <w:rPr>
          <w:rFonts w:ascii="Times New Roman" w:hAnsi="Times New Roman" w:cs="Times New Roman"/>
        </w:rPr>
        <w:t xml:space="preserve"> and turmerones differentially regulate anti-inflammatory and anti-proliferative responses through a ROS-independent mechanism. </w:t>
      </w:r>
      <w:r w:rsidRPr="00D22B78">
        <w:rPr>
          <w:rFonts w:ascii="Times New Roman" w:hAnsi="Times New Roman" w:cs="Times New Roman"/>
          <w:i/>
          <w:iCs/>
        </w:rPr>
        <w:t>Carcinogenesis</w:t>
      </w:r>
      <w:r w:rsidRPr="00D22B78">
        <w:rPr>
          <w:rFonts w:ascii="Times New Roman" w:hAnsi="Times New Roman" w:cs="Times New Roman"/>
        </w:rPr>
        <w:t>, </w:t>
      </w:r>
      <w:r w:rsidRPr="00D22B78">
        <w:rPr>
          <w:rFonts w:ascii="Times New Roman" w:hAnsi="Times New Roman" w:cs="Times New Roman"/>
          <w:i/>
          <w:iCs/>
        </w:rPr>
        <w:t>28</w:t>
      </w:r>
      <w:r w:rsidRPr="00D22B78">
        <w:rPr>
          <w:rFonts w:ascii="Times New Roman" w:hAnsi="Times New Roman" w:cs="Times New Roman"/>
        </w:rPr>
        <w:t>(8), 1765-1773.</w:t>
      </w:r>
      <w:r w:rsidR="00F46659">
        <w:rPr>
          <w:rFonts w:ascii="Times New Roman" w:hAnsi="Times New Roman" w:cs="Times New Roman"/>
        </w:rPr>
        <w:t xml:space="preserve"> </w:t>
      </w:r>
      <w:hyperlink r:id="rId31" w:history="1">
        <w:r w:rsidR="00F46659" w:rsidRPr="006F7967">
          <w:rPr>
            <w:rStyle w:val="Hyperlink"/>
            <w:rFonts w:ascii="Times New Roman" w:hAnsi="Times New Roman" w:cs="Times New Roman"/>
          </w:rPr>
          <w:t>https://doi.org/10.1093/carcin/bgm123</w:t>
        </w:r>
      </w:hyperlink>
      <w:r w:rsidR="00F46659">
        <w:rPr>
          <w:rFonts w:ascii="Times New Roman" w:hAnsi="Times New Roman" w:cs="Times New Roman"/>
        </w:rPr>
        <w:t xml:space="preserve"> </w:t>
      </w:r>
    </w:p>
    <w:p w14:paraId="48F2CE7B" w14:textId="52949288" w:rsidR="00B364E0" w:rsidRPr="00D22B78" w:rsidRDefault="00B364E0" w:rsidP="00F84336">
      <w:pPr>
        <w:pStyle w:val="ListParagraph"/>
        <w:numPr>
          <w:ilvl w:val="0"/>
          <w:numId w:val="1"/>
        </w:numPr>
        <w:jc w:val="both"/>
        <w:rPr>
          <w:rFonts w:ascii="Times New Roman" w:hAnsi="Times New Roman" w:cs="Times New Roman"/>
        </w:rPr>
      </w:pPr>
      <w:proofErr w:type="spellStart"/>
      <w:r w:rsidRPr="00D22B78">
        <w:rPr>
          <w:rFonts w:ascii="Times New Roman" w:hAnsi="Times New Roman" w:cs="Times New Roman"/>
        </w:rPr>
        <w:t>Vishnoi</w:t>
      </w:r>
      <w:proofErr w:type="spellEnd"/>
      <w:r w:rsidRPr="00D22B78">
        <w:rPr>
          <w:rFonts w:ascii="Times New Roman" w:hAnsi="Times New Roman" w:cs="Times New Roman"/>
        </w:rPr>
        <w:t xml:space="preserve">, H., </w:t>
      </w:r>
      <w:proofErr w:type="spellStart"/>
      <w:r w:rsidRPr="00D22B78">
        <w:rPr>
          <w:rFonts w:ascii="Times New Roman" w:hAnsi="Times New Roman" w:cs="Times New Roman"/>
        </w:rPr>
        <w:t>Bodla</w:t>
      </w:r>
      <w:proofErr w:type="spellEnd"/>
      <w:r w:rsidRPr="00D22B78">
        <w:rPr>
          <w:rFonts w:ascii="Times New Roman" w:hAnsi="Times New Roman" w:cs="Times New Roman"/>
        </w:rPr>
        <w:t xml:space="preserve">, R. B., Kant, R., &amp; </w:t>
      </w:r>
      <w:proofErr w:type="spellStart"/>
      <w:r w:rsidRPr="00D22B78">
        <w:rPr>
          <w:rFonts w:ascii="Times New Roman" w:hAnsi="Times New Roman" w:cs="Times New Roman"/>
        </w:rPr>
        <w:t>Bodla</w:t>
      </w:r>
      <w:proofErr w:type="spellEnd"/>
      <w:r w:rsidRPr="00D22B78">
        <w:rPr>
          <w:rFonts w:ascii="Times New Roman" w:hAnsi="Times New Roman" w:cs="Times New Roman"/>
        </w:rPr>
        <w:t>, R. B. (2018). Green Tea (Camellia sinensis) and its antioxidant property: A review. </w:t>
      </w:r>
      <w:r w:rsidRPr="00D22B78">
        <w:rPr>
          <w:rFonts w:ascii="Times New Roman" w:hAnsi="Times New Roman" w:cs="Times New Roman"/>
          <w:i/>
          <w:iCs/>
        </w:rPr>
        <w:t>Int J Pharm Sci Res</w:t>
      </w:r>
      <w:r w:rsidRPr="00D22B78">
        <w:rPr>
          <w:rFonts w:ascii="Times New Roman" w:hAnsi="Times New Roman" w:cs="Times New Roman"/>
        </w:rPr>
        <w:t>, </w:t>
      </w:r>
      <w:r w:rsidRPr="00D22B78">
        <w:rPr>
          <w:rFonts w:ascii="Times New Roman" w:hAnsi="Times New Roman" w:cs="Times New Roman"/>
          <w:i/>
          <w:iCs/>
        </w:rPr>
        <w:t>9</w:t>
      </w:r>
      <w:r w:rsidRPr="00D22B78">
        <w:rPr>
          <w:rFonts w:ascii="Times New Roman" w:hAnsi="Times New Roman" w:cs="Times New Roman"/>
        </w:rPr>
        <w:t>(5), 1723-36.</w:t>
      </w:r>
      <w:r w:rsidR="00F46659">
        <w:rPr>
          <w:rFonts w:ascii="Times New Roman" w:hAnsi="Times New Roman" w:cs="Times New Roman"/>
        </w:rPr>
        <w:t xml:space="preserve"> </w:t>
      </w:r>
      <w:hyperlink r:id="rId32" w:history="1">
        <w:r w:rsidR="00F46659" w:rsidRPr="006F7967">
          <w:rPr>
            <w:rStyle w:val="Hyperlink"/>
            <w:rFonts w:ascii="Times New Roman" w:hAnsi="Times New Roman" w:cs="Times New Roman"/>
          </w:rPr>
          <w:t>https://doi.org/10.13040/IJPSR.0975-8232.9(5).1723-36</w:t>
        </w:r>
      </w:hyperlink>
      <w:r w:rsidR="00F46659">
        <w:rPr>
          <w:rFonts w:ascii="Times New Roman" w:hAnsi="Times New Roman" w:cs="Times New Roman"/>
        </w:rPr>
        <w:t xml:space="preserve"> </w:t>
      </w:r>
    </w:p>
    <w:p w14:paraId="25E8123C" w14:textId="10289396"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Jamous, R. M., Abu-Zaitoun, S. Y., Akkawi, R. J., &amp; Ali-</w:t>
      </w:r>
      <w:proofErr w:type="spellStart"/>
      <w:r w:rsidRPr="00D22B78">
        <w:rPr>
          <w:rFonts w:ascii="Times New Roman" w:hAnsi="Times New Roman" w:cs="Times New Roman"/>
        </w:rPr>
        <w:t>Shtayeh</w:t>
      </w:r>
      <w:proofErr w:type="spellEnd"/>
      <w:r w:rsidRPr="00D22B78">
        <w:rPr>
          <w:rFonts w:ascii="Times New Roman" w:hAnsi="Times New Roman" w:cs="Times New Roman"/>
        </w:rPr>
        <w:t xml:space="preserve">, M. S. (2018). </w:t>
      </w:r>
      <w:proofErr w:type="spellStart"/>
      <w:r w:rsidRPr="00D22B78">
        <w:rPr>
          <w:rFonts w:ascii="Times New Roman" w:hAnsi="Times New Roman" w:cs="Times New Roman"/>
        </w:rPr>
        <w:t>Antiobesity</w:t>
      </w:r>
      <w:proofErr w:type="spellEnd"/>
      <w:r w:rsidRPr="00D22B78">
        <w:rPr>
          <w:rFonts w:ascii="Times New Roman" w:hAnsi="Times New Roman" w:cs="Times New Roman"/>
        </w:rPr>
        <w:t xml:space="preserve"> and antioxidant potentials of selected </w:t>
      </w:r>
      <w:proofErr w:type="spellStart"/>
      <w:r w:rsidRPr="00D22B78">
        <w:rPr>
          <w:rFonts w:ascii="Times New Roman" w:hAnsi="Times New Roman" w:cs="Times New Roman"/>
        </w:rPr>
        <w:t>palestinian</w:t>
      </w:r>
      <w:proofErr w:type="spellEnd"/>
      <w:r w:rsidRPr="00D22B78">
        <w:rPr>
          <w:rFonts w:ascii="Times New Roman" w:hAnsi="Times New Roman" w:cs="Times New Roman"/>
        </w:rPr>
        <w:t xml:space="preserve"> medicinal plants. </w:t>
      </w:r>
      <w:r w:rsidRPr="00D22B78">
        <w:rPr>
          <w:rFonts w:ascii="Times New Roman" w:hAnsi="Times New Roman" w:cs="Times New Roman"/>
          <w:i/>
          <w:iCs/>
        </w:rPr>
        <w:t>Evidence‐Based Complementary and Alternative Medicine</w:t>
      </w:r>
      <w:r w:rsidRPr="00D22B78">
        <w:rPr>
          <w:rFonts w:ascii="Times New Roman" w:hAnsi="Times New Roman" w:cs="Times New Roman"/>
        </w:rPr>
        <w:t>, </w:t>
      </w:r>
      <w:r w:rsidRPr="00D22B78">
        <w:rPr>
          <w:rFonts w:ascii="Times New Roman" w:hAnsi="Times New Roman" w:cs="Times New Roman"/>
          <w:i/>
          <w:iCs/>
        </w:rPr>
        <w:t>2018</w:t>
      </w:r>
      <w:r w:rsidRPr="00D22B78">
        <w:rPr>
          <w:rFonts w:ascii="Times New Roman" w:hAnsi="Times New Roman" w:cs="Times New Roman"/>
        </w:rPr>
        <w:t>(1), 8426752.</w:t>
      </w:r>
      <w:r w:rsidR="00F46659">
        <w:rPr>
          <w:rFonts w:ascii="Times New Roman" w:hAnsi="Times New Roman" w:cs="Times New Roman"/>
        </w:rPr>
        <w:t xml:space="preserve"> </w:t>
      </w:r>
      <w:hyperlink r:id="rId33" w:history="1">
        <w:r w:rsidR="00F46659" w:rsidRPr="006F7967">
          <w:rPr>
            <w:rStyle w:val="Hyperlink"/>
            <w:rFonts w:ascii="Times New Roman" w:hAnsi="Times New Roman" w:cs="Times New Roman"/>
          </w:rPr>
          <w:t>https://doi.org/10.1155/2018/8426752</w:t>
        </w:r>
      </w:hyperlink>
      <w:r w:rsidR="00F46659">
        <w:rPr>
          <w:rFonts w:ascii="Times New Roman" w:hAnsi="Times New Roman" w:cs="Times New Roman"/>
        </w:rPr>
        <w:t xml:space="preserve"> </w:t>
      </w:r>
    </w:p>
    <w:p w14:paraId="5310618F" w14:textId="4ADBB2D4"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Chen, Y., Tang, Y., Li, Y., Rui, Y., &amp; Zhang, P. (2024). Enhancing the efficacy of active pharmaceutical ingredients in medicinal plants through </w:t>
      </w:r>
      <w:proofErr w:type="spellStart"/>
      <w:r w:rsidRPr="00D22B78">
        <w:rPr>
          <w:rFonts w:ascii="Times New Roman" w:hAnsi="Times New Roman" w:cs="Times New Roman"/>
        </w:rPr>
        <w:t>nanoformulations</w:t>
      </w:r>
      <w:proofErr w:type="spellEnd"/>
      <w:r w:rsidRPr="00D22B78">
        <w:rPr>
          <w:rFonts w:ascii="Times New Roman" w:hAnsi="Times New Roman" w:cs="Times New Roman"/>
        </w:rPr>
        <w:t>: a promising field. </w:t>
      </w:r>
      <w:r w:rsidRPr="00D22B78">
        <w:rPr>
          <w:rFonts w:ascii="Times New Roman" w:hAnsi="Times New Roman" w:cs="Times New Roman"/>
          <w:i/>
          <w:iCs/>
        </w:rPr>
        <w:t>Nanomaterials</w:t>
      </w:r>
      <w:r w:rsidRPr="00D22B78">
        <w:rPr>
          <w:rFonts w:ascii="Times New Roman" w:hAnsi="Times New Roman" w:cs="Times New Roman"/>
        </w:rPr>
        <w:t>, </w:t>
      </w:r>
      <w:r w:rsidRPr="00D22B78">
        <w:rPr>
          <w:rFonts w:ascii="Times New Roman" w:hAnsi="Times New Roman" w:cs="Times New Roman"/>
          <w:i/>
          <w:iCs/>
        </w:rPr>
        <w:t>14</w:t>
      </w:r>
      <w:r w:rsidRPr="00D22B78">
        <w:rPr>
          <w:rFonts w:ascii="Times New Roman" w:hAnsi="Times New Roman" w:cs="Times New Roman"/>
        </w:rPr>
        <w:t>(19), 1598.</w:t>
      </w:r>
      <w:r w:rsidR="00F46659">
        <w:rPr>
          <w:rFonts w:ascii="Times New Roman" w:hAnsi="Times New Roman" w:cs="Times New Roman"/>
        </w:rPr>
        <w:t xml:space="preserve"> </w:t>
      </w:r>
      <w:hyperlink r:id="rId34" w:history="1">
        <w:r w:rsidR="00F46659" w:rsidRPr="006F7967">
          <w:rPr>
            <w:rStyle w:val="Hyperlink"/>
            <w:rFonts w:ascii="Times New Roman" w:hAnsi="Times New Roman" w:cs="Times New Roman"/>
          </w:rPr>
          <w:t>https://doi.org/10.3390/nano14191598</w:t>
        </w:r>
      </w:hyperlink>
      <w:r w:rsidR="00F46659">
        <w:rPr>
          <w:rFonts w:ascii="Times New Roman" w:hAnsi="Times New Roman" w:cs="Times New Roman"/>
        </w:rPr>
        <w:t xml:space="preserve"> </w:t>
      </w:r>
    </w:p>
    <w:p w14:paraId="367B9C04" w14:textId="7387272F"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Gupta, M. K., Sansare, V., Shrivastava, B., Jadhav, S., &amp; Gurav, P. (2022). </w:t>
      </w:r>
      <w:r w:rsidRPr="00D22B78">
        <w:rPr>
          <w:rFonts w:ascii="Times New Roman" w:hAnsi="Times New Roman" w:cs="Times New Roman"/>
        </w:rPr>
        <w:t xml:space="preserve">Comprehensive review on use of </w:t>
      </w:r>
      <w:proofErr w:type="gramStart"/>
      <w:r w:rsidRPr="00D22B78">
        <w:rPr>
          <w:rFonts w:ascii="Times New Roman" w:hAnsi="Times New Roman" w:cs="Times New Roman"/>
        </w:rPr>
        <w:t>phospholipid based</w:t>
      </w:r>
      <w:proofErr w:type="gramEnd"/>
      <w:r w:rsidRPr="00D22B78">
        <w:rPr>
          <w:rFonts w:ascii="Times New Roman" w:hAnsi="Times New Roman" w:cs="Times New Roman"/>
        </w:rPr>
        <w:t xml:space="preserve"> vesicles for </w:t>
      </w:r>
      <w:proofErr w:type="spellStart"/>
      <w:r w:rsidRPr="00D22B78">
        <w:rPr>
          <w:rFonts w:ascii="Times New Roman" w:hAnsi="Times New Roman" w:cs="Times New Roman"/>
        </w:rPr>
        <w:t>phytoactive</w:t>
      </w:r>
      <w:proofErr w:type="spellEnd"/>
      <w:r w:rsidRPr="00D22B78">
        <w:rPr>
          <w:rFonts w:ascii="Times New Roman" w:hAnsi="Times New Roman" w:cs="Times New Roman"/>
        </w:rPr>
        <w:t xml:space="preserve"> delivery. </w:t>
      </w:r>
      <w:r w:rsidRPr="00D22B78">
        <w:rPr>
          <w:rFonts w:ascii="Times New Roman" w:hAnsi="Times New Roman" w:cs="Times New Roman"/>
          <w:i/>
          <w:iCs/>
        </w:rPr>
        <w:t>Journal of Liposome Research</w:t>
      </w:r>
      <w:r w:rsidRPr="00D22B78">
        <w:rPr>
          <w:rFonts w:ascii="Times New Roman" w:hAnsi="Times New Roman" w:cs="Times New Roman"/>
        </w:rPr>
        <w:t>, </w:t>
      </w:r>
      <w:r w:rsidRPr="00D22B78">
        <w:rPr>
          <w:rFonts w:ascii="Times New Roman" w:hAnsi="Times New Roman" w:cs="Times New Roman"/>
          <w:i/>
          <w:iCs/>
        </w:rPr>
        <w:t>32</w:t>
      </w:r>
      <w:r w:rsidRPr="00D22B78">
        <w:rPr>
          <w:rFonts w:ascii="Times New Roman" w:hAnsi="Times New Roman" w:cs="Times New Roman"/>
        </w:rPr>
        <w:t>(3), 211-223.</w:t>
      </w:r>
      <w:r w:rsidR="00F46659">
        <w:rPr>
          <w:rFonts w:ascii="Times New Roman" w:hAnsi="Times New Roman" w:cs="Times New Roman"/>
        </w:rPr>
        <w:t xml:space="preserve"> </w:t>
      </w:r>
      <w:hyperlink r:id="rId35" w:history="1">
        <w:r w:rsidR="00F46659" w:rsidRPr="006F7967">
          <w:rPr>
            <w:rStyle w:val="Hyperlink"/>
            <w:rFonts w:ascii="Times New Roman" w:hAnsi="Times New Roman" w:cs="Times New Roman"/>
          </w:rPr>
          <w:t>https://doi.org/10.1080/08982104.2021.1968430</w:t>
        </w:r>
      </w:hyperlink>
      <w:r w:rsidR="00F46659">
        <w:rPr>
          <w:rFonts w:ascii="Times New Roman" w:hAnsi="Times New Roman" w:cs="Times New Roman"/>
        </w:rPr>
        <w:t xml:space="preserve"> </w:t>
      </w:r>
    </w:p>
    <w:p w14:paraId="3F1D22F7" w14:textId="4B6DCD02"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Setia, A., Mehata, A. K., Singh, C., Badgujar, P., &amp; Muthu, M. S. (2025). Principles of Sustained, Controlled, and Targeted Delivery of Herbal Actives. </w:t>
      </w:r>
      <w:r w:rsidRPr="00D22B78">
        <w:rPr>
          <w:rFonts w:ascii="Times New Roman" w:hAnsi="Times New Roman" w:cs="Times New Roman"/>
          <w:i/>
          <w:iCs/>
        </w:rPr>
        <w:t xml:space="preserve">Formulating Pharma‐, Nutra‐, and </w:t>
      </w:r>
      <w:r w:rsidRPr="00D22B78">
        <w:rPr>
          <w:rFonts w:ascii="Times New Roman" w:hAnsi="Times New Roman" w:cs="Times New Roman"/>
          <w:i/>
          <w:iCs/>
        </w:rPr>
        <w:lastRenderedPageBreak/>
        <w:t>Cosmeceutical Products from Herbal Substances: Dosage Forms and Delivery Systems</w:t>
      </w:r>
      <w:r w:rsidRPr="00D22B78">
        <w:rPr>
          <w:rFonts w:ascii="Times New Roman" w:hAnsi="Times New Roman" w:cs="Times New Roman"/>
        </w:rPr>
        <w:t>, 139-161.</w:t>
      </w:r>
      <w:r w:rsidR="00F46659">
        <w:rPr>
          <w:rFonts w:ascii="Times New Roman" w:hAnsi="Times New Roman" w:cs="Times New Roman"/>
        </w:rPr>
        <w:t xml:space="preserve"> </w:t>
      </w:r>
      <w:hyperlink r:id="rId36" w:history="1">
        <w:r w:rsidR="00F46659" w:rsidRPr="006F7967">
          <w:rPr>
            <w:rStyle w:val="Hyperlink"/>
            <w:rFonts w:ascii="Times New Roman" w:hAnsi="Times New Roman" w:cs="Times New Roman"/>
          </w:rPr>
          <w:t>https://doi.org/10.1002/9781119769484.ch5</w:t>
        </w:r>
      </w:hyperlink>
      <w:r w:rsidR="00F46659">
        <w:rPr>
          <w:rFonts w:ascii="Times New Roman" w:hAnsi="Times New Roman" w:cs="Times New Roman"/>
        </w:rPr>
        <w:t xml:space="preserve"> </w:t>
      </w:r>
    </w:p>
    <w:p w14:paraId="5BD32B94" w14:textId="7D2598CF"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Usharani, P., Fatima, N., &amp; Muralidhar, N. (2013). </w:t>
      </w:r>
      <w:r w:rsidRPr="00D22B78">
        <w:rPr>
          <w:rFonts w:ascii="Times New Roman" w:hAnsi="Times New Roman" w:cs="Times New Roman"/>
        </w:rPr>
        <w:t xml:space="preserve">Effects of Phyllanthus </w:t>
      </w:r>
      <w:proofErr w:type="spellStart"/>
      <w:r w:rsidRPr="00D22B78">
        <w:rPr>
          <w:rFonts w:ascii="Times New Roman" w:hAnsi="Times New Roman" w:cs="Times New Roman"/>
        </w:rPr>
        <w:t>emblica</w:t>
      </w:r>
      <w:proofErr w:type="spellEnd"/>
      <w:r w:rsidRPr="00D22B78">
        <w:rPr>
          <w:rFonts w:ascii="Times New Roman" w:hAnsi="Times New Roman" w:cs="Times New Roman"/>
        </w:rPr>
        <w:t xml:space="preserve"> extract on endothelial dysfunction and biomarkers of oxidative stress in patients with type 2 diabetes mellitus: a randomized, double-blind, controlled study. </w:t>
      </w:r>
      <w:r w:rsidRPr="00D22B78">
        <w:rPr>
          <w:rFonts w:ascii="Times New Roman" w:hAnsi="Times New Roman" w:cs="Times New Roman"/>
          <w:i/>
          <w:iCs/>
        </w:rPr>
        <w:t>Diabetes, metabolic syndrome and obesity: Targets and Therapy</w:t>
      </w:r>
      <w:r w:rsidRPr="00D22B78">
        <w:rPr>
          <w:rFonts w:ascii="Times New Roman" w:hAnsi="Times New Roman" w:cs="Times New Roman"/>
        </w:rPr>
        <w:t>, 275-284.</w:t>
      </w:r>
      <w:r w:rsidR="00F46659">
        <w:rPr>
          <w:rFonts w:ascii="Times New Roman" w:hAnsi="Times New Roman" w:cs="Times New Roman"/>
        </w:rPr>
        <w:t xml:space="preserve"> </w:t>
      </w:r>
      <w:hyperlink r:id="rId37" w:history="1">
        <w:r w:rsidR="00F46659" w:rsidRPr="006F7967">
          <w:rPr>
            <w:rStyle w:val="Hyperlink"/>
            <w:rFonts w:ascii="Times New Roman" w:hAnsi="Times New Roman" w:cs="Times New Roman"/>
          </w:rPr>
          <w:t>https://doi.org/10.2147/DMSO.S46341</w:t>
        </w:r>
      </w:hyperlink>
      <w:r w:rsidR="00F46659">
        <w:rPr>
          <w:rFonts w:ascii="Times New Roman" w:hAnsi="Times New Roman" w:cs="Times New Roman"/>
        </w:rPr>
        <w:t xml:space="preserve"> </w:t>
      </w:r>
    </w:p>
    <w:p w14:paraId="4F3BC267" w14:textId="5DEB2435"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Nisar, A., Jagtap, S., Vyavahare, S., Deshpande, M., Harsulkar, A., </w:t>
      </w:r>
      <w:proofErr w:type="spellStart"/>
      <w:r w:rsidRPr="00D22B78">
        <w:rPr>
          <w:rFonts w:ascii="Times New Roman" w:hAnsi="Times New Roman" w:cs="Times New Roman"/>
        </w:rPr>
        <w:t>Ranjekar</w:t>
      </w:r>
      <w:proofErr w:type="spellEnd"/>
      <w:r w:rsidRPr="00D22B78">
        <w:rPr>
          <w:rFonts w:ascii="Times New Roman" w:hAnsi="Times New Roman" w:cs="Times New Roman"/>
        </w:rPr>
        <w:t>, P., &amp; Prakash, O. (2023). Phytochemicals in the treatment of inflammation-associated diseases: the journey from preclinical trials to clinical practice. </w:t>
      </w:r>
      <w:r w:rsidRPr="00D22B78">
        <w:rPr>
          <w:rFonts w:ascii="Times New Roman" w:hAnsi="Times New Roman" w:cs="Times New Roman"/>
          <w:i/>
          <w:iCs/>
        </w:rPr>
        <w:t>Frontiers in pharmacology</w:t>
      </w:r>
      <w:r w:rsidRPr="00D22B78">
        <w:rPr>
          <w:rFonts w:ascii="Times New Roman" w:hAnsi="Times New Roman" w:cs="Times New Roman"/>
        </w:rPr>
        <w:t>, </w:t>
      </w:r>
      <w:r w:rsidRPr="00D22B78">
        <w:rPr>
          <w:rFonts w:ascii="Times New Roman" w:hAnsi="Times New Roman" w:cs="Times New Roman"/>
          <w:i/>
          <w:iCs/>
        </w:rPr>
        <w:t>14</w:t>
      </w:r>
      <w:r w:rsidRPr="00D22B78">
        <w:rPr>
          <w:rFonts w:ascii="Times New Roman" w:hAnsi="Times New Roman" w:cs="Times New Roman"/>
        </w:rPr>
        <w:t>, 1177050.</w:t>
      </w:r>
      <w:r w:rsidR="00F46659">
        <w:rPr>
          <w:rFonts w:ascii="Times New Roman" w:hAnsi="Times New Roman" w:cs="Times New Roman"/>
        </w:rPr>
        <w:t xml:space="preserve"> </w:t>
      </w:r>
      <w:hyperlink r:id="rId38" w:history="1">
        <w:r w:rsidR="00F46659" w:rsidRPr="006F7967">
          <w:rPr>
            <w:rStyle w:val="Hyperlink"/>
            <w:rFonts w:ascii="Times New Roman" w:hAnsi="Times New Roman" w:cs="Times New Roman"/>
          </w:rPr>
          <w:t>https://doi.org/10.3389/fphar.2023.1177050</w:t>
        </w:r>
      </w:hyperlink>
      <w:r w:rsidR="00F46659">
        <w:rPr>
          <w:rFonts w:ascii="Times New Roman" w:hAnsi="Times New Roman" w:cs="Times New Roman"/>
        </w:rPr>
        <w:t xml:space="preserve"> </w:t>
      </w:r>
    </w:p>
    <w:p w14:paraId="429DCA00" w14:textId="3F68E135"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Kumar, M. M., Sharma, A., Rinka Juneja, D. T. P., Arif, M. M., Singh, M. A. D., &amp; Kumar, A. (2025). </w:t>
      </w:r>
      <w:r w:rsidRPr="00D22B78">
        <w:rPr>
          <w:rFonts w:ascii="Times New Roman" w:hAnsi="Times New Roman" w:cs="Times New Roman"/>
        </w:rPr>
        <w:t xml:space="preserve">Biological Evaluation </w:t>
      </w:r>
      <w:proofErr w:type="gramStart"/>
      <w:r w:rsidRPr="00D22B78">
        <w:rPr>
          <w:rFonts w:ascii="Times New Roman" w:hAnsi="Times New Roman" w:cs="Times New Roman"/>
        </w:rPr>
        <w:t>Of</w:t>
      </w:r>
      <w:proofErr w:type="gramEnd"/>
      <w:r w:rsidRPr="00D22B78">
        <w:rPr>
          <w:rFonts w:ascii="Times New Roman" w:hAnsi="Times New Roman" w:cs="Times New Roman"/>
        </w:rPr>
        <w:t xml:space="preserve"> Herbal Preparations And Formulation Standardization: A Literature Study. </w:t>
      </w:r>
      <w:r w:rsidRPr="00D22B78">
        <w:rPr>
          <w:rFonts w:ascii="Times New Roman" w:hAnsi="Times New Roman" w:cs="Times New Roman"/>
          <w:i/>
          <w:iCs/>
        </w:rPr>
        <w:t>Journal of Neonatal Surgery</w:t>
      </w:r>
      <w:r w:rsidRPr="00D22B78">
        <w:rPr>
          <w:rFonts w:ascii="Times New Roman" w:hAnsi="Times New Roman" w:cs="Times New Roman"/>
        </w:rPr>
        <w:t>, </w:t>
      </w:r>
      <w:r w:rsidRPr="00D22B78">
        <w:rPr>
          <w:rFonts w:ascii="Times New Roman" w:hAnsi="Times New Roman" w:cs="Times New Roman"/>
          <w:i/>
          <w:iCs/>
        </w:rPr>
        <w:t>14</w:t>
      </w:r>
      <w:r w:rsidRPr="00D22B78">
        <w:rPr>
          <w:rFonts w:ascii="Times New Roman" w:hAnsi="Times New Roman" w:cs="Times New Roman"/>
        </w:rPr>
        <w:t>(8s).</w:t>
      </w:r>
      <w:r w:rsidR="00F46659">
        <w:rPr>
          <w:rFonts w:ascii="Times New Roman" w:hAnsi="Times New Roman" w:cs="Times New Roman"/>
        </w:rPr>
        <w:t xml:space="preserve"> </w:t>
      </w:r>
      <w:hyperlink r:id="rId39" w:history="1">
        <w:r w:rsidR="00F46659" w:rsidRPr="006F7967">
          <w:rPr>
            <w:rStyle w:val="Hyperlink"/>
            <w:rFonts w:ascii="Times New Roman" w:hAnsi="Times New Roman" w:cs="Times New Roman"/>
          </w:rPr>
          <w:t>https://doi.org/10.52783/jns.v14.2537</w:t>
        </w:r>
      </w:hyperlink>
      <w:r w:rsidR="00F46659">
        <w:rPr>
          <w:rFonts w:ascii="Times New Roman" w:hAnsi="Times New Roman" w:cs="Times New Roman"/>
        </w:rPr>
        <w:t xml:space="preserve"> </w:t>
      </w:r>
    </w:p>
    <w:p w14:paraId="3A5B4102" w14:textId="1D6F7238"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Button, K. S., Ioannidis, J. P., </w:t>
      </w:r>
      <w:proofErr w:type="spellStart"/>
      <w:r w:rsidRPr="00D22B78">
        <w:rPr>
          <w:rFonts w:ascii="Times New Roman" w:hAnsi="Times New Roman" w:cs="Times New Roman"/>
        </w:rPr>
        <w:t>Mokrysz</w:t>
      </w:r>
      <w:proofErr w:type="spellEnd"/>
      <w:r w:rsidRPr="00D22B78">
        <w:rPr>
          <w:rFonts w:ascii="Times New Roman" w:hAnsi="Times New Roman" w:cs="Times New Roman"/>
        </w:rPr>
        <w:t xml:space="preserve">, C., Nosek, B. A., Flint, J., Robinson, E. S., &amp; </w:t>
      </w:r>
      <w:proofErr w:type="spellStart"/>
      <w:r w:rsidRPr="00D22B78">
        <w:rPr>
          <w:rFonts w:ascii="Times New Roman" w:hAnsi="Times New Roman" w:cs="Times New Roman"/>
        </w:rPr>
        <w:t>Munafò</w:t>
      </w:r>
      <w:proofErr w:type="spellEnd"/>
      <w:r w:rsidRPr="00D22B78">
        <w:rPr>
          <w:rFonts w:ascii="Times New Roman" w:hAnsi="Times New Roman" w:cs="Times New Roman"/>
        </w:rPr>
        <w:t>, M. R. (2013). Power failure: why small sample size undermines the reliability of neuroscience. </w:t>
      </w:r>
      <w:r w:rsidRPr="00D22B78">
        <w:rPr>
          <w:rFonts w:ascii="Times New Roman" w:hAnsi="Times New Roman" w:cs="Times New Roman"/>
          <w:i/>
          <w:iCs/>
        </w:rPr>
        <w:t>Nature reviews neuroscience</w:t>
      </w:r>
      <w:r w:rsidRPr="00D22B78">
        <w:rPr>
          <w:rFonts w:ascii="Times New Roman" w:hAnsi="Times New Roman" w:cs="Times New Roman"/>
        </w:rPr>
        <w:t>, </w:t>
      </w:r>
      <w:r w:rsidRPr="00D22B78">
        <w:rPr>
          <w:rFonts w:ascii="Times New Roman" w:hAnsi="Times New Roman" w:cs="Times New Roman"/>
          <w:i/>
          <w:iCs/>
        </w:rPr>
        <w:t>14</w:t>
      </w:r>
      <w:r w:rsidRPr="00D22B78">
        <w:rPr>
          <w:rFonts w:ascii="Times New Roman" w:hAnsi="Times New Roman" w:cs="Times New Roman"/>
        </w:rPr>
        <w:t>(5), 365-376.</w:t>
      </w:r>
      <w:r w:rsidR="00F46659">
        <w:rPr>
          <w:rFonts w:ascii="Times New Roman" w:hAnsi="Times New Roman" w:cs="Times New Roman"/>
        </w:rPr>
        <w:t xml:space="preserve"> </w:t>
      </w:r>
      <w:hyperlink r:id="rId40" w:history="1">
        <w:r w:rsidR="00F46659" w:rsidRPr="006F7967">
          <w:rPr>
            <w:rStyle w:val="Hyperlink"/>
            <w:rFonts w:ascii="Times New Roman" w:hAnsi="Times New Roman" w:cs="Times New Roman"/>
          </w:rPr>
          <w:t>https://doi.org/10.1038/nrn3475</w:t>
        </w:r>
      </w:hyperlink>
      <w:r w:rsidR="00F46659">
        <w:rPr>
          <w:rFonts w:ascii="Times New Roman" w:hAnsi="Times New Roman" w:cs="Times New Roman"/>
        </w:rPr>
        <w:t xml:space="preserve"> </w:t>
      </w:r>
    </w:p>
    <w:p w14:paraId="59D9CFDA" w14:textId="3867E7FF" w:rsidR="00B364E0" w:rsidRPr="00D22B78" w:rsidRDefault="00B364E0" w:rsidP="00F84336">
      <w:pPr>
        <w:pStyle w:val="ListParagraph"/>
        <w:numPr>
          <w:ilvl w:val="0"/>
          <w:numId w:val="1"/>
        </w:numPr>
        <w:jc w:val="both"/>
        <w:rPr>
          <w:rFonts w:ascii="Times New Roman" w:hAnsi="Times New Roman" w:cs="Times New Roman"/>
        </w:rPr>
      </w:pPr>
      <w:r w:rsidRPr="00707969">
        <w:rPr>
          <w:rFonts w:ascii="Times New Roman" w:hAnsi="Times New Roman" w:cs="Times New Roman"/>
          <w:lang w:val="fi-FI"/>
        </w:rPr>
        <w:t xml:space="preserve">Kim, E. J., Chen, Y., Huang, J. Q., Li, K. M., Razmovski-Naumovski, V., Poon, J., ... </w:t>
      </w:r>
      <w:r w:rsidRPr="00D22B78">
        <w:rPr>
          <w:rFonts w:ascii="Times New Roman" w:hAnsi="Times New Roman" w:cs="Times New Roman"/>
        </w:rPr>
        <w:t>&amp; Li, G. Q. (2013). Evidence-based toxicity evaluation and scheduling of Chinese herbal medicines. </w:t>
      </w:r>
      <w:r w:rsidRPr="00D22B78">
        <w:rPr>
          <w:rFonts w:ascii="Times New Roman" w:hAnsi="Times New Roman" w:cs="Times New Roman"/>
          <w:i/>
          <w:iCs/>
        </w:rPr>
        <w:t>Journal of Ethnopharmacology</w:t>
      </w:r>
      <w:r w:rsidRPr="00D22B78">
        <w:rPr>
          <w:rFonts w:ascii="Times New Roman" w:hAnsi="Times New Roman" w:cs="Times New Roman"/>
        </w:rPr>
        <w:t>, </w:t>
      </w:r>
      <w:r w:rsidRPr="00D22B78">
        <w:rPr>
          <w:rFonts w:ascii="Times New Roman" w:hAnsi="Times New Roman" w:cs="Times New Roman"/>
          <w:i/>
          <w:iCs/>
        </w:rPr>
        <w:t>146</w:t>
      </w:r>
      <w:r w:rsidRPr="00D22B78">
        <w:rPr>
          <w:rFonts w:ascii="Times New Roman" w:hAnsi="Times New Roman" w:cs="Times New Roman"/>
        </w:rPr>
        <w:t>(1), 40-61.</w:t>
      </w:r>
      <w:r w:rsidR="00F46659">
        <w:rPr>
          <w:rFonts w:ascii="Times New Roman" w:hAnsi="Times New Roman" w:cs="Times New Roman"/>
        </w:rPr>
        <w:t xml:space="preserve"> </w:t>
      </w:r>
      <w:hyperlink r:id="rId41" w:history="1">
        <w:r w:rsidR="00F46659" w:rsidRPr="006F7967">
          <w:rPr>
            <w:rStyle w:val="Hyperlink"/>
            <w:rFonts w:ascii="Times New Roman" w:hAnsi="Times New Roman" w:cs="Times New Roman"/>
          </w:rPr>
          <w:t>https://doi.org/10.1016/j.jep.2012.12.027</w:t>
        </w:r>
      </w:hyperlink>
      <w:r w:rsidR="00F46659">
        <w:rPr>
          <w:rFonts w:ascii="Times New Roman" w:hAnsi="Times New Roman" w:cs="Times New Roman"/>
        </w:rPr>
        <w:t xml:space="preserve"> </w:t>
      </w:r>
    </w:p>
    <w:p w14:paraId="1407CE24" w14:textId="50865A06"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Li, J., Wang, S., Tian, F., Zhang, S. Q., &amp; Jin, H. (2022). Advances in pharmacokinetic mechanisms of transporter-mediated herb-drug interactions. </w:t>
      </w:r>
      <w:r w:rsidRPr="00D22B78">
        <w:rPr>
          <w:rFonts w:ascii="Times New Roman" w:hAnsi="Times New Roman" w:cs="Times New Roman"/>
          <w:i/>
          <w:iCs/>
        </w:rPr>
        <w:t>Pharmaceuticals</w:t>
      </w:r>
      <w:r w:rsidRPr="00D22B78">
        <w:rPr>
          <w:rFonts w:ascii="Times New Roman" w:hAnsi="Times New Roman" w:cs="Times New Roman"/>
        </w:rPr>
        <w:t>, </w:t>
      </w:r>
      <w:r w:rsidRPr="00D22B78">
        <w:rPr>
          <w:rFonts w:ascii="Times New Roman" w:hAnsi="Times New Roman" w:cs="Times New Roman"/>
          <w:i/>
          <w:iCs/>
        </w:rPr>
        <w:t>15</w:t>
      </w:r>
      <w:r w:rsidRPr="00D22B78">
        <w:rPr>
          <w:rFonts w:ascii="Times New Roman" w:hAnsi="Times New Roman" w:cs="Times New Roman"/>
        </w:rPr>
        <w:t>(9), 1126.</w:t>
      </w:r>
      <w:r w:rsidR="00F46659">
        <w:rPr>
          <w:rFonts w:ascii="Times New Roman" w:hAnsi="Times New Roman" w:cs="Times New Roman"/>
        </w:rPr>
        <w:t xml:space="preserve"> </w:t>
      </w:r>
      <w:hyperlink r:id="rId42" w:history="1">
        <w:r w:rsidR="00F46659" w:rsidRPr="006F7967">
          <w:rPr>
            <w:rStyle w:val="Hyperlink"/>
            <w:rFonts w:ascii="Times New Roman" w:hAnsi="Times New Roman" w:cs="Times New Roman"/>
          </w:rPr>
          <w:t>https://doi.org/10.3390/ph15091126</w:t>
        </w:r>
      </w:hyperlink>
      <w:r w:rsidR="00F46659">
        <w:rPr>
          <w:rFonts w:ascii="Times New Roman" w:hAnsi="Times New Roman" w:cs="Times New Roman"/>
        </w:rPr>
        <w:t xml:space="preserve"> </w:t>
      </w:r>
    </w:p>
    <w:p w14:paraId="0A7BFCCB" w14:textId="37F93258"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Thakkar, S., Anklam, E., Xu, A., </w:t>
      </w:r>
      <w:proofErr w:type="spellStart"/>
      <w:r w:rsidRPr="00D22B78">
        <w:rPr>
          <w:rFonts w:ascii="Times New Roman" w:hAnsi="Times New Roman" w:cs="Times New Roman"/>
        </w:rPr>
        <w:t>Ulberth</w:t>
      </w:r>
      <w:proofErr w:type="spellEnd"/>
      <w:r w:rsidRPr="00D22B78">
        <w:rPr>
          <w:rFonts w:ascii="Times New Roman" w:hAnsi="Times New Roman" w:cs="Times New Roman"/>
        </w:rPr>
        <w:t>, F., Li, J., Li, B., ... &amp; Tong, W. (2020). Regulatory landscape of dietary supplements and herbal medicines from a global perspective. </w:t>
      </w:r>
      <w:r w:rsidRPr="00D22B78">
        <w:rPr>
          <w:rFonts w:ascii="Times New Roman" w:hAnsi="Times New Roman" w:cs="Times New Roman"/>
          <w:i/>
          <w:iCs/>
        </w:rPr>
        <w:t>Regulatory Toxicology and Pharmacology</w:t>
      </w:r>
      <w:r w:rsidRPr="00D22B78">
        <w:rPr>
          <w:rFonts w:ascii="Times New Roman" w:hAnsi="Times New Roman" w:cs="Times New Roman"/>
        </w:rPr>
        <w:t>, </w:t>
      </w:r>
      <w:r w:rsidRPr="00D22B78">
        <w:rPr>
          <w:rFonts w:ascii="Times New Roman" w:hAnsi="Times New Roman" w:cs="Times New Roman"/>
          <w:i/>
          <w:iCs/>
        </w:rPr>
        <w:t>114</w:t>
      </w:r>
      <w:r w:rsidRPr="00D22B78">
        <w:rPr>
          <w:rFonts w:ascii="Times New Roman" w:hAnsi="Times New Roman" w:cs="Times New Roman"/>
        </w:rPr>
        <w:t>, 104647.</w:t>
      </w:r>
      <w:r w:rsidR="00F46659">
        <w:rPr>
          <w:rFonts w:ascii="Times New Roman" w:hAnsi="Times New Roman" w:cs="Times New Roman"/>
        </w:rPr>
        <w:t xml:space="preserve"> </w:t>
      </w:r>
      <w:hyperlink r:id="rId43" w:history="1">
        <w:r w:rsidR="00F46659" w:rsidRPr="006F7967">
          <w:rPr>
            <w:rStyle w:val="Hyperlink"/>
            <w:rFonts w:ascii="Times New Roman" w:hAnsi="Times New Roman" w:cs="Times New Roman"/>
          </w:rPr>
          <w:t>https://doi.org/10.1016/j.yrtph.2020.104647</w:t>
        </w:r>
      </w:hyperlink>
      <w:r w:rsidR="00F46659">
        <w:rPr>
          <w:rFonts w:ascii="Times New Roman" w:hAnsi="Times New Roman" w:cs="Times New Roman"/>
        </w:rPr>
        <w:t xml:space="preserve"> </w:t>
      </w:r>
    </w:p>
    <w:p w14:paraId="519DB6AF" w14:textId="6C3430A0"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Zhang, J., Wider, B., Shang, H., Li, X., &amp; Ernst, E. (2012). Quality of herbal medicines: challenges and solutions. </w:t>
      </w:r>
      <w:r w:rsidRPr="00D22B78">
        <w:rPr>
          <w:rFonts w:ascii="Times New Roman" w:hAnsi="Times New Roman" w:cs="Times New Roman"/>
          <w:i/>
          <w:iCs/>
        </w:rPr>
        <w:t>Complementary therapies in medicine</w:t>
      </w:r>
      <w:r w:rsidRPr="00D22B78">
        <w:rPr>
          <w:rFonts w:ascii="Times New Roman" w:hAnsi="Times New Roman" w:cs="Times New Roman"/>
        </w:rPr>
        <w:t>, </w:t>
      </w:r>
      <w:r w:rsidRPr="00D22B78">
        <w:rPr>
          <w:rFonts w:ascii="Times New Roman" w:hAnsi="Times New Roman" w:cs="Times New Roman"/>
          <w:i/>
          <w:iCs/>
        </w:rPr>
        <w:t>20</w:t>
      </w:r>
      <w:r w:rsidRPr="00D22B78">
        <w:rPr>
          <w:rFonts w:ascii="Times New Roman" w:hAnsi="Times New Roman" w:cs="Times New Roman"/>
        </w:rPr>
        <w:t>(1-2), 100-106.</w:t>
      </w:r>
      <w:r w:rsidR="00F46659">
        <w:rPr>
          <w:rFonts w:ascii="Times New Roman" w:hAnsi="Times New Roman" w:cs="Times New Roman"/>
        </w:rPr>
        <w:t xml:space="preserve"> </w:t>
      </w:r>
      <w:hyperlink r:id="rId44" w:history="1">
        <w:r w:rsidR="00F46659" w:rsidRPr="006F7967">
          <w:rPr>
            <w:rStyle w:val="Hyperlink"/>
            <w:rFonts w:ascii="Times New Roman" w:hAnsi="Times New Roman" w:cs="Times New Roman"/>
          </w:rPr>
          <w:t>https://doi.org/10.1016/j.ctim.2011.09.004</w:t>
        </w:r>
      </w:hyperlink>
      <w:r w:rsidR="00F46659">
        <w:rPr>
          <w:rFonts w:ascii="Times New Roman" w:hAnsi="Times New Roman" w:cs="Times New Roman"/>
        </w:rPr>
        <w:t xml:space="preserve"> </w:t>
      </w:r>
    </w:p>
    <w:p w14:paraId="2A764798" w14:textId="5B780D57"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Dhami, N., &amp; Mishra, A. D. (2015). Phytochemical variation: how to resolve the quality controversies of herbal medicinal </w:t>
      </w:r>
      <w:proofErr w:type="gramStart"/>
      <w:r w:rsidRPr="00D22B78">
        <w:rPr>
          <w:rFonts w:ascii="Times New Roman" w:hAnsi="Times New Roman" w:cs="Times New Roman"/>
        </w:rPr>
        <w:t>products?.</w:t>
      </w:r>
      <w:proofErr w:type="gramEnd"/>
      <w:r w:rsidRPr="00D22B78">
        <w:rPr>
          <w:rFonts w:ascii="Times New Roman" w:hAnsi="Times New Roman" w:cs="Times New Roman"/>
        </w:rPr>
        <w:t> </w:t>
      </w:r>
      <w:r w:rsidRPr="00D22B78">
        <w:rPr>
          <w:rFonts w:ascii="Times New Roman" w:hAnsi="Times New Roman" w:cs="Times New Roman"/>
          <w:i/>
          <w:iCs/>
        </w:rPr>
        <w:t>Journal of herbal medicine</w:t>
      </w:r>
      <w:r w:rsidRPr="00D22B78">
        <w:rPr>
          <w:rFonts w:ascii="Times New Roman" w:hAnsi="Times New Roman" w:cs="Times New Roman"/>
        </w:rPr>
        <w:t>, </w:t>
      </w:r>
      <w:r w:rsidRPr="00D22B78">
        <w:rPr>
          <w:rFonts w:ascii="Times New Roman" w:hAnsi="Times New Roman" w:cs="Times New Roman"/>
          <w:i/>
          <w:iCs/>
        </w:rPr>
        <w:t>5</w:t>
      </w:r>
      <w:r w:rsidRPr="00D22B78">
        <w:rPr>
          <w:rFonts w:ascii="Times New Roman" w:hAnsi="Times New Roman" w:cs="Times New Roman"/>
        </w:rPr>
        <w:t>(2), 118-127.</w:t>
      </w:r>
      <w:r w:rsidR="00F46659">
        <w:rPr>
          <w:rFonts w:ascii="Times New Roman" w:hAnsi="Times New Roman" w:cs="Times New Roman"/>
        </w:rPr>
        <w:t xml:space="preserve"> </w:t>
      </w:r>
      <w:hyperlink r:id="rId45" w:history="1">
        <w:r w:rsidR="00F46659" w:rsidRPr="006F7967">
          <w:rPr>
            <w:rStyle w:val="Hyperlink"/>
            <w:rFonts w:ascii="Times New Roman" w:hAnsi="Times New Roman" w:cs="Times New Roman"/>
          </w:rPr>
          <w:t>https://doi.org/10.1016/j.hermed.2015.04.002</w:t>
        </w:r>
      </w:hyperlink>
      <w:r w:rsidR="00F46659">
        <w:rPr>
          <w:rFonts w:ascii="Times New Roman" w:hAnsi="Times New Roman" w:cs="Times New Roman"/>
        </w:rPr>
        <w:t xml:space="preserve"> </w:t>
      </w:r>
    </w:p>
    <w:p w14:paraId="16A55AE7" w14:textId="27CF1D5C"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Yang, J., Li, K., He, D., Gu, J., Xu, J., Xie, J., ... &amp; Zhang, J. (2020). Toward a better understanding of metabolic and pharmacokinetic characteristics of low-solubility, low-permeability natural medicines. </w:t>
      </w:r>
      <w:r w:rsidRPr="00D22B78">
        <w:rPr>
          <w:rFonts w:ascii="Times New Roman" w:hAnsi="Times New Roman" w:cs="Times New Roman"/>
          <w:i/>
          <w:iCs/>
        </w:rPr>
        <w:t>Drug Metabolism Reviews</w:t>
      </w:r>
      <w:r w:rsidRPr="00D22B78">
        <w:rPr>
          <w:rFonts w:ascii="Times New Roman" w:hAnsi="Times New Roman" w:cs="Times New Roman"/>
        </w:rPr>
        <w:t>, </w:t>
      </w:r>
      <w:r w:rsidRPr="00D22B78">
        <w:rPr>
          <w:rFonts w:ascii="Times New Roman" w:hAnsi="Times New Roman" w:cs="Times New Roman"/>
          <w:i/>
          <w:iCs/>
        </w:rPr>
        <w:t>52</w:t>
      </w:r>
      <w:r w:rsidRPr="00D22B78">
        <w:rPr>
          <w:rFonts w:ascii="Times New Roman" w:hAnsi="Times New Roman" w:cs="Times New Roman"/>
        </w:rPr>
        <w:t>(1), 19-43.</w:t>
      </w:r>
      <w:r w:rsidR="00F46659">
        <w:rPr>
          <w:rFonts w:ascii="Times New Roman" w:hAnsi="Times New Roman" w:cs="Times New Roman"/>
        </w:rPr>
        <w:t xml:space="preserve"> </w:t>
      </w:r>
      <w:hyperlink r:id="rId46" w:history="1">
        <w:r w:rsidR="00F46659" w:rsidRPr="006F7967">
          <w:rPr>
            <w:rStyle w:val="Hyperlink"/>
            <w:rFonts w:ascii="Times New Roman" w:hAnsi="Times New Roman" w:cs="Times New Roman"/>
          </w:rPr>
          <w:t>https://doi.org/10.1080/03602532.2020.1714646</w:t>
        </w:r>
      </w:hyperlink>
      <w:r w:rsidR="00F46659">
        <w:rPr>
          <w:rFonts w:ascii="Times New Roman" w:hAnsi="Times New Roman" w:cs="Times New Roman"/>
        </w:rPr>
        <w:t xml:space="preserve"> </w:t>
      </w:r>
    </w:p>
    <w:p w14:paraId="609D0ABC" w14:textId="14CD27BC"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Hund, E., Massart, D. L., &amp; </w:t>
      </w:r>
      <w:proofErr w:type="spellStart"/>
      <w:r w:rsidRPr="00D22B78">
        <w:rPr>
          <w:rFonts w:ascii="Times New Roman" w:hAnsi="Times New Roman" w:cs="Times New Roman"/>
        </w:rPr>
        <w:t>Smeyers</w:t>
      </w:r>
      <w:proofErr w:type="spellEnd"/>
      <w:r w:rsidRPr="00D22B78">
        <w:rPr>
          <w:rFonts w:ascii="Times New Roman" w:hAnsi="Times New Roman" w:cs="Times New Roman"/>
        </w:rPr>
        <w:t>-Verbeke, J. (2000). Inter-laboratory studies in analytical chemistry. </w:t>
      </w:r>
      <w:r w:rsidRPr="00D22B78">
        <w:rPr>
          <w:rFonts w:ascii="Times New Roman" w:hAnsi="Times New Roman" w:cs="Times New Roman"/>
          <w:i/>
          <w:iCs/>
        </w:rPr>
        <w:t xml:space="preserve">Analytica </w:t>
      </w:r>
      <w:proofErr w:type="spellStart"/>
      <w:r w:rsidRPr="00D22B78">
        <w:rPr>
          <w:rFonts w:ascii="Times New Roman" w:hAnsi="Times New Roman" w:cs="Times New Roman"/>
          <w:i/>
          <w:iCs/>
        </w:rPr>
        <w:t>Chimica</w:t>
      </w:r>
      <w:proofErr w:type="spellEnd"/>
      <w:r w:rsidRPr="00D22B78">
        <w:rPr>
          <w:rFonts w:ascii="Times New Roman" w:hAnsi="Times New Roman" w:cs="Times New Roman"/>
          <w:i/>
          <w:iCs/>
        </w:rPr>
        <w:t xml:space="preserve"> Acta</w:t>
      </w:r>
      <w:r w:rsidRPr="00D22B78">
        <w:rPr>
          <w:rFonts w:ascii="Times New Roman" w:hAnsi="Times New Roman" w:cs="Times New Roman"/>
        </w:rPr>
        <w:t>, </w:t>
      </w:r>
      <w:r w:rsidRPr="00D22B78">
        <w:rPr>
          <w:rFonts w:ascii="Times New Roman" w:hAnsi="Times New Roman" w:cs="Times New Roman"/>
          <w:i/>
          <w:iCs/>
        </w:rPr>
        <w:t>423</w:t>
      </w:r>
      <w:r w:rsidRPr="00D22B78">
        <w:rPr>
          <w:rFonts w:ascii="Times New Roman" w:hAnsi="Times New Roman" w:cs="Times New Roman"/>
        </w:rPr>
        <w:t>(2), 145-165.</w:t>
      </w:r>
      <w:r w:rsidR="00F46659">
        <w:rPr>
          <w:rFonts w:ascii="Times New Roman" w:hAnsi="Times New Roman" w:cs="Times New Roman"/>
        </w:rPr>
        <w:t xml:space="preserve"> </w:t>
      </w:r>
      <w:hyperlink r:id="rId47" w:history="1">
        <w:r w:rsidR="00F46659" w:rsidRPr="006F7967">
          <w:rPr>
            <w:rStyle w:val="Hyperlink"/>
            <w:rFonts w:ascii="Times New Roman" w:hAnsi="Times New Roman" w:cs="Times New Roman"/>
          </w:rPr>
          <w:t>https://doi.org/10.1016/s0003-2670(00)01115-6</w:t>
        </w:r>
      </w:hyperlink>
      <w:r w:rsidR="00F46659">
        <w:rPr>
          <w:rFonts w:ascii="Times New Roman" w:hAnsi="Times New Roman" w:cs="Times New Roman"/>
        </w:rPr>
        <w:t xml:space="preserve"> </w:t>
      </w:r>
    </w:p>
    <w:p w14:paraId="03B1BEB1" w14:textId="183AE3CF"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Sahana, S., Sarkar, J., Mandal, S., Chatterjee, I., Dhar, S., Datta, S., &amp; Mondal, S. (2025). Multi-omics approaches: transforming the landscape of natural product isolation. </w:t>
      </w:r>
      <w:r w:rsidRPr="00D22B78">
        <w:rPr>
          <w:rFonts w:ascii="Times New Roman" w:hAnsi="Times New Roman" w:cs="Times New Roman"/>
          <w:i/>
          <w:iCs/>
        </w:rPr>
        <w:t>Functional &amp; Integrative Genomics</w:t>
      </w:r>
      <w:r w:rsidRPr="00D22B78">
        <w:rPr>
          <w:rFonts w:ascii="Times New Roman" w:hAnsi="Times New Roman" w:cs="Times New Roman"/>
        </w:rPr>
        <w:t>, </w:t>
      </w:r>
      <w:r w:rsidRPr="00D22B78">
        <w:rPr>
          <w:rFonts w:ascii="Times New Roman" w:hAnsi="Times New Roman" w:cs="Times New Roman"/>
          <w:i/>
          <w:iCs/>
        </w:rPr>
        <w:t>25</w:t>
      </w:r>
      <w:r w:rsidRPr="00D22B78">
        <w:rPr>
          <w:rFonts w:ascii="Times New Roman" w:hAnsi="Times New Roman" w:cs="Times New Roman"/>
        </w:rPr>
        <w:t>(1), 132.</w:t>
      </w:r>
      <w:r w:rsidR="00F46659">
        <w:rPr>
          <w:rFonts w:ascii="Times New Roman" w:hAnsi="Times New Roman" w:cs="Times New Roman"/>
        </w:rPr>
        <w:t xml:space="preserve"> </w:t>
      </w:r>
      <w:hyperlink r:id="rId48" w:history="1">
        <w:r w:rsidR="00F46659" w:rsidRPr="006F7967">
          <w:rPr>
            <w:rStyle w:val="Hyperlink"/>
            <w:rFonts w:ascii="Times New Roman" w:hAnsi="Times New Roman" w:cs="Times New Roman"/>
          </w:rPr>
          <w:t>https://doi.org/10.1007/s10142-025-01645-7</w:t>
        </w:r>
      </w:hyperlink>
      <w:r w:rsidR="00F46659">
        <w:rPr>
          <w:rFonts w:ascii="Times New Roman" w:hAnsi="Times New Roman" w:cs="Times New Roman"/>
        </w:rPr>
        <w:t xml:space="preserve"> </w:t>
      </w:r>
    </w:p>
    <w:p w14:paraId="54ED5175" w14:textId="0A262650"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t xml:space="preserve">Chen, L., </w:t>
      </w:r>
      <w:proofErr w:type="spellStart"/>
      <w:r w:rsidRPr="00D22B78">
        <w:rPr>
          <w:rFonts w:ascii="Times New Roman" w:hAnsi="Times New Roman" w:cs="Times New Roman"/>
        </w:rPr>
        <w:t>Zhernakova</w:t>
      </w:r>
      <w:proofErr w:type="spellEnd"/>
      <w:r w:rsidRPr="00D22B78">
        <w:rPr>
          <w:rFonts w:ascii="Times New Roman" w:hAnsi="Times New Roman" w:cs="Times New Roman"/>
        </w:rPr>
        <w:t>, D. V., Kurilshikov, A., Andreu-Sánchez, S., Wang, D., Augustijn, H. E., ... &amp; Fu, J. (2022). Influence of the microbiome, diet and genetics on inter-individual variation in the human plasma metabolome. </w:t>
      </w:r>
      <w:r w:rsidRPr="00D22B78">
        <w:rPr>
          <w:rFonts w:ascii="Times New Roman" w:hAnsi="Times New Roman" w:cs="Times New Roman"/>
          <w:i/>
          <w:iCs/>
        </w:rPr>
        <w:t>Nature medicine</w:t>
      </w:r>
      <w:r w:rsidRPr="00D22B78">
        <w:rPr>
          <w:rFonts w:ascii="Times New Roman" w:hAnsi="Times New Roman" w:cs="Times New Roman"/>
        </w:rPr>
        <w:t>, </w:t>
      </w:r>
      <w:r w:rsidRPr="00D22B78">
        <w:rPr>
          <w:rFonts w:ascii="Times New Roman" w:hAnsi="Times New Roman" w:cs="Times New Roman"/>
          <w:i/>
          <w:iCs/>
        </w:rPr>
        <w:t>28</w:t>
      </w:r>
      <w:r w:rsidRPr="00D22B78">
        <w:rPr>
          <w:rFonts w:ascii="Times New Roman" w:hAnsi="Times New Roman" w:cs="Times New Roman"/>
        </w:rPr>
        <w:t>(11), 2333-2343.</w:t>
      </w:r>
      <w:r w:rsidR="00F46659">
        <w:rPr>
          <w:rFonts w:ascii="Times New Roman" w:hAnsi="Times New Roman" w:cs="Times New Roman"/>
        </w:rPr>
        <w:t xml:space="preserve"> </w:t>
      </w:r>
      <w:hyperlink r:id="rId49" w:history="1">
        <w:r w:rsidR="00F46659" w:rsidRPr="006F7967">
          <w:rPr>
            <w:rStyle w:val="Hyperlink"/>
            <w:rFonts w:ascii="Times New Roman" w:hAnsi="Times New Roman" w:cs="Times New Roman"/>
          </w:rPr>
          <w:t>https://doi.org/10.1038/s41591-022-02014-8</w:t>
        </w:r>
      </w:hyperlink>
      <w:r w:rsidR="00F46659">
        <w:rPr>
          <w:rFonts w:ascii="Times New Roman" w:hAnsi="Times New Roman" w:cs="Times New Roman"/>
        </w:rPr>
        <w:t xml:space="preserve"> </w:t>
      </w:r>
    </w:p>
    <w:p w14:paraId="2F5AE872" w14:textId="1660B2D5" w:rsidR="00B364E0" w:rsidRPr="00D22B78" w:rsidRDefault="00B364E0" w:rsidP="00F84336">
      <w:pPr>
        <w:pStyle w:val="ListParagraph"/>
        <w:numPr>
          <w:ilvl w:val="0"/>
          <w:numId w:val="1"/>
        </w:numPr>
        <w:jc w:val="both"/>
        <w:rPr>
          <w:rFonts w:ascii="Times New Roman" w:hAnsi="Times New Roman" w:cs="Times New Roman"/>
        </w:rPr>
      </w:pPr>
      <w:r w:rsidRPr="00D22B78">
        <w:rPr>
          <w:rFonts w:ascii="Times New Roman" w:hAnsi="Times New Roman" w:cs="Times New Roman"/>
        </w:rPr>
        <w:lastRenderedPageBreak/>
        <w:t>Halder, T., Mehta, P., &amp; Acharya, N. (2021). Trends in the functional food market and nutraceutical product development. In </w:t>
      </w:r>
      <w:r w:rsidRPr="00D22B78">
        <w:rPr>
          <w:rFonts w:ascii="Times New Roman" w:hAnsi="Times New Roman" w:cs="Times New Roman"/>
          <w:i/>
          <w:iCs/>
        </w:rPr>
        <w:t>Nutraceuticals for aging and anti-aging</w:t>
      </w:r>
      <w:r w:rsidRPr="00D22B78">
        <w:rPr>
          <w:rFonts w:ascii="Times New Roman" w:hAnsi="Times New Roman" w:cs="Times New Roman"/>
        </w:rPr>
        <w:t> (pp. 1-26). CRC Press.</w:t>
      </w:r>
      <w:r w:rsidR="00F46659">
        <w:rPr>
          <w:rFonts w:ascii="Times New Roman" w:hAnsi="Times New Roman" w:cs="Times New Roman"/>
        </w:rPr>
        <w:t xml:space="preserve"> </w:t>
      </w:r>
      <w:hyperlink r:id="rId50" w:history="1">
        <w:r w:rsidR="00F46659" w:rsidRPr="006F7967">
          <w:rPr>
            <w:rStyle w:val="Hyperlink"/>
            <w:rFonts w:ascii="Times New Roman" w:hAnsi="Times New Roman" w:cs="Times New Roman"/>
          </w:rPr>
          <w:t>https://doi.org/10.1201/9781003110866-1</w:t>
        </w:r>
      </w:hyperlink>
      <w:r w:rsidR="00F46659">
        <w:rPr>
          <w:rFonts w:ascii="Times New Roman" w:hAnsi="Times New Roman" w:cs="Times New Roman"/>
        </w:rPr>
        <w:t xml:space="preserve"> </w:t>
      </w:r>
    </w:p>
    <w:p w14:paraId="051C92B6" w14:textId="77777777" w:rsidR="00D46A56" w:rsidRPr="00D46A56" w:rsidRDefault="00D46A56" w:rsidP="00F84336">
      <w:pPr>
        <w:jc w:val="both"/>
        <w:rPr>
          <w:rFonts w:ascii="Times New Roman" w:hAnsi="Times New Roman" w:cs="Times New Roman"/>
          <w:b/>
          <w:bCs/>
        </w:rPr>
      </w:pPr>
    </w:p>
    <w:sectPr w:rsidR="00D46A56" w:rsidRPr="00D46A56" w:rsidSect="00717422">
      <w:headerReference w:type="even" r:id="rId51"/>
      <w:headerReference w:type="default" r:id="rId52"/>
      <w:footerReference w:type="even" r:id="rId53"/>
      <w:footerReference w:type="default" r:id="rId54"/>
      <w:headerReference w:type="first" r:id="rId55"/>
      <w:footerReference w:type="first" r:id="rId56"/>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DB13E" w14:textId="77777777" w:rsidR="00F95911" w:rsidRDefault="00F95911" w:rsidP="008941AB">
      <w:pPr>
        <w:spacing w:after="0" w:line="240" w:lineRule="auto"/>
      </w:pPr>
      <w:r>
        <w:separator/>
      </w:r>
    </w:p>
  </w:endnote>
  <w:endnote w:type="continuationSeparator" w:id="0">
    <w:p w14:paraId="6C67FF23" w14:textId="77777777" w:rsidR="00F95911" w:rsidRDefault="00F95911" w:rsidP="0089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03997" w14:textId="77777777" w:rsidR="008941AB" w:rsidRDefault="00894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39A98" w14:textId="77777777" w:rsidR="008941AB" w:rsidRDefault="00894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8595" w14:textId="77777777" w:rsidR="008941AB" w:rsidRDefault="00894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AF2B8" w14:textId="77777777" w:rsidR="00F95911" w:rsidRDefault="00F95911" w:rsidP="008941AB">
      <w:pPr>
        <w:spacing w:after="0" w:line="240" w:lineRule="auto"/>
      </w:pPr>
      <w:r>
        <w:separator/>
      </w:r>
    </w:p>
  </w:footnote>
  <w:footnote w:type="continuationSeparator" w:id="0">
    <w:p w14:paraId="73CD5491" w14:textId="77777777" w:rsidR="00F95911" w:rsidRDefault="00F95911" w:rsidP="00894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5985" w14:textId="78D91C0E" w:rsidR="008941AB" w:rsidRDefault="008941AB">
    <w:pPr>
      <w:pStyle w:val="Header"/>
    </w:pPr>
    <w:r>
      <w:rPr>
        <w:noProof/>
      </w:rPr>
      <w:pict w14:anchorId="23546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053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CB6C0" w14:textId="33A7FF65" w:rsidR="008941AB" w:rsidRDefault="008941AB">
    <w:pPr>
      <w:pStyle w:val="Header"/>
    </w:pPr>
    <w:r>
      <w:rPr>
        <w:noProof/>
      </w:rPr>
      <w:pict w14:anchorId="142D9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053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2944" w14:textId="18A40D39" w:rsidR="008941AB" w:rsidRDefault="008941AB">
    <w:pPr>
      <w:pStyle w:val="Header"/>
    </w:pPr>
    <w:r>
      <w:rPr>
        <w:noProof/>
      </w:rPr>
      <w:pict w14:anchorId="0AD14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053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33A97"/>
    <w:multiLevelType w:val="hybridMultilevel"/>
    <w:tmpl w:val="026E830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70"/>
    <w:rsid w:val="000623DE"/>
    <w:rsid w:val="000D73CA"/>
    <w:rsid w:val="001F43EF"/>
    <w:rsid w:val="00215291"/>
    <w:rsid w:val="002201EC"/>
    <w:rsid w:val="00262B1E"/>
    <w:rsid w:val="002A01BA"/>
    <w:rsid w:val="002A5FA5"/>
    <w:rsid w:val="003159D3"/>
    <w:rsid w:val="00365440"/>
    <w:rsid w:val="0040471C"/>
    <w:rsid w:val="004A6B13"/>
    <w:rsid w:val="00503E3F"/>
    <w:rsid w:val="00517382"/>
    <w:rsid w:val="00545730"/>
    <w:rsid w:val="00574DC7"/>
    <w:rsid w:val="005857F9"/>
    <w:rsid w:val="005E2E6B"/>
    <w:rsid w:val="00661FD7"/>
    <w:rsid w:val="006A6DF3"/>
    <w:rsid w:val="00707969"/>
    <w:rsid w:val="00717422"/>
    <w:rsid w:val="0076754C"/>
    <w:rsid w:val="007F4478"/>
    <w:rsid w:val="008161B1"/>
    <w:rsid w:val="00817408"/>
    <w:rsid w:val="008941AB"/>
    <w:rsid w:val="008E2332"/>
    <w:rsid w:val="008F7570"/>
    <w:rsid w:val="0091729B"/>
    <w:rsid w:val="00930126"/>
    <w:rsid w:val="0094442C"/>
    <w:rsid w:val="009E66A5"/>
    <w:rsid w:val="00A00711"/>
    <w:rsid w:val="00A15B8E"/>
    <w:rsid w:val="00A32146"/>
    <w:rsid w:val="00A6297D"/>
    <w:rsid w:val="00A65756"/>
    <w:rsid w:val="00A93A36"/>
    <w:rsid w:val="00B10A0D"/>
    <w:rsid w:val="00B364E0"/>
    <w:rsid w:val="00B65723"/>
    <w:rsid w:val="00CF2BEB"/>
    <w:rsid w:val="00D254DF"/>
    <w:rsid w:val="00D46A56"/>
    <w:rsid w:val="00D70FE7"/>
    <w:rsid w:val="00DB296A"/>
    <w:rsid w:val="00E918F8"/>
    <w:rsid w:val="00EA263B"/>
    <w:rsid w:val="00EA53C6"/>
    <w:rsid w:val="00F46659"/>
    <w:rsid w:val="00F84336"/>
    <w:rsid w:val="00F9033C"/>
    <w:rsid w:val="00F9591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6E533C"/>
  <w15:chartTrackingRefBased/>
  <w15:docId w15:val="{D05633C0-F110-42F1-BEF6-B8F5BF12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5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5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5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5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5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5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5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5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570"/>
    <w:rPr>
      <w:rFonts w:eastAsiaTheme="majorEastAsia" w:cstheme="majorBidi"/>
      <w:color w:val="272727" w:themeColor="text1" w:themeTint="D8"/>
    </w:rPr>
  </w:style>
  <w:style w:type="paragraph" w:styleId="Title">
    <w:name w:val="Title"/>
    <w:basedOn w:val="Normal"/>
    <w:next w:val="Normal"/>
    <w:link w:val="TitleChar"/>
    <w:uiPriority w:val="10"/>
    <w:qFormat/>
    <w:rsid w:val="008F7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570"/>
    <w:pPr>
      <w:spacing w:before="160"/>
      <w:jc w:val="center"/>
    </w:pPr>
    <w:rPr>
      <w:i/>
      <w:iCs/>
      <w:color w:val="404040" w:themeColor="text1" w:themeTint="BF"/>
    </w:rPr>
  </w:style>
  <w:style w:type="character" w:customStyle="1" w:styleId="QuoteChar">
    <w:name w:val="Quote Char"/>
    <w:basedOn w:val="DefaultParagraphFont"/>
    <w:link w:val="Quote"/>
    <w:uiPriority w:val="29"/>
    <w:rsid w:val="008F7570"/>
    <w:rPr>
      <w:i/>
      <w:iCs/>
      <w:color w:val="404040" w:themeColor="text1" w:themeTint="BF"/>
    </w:rPr>
  </w:style>
  <w:style w:type="paragraph" w:styleId="ListParagraph">
    <w:name w:val="List Paragraph"/>
    <w:basedOn w:val="Normal"/>
    <w:uiPriority w:val="34"/>
    <w:qFormat/>
    <w:rsid w:val="008F7570"/>
    <w:pPr>
      <w:ind w:left="720"/>
      <w:contextualSpacing/>
    </w:pPr>
  </w:style>
  <w:style w:type="character" w:styleId="IntenseEmphasis">
    <w:name w:val="Intense Emphasis"/>
    <w:basedOn w:val="DefaultParagraphFont"/>
    <w:uiPriority w:val="21"/>
    <w:qFormat/>
    <w:rsid w:val="008F7570"/>
    <w:rPr>
      <w:i/>
      <w:iCs/>
      <w:color w:val="2F5496" w:themeColor="accent1" w:themeShade="BF"/>
    </w:rPr>
  </w:style>
  <w:style w:type="paragraph" w:styleId="IntenseQuote">
    <w:name w:val="Intense Quote"/>
    <w:basedOn w:val="Normal"/>
    <w:next w:val="Normal"/>
    <w:link w:val="IntenseQuoteChar"/>
    <w:uiPriority w:val="30"/>
    <w:qFormat/>
    <w:rsid w:val="008F7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570"/>
    <w:rPr>
      <w:i/>
      <w:iCs/>
      <w:color w:val="2F5496" w:themeColor="accent1" w:themeShade="BF"/>
    </w:rPr>
  </w:style>
  <w:style w:type="character" w:styleId="IntenseReference">
    <w:name w:val="Intense Reference"/>
    <w:basedOn w:val="DefaultParagraphFont"/>
    <w:uiPriority w:val="32"/>
    <w:qFormat/>
    <w:rsid w:val="008F7570"/>
    <w:rPr>
      <w:b/>
      <w:bCs/>
      <w:smallCaps/>
      <w:color w:val="2F5496" w:themeColor="accent1" w:themeShade="BF"/>
      <w:spacing w:val="5"/>
    </w:rPr>
  </w:style>
  <w:style w:type="character" w:styleId="Hyperlink">
    <w:name w:val="Hyperlink"/>
    <w:basedOn w:val="DefaultParagraphFont"/>
    <w:uiPriority w:val="99"/>
    <w:unhideWhenUsed/>
    <w:rsid w:val="000D73CA"/>
    <w:rPr>
      <w:color w:val="0563C1" w:themeColor="hyperlink"/>
      <w:u w:val="single"/>
    </w:rPr>
  </w:style>
  <w:style w:type="character" w:styleId="UnresolvedMention">
    <w:name w:val="Unresolved Mention"/>
    <w:basedOn w:val="DefaultParagraphFont"/>
    <w:uiPriority w:val="99"/>
    <w:semiHidden/>
    <w:unhideWhenUsed/>
    <w:rsid w:val="000D73CA"/>
    <w:rPr>
      <w:color w:val="605E5C"/>
      <w:shd w:val="clear" w:color="auto" w:fill="E1DFDD"/>
    </w:rPr>
  </w:style>
  <w:style w:type="table" w:styleId="TableGrid">
    <w:name w:val="Table Grid"/>
    <w:basedOn w:val="TableNormal"/>
    <w:uiPriority w:val="39"/>
    <w:rsid w:val="0091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1AB"/>
  </w:style>
  <w:style w:type="paragraph" w:styleId="Footer">
    <w:name w:val="footer"/>
    <w:basedOn w:val="Normal"/>
    <w:link w:val="FooterChar"/>
    <w:uiPriority w:val="99"/>
    <w:unhideWhenUsed/>
    <w:rsid w:val="0089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ofs.2016.02.002" TargetMode="External"/><Relationship Id="rId18" Type="http://schemas.openxmlformats.org/officeDocument/2006/relationships/hyperlink" Target="https://doi.org/10.1007/s13399-024-06368-6" TargetMode="External"/><Relationship Id="rId26" Type="http://schemas.openxmlformats.org/officeDocument/2006/relationships/hyperlink" Target="https://doi.org/10.3390/nano12224073" TargetMode="External"/><Relationship Id="rId39" Type="http://schemas.openxmlformats.org/officeDocument/2006/relationships/hyperlink" Target="https://doi.org/10.52783/jns.v14.2537" TargetMode="External"/><Relationship Id="rId21" Type="http://schemas.openxmlformats.org/officeDocument/2006/relationships/hyperlink" Target="https://doi.org/10.3390/antiox11122388" TargetMode="External"/><Relationship Id="rId34" Type="http://schemas.openxmlformats.org/officeDocument/2006/relationships/hyperlink" Target="https://doi.org/10.3390/nano14191598" TargetMode="External"/><Relationship Id="rId42" Type="http://schemas.openxmlformats.org/officeDocument/2006/relationships/hyperlink" Target="https://doi.org/10.3390/ph15091126" TargetMode="External"/><Relationship Id="rId47" Type="http://schemas.openxmlformats.org/officeDocument/2006/relationships/hyperlink" Target="https://doi.org/10.1016/s0003-2670(00)01115-6" TargetMode="External"/><Relationship Id="rId50" Type="http://schemas.openxmlformats.org/officeDocument/2006/relationships/hyperlink" Target="https://doi.org/10.1201/9781003110866-1"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4786419.2024.2426059" TargetMode="External"/><Relationship Id="rId29" Type="http://schemas.openxmlformats.org/officeDocument/2006/relationships/hyperlink" Target="https://doi.org/10.22192/ijarbs.2023.10.07.005" TargetMode="External"/><Relationship Id="rId11" Type="http://schemas.openxmlformats.org/officeDocument/2006/relationships/hyperlink" Target="https://doi.org/10.3390/antiox10040579" TargetMode="External"/><Relationship Id="rId24" Type="http://schemas.openxmlformats.org/officeDocument/2006/relationships/hyperlink" Target="https://doi.org/10.1152/physiolgenomics.00058.2004" TargetMode="External"/><Relationship Id="rId32" Type="http://schemas.openxmlformats.org/officeDocument/2006/relationships/hyperlink" Target="https://doi.org/10.13040/IJPSR.0975-8232.9(5).1723-36" TargetMode="External"/><Relationship Id="rId37" Type="http://schemas.openxmlformats.org/officeDocument/2006/relationships/hyperlink" Target="https://doi.org/10.2147/DMSO.S46341" TargetMode="External"/><Relationship Id="rId40" Type="http://schemas.openxmlformats.org/officeDocument/2006/relationships/hyperlink" Target="https://doi.org/10.1038/nrn3475" TargetMode="External"/><Relationship Id="rId45" Type="http://schemas.openxmlformats.org/officeDocument/2006/relationships/hyperlink" Target="https://doi.org/10.1016/j.hermed.2015.04.002"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ijpsr.info/issue/IJPSR-Vol_7_Issue_2_February_2016.html" TargetMode="External"/><Relationship Id="rId4" Type="http://schemas.openxmlformats.org/officeDocument/2006/relationships/settings" Target="settings.xml"/><Relationship Id="rId9" Type="http://schemas.openxmlformats.org/officeDocument/2006/relationships/hyperlink" Target="https://doi.org/10.1007/s10787-024-01631-8" TargetMode="External"/><Relationship Id="rId14" Type="http://schemas.openxmlformats.org/officeDocument/2006/relationships/hyperlink" Target="https://doi.org/10.1016/j.prp.2025.156092" TargetMode="External"/><Relationship Id="rId22" Type="http://schemas.openxmlformats.org/officeDocument/2006/relationships/hyperlink" Target="https://doi.org/10.1177/1934578X251367650" TargetMode="External"/><Relationship Id="rId27" Type="http://schemas.openxmlformats.org/officeDocument/2006/relationships/hyperlink" Target="https://doi.org/10.3390/molecules25245932" TargetMode="External"/><Relationship Id="rId30" Type="http://schemas.openxmlformats.org/officeDocument/2006/relationships/hyperlink" Target="https://doi.org/10.1080/03602532.2020.1714646" TargetMode="External"/><Relationship Id="rId35" Type="http://schemas.openxmlformats.org/officeDocument/2006/relationships/hyperlink" Target="https://doi.org/10.1080/08982104.2021.1968430" TargetMode="External"/><Relationship Id="rId43" Type="http://schemas.openxmlformats.org/officeDocument/2006/relationships/hyperlink" Target="https://doi.org/10.1016/j.yrtph.2020.104647" TargetMode="External"/><Relationship Id="rId48" Type="http://schemas.openxmlformats.org/officeDocument/2006/relationships/hyperlink" Target="https://doi.org/10.1007/s10142-025-01645-7" TargetMode="External"/><Relationship Id="rId56" Type="http://schemas.openxmlformats.org/officeDocument/2006/relationships/footer" Target="footer3.xml"/><Relationship Id="rId8" Type="http://schemas.openxmlformats.org/officeDocument/2006/relationships/hyperlink" Target="https://doi.org/10.3390/ijms23137273"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16/j.bbadis.2009.12.009" TargetMode="External"/><Relationship Id="rId17" Type="http://schemas.openxmlformats.org/officeDocument/2006/relationships/hyperlink" Target="https://doi.org/10.3390/su12135244" TargetMode="External"/><Relationship Id="rId25" Type="http://schemas.openxmlformats.org/officeDocument/2006/relationships/hyperlink" Target="https://doi.org/10.3390/molecules23123283" TargetMode="External"/><Relationship Id="rId33" Type="http://schemas.openxmlformats.org/officeDocument/2006/relationships/hyperlink" Target="https://doi.org/10.1155/2018/8426752" TargetMode="External"/><Relationship Id="rId38" Type="http://schemas.openxmlformats.org/officeDocument/2006/relationships/hyperlink" Target="https://doi.org/10.3389/fphar.2023.1177050" TargetMode="External"/><Relationship Id="rId46" Type="http://schemas.openxmlformats.org/officeDocument/2006/relationships/hyperlink" Target="https://doi.org/10.1080/03602532.2020.1714646" TargetMode="External"/><Relationship Id="rId20" Type="http://schemas.openxmlformats.org/officeDocument/2006/relationships/hyperlink" Target="https://doi.org/10.1002/9781394203680.ch09" TargetMode="External"/><Relationship Id="rId41" Type="http://schemas.openxmlformats.org/officeDocument/2006/relationships/hyperlink" Target="https://doi.org/10.1016/j.jep.2012.12.027"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immu.2023.1147641" TargetMode="External"/><Relationship Id="rId23" Type="http://schemas.openxmlformats.org/officeDocument/2006/relationships/hyperlink" Target="https://doi.org/10.3390/life12060878" TargetMode="External"/><Relationship Id="rId28" Type="http://schemas.openxmlformats.org/officeDocument/2006/relationships/hyperlink" Target="https://doi.org/10.1080/10408398.2017.1345853" TargetMode="External"/><Relationship Id="rId36" Type="http://schemas.openxmlformats.org/officeDocument/2006/relationships/hyperlink" Target="https://doi.org/10.1002/9781119769484.ch5" TargetMode="External"/><Relationship Id="rId49" Type="http://schemas.openxmlformats.org/officeDocument/2006/relationships/hyperlink" Target="https://doi.org/10.1038/s41591-022-02014-8" TargetMode="External"/><Relationship Id="rId57" Type="http://schemas.openxmlformats.org/officeDocument/2006/relationships/fontTable" Target="fontTable.xml"/><Relationship Id="rId10" Type="http://schemas.openxmlformats.org/officeDocument/2006/relationships/hyperlink" Target="https://doi.org/10.1007/s00204-023-03562-9" TargetMode="External"/><Relationship Id="rId31" Type="http://schemas.openxmlformats.org/officeDocument/2006/relationships/hyperlink" Target="https://doi.org/10.1093/carcin/bgm123" TargetMode="External"/><Relationship Id="rId44" Type="http://schemas.openxmlformats.org/officeDocument/2006/relationships/hyperlink" Target="https://doi.org/10.1016/j.ctim.2011.09.004"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A12EB-2C3D-440C-9A40-E76019D6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10303</Words>
  <Characters>58732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SDI 1084</cp:lastModifiedBy>
  <cp:revision>23</cp:revision>
  <dcterms:created xsi:type="dcterms:W3CDTF">2025-11-23T05:30:00Z</dcterms:created>
  <dcterms:modified xsi:type="dcterms:W3CDTF">2025-11-28T12:43:00Z</dcterms:modified>
</cp:coreProperties>
</file>