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C3A93" w14:textId="77777777" w:rsidR="00754C9A" w:rsidRDefault="00754C9A" w:rsidP="00441B6F">
      <w:pPr>
        <w:pStyle w:val="Title"/>
        <w:spacing w:after="0"/>
        <w:jc w:val="both"/>
        <w:rPr>
          <w:rFonts w:ascii="Arial" w:hAnsi="Arial" w:cs="Arial"/>
        </w:rPr>
      </w:pPr>
      <w:bookmarkStart w:id="0" w:name="_GoBack"/>
      <w:bookmarkEnd w:id="0"/>
    </w:p>
    <w:p w14:paraId="215FDB91" w14:textId="77777777" w:rsidR="00163BC4" w:rsidRPr="00163BC4" w:rsidRDefault="00197317" w:rsidP="00441B6F">
      <w:pPr>
        <w:pStyle w:val="Author"/>
        <w:spacing w:line="240" w:lineRule="auto"/>
        <w:rPr>
          <w:rFonts w:ascii="Arial" w:hAnsi="Arial" w:cs="Arial"/>
          <w:bCs/>
          <w:iCs/>
          <w:kern w:val="28"/>
          <w:sz w:val="36"/>
        </w:rPr>
      </w:pPr>
      <w:r w:rsidRPr="00197317">
        <w:rPr>
          <w:rFonts w:ascii="Arial" w:hAnsi="Arial" w:cs="Arial"/>
          <w:bCs/>
          <w:iCs/>
          <w:kern w:val="28"/>
          <w:sz w:val="36"/>
        </w:rPr>
        <w:t>Hydroxide precipitation of selected metals from an aqueous solution: the influence of stirring speed and time</w:t>
      </w:r>
      <w:r w:rsidR="00231920">
        <w:rPr>
          <w:rFonts w:ascii="Arial" w:hAnsi="Arial" w:cs="Arial"/>
          <w:bCs/>
          <w:iCs/>
          <w:kern w:val="28"/>
          <w:sz w:val="36"/>
        </w:rPr>
        <w:t xml:space="preserve"> </w:t>
      </w:r>
    </w:p>
    <w:p w14:paraId="75770C10" w14:textId="77777777" w:rsidR="00A258C3" w:rsidRPr="00790ADA" w:rsidRDefault="00A258C3" w:rsidP="00441B6F">
      <w:pPr>
        <w:pStyle w:val="Author"/>
        <w:spacing w:line="240" w:lineRule="auto"/>
        <w:jc w:val="both"/>
        <w:rPr>
          <w:rFonts w:ascii="Arial" w:hAnsi="Arial" w:cs="Arial"/>
          <w:sz w:val="36"/>
        </w:rPr>
      </w:pPr>
    </w:p>
    <w:p w14:paraId="310F8C32" w14:textId="77777777" w:rsidR="00347640" w:rsidRDefault="00347640" w:rsidP="00441B6F">
      <w:pPr>
        <w:pStyle w:val="Copyright"/>
        <w:spacing w:after="0" w:line="240" w:lineRule="auto"/>
        <w:jc w:val="both"/>
        <w:rPr>
          <w:rFonts w:ascii="Arial" w:hAnsi="Arial" w:cs="Arial"/>
        </w:rPr>
      </w:pPr>
    </w:p>
    <w:p w14:paraId="0104AD18" w14:textId="4985E784" w:rsidR="00B01FCD" w:rsidRPr="00FB3A86" w:rsidRDefault="009936A2" w:rsidP="00441B6F">
      <w:pPr>
        <w:pStyle w:val="Copyright"/>
        <w:spacing w:after="0" w:line="240" w:lineRule="auto"/>
        <w:jc w:val="both"/>
        <w:rPr>
          <w:rFonts w:ascii="Arial" w:hAnsi="Arial" w:cs="Arial"/>
        </w:rPr>
        <w:sectPr w:rsidR="00B01FCD" w:rsidRPr="00FB3A86" w:rsidSect="00F505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7C51C4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71261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BBAD52" w14:textId="77777777" w:rsidTr="001E44FE">
        <w:tc>
          <w:tcPr>
            <w:tcW w:w="9576" w:type="dxa"/>
            <w:shd w:val="clear" w:color="auto" w:fill="F2F2F2"/>
          </w:tcPr>
          <w:p w14:paraId="2ECF3F49" w14:textId="77777777" w:rsidR="00505F06" w:rsidRPr="00BA1B01" w:rsidRDefault="00255192" w:rsidP="00441B6F">
            <w:pPr>
              <w:pStyle w:val="Body"/>
              <w:spacing w:after="0"/>
              <w:rPr>
                <w:rFonts w:ascii="Arial" w:eastAsia="Calibri" w:hAnsi="Arial" w:cs="Arial"/>
                <w:szCs w:val="22"/>
              </w:rPr>
            </w:pPr>
            <w:r w:rsidRPr="00255192">
              <w:rPr>
                <w:rFonts w:ascii="Arial" w:eastAsia="Calibri" w:hAnsi="Arial" w:cs="Arial"/>
                <w:szCs w:val="22"/>
              </w:rPr>
              <w:t xml:space="preserve">The expansion of industrialization and the use of various synthetic compounds in households have led to the generation of significant amounts of wastewater rich in toxic heavy metals. In developing countries, this wastewater is often discharged into natural water bodies without proper treatment or the application of advanced and costly water treatment technologies. In this study, sodium hydroxide was used as a cheap and readily available precipitation agent for the removal of selected metal ions from both </w:t>
            </w:r>
            <w:proofErr w:type="spellStart"/>
            <w:r w:rsidR="007F0995">
              <w:rPr>
                <w:rFonts w:ascii="Arial" w:eastAsia="Calibri" w:hAnsi="Arial" w:cs="Arial"/>
                <w:szCs w:val="22"/>
              </w:rPr>
              <w:t>mono</w:t>
            </w:r>
            <w:r w:rsidRPr="00255192">
              <w:rPr>
                <w:rFonts w:ascii="Arial" w:eastAsia="Calibri" w:hAnsi="Arial" w:cs="Arial"/>
                <w:szCs w:val="22"/>
              </w:rPr>
              <w:t>component</w:t>
            </w:r>
            <w:proofErr w:type="spellEnd"/>
            <w:r w:rsidRPr="00255192">
              <w:rPr>
                <w:rFonts w:ascii="Arial" w:eastAsia="Calibri" w:hAnsi="Arial" w:cs="Arial"/>
                <w:szCs w:val="22"/>
              </w:rPr>
              <w:t xml:space="preserve"> solutions and binary mixtures. Unlike most of the literature, which focuses on pH and initial metal ion concentration, this work specifically examined the influence of operational parameters, including </w:t>
            </w:r>
            <w:r w:rsidR="007F0995">
              <w:rPr>
                <w:rFonts w:ascii="Arial" w:eastAsia="Calibri" w:hAnsi="Arial" w:cs="Arial"/>
                <w:szCs w:val="22"/>
              </w:rPr>
              <w:t xml:space="preserve">stirring </w:t>
            </w:r>
            <w:r w:rsidRPr="00255192">
              <w:rPr>
                <w:rFonts w:ascii="Arial" w:eastAsia="Calibri" w:hAnsi="Arial" w:cs="Arial"/>
                <w:szCs w:val="22"/>
              </w:rPr>
              <w:t xml:space="preserve">speed (0–800 rpm) and </w:t>
            </w:r>
            <w:r w:rsidR="007F0995">
              <w:rPr>
                <w:rFonts w:ascii="Arial" w:eastAsia="Calibri" w:hAnsi="Arial" w:cs="Arial"/>
                <w:szCs w:val="22"/>
              </w:rPr>
              <w:t>stirring</w:t>
            </w:r>
            <w:r w:rsidRPr="00255192">
              <w:rPr>
                <w:rFonts w:ascii="Arial" w:eastAsia="Calibri" w:hAnsi="Arial" w:cs="Arial"/>
                <w:szCs w:val="22"/>
              </w:rPr>
              <w:t xml:space="preserve"> time (0–30 min), while keeping pH and initial concentration constant. The results showed that higher </w:t>
            </w:r>
            <w:r w:rsidR="007F0995">
              <w:rPr>
                <w:rFonts w:ascii="Arial" w:eastAsia="Calibri" w:hAnsi="Arial" w:cs="Arial"/>
                <w:szCs w:val="22"/>
              </w:rPr>
              <w:t>stirring</w:t>
            </w:r>
            <w:r w:rsidRPr="00255192">
              <w:rPr>
                <w:rFonts w:ascii="Arial" w:eastAsia="Calibri" w:hAnsi="Arial" w:cs="Arial"/>
                <w:szCs w:val="22"/>
              </w:rPr>
              <w:t xml:space="preserve"> speeds improve the contact between the precipitating agent and metal ions, enhancing removal efficiency, particularly for </w:t>
            </w:r>
            <w:proofErr w:type="gramStart"/>
            <w:r w:rsidRPr="00255192">
              <w:rPr>
                <w:rFonts w:ascii="Arial" w:eastAsia="Calibri" w:hAnsi="Arial" w:cs="Arial"/>
                <w:szCs w:val="22"/>
              </w:rPr>
              <w:t>Pb(</w:t>
            </w:r>
            <w:proofErr w:type="gramEnd"/>
            <w:r w:rsidRPr="00255192">
              <w:rPr>
                <w:rFonts w:ascii="Arial" w:eastAsia="Calibri" w:hAnsi="Arial" w:cs="Arial"/>
                <w:szCs w:val="22"/>
              </w:rPr>
              <w:t xml:space="preserve">II), where efficiency increased from 86.64% at 100 rpm to 94.33% at 800 rpm. In the </w:t>
            </w:r>
            <w:proofErr w:type="gramStart"/>
            <w:r w:rsidRPr="00255192">
              <w:rPr>
                <w:rFonts w:ascii="Arial" w:eastAsia="Calibri" w:hAnsi="Arial" w:cs="Arial"/>
                <w:szCs w:val="22"/>
              </w:rPr>
              <w:t>Pb(</w:t>
            </w:r>
            <w:proofErr w:type="gramEnd"/>
            <w:r w:rsidRPr="00255192">
              <w:rPr>
                <w:rFonts w:ascii="Arial" w:eastAsia="Calibri" w:hAnsi="Arial" w:cs="Arial"/>
                <w:szCs w:val="22"/>
              </w:rPr>
              <w:t xml:space="preserve">II)/Zn(II) binary mixture, higher removal efficiency was also observed at the maximum speed. Increasing the mixing time (15–30 minutes) further improved the removal efficiency in both </w:t>
            </w:r>
            <w:proofErr w:type="spellStart"/>
            <w:r w:rsidR="007F0995">
              <w:rPr>
                <w:rFonts w:ascii="Arial" w:eastAsia="Calibri" w:hAnsi="Arial" w:cs="Arial"/>
                <w:szCs w:val="22"/>
              </w:rPr>
              <w:t>mono</w:t>
            </w:r>
            <w:r w:rsidRPr="00255192">
              <w:rPr>
                <w:rFonts w:ascii="Arial" w:eastAsia="Calibri" w:hAnsi="Arial" w:cs="Arial"/>
                <w:szCs w:val="22"/>
              </w:rPr>
              <w:t>component</w:t>
            </w:r>
            <w:proofErr w:type="spellEnd"/>
            <w:r w:rsidRPr="00255192">
              <w:rPr>
                <w:rFonts w:ascii="Arial" w:eastAsia="Calibri" w:hAnsi="Arial" w:cs="Arial"/>
                <w:szCs w:val="22"/>
              </w:rPr>
              <w:t xml:space="preserve"> solutions and binary mixtures.</w:t>
            </w:r>
          </w:p>
        </w:tc>
      </w:tr>
    </w:tbl>
    <w:p w14:paraId="3DF50429" w14:textId="77777777" w:rsidR="007C5BF5" w:rsidRDefault="007C5BF5" w:rsidP="00441B6F">
      <w:pPr>
        <w:pStyle w:val="Body"/>
        <w:spacing w:after="0"/>
        <w:rPr>
          <w:rFonts w:ascii="Arial" w:hAnsi="Arial" w:cs="Arial"/>
          <w:i/>
        </w:rPr>
      </w:pPr>
    </w:p>
    <w:p w14:paraId="7BAD611F" w14:textId="77777777" w:rsidR="00A24E7E" w:rsidRDefault="00A24E7E" w:rsidP="00441B6F">
      <w:pPr>
        <w:pStyle w:val="Body"/>
        <w:spacing w:after="0"/>
        <w:rPr>
          <w:rFonts w:ascii="Arial" w:hAnsi="Arial" w:cs="Arial"/>
          <w:i/>
        </w:rPr>
      </w:pPr>
      <w:r>
        <w:rPr>
          <w:rFonts w:ascii="Arial" w:hAnsi="Arial" w:cs="Arial"/>
          <w:i/>
        </w:rPr>
        <w:t xml:space="preserve">Keywords: </w:t>
      </w:r>
      <w:r w:rsidR="009466C0" w:rsidRPr="009466C0">
        <w:rPr>
          <w:rFonts w:ascii="Arial" w:hAnsi="Arial" w:cs="Arial"/>
          <w:i/>
        </w:rPr>
        <w:t>stirring, speed, time, heavy metal</w:t>
      </w:r>
      <w:r w:rsidR="00306E78">
        <w:rPr>
          <w:rFonts w:ascii="Arial" w:hAnsi="Arial" w:cs="Arial"/>
          <w:i/>
        </w:rPr>
        <w:t>s</w:t>
      </w:r>
      <w:r w:rsidR="009466C0" w:rsidRPr="009466C0">
        <w:rPr>
          <w:rFonts w:ascii="Arial" w:hAnsi="Arial" w:cs="Arial"/>
          <w:i/>
        </w:rPr>
        <w:t>, removal efficiency</w:t>
      </w:r>
    </w:p>
    <w:p w14:paraId="4573E65C" w14:textId="77777777" w:rsidR="0024282C" w:rsidRDefault="0024282C" w:rsidP="00441B6F">
      <w:pPr>
        <w:pStyle w:val="Body"/>
        <w:spacing w:after="0"/>
        <w:rPr>
          <w:rFonts w:ascii="Arial" w:hAnsi="Arial" w:cs="Arial"/>
          <w:i/>
          <w:sz w:val="18"/>
        </w:rPr>
      </w:pPr>
    </w:p>
    <w:p w14:paraId="0A593A42" w14:textId="77777777" w:rsidR="00505F06" w:rsidRPr="00A24E7E" w:rsidRDefault="00505F06" w:rsidP="00441B6F">
      <w:pPr>
        <w:pStyle w:val="Body"/>
        <w:spacing w:after="0"/>
        <w:rPr>
          <w:rFonts w:ascii="Arial" w:hAnsi="Arial" w:cs="Arial"/>
          <w:i/>
        </w:rPr>
      </w:pPr>
    </w:p>
    <w:p w14:paraId="1C1C997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039545D" w14:textId="77777777" w:rsidR="00790ADA" w:rsidRPr="00FB3A86" w:rsidRDefault="00790ADA" w:rsidP="00441B6F">
      <w:pPr>
        <w:pStyle w:val="AbstHead"/>
        <w:spacing w:after="0"/>
        <w:jc w:val="both"/>
        <w:rPr>
          <w:rFonts w:ascii="Arial" w:hAnsi="Arial" w:cs="Arial"/>
        </w:rPr>
      </w:pPr>
    </w:p>
    <w:p w14:paraId="0266223F" w14:textId="77777777" w:rsidR="004E20EE" w:rsidRDefault="004E20EE" w:rsidP="004E20EE">
      <w:pPr>
        <w:pStyle w:val="Body"/>
        <w:rPr>
          <w:rFonts w:ascii="Arial" w:hAnsi="Arial" w:cs="Arial"/>
        </w:rPr>
      </w:pPr>
      <w:r w:rsidRPr="004E20EE">
        <w:rPr>
          <w:rFonts w:ascii="Arial" w:hAnsi="Arial" w:cs="Arial"/>
        </w:rPr>
        <w:t>In the scientific literature, heavy metals generally include both metals and metalloids—such as arsenic - characterized by high density and notable environmental persistence and human toxicity (</w:t>
      </w:r>
      <w:proofErr w:type="spellStart"/>
      <w:r w:rsidRPr="004E20EE">
        <w:rPr>
          <w:rFonts w:ascii="Arial" w:hAnsi="Arial" w:cs="Arial"/>
        </w:rPr>
        <w:t>Madjar</w:t>
      </w:r>
      <w:proofErr w:type="spellEnd"/>
      <w:r w:rsidRPr="004E20EE">
        <w:rPr>
          <w:rFonts w:ascii="Arial" w:hAnsi="Arial" w:cs="Arial"/>
        </w:rPr>
        <w:t xml:space="preserve"> et al., 2025). Anthropogenic activities have contributed to the accumulation of heavy metals in the environment since Roman times, with the Industrial Revolution representing a pivotal shift in heavy metal pollution, during which emission sources transitioned from predominantly natural to predominantly human-driven (Galasso et al., 2025). The most common sources of heavy metals are industrial activities, including mining, smelting, manufacturing, and electroplating, as well as fossil fuel combustion and waste incineration, which contribute to their atmospheric release. Copper, nickel, lead and zinc are produced by electro-plating, conversion-coating, anodizing-cleaning, electrolysis depositions, milling and etching industries (Yadav et al., 2025). These processes often produce metal-laden wastewater that poses serious threats to aquatic ecosystems (Odongo et al., 2025). Natural sources of contamination, including heavy metals, arise from geochemical processes such as rock weathering and volcanic activity. Certain metals—such as cobalt, copper, chromium, iron, magnesium, manganese, molybdenum, nickel, selenium, and zinc - are essential trace elements involved in numerous biochemical and physiological processes; however, their deficiency can result in metabolic disorders, diseases, or specific deficiency syndromes (Matei et al., 2025). Nevertheless, heavy metals such as mercury, lead, cadmium, nickel, copper, and zinc constitute major pollutants in aquatic ecosystems, posing significant environmental risks (</w:t>
      </w:r>
      <w:proofErr w:type="spellStart"/>
      <w:r w:rsidRPr="004E20EE">
        <w:rPr>
          <w:rFonts w:ascii="Arial" w:hAnsi="Arial" w:cs="Arial"/>
        </w:rPr>
        <w:t>Oziegbe</w:t>
      </w:r>
      <w:proofErr w:type="spellEnd"/>
      <w:r w:rsidRPr="004E20EE">
        <w:rPr>
          <w:rFonts w:ascii="Arial" w:hAnsi="Arial" w:cs="Arial"/>
        </w:rPr>
        <w:t xml:space="preserve"> et al., 2025). The most common heavy </w:t>
      </w:r>
      <w:r w:rsidRPr="004E20EE">
        <w:rPr>
          <w:rFonts w:ascii="Arial" w:hAnsi="Arial" w:cs="Arial"/>
        </w:rPr>
        <w:lastRenderedPageBreak/>
        <w:t xml:space="preserve">metals are </w:t>
      </w:r>
      <w:proofErr w:type="gramStart"/>
      <w:r w:rsidRPr="004E20EE">
        <w:rPr>
          <w:rFonts w:ascii="Arial" w:hAnsi="Arial" w:cs="Arial"/>
        </w:rPr>
        <w:t>lead</w:t>
      </w:r>
      <w:proofErr w:type="gramEnd"/>
      <w:r w:rsidRPr="004E20EE">
        <w:rPr>
          <w:rFonts w:ascii="Arial" w:hAnsi="Arial" w:cs="Arial"/>
        </w:rPr>
        <w:t>, zinc, mercury, nickel, cadmium, copper, chromium, and arsenic, all of which are consistently hazardous, even at trace levels (</w:t>
      </w:r>
      <w:proofErr w:type="spellStart"/>
      <w:r w:rsidRPr="004E20EE">
        <w:rPr>
          <w:rFonts w:ascii="Arial" w:hAnsi="Arial" w:cs="Arial"/>
        </w:rPr>
        <w:t>Kapepula</w:t>
      </w:r>
      <w:proofErr w:type="spellEnd"/>
      <w:r w:rsidRPr="004E20EE">
        <w:rPr>
          <w:rFonts w:ascii="Arial" w:hAnsi="Arial" w:cs="Arial"/>
        </w:rPr>
        <w:t xml:space="preserve"> et al., 2024). Zhou et al., 2020 have reported that in recent years (2013–2015), the heavy metal content has increased due to frequent human activity, which further emphasizes the importance of studying these elements and their impact on the environment and human health (Zhou et al., 2020). Heavy metal pollution is a global problem, with sediment data from 289 rivers and 133 lakes showing increasing trends in metals like Cd, Cr, Ni, Mn, and Pb over recent decades. The main sources have shifted from mining and manufacturing (1970s–1990s) to domestic waste discharge (2000s–2010s), and trends differ regionally due to natural and developmental factors. These patterns highlight the importance of studying heavy metals to understand their environmental accumulation, identify pollution sources, and evaluate the effectiveness of control measures worldwide (Niu et al., 2021). Approximately 80% of industrial and municipal wastewater is discharged into the environment without adequate treatment, resulting in the contamination of water resources with toxic compounds (Sanusi et al., 2025). An estimated 20–25 million hectares of agricultural land worldwide are irrigated with wastewater (Ondrasek et al., 2025). After being introduced, these metals can remain in surface and groundwater for several decades, during which they undergo complex transformation processes that exert long-term effects on aquatic ecosystems, human health, and food security (Mustapha et al., 2025). Heavy metals influence the yield and quality of surface water, soil, and agricultural products, including crops, fruits, and vegetables (Seo et al., 2023). Chronic exposure to heavy metals, even at trace concentrations, has been linked to a wide range of adverse health outcomes, including neurological deficits, renal dysfunction, cardiovascular disorders, compromised immune function, skeletal abnormalities, developmental delays in children, and an increased risk of carcinogenesis. These health risks are particularly pronounced in under-resourced communities, where untreated groundwater consumption and limited access to healthcare exacerbate the public health burden (Gupta &amp; Mukhopadhyay, 2025). Thus, it is essential to implement effective pollution control strategies and embrace sustainable practices to reduce exposure and the related health risks (Tripathi et al., 2025). A range of conventional techniques, such as coagulation, osmosis, ion exchange, and chemical precipitation (</w:t>
      </w:r>
      <w:proofErr w:type="spellStart"/>
      <w:r w:rsidRPr="004E20EE">
        <w:rPr>
          <w:rFonts w:ascii="Arial" w:hAnsi="Arial" w:cs="Arial"/>
        </w:rPr>
        <w:t>Gahrouei</w:t>
      </w:r>
      <w:proofErr w:type="spellEnd"/>
      <w:r w:rsidRPr="004E20EE">
        <w:rPr>
          <w:rFonts w:ascii="Arial" w:hAnsi="Arial" w:cs="Arial"/>
        </w:rPr>
        <w:t xml:space="preserve"> et al., 2024), are used to reduce high concentrations of various metal ions in wastewater to comply with regulatory standards (Ayach et al., 2024). In addition to the methods mentioned, other technologies are also employed, including membrane filtration, flotation, flocculation, electrochemical processes, advanced oxidation processes (AOPs), phytoremediation and adsorption (Joshi et al., 2026, </w:t>
      </w:r>
      <w:proofErr w:type="spellStart"/>
      <w:r w:rsidRPr="004E20EE">
        <w:rPr>
          <w:rFonts w:ascii="Arial" w:hAnsi="Arial" w:cs="Arial"/>
        </w:rPr>
        <w:t>Akinterinwa</w:t>
      </w:r>
      <w:proofErr w:type="spellEnd"/>
      <w:r w:rsidRPr="004E20EE">
        <w:rPr>
          <w:rFonts w:ascii="Arial" w:hAnsi="Arial" w:cs="Arial"/>
        </w:rPr>
        <w:t xml:space="preserve"> &amp; Adebayo, 2018). Neutralization is the most commonly used method for treating wastewater from metalworking. It involves chemical reactions that convert pollutants into harmless compounds for the receiving environment or, for instance, precipitate heavy metal compounds that are poorly soluble (Junuzović et al., 2025). Precipitation is the process by which solid</w:t>
      </w:r>
      <w:r w:rsidR="004712A3">
        <w:rPr>
          <w:rFonts w:ascii="Arial" w:hAnsi="Arial" w:cs="Arial"/>
        </w:rPr>
        <w:t xml:space="preserve"> </w:t>
      </w:r>
      <w:r w:rsidRPr="004E20EE">
        <w:rPr>
          <w:rFonts w:ascii="Arial" w:hAnsi="Arial" w:cs="Arial"/>
        </w:rPr>
        <w:t xml:space="preserve">forms through crystallization from a liquid solution, involving two consecutive steps: nucleation and crystal growth (Kowalk-Klimczak, 2025). Precipitation is a process in which contaminants, either dissolved or suspended, are converted into a solid sediment that can subsequently be removed from the liquid through filtration, centrifugation, or other separation methods (Han et al., 2024). The chemical precipitation of metal cations into metal hydroxides can be represented by the reaction: </w:t>
      </w:r>
    </w:p>
    <w:p w14:paraId="233C6FAE" w14:textId="77777777" w:rsidR="004E20EE" w:rsidRPr="004E20EE" w:rsidRDefault="004E20EE" w:rsidP="004E20EE">
      <w:pPr>
        <w:pStyle w:val="Body"/>
        <w:jc w:val="center"/>
        <w:rPr>
          <w:rFonts w:ascii="Arial" w:hAnsi="Arial" w:cs="Arial"/>
        </w:rPr>
      </w:pPr>
      <w:r w:rsidRPr="004E20EE">
        <w:rPr>
          <w:rFonts w:ascii="Arial" w:hAnsi="Arial" w:cs="Arial"/>
        </w:rPr>
        <w:t>M</w:t>
      </w:r>
      <w:r w:rsidRPr="004E20EE">
        <w:rPr>
          <w:rFonts w:ascii="Arial" w:hAnsi="Arial" w:cs="Arial"/>
          <w:vertAlign w:val="superscript"/>
        </w:rPr>
        <w:t>2+</w:t>
      </w:r>
      <w:r w:rsidRPr="004E20EE">
        <w:rPr>
          <w:rFonts w:ascii="Arial" w:hAnsi="Arial" w:cs="Arial"/>
        </w:rPr>
        <w:t xml:space="preserve"> + 2(OH)</w:t>
      </w:r>
      <w:r w:rsidRPr="004E20EE">
        <w:rPr>
          <w:rFonts w:ascii="Cambria Math" w:hAnsi="Cambria Math" w:cs="Cambria Math"/>
        </w:rPr>
        <w:t>⁻</w:t>
      </w:r>
      <w:r w:rsidRPr="004E20EE">
        <w:rPr>
          <w:rFonts w:ascii="Arial" w:hAnsi="Arial" w:cs="Arial"/>
        </w:rPr>
        <w:t xml:space="preserve"> ↔ M(OH)</w:t>
      </w:r>
      <w:r w:rsidRPr="004E20EE">
        <w:rPr>
          <w:rFonts w:ascii="Arial" w:hAnsi="Arial" w:cs="Arial"/>
          <w:vertAlign w:val="subscript"/>
        </w:rPr>
        <w:t>2</w:t>
      </w:r>
      <w:r w:rsidRPr="004E20EE">
        <w:rPr>
          <w:rFonts w:ascii="Arial" w:hAnsi="Arial" w:cs="Arial"/>
        </w:rPr>
        <w:t xml:space="preserve"> ↓</w:t>
      </w:r>
    </w:p>
    <w:p w14:paraId="609520CE" w14:textId="77777777" w:rsidR="00790ADA" w:rsidRDefault="004E20EE" w:rsidP="004E20EE">
      <w:pPr>
        <w:pStyle w:val="Body"/>
        <w:spacing w:after="0"/>
        <w:rPr>
          <w:rFonts w:ascii="Arial" w:hAnsi="Arial" w:cs="Arial"/>
        </w:rPr>
      </w:pPr>
      <w:r w:rsidRPr="004E20EE">
        <w:rPr>
          <w:rFonts w:ascii="Arial" w:hAnsi="Arial" w:cs="Arial"/>
        </w:rPr>
        <w:t>where M</w:t>
      </w:r>
      <w:r w:rsidRPr="004E20EE">
        <w:rPr>
          <w:rFonts w:ascii="Arial" w:hAnsi="Arial" w:cs="Arial"/>
          <w:vertAlign w:val="superscript"/>
        </w:rPr>
        <w:t>2+</w:t>
      </w:r>
      <w:r w:rsidRPr="004E20EE">
        <w:rPr>
          <w:rFonts w:ascii="Arial" w:hAnsi="Arial" w:cs="Arial"/>
        </w:rPr>
        <w:t xml:space="preserve"> is the dissolved metal cation, OH</w:t>
      </w:r>
      <w:r w:rsidRPr="004E20EE">
        <w:rPr>
          <w:rFonts w:ascii="Cambria Math" w:hAnsi="Cambria Math" w:cs="Cambria Math"/>
        </w:rPr>
        <w:t>⁻</w:t>
      </w:r>
      <w:r w:rsidRPr="004E20EE">
        <w:rPr>
          <w:rFonts w:ascii="Arial" w:hAnsi="Arial" w:cs="Arial"/>
        </w:rPr>
        <w:t xml:space="preserve"> is the alkaline precipitant, and M(OH)</w:t>
      </w:r>
      <w:r>
        <w:rPr>
          <w:rFonts w:ascii="Arial" w:hAnsi="Arial" w:cs="Arial"/>
          <w:vertAlign w:val="subscript"/>
        </w:rPr>
        <w:t>2</w:t>
      </w:r>
      <w:r w:rsidRPr="004E20EE">
        <w:rPr>
          <w:rFonts w:ascii="Arial" w:hAnsi="Arial" w:cs="Arial"/>
        </w:rPr>
        <w:t xml:space="preserve"> is the resulting metal hydroxide. Each metal hydroxide has a specific minimum solubility at a particular pH, and any deviation from this optimal pH can cause the metal to remain dissolved (Pohl, 2020). Precipitation is used to remove pollutants from municipal and industrial wastewater, including heavy metals, oils, grease, and phosphates, and can also be applied for water softening (Anagnostopoulos, 2024). Hydroxide precipitation is </w:t>
      </w:r>
      <w:r w:rsidRPr="004E20EE">
        <w:rPr>
          <w:rFonts w:ascii="Arial" w:hAnsi="Arial" w:cs="Arial"/>
        </w:rPr>
        <w:lastRenderedPageBreak/>
        <w:t>fundamentally a neutralization method, in which the reaction occurs by adding calcium oxide, calcium hydroxide, sodium carbonate, or sodium hydroxide to the solution (Pohl, 2020). The use of chemical precipitation with sodium hydroxide is favored due to several advantages: (</w:t>
      </w:r>
      <w:proofErr w:type="spellStart"/>
      <w:r w:rsidRPr="004E20EE">
        <w:rPr>
          <w:rFonts w:ascii="Arial" w:hAnsi="Arial" w:cs="Arial"/>
        </w:rPr>
        <w:t>i</w:t>
      </w:r>
      <w:proofErr w:type="spellEnd"/>
      <w:r w:rsidRPr="004E20EE">
        <w:rPr>
          <w:rFonts w:ascii="Arial" w:hAnsi="Arial" w:cs="Arial"/>
        </w:rPr>
        <w:t xml:space="preserve">) ease of operation, (ii) low-cost chemical requirements, and (iii) straightforward process control (iv) tunable pH value (Kartal et al., 2023). It was found that pH values of 9–11 improved this process efficiency (Manoj et al., 2021). </w:t>
      </w:r>
      <w:proofErr w:type="spellStart"/>
      <w:r w:rsidRPr="004E20EE">
        <w:rPr>
          <w:rFonts w:ascii="Arial" w:hAnsi="Arial" w:cs="Arial"/>
        </w:rPr>
        <w:t>Loughlaimi</w:t>
      </w:r>
      <w:proofErr w:type="spellEnd"/>
      <w:r w:rsidRPr="004E20EE">
        <w:rPr>
          <w:rFonts w:ascii="Arial" w:hAnsi="Arial" w:cs="Arial"/>
        </w:rPr>
        <w:t xml:space="preserve"> et al. 2024 investigated the precipitation of toxic heavy metals using CaO as a precipitating agent and found that, in addition to pH, the initial concentration of metal ions is another important precipitation parameter </w:t>
      </w:r>
      <w:proofErr w:type="spellStart"/>
      <w:r w:rsidRPr="004E20EE">
        <w:rPr>
          <w:rFonts w:ascii="Arial" w:hAnsi="Arial" w:cs="Arial"/>
        </w:rPr>
        <w:t>Loughlaimi</w:t>
      </w:r>
      <w:proofErr w:type="spellEnd"/>
      <w:r w:rsidRPr="004E20EE">
        <w:rPr>
          <w:rFonts w:ascii="Arial" w:hAnsi="Arial" w:cs="Arial"/>
        </w:rPr>
        <w:t xml:space="preserve"> et al., 2024). In wastewater, heavy metals usually occur at low concentrations, commonly within the range of 1–100 mg/L (Qasem et al., 2021). Zhang and Duan 2020 investigated the influence of dose, pH, and reaction time on the efficiency of precipitation, reporting a heavy metal removal efficiency of up to 99.9% (Zhang &amp; Duan, 2020). Zapien Serrano et al. 2021 investigated the removal efficiency of </w:t>
      </w:r>
      <w:proofErr w:type="gramStart"/>
      <w:r w:rsidRPr="004E20EE">
        <w:rPr>
          <w:rFonts w:ascii="Arial" w:hAnsi="Arial" w:cs="Arial"/>
        </w:rPr>
        <w:t>Fe(</w:t>
      </w:r>
      <w:proofErr w:type="gramEnd"/>
      <w:r w:rsidRPr="004E20EE">
        <w:rPr>
          <w:rFonts w:ascii="Arial" w:hAnsi="Arial" w:cs="Arial"/>
        </w:rPr>
        <w:t xml:space="preserve">III), Zn(II), and Cd(II) ions as a function of pH, initial metal ion concentration, and the dose of the added precipitating agent, finding that removal efficiencies reached 99% for the selected metal ions at pH 10.3 and a mixing time of 15 minutes (Zapien Serano et al., 2021). Benalia et al. 2021 investigated the efficiency of metal ion precipitation using NaOH, </w:t>
      </w:r>
      <w:proofErr w:type="gramStart"/>
      <w:r w:rsidRPr="004E20EE">
        <w:rPr>
          <w:rFonts w:ascii="Arial" w:hAnsi="Arial" w:cs="Arial"/>
        </w:rPr>
        <w:t>Ca(</w:t>
      </w:r>
      <w:proofErr w:type="gramEnd"/>
      <w:r w:rsidRPr="004E20EE">
        <w:rPr>
          <w:rFonts w:ascii="Arial" w:hAnsi="Arial" w:cs="Arial"/>
        </w:rPr>
        <w:t>OH)</w:t>
      </w:r>
      <w:r w:rsidRPr="004E20EE">
        <w:rPr>
          <w:rFonts w:ascii="Arial" w:hAnsi="Arial" w:cs="Arial"/>
          <w:vertAlign w:val="subscript"/>
        </w:rPr>
        <w:t>2</w:t>
      </w:r>
      <w:r w:rsidRPr="004E20EE">
        <w:rPr>
          <w:rFonts w:ascii="Arial" w:hAnsi="Arial" w:cs="Arial"/>
        </w:rPr>
        <w:t>, and Na</w:t>
      </w:r>
      <w:r w:rsidRPr="004E20EE">
        <w:rPr>
          <w:rFonts w:ascii="Arial" w:hAnsi="Arial" w:cs="Arial"/>
          <w:vertAlign w:val="subscript"/>
        </w:rPr>
        <w:t>2</w:t>
      </w:r>
      <w:r w:rsidRPr="004E20EE">
        <w:rPr>
          <w:rFonts w:ascii="Arial" w:hAnsi="Arial" w:cs="Arial"/>
        </w:rPr>
        <w:t>CO</w:t>
      </w:r>
      <w:r w:rsidRPr="004E20EE">
        <w:rPr>
          <w:rFonts w:ascii="Arial" w:hAnsi="Arial" w:cs="Arial"/>
          <w:vertAlign w:val="subscript"/>
        </w:rPr>
        <w:t xml:space="preserve">3 </w:t>
      </w:r>
      <w:r w:rsidRPr="004E20EE">
        <w:rPr>
          <w:rFonts w:ascii="Arial" w:hAnsi="Arial" w:cs="Arial"/>
        </w:rPr>
        <w:t xml:space="preserve">and found that pH is the most important precipitation parameter (Benalia, et al., 2022). In addition, the effect of the precipitating agent dosage was examined. However, other important process parameters, such as stirring speed and time, were not investigated. Therefore, the aim of this study was to fill the gap in the existing literature by examining the influence of stirring speed and time on the hydroxide precipitation of selected toxic heavy metals, using NaOH as the precipitating agent. The experiments were conducted on both </w:t>
      </w:r>
      <w:proofErr w:type="spellStart"/>
      <w:r w:rsidRPr="004E20EE">
        <w:rPr>
          <w:rFonts w:ascii="Arial" w:hAnsi="Arial" w:cs="Arial"/>
        </w:rPr>
        <w:t>monocomponent</w:t>
      </w:r>
      <w:proofErr w:type="spellEnd"/>
      <w:r w:rsidRPr="004E20EE">
        <w:rPr>
          <w:rFonts w:ascii="Arial" w:hAnsi="Arial" w:cs="Arial"/>
        </w:rPr>
        <w:t xml:space="preserve"> solutions of toxic metal ions and binary mixtures.</w:t>
      </w:r>
    </w:p>
    <w:p w14:paraId="54187153" w14:textId="77777777" w:rsidR="004E20EE" w:rsidRDefault="004E20EE" w:rsidP="00441B6F">
      <w:pPr>
        <w:pStyle w:val="AbstHead"/>
        <w:spacing w:after="0"/>
        <w:jc w:val="both"/>
        <w:rPr>
          <w:rFonts w:ascii="Arial" w:hAnsi="Arial" w:cs="Arial"/>
        </w:rPr>
      </w:pPr>
    </w:p>
    <w:p w14:paraId="48C06BF9"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8FAFBBD" w14:textId="77777777" w:rsidR="00790ADA" w:rsidRDefault="00790ADA" w:rsidP="00441B6F">
      <w:pPr>
        <w:pStyle w:val="AbstHead"/>
        <w:spacing w:after="0"/>
        <w:jc w:val="both"/>
        <w:rPr>
          <w:rFonts w:ascii="Arial" w:hAnsi="Arial" w:cs="Arial"/>
        </w:rPr>
      </w:pPr>
    </w:p>
    <w:p w14:paraId="6F9831B0" w14:textId="77777777" w:rsidR="004E20EE" w:rsidRDefault="000218B2" w:rsidP="004E20EE">
      <w:pPr>
        <w:rPr>
          <w:rFonts w:ascii="Arial" w:hAnsi="Arial" w:cs="Arial"/>
          <w:b/>
        </w:rPr>
      </w:pPr>
      <w:r>
        <w:rPr>
          <w:rFonts w:ascii="Arial" w:hAnsi="Arial" w:cs="Arial"/>
          <w:b/>
        </w:rPr>
        <w:t xml:space="preserve">2.1. </w:t>
      </w:r>
      <w:r w:rsidR="004E20EE" w:rsidRPr="004E20EE">
        <w:rPr>
          <w:rFonts w:ascii="Arial" w:hAnsi="Arial" w:cs="Arial"/>
          <w:b/>
        </w:rPr>
        <w:t>Chemicals and reagents</w:t>
      </w:r>
    </w:p>
    <w:p w14:paraId="3CB71756" w14:textId="77777777" w:rsidR="000218B2" w:rsidRPr="004E20EE" w:rsidRDefault="000218B2" w:rsidP="004E20EE">
      <w:pPr>
        <w:rPr>
          <w:rFonts w:ascii="Arial" w:hAnsi="Arial" w:cs="Arial"/>
          <w:b/>
        </w:rPr>
      </w:pPr>
    </w:p>
    <w:p w14:paraId="57071562" w14:textId="77777777" w:rsidR="004E20EE" w:rsidRDefault="004E20EE" w:rsidP="004E20EE">
      <w:pPr>
        <w:spacing w:line="276" w:lineRule="auto"/>
        <w:jc w:val="both"/>
        <w:rPr>
          <w:rFonts w:ascii="Arial" w:hAnsi="Arial" w:cs="Arial"/>
        </w:rPr>
      </w:pPr>
      <w:r w:rsidRPr="004E20EE">
        <w:rPr>
          <w:rFonts w:ascii="Arial" w:hAnsi="Arial" w:cs="Arial"/>
        </w:rPr>
        <w:t xml:space="preserve">For the preparation of the calibration curves, standard solutions with an initial concentration of 1000 mg/L of </w:t>
      </w:r>
      <w:proofErr w:type="gramStart"/>
      <w:r w:rsidRPr="004E20EE">
        <w:rPr>
          <w:rFonts w:ascii="Arial" w:hAnsi="Arial" w:cs="Arial"/>
        </w:rPr>
        <w:t>copper(</w:t>
      </w:r>
      <w:proofErr w:type="gramEnd"/>
      <w:r w:rsidRPr="004E20EE">
        <w:rPr>
          <w:rFonts w:ascii="Arial" w:hAnsi="Arial" w:cs="Arial"/>
        </w:rPr>
        <w:t xml:space="preserve">II) nitrate, lead(II) nitrate, nickel(II) nitrate, and zinc(II) nitrate (Merck, Germany) were used. Simulated wastewater containing </w:t>
      </w:r>
      <w:proofErr w:type="spellStart"/>
      <w:r w:rsidRPr="004E20EE">
        <w:rPr>
          <w:rFonts w:ascii="Arial" w:hAnsi="Arial" w:cs="Arial"/>
        </w:rPr>
        <w:t>monocomponent</w:t>
      </w:r>
      <w:proofErr w:type="spellEnd"/>
      <w:r w:rsidRPr="004E20EE">
        <w:rPr>
          <w:rFonts w:ascii="Arial" w:hAnsi="Arial" w:cs="Arial"/>
        </w:rPr>
        <w:t xml:space="preserve"> metal solutions as well as binary metal mixtures was prepared using the following nitrate salts: </w:t>
      </w:r>
      <w:proofErr w:type="gramStart"/>
      <w:r w:rsidRPr="004E20EE">
        <w:rPr>
          <w:rFonts w:ascii="Arial" w:hAnsi="Arial" w:cs="Arial"/>
        </w:rPr>
        <w:t>copper(</w:t>
      </w:r>
      <w:proofErr w:type="gramEnd"/>
      <w:r w:rsidRPr="004E20EE">
        <w:rPr>
          <w:rFonts w:ascii="Arial" w:hAnsi="Arial" w:cs="Arial"/>
        </w:rPr>
        <w:t>II) nitrate trihydrate (</w:t>
      </w:r>
      <w:proofErr w:type="spellStart"/>
      <w:r w:rsidRPr="004E20EE">
        <w:rPr>
          <w:rFonts w:ascii="Arial" w:hAnsi="Arial" w:cs="Arial"/>
        </w:rPr>
        <w:t>Pliva</w:t>
      </w:r>
      <w:proofErr w:type="spellEnd"/>
      <w:r w:rsidRPr="004E20EE">
        <w:rPr>
          <w:rFonts w:ascii="Arial" w:hAnsi="Arial" w:cs="Arial"/>
        </w:rPr>
        <w:t>, Croatia), lead(II) nitrate (Alkaloid, North Macedonia), nickel(II) nitrate hexahydrate (</w:t>
      </w:r>
      <w:proofErr w:type="spellStart"/>
      <w:r w:rsidRPr="004E20EE">
        <w:rPr>
          <w:rFonts w:ascii="Arial" w:hAnsi="Arial" w:cs="Arial"/>
        </w:rPr>
        <w:t>Semikem</w:t>
      </w:r>
      <w:proofErr w:type="spellEnd"/>
      <w:r w:rsidRPr="004E20EE">
        <w:rPr>
          <w:rFonts w:ascii="Arial" w:hAnsi="Arial" w:cs="Arial"/>
        </w:rPr>
        <w:t>, Bosnia and Herzegovina), and zinc(II) nitrate hexahydrate (</w:t>
      </w:r>
      <w:proofErr w:type="spellStart"/>
      <w:r w:rsidRPr="004E20EE">
        <w:rPr>
          <w:rFonts w:ascii="Arial" w:hAnsi="Arial" w:cs="Arial"/>
        </w:rPr>
        <w:t>Kemika</w:t>
      </w:r>
      <w:proofErr w:type="spellEnd"/>
      <w:r w:rsidRPr="004E20EE">
        <w:rPr>
          <w:rFonts w:ascii="Arial" w:hAnsi="Arial" w:cs="Arial"/>
        </w:rPr>
        <w:t xml:space="preserve">, Croatia). The simulated wastewater was prepared on the day of the experimental investigation, with an initial heavy metal concentration of 500 mg/L. All salts used for the preparation of the simulated wastewater were of analytical grade (p.a.&gt;99%). After the precipitation process, samples containing suspensions were filtered through </w:t>
      </w:r>
      <w:r w:rsidRPr="004E20EE">
        <w:rPr>
          <w:rFonts w:ascii="Arial" w:hAnsi="Arial" w:cs="Arial"/>
          <w:color w:val="000000" w:themeColor="text1"/>
        </w:rPr>
        <w:t xml:space="preserve">blue- and black-band filter paper </w:t>
      </w:r>
      <w:r w:rsidRPr="004E20EE">
        <w:rPr>
          <w:rFonts w:ascii="Arial" w:hAnsi="Arial" w:cs="Arial"/>
        </w:rPr>
        <w:t>with a diameter of 125 mm (</w:t>
      </w:r>
      <w:proofErr w:type="spellStart"/>
      <w:r w:rsidRPr="004E20EE">
        <w:rPr>
          <w:rFonts w:ascii="Arial" w:hAnsi="Arial" w:cs="Arial"/>
        </w:rPr>
        <w:t>Fioroni</w:t>
      </w:r>
      <w:proofErr w:type="spellEnd"/>
      <w:r w:rsidRPr="004E20EE">
        <w:rPr>
          <w:rFonts w:ascii="Arial" w:hAnsi="Arial" w:cs="Arial"/>
        </w:rPr>
        <w:t>, France).</w:t>
      </w:r>
    </w:p>
    <w:p w14:paraId="45CC33F5" w14:textId="77777777" w:rsidR="00EF09CB" w:rsidRDefault="00EF09CB" w:rsidP="004E20EE">
      <w:pPr>
        <w:spacing w:line="276" w:lineRule="auto"/>
        <w:jc w:val="both"/>
        <w:rPr>
          <w:rFonts w:ascii="Arial" w:hAnsi="Arial" w:cs="Arial"/>
        </w:rPr>
      </w:pPr>
    </w:p>
    <w:p w14:paraId="45F2124C" w14:textId="77777777" w:rsidR="00EF09CB" w:rsidRPr="004E20EE" w:rsidRDefault="00EF09CB" w:rsidP="004E20EE">
      <w:pPr>
        <w:spacing w:line="276" w:lineRule="auto"/>
        <w:jc w:val="both"/>
        <w:rPr>
          <w:rFonts w:ascii="Arial" w:hAnsi="Arial" w:cs="Arial"/>
        </w:rPr>
      </w:pPr>
    </w:p>
    <w:p w14:paraId="72B4D4B5" w14:textId="77777777" w:rsidR="000218B2" w:rsidRDefault="000218B2" w:rsidP="004E20EE">
      <w:pPr>
        <w:rPr>
          <w:rFonts w:ascii="Arial" w:hAnsi="Arial" w:cs="Arial"/>
          <w:b/>
        </w:rPr>
      </w:pPr>
    </w:p>
    <w:p w14:paraId="1E512190" w14:textId="77777777" w:rsidR="004E20EE" w:rsidRDefault="000218B2" w:rsidP="004E20EE">
      <w:pPr>
        <w:rPr>
          <w:rFonts w:ascii="Arial" w:hAnsi="Arial" w:cs="Arial"/>
          <w:b/>
        </w:rPr>
      </w:pPr>
      <w:r>
        <w:rPr>
          <w:rFonts w:ascii="Arial" w:hAnsi="Arial" w:cs="Arial"/>
          <w:b/>
        </w:rPr>
        <w:t xml:space="preserve">2.2. </w:t>
      </w:r>
      <w:r w:rsidR="004E20EE" w:rsidRPr="004E20EE">
        <w:rPr>
          <w:rFonts w:ascii="Arial" w:hAnsi="Arial" w:cs="Arial"/>
          <w:b/>
        </w:rPr>
        <w:t>Instrumentation</w:t>
      </w:r>
    </w:p>
    <w:p w14:paraId="298143E4" w14:textId="77777777" w:rsidR="000218B2" w:rsidRPr="004E20EE" w:rsidRDefault="000218B2" w:rsidP="004E20EE">
      <w:pPr>
        <w:rPr>
          <w:rFonts w:ascii="Arial" w:hAnsi="Arial" w:cs="Arial"/>
          <w:b/>
        </w:rPr>
      </w:pPr>
    </w:p>
    <w:p w14:paraId="5F164C9B" w14:textId="77777777" w:rsidR="004E20EE" w:rsidRPr="004E20EE" w:rsidRDefault="004E20EE" w:rsidP="004E20EE">
      <w:pPr>
        <w:spacing w:line="276" w:lineRule="auto"/>
        <w:jc w:val="both"/>
        <w:rPr>
          <w:rFonts w:ascii="Arial" w:hAnsi="Arial" w:cs="Arial"/>
        </w:rPr>
      </w:pPr>
      <w:r w:rsidRPr="004E20EE">
        <w:rPr>
          <w:rFonts w:ascii="Arial" w:hAnsi="Arial" w:cs="Arial"/>
        </w:rPr>
        <w:t xml:space="preserve">The residual concentrations of metal ions were determined using a flame atomic absorption spectrophotometer (FAAS; PerkinElmer </w:t>
      </w:r>
      <w:proofErr w:type="spellStart"/>
      <w:r w:rsidRPr="004E20EE">
        <w:rPr>
          <w:rFonts w:ascii="Arial" w:hAnsi="Arial" w:cs="Arial"/>
        </w:rPr>
        <w:t>AAnalyst</w:t>
      </w:r>
      <w:proofErr w:type="spellEnd"/>
      <w:r w:rsidRPr="004E20EE">
        <w:rPr>
          <w:rFonts w:ascii="Arial" w:hAnsi="Arial" w:cs="Arial"/>
        </w:rPr>
        <w:t xml:space="preserve"> 200). The pH of the simulated wastewater solutions was adjusted using a pH meter (</w:t>
      </w:r>
      <w:proofErr w:type="spellStart"/>
      <w:r w:rsidRPr="004E20EE">
        <w:rPr>
          <w:rFonts w:ascii="Arial" w:hAnsi="Arial" w:cs="Arial"/>
        </w:rPr>
        <w:t>Crison</w:t>
      </w:r>
      <w:proofErr w:type="spellEnd"/>
      <w:r w:rsidRPr="004E20EE">
        <w:rPr>
          <w:rFonts w:ascii="Arial" w:hAnsi="Arial" w:cs="Arial"/>
        </w:rPr>
        <w:t xml:space="preserve"> GLP), while nitrate salts of accurately known metal ion concentrations were weighed using an analytical balance (Kern ADDB, readability 0.001 g).</w:t>
      </w:r>
    </w:p>
    <w:p w14:paraId="7585BAC9" w14:textId="77777777" w:rsidR="004E20EE" w:rsidRPr="004E20EE" w:rsidRDefault="004E20EE" w:rsidP="004E20EE">
      <w:pPr>
        <w:spacing w:line="276" w:lineRule="auto"/>
        <w:jc w:val="both"/>
        <w:rPr>
          <w:rFonts w:ascii="Arial" w:hAnsi="Arial" w:cs="Arial"/>
        </w:rPr>
      </w:pPr>
    </w:p>
    <w:p w14:paraId="265BA11D" w14:textId="77777777" w:rsidR="004E20EE" w:rsidRDefault="000218B2" w:rsidP="004E20EE">
      <w:pPr>
        <w:rPr>
          <w:rFonts w:ascii="Arial" w:hAnsi="Arial" w:cs="Arial"/>
          <w:b/>
        </w:rPr>
      </w:pPr>
      <w:r>
        <w:rPr>
          <w:rFonts w:ascii="Arial" w:hAnsi="Arial" w:cs="Arial"/>
          <w:b/>
        </w:rPr>
        <w:t xml:space="preserve">2.3. </w:t>
      </w:r>
      <w:r w:rsidR="004E20EE" w:rsidRPr="004E20EE">
        <w:rPr>
          <w:rFonts w:ascii="Arial" w:hAnsi="Arial" w:cs="Arial"/>
          <w:b/>
        </w:rPr>
        <w:t>General procedure</w:t>
      </w:r>
    </w:p>
    <w:p w14:paraId="2440A530" w14:textId="77777777" w:rsidR="000218B2" w:rsidRPr="004E20EE" w:rsidRDefault="000218B2" w:rsidP="004E20EE">
      <w:pPr>
        <w:rPr>
          <w:rFonts w:ascii="Arial" w:hAnsi="Arial" w:cs="Arial"/>
          <w:b/>
        </w:rPr>
      </w:pPr>
    </w:p>
    <w:p w14:paraId="5F0DD922" w14:textId="77777777" w:rsidR="000218B2" w:rsidRDefault="004E20EE" w:rsidP="000218B2">
      <w:pPr>
        <w:spacing w:line="276" w:lineRule="auto"/>
        <w:jc w:val="both"/>
        <w:rPr>
          <w:rFonts w:ascii="Arial" w:hAnsi="Arial" w:cs="Arial"/>
        </w:rPr>
      </w:pPr>
      <w:r w:rsidRPr="004E20EE">
        <w:rPr>
          <w:rFonts w:ascii="Arial" w:hAnsi="Arial" w:cs="Arial"/>
        </w:rPr>
        <w:t xml:space="preserve">The batch method was employed to investigate the influence of process parameters of hydroxide precipitation on the removal efficiency of selected metal ions from </w:t>
      </w:r>
      <w:proofErr w:type="spellStart"/>
      <w:r w:rsidRPr="004E20EE">
        <w:rPr>
          <w:rFonts w:ascii="Arial" w:hAnsi="Arial" w:cs="Arial"/>
        </w:rPr>
        <w:t>monocomponent</w:t>
      </w:r>
      <w:proofErr w:type="spellEnd"/>
      <w:r w:rsidRPr="004E20EE">
        <w:rPr>
          <w:rFonts w:ascii="Arial" w:hAnsi="Arial" w:cs="Arial"/>
        </w:rPr>
        <w:t xml:space="preserve"> aqueous solutions and binary aqueous mixtures. In 100 mL of heavy metal solutions with an initial concentration of 500 mg/L, a defined amount of 0.1 mol/L NaOH solution was added to adjust the </w:t>
      </w:r>
      <w:proofErr w:type="spellStart"/>
      <w:r w:rsidRPr="004E20EE">
        <w:rPr>
          <w:rFonts w:ascii="Arial" w:hAnsi="Arial" w:cs="Arial"/>
        </w:rPr>
        <w:t>pH.</w:t>
      </w:r>
      <w:proofErr w:type="spellEnd"/>
      <w:r w:rsidRPr="004E20EE">
        <w:rPr>
          <w:rFonts w:ascii="Arial" w:hAnsi="Arial" w:cs="Arial"/>
        </w:rPr>
        <w:t xml:space="preserve"> Optimal pH values for individual metal ions and binary mixtures were selected based on the authors’ previous research. For </w:t>
      </w:r>
      <w:proofErr w:type="spellStart"/>
      <w:r w:rsidRPr="004E20EE">
        <w:rPr>
          <w:rFonts w:ascii="Arial" w:hAnsi="Arial" w:cs="Arial"/>
        </w:rPr>
        <w:t>monocomponent</w:t>
      </w:r>
      <w:proofErr w:type="spellEnd"/>
      <w:r w:rsidRPr="004E20EE">
        <w:rPr>
          <w:rFonts w:ascii="Arial" w:hAnsi="Arial" w:cs="Arial"/>
        </w:rPr>
        <w:t xml:space="preserve"> solutions of </w:t>
      </w:r>
      <w:proofErr w:type="gramStart"/>
      <w:r w:rsidRPr="004E20EE">
        <w:rPr>
          <w:rFonts w:ascii="Arial" w:hAnsi="Arial" w:cs="Arial"/>
        </w:rPr>
        <w:t>Cu(</w:t>
      </w:r>
      <w:proofErr w:type="gramEnd"/>
      <w:r w:rsidRPr="004E20EE">
        <w:rPr>
          <w:rFonts w:ascii="Arial" w:hAnsi="Arial" w:cs="Arial"/>
        </w:rPr>
        <w:t xml:space="preserve">II) and Ni(II), the optimal pH values were 11.60 and 12.23 (Junuzović, et al., 2019), respectively, while for Pb(II) and Zn(II) they were 11.39 and 10.32. For the binary </w:t>
      </w:r>
      <w:proofErr w:type="gramStart"/>
      <w:r w:rsidRPr="004E20EE">
        <w:rPr>
          <w:rFonts w:ascii="Arial" w:hAnsi="Arial" w:cs="Arial"/>
        </w:rPr>
        <w:t>Pb(</w:t>
      </w:r>
      <w:proofErr w:type="gramEnd"/>
      <w:r w:rsidRPr="004E20EE">
        <w:rPr>
          <w:rFonts w:ascii="Arial" w:hAnsi="Arial" w:cs="Arial"/>
        </w:rPr>
        <w:t xml:space="preserve">II)/Zn(II) mixture, the optimal pH value was 10.96 (Junuzović, et al., 2019), whereas for the binary Cu(II)/Ni(II) mixture, the optimal pH value was determined through preliminary experiments and used in all subsequent investigations of process kinetics, amounting to 11.53. The pH value was maintained constant throughout the study and was not varied for any of the investigated solutions. At optimal pH, the effect of stirring speed (0, 100, 300, and 800 rpm) on the removal efficiency of metal ions from </w:t>
      </w:r>
      <w:proofErr w:type="spellStart"/>
      <w:r w:rsidRPr="004E20EE">
        <w:rPr>
          <w:rFonts w:ascii="Arial" w:hAnsi="Arial" w:cs="Arial"/>
        </w:rPr>
        <w:t>monocomponent</w:t>
      </w:r>
      <w:proofErr w:type="spellEnd"/>
      <w:r w:rsidRPr="004E20EE">
        <w:rPr>
          <w:rFonts w:ascii="Arial" w:hAnsi="Arial" w:cs="Arial"/>
        </w:rPr>
        <w:t xml:space="preserve"> solutions and binary mixtures was examined at a constant stirring time of 5 minutes. In addition, the influence of stirring </w:t>
      </w:r>
      <w:r w:rsidR="00A531A0">
        <w:rPr>
          <w:rFonts w:ascii="Arial" w:hAnsi="Arial" w:cs="Arial"/>
        </w:rPr>
        <w:t>time</w:t>
      </w:r>
      <w:r w:rsidRPr="004E20EE">
        <w:rPr>
          <w:rFonts w:ascii="Arial" w:hAnsi="Arial" w:cs="Arial"/>
        </w:rPr>
        <w:t xml:space="preserve"> (0, 15, and 30 minutes) on metal ion removal efficiency was investigated for both </w:t>
      </w:r>
      <w:proofErr w:type="spellStart"/>
      <w:r w:rsidRPr="004E20EE">
        <w:rPr>
          <w:rFonts w:ascii="Arial" w:hAnsi="Arial" w:cs="Arial"/>
        </w:rPr>
        <w:t>monocomponent</w:t>
      </w:r>
      <w:proofErr w:type="spellEnd"/>
      <w:r w:rsidRPr="004E20EE">
        <w:rPr>
          <w:rFonts w:ascii="Arial" w:hAnsi="Arial" w:cs="Arial"/>
        </w:rPr>
        <w:t xml:space="preserve"> aqueous solutions and binary mixtures, while the stirring speed was kept constant at 300 rpm.</w:t>
      </w:r>
    </w:p>
    <w:p w14:paraId="314FDE1F" w14:textId="77777777" w:rsidR="000218B2" w:rsidRDefault="000218B2" w:rsidP="000218B2">
      <w:pPr>
        <w:spacing w:line="276" w:lineRule="auto"/>
        <w:jc w:val="both"/>
        <w:rPr>
          <w:rFonts w:ascii="Arial" w:hAnsi="Arial" w:cs="Arial"/>
        </w:rPr>
      </w:pPr>
    </w:p>
    <w:p w14:paraId="60090CE6" w14:textId="77777777" w:rsidR="000218B2" w:rsidRPr="000218B2" w:rsidRDefault="000218B2" w:rsidP="000218B2">
      <w:pPr>
        <w:spacing w:line="276" w:lineRule="auto"/>
        <w:jc w:val="both"/>
        <w:rPr>
          <w:rFonts w:ascii="Arial" w:hAnsi="Arial" w:cs="Arial"/>
          <w:b/>
          <w:sz w:val="22"/>
        </w:rPr>
      </w:pPr>
      <w:r w:rsidRPr="000218B2">
        <w:rPr>
          <w:rFonts w:ascii="Arial" w:hAnsi="Arial" w:cs="Arial"/>
          <w:b/>
          <w:sz w:val="22"/>
        </w:rPr>
        <w:t>3. RESULTS AND DISCUSSION</w:t>
      </w:r>
    </w:p>
    <w:p w14:paraId="5640B1E3" w14:textId="77777777" w:rsidR="000218B2" w:rsidRDefault="000218B2" w:rsidP="000218B2">
      <w:pPr>
        <w:pStyle w:val="Head1"/>
        <w:spacing w:after="0"/>
        <w:jc w:val="center"/>
        <w:rPr>
          <w:rFonts w:ascii="Arial" w:hAnsi="Arial" w:cs="Arial"/>
        </w:rPr>
      </w:pPr>
      <w:r w:rsidRPr="000218B2">
        <w:rPr>
          <w:rFonts w:ascii="Arial" w:hAnsi="Arial" w:cs="Arial"/>
          <w:noProof/>
        </w:rPr>
        <w:drawing>
          <wp:inline distT="0" distB="0" distL="0" distR="0" wp14:anchorId="646B80AE" wp14:editId="0B347B97">
            <wp:extent cx="4500000" cy="2700000"/>
            <wp:effectExtent l="0" t="0" r="0" b="0"/>
            <wp:docPr id="1" name="Chart 1">
              <a:extLst xmlns:a="http://schemas.openxmlformats.org/drawingml/2006/main">
                <a:ext uri="{FF2B5EF4-FFF2-40B4-BE49-F238E27FC236}">
                  <a16:creationId xmlns:a16="http://schemas.microsoft.com/office/drawing/2014/main" id="{D28BCD07-A417-46BB-AEAB-5D9F8B7D8B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F5459B" w14:textId="77777777" w:rsidR="000218B2" w:rsidRPr="000218B2" w:rsidRDefault="000218B2" w:rsidP="000218B2">
      <w:pPr>
        <w:jc w:val="center"/>
        <w:rPr>
          <w:rFonts w:ascii="Arial" w:hAnsi="Arial" w:cs="Arial"/>
          <w:b/>
        </w:rPr>
      </w:pPr>
      <w:r w:rsidRPr="000218B2">
        <w:rPr>
          <w:rFonts w:ascii="Arial" w:hAnsi="Arial" w:cs="Arial"/>
          <w:b/>
        </w:rPr>
        <w:t>Fig</w:t>
      </w:r>
      <w:r>
        <w:rPr>
          <w:rFonts w:ascii="Arial" w:hAnsi="Arial" w:cs="Arial"/>
          <w:b/>
        </w:rPr>
        <w:t>.</w:t>
      </w:r>
      <w:r w:rsidRPr="000218B2">
        <w:rPr>
          <w:rFonts w:ascii="Arial" w:hAnsi="Arial" w:cs="Arial"/>
          <w:b/>
        </w:rPr>
        <w:t xml:space="preserve"> 1.</w:t>
      </w:r>
      <w:r w:rsidRPr="000218B2">
        <w:rPr>
          <w:rFonts w:ascii="Arial" w:hAnsi="Arial" w:cs="Arial"/>
        </w:rPr>
        <w:t xml:space="preserve"> </w:t>
      </w:r>
      <w:bookmarkStart w:id="1" w:name="_Hlk217976373"/>
      <w:r w:rsidRPr="000218B2">
        <w:rPr>
          <w:rFonts w:ascii="Arial" w:hAnsi="Arial" w:cs="Arial"/>
          <w:b/>
        </w:rPr>
        <w:t xml:space="preserve">Influence of stirring speed on the removal efficiency of selected metals from aqueous </w:t>
      </w:r>
      <w:proofErr w:type="spellStart"/>
      <w:r w:rsidRPr="000218B2">
        <w:rPr>
          <w:rFonts w:ascii="Arial" w:hAnsi="Arial" w:cs="Arial"/>
          <w:b/>
        </w:rPr>
        <w:t>monocomponent</w:t>
      </w:r>
      <w:proofErr w:type="spellEnd"/>
      <w:r w:rsidRPr="000218B2">
        <w:rPr>
          <w:rFonts w:ascii="Arial" w:hAnsi="Arial" w:cs="Arial"/>
          <w:b/>
        </w:rPr>
        <w:t xml:space="preserve"> solutions </w:t>
      </w:r>
      <w:bookmarkEnd w:id="1"/>
    </w:p>
    <w:p w14:paraId="7E7C139C" w14:textId="77777777" w:rsidR="000218B2" w:rsidRDefault="000218B2" w:rsidP="000218B2">
      <w:pPr>
        <w:jc w:val="center"/>
        <w:rPr>
          <w:rFonts w:ascii="Times New Roman" w:hAnsi="Times New Roman"/>
          <w:sz w:val="24"/>
        </w:rPr>
      </w:pPr>
    </w:p>
    <w:p w14:paraId="790952BC" w14:textId="77777777" w:rsidR="000218B2" w:rsidRDefault="000218B2" w:rsidP="000218B2">
      <w:pPr>
        <w:spacing w:line="276" w:lineRule="auto"/>
        <w:jc w:val="both"/>
        <w:rPr>
          <w:rFonts w:ascii="Arial" w:hAnsi="Arial" w:cs="Arial"/>
        </w:rPr>
      </w:pPr>
      <w:r w:rsidRPr="000218B2">
        <w:rPr>
          <w:rFonts w:ascii="Arial" w:hAnsi="Arial" w:cs="Arial"/>
        </w:rPr>
        <w:t xml:space="preserve">Figure 1 illustrates the effect of stirring speed on the removal efficiency of heavy metal ions from aqueous </w:t>
      </w:r>
      <w:proofErr w:type="spellStart"/>
      <w:r w:rsidRPr="000218B2">
        <w:rPr>
          <w:rFonts w:ascii="Arial" w:hAnsi="Arial" w:cs="Arial"/>
        </w:rPr>
        <w:t>monocomponent</w:t>
      </w:r>
      <w:proofErr w:type="spellEnd"/>
      <w:r w:rsidRPr="000218B2">
        <w:rPr>
          <w:rFonts w:ascii="Arial" w:hAnsi="Arial" w:cs="Arial"/>
        </w:rPr>
        <w:t xml:space="preserve"> solutions. The influence of stirring speed was investigated at 0, 100, 300, and 800 rpm using a magnetic stirrer for all four metals under identical atmospheric conditions. </w:t>
      </w:r>
      <w:proofErr w:type="gramStart"/>
      <w:r w:rsidRPr="000218B2">
        <w:rPr>
          <w:rFonts w:ascii="Arial" w:hAnsi="Arial" w:cs="Arial"/>
        </w:rPr>
        <w:t>Cu(</w:t>
      </w:r>
      <w:proofErr w:type="gramEnd"/>
      <w:r w:rsidRPr="000218B2">
        <w:rPr>
          <w:rFonts w:ascii="Arial" w:hAnsi="Arial" w:cs="Arial"/>
        </w:rPr>
        <w:t xml:space="preserve">II) and Zn(II) ions exhibited similar removal trends across all investigated stirring speeds. At lower stirring rates, the removal efficiencies of these ions </w:t>
      </w:r>
      <w:r w:rsidRPr="000218B2">
        <w:rPr>
          <w:rFonts w:ascii="Arial" w:hAnsi="Arial" w:cs="Arial"/>
        </w:rPr>
        <w:lastRenderedPageBreak/>
        <w:t xml:space="preserve">were slightly reduced, while an almost linear increase in removal efficiency was observed with increasing stirring speed. The highest removal efficiencies were achieved at 800 rpm, reaching 99.991% for </w:t>
      </w:r>
      <w:proofErr w:type="gramStart"/>
      <w:r w:rsidRPr="000218B2">
        <w:rPr>
          <w:rFonts w:ascii="Arial" w:hAnsi="Arial" w:cs="Arial"/>
        </w:rPr>
        <w:t>Cu(</w:t>
      </w:r>
      <w:proofErr w:type="gramEnd"/>
      <w:r w:rsidRPr="000218B2">
        <w:rPr>
          <w:rFonts w:ascii="Arial" w:hAnsi="Arial" w:cs="Arial"/>
        </w:rPr>
        <w:t xml:space="preserve">II) ions and 99.359% for Zn(II) ions. In contrast to </w:t>
      </w:r>
      <w:proofErr w:type="gramStart"/>
      <w:r w:rsidRPr="000218B2">
        <w:rPr>
          <w:rFonts w:ascii="Arial" w:hAnsi="Arial" w:cs="Arial"/>
        </w:rPr>
        <w:t>Cu(</w:t>
      </w:r>
      <w:proofErr w:type="gramEnd"/>
      <w:r w:rsidRPr="000218B2">
        <w:rPr>
          <w:rFonts w:ascii="Arial" w:hAnsi="Arial" w:cs="Arial"/>
        </w:rPr>
        <w:t xml:space="preserve">II) and Zn(II), Ni(II) ions displayed a different removal behavior. An increasing removal trend was observed within the </w:t>
      </w:r>
      <w:proofErr w:type="spellStart"/>
      <w:r w:rsidRPr="000218B2">
        <w:rPr>
          <w:rFonts w:ascii="Arial" w:hAnsi="Arial" w:cs="Arial"/>
        </w:rPr>
        <w:t>srirring</w:t>
      </w:r>
      <w:proofErr w:type="spellEnd"/>
      <w:r w:rsidRPr="000218B2">
        <w:rPr>
          <w:rFonts w:ascii="Arial" w:hAnsi="Arial" w:cs="Arial"/>
        </w:rPr>
        <w:t xml:space="preserve"> speed range of 0–300 rpm, with a maximum removal efficiency of 95.020%, which is lower compared to </w:t>
      </w:r>
      <w:proofErr w:type="gramStart"/>
      <w:r w:rsidRPr="000218B2">
        <w:rPr>
          <w:rFonts w:ascii="Arial" w:hAnsi="Arial" w:cs="Arial"/>
        </w:rPr>
        <w:t>Cu(</w:t>
      </w:r>
      <w:proofErr w:type="gramEnd"/>
      <w:r w:rsidRPr="000218B2">
        <w:rPr>
          <w:rFonts w:ascii="Arial" w:hAnsi="Arial" w:cs="Arial"/>
        </w:rPr>
        <w:t xml:space="preserve">II) and Zn(II) ions. At the highest stirring speed (800 rpm), a slight decrease in </w:t>
      </w:r>
      <w:proofErr w:type="gramStart"/>
      <w:r w:rsidRPr="000218B2">
        <w:rPr>
          <w:rFonts w:ascii="Arial" w:hAnsi="Arial" w:cs="Arial"/>
        </w:rPr>
        <w:t>Ni(</w:t>
      </w:r>
      <w:proofErr w:type="gramEnd"/>
      <w:r w:rsidRPr="000218B2">
        <w:rPr>
          <w:rFonts w:ascii="Arial" w:hAnsi="Arial" w:cs="Arial"/>
        </w:rPr>
        <w:t xml:space="preserve">II) removal efficiency was recorded, possibly indicating adverse effects of intensive stirring on the stability of the formed precipitate. </w:t>
      </w:r>
      <w:proofErr w:type="gramStart"/>
      <w:r w:rsidRPr="000218B2">
        <w:rPr>
          <w:rFonts w:ascii="Arial" w:hAnsi="Arial" w:cs="Arial"/>
        </w:rPr>
        <w:t>Pb(</w:t>
      </w:r>
      <w:proofErr w:type="gramEnd"/>
      <w:r w:rsidRPr="000218B2">
        <w:rPr>
          <w:rFonts w:ascii="Arial" w:hAnsi="Arial" w:cs="Arial"/>
        </w:rPr>
        <w:t xml:space="preserve">II) ions showed the most pronounced dependence of removal efficiency on stirring speed. In the absence of mixing (0 rpm), the lowest removal efficiency of 82.603% was observed, in contrast to the other metals, for which removal efficiencies exceeded 95% for </w:t>
      </w:r>
      <w:proofErr w:type="gramStart"/>
      <w:r w:rsidRPr="000218B2">
        <w:rPr>
          <w:rFonts w:ascii="Arial" w:hAnsi="Arial" w:cs="Arial"/>
        </w:rPr>
        <w:t>Ni(</w:t>
      </w:r>
      <w:proofErr w:type="gramEnd"/>
      <w:r w:rsidRPr="000218B2">
        <w:rPr>
          <w:rFonts w:ascii="Arial" w:hAnsi="Arial" w:cs="Arial"/>
        </w:rPr>
        <w:t xml:space="preserve">II) and 99% for Cu(II) and Zn(II) ions under the same conditions. With increasing stirring speed, a continuous improvement in </w:t>
      </w:r>
      <w:proofErr w:type="gramStart"/>
      <w:r w:rsidRPr="000218B2">
        <w:rPr>
          <w:rFonts w:ascii="Arial" w:hAnsi="Arial" w:cs="Arial"/>
        </w:rPr>
        <w:t>Pb(</w:t>
      </w:r>
      <w:proofErr w:type="gramEnd"/>
      <w:r w:rsidRPr="000218B2">
        <w:rPr>
          <w:rFonts w:ascii="Arial" w:hAnsi="Arial" w:cs="Arial"/>
        </w:rPr>
        <w:t xml:space="preserve">II) removal efficiency was achieved, with the maximum value of 94.334% obtained at 800 rpm. Although adsorption and precipitation are distinct chemical processes, a similar methodological approach is often applied in experimental studies, in which stirring speed and time have a significant influence on the course and efficiency of both processes. Guided by the above considerations, as well as by the lack of literature investigating the effect of stirring speed on precipitation efficiency, Nurul et al., 2025 examined the influence of solution stirring speed in the range of 90, 100, 110, 120, and 130 rpm on the removal efficiency of </w:t>
      </w:r>
      <w:proofErr w:type="gramStart"/>
      <w:r w:rsidRPr="000218B2">
        <w:rPr>
          <w:rFonts w:ascii="Arial" w:hAnsi="Arial" w:cs="Arial"/>
        </w:rPr>
        <w:t>Cd(</w:t>
      </w:r>
      <w:proofErr w:type="gramEnd"/>
      <w:r w:rsidRPr="000218B2">
        <w:rPr>
          <w:rFonts w:ascii="Arial" w:hAnsi="Arial" w:cs="Arial"/>
        </w:rPr>
        <w:t xml:space="preserve">II) ions using </w:t>
      </w:r>
      <w:r w:rsidRPr="000218B2">
        <w:rPr>
          <w:rFonts w:ascii="Arial" w:hAnsi="Arial" w:cs="Arial"/>
          <w:i/>
        </w:rPr>
        <w:t xml:space="preserve">Acacia </w:t>
      </w:r>
      <w:proofErr w:type="spellStart"/>
      <w:r w:rsidRPr="000218B2">
        <w:rPr>
          <w:rFonts w:ascii="Arial" w:hAnsi="Arial" w:cs="Arial"/>
          <w:i/>
        </w:rPr>
        <w:t>crassicarpa</w:t>
      </w:r>
      <w:proofErr w:type="spellEnd"/>
      <w:r w:rsidRPr="000218B2">
        <w:rPr>
          <w:rFonts w:ascii="Arial" w:hAnsi="Arial" w:cs="Arial"/>
        </w:rPr>
        <w:t xml:space="preserve"> bark powder as an adsorbent. The results showed that increasing the stirring speed led to higher removal efficiency, with a maximum efficiency of 96.93% achieved at a stirring speed of 120 rpm. These results are consistent with those obtained in the present study for </w:t>
      </w:r>
      <w:proofErr w:type="spellStart"/>
      <w:r w:rsidRPr="000218B2">
        <w:rPr>
          <w:rFonts w:ascii="Arial" w:hAnsi="Arial" w:cs="Arial"/>
        </w:rPr>
        <w:t>monocomponent</w:t>
      </w:r>
      <w:proofErr w:type="spellEnd"/>
      <w:r w:rsidRPr="000218B2">
        <w:rPr>
          <w:rFonts w:ascii="Arial" w:hAnsi="Arial" w:cs="Arial"/>
        </w:rPr>
        <w:t xml:space="preserve"> solutions. The authors reported that higher stirring speeds result in increased kinetic energy and more frequent collisions between the adsorbent and adsorbate, as well as reduced boundary layer resistance, thereby accelerating mass transfer from the solution to the surface of the adsorbent (Nurul, et al., 2025). In the study by </w:t>
      </w:r>
      <w:proofErr w:type="spellStart"/>
      <w:r w:rsidRPr="000218B2">
        <w:rPr>
          <w:rFonts w:ascii="Arial" w:hAnsi="Arial" w:cs="Arial"/>
        </w:rPr>
        <w:t>Sasan</w:t>
      </w:r>
      <w:proofErr w:type="spellEnd"/>
      <w:r w:rsidRPr="000218B2">
        <w:rPr>
          <w:rFonts w:ascii="Arial" w:hAnsi="Arial" w:cs="Arial"/>
        </w:rPr>
        <w:t xml:space="preserve"> </w:t>
      </w:r>
      <w:proofErr w:type="spellStart"/>
      <w:r w:rsidRPr="000218B2">
        <w:rPr>
          <w:rFonts w:ascii="Arial" w:hAnsi="Arial" w:cs="Arial"/>
        </w:rPr>
        <w:t>Narkesabad</w:t>
      </w:r>
      <w:proofErr w:type="spellEnd"/>
      <w:r w:rsidRPr="000218B2">
        <w:rPr>
          <w:rFonts w:ascii="Arial" w:hAnsi="Arial" w:cs="Arial"/>
        </w:rPr>
        <w:t xml:space="preserve"> et al., 2023, the effect of stirring speed on the removal efficiency of </w:t>
      </w:r>
      <w:proofErr w:type="gramStart"/>
      <w:r w:rsidRPr="000218B2">
        <w:rPr>
          <w:rFonts w:ascii="Arial" w:hAnsi="Arial" w:cs="Arial"/>
        </w:rPr>
        <w:t>Pb(</w:t>
      </w:r>
      <w:proofErr w:type="gramEnd"/>
      <w:r w:rsidRPr="000218B2">
        <w:rPr>
          <w:rFonts w:ascii="Arial" w:hAnsi="Arial" w:cs="Arial"/>
        </w:rPr>
        <w:t xml:space="preserve">II) ions using </w:t>
      </w:r>
      <w:proofErr w:type="spellStart"/>
      <w:r w:rsidRPr="000218B2">
        <w:rPr>
          <w:rFonts w:ascii="Arial" w:hAnsi="Arial" w:cs="Arial"/>
        </w:rPr>
        <w:t>amidoximated</w:t>
      </w:r>
      <w:proofErr w:type="spellEnd"/>
      <w:r w:rsidRPr="000218B2">
        <w:rPr>
          <w:rFonts w:ascii="Arial" w:hAnsi="Arial" w:cs="Arial"/>
        </w:rPr>
        <w:t xml:space="preserve"> silane-functionalized </w:t>
      </w:r>
      <w:r w:rsidRPr="000218B2">
        <w:rPr>
          <w:rFonts w:ascii="Arial" w:hAnsi="Arial" w:cs="Arial"/>
          <w:i/>
        </w:rPr>
        <w:t xml:space="preserve">Luffa </w:t>
      </w:r>
      <w:proofErr w:type="spellStart"/>
      <w:r w:rsidRPr="000218B2">
        <w:rPr>
          <w:rFonts w:ascii="Arial" w:hAnsi="Arial" w:cs="Arial"/>
          <w:i/>
        </w:rPr>
        <w:t>cylindrica</w:t>
      </w:r>
      <w:proofErr w:type="spellEnd"/>
      <w:r w:rsidRPr="000218B2">
        <w:rPr>
          <w:rFonts w:ascii="Arial" w:hAnsi="Arial" w:cs="Arial"/>
        </w:rPr>
        <w:t xml:space="preserve"> as an adsorbent was investigated. They found that the highest removal efficiency was achieved at a higher mixing speed (700 rpm), similar to the results obtained in this study, where most metal ions exhibited higher precipitation efficiency at a speed of around 800 rpm (</w:t>
      </w:r>
      <w:proofErr w:type="spellStart"/>
      <w:r w:rsidRPr="000218B2">
        <w:rPr>
          <w:rFonts w:ascii="Arial" w:hAnsi="Arial" w:cs="Arial"/>
        </w:rPr>
        <w:t>Sasan</w:t>
      </w:r>
      <w:proofErr w:type="spellEnd"/>
      <w:r w:rsidRPr="000218B2">
        <w:rPr>
          <w:rFonts w:ascii="Arial" w:hAnsi="Arial" w:cs="Arial"/>
        </w:rPr>
        <w:t xml:space="preserve"> </w:t>
      </w:r>
      <w:proofErr w:type="spellStart"/>
      <w:r w:rsidRPr="000218B2">
        <w:rPr>
          <w:rFonts w:ascii="Arial" w:hAnsi="Arial" w:cs="Arial"/>
        </w:rPr>
        <w:t>Narkesabad</w:t>
      </w:r>
      <w:proofErr w:type="spellEnd"/>
      <w:r w:rsidRPr="000218B2">
        <w:rPr>
          <w:rFonts w:ascii="Arial" w:hAnsi="Arial" w:cs="Arial"/>
        </w:rPr>
        <w:t xml:space="preserve"> et al., 2023). Based on these results, it can be concluded that, in addition to pH and initial metal ion concentration, stirring speed represents an important operational parameter in the precipitation process. Higher stirring speeds promote improved contact between metal ions and the precipitating agent, thereby creating more favorable conditions for the formation of insoluble, gelatinous precipitates and enhancing the overall metal removal efficiency. </w:t>
      </w:r>
    </w:p>
    <w:p w14:paraId="75B7FB4B" w14:textId="77777777" w:rsidR="000218B2" w:rsidRDefault="000218B2" w:rsidP="000218B2">
      <w:pPr>
        <w:spacing w:line="276" w:lineRule="auto"/>
        <w:jc w:val="both"/>
        <w:rPr>
          <w:rFonts w:ascii="Arial" w:hAnsi="Arial" w:cs="Arial"/>
        </w:rPr>
      </w:pPr>
    </w:p>
    <w:p w14:paraId="2E3055F9" w14:textId="77777777" w:rsidR="000218B2" w:rsidRDefault="000218B2" w:rsidP="000218B2">
      <w:pPr>
        <w:spacing w:line="276" w:lineRule="auto"/>
        <w:jc w:val="center"/>
        <w:rPr>
          <w:rFonts w:ascii="Arial" w:hAnsi="Arial" w:cs="Arial"/>
        </w:rPr>
      </w:pPr>
      <w:r>
        <w:rPr>
          <w:noProof/>
        </w:rPr>
        <w:lastRenderedPageBreak/>
        <w:drawing>
          <wp:inline distT="0" distB="0" distL="0" distR="0" wp14:anchorId="6964A081" wp14:editId="546E5538">
            <wp:extent cx="4500000" cy="2700000"/>
            <wp:effectExtent l="0" t="0" r="0" b="0"/>
            <wp:docPr id="5" name="Chart 5">
              <a:extLst xmlns:a="http://schemas.openxmlformats.org/drawingml/2006/main">
                <a:ext uri="{FF2B5EF4-FFF2-40B4-BE49-F238E27FC236}">
                  <a16:creationId xmlns:a16="http://schemas.microsoft.com/office/drawing/2014/main" id="{38B11567-E2C9-4AA9-BC55-5E01F9FDF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5EF053" w14:textId="77777777" w:rsidR="000218B2" w:rsidRDefault="000218B2" w:rsidP="000218B2">
      <w:pPr>
        <w:spacing w:line="276" w:lineRule="auto"/>
        <w:jc w:val="center"/>
        <w:rPr>
          <w:rFonts w:ascii="Arial" w:hAnsi="Arial" w:cs="Arial"/>
          <w:b/>
        </w:rPr>
      </w:pPr>
      <w:r w:rsidRPr="000218B2">
        <w:rPr>
          <w:rFonts w:ascii="Arial" w:hAnsi="Arial" w:cs="Arial"/>
          <w:b/>
        </w:rPr>
        <w:t>Fig</w:t>
      </w:r>
      <w:r>
        <w:rPr>
          <w:rFonts w:ascii="Arial" w:hAnsi="Arial" w:cs="Arial"/>
          <w:b/>
        </w:rPr>
        <w:t>.</w:t>
      </w:r>
      <w:r w:rsidRPr="000218B2">
        <w:rPr>
          <w:rFonts w:ascii="Arial" w:hAnsi="Arial" w:cs="Arial"/>
          <w:b/>
        </w:rPr>
        <w:t xml:space="preserve"> 2. Influence of stirring speed on the removal efficiency of </w:t>
      </w:r>
      <w:proofErr w:type="gramStart"/>
      <w:r w:rsidRPr="000218B2">
        <w:rPr>
          <w:rFonts w:ascii="Arial" w:hAnsi="Arial" w:cs="Arial"/>
          <w:b/>
        </w:rPr>
        <w:t>Cu(</w:t>
      </w:r>
      <w:proofErr w:type="gramEnd"/>
      <w:r w:rsidRPr="000218B2">
        <w:rPr>
          <w:rFonts w:ascii="Arial" w:hAnsi="Arial" w:cs="Arial"/>
          <w:b/>
        </w:rPr>
        <w:t>II)/Ni(II) in binary aqueous solutions</w:t>
      </w:r>
    </w:p>
    <w:p w14:paraId="483662D7" w14:textId="77777777" w:rsidR="004712A3" w:rsidRDefault="004712A3" w:rsidP="000218B2">
      <w:pPr>
        <w:spacing w:line="276" w:lineRule="auto"/>
        <w:jc w:val="center"/>
        <w:rPr>
          <w:rFonts w:ascii="Arial" w:hAnsi="Arial" w:cs="Arial"/>
          <w:b/>
        </w:rPr>
      </w:pPr>
    </w:p>
    <w:p w14:paraId="697A9EE8" w14:textId="77777777" w:rsidR="004712A3" w:rsidRDefault="004712A3" w:rsidP="000218B2">
      <w:pPr>
        <w:spacing w:line="276" w:lineRule="auto"/>
        <w:jc w:val="center"/>
        <w:rPr>
          <w:rFonts w:ascii="Arial" w:hAnsi="Arial" w:cs="Arial"/>
          <w:b/>
        </w:rPr>
      </w:pPr>
    </w:p>
    <w:p w14:paraId="202F0B17" w14:textId="77777777" w:rsidR="000218B2" w:rsidRDefault="000218B2" w:rsidP="000218B2">
      <w:pPr>
        <w:spacing w:line="276" w:lineRule="auto"/>
        <w:jc w:val="center"/>
        <w:rPr>
          <w:rFonts w:ascii="Arial" w:hAnsi="Arial" w:cs="Arial"/>
          <w:b/>
        </w:rPr>
      </w:pPr>
      <w:r>
        <w:rPr>
          <w:noProof/>
        </w:rPr>
        <w:drawing>
          <wp:inline distT="0" distB="0" distL="0" distR="0" wp14:anchorId="6444149E" wp14:editId="22D7D5E1">
            <wp:extent cx="4500000" cy="2700000"/>
            <wp:effectExtent l="0" t="0" r="0" b="0"/>
            <wp:docPr id="7" name="Chart 7">
              <a:extLst xmlns:a="http://schemas.openxmlformats.org/drawingml/2006/main">
                <a:ext uri="{FF2B5EF4-FFF2-40B4-BE49-F238E27FC236}">
                  <a16:creationId xmlns:a16="http://schemas.microsoft.com/office/drawing/2014/main" id="{D7D84457-7F74-4D24-9773-2B8E8D10FA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C93EE8" w14:textId="77777777" w:rsidR="000218B2" w:rsidRPr="000218B2" w:rsidRDefault="000218B2" w:rsidP="000218B2">
      <w:pPr>
        <w:jc w:val="center"/>
        <w:rPr>
          <w:rFonts w:ascii="Arial" w:hAnsi="Arial" w:cs="Arial"/>
          <w:b/>
        </w:rPr>
      </w:pPr>
      <w:r w:rsidRPr="000218B2">
        <w:rPr>
          <w:rFonts w:ascii="Arial" w:hAnsi="Arial" w:cs="Arial"/>
          <w:b/>
        </w:rPr>
        <w:t>Fig</w:t>
      </w:r>
      <w:r>
        <w:rPr>
          <w:rFonts w:ascii="Arial" w:hAnsi="Arial" w:cs="Arial"/>
          <w:b/>
        </w:rPr>
        <w:t>.</w:t>
      </w:r>
      <w:r w:rsidRPr="000218B2">
        <w:rPr>
          <w:rFonts w:ascii="Arial" w:hAnsi="Arial" w:cs="Arial"/>
          <w:b/>
        </w:rPr>
        <w:t xml:space="preserve"> 3. Influence of stirring speed on the removal efficiency of </w:t>
      </w:r>
      <w:proofErr w:type="gramStart"/>
      <w:r w:rsidRPr="000218B2">
        <w:rPr>
          <w:rFonts w:ascii="Arial" w:hAnsi="Arial" w:cs="Arial"/>
          <w:b/>
        </w:rPr>
        <w:t>Pb(</w:t>
      </w:r>
      <w:proofErr w:type="gramEnd"/>
      <w:r w:rsidRPr="000218B2">
        <w:rPr>
          <w:rFonts w:ascii="Arial" w:hAnsi="Arial" w:cs="Arial"/>
          <w:b/>
        </w:rPr>
        <w:t>II)/Zn(II) in binary aqueous solutions</w:t>
      </w:r>
    </w:p>
    <w:p w14:paraId="0E7F240C" w14:textId="77777777" w:rsidR="000218B2" w:rsidRPr="000218B2" w:rsidRDefault="000218B2" w:rsidP="000218B2">
      <w:pPr>
        <w:jc w:val="center"/>
        <w:rPr>
          <w:rFonts w:ascii="Arial" w:hAnsi="Arial" w:cs="Arial"/>
        </w:rPr>
      </w:pPr>
    </w:p>
    <w:p w14:paraId="3E96AB10" w14:textId="77777777" w:rsidR="000218B2" w:rsidRPr="000218B2" w:rsidRDefault="000218B2" w:rsidP="000218B2">
      <w:pPr>
        <w:spacing w:line="276" w:lineRule="auto"/>
        <w:jc w:val="both"/>
        <w:rPr>
          <w:rFonts w:ascii="Arial" w:hAnsi="Arial" w:cs="Arial"/>
        </w:rPr>
      </w:pPr>
      <w:r w:rsidRPr="000218B2">
        <w:rPr>
          <w:rFonts w:ascii="Arial" w:hAnsi="Arial" w:cs="Arial"/>
        </w:rPr>
        <w:t xml:space="preserve">Figures 2 and 3 present the effect of stirring speed, ranging from 0 to 800 rpm, on the removal efficiency of metal ions from binary aqueous solutions. Figure 2 illustrates the removal efficiency of </w:t>
      </w:r>
      <w:proofErr w:type="gramStart"/>
      <w:r w:rsidRPr="000218B2">
        <w:rPr>
          <w:rFonts w:ascii="Arial" w:hAnsi="Arial" w:cs="Arial"/>
        </w:rPr>
        <w:t>Cu(</w:t>
      </w:r>
      <w:proofErr w:type="gramEnd"/>
      <w:r w:rsidRPr="000218B2">
        <w:rPr>
          <w:rFonts w:ascii="Arial" w:hAnsi="Arial" w:cs="Arial"/>
        </w:rPr>
        <w:t xml:space="preserve">II)/Ni(II) ions from a binary aqueous mixture at different stirring speeds. Based on the obtained results, it can be concluded that variations in stirring speed had a negligible influence on the removal efficiency of the investigated metal ions. At all examined stirring speeds, </w:t>
      </w:r>
      <w:proofErr w:type="gramStart"/>
      <w:r w:rsidRPr="000218B2">
        <w:rPr>
          <w:rFonts w:ascii="Arial" w:hAnsi="Arial" w:cs="Arial"/>
        </w:rPr>
        <w:t>Cu(</w:t>
      </w:r>
      <w:proofErr w:type="gramEnd"/>
      <w:r w:rsidRPr="000218B2">
        <w:rPr>
          <w:rFonts w:ascii="Arial" w:hAnsi="Arial" w:cs="Arial"/>
        </w:rPr>
        <w:t xml:space="preserve">II) ions exhibited higher removal efficiency compared to Ni(II) ions. The maximum removal efficiency for both ions was achieved at a stirring speed of 100 </w:t>
      </w:r>
      <w:r w:rsidRPr="000218B2">
        <w:rPr>
          <w:rFonts w:ascii="Arial" w:hAnsi="Arial" w:cs="Arial"/>
        </w:rPr>
        <w:lastRenderedPageBreak/>
        <w:t xml:space="preserve">rpm, while a further increase to 300 rpm resulted in a slight decrease in efficiency. A comparison between the removal efficiencies obtained in </w:t>
      </w:r>
      <w:proofErr w:type="spellStart"/>
      <w:r w:rsidRPr="000218B2">
        <w:rPr>
          <w:rFonts w:ascii="Arial" w:hAnsi="Arial" w:cs="Arial"/>
        </w:rPr>
        <w:t>monocomponent</w:t>
      </w:r>
      <w:proofErr w:type="spellEnd"/>
      <w:r w:rsidRPr="000218B2">
        <w:rPr>
          <w:rFonts w:ascii="Arial" w:hAnsi="Arial" w:cs="Arial"/>
        </w:rPr>
        <w:t xml:space="preserve"> solutions and binary mixtures reveals different removal trends and interaction behaviors of the metal ions. </w:t>
      </w:r>
      <w:proofErr w:type="gramStart"/>
      <w:r w:rsidRPr="000218B2">
        <w:rPr>
          <w:rFonts w:ascii="Arial" w:hAnsi="Arial" w:cs="Arial"/>
        </w:rPr>
        <w:t>Cu(</w:t>
      </w:r>
      <w:proofErr w:type="gramEnd"/>
      <w:r w:rsidRPr="000218B2">
        <w:rPr>
          <w:rFonts w:ascii="Arial" w:hAnsi="Arial" w:cs="Arial"/>
        </w:rPr>
        <w:t xml:space="preserve">II) ions showed higher removal efficiency in </w:t>
      </w:r>
      <w:proofErr w:type="spellStart"/>
      <w:r w:rsidRPr="000218B2">
        <w:rPr>
          <w:rFonts w:ascii="Arial" w:hAnsi="Arial" w:cs="Arial"/>
        </w:rPr>
        <w:t>monocomponent</w:t>
      </w:r>
      <w:proofErr w:type="spellEnd"/>
      <w:r w:rsidRPr="000218B2">
        <w:rPr>
          <w:rFonts w:ascii="Arial" w:hAnsi="Arial" w:cs="Arial"/>
        </w:rPr>
        <w:t xml:space="preserve"> solutions than in the binary system containing Ni(II) ions, indicating a competitive effect in the mixed system. In contrast, </w:t>
      </w:r>
      <w:proofErr w:type="gramStart"/>
      <w:r w:rsidRPr="000218B2">
        <w:rPr>
          <w:rFonts w:ascii="Arial" w:hAnsi="Arial" w:cs="Arial"/>
        </w:rPr>
        <w:t>Ni(</w:t>
      </w:r>
      <w:proofErr w:type="gramEnd"/>
      <w:r w:rsidRPr="000218B2">
        <w:rPr>
          <w:rFonts w:ascii="Arial" w:hAnsi="Arial" w:cs="Arial"/>
        </w:rPr>
        <w:t xml:space="preserve">II) ions exhibited only minor differences in removal efficiency at lower stirring speeds. Moreover, at higher stirring speeds, the removal efficiency of </w:t>
      </w:r>
      <w:proofErr w:type="gramStart"/>
      <w:r w:rsidRPr="000218B2">
        <w:rPr>
          <w:rFonts w:ascii="Arial" w:hAnsi="Arial" w:cs="Arial"/>
        </w:rPr>
        <w:t>Ni(</w:t>
      </w:r>
      <w:proofErr w:type="gramEnd"/>
      <w:r w:rsidRPr="000218B2">
        <w:rPr>
          <w:rFonts w:ascii="Arial" w:hAnsi="Arial" w:cs="Arial"/>
        </w:rPr>
        <w:t xml:space="preserve">II) ions was slightly lower in the </w:t>
      </w:r>
      <w:proofErr w:type="spellStart"/>
      <w:r w:rsidRPr="000218B2">
        <w:rPr>
          <w:rFonts w:ascii="Arial" w:hAnsi="Arial" w:cs="Arial"/>
        </w:rPr>
        <w:t>monocomponent</w:t>
      </w:r>
      <w:proofErr w:type="spellEnd"/>
      <w:r w:rsidRPr="000218B2">
        <w:rPr>
          <w:rFonts w:ascii="Arial" w:hAnsi="Arial" w:cs="Arial"/>
        </w:rPr>
        <w:t xml:space="preserve"> solution compared to the binary mixture. The most pronounced difference was observed at 800 rpm, where the removal efficiency reached 94.947% in the </w:t>
      </w:r>
      <w:proofErr w:type="spellStart"/>
      <w:r w:rsidRPr="000218B2">
        <w:rPr>
          <w:rFonts w:ascii="Arial" w:hAnsi="Arial" w:cs="Arial"/>
        </w:rPr>
        <w:t>monocomponent</w:t>
      </w:r>
      <w:proofErr w:type="spellEnd"/>
      <w:r w:rsidRPr="000218B2">
        <w:rPr>
          <w:rFonts w:ascii="Arial" w:hAnsi="Arial" w:cs="Arial"/>
        </w:rPr>
        <w:t xml:space="preserve"> solution and 95.519% in the binary system. Unlike the </w:t>
      </w:r>
      <w:proofErr w:type="gramStart"/>
      <w:r w:rsidRPr="000218B2">
        <w:rPr>
          <w:rFonts w:ascii="Arial" w:hAnsi="Arial" w:cs="Arial"/>
        </w:rPr>
        <w:t>Cu(</w:t>
      </w:r>
      <w:proofErr w:type="gramEnd"/>
      <w:r w:rsidRPr="000218B2">
        <w:rPr>
          <w:rFonts w:ascii="Arial" w:hAnsi="Arial" w:cs="Arial"/>
        </w:rPr>
        <w:t xml:space="preserve">II)/Ni(II) system, the binary mixture of Pb(II)/Zn(II) ions demonstrated improved removal efficiencies for both metals compared to their respective </w:t>
      </w:r>
      <w:proofErr w:type="spellStart"/>
      <w:r w:rsidRPr="000218B2">
        <w:rPr>
          <w:rFonts w:ascii="Arial" w:hAnsi="Arial" w:cs="Arial"/>
        </w:rPr>
        <w:t>monocomponent</w:t>
      </w:r>
      <w:proofErr w:type="spellEnd"/>
      <w:r w:rsidRPr="000218B2">
        <w:rPr>
          <w:rFonts w:ascii="Arial" w:hAnsi="Arial" w:cs="Arial"/>
        </w:rPr>
        <w:t xml:space="preserve"> solutions across all investigated stirring speeds. </w:t>
      </w:r>
      <w:proofErr w:type="gramStart"/>
      <w:r w:rsidRPr="000218B2">
        <w:rPr>
          <w:rFonts w:ascii="Arial" w:hAnsi="Arial" w:cs="Arial"/>
        </w:rPr>
        <w:t>Pb(</w:t>
      </w:r>
      <w:proofErr w:type="gramEnd"/>
      <w:r w:rsidRPr="000218B2">
        <w:rPr>
          <w:rFonts w:ascii="Arial" w:hAnsi="Arial" w:cs="Arial"/>
        </w:rPr>
        <w:t xml:space="preserve">II) ions exhibited enhanced removal efficiency in the presence of Zn(II) ions, suggesting a favorable interaction or reduced competition between these ions. Furthermore, </w:t>
      </w:r>
      <w:proofErr w:type="gramStart"/>
      <w:r w:rsidRPr="000218B2">
        <w:rPr>
          <w:rFonts w:ascii="Arial" w:hAnsi="Arial" w:cs="Arial"/>
        </w:rPr>
        <w:t>Zn(</w:t>
      </w:r>
      <w:proofErr w:type="gramEnd"/>
      <w:r w:rsidRPr="000218B2">
        <w:rPr>
          <w:rFonts w:ascii="Arial" w:hAnsi="Arial" w:cs="Arial"/>
        </w:rPr>
        <w:t xml:space="preserve">II) ions showed consistently high removal efficiencies exceeding 99% in both </w:t>
      </w:r>
      <w:proofErr w:type="spellStart"/>
      <w:r w:rsidRPr="000218B2">
        <w:rPr>
          <w:rFonts w:ascii="Arial" w:hAnsi="Arial" w:cs="Arial"/>
        </w:rPr>
        <w:t>monocomponent</w:t>
      </w:r>
      <w:proofErr w:type="spellEnd"/>
      <w:r w:rsidRPr="000218B2">
        <w:rPr>
          <w:rFonts w:ascii="Arial" w:hAnsi="Arial" w:cs="Arial"/>
        </w:rPr>
        <w:t xml:space="preserve"> and binary aqueous systems. In this binary system, the highest removal efficiencies for both metals were achieved at the maximum stirring speed of 800 rpm, amounting to 98.634% for </w:t>
      </w:r>
      <w:proofErr w:type="gramStart"/>
      <w:r w:rsidRPr="000218B2">
        <w:rPr>
          <w:rFonts w:ascii="Arial" w:hAnsi="Arial" w:cs="Arial"/>
        </w:rPr>
        <w:t>Pb(</w:t>
      </w:r>
      <w:proofErr w:type="gramEnd"/>
      <w:r w:rsidRPr="000218B2">
        <w:rPr>
          <w:rFonts w:ascii="Arial" w:hAnsi="Arial" w:cs="Arial"/>
        </w:rPr>
        <w:t xml:space="preserve">II) ions and 99.293% for Zn(II) ions, respectively. </w:t>
      </w:r>
      <w:proofErr w:type="spellStart"/>
      <w:r w:rsidRPr="000218B2">
        <w:rPr>
          <w:rFonts w:ascii="Arial" w:hAnsi="Arial" w:cs="Arial"/>
        </w:rPr>
        <w:t>Chouchane</w:t>
      </w:r>
      <w:proofErr w:type="spellEnd"/>
      <w:r w:rsidRPr="000218B2">
        <w:rPr>
          <w:rFonts w:ascii="Arial" w:hAnsi="Arial" w:cs="Arial"/>
        </w:rPr>
        <w:t xml:space="preserve"> et al., 2023 investigated the effect of solution stirring speed on the adsorption efficiency of </w:t>
      </w:r>
      <w:proofErr w:type="gramStart"/>
      <w:r w:rsidRPr="000218B2">
        <w:rPr>
          <w:rFonts w:ascii="Arial" w:hAnsi="Arial" w:cs="Arial"/>
        </w:rPr>
        <w:t>Mn(</w:t>
      </w:r>
      <w:proofErr w:type="gramEnd"/>
      <w:r w:rsidRPr="000218B2">
        <w:rPr>
          <w:rFonts w:ascii="Arial" w:hAnsi="Arial" w:cs="Arial"/>
        </w:rPr>
        <w:t xml:space="preserve">II) ions using blast furnace slag (BFS) and kaolin (KGA) in the range of 100 to 300 rpm. The results show that the highest adsorption efficiency was achieved at 150 rpm, which the authors explained by better homogenization at lower speeds, while at higher speeds (200–300 rpm), fragmentation of the precipitate and redistribution of particles occurred. Applying this to the current study, we observe a similarity: for the binary </w:t>
      </w:r>
      <w:proofErr w:type="gramStart"/>
      <w:r w:rsidRPr="000218B2">
        <w:rPr>
          <w:rFonts w:ascii="Arial" w:hAnsi="Arial" w:cs="Arial"/>
        </w:rPr>
        <w:t>Cu(</w:t>
      </w:r>
      <w:proofErr w:type="gramEnd"/>
      <w:r w:rsidRPr="000218B2">
        <w:rPr>
          <w:rFonts w:ascii="Arial" w:hAnsi="Arial" w:cs="Arial"/>
        </w:rPr>
        <w:t>II)/Ni(II) mixture, the highest removal efficiency was achieved at 100 rpm, and further increases in stirring speed led to the dissolution of the formed precipitate (</w:t>
      </w:r>
      <w:proofErr w:type="spellStart"/>
      <w:r w:rsidRPr="000218B2">
        <w:rPr>
          <w:rFonts w:ascii="Arial" w:hAnsi="Arial" w:cs="Arial"/>
        </w:rPr>
        <w:t>Chouchane</w:t>
      </w:r>
      <w:proofErr w:type="spellEnd"/>
      <w:r w:rsidRPr="000218B2">
        <w:rPr>
          <w:rFonts w:ascii="Arial" w:hAnsi="Arial" w:cs="Arial"/>
        </w:rPr>
        <w:t xml:space="preserve"> et al., 2023).</w:t>
      </w:r>
    </w:p>
    <w:p w14:paraId="352D6253" w14:textId="77777777" w:rsidR="000218B2" w:rsidRDefault="000218B2" w:rsidP="000218B2">
      <w:pPr>
        <w:spacing w:line="276" w:lineRule="auto"/>
        <w:jc w:val="center"/>
        <w:rPr>
          <w:rFonts w:ascii="Arial" w:hAnsi="Arial" w:cs="Arial"/>
          <w:b/>
        </w:rPr>
      </w:pPr>
      <w:r>
        <w:rPr>
          <w:noProof/>
        </w:rPr>
        <w:drawing>
          <wp:inline distT="0" distB="0" distL="0" distR="0" wp14:anchorId="558DD6F4" wp14:editId="3D7C2EC6">
            <wp:extent cx="4500000" cy="2700000"/>
            <wp:effectExtent l="0" t="0" r="0" b="0"/>
            <wp:docPr id="8" name="Chart 8">
              <a:extLst xmlns:a="http://schemas.openxmlformats.org/drawingml/2006/main">
                <a:ext uri="{FF2B5EF4-FFF2-40B4-BE49-F238E27FC236}">
                  <a16:creationId xmlns:a16="http://schemas.microsoft.com/office/drawing/2014/main" id="{D28BCD07-A417-46BB-AEAB-5D9F8B7D8B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21D801" w14:textId="77777777" w:rsidR="000218B2" w:rsidRPr="000218B2" w:rsidRDefault="000218B2" w:rsidP="000218B2">
      <w:pPr>
        <w:jc w:val="center"/>
        <w:rPr>
          <w:rFonts w:ascii="Arial" w:hAnsi="Arial" w:cs="Arial"/>
        </w:rPr>
      </w:pPr>
      <w:r w:rsidRPr="000218B2">
        <w:rPr>
          <w:rFonts w:ascii="Arial" w:hAnsi="Arial" w:cs="Arial"/>
          <w:b/>
        </w:rPr>
        <w:t>Fig</w:t>
      </w:r>
      <w:r>
        <w:rPr>
          <w:rFonts w:ascii="Arial" w:hAnsi="Arial" w:cs="Arial"/>
          <w:b/>
        </w:rPr>
        <w:t>.</w:t>
      </w:r>
      <w:r w:rsidRPr="000218B2">
        <w:rPr>
          <w:rFonts w:ascii="Arial" w:hAnsi="Arial" w:cs="Arial"/>
          <w:b/>
        </w:rPr>
        <w:t xml:space="preserve"> 4.</w:t>
      </w:r>
      <w:r w:rsidRPr="000218B2">
        <w:rPr>
          <w:rFonts w:ascii="Arial" w:hAnsi="Arial" w:cs="Arial"/>
        </w:rPr>
        <w:t xml:space="preserve"> </w:t>
      </w:r>
      <w:r w:rsidRPr="000218B2">
        <w:rPr>
          <w:rFonts w:ascii="Arial" w:hAnsi="Arial" w:cs="Arial"/>
          <w:b/>
        </w:rPr>
        <w:t xml:space="preserve">Influence of stirring time on the removal efficiency of selected metals from aqueous </w:t>
      </w:r>
      <w:proofErr w:type="spellStart"/>
      <w:r w:rsidRPr="000218B2">
        <w:rPr>
          <w:rFonts w:ascii="Arial" w:hAnsi="Arial" w:cs="Arial"/>
          <w:b/>
        </w:rPr>
        <w:t>monocomponent</w:t>
      </w:r>
      <w:proofErr w:type="spellEnd"/>
      <w:r w:rsidRPr="000218B2">
        <w:rPr>
          <w:rFonts w:ascii="Arial" w:hAnsi="Arial" w:cs="Arial"/>
          <w:b/>
        </w:rPr>
        <w:t xml:space="preserve"> solutions</w:t>
      </w:r>
    </w:p>
    <w:p w14:paraId="12686DA4" w14:textId="77777777" w:rsidR="000218B2" w:rsidRPr="000218B2" w:rsidRDefault="000218B2" w:rsidP="000218B2">
      <w:pPr>
        <w:jc w:val="center"/>
        <w:rPr>
          <w:rFonts w:ascii="Arial" w:hAnsi="Arial" w:cs="Arial"/>
        </w:rPr>
      </w:pPr>
    </w:p>
    <w:p w14:paraId="4B42E6CC" w14:textId="77777777" w:rsidR="000218B2" w:rsidRPr="000218B2" w:rsidRDefault="000218B2" w:rsidP="000218B2">
      <w:pPr>
        <w:spacing w:line="276" w:lineRule="auto"/>
        <w:jc w:val="both"/>
        <w:rPr>
          <w:rFonts w:ascii="Arial" w:hAnsi="Arial" w:cs="Arial"/>
        </w:rPr>
      </w:pPr>
      <w:r w:rsidRPr="000218B2">
        <w:rPr>
          <w:rFonts w:ascii="Arial" w:hAnsi="Arial" w:cs="Arial"/>
        </w:rPr>
        <w:lastRenderedPageBreak/>
        <w:t xml:space="preserve">Figure 4 illustrates the effect of stirring time on the removal efficiency of selected metal ions from a </w:t>
      </w:r>
      <w:proofErr w:type="spellStart"/>
      <w:r w:rsidRPr="000218B2">
        <w:rPr>
          <w:rFonts w:ascii="Arial" w:hAnsi="Arial" w:cs="Arial"/>
        </w:rPr>
        <w:t>monocomponent</w:t>
      </w:r>
      <w:proofErr w:type="spellEnd"/>
      <w:r w:rsidRPr="000218B2">
        <w:rPr>
          <w:rFonts w:ascii="Arial" w:hAnsi="Arial" w:cs="Arial"/>
        </w:rPr>
        <w:t xml:space="preserve"> solution. The influence of stirring duration (0, 15, and 30 minutes) was investigated at a constant stirring rate. The removal efficiency of </w:t>
      </w:r>
      <w:proofErr w:type="gramStart"/>
      <w:r w:rsidRPr="000218B2">
        <w:rPr>
          <w:rFonts w:ascii="Arial" w:hAnsi="Arial" w:cs="Arial"/>
        </w:rPr>
        <w:t>Ni(</w:t>
      </w:r>
      <w:proofErr w:type="gramEnd"/>
      <w:r w:rsidRPr="000218B2">
        <w:rPr>
          <w:rFonts w:ascii="Arial" w:hAnsi="Arial" w:cs="Arial"/>
        </w:rPr>
        <w:t xml:space="preserve">II) ions exhibited a slight, approximately linear increase with prolonged stirring time. The highest removal efficiency of </w:t>
      </w:r>
      <w:proofErr w:type="gramStart"/>
      <w:r w:rsidRPr="000218B2">
        <w:rPr>
          <w:rFonts w:ascii="Arial" w:hAnsi="Arial" w:cs="Arial"/>
        </w:rPr>
        <w:t>Ni(</w:t>
      </w:r>
      <w:proofErr w:type="gramEnd"/>
      <w:r w:rsidRPr="000218B2">
        <w:rPr>
          <w:rFonts w:ascii="Arial" w:hAnsi="Arial" w:cs="Arial"/>
        </w:rPr>
        <w:t xml:space="preserve">II) ions, 95.477%, was achieved at the longest mixing duration of 30 minutes. A similar trend was observed for </w:t>
      </w:r>
      <w:proofErr w:type="gramStart"/>
      <w:r w:rsidRPr="000218B2">
        <w:rPr>
          <w:rFonts w:ascii="Arial" w:hAnsi="Arial" w:cs="Arial"/>
        </w:rPr>
        <w:t>Pb(</w:t>
      </w:r>
      <w:proofErr w:type="gramEnd"/>
      <w:r w:rsidRPr="000218B2">
        <w:rPr>
          <w:rFonts w:ascii="Arial" w:hAnsi="Arial" w:cs="Arial"/>
        </w:rPr>
        <w:t xml:space="preserve">II) ions, where extended stirring time resulted in higher removal efficiency, reaching a maximum of 90.043% after 30 minutes of stirring. In contrast to </w:t>
      </w:r>
      <w:proofErr w:type="gramStart"/>
      <w:r w:rsidRPr="000218B2">
        <w:rPr>
          <w:rFonts w:ascii="Arial" w:hAnsi="Arial" w:cs="Arial"/>
        </w:rPr>
        <w:t>Ni(</w:t>
      </w:r>
      <w:proofErr w:type="gramEnd"/>
      <w:r w:rsidRPr="000218B2">
        <w:rPr>
          <w:rFonts w:ascii="Arial" w:hAnsi="Arial" w:cs="Arial"/>
        </w:rPr>
        <w:t xml:space="preserve">II) and Pb(II) ions, Cu(II) and Zn(II) ions demonstrated a different removal pattern from </w:t>
      </w:r>
      <w:proofErr w:type="spellStart"/>
      <w:r w:rsidRPr="000218B2">
        <w:rPr>
          <w:rFonts w:ascii="Arial" w:hAnsi="Arial" w:cs="Arial"/>
        </w:rPr>
        <w:t>monocomponent</w:t>
      </w:r>
      <w:proofErr w:type="spellEnd"/>
      <w:r w:rsidRPr="000218B2">
        <w:rPr>
          <w:rFonts w:ascii="Arial" w:hAnsi="Arial" w:cs="Arial"/>
        </w:rPr>
        <w:t xml:space="preserve"> solutions. The highest removal efficiencies for these ions were observed at a mixing time of 15 minutes, amounting to 99.99% for </w:t>
      </w:r>
      <w:proofErr w:type="gramStart"/>
      <w:r w:rsidRPr="000218B2">
        <w:rPr>
          <w:rFonts w:ascii="Arial" w:hAnsi="Arial" w:cs="Arial"/>
        </w:rPr>
        <w:t>Cu(</w:t>
      </w:r>
      <w:proofErr w:type="gramEnd"/>
      <w:r w:rsidRPr="000218B2">
        <w:rPr>
          <w:rFonts w:ascii="Arial" w:hAnsi="Arial" w:cs="Arial"/>
        </w:rPr>
        <w:t xml:space="preserve">II) ions and 99.357% for Zn(II) ions. Further extension of the stirring duration led to a slight decrease in the removal efficiency of these metal ions. Selimović et al., 2026 reported that extending the mixing duration from 0 to 5 minutes during precipitation with hydrated lime significantly enhanced the removal efficiency of </w:t>
      </w:r>
      <w:proofErr w:type="gramStart"/>
      <w:r w:rsidRPr="000218B2">
        <w:rPr>
          <w:rFonts w:ascii="Arial" w:hAnsi="Arial" w:cs="Arial"/>
        </w:rPr>
        <w:t>Cd(</w:t>
      </w:r>
      <w:proofErr w:type="gramEnd"/>
      <w:r w:rsidRPr="000218B2">
        <w:rPr>
          <w:rFonts w:ascii="Arial" w:hAnsi="Arial" w:cs="Arial"/>
        </w:rPr>
        <w:t>II) ions (Selimović et al., 2026).</w:t>
      </w:r>
    </w:p>
    <w:p w14:paraId="609CFF1E" w14:textId="77777777" w:rsidR="000218B2" w:rsidRDefault="000218B2" w:rsidP="00F11224">
      <w:pPr>
        <w:pStyle w:val="Head1"/>
        <w:spacing w:after="0"/>
        <w:rPr>
          <w:rFonts w:ascii="Arial" w:hAnsi="Arial" w:cs="Arial"/>
        </w:rPr>
      </w:pPr>
    </w:p>
    <w:p w14:paraId="01F40808" w14:textId="77777777" w:rsidR="000218B2" w:rsidRDefault="00351A76" w:rsidP="00351A76">
      <w:pPr>
        <w:pStyle w:val="Head1"/>
        <w:spacing w:after="0"/>
        <w:jc w:val="center"/>
        <w:rPr>
          <w:rFonts w:ascii="Arial" w:hAnsi="Arial" w:cs="Arial"/>
        </w:rPr>
      </w:pPr>
      <w:r>
        <w:rPr>
          <w:noProof/>
        </w:rPr>
        <w:drawing>
          <wp:inline distT="0" distB="0" distL="0" distR="0" wp14:anchorId="665F5087" wp14:editId="71A126CA">
            <wp:extent cx="4500000" cy="2700000"/>
            <wp:effectExtent l="0" t="0" r="0" b="0"/>
            <wp:docPr id="12" name="Chart 12">
              <a:extLst xmlns:a="http://schemas.openxmlformats.org/drawingml/2006/main">
                <a:ext uri="{FF2B5EF4-FFF2-40B4-BE49-F238E27FC236}">
                  <a16:creationId xmlns:a16="http://schemas.microsoft.com/office/drawing/2014/main" id="{38B11567-E2C9-4AA9-BC55-5E01F9FDF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E4BE20" w14:textId="77777777" w:rsidR="00351A76" w:rsidRDefault="00351A76" w:rsidP="00F11224">
      <w:pPr>
        <w:spacing w:line="259" w:lineRule="auto"/>
        <w:jc w:val="center"/>
        <w:rPr>
          <w:rFonts w:ascii="Arial" w:eastAsia="Calibri" w:hAnsi="Arial" w:cs="Arial"/>
          <w:b/>
          <w:szCs w:val="22"/>
          <w:lang w:val="hr-HR"/>
        </w:rPr>
      </w:pPr>
      <w:r w:rsidRPr="00F11224">
        <w:rPr>
          <w:rFonts w:ascii="Arial" w:eastAsia="Calibri" w:hAnsi="Arial" w:cs="Arial"/>
          <w:b/>
          <w:szCs w:val="22"/>
          <w:lang w:val="hr-HR"/>
        </w:rPr>
        <w:t>Fig. 5.</w:t>
      </w:r>
      <w:r w:rsidRPr="00F11224">
        <w:rPr>
          <w:rFonts w:ascii="Arial" w:eastAsia="Calibri" w:hAnsi="Arial" w:cs="Arial"/>
          <w:szCs w:val="22"/>
          <w:lang w:val="hr-HR"/>
        </w:rPr>
        <w:t xml:space="preserve"> </w:t>
      </w:r>
      <w:bookmarkStart w:id="2" w:name="_Hlk217992784"/>
      <w:r w:rsidRPr="00F11224">
        <w:rPr>
          <w:rFonts w:ascii="Arial" w:eastAsia="Calibri" w:hAnsi="Arial" w:cs="Arial"/>
          <w:b/>
          <w:szCs w:val="22"/>
          <w:lang w:val="hr-HR"/>
        </w:rPr>
        <w:t>Influence of stirring time on the removal efficiency of Cu(II)/Ni(II) in binary aqueous solutions</w:t>
      </w:r>
      <w:bookmarkEnd w:id="2"/>
    </w:p>
    <w:p w14:paraId="275E9357" w14:textId="77777777" w:rsidR="00472EE4" w:rsidRPr="00F11224" w:rsidRDefault="00472EE4" w:rsidP="00F11224">
      <w:pPr>
        <w:spacing w:line="259" w:lineRule="auto"/>
        <w:jc w:val="center"/>
        <w:rPr>
          <w:rFonts w:ascii="Arial" w:eastAsia="Calibri" w:hAnsi="Arial" w:cs="Arial"/>
          <w:szCs w:val="22"/>
          <w:lang w:val="hr-HR"/>
        </w:rPr>
      </w:pPr>
    </w:p>
    <w:p w14:paraId="72474689" w14:textId="77777777" w:rsidR="00351A76" w:rsidRDefault="00351A76" w:rsidP="00351A76">
      <w:pPr>
        <w:spacing w:line="259" w:lineRule="auto"/>
        <w:jc w:val="center"/>
        <w:rPr>
          <w:rFonts w:ascii="Times New Roman" w:eastAsia="Calibri" w:hAnsi="Times New Roman"/>
          <w:sz w:val="24"/>
          <w:szCs w:val="22"/>
          <w:lang w:val="hr-HR"/>
        </w:rPr>
      </w:pPr>
      <w:r>
        <w:rPr>
          <w:noProof/>
        </w:rPr>
        <w:lastRenderedPageBreak/>
        <w:drawing>
          <wp:inline distT="0" distB="0" distL="0" distR="0" wp14:anchorId="22EEF846" wp14:editId="44B74B4E">
            <wp:extent cx="4500000" cy="2700000"/>
            <wp:effectExtent l="0" t="0" r="0" b="0"/>
            <wp:docPr id="13" name="Chart 13">
              <a:extLst xmlns:a="http://schemas.openxmlformats.org/drawingml/2006/main">
                <a:ext uri="{FF2B5EF4-FFF2-40B4-BE49-F238E27FC236}">
                  <a16:creationId xmlns:a16="http://schemas.microsoft.com/office/drawing/2014/main" id="{D7D84457-7F74-4D24-9773-2B8E8D10FA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69F3D6" w14:textId="77777777" w:rsidR="00351A76" w:rsidRPr="00F11224" w:rsidRDefault="00351A76" w:rsidP="00351A76">
      <w:pPr>
        <w:spacing w:line="259" w:lineRule="auto"/>
        <w:jc w:val="center"/>
        <w:rPr>
          <w:rFonts w:ascii="Arial" w:eastAsia="Calibri" w:hAnsi="Arial" w:cs="Arial"/>
          <w:szCs w:val="22"/>
          <w:lang w:val="hr-HR"/>
        </w:rPr>
      </w:pPr>
      <w:r w:rsidRPr="00F11224">
        <w:rPr>
          <w:rFonts w:ascii="Arial" w:eastAsia="Calibri" w:hAnsi="Arial" w:cs="Arial"/>
          <w:b/>
          <w:szCs w:val="22"/>
          <w:lang w:val="hr-HR"/>
        </w:rPr>
        <w:t>Fig. 6.</w:t>
      </w:r>
      <w:r w:rsidRPr="00F11224">
        <w:rPr>
          <w:rFonts w:ascii="Arial" w:eastAsia="Calibri" w:hAnsi="Arial" w:cs="Arial"/>
          <w:szCs w:val="22"/>
          <w:lang w:val="hr-HR"/>
        </w:rPr>
        <w:t xml:space="preserve">  </w:t>
      </w:r>
      <w:r w:rsidRPr="00F11224">
        <w:rPr>
          <w:rFonts w:ascii="Arial" w:eastAsia="Calibri" w:hAnsi="Arial" w:cs="Arial"/>
          <w:b/>
          <w:szCs w:val="22"/>
          <w:lang w:val="hr-HR"/>
        </w:rPr>
        <w:t>Influence of stirring time on the removal efficiency of Pb(II)/Zn(II) in binary aqueous solutions</w:t>
      </w:r>
    </w:p>
    <w:p w14:paraId="02BC36EE" w14:textId="77777777" w:rsidR="00351A76" w:rsidRPr="00351A76" w:rsidRDefault="00351A76" w:rsidP="00351A76">
      <w:pPr>
        <w:spacing w:line="259" w:lineRule="auto"/>
        <w:jc w:val="center"/>
        <w:rPr>
          <w:rFonts w:ascii="Times New Roman" w:eastAsia="Calibri" w:hAnsi="Times New Roman"/>
          <w:sz w:val="24"/>
          <w:szCs w:val="22"/>
          <w:lang w:val="hr-HR"/>
        </w:rPr>
      </w:pPr>
    </w:p>
    <w:p w14:paraId="0994084E" w14:textId="77777777" w:rsidR="00351A76" w:rsidRDefault="00351A76" w:rsidP="00351A76">
      <w:pPr>
        <w:spacing w:line="276" w:lineRule="auto"/>
        <w:jc w:val="both"/>
        <w:rPr>
          <w:rFonts w:ascii="Arial" w:eastAsia="Calibri" w:hAnsi="Arial" w:cs="Arial"/>
          <w:szCs w:val="24"/>
          <w:lang w:val="hr-HR"/>
        </w:rPr>
      </w:pPr>
      <w:r w:rsidRPr="00351A76">
        <w:rPr>
          <w:rFonts w:ascii="Arial" w:eastAsia="Calibri" w:hAnsi="Arial" w:cs="Arial"/>
          <w:szCs w:val="22"/>
          <w:lang w:val="hr-HR"/>
        </w:rPr>
        <w:t>The removal efficiency of Cu(II) and Ni(II) ions from a binary Cu(II)/Ni(II) mixture was investigated at stirring times of 0, 15, and 30 minutes. In contrast to monocomponent solutions, Cu(II) and Ni(II) ions in the binary system exhibited lower removal efficiencies under the same experimental conditions, indicating the presence of competitive interactions between the coexisting metal ions. The highest removal efficiency of Cu(II) ions was achieved after 30 minutes of stirring and amounted to 94.118%, which is significantly lower than the value obtained in the monocomponent solution. Furthermore, a longer stirring time was required to reach the maximum removal efficiency of Cu(II) ions compared to the monocomponent system.</w:t>
      </w:r>
      <w:r w:rsidR="009F6EE1">
        <w:rPr>
          <w:rFonts w:ascii="Arial" w:eastAsia="Calibri" w:hAnsi="Arial" w:cs="Arial"/>
          <w:szCs w:val="22"/>
          <w:lang w:val="hr-HR"/>
        </w:rPr>
        <w:t xml:space="preserve"> </w:t>
      </w:r>
      <w:r w:rsidRPr="00351A76">
        <w:rPr>
          <w:rFonts w:ascii="Arial" w:eastAsia="Calibri" w:hAnsi="Arial" w:cs="Arial"/>
          <w:szCs w:val="22"/>
          <w:lang w:val="hr-HR"/>
        </w:rPr>
        <w:t xml:space="preserve">For Ni(II) ions, a slightly higher removal efficiency was observed compared to Cu(II) ions, and the optimal value was achieved at a shorter stirring time. Unlike the monocomponent Ni(II) solution, where extended stirring times led to improved removal efficiency, the binary mixture reached its optimal Ni(II) removal after 15 minutes, albeit with a slightly lower efficiency. Based on these results, it can be concluded that in binary systems it is not possible to achieve high removal efficiencies for both metals at the same stirring duration. However, these findings demonstrate the potential for selective separation of Ni(II) and Cu(II) ions by applying different stirring times, thereby enabling more effective control and subsequent management of the metal fractions following the precipitation process. </w:t>
      </w:r>
      <w:r w:rsidRPr="00351A76">
        <w:rPr>
          <w:rFonts w:ascii="Arial" w:eastAsia="Calibri" w:hAnsi="Arial" w:cs="Arial"/>
          <w:szCs w:val="24"/>
          <w:lang w:val="hr-HR"/>
        </w:rPr>
        <w:t xml:space="preserve">In contrast to the previously examined binary mixture, higher removal efficiencies of metal ions were achieved in the Pb(II)/Zn(II) binary system, as shown in Figure 6. Prolongation of the stirring time resulted in more efficient removal of both Pb(II) and Zn(II) ions from the binary solution. At a stirring duration of 15 minutes, removal efficiencies of 99.187% for Pb(II) ions and 99.050% for Zn(II) ions were achieved, respectively. Compared to the monocomponent system, a significantly higher removal efficiency of Pb(II) ions from the binary mixture with Zn(II) ions was attained at a shorter stirring time. However, this trend was not observed for Zn(II) ions, for which higher removal efficiencies were obtained in the monocomponent solution than in the Pb(II)/Zn(II) binary mixture at the same stirring duration. Unlike the previously studied binary system (Figure 5), Pb(II) and Zn(II) ions can be simultaneously </w:t>
      </w:r>
      <w:r w:rsidRPr="00351A76">
        <w:rPr>
          <w:rFonts w:ascii="Arial" w:eastAsia="Calibri" w:hAnsi="Arial" w:cs="Arial"/>
          <w:szCs w:val="24"/>
          <w:lang w:val="hr-HR"/>
        </w:rPr>
        <w:lastRenderedPageBreak/>
        <w:t>removed with high efficiency at the same stirring time. Available literature indicates that heavy metal ions in binary mixtures exhibit ion-specific optimal contact times for maximum removal efficiency when Na</w:t>
      </w:r>
      <w:r w:rsidRPr="00351A76">
        <w:rPr>
          <w:rFonts w:ascii="Arial" w:eastAsia="Calibri" w:hAnsi="Arial" w:cs="Arial"/>
          <w:szCs w:val="24"/>
          <w:vertAlign w:val="subscript"/>
          <w:lang w:val="hr-HR"/>
        </w:rPr>
        <w:t>2</w:t>
      </w:r>
      <w:r w:rsidRPr="00351A76">
        <w:rPr>
          <w:rFonts w:ascii="Arial" w:eastAsia="Calibri" w:hAnsi="Arial" w:cs="Arial"/>
          <w:szCs w:val="24"/>
          <w:lang w:val="hr-HR"/>
        </w:rPr>
        <w:t>CO</w:t>
      </w:r>
      <w:r w:rsidRPr="00351A76">
        <w:rPr>
          <w:rFonts w:ascii="Arial" w:eastAsia="Calibri" w:hAnsi="Arial" w:cs="Arial"/>
          <w:szCs w:val="24"/>
          <w:vertAlign w:val="subscript"/>
          <w:lang w:val="hr-HR"/>
        </w:rPr>
        <w:t>3</w:t>
      </w:r>
      <w:r w:rsidRPr="00351A76">
        <w:rPr>
          <w:rFonts w:ascii="Arial" w:eastAsia="Calibri" w:hAnsi="Arial" w:cs="Arial"/>
          <w:szCs w:val="24"/>
          <w:lang w:val="hr-HR"/>
        </w:rPr>
        <w:t xml:space="preserve"> is used as the precipitating agent, with Cu(II)/Pb(II) generally achieving higher removal at longer mixing durations, while Ni(II)/Zn(II) reach optimal efficiency at shorter or even zero contact times (Junuzović et al., 2025). Šestan et al., 2025 investigated the effect of mixing time (5, 10, 20, and 60 min) on the adsorption efficiency of Cu(II), Cr(III), and Ni(II) ions at constant stirring speed and pH, with an initial metal ion concentration of 100 mg/L. The results showed that high removal efficiency for all three ions was achieved within the time interval of 0 to 20 minutes, with a slight decrease in efficiency at 10 minutes of mixing. Although this was an adsorption system, the results highlight the importance of investigating mixing time as a key factor in process kinetics to achieve optimal removal efficiency.  In the present study, where the precipitation process in binary mixtures was investigated, the maximum removal efficiency was achieved at a mixing time of 10 minutes, while differences in the optimal time can be attributed to the different removal mechanism and interactions between ions in the binary system (Šestan et al., 2025). Pan et al., 2020 investigated the effect of mixing time (0, 0.5, 1, 3, 5, 10, 20, 30, 60, and 120 min) on the removal efficiency of selected metal ions. They found that the fastest adsorption occurred within the first 20 minutes, while further prolongation of mixing time led to a slower increase in removal efficiency. In comparison with the results obtained in the present study, it was observed that Ni(II), Pb(II), and Zn(II) ions reached their maximum removal efficiency at 15 minutes of mixing (Pan et al., 2020).</w:t>
      </w:r>
    </w:p>
    <w:p w14:paraId="0F0F4287" w14:textId="77777777" w:rsidR="00472EE4" w:rsidRDefault="00472EE4" w:rsidP="00351A76">
      <w:pPr>
        <w:spacing w:line="276" w:lineRule="auto"/>
        <w:jc w:val="both"/>
        <w:rPr>
          <w:rFonts w:ascii="Arial" w:eastAsia="Calibri" w:hAnsi="Arial" w:cs="Arial"/>
          <w:szCs w:val="22"/>
          <w:lang w:val="hr-HR"/>
        </w:rPr>
      </w:pPr>
    </w:p>
    <w:p w14:paraId="5777E343" w14:textId="77777777" w:rsidR="00472EE4" w:rsidRDefault="00472EE4" w:rsidP="00351A76">
      <w:pPr>
        <w:spacing w:line="276" w:lineRule="auto"/>
        <w:jc w:val="both"/>
        <w:rPr>
          <w:rFonts w:ascii="Arial" w:eastAsia="Calibri" w:hAnsi="Arial" w:cs="Arial"/>
          <w:szCs w:val="22"/>
          <w:lang w:val="hr-HR"/>
        </w:rPr>
      </w:pPr>
    </w:p>
    <w:p w14:paraId="2D567511" w14:textId="77777777" w:rsidR="00472EE4" w:rsidRDefault="00472EE4" w:rsidP="00351A76">
      <w:pPr>
        <w:spacing w:line="276" w:lineRule="auto"/>
        <w:jc w:val="both"/>
        <w:rPr>
          <w:rFonts w:ascii="Arial" w:eastAsia="Calibri" w:hAnsi="Arial" w:cs="Arial"/>
          <w:szCs w:val="22"/>
          <w:lang w:val="hr-HR"/>
        </w:rPr>
      </w:pPr>
    </w:p>
    <w:p w14:paraId="68D5E8BC" w14:textId="77777777" w:rsidR="00472EE4" w:rsidRPr="00351A76" w:rsidRDefault="00472EE4" w:rsidP="00351A76">
      <w:pPr>
        <w:spacing w:line="276" w:lineRule="auto"/>
        <w:jc w:val="both"/>
        <w:rPr>
          <w:rFonts w:ascii="Arial" w:eastAsia="Calibri" w:hAnsi="Arial" w:cs="Arial"/>
          <w:szCs w:val="22"/>
          <w:lang w:val="hr-HR"/>
        </w:rPr>
      </w:pPr>
    </w:p>
    <w:p w14:paraId="714E7326" w14:textId="77777777" w:rsidR="0062256C" w:rsidRDefault="0062256C" w:rsidP="00351A76">
      <w:pPr>
        <w:spacing w:line="276" w:lineRule="auto"/>
        <w:jc w:val="both"/>
        <w:rPr>
          <w:rFonts w:ascii="Times New Roman" w:eastAsia="Calibri" w:hAnsi="Times New Roman"/>
          <w:sz w:val="24"/>
          <w:szCs w:val="24"/>
          <w:lang w:val="hr-HR"/>
        </w:rPr>
      </w:pPr>
    </w:p>
    <w:p w14:paraId="69A4667F" w14:textId="77777777" w:rsidR="00351A76" w:rsidRPr="00F11224" w:rsidRDefault="00693C71" w:rsidP="00351A76">
      <w:pPr>
        <w:spacing w:line="276" w:lineRule="auto"/>
        <w:jc w:val="both"/>
        <w:rPr>
          <w:rFonts w:ascii="Arial" w:eastAsia="Calibri" w:hAnsi="Arial" w:cs="Arial"/>
          <w:b/>
          <w:szCs w:val="24"/>
          <w:lang w:val="hr-HR"/>
        </w:rPr>
      </w:pPr>
      <w:r w:rsidRPr="00F11224">
        <w:rPr>
          <w:rFonts w:ascii="Arial" w:eastAsia="Calibri" w:hAnsi="Arial" w:cs="Arial"/>
          <w:b/>
          <w:szCs w:val="24"/>
          <w:lang w:val="hr-HR"/>
        </w:rPr>
        <w:t>3.1. Statistical analyses</w:t>
      </w:r>
    </w:p>
    <w:p w14:paraId="62FD1357" w14:textId="77777777" w:rsidR="0062256C" w:rsidRDefault="0062256C" w:rsidP="00F11224">
      <w:pPr>
        <w:spacing w:line="276" w:lineRule="auto"/>
        <w:jc w:val="both"/>
        <w:rPr>
          <w:rFonts w:ascii="Times New Roman" w:eastAsia="Calibri" w:hAnsi="Times New Roman"/>
          <w:sz w:val="24"/>
          <w:szCs w:val="24"/>
          <w:lang w:val="hr-HR"/>
        </w:rPr>
      </w:pPr>
    </w:p>
    <w:p w14:paraId="21DBDE74" w14:textId="77777777" w:rsidR="0062256C" w:rsidRPr="004712A3" w:rsidRDefault="0062256C" w:rsidP="00F11224">
      <w:pPr>
        <w:spacing w:line="276" w:lineRule="auto"/>
        <w:jc w:val="both"/>
        <w:rPr>
          <w:rFonts w:ascii="Arial" w:hAnsi="Arial" w:cs="Arial"/>
        </w:rPr>
      </w:pPr>
      <w:r w:rsidRPr="004712A3">
        <w:rPr>
          <w:rFonts w:ascii="Arial" w:hAnsi="Arial" w:cs="Arial"/>
        </w:rPr>
        <w:t>For the statistical analysis, the mean values of triplicate measurements were used, as the deviations between individual measurements were minimal. Therefore, a two-way analysis of variance without replication was applied. Although this approach allows for the comparison of the main effects of the factors, it does not account for internal experimental variability, which represents a limitation of this analysis.</w:t>
      </w:r>
    </w:p>
    <w:p w14:paraId="0AF1C68F" w14:textId="77777777" w:rsidR="0062256C" w:rsidRDefault="0062256C" w:rsidP="0062256C">
      <w:pPr>
        <w:spacing w:line="276" w:lineRule="auto"/>
        <w:rPr>
          <w:rFonts w:ascii="Times New Roman" w:eastAsia="Calibri" w:hAnsi="Times New Roman"/>
          <w:sz w:val="24"/>
          <w:szCs w:val="22"/>
          <w:lang w:val="hr-HR"/>
        </w:rPr>
      </w:pPr>
    </w:p>
    <w:tbl>
      <w:tblPr>
        <w:tblW w:w="8519" w:type="dxa"/>
        <w:tblInd w:w="97" w:type="dxa"/>
        <w:tblLook w:val="04A0" w:firstRow="1" w:lastRow="0" w:firstColumn="1" w:lastColumn="0" w:noHBand="0" w:noVBand="1"/>
      </w:tblPr>
      <w:tblGrid>
        <w:gridCol w:w="571"/>
        <w:gridCol w:w="1329"/>
        <w:gridCol w:w="1051"/>
        <w:gridCol w:w="1051"/>
        <w:gridCol w:w="1170"/>
        <w:gridCol w:w="1058"/>
        <w:gridCol w:w="1051"/>
        <w:gridCol w:w="1238"/>
      </w:tblGrid>
      <w:tr w:rsidR="00401008" w:rsidRPr="004712A3" w14:paraId="5439135D" w14:textId="77777777" w:rsidTr="00401008">
        <w:trPr>
          <w:trHeight w:val="300"/>
        </w:trPr>
        <w:tc>
          <w:tcPr>
            <w:tcW w:w="571" w:type="dxa"/>
            <w:tcBorders>
              <w:top w:val="nil"/>
              <w:left w:val="nil"/>
              <w:bottom w:val="nil"/>
            </w:tcBorders>
            <w:noWrap/>
            <w:vAlign w:val="center"/>
            <w:hideMark/>
          </w:tcPr>
          <w:p w14:paraId="785B1B30" w14:textId="77777777" w:rsidR="00401008" w:rsidRPr="004712A3" w:rsidRDefault="00401008" w:rsidP="00584C9F">
            <w:pPr>
              <w:jc w:val="center"/>
              <w:rPr>
                <w:rFonts w:ascii="Arial" w:hAnsi="Arial" w:cs="Arial"/>
                <w:color w:val="000000"/>
              </w:rPr>
            </w:pPr>
          </w:p>
        </w:tc>
        <w:tc>
          <w:tcPr>
            <w:tcW w:w="7948" w:type="dxa"/>
            <w:gridSpan w:val="7"/>
            <w:noWrap/>
            <w:vAlign w:val="center"/>
            <w:hideMark/>
          </w:tcPr>
          <w:p w14:paraId="5A2EE5F7" w14:textId="77777777" w:rsidR="00401008" w:rsidRPr="00401008" w:rsidRDefault="00401008" w:rsidP="00584C9F">
            <w:pPr>
              <w:jc w:val="center"/>
              <w:rPr>
                <w:rFonts w:ascii="Arial" w:hAnsi="Arial" w:cs="Arial"/>
                <w:b/>
                <w:color w:val="000000"/>
              </w:rPr>
            </w:pPr>
            <w:r w:rsidRPr="00401008">
              <w:rPr>
                <w:rFonts w:ascii="Arial" w:hAnsi="Arial" w:cs="Arial"/>
                <w:b/>
                <w:color w:val="000000"/>
              </w:rPr>
              <w:t xml:space="preserve">Table 1. Results of the two-way analysis of variance (ANOVA) without replication assessing the influence of metal type and </w:t>
            </w:r>
            <w:r w:rsidR="003414D4">
              <w:rPr>
                <w:rFonts w:ascii="Arial" w:hAnsi="Arial" w:cs="Arial"/>
                <w:b/>
                <w:color w:val="000000"/>
              </w:rPr>
              <w:t>stirring</w:t>
            </w:r>
            <w:r w:rsidRPr="00401008">
              <w:rPr>
                <w:rFonts w:ascii="Arial" w:hAnsi="Arial" w:cs="Arial"/>
                <w:b/>
                <w:color w:val="000000"/>
              </w:rPr>
              <w:t xml:space="preserve"> speed on removal efficiency in </w:t>
            </w:r>
            <w:proofErr w:type="spellStart"/>
            <w:r w:rsidR="003414D4">
              <w:rPr>
                <w:rFonts w:ascii="Arial" w:hAnsi="Arial" w:cs="Arial"/>
                <w:b/>
                <w:color w:val="000000"/>
              </w:rPr>
              <w:t>mono</w:t>
            </w:r>
            <w:r w:rsidRPr="00401008">
              <w:rPr>
                <w:rFonts w:ascii="Arial" w:hAnsi="Arial" w:cs="Arial"/>
                <w:b/>
                <w:color w:val="000000"/>
              </w:rPr>
              <w:t>component</w:t>
            </w:r>
            <w:proofErr w:type="spellEnd"/>
            <w:r w:rsidRPr="00401008">
              <w:rPr>
                <w:rFonts w:ascii="Arial" w:hAnsi="Arial" w:cs="Arial"/>
                <w:b/>
                <w:color w:val="000000"/>
              </w:rPr>
              <w:t xml:space="preserve"> metal solutions</w:t>
            </w:r>
          </w:p>
        </w:tc>
      </w:tr>
      <w:tr w:rsidR="004712A3" w:rsidRPr="004712A3" w14:paraId="355A4064" w14:textId="77777777" w:rsidTr="00401008">
        <w:trPr>
          <w:trHeight w:val="315"/>
        </w:trPr>
        <w:tc>
          <w:tcPr>
            <w:tcW w:w="571" w:type="dxa"/>
            <w:tcBorders>
              <w:top w:val="nil"/>
              <w:left w:val="nil"/>
              <w:bottom w:val="nil"/>
              <w:right w:val="nil"/>
            </w:tcBorders>
            <w:noWrap/>
            <w:vAlign w:val="center"/>
            <w:hideMark/>
          </w:tcPr>
          <w:p w14:paraId="2CA8C070" w14:textId="77777777" w:rsidR="0062256C" w:rsidRPr="004712A3" w:rsidRDefault="0062256C" w:rsidP="004712A3">
            <w:pPr>
              <w:rPr>
                <w:rFonts w:ascii="Arial" w:hAnsi="Arial" w:cs="Arial"/>
                <w:color w:val="000000"/>
              </w:rPr>
            </w:pPr>
          </w:p>
        </w:tc>
        <w:tc>
          <w:tcPr>
            <w:tcW w:w="1329" w:type="dxa"/>
            <w:tcBorders>
              <w:left w:val="nil"/>
              <w:bottom w:val="nil"/>
              <w:right w:val="nil"/>
            </w:tcBorders>
            <w:noWrap/>
            <w:vAlign w:val="center"/>
            <w:hideMark/>
          </w:tcPr>
          <w:p w14:paraId="60EB4082" w14:textId="77777777" w:rsidR="0062256C" w:rsidRPr="004712A3" w:rsidRDefault="0062256C" w:rsidP="00584C9F">
            <w:pPr>
              <w:jc w:val="center"/>
              <w:rPr>
                <w:rFonts w:ascii="Arial" w:hAnsi="Arial" w:cs="Arial"/>
                <w:color w:val="000000"/>
              </w:rPr>
            </w:pPr>
          </w:p>
        </w:tc>
        <w:tc>
          <w:tcPr>
            <w:tcW w:w="1051" w:type="dxa"/>
            <w:tcBorders>
              <w:left w:val="nil"/>
              <w:bottom w:val="nil"/>
              <w:right w:val="nil"/>
            </w:tcBorders>
            <w:noWrap/>
            <w:vAlign w:val="center"/>
            <w:hideMark/>
          </w:tcPr>
          <w:p w14:paraId="3C16A16E" w14:textId="77777777" w:rsidR="0062256C" w:rsidRPr="004712A3" w:rsidRDefault="0062256C" w:rsidP="00584C9F">
            <w:pPr>
              <w:jc w:val="center"/>
              <w:rPr>
                <w:rFonts w:ascii="Arial" w:hAnsi="Arial" w:cs="Arial"/>
                <w:color w:val="000000"/>
              </w:rPr>
            </w:pPr>
          </w:p>
        </w:tc>
        <w:tc>
          <w:tcPr>
            <w:tcW w:w="1051" w:type="dxa"/>
            <w:tcBorders>
              <w:left w:val="nil"/>
              <w:bottom w:val="nil"/>
              <w:right w:val="nil"/>
            </w:tcBorders>
            <w:noWrap/>
            <w:vAlign w:val="center"/>
            <w:hideMark/>
          </w:tcPr>
          <w:p w14:paraId="4B3BC982" w14:textId="77777777" w:rsidR="0062256C" w:rsidRPr="004712A3" w:rsidRDefault="0062256C" w:rsidP="00584C9F">
            <w:pPr>
              <w:jc w:val="center"/>
              <w:rPr>
                <w:rFonts w:ascii="Arial" w:hAnsi="Arial" w:cs="Arial"/>
                <w:color w:val="000000"/>
              </w:rPr>
            </w:pPr>
          </w:p>
        </w:tc>
        <w:tc>
          <w:tcPr>
            <w:tcW w:w="1170" w:type="dxa"/>
            <w:tcBorders>
              <w:left w:val="nil"/>
              <w:bottom w:val="nil"/>
              <w:right w:val="nil"/>
            </w:tcBorders>
            <w:noWrap/>
            <w:vAlign w:val="center"/>
            <w:hideMark/>
          </w:tcPr>
          <w:p w14:paraId="4FAE642E" w14:textId="77777777" w:rsidR="0062256C" w:rsidRPr="004712A3" w:rsidRDefault="0062256C" w:rsidP="00584C9F">
            <w:pPr>
              <w:jc w:val="center"/>
              <w:rPr>
                <w:rFonts w:ascii="Arial" w:hAnsi="Arial" w:cs="Arial"/>
                <w:color w:val="000000"/>
              </w:rPr>
            </w:pPr>
          </w:p>
        </w:tc>
        <w:tc>
          <w:tcPr>
            <w:tcW w:w="1058" w:type="dxa"/>
            <w:tcBorders>
              <w:left w:val="nil"/>
              <w:bottom w:val="nil"/>
              <w:right w:val="nil"/>
            </w:tcBorders>
            <w:noWrap/>
            <w:vAlign w:val="center"/>
            <w:hideMark/>
          </w:tcPr>
          <w:p w14:paraId="70461E63" w14:textId="77777777" w:rsidR="0062256C" w:rsidRPr="004712A3" w:rsidRDefault="0062256C" w:rsidP="00584C9F">
            <w:pPr>
              <w:jc w:val="center"/>
              <w:rPr>
                <w:rFonts w:ascii="Arial" w:hAnsi="Arial" w:cs="Arial"/>
                <w:color w:val="000000"/>
              </w:rPr>
            </w:pPr>
          </w:p>
        </w:tc>
        <w:tc>
          <w:tcPr>
            <w:tcW w:w="1051" w:type="dxa"/>
            <w:tcBorders>
              <w:left w:val="nil"/>
              <w:bottom w:val="nil"/>
              <w:right w:val="nil"/>
            </w:tcBorders>
            <w:noWrap/>
            <w:vAlign w:val="center"/>
            <w:hideMark/>
          </w:tcPr>
          <w:p w14:paraId="4D08A876" w14:textId="77777777" w:rsidR="0062256C" w:rsidRPr="004712A3" w:rsidRDefault="0062256C" w:rsidP="00584C9F">
            <w:pPr>
              <w:jc w:val="center"/>
              <w:rPr>
                <w:rFonts w:ascii="Arial" w:hAnsi="Arial" w:cs="Arial"/>
                <w:color w:val="000000"/>
              </w:rPr>
            </w:pPr>
          </w:p>
        </w:tc>
        <w:tc>
          <w:tcPr>
            <w:tcW w:w="1238" w:type="dxa"/>
            <w:tcBorders>
              <w:left w:val="nil"/>
              <w:bottom w:val="nil"/>
              <w:right w:val="nil"/>
            </w:tcBorders>
            <w:noWrap/>
            <w:vAlign w:val="center"/>
            <w:hideMark/>
          </w:tcPr>
          <w:p w14:paraId="6033914E" w14:textId="77777777" w:rsidR="0062256C" w:rsidRPr="004712A3" w:rsidRDefault="0062256C" w:rsidP="00584C9F">
            <w:pPr>
              <w:jc w:val="center"/>
              <w:rPr>
                <w:rFonts w:ascii="Arial" w:hAnsi="Arial" w:cs="Arial"/>
                <w:color w:val="000000"/>
              </w:rPr>
            </w:pPr>
          </w:p>
        </w:tc>
      </w:tr>
      <w:tr w:rsidR="004712A3" w:rsidRPr="004712A3" w14:paraId="4C383C46" w14:textId="77777777" w:rsidTr="00401008">
        <w:trPr>
          <w:trHeight w:val="300"/>
        </w:trPr>
        <w:tc>
          <w:tcPr>
            <w:tcW w:w="571" w:type="dxa"/>
            <w:tcBorders>
              <w:top w:val="nil"/>
              <w:left w:val="nil"/>
              <w:bottom w:val="nil"/>
              <w:right w:val="nil"/>
            </w:tcBorders>
            <w:noWrap/>
            <w:vAlign w:val="center"/>
            <w:hideMark/>
          </w:tcPr>
          <w:p w14:paraId="62651B1C" w14:textId="77777777" w:rsidR="0062256C" w:rsidRPr="004712A3" w:rsidRDefault="0062256C" w:rsidP="00584C9F">
            <w:pPr>
              <w:jc w:val="center"/>
              <w:rPr>
                <w:rFonts w:ascii="Arial" w:hAnsi="Arial" w:cs="Arial"/>
                <w:color w:val="000000"/>
              </w:rPr>
            </w:pPr>
          </w:p>
        </w:tc>
        <w:tc>
          <w:tcPr>
            <w:tcW w:w="1329" w:type="dxa"/>
            <w:tcBorders>
              <w:top w:val="single" w:sz="8" w:space="0" w:color="auto"/>
              <w:left w:val="nil"/>
              <w:bottom w:val="single" w:sz="4" w:space="0" w:color="auto"/>
              <w:right w:val="nil"/>
            </w:tcBorders>
            <w:noWrap/>
            <w:vAlign w:val="center"/>
            <w:hideMark/>
          </w:tcPr>
          <w:p w14:paraId="5BCDF8C2" w14:textId="77777777" w:rsidR="0062256C" w:rsidRPr="004712A3" w:rsidRDefault="0062256C" w:rsidP="00584C9F">
            <w:pPr>
              <w:jc w:val="center"/>
              <w:rPr>
                <w:rFonts w:ascii="Arial" w:hAnsi="Arial" w:cs="Arial"/>
                <w:b/>
                <w:iCs/>
                <w:color w:val="000000"/>
              </w:rPr>
            </w:pPr>
            <w:r w:rsidRPr="004712A3">
              <w:rPr>
                <w:rFonts w:ascii="Arial" w:hAnsi="Arial" w:cs="Arial"/>
                <w:b/>
                <w:iCs/>
                <w:color w:val="000000"/>
              </w:rPr>
              <w:t>SUMMARY</w:t>
            </w:r>
          </w:p>
        </w:tc>
        <w:tc>
          <w:tcPr>
            <w:tcW w:w="1051" w:type="dxa"/>
            <w:tcBorders>
              <w:top w:val="single" w:sz="8" w:space="0" w:color="auto"/>
              <w:left w:val="nil"/>
              <w:bottom w:val="single" w:sz="4" w:space="0" w:color="auto"/>
              <w:right w:val="nil"/>
            </w:tcBorders>
            <w:noWrap/>
            <w:vAlign w:val="center"/>
            <w:hideMark/>
          </w:tcPr>
          <w:p w14:paraId="07CD006C" w14:textId="77777777" w:rsidR="0062256C" w:rsidRPr="004712A3" w:rsidRDefault="0062256C" w:rsidP="00584C9F">
            <w:pPr>
              <w:jc w:val="center"/>
              <w:rPr>
                <w:rFonts w:ascii="Arial" w:hAnsi="Arial" w:cs="Arial"/>
                <w:b/>
                <w:iCs/>
                <w:color w:val="000000"/>
              </w:rPr>
            </w:pPr>
            <w:r w:rsidRPr="004712A3">
              <w:rPr>
                <w:rFonts w:ascii="Arial" w:hAnsi="Arial" w:cs="Arial"/>
                <w:b/>
                <w:iCs/>
                <w:color w:val="000000"/>
              </w:rPr>
              <w:t>Count</w:t>
            </w:r>
          </w:p>
        </w:tc>
        <w:tc>
          <w:tcPr>
            <w:tcW w:w="1051" w:type="dxa"/>
            <w:tcBorders>
              <w:top w:val="single" w:sz="8" w:space="0" w:color="auto"/>
              <w:left w:val="nil"/>
              <w:bottom w:val="single" w:sz="4" w:space="0" w:color="auto"/>
              <w:right w:val="nil"/>
            </w:tcBorders>
            <w:noWrap/>
            <w:vAlign w:val="center"/>
            <w:hideMark/>
          </w:tcPr>
          <w:p w14:paraId="5E95EFD2" w14:textId="77777777" w:rsidR="0062256C" w:rsidRPr="004712A3" w:rsidRDefault="0062256C" w:rsidP="00584C9F">
            <w:pPr>
              <w:jc w:val="center"/>
              <w:rPr>
                <w:rFonts w:ascii="Arial" w:hAnsi="Arial" w:cs="Arial"/>
                <w:b/>
                <w:iCs/>
                <w:color w:val="000000"/>
              </w:rPr>
            </w:pPr>
            <w:r w:rsidRPr="004712A3">
              <w:rPr>
                <w:rFonts w:ascii="Arial" w:hAnsi="Arial" w:cs="Arial"/>
                <w:b/>
                <w:iCs/>
                <w:color w:val="000000"/>
              </w:rPr>
              <w:t>Sum</w:t>
            </w:r>
          </w:p>
        </w:tc>
        <w:tc>
          <w:tcPr>
            <w:tcW w:w="1170" w:type="dxa"/>
            <w:tcBorders>
              <w:top w:val="single" w:sz="8" w:space="0" w:color="auto"/>
              <w:left w:val="nil"/>
              <w:bottom w:val="single" w:sz="4" w:space="0" w:color="auto"/>
              <w:right w:val="nil"/>
            </w:tcBorders>
            <w:noWrap/>
            <w:vAlign w:val="center"/>
            <w:hideMark/>
          </w:tcPr>
          <w:p w14:paraId="391E3B28" w14:textId="77777777" w:rsidR="0062256C" w:rsidRPr="004712A3" w:rsidRDefault="0062256C" w:rsidP="00584C9F">
            <w:pPr>
              <w:jc w:val="center"/>
              <w:rPr>
                <w:rFonts w:ascii="Arial" w:hAnsi="Arial" w:cs="Arial"/>
                <w:b/>
                <w:iCs/>
                <w:color w:val="000000"/>
              </w:rPr>
            </w:pPr>
            <w:r w:rsidRPr="004712A3">
              <w:rPr>
                <w:rFonts w:ascii="Arial" w:hAnsi="Arial" w:cs="Arial"/>
                <w:b/>
                <w:iCs/>
                <w:color w:val="000000"/>
              </w:rPr>
              <w:t>Average</w:t>
            </w:r>
          </w:p>
        </w:tc>
        <w:tc>
          <w:tcPr>
            <w:tcW w:w="1058" w:type="dxa"/>
            <w:tcBorders>
              <w:top w:val="single" w:sz="8" w:space="0" w:color="auto"/>
              <w:left w:val="nil"/>
              <w:bottom w:val="single" w:sz="4" w:space="0" w:color="auto"/>
              <w:right w:val="nil"/>
            </w:tcBorders>
            <w:noWrap/>
            <w:vAlign w:val="center"/>
            <w:hideMark/>
          </w:tcPr>
          <w:p w14:paraId="57D04EA3" w14:textId="77777777" w:rsidR="0062256C" w:rsidRPr="004712A3" w:rsidRDefault="0062256C" w:rsidP="00584C9F">
            <w:pPr>
              <w:jc w:val="center"/>
              <w:rPr>
                <w:rFonts w:ascii="Arial" w:hAnsi="Arial" w:cs="Arial"/>
                <w:b/>
                <w:iCs/>
                <w:color w:val="000000"/>
              </w:rPr>
            </w:pPr>
            <w:r w:rsidRPr="004712A3">
              <w:rPr>
                <w:rFonts w:ascii="Arial" w:hAnsi="Arial" w:cs="Arial"/>
                <w:b/>
                <w:iCs/>
                <w:color w:val="000000"/>
              </w:rPr>
              <w:t>Variance</w:t>
            </w:r>
          </w:p>
        </w:tc>
        <w:tc>
          <w:tcPr>
            <w:tcW w:w="1051" w:type="dxa"/>
            <w:tcBorders>
              <w:top w:val="nil"/>
              <w:left w:val="nil"/>
              <w:bottom w:val="nil"/>
              <w:right w:val="nil"/>
            </w:tcBorders>
            <w:noWrap/>
            <w:vAlign w:val="center"/>
            <w:hideMark/>
          </w:tcPr>
          <w:p w14:paraId="6D65ACA3"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709CD8DB" w14:textId="77777777" w:rsidR="0062256C" w:rsidRPr="004712A3" w:rsidRDefault="0062256C" w:rsidP="00584C9F">
            <w:pPr>
              <w:jc w:val="center"/>
              <w:rPr>
                <w:rFonts w:ascii="Arial" w:hAnsi="Arial" w:cs="Arial"/>
                <w:color w:val="000000"/>
              </w:rPr>
            </w:pPr>
          </w:p>
        </w:tc>
      </w:tr>
      <w:tr w:rsidR="004712A3" w:rsidRPr="004712A3" w14:paraId="1BD8411E" w14:textId="77777777" w:rsidTr="00401008">
        <w:trPr>
          <w:trHeight w:val="300"/>
        </w:trPr>
        <w:tc>
          <w:tcPr>
            <w:tcW w:w="571" w:type="dxa"/>
            <w:tcBorders>
              <w:top w:val="nil"/>
              <w:left w:val="nil"/>
              <w:bottom w:val="nil"/>
              <w:right w:val="nil"/>
            </w:tcBorders>
            <w:noWrap/>
            <w:vAlign w:val="center"/>
            <w:hideMark/>
          </w:tcPr>
          <w:p w14:paraId="246D26DE"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0A78D989" w14:textId="77777777" w:rsidR="0062256C" w:rsidRPr="004712A3" w:rsidRDefault="0062256C" w:rsidP="00584C9F">
            <w:pPr>
              <w:jc w:val="center"/>
              <w:rPr>
                <w:rFonts w:ascii="Arial" w:hAnsi="Arial" w:cs="Arial"/>
                <w:color w:val="000000"/>
              </w:rPr>
            </w:pPr>
            <w:r w:rsidRPr="004712A3">
              <w:rPr>
                <w:rFonts w:ascii="Arial" w:hAnsi="Arial" w:cs="Arial"/>
                <w:color w:val="000000"/>
              </w:rPr>
              <w:t>Cu</w:t>
            </w:r>
          </w:p>
        </w:tc>
        <w:tc>
          <w:tcPr>
            <w:tcW w:w="1051" w:type="dxa"/>
            <w:tcBorders>
              <w:top w:val="nil"/>
              <w:left w:val="nil"/>
              <w:bottom w:val="nil"/>
              <w:right w:val="nil"/>
            </w:tcBorders>
            <w:noWrap/>
            <w:vAlign w:val="center"/>
            <w:hideMark/>
          </w:tcPr>
          <w:p w14:paraId="593E09CD"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3C0ADDAE" w14:textId="77777777" w:rsidR="0062256C" w:rsidRPr="004712A3" w:rsidRDefault="0062256C" w:rsidP="00584C9F">
            <w:pPr>
              <w:jc w:val="center"/>
              <w:rPr>
                <w:rFonts w:ascii="Arial" w:hAnsi="Arial" w:cs="Arial"/>
                <w:color w:val="000000"/>
              </w:rPr>
            </w:pPr>
            <w:r w:rsidRPr="004712A3">
              <w:rPr>
                <w:rFonts w:ascii="Arial" w:hAnsi="Arial" w:cs="Arial"/>
                <w:color w:val="000000"/>
              </w:rPr>
              <w:t>399.784</w:t>
            </w:r>
          </w:p>
        </w:tc>
        <w:tc>
          <w:tcPr>
            <w:tcW w:w="1170" w:type="dxa"/>
            <w:tcBorders>
              <w:top w:val="nil"/>
              <w:left w:val="nil"/>
              <w:bottom w:val="nil"/>
              <w:right w:val="nil"/>
            </w:tcBorders>
            <w:noWrap/>
            <w:vAlign w:val="center"/>
            <w:hideMark/>
          </w:tcPr>
          <w:p w14:paraId="07E73EBF" w14:textId="77777777" w:rsidR="0062256C" w:rsidRPr="004712A3" w:rsidRDefault="0062256C" w:rsidP="00584C9F">
            <w:pPr>
              <w:jc w:val="center"/>
              <w:rPr>
                <w:rFonts w:ascii="Arial" w:hAnsi="Arial" w:cs="Arial"/>
                <w:color w:val="000000"/>
              </w:rPr>
            </w:pPr>
            <w:r w:rsidRPr="004712A3">
              <w:rPr>
                <w:rFonts w:ascii="Arial" w:hAnsi="Arial" w:cs="Arial"/>
                <w:color w:val="000000"/>
              </w:rPr>
              <w:t>99.946</w:t>
            </w:r>
          </w:p>
        </w:tc>
        <w:tc>
          <w:tcPr>
            <w:tcW w:w="1058" w:type="dxa"/>
            <w:tcBorders>
              <w:top w:val="nil"/>
              <w:left w:val="nil"/>
              <w:bottom w:val="nil"/>
              <w:right w:val="nil"/>
            </w:tcBorders>
            <w:noWrap/>
            <w:vAlign w:val="center"/>
            <w:hideMark/>
          </w:tcPr>
          <w:p w14:paraId="4D5ED364" w14:textId="77777777" w:rsidR="0062256C" w:rsidRPr="004712A3" w:rsidRDefault="0062256C" w:rsidP="00584C9F">
            <w:pPr>
              <w:jc w:val="center"/>
              <w:rPr>
                <w:rFonts w:ascii="Arial" w:hAnsi="Arial" w:cs="Arial"/>
                <w:color w:val="000000"/>
              </w:rPr>
            </w:pPr>
            <w:r w:rsidRPr="004712A3">
              <w:rPr>
                <w:rFonts w:ascii="Arial" w:hAnsi="Arial" w:cs="Arial"/>
                <w:color w:val="000000"/>
              </w:rPr>
              <w:t>0.006519</w:t>
            </w:r>
          </w:p>
        </w:tc>
        <w:tc>
          <w:tcPr>
            <w:tcW w:w="1051" w:type="dxa"/>
            <w:tcBorders>
              <w:top w:val="nil"/>
              <w:left w:val="nil"/>
              <w:bottom w:val="nil"/>
              <w:right w:val="nil"/>
            </w:tcBorders>
            <w:noWrap/>
            <w:vAlign w:val="center"/>
            <w:hideMark/>
          </w:tcPr>
          <w:p w14:paraId="49E09166"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4736C960" w14:textId="77777777" w:rsidR="0062256C" w:rsidRPr="004712A3" w:rsidRDefault="0062256C" w:rsidP="00584C9F">
            <w:pPr>
              <w:jc w:val="center"/>
              <w:rPr>
                <w:rFonts w:ascii="Arial" w:hAnsi="Arial" w:cs="Arial"/>
                <w:color w:val="000000"/>
              </w:rPr>
            </w:pPr>
          </w:p>
        </w:tc>
      </w:tr>
      <w:tr w:rsidR="004712A3" w:rsidRPr="004712A3" w14:paraId="709A8698" w14:textId="77777777" w:rsidTr="00401008">
        <w:trPr>
          <w:trHeight w:val="300"/>
        </w:trPr>
        <w:tc>
          <w:tcPr>
            <w:tcW w:w="571" w:type="dxa"/>
            <w:tcBorders>
              <w:top w:val="nil"/>
              <w:left w:val="nil"/>
              <w:bottom w:val="nil"/>
              <w:right w:val="nil"/>
            </w:tcBorders>
            <w:noWrap/>
            <w:vAlign w:val="center"/>
            <w:hideMark/>
          </w:tcPr>
          <w:p w14:paraId="5246DC30"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0379F170" w14:textId="77777777" w:rsidR="0062256C" w:rsidRPr="004712A3" w:rsidRDefault="0062256C" w:rsidP="00584C9F">
            <w:pPr>
              <w:jc w:val="center"/>
              <w:rPr>
                <w:rFonts w:ascii="Arial" w:hAnsi="Arial" w:cs="Arial"/>
                <w:color w:val="000000"/>
              </w:rPr>
            </w:pPr>
            <w:r w:rsidRPr="004712A3">
              <w:rPr>
                <w:rFonts w:ascii="Arial" w:hAnsi="Arial" w:cs="Arial"/>
                <w:color w:val="000000"/>
              </w:rPr>
              <w:t>Ni</w:t>
            </w:r>
          </w:p>
        </w:tc>
        <w:tc>
          <w:tcPr>
            <w:tcW w:w="1051" w:type="dxa"/>
            <w:tcBorders>
              <w:top w:val="nil"/>
              <w:left w:val="nil"/>
              <w:bottom w:val="nil"/>
              <w:right w:val="nil"/>
            </w:tcBorders>
            <w:noWrap/>
            <w:vAlign w:val="center"/>
            <w:hideMark/>
          </w:tcPr>
          <w:p w14:paraId="782FFA8D"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63ABDB25" w14:textId="77777777" w:rsidR="0062256C" w:rsidRPr="004712A3" w:rsidRDefault="0062256C" w:rsidP="00584C9F">
            <w:pPr>
              <w:jc w:val="center"/>
              <w:rPr>
                <w:rFonts w:ascii="Arial" w:hAnsi="Arial" w:cs="Arial"/>
                <w:color w:val="000000"/>
              </w:rPr>
            </w:pPr>
            <w:r w:rsidRPr="004712A3">
              <w:rPr>
                <w:rFonts w:ascii="Arial" w:hAnsi="Arial" w:cs="Arial"/>
                <w:color w:val="000000"/>
              </w:rPr>
              <w:t>379.097</w:t>
            </w:r>
          </w:p>
        </w:tc>
        <w:tc>
          <w:tcPr>
            <w:tcW w:w="1170" w:type="dxa"/>
            <w:tcBorders>
              <w:top w:val="nil"/>
              <w:left w:val="nil"/>
              <w:bottom w:val="nil"/>
              <w:right w:val="nil"/>
            </w:tcBorders>
            <w:noWrap/>
            <w:vAlign w:val="center"/>
            <w:hideMark/>
          </w:tcPr>
          <w:p w14:paraId="5303183F" w14:textId="77777777" w:rsidR="0062256C" w:rsidRPr="004712A3" w:rsidRDefault="0062256C" w:rsidP="00584C9F">
            <w:pPr>
              <w:jc w:val="center"/>
              <w:rPr>
                <w:rFonts w:ascii="Arial" w:hAnsi="Arial" w:cs="Arial"/>
                <w:color w:val="000000"/>
              </w:rPr>
            </w:pPr>
            <w:r w:rsidRPr="004712A3">
              <w:rPr>
                <w:rFonts w:ascii="Arial" w:hAnsi="Arial" w:cs="Arial"/>
                <w:color w:val="000000"/>
              </w:rPr>
              <w:t>94.77425</w:t>
            </w:r>
          </w:p>
        </w:tc>
        <w:tc>
          <w:tcPr>
            <w:tcW w:w="1058" w:type="dxa"/>
            <w:tcBorders>
              <w:top w:val="nil"/>
              <w:left w:val="nil"/>
              <w:bottom w:val="nil"/>
              <w:right w:val="nil"/>
            </w:tcBorders>
            <w:noWrap/>
            <w:vAlign w:val="center"/>
            <w:hideMark/>
          </w:tcPr>
          <w:p w14:paraId="38C601C1" w14:textId="77777777" w:rsidR="0062256C" w:rsidRPr="004712A3" w:rsidRDefault="0062256C" w:rsidP="00584C9F">
            <w:pPr>
              <w:jc w:val="center"/>
              <w:rPr>
                <w:rFonts w:ascii="Arial" w:hAnsi="Arial" w:cs="Arial"/>
                <w:color w:val="000000"/>
              </w:rPr>
            </w:pPr>
            <w:r w:rsidRPr="004712A3">
              <w:rPr>
                <w:rFonts w:ascii="Arial" w:hAnsi="Arial" w:cs="Arial"/>
                <w:color w:val="000000"/>
              </w:rPr>
              <w:t>0.235075</w:t>
            </w:r>
          </w:p>
        </w:tc>
        <w:tc>
          <w:tcPr>
            <w:tcW w:w="1051" w:type="dxa"/>
            <w:tcBorders>
              <w:top w:val="nil"/>
              <w:left w:val="nil"/>
              <w:bottom w:val="nil"/>
              <w:right w:val="nil"/>
            </w:tcBorders>
            <w:noWrap/>
            <w:vAlign w:val="center"/>
            <w:hideMark/>
          </w:tcPr>
          <w:p w14:paraId="1F3E0CED"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2A82A256" w14:textId="77777777" w:rsidR="0062256C" w:rsidRPr="004712A3" w:rsidRDefault="0062256C" w:rsidP="00584C9F">
            <w:pPr>
              <w:jc w:val="center"/>
              <w:rPr>
                <w:rFonts w:ascii="Arial" w:hAnsi="Arial" w:cs="Arial"/>
                <w:color w:val="000000"/>
              </w:rPr>
            </w:pPr>
          </w:p>
        </w:tc>
      </w:tr>
      <w:tr w:rsidR="004712A3" w:rsidRPr="004712A3" w14:paraId="3B87A214" w14:textId="77777777" w:rsidTr="00401008">
        <w:trPr>
          <w:trHeight w:val="300"/>
        </w:trPr>
        <w:tc>
          <w:tcPr>
            <w:tcW w:w="571" w:type="dxa"/>
            <w:tcBorders>
              <w:top w:val="nil"/>
              <w:left w:val="nil"/>
              <w:bottom w:val="nil"/>
              <w:right w:val="nil"/>
            </w:tcBorders>
            <w:noWrap/>
            <w:vAlign w:val="center"/>
            <w:hideMark/>
          </w:tcPr>
          <w:p w14:paraId="732A6EC0"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3DE7AD91" w14:textId="77777777" w:rsidR="0062256C" w:rsidRPr="004712A3" w:rsidRDefault="0062256C" w:rsidP="00584C9F">
            <w:pPr>
              <w:jc w:val="center"/>
              <w:rPr>
                <w:rFonts w:ascii="Arial" w:hAnsi="Arial" w:cs="Arial"/>
                <w:color w:val="000000"/>
              </w:rPr>
            </w:pPr>
            <w:r w:rsidRPr="004712A3">
              <w:rPr>
                <w:rFonts w:ascii="Arial" w:hAnsi="Arial" w:cs="Arial"/>
                <w:color w:val="000000"/>
              </w:rPr>
              <w:t>Pb</w:t>
            </w:r>
          </w:p>
        </w:tc>
        <w:tc>
          <w:tcPr>
            <w:tcW w:w="1051" w:type="dxa"/>
            <w:tcBorders>
              <w:top w:val="nil"/>
              <w:left w:val="nil"/>
              <w:bottom w:val="nil"/>
              <w:right w:val="nil"/>
            </w:tcBorders>
            <w:noWrap/>
            <w:vAlign w:val="center"/>
            <w:hideMark/>
          </w:tcPr>
          <w:p w14:paraId="7BFA6A37"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50C9B851" w14:textId="77777777" w:rsidR="0062256C" w:rsidRPr="004712A3" w:rsidRDefault="0062256C" w:rsidP="00584C9F">
            <w:pPr>
              <w:jc w:val="center"/>
              <w:rPr>
                <w:rFonts w:ascii="Arial" w:hAnsi="Arial" w:cs="Arial"/>
                <w:color w:val="000000"/>
              </w:rPr>
            </w:pPr>
            <w:r w:rsidRPr="004712A3">
              <w:rPr>
                <w:rFonts w:ascii="Arial" w:hAnsi="Arial" w:cs="Arial"/>
                <w:color w:val="000000"/>
              </w:rPr>
              <w:t>353.424</w:t>
            </w:r>
          </w:p>
        </w:tc>
        <w:tc>
          <w:tcPr>
            <w:tcW w:w="1170" w:type="dxa"/>
            <w:tcBorders>
              <w:top w:val="nil"/>
              <w:left w:val="nil"/>
              <w:bottom w:val="nil"/>
              <w:right w:val="nil"/>
            </w:tcBorders>
            <w:noWrap/>
            <w:vAlign w:val="center"/>
            <w:hideMark/>
          </w:tcPr>
          <w:p w14:paraId="65B0CA79" w14:textId="77777777" w:rsidR="0062256C" w:rsidRPr="004712A3" w:rsidRDefault="0062256C" w:rsidP="00584C9F">
            <w:pPr>
              <w:jc w:val="center"/>
              <w:rPr>
                <w:rFonts w:ascii="Arial" w:hAnsi="Arial" w:cs="Arial"/>
                <w:color w:val="000000"/>
              </w:rPr>
            </w:pPr>
            <w:r w:rsidRPr="004712A3">
              <w:rPr>
                <w:rFonts w:ascii="Arial" w:hAnsi="Arial" w:cs="Arial"/>
                <w:color w:val="000000"/>
              </w:rPr>
              <w:t>88.356</w:t>
            </w:r>
          </w:p>
        </w:tc>
        <w:tc>
          <w:tcPr>
            <w:tcW w:w="1058" w:type="dxa"/>
            <w:tcBorders>
              <w:top w:val="nil"/>
              <w:left w:val="nil"/>
              <w:bottom w:val="nil"/>
              <w:right w:val="nil"/>
            </w:tcBorders>
            <w:noWrap/>
            <w:vAlign w:val="center"/>
            <w:hideMark/>
          </w:tcPr>
          <w:p w14:paraId="4A5475FF" w14:textId="77777777" w:rsidR="0062256C" w:rsidRPr="004712A3" w:rsidRDefault="0062256C" w:rsidP="00584C9F">
            <w:pPr>
              <w:jc w:val="center"/>
              <w:rPr>
                <w:rFonts w:ascii="Arial" w:hAnsi="Arial" w:cs="Arial"/>
                <w:color w:val="000000"/>
              </w:rPr>
            </w:pPr>
            <w:r w:rsidRPr="004712A3">
              <w:rPr>
                <w:rFonts w:ascii="Arial" w:hAnsi="Arial" w:cs="Arial"/>
                <w:color w:val="000000"/>
              </w:rPr>
              <w:t>24.66708</w:t>
            </w:r>
          </w:p>
        </w:tc>
        <w:tc>
          <w:tcPr>
            <w:tcW w:w="1051" w:type="dxa"/>
            <w:tcBorders>
              <w:top w:val="nil"/>
              <w:left w:val="nil"/>
              <w:bottom w:val="nil"/>
              <w:right w:val="nil"/>
            </w:tcBorders>
            <w:noWrap/>
            <w:vAlign w:val="center"/>
            <w:hideMark/>
          </w:tcPr>
          <w:p w14:paraId="253FA303"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155D68BC" w14:textId="77777777" w:rsidR="0062256C" w:rsidRPr="004712A3" w:rsidRDefault="0062256C" w:rsidP="00584C9F">
            <w:pPr>
              <w:jc w:val="center"/>
              <w:rPr>
                <w:rFonts w:ascii="Arial" w:hAnsi="Arial" w:cs="Arial"/>
                <w:color w:val="000000"/>
              </w:rPr>
            </w:pPr>
          </w:p>
        </w:tc>
      </w:tr>
      <w:tr w:rsidR="004712A3" w:rsidRPr="004712A3" w14:paraId="45BA1C39" w14:textId="77777777" w:rsidTr="00401008">
        <w:trPr>
          <w:trHeight w:val="300"/>
        </w:trPr>
        <w:tc>
          <w:tcPr>
            <w:tcW w:w="571" w:type="dxa"/>
            <w:tcBorders>
              <w:top w:val="nil"/>
              <w:left w:val="nil"/>
              <w:bottom w:val="nil"/>
              <w:right w:val="nil"/>
            </w:tcBorders>
            <w:noWrap/>
            <w:vAlign w:val="center"/>
            <w:hideMark/>
          </w:tcPr>
          <w:p w14:paraId="5D61B26E"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080705A6" w14:textId="77777777" w:rsidR="0062256C" w:rsidRPr="004712A3" w:rsidRDefault="0062256C" w:rsidP="00584C9F">
            <w:pPr>
              <w:jc w:val="center"/>
              <w:rPr>
                <w:rFonts w:ascii="Arial" w:hAnsi="Arial" w:cs="Arial"/>
                <w:color w:val="000000"/>
              </w:rPr>
            </w:pPr>
            <w:r w:rsidRPr="004712A3">
              <w:rPr>
                <w:rFonts w:ascii="Arial" w:hAnsi="Arial" w:cs="Arial"/>
                <w:color w:val="000000"/>
              </w:rPr>
              <w:t>Zn</w:t>
            </w:r>
          </w:p>
        </w:tc>
        <w:tc>
          <w:tcPr>
            <w:tcW w:w="1051" w:type="dxa"/>
            <w:tcBorders>
              <w:top w:val="nil"/>
              <w:left w:val="nil"/>
              <w:bottom w:val="nil"/>
              <w:right w:val="nil"/>
            </w:tcBorders>
            <w:noWrap/>
            <w:vAlign w:val="center"/>
            <w:hideMark/>
          </w:tcPr>
          <w:p w14:paraId="1070630F"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4295014E" w14:textId="77777777" w:rsidR="0062256C" w:rsidRPr="004712A3" w:rsidRDefault="0062256C" w:rsidP="00584C9F">
            <w:pPr>
              <w:jc w:val="center"/>
              <w:rPr>
                <w:rFonts w:ascii="Arial" w:hAnsi="Arial" w:cs="Arial"/>
                <w:color w:val="000000"/>
              </w:rPr>
            </w:pPr>
            <w:r w:rsidRPr="004712A3">
              <w:rPr>
                <w:rFonts w:ascii="Arial" w:hAnsi="Arial" w:cs="Arial"/>
                <w:color w:val="000000"/>
              </w:rPr>
              <w:t>397.267</w:t>
            </w:r>
          </w:p>
        </w:tc>
        <w:tc>
          <w:tcPr>
            <w:tcW w:w="1170" w:type="dxa"/>
            <w:tcBorders>
              <w:top w:val="nil"/>
              <w:left w:val="nil"/>
              <w:bottom w:val="nil"/>
              <w:right w:val="nil"/>
            </w:tcBorders>
            <w:noWrap/>
            <w:vAlign w:val="center"/>
            <w:hideMark/>
          </w:tcPr>
          <w:p w14:paraId="695FD26B" w14:textId="77777777" w:rsidR="0062256C" w:rsidRPr="004712A3" w:rsidRDefault="0062256C" w:rsidP="00584C9F">
            <w:pPr>
              <w:jc w:val="center"/>
              <w:rPr>
                <w:rFonts w:ascii="Arial" w:hAnsi="Arial" w:cs="Arial"/>
                <w:color w:val="000000"/>
              </w:rPr>
            </w:pPr>
            <w:r w:rsidRPr="004712A3">
              <w:rPr>
                <w:rFonts w:ascii="Arial" w:hAnsi="Arial" w:cs="Arial"/>
                <w:color w:val="000000"/>
              </w:rPr>
              <w:t>99.31675</w:t>
            </w:r>
          </w:p>
        </w:tc>
        <w:tc>
          <w:tcPr>
            <w:tcW w:w="1058" w:type="dxa"/>
            <w:tcBorders>
              <w:top w:val="nil"/>
              <w:left w:val="nil"/>
              <w:bottom w:val="nil"/>
              <w:right w:val="nil"/>
            </w:tcBorders>
            <w:noWrap/>
            <w:vAlign w:val="center"/>
            <w:hideMark/>
          </w:tcPr>
          <w:p w14:paraId="1C183ED8" w14:textId="77777777" w:rsidR="0062256C" w:rsidRPr="004712A3" w:rsidRDefault="0062256C" w:rsidP="00584C9F">
            <w:pPr>
              <w:jc w:val="center"/>
              <w:rPr>
                <w:rFonts w:ascii="Arial" w:hAnsi="Arial" w:cs="Arial"/>
                <w:color w:val="000000"/>
              </w:rPr>
            </w:pPr>
            <w:r w:rsidRPr="004712A3">
              <w:rPr>
                <w:rFonts w:ascii="Arial" w:hAnsi="Arial" w:cs="Arial"/>
                <w:color w:val="000000"/>
              </w:rPr>
              <w:t>0.002811</w:t>
            </w:r>
          </w:p>
        </w:tc>
        <w:tc>
          <w:tcPr>
            <w:tcW w:w="1051" w:type="dxa"/>
            <w:tcBorders>
              <w:top w:val="nil"/>
              <w:left w:val="nil"/>
              <w:bottom w:val="nil"/>
              <w:right w:val="nil"/>
            </w:tcBorders>
            <w:noWrap/>
            <w:vAlign w:val="center"/>
            <w:hideMark/>
          </w:tcPr>
          <w:p w14:paraId="692FB47D"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662C1F50" w14:textId="77777777" w:rsidR="0062256C" w:rsidRPr="004712A3" w:rsidRDefault="0062256C" w:rsidP="00584C9F">
            <w:pPr>
              <w:jc w:val="center"/>
              <w:rPr>
                <w:rFonts w:ascii="Arial" w:hAnsi="Arial" w:cs="Arial"/>
                <w:color w:val="000000"/>
              </w:rPr>
            </w:pPr>
          </w:p>
        </w:tc>
      </w:tr>
      <w:tr w:rsidR="004712A3" w:rsidRPr="004712A3" w14:paraId="0A28E536" w14:textId="77777777" w:rsidTr="00401008">
        <w:trPr>
          <w:trHeight w:val="300"/>
        </w:trPr>
        <w:tc>
          <w:tcPr>
            <w:tcW w:w="571" w:type="dxa"/>
            <w:tcBorders>
              <w:top w:val="nil"/>
              <w:left w:val="nil"/>
              <w:bottom w:val="nil"/>
              <w:right w:val="nil"/>
            </w:tcBorders>
            <w:noWrap/>
            <w:vAlign w:val="center"/>
            <w:hideMark/>
          </w:tcPr>
          <w:p w14:paraId="0FD9A095"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2AF240DB"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2AAEEB66"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138979BB" w14:textId="77777777" w:rsidR="0062256C" w:rsidRPr="004712A3" w:rsidRDefault="0062256C" w:rsidP="00584C9F">
            <w:pPr>
              <w:jc w:val="center"/>
              <w:rPr>
                <w:rFonts w:ascii="Arial" w:hAnsi="Arial" w:cs="Arial"/>
                <w:color w:val="000000"/>
              </w:rPr>
            </w:pPr>
          </w:p>
        </w:tc>
        <w:tc>
          <w:tcPr>
            <w:tcW w:w="1170" w:type="dxa"/>
            <w:tcBorders>
              <w:top w:val="nil"/>
              <w:left w:val="nil"/>
              <w:bottom w:val="nil"/>
              <w:right w:val="nil"/>
            </w:tcBorders>
            <w:noWrap/>
            <w:vAlign w:val="center"/>
            <w:hideMark/>
          </w:tcPr>
          <w:p w14:paraId="1C0FADF6" w14:textId="77777777" w:rsidR="0062256C" w:rsidRPr="004712A3" w:rsidRDefault="0062256C" w:rsidP="00584C9F">
            <w:pPr>
              <w:jc w:val="center"/>
              <w:rPr>
                <w:rFonts w:ascii="Arial" w:hAnsi="Arial" w:cs="Arial"/>
                <w:color w:val="000000"/>
              </w:rPr>
            </w:pPr>
          </w:p>
        </w:tc>
        <w:tc>
          <w:tcPr>
            <w:tcW w:w="1058" w:type="dxa"/>
            <w:tcBorders>
              <w:top w:val="nil"/>
              <w:left w:val="nil"/>
              <w:bottom w:val="nil"/>
              <w:right w:val="nil"/>
            </w:tcBorders>
            <w:noWrap/>
            <w:vAlign w:val="center"/>
            <w:hideMark/>
          </w:tcPr>
          <w:p w14:paraId="20918498"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099886FA"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3B7ECA6F" w14:textId="77777777" w:rsidR="0062256C" w:rsidRPr="004712A3" w:rsidRDefault="0062256C" w:rsidP="00584C9F">
            <w:pPr>
              <w:jc w:val="center"/>
              <w:rPr>
                <w:rFonts w:ascii="Arial" w:hAnsi="Arial" w:cs="Arial"/>
                <w:color w:val="000000"/>
              </w:rPr>
            </w:pPr>
          </w:p>
        </w:tc>
      </w:tr>
      <w:tr w:rsidR="004712A3" w:rsidRPr="004712A3" w14:paraId="1804939E" w14:textId="77777777" w:rsidTr="00401008">
        <w:trPr>
          <w:trHeight w:val="300"/>
        </w:trPr>
        <w:tc>
          <w:tcPr>
            <w:tcW w:w="571" w:type="dxa"/>
            <w:tcBorders>
              <w:top w:val="nil"/>
              <w:left w:val="nil"/>
              <w:bottom w:val="nil"/>
              <w:right w:val="nil"/>
            </w:tcBorders>
            <w:noWrap/>
            <w:vAlign w:val="center"/>
            <w:hideMark/>
          </w:tcPr>
          <w:p w14:paraId="5DEDF6C6"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0D20DF93" w14:textId="77777777" w:rsidR="0062256C" w:rsidRPr="004712A3" w:rsidRDefault="0062256C" w:rsidP="00584C9F">
            <w:pPr>
              <w:jc w:val="center"/>
              <w:rPr>
                <w:rFonts w:ascii="Arial" w:hAnsi="Arial" w:cs="Arial"/>
                <w:color w:val="000000"/>
              </w:rPr>
            </w:pPr>
            <w:r w:rsidRPr="004712A3">
              <w:rPr>
                <w:rFonts w:ascii="Arial" w:hAnsi="Arial" w:cs="Arial"/>
                <w:color w:val="000000"/>
              </w:rPr>
              <w:t>0</w:t>
            </w:r>
          </w:p>
        </w:tc>
        <w:tc>
          <w:tcPr>
            <w:tcW w:w="1051" w:type="dxa"/>
            <w:tcBorders>
              <w:top w:val="nil"/>
              <w:left w:val="nil"/>
              <w:bottom w:val="nil"/>
              <w:right w:val="nil"/>
            </w:tcBorders>
            <w:noWrap/>
            <w:vAlign w:val="center"/>
            <w:hideMark/>
          </w:tcPr>
          <w:p w14:paraId="412DD57B"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1663A9AD" w14:textId="77777777" w:rsidR="0062256C" w:rsidRPr="004712A3" w:rsidRDefault="0062256C" w:rsidP="00584C9F">
            <w:pPr>
              <w:jc w:val="center"/>
              <w:rPr>
                <w:rFonts w:ascii="Arial" w:hAnsi="Arial" w:cs="Arial"/>
                <w:color w:val="000000"/>
              </w:rPr>
            </w:pPr>
            <w:r w:rsidRPr="004712A3">
              <w:rPr>
                <w:rFonts w:ascii="Arial" w:hAnsi="Arial" w:cs="Arial"/>
                <w:color w:val="000000"/>
              </w:rPr>
              <w:t>376.68</w:t>
            </w:r>
          </w:p>
        </w:tc>
        <w:tc>
          <w:tcPr>
            <w:tcW w:w="1170" w:type="dxa"/>
            <w:tcBorders>
              <w:top w:val="nil"/>
              <w:left w:val="nil"/>
              <w:bottom w:val="nil"/>
              <w:right w:val="nil"/>
            </w:tcBorders>
            <w:noWrap/>
            <w:vAlign w:val="center"/>
            <w:hideMark/>
          </w:tcPr>
          <w:p w14:paraId="08710B19" w14:textId="77777777" w:rsidR="0062256C" w:rsidRPr="004712A3" w:rsidRDefault="0062256C" w:rsidP="00584C9F">
            <w:pPr>
              <w:jc w:val="center"/>
              <w:rPr>
                <w:rFonts w:ascii="Arial" w:hAnsi="Arial" w:cs="Arial"/>
                <w:color w:val="000000"/>
              </w:rPr>
            </w:pPr>
            <w:r w:rsidRPr="004712A3">
              <w:rPr>
                <w:rFonts w:ascii="Arial" w:hAnsi="Arial" w:cs="Arial"/>
                <w:color w:val="000000"/>
              </w:rPr>
              <w:t>94.17</w:t>
            </w:r>
          </w:p>
        </w:tc>
        <w:tc>
          <w:tcPr>
            <w:tcW w:w="1058" w:type="dxa"/>
            <w:tcBorders>
              <w:top w:val="nil"/>
              <w:left w:val="nil"/>
              <w:bottom w:val="nil"/>
              <w:right w:val="nil"/>
            </w:tcBorders>
            <w:noWrap/>
            <w:vAlign w:val="center"/>
            <w:hideMark/>
          </w:tcPr>
          <w:p w14:paraId="73C368DD" w14:textId="77777777" w:rsidR="0062256C" w:rsidRPr="004712A3" w:rsidRDefault="0062256C" w:rsidP="00584C9F">
            <w:pPr>
              <w:jc w:val="center"/>
              <w:rPr>
                <w:rFonts w:ascii="Arial" w:hAnsi="Arial" w:cs="Arial"/>
                <w:color w:val="000000"/>
              </w:rPr>
            </w:pPr>
            <w:r w:rsidRPr="004712A3">
              <w:rPr>
                <w:rFonts w:ascii="Arial" w:hAnsi="Arial" w:cs="Arial"/>
                <w:color w:val="000000"/>
              </w:rPr>
              <w:t>64.06279</w:t>
            </w:r>
          </w:p>
        </w:tc>
        <w:tc>
          <w:tcPr>
            <w:tcW w:w="1051" w:type="dxa"/>
            <w:tcBorders>
              <w:top w:val="nil"/>
              <w:left w:val="nil"/>
              <w:bottom w:val="nil"/>
              <w:right w:val="nil"/>
            </w:tcBorders>
            <w:noWrap/>
            <w:vAlign w:val="center"/>
            <w:hideMark/>
          </w:tcPr>
          <w:p w14:paraId="2A9ADBA0"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11E84DFD" w14:textId="77777777" w:rsidR="0062256C" w:rsidRPr="004712A3" w:rsidRDefault="0062256C" w:rsidP="00584C9F">
            <w:pPr>
              <w:jc w:val="center"/>
              <w:rPr>
                <w:rFonts w:ascii="Arial" w:hAnsi="Arial" w:cs="Arial"/>
                <w:color w:val="000000"/>
              </w:rPr>
            </w:pPr>
          </w:p>
        </w:tc>
      </w:tr>
      <w:tr w:rsidR="004712A3" w:rsidRPr="004712A3" w14:paraId="09A128BB" w14:textId="77777777" w:rsidTr="00401008">
        <w:trPr>
          <w:trHeight w:val="300"/>
        </w:trPr>
        <w:tc>
          <w:tcPr>
            <w:tcW w:w="571" w:type="dxa"/>
            <w:tcBorders>
              <w:top w:val="nil"/>
              <w:left w:val="nil"/>
              <w:bottom w:val="nil"/>
              <w:right w:val="nil"/>
            </w:tcBorders>
            <w:noWrap/>
            <w:vAlign w:val="center"/>
            <w:hideMark/>
          </w:tcPr>
          <w:p w14:paraId="029FCA6D"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472569A6" w14:textId="77777777" w:rsidR="0062256C" w:rsidRPr="004712A3" w:rsidRDefault="0062256C" w:rsidP="00584C9F">
            <w:pPr>
              <w:jc w:val="center"/>
              <w:rPr>
                <w:rFonts w:ascii="Arial" w:hAnsi="Arial" w:cs="Arial"/>
                <w:color w:val="000000"/>
              </w:rPr>
            </w:pPr>
            <w:r w:rsidRPr="004712A3">
              <w:rPr>
                <w:rFonts w:ascii="Arial" w:hAnsi="Arial" w:cs="Arial"/>
                <w:color w:val="000000"/>
              </w:rPr>
              <w:t>100</w:t>
            </w:r>
          </w:p>
        </w:tc>
        <w:tc>
          <w:tcPr>
            <w:tcW w:w="1051" w:type="dxa"/>
            <w:tcBorders>
              <w:top w:val="nil"/>
              <w:left w:val="nil"/>
              <w:bottom w:val="nil"/>
              <w:right w:val="nil"/>
            </w:tcBorders>
            <w:noWrap/>
            <w:vAlign w:val="center"/>
            <w:hideMark/>
          </w:tcPr>
          <w:p w14:paraId="0152EC0A"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6535E0DF" w14:textId="77777777" w:rsidR="0062256C" w:rsidRPr="004712A3" w:rsidRDefault="0062256C" w:rsidP="00584C9F">
            <w:pPr>
              <w:jc w:val="center"/>
              <w:rPr>
                <w:rFonts w:ascii="Arial" w:hAnsi="Arial" w:cs="Arial"/>
                <w:color w:val="000000"/>
              </w:rPr>
            </w:pPr>
            <w:r w:rsidRPr="004712A3">
              <w:rPr>
                <w:rFonts w:ascii="Arial" w:hAnsi="Arial" w:cs="Arial"/>
                <w:color w:val="000000"/>
              </w:rPr>
              <w:t>380.966</w:t>
            </w:r>
          </w:p>
        </w:tc>
        <w:tc>
          <w:tcPr>
            <w:tcW w:w="1170" w:type="dxa"/>
            <w:tcBorders>
              <w:top w:val="nil"/>
              <w:left w:val="nil"/>
              <w:bottom w:val="nil"/>
              <w:right w:val="nil"/>
            </w:tcBorders>
            <w:noWrap/>
            <w:vAlign w:val="center"/>
            <w:hideMark/>
          </w:tcPr>
          <w:p w14:paraId="5F00AF6A" w14:textId="77777777" w:rsidR="0062256C" w:rsidRPr="004712A3" w:rsidRDefault="0062256C" w:rsidP="00584C9F">
            <w:pPr>
              <w:jc w:val="center"/>
              <w:rPr>
                <w:rFonts w:ascii="Arial" w:hAnsi="Arial" w:cs="Arial"/>
                <w:color w:val="000000"/>
              </w:rPr>
            </w:pPr>
            <w:r w:rsidRPr="004712A3">
              <w:rPr>
                <w:rFonts w:ascii="Arial" w:hAnsi="Arial" w:cs="Arial"/>
                <w:color w:val="000000"/>
              </w:rPr>
              <w:t>95.2415</w:t>
            </w:r>
          </w:p>
        </w:tc>
        <w:tc>
          <w:tcPr>
            <w:tcW w:w="1058" w:type="dxa"/>
            <w:tcBorders>
              <w:top w:val="nil"/>
              <w:left w:val="nil"/>
              <w:bottom w:val="nil"/>
              <w:right w:val="nil"/>
            </w:tcBorders>
            <w:noWrap/>
            <w:vAlign w:val="center"/>
            <w:hideMark/>
          </w:tcPr>
          <w:p w14:paraId="38566A19" w14:textId="77777777" w:rsidR="0062256C" w:rsidRPr="004712A3" w:rsidRDefault="0062256C" w:rsidP="00584C9F">
            <w:pPr>
              <w:jc w:val="center"/>
              <w:rPr>
                <w:rFonts w:ascii="Arial" w:hAnsi="Arial" w:cs="Arial"/>
                <w:color w:val="000000"/>
              </w:rPr>
            </w:pPr>
            <w:r w:rsidRPr="004712A3">
              <w:rPr>
                <w:rFonts w:ascii="Arial" w:hAnsi="Arial" w:cs="Arial"/>
                <w:color w:val="000000"/>
              </w:rPr>
              <w:t>37.73085</w:t>
            </w:r>
          </w:p>
        </w:tc>
        <w:tc>
          <w:tcPr>
            <w:tcW w:w="1051" w:type="dxa"/>
            <w:tcBorders>
              <w:top w:val="nil"/>
              <w:left w:val="nil"/>
              <w:bottom w:val="nil"/>
              <w:right w:val="nil"/>
            </w:tcBorders>
            <w:noWrap/>
            <w:vAlign w:val="center"/>
            <w:hideMark/>
          </w:tcPr>
          <w:p w14:paraId="66310CD5"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02C639B9" w14:textId="77777777" w:rsidR="0062256C" w:rsidRPr="004712A3" w:rsidRDefault="0062256C" w:rsidP="00584C9F">
            <w:pPr>
              <w:jc w:val="center"/>
              <w:rPr>
                <w:rFonts w:ascii="Arial" w:hAnsi="Arial" w:cs="Arial"/>
                <w:color w:val="000000"/>
              </w:rPr>
            </w:pPr>
          </w:p>
        </w:tc>
      </w:tr>
      <w:tr w:rsidR="004712A3" w:rsidRPr="004712A3" w14:paraId="18BCF5F5" w14:textId="77777777" w:rsidTr="00401008">
        <w:trPr>
          <w:trHeight w:val="300"/>
        </w:trPr>
        <w:tc>
          <w:tcPr>
            <w:tcW w:w="571" w:type="dxa"/>
            <w:tcBorders>
              <w:top w:val="nil"/>
              <w:left w:val="nil"/>
              <w:bottom w:val="nil"/>
              <w:right w:val="nil"/>
            </w:tcBorders>
            <w:noWrap/>
            <w:vAlign w:val="center"/>
            <w:hideMark/>
          </w:tcPr>
          <w:p w14:paraId="06A43C18"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65A22AFD" w14:textId="77777777" w:rsidR="0062256C" w:rsidRPr="004712A3" w:rsidRDefault="0062256C" w:rsidP="00584C9F">
            <w:pPr>
              <w:jc w:val="center"/>
              <w:rPr>
                <w:rFonts w:ascii="Arial" w:hAnsi="Arial" w:cs="Arial"/>
                <w:color w:val="000000"/>
              </w:rPr>
            </w:pPr>
            <w:r w:rsidRPr="004712A3">
              <w:rPr>
                <w:rFonts w:ascii="Arial" w:hAnsi="Arial" w:cs="Arial"/>
                <w:color w:val="000000"/>
              </w:rPr>
              <w:t>300</w:t>
            </w:r>
          </w:p>
        </w:tc>
        <w:tc>
          <w:tcPr>
            <w:tcW w:w="1051" w:type="dxa"/>
            <w:tcBorders>
              <w:top w:val="nil"/>
              <w:left w:val="nil"/>
              <w:bottom w:val="nil"/>
              <w:right w:val="nil"/>
            </w:tcBorders>
            <w:noWrap/>
            <w:vAlign w:val="center"/>
            <w:hideMark/>
          </w:tcPr>
          <w:p w14:paraId="19582B65"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66857B76" w14:textId="77777777" w:rsidR="0062256C" w:rsidRPr="004712A3" w:rsidRDefault="0062256C" w:rsidP="00584C9F">
            <w:pPr>
              <w:jc w:val="center"/>
              <w:rPr>
                <w:rFonts w:ascii="Arial" w:hAnsi="Arial" w:cs="Arial"/>
                <w:color w:val="000000"/>
              </w:rPr>
            </w:pPr>
            <w:r w:rsidRPr="004712A3">
              <w:rPr>
                <w:rFonts w:ascii="Arial" w:hAnsi="Arial" w:cs="Arial"/>
                <w:color w:val="000000"/>
              </w:rPr>
              <w:t>384.195</w:t>
            </w:r>
          </w:p>
        </w:tc>
        <w:tc>
          <w:tcPr>
            <w:tcW w:w="1170" w:type="dxa"/>
            <w:tcBorders>
              <w:top w:val="nil"/>
              <w:left w:val="nil"/>
              <w:bottom w:val="nil"/>
              <w:right w:val="nil"/>
            </w:tcBorders>
            <w:noWrap/>
            <w:vAlign w:val="center"/>
            <w:hideMark/>
          </w:tcPr>
          <w:p w14:paraId="29DE396E" w14:textId="77777777" w:rsidR="0062256C" w:rsidRPr="004712A3" w:rsidRDefault="0062256C" w:rsidP="00584C9F">
            <w:pPr>
              <w:jc w:val="center"/>
              <w:rPr>
                <w:rFonts w:ascii="Arial" w:hAnsi="Arial" w:cs="Arial"/>
                <w:color w:val="000000"/>
              </w:rPr>
            </w:pPr>
            <w:r w:rsidRPr="004712A3">
              <w:rPr>
                <w:rFonts w:ascii="Arial" w:hAnsi="Arial" w:cs="Arial"/>
                <w:color w:val="000000"/>
              </w:rPr>
              <w:t>96.04875</w:t>
            </w:r>
          </w:p>
        </w:tc>
        <w:tc>
          <w:tcPr>
            <w:tcW w:w="1058" w:type="dxa"/>
            <w:tcBorders>
              <w:top w:val="nil"/>
              <w:left w:val="nil"/>
              <w:bottom w:val="nil"/>
              <w:right w:val="nil"/>
            </w:tcBorders>
            <w:noWrap/>
            <w:vAlign w:val="center"/>
            <w:hideMark/>
          </w:tcPr>
          <w:p w14:paraId="4D4E0973" w14:textId="77777777" w:rsidR="0062256C" w:rsidRPr="004712A3" w:rsidRDefault="0062256C" w:rsidP="00584C9F">
            <w:pPr>
              <w:jc w:val="center"/>
              <w:rPr>
                <w:rFonts w:ascii="Arial" w:hAnsi="Arial" w:cs="Arial"/>
                <w:color w:val="000000"/>
              </w:rPr>
            </w:pPr>
            <w:r w:rsidRPr="004712A3">
              <w:rPr>
                <w:rFonts w:ascii="Arial" w:hAnsi="Arial" w:cs="Arial"/>
                <w:color w:val="000000"/>
              </w:rPr>
              <w:t>21.95539</w:t>
            </w:r>
          </w:p>
        </w:tc>
        <w:tc>
          <w:tcPr>
            <w:tcW w:w="1051" w:type="dxa"/>
            <w:tcBorders>
              <w:top w:val="nil"/>
              <w:left w:val="nil"/>
              <w:bottom w:val="nil"/>
              <w:right w:val="nil"/>
            </w:tcBorders>
            <w:noWrap/>
            <w:vAlign w:val="center"/>
            <w:hideMark/>
          </w:tcPr>
          <w:p w14:paraId="45CD6E79"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7513EECC" w14:textId="77777777" w:rsidR="0062256C" w:rsidRPr="004712A3" w:rsidRDefault="0062256C" w:rsidP="00584C9F">
            <w:pPr>
              <w:jc w:val="center"/>
              <w:rPr>
                <w:rFonts w:ascii="Arial" w:hAnsi="Arial" w:cs="Arial"/>
                <w:color w:val="000000"/>
              </w:rPr>
            </w:pPr>
          </w:p>
        </w:tc>
      </w:tr>
      <w:tr w:rsidR="004712A3" w:rsidRPr="004712A3" w14:paraId="4629FEDC" w14:textId="77777777" w:rsidTr="00401008">
        <w:trPr>
          <w:trHeight w:val="315"/>
        </w:trPr>
        <w:tc>
          <w:tcPr>
            <w:tcW w:w="571" w:type="dxa"/>
            <w:tcBorders>
              <w:top w:val="nil"/>
              <w:left w:val="nil"/>
              <w:bottom w:val="nil"/>
              <w:right w:val="nil"/>
            </w:tcBorders>
            <w:noWrap/>
            <w:vAlign w:val="center"/>
            <w:hideMark/>
          </w:tcPr>
          <w:p w14:paraId="24347692" w14:textId="77777777" w:rsidR="0062256C" w:rsidRPr="004712A3" w:rsidRDefault="0062256C" w:rsidP="00584C9F">
            <w:pPr>
              <w:jc w:val="center"/>
              <w:rPr>
                <w:rFonts w:ascii="Arial" w:hAnsi="Arial" w:cs="Arial"/>
                <w:color w:val="000000"/>
              </w:rPr>
            </w:pPr>
          </w:p>
        </w:tc>
        <w:tc>
          <w:tcPr>
            <w:tcW w:w="1329" w:type="dxa"/>
            <w:tcBorders>
              <w:top w:val="nil"/>
              <w:left w:val="nil"/>
              <w:bottom w:val="single" w:sz="8" w:space="0" w:color="auto"/>
              <w:right w:val="nil"/>
            </w:tcBorders>
            <w:noWrap/>
            <w:vAlign w:val="center"/>
            <w:hideMark/>
          </w:tcPr>
          <w:p w14:paraId="0BB58C38" w14:textId="77777777" w:rsidR="0062256C" w:rsidRPr="004712A3" w:rsidRDefault="0062256C" w:rsidP="00584C9F">
            <w:pPr>
              <w:jc w:val="center"/>
              <w:rPr>
                <w:rFonts w:ascii="Arial" w:hAnsi="Arial" w:cs="Arial"/>
                <w:color w:val="000000"/>
              </w:rPr>
            </w:pPr>
            <w:r w:rsidRPr="004712A3">
              <w:rPr>
                <w:rFonts w:ascii="Arial" w:hAnsi="Arial" w:cs="Arial"/>
                <w:color w:val="000000"/>
              </w:rPr>
              <w:t>800</w:t>
            </w:r>
          </w:p>
        </w:tc>
        <w:tc>
          <w:tcPr>
            <w:tcW w:w="1051" w:type="dxa"/>
            <w:tcBorders>
              <w:top w:val="nil"/>
              <w:left w:val="nil"/>
              <w:bottom w:val="single" w:sz="8" w:space="0" w:color="auto"/>
              <w:right w:val="nil"/>
            </w:tcBorders>
            <w:noWrap/>
            <w:vAlign w:val="center"/>
            <w:hideMark/>
          </w:tcPr>
          <w:p w14:paraId="4ED0F744"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single" w:sz="8" w:space="0" w:color="auto"/>
              <w:right w:val="nil"/>
            </w:tcBorders>
            <w:noWrap/>
            <w:vAlign w:val="center"/>
            <w:hideMark/>
          </w:tcPr>
          <w:p w14:paraId="41AACB03" w14:textId="77777777" w:rsidR="0062256C" w:rsidRPr="004712A3" w:rsidRDefault="0062256C" w:rsidP="00584C9F">
            <w:pPr>
              <w:jc w:val="center"/>
              <w:rPr>
                <w:rFonts w:ascii="Arial" w:hAnsi="Arial" w:cs="Arial"/>
                <w:color w:val="000000"/>
              </w:rPr>
            </w:pPr>
            <w:r w:rsidRPr="004712A3">
              <w:rPr>
                <w:rFonts w:ascii="Arial" w:hAnsi="Arial" w:cs="Arial"/>
                <w:color w:val="000000"/>
              </w:rPr>
              <w:t>387.731</w:t>
            </w:r>
          </w:p>
        </w:tc>
        <w:tc>
          <w:tcPr>
            <w:tcW w:w="1170" w:type="dxa"/>
            <w:tcBorders>
              <w:top w:val="nil"/>
              <w:left w:val="nil"/>
              <w:bottom w:val="single" w:sz="8" w:space="0" w:color="auto"/>
              <w:right w:val="nil"/>
            </w:tcBorders>
            <w:noWrap/>
            <w:vAlign w:val="center"/>
            <w:hideMark/>
          </w:tcPr>
          <w:p w14:paraId="503B0DBA" w14:textId="77777777" w:rsidR="0062256C" w:rsidRPr="004712A3" w:rsidRDefault="0062256C" w:rsidP="00584C9F">
            <w:pPr>
              <w:jc w:val="center"/>
              <w:rPr>
                <w:rFonts w:ascii="Arial" w:hAnsi="Arial" w:cs="Arial"/>
                <w:color w:val="000000"/>
              </w:rPr>
            </w:pPr>
            <w:r w:rsidRPr="004712A3">
              <w:rPr>
                <w:rFonts w:ascii="Arial" w:hAnsi="Arial" w:cs="Arial"/>
                <w:color w:val="000000"/>
              </w:rPr>
              <w:t>96.93275</w:t>
            </w:r>
          </w:p>
        </w:tc>
        <w:tc>
          <w:tcPr>
            <w:tcW w:w="1058" w:type="dxa"/>
            <w:tcBorders>
              <w:top w:val="nil"/>
              <w:left w:val="nil"/>
              <w:bottom w:val="single" w:sz="8" w:space="0" w:color="auto"/>
              <w:right w:val="nil"/>
            </w:tcBorders>
            <w:noWrap/>
            <w:vAlign w:val="center"/>
            <w:hideMark/>
          </w:tcPr>
          <w:p w14:paraId="048A7808" w14:textId="77777777" w:rsidR="0062256C" w:rsidRPr="004712A3" w:rsidRDefault="0062256C" w:rsidP="00584C9F">
            <w:pPr>
              <w:jc w:val="center"/>
              <w:rPr>
                <w:rFonts w:ascii="Arial" w:hAnsi="Arial" w:cs="Arial"/>
                <w:color w:val="000000"/>
              </w:rPr>
            </w:pPr>
            <w:r w:rsidRPr="004712A3">
              <w:rPr>
                <w:rFonts w:ascii="Arial" w:hAnsi="Arial" w:cs="Arial"/>
                <w:color w:val="000000"/>
              </w:rPr>
              <w:t>10.10688</w:t>
            </w:r>
          </w:p>
        </w:tc>
        <w:tc>
          <w:tcPr>
            <w:tcW w:w="1051" w:type="dxa"/>
            <w:tcBorders>
              <w:top w:val="nil"/>
              <w:left w:val="nil"/>
              <w:bottom w:val="nil"/>
              <w:right w:val="nil"/>
            </w:tcBorders>
            <w:noWrap/>
            <w:vAlign w:val="center"/>
            <w:hideMark/>
          </w:tcPr>
          <w:p w14:paraId="4F2B8E1E"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54F7EC1D" w14:textId="77777777" w:rsidR="0062256C" w:rsidRPr="004712A3" w:rsidRDefault="0062256C" w:rsidP="00584C9F">
            <w:pPr>
              <w:jc w:val="center"/>
              <w:rPr>
                <w:rFonts w:ascii="Arial" w:hAnsi="Arial" w:cs="Arial"/>
                <w:color w:val="000000"/>
              </w:rPr>
            </w:pPr>
          </w:p>
        </w:tc>
      </w:tr>
      <w:tr w:rsidR="004712A3" w:rsidRPr="004712A3" w14:paraId="13BD128D" w14:textId="77777777" w:rsidTr="00401008">
        <w:trPr>
          <w:trHeight w:val="300"/>
        </w:trPr>
        <w:tc>
          <w:tcPr>
            <w:tcW w:w="571" w:type="dxa"/>
            <w:tcBorders>
              <w:top w:val="nil"/>
              <w:left w:val="nil"/>
              <w:bottom w:val="nil"/>
              <w:right w:val="nil"/>
            </w:tcBorders>
            <w:noWrap/>
            <w:vAlign w:val="center"/>
            <w:hideMark/>
          </w:tcPr>
          <w:p w14:paraId="54230E18"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5FE09631"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45EED015"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75B1A040" w14:textId="77777777" w:rsidR="0062256C" w:rsidRPr="004712A3" w:rsidRDefault="0062256C" w:rsidP="00584C9F">
            <w:pPr>
              <w:jc w:val="center"/>
              <w:rPr>
                <w:rFonts w:ascii="Arial" w:hAnsi="Arial" w:cs="Arial"/>
                <w:color w:val="000000"/>
              </w:rPr>
            </w:pPr>
          </w:p>
        </w:tc>
        <w:tc>
          <w:tcPr>
            <w:tcW w:w="1170" w:type="dxa"/>
            <w:tcBorders>
              <w:top w:val="nil"/>
              <w:left w:val="nil"/>
              <w:bottom w:val="nil"/>
              <w:right w:val="nil"/>
            </w:tcBorders>
            <w:noWrap/>
            <w:vAlign w:val="center"/>
            <w:hideMark/>
          </w:tcPr>
          <w:p w14:paraId="3A5DA34C" w14:textId="77777777" w:rsidR="0062256C" w:rsidRPr="004712A3" w:rsidRDefault="0062256C" w:rsidP="00584C9F">
            <w:pPr>
              <w:jc w:val="center"/>
              <w:rPr>
                <w:rFonts w:ascii="Arial" w:hAnsi="Arial" w:cs="Arial"/>
                <w:color w:val="000000"/>
              </w:rPr>
            </w:pPr>
          </w:p>
        </w:tc>
        <w:tc>
          <w:tcPr>
            <w:tcW w:w="1058" w:type="dxa"/>
            <w:tcBorders>
              <w:top w:val="nil"/>
              <w:left w:val="nil"/>
              <w:bottom w:val="nil"/>
              <w:right w:val="nil"/>
            </w:tcBorders>
            <w:noWrap/>
            <w:vAlign w:val="center"/>
            <w:hideMark/>
          </w:tcPr>
          <w:p w14:paraId="354E71C1"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1D6EB61B"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3B4CFE1B" w14:textId="77777777" w:rsidR="0062256C" w:rsidRPr="004712A3" w:rsidRDefault="0062256C" w:rsidP="00584C9F">
            <w:pPr>
              <w:jc w:val="center"/>
              <w:rPr>
                <w:rFonts w:ascii="Arial" w:hAnsi="Arial" w:cs="Arial"/>
                <w:color w:val="000000"/>
              </w:rPr>
            </w:pPr>
          </w:p>
        </w:tc>
      </w:tr>
      <w:tr w:rsidR="004712A3" w:rsidRPr="004712A3" w14:paraId="186FBBE5" w14:textId="77777777" w:rsidTr="00401008">
        <w:trPr>
          <w:trHeight w:val="300"/>
        </w:trPr>
        <w:tc>
          <w:tcPr>
            <w:tcW w:w="571" w:type="dxa"/>
            <w:tcBorders>
              <w:top w:val="nil"/>
              <w:left w:val="nil"/>
              <w:bottom w:val="nil"/>
              <w:right w:val="nil"/>
            </w:tcBorders>
            <w:noWrap/>
            <w:vAlign w:val="center"/>
            <w:hideMark/>
          </w:tcPr>
          <w:p w14:paraId="577D5C4D"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7F4ACED6"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73EDD1EA" w14:textId="77777777" w:rsidR="0062256C" w:rsidRPr="004712A3" w:rsidRDefault="0062256C" w:rsidP="00BD3B26">
            <w:pPr>
              <w:rPr>
                <w:rFonts w:ascii="Arial" w:hAnsi="Arial" w:cs="Arial"/>
                <w:color w:val="000000"/>
              </w:rPr>
            </w:pPr>
          </w:p>
        </w:tc>
        <w:tc>
          <w:tcPr>
            <w:tcW w:w="1051" w:type="dxa"/>
            <w:tcBorders>
              <w:top w:val="nil"/>
              <w:left w:val="nil"/>
              <w:bottom w:val="nil"/>
              <w:right w:val="nil"/>
            </w:tcBorders>
            <w:noWrap/>
            <w:vAlign w:val="center"/>
            <w:hideMark/>
          </w:tcPr>
          <w:p w14:paraId="059AE6B0" w14:textId="77777777" w:rsidR="0062256C" w:rsidRPr="004712A3" w:rsidRDefault="0062256C" w:rsidP="00584C9F">
            <w:pPr>
              <w:jc w:val="center"/>
              <w:rPr>
                <w:rFonts w:ascii="Arial" w:hAnsi="Arial" w:cs="Arial"/>
                <w:color w:val="000000"/>
              </w:rPr>
            </w:pPr>
          </w:p>
        </w:tc>
        <w:tc>
          <w:tcPr>
            <w:tcW w:w="1170" w:type="dxa"/>
            <w:tcBorders>
              <w:top w:val="nil"/>
              <w:left w:val="nil"/>
              <w:bottom w:val="nil"/>
              <w:right w:val="nil"/>
            </w:tcBorders>
            <w:noWrap/>
            <w:vAlign w:val="center"/>
            <w:hideMark/>
          </w:tcPr>
          <w:p w14:paraId="229097F9" w14:textId="77777777" w:rsidR="0062256C" w:rsidRPr="004712A3" w:rsidRDefault="0062256C" w:rsidP="00584C9F">
            <w:pPr>
              <w:jc w:val="center"/>
              <w:rPr>
                <w:rFonts w:ascii="Arial" w:hAnsi="Arial" w:cs="Arial"/>
                <w:color w:val="000000"/>
              </w:rPr>
            </w:pPr>
          </w:p>
        </w:tc>
        <w:tc>
          <w:tcPr>
            <w:tcW w:w="1058" w:type="dxa"/>
            <w:tcBorders>
              <w:top w:val="nil"/>
              <w:left w:val="nil"/>
              <w:bottom w:val="nil"/>
              <w:right w:val="nil"/>
            </w:tcBorders>
            <w:noWrap/>
            <w:vAlign w:val="center"/>
            <w:hideMark/>
          </w:tcPr>
          <w:p w14:paraId="2023017A"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79FC6CE0"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63E9B91F" w14:textId="77777777" w:rsidR="0062256C" w:rsidRPr="004712A3" w:rsidRDefault="0062256C" w:rsidP="00584C9F">
            <w:pPr>
              <w:jc w:val="center"/>
              <w:rPr>
                <w:rFonts w:ascii="Arial" w:hAnsi="Arial" w:cs="Arial"/>
                <w:color w:val="000000"/>
              </w:rPr>
            </w:pPr>
          </w:p>
        </w:tc>
      </w:tr>
      <w:tr w:rsidR="004712A3" w:rsidRPr="004712A3" w14:paraId="09C830B5" w14:textId="77777777" w:rsidTr="00401008">
        <w:trPr>
          <w:trHeight w:val="315"/>
        </w:trPr>
        <w:tc>
          <w:tcPr>
            <w:tcW w:w="571" w:type="dxa"/>
            <w:tcBorders>
              <w:top w:val="nil"/>
              <w:left w:val="nil"/>
              <w:bottom w:val="nil"/>
              <w:right w:val="nil"/>
            </w:tcBorders>
            <w:noWrap/>
            <w:vAlign w:val="center"/>
            <w:hideMark/>
          </w:tcPr>
          <w:p w14:paraId="11880DAC"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2B812BEB" w14:textId="77777777" w:rsidR="0062256C" w:rsidRPr="004712A3" w:rsidRDefault="0062256C" w:rsidP="00584C9F">
            <w:pPr>
              <w:jc w:val="center"/>
              <w:rPr>
                <w:rFonts w:ascii="Arial" w:hAnsi="Arial" w:cs="Arial"/>
                <w:color w:val="000000"/>
              </w:rPr>
            </w:pPr>
            <w:r w:rsidRPr="004712A3">
              <w:rPr>
                <w:rFonts w:ascii="Arial" w:hAnsi="Arial" w:cs="Arial"/>
                <w:color w:val="000000"/>
              </w:rPr>
              <w:t>ANOVA</w:t>
            </w:r>
          </w:p>
        </w:tc>
        <w:tc>
          <w:tcPr>
            <w:tcW w:w="1051" w:type="dxa"/>
            <w:tcBorders>
              <w:top w:val="nil"/>
              <w:left w:val="nil"/>
              <w:bottom w:val="nil"/>
              <w:right w:val="nil"/>
            </w:tcBorders>
            <w:noWrap/>
            <w:vAlign w:val="center"/>
            <w:hideMark/>
          </w:tcPr>
          <w:p w14:paraId="157EA533"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36944C4D" w14:textId="77777777" w:rsidR="0062256C" w:rsidRPr="004712A3" w:rsidRDefault="0062256C" w:rsidP="00584C9F">
            <w:pPr>
              <w:jc w:val="center"/>
              <w:rPr>
                <w:rFonts w:ascii="Arial" w:hAnsi="Arial" w:cs="Arial"/>
                <w:color w:val="000000"/>
              </w:rPr>
            </w:pPr>
          </w:p>
        </w:tc>
        <w:tc>
          <w:tcPr>
            <w:tcW w:w="1170" w:type="dxa"/>
            <w:tcBorders>
              <w:top w:val="nil"/>
              <w:left w:val="nil"/>
              <w:bottom w:val="nil"/>
              <w:right w:val="nil"/>
            </w:tcBorders>
            <w:noWrap/>
            <w:vAlign w:val="center"/>
            <w:hideMark/>
          </w:tcPr>
          <w:p w14:paraId="723FF758" w14:textId="77777777" w:rsidR="0062256C" w:rsidRPr="004712A3" w:rsidRDefault="0062256C" w:rsidP="00584C9F">
            <w:pPr>
              <w:jc w:val="center"/>
              <w:rPr>
                <w:rFonts w:ascii="Arial" w:hAnsi="Arial" w:cs="Arial"/>
                <w:color w:val="000000"/>
              </w:rPr>
            </w:pPr>
          </w:p>
        </w:tc>
        <w:tc>
          <w:tcPr>
            <w:tcW w:w="1058" w:type="dxa"/>
            <w:tcBorders>
              <w:top w:val="nil"/>
              <w:left w:val="nil"/>
              <w:bottom w:val="nil"/>
              <w:right w:val="nil"/>
            </w:tcBorders>
            <w:noWrap/>
            <w:vAlign w:val="center"/>
            <w:hideMark/>
          </w:tcPr>
          <w:p w14:paraId="1B00CEDA"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090C399F"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350B339F" w14:textId="77777777" w:rsidR="0062256C" w:rsidRPr="004712A3" w:rsidRDefault="0062256C" w:rsidP="00584C9F">
            <w:pPr>
              <w:jc w:val="center"/>
              <w:rPr>
                <w:rFonts w:ascii="Arial" w:hAnsi="Arial" w:cs="Arial"/>
                <w:color w:val="000000"/>
              </w:rPr>
            </w:pPr>
          </w:p>
        </w:tc>
      </w:tr>
      <w:tr w:rsidR="004712A3" w:rsidRPr="004712A3" w14:paraId="0B93EB27" w14:textId="77777777" w:rsidTr="00401008">
        <w:trPr>
          <w:trHeight w:val="300"/>
        </w:trPr>
        <w:tc>
          <w:tcPr>
            <w:tcW w:w="571" w:type="dxa"/>
            <w:tcBorders>
              <w:top w:val="nil"/>
              <w:left w:val="nil"/>
              <w:bottom w:val="nil"/>
              <w:right w:val="nil"/>
            </w:tcBorders>
            <w:noWrap/>
            <w:vAlign w:val="center"/>
            <w:hideMark/>
          </w:tcPr>
          <w:p w14:paraId="60015057" w14:textId="77777777" w:rsidR="0062256C" w:rsidRPr="004712A3" w:rsidRDefault="0062256C" w:rsidP="00584C9F">
            <w:pPr>
              <w:jc w:val="center"/>
              <w:rPr>
                <w:rFonts w:ascii="Arial" w:hAnsi="Arial" w:cs="Arial"/>
                <w:color w:val="000000"/>
              </w:rPr>
            </w:pPr>
          </w:p>
        </w:tc>
        <w:tc>
          <w:tcPr>
            <w:tcW w:w="1329" w:type="dxa"/>
            <w:tcBorders>
              <w:top w:val="single" w:sz="8" w:space="0" w:color="auto"/>
              <w:left w:val="nil"/>
              <w:bottom w:val="single" w:sz="4" w:space="0" w:color="auto"/>
              <w:right w:val="nil"/>
            </w:tcBorders>
            <w:noWrap/>
            <w:vAlign w:val="center"/>
            <w:hideMark/>
          </w:tcPr>
          <w:p w14:paraId="2D74097A"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Source of Variation</w:t>
            </w:r>
          </w:p>
        </w:tc>
        <w:tc>
          <w:tcPr>
            <w:tcW w:w="1051" w:type="dxa"/>
            <w:tcBorders>
              <w:top w:val="single" w:sz="8" w:space="0" w:color="auto"/>
              <w:left w:val="nil"/>
              <w:bottom w:val="single" w:sz="4" w:space="0" w:color="auto"/>
              <w:right w:val="nil"/>
            </w:tcBorders>
            <w:noWrap/>
            <w:vAlign w:val="center"/>
            <w:hideMark/>
          </w:tcPr>
          <w:p w14:paraId="579C4810"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SS</w:t>
            </w:r>
          </w:p>
        </w:tc>
        <w:tc>
          <w:tcPr>
            <w:tcW w:w="1051" w:type="dxa"/>
            <w:tcBorders>
              <w:top w:val="single" w:sz="8" w:space="0" w:color="auto"/>
              <w:left w:val="nil"/>
              <w:bottom w:val="single" w:sz="4" w:space="0" w:color="auto"/>
              <w:right w:val="nil"/>
            </w:tcBorders>
            <w:noWrap/>
            <w:vAlign w:val="center"/>
            <w:hideMark/>
          </w:tcPr>
          <w:p w14:paraId="2185773D"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df</w:t>
            </w:r>
          </w:p>
        </w:tc>
        <w:tc>
          <w:tcPr>
            <w:tcW w:w="1170" w:type="dxa"/>
            <w:tcBorders>
              <w:top w:val="single" w:sz="8" w:space="0" w:color="auto"/>
              <w:left w:val="nil"/>
              <w:bottom w:val="single" w:sz="4" w:space="0" w:color="auto"/>
              <w:right w:val="nil"/>
            </w:tcBorders>
            <w:noWrap/>
            <w:vAlign w:val="center"/>
            <w:hideMark/>
          </w:tcPr>
          <w:p w14:paraId="183C2871"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MS</w:t>
            </w:r>
          </w:p>
        </w:tc>
        <w:tc>
          <w:tcPr>
            <w:tcW w:w="1058" w:type="dxa"/>
            <w:tcBorders>
              <w:top w:val="single" w:sz="8" w:space="0" w:color="auto"/>
              <w:left w:val="nil"/>
              <w:bottom w:val="single" w:sz="4" w:space="0" w:color="auto"/>
              <w:right w:val="nil"/>
            </w:tcBorders>
            <w:noWrap/>
            <w:vAlign w:val="center"/>
            <w:hideMark/>
          </w:tcPr>
          <w:p w14:paraId="56E84340"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F</w:t>
            </w:r>
          </w:p>
        </w:tc>
        <w:tc>
          <w:tcPr>
            <w:tcW w:w="1051" w:type="dxa"/>
            <w:tcBorders>
              <w:top w:val="single" w:sz="8" w:space="0" w:color="auto"/>
              <w:left w:val="nil"/>
              <w:bottom w:val="single" w:sz="4" w:space="0" w:color="auto"/>
              <w:right w:val="nil"/>
            </w:tcBorders>
            <w:noWrap/>
            <w:vAlign w:val="center"/>
            <w:hideMark/>
          </w:tcPr>
          <w:p w14:paraId="2768E40A"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P-value</w:t>
            </w:r>
          </w:p>
        </w:tc>
        <w:tc>
          <w:tcPr>
            <w:tcW w:w="1238" w:type="dxa"/>
            <w:tcBorders>
              <w:top w:val="single" w:sz="8" w:space="0" w:color="auto"/>
              <w:left w:val="nil"/>
              <w:bottom w:val="single" w:sz="4" w:space="0" w:color="auto"/>
              <w:right w:val="nil"/>
            </w:tcBorders>
            <w:noWrap/>
            <w:vAlign w:val="center"/>
            <w:hideMark/>
          </w:tcPr>
          <w:p w14:paraId="7E011BC9"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F crit</w:t>
            </w:r>
          </w:p>
        </w:tc>
      </w:tr>
      <w:tr w:rsidR="004712A3" w:rsidRPr="004712A3" w14:paraId="35848A9D" w14:textId="77777777" w:rsidTr="00401008">
        <w:trPr>
          <w:trHeight w:val="300"/>
        </w:trPr>
        <w:tc>
          <w:tcPr>
            <w:tcW w:w="571" w:type="dxa"/>
            <w:tcBorders>
              <w:top w:val="nil"/>
              <w:left w:val="nil"/>
              <w:bottom w:val="nil"/>
              <w:right w:val="nil"/>
            </w:tcBorders>
            <w:noWrap/>
            <w:vAlign w:val="center"/>
            <w:hideMark/>
          </w:tcPr>
          <w:p w14:paraId="44B0F7D5"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542076DA" w14:textId="77777777" w:rsidR="0062256C" w:rsidRPr="004712A3" w:rsidRDefault="0062256C" w:rsidP="00584C9F">
            <w:pPr>
              <w:jc w:val="center"/>
              <w:rPr>
                <w:rFonts w:ascii="Arial" w:hAnsi="Arial" w:cs="Arial"/>
                <w:color w:val="000000"/>
              </w:rPr>
            </w:pPr>
            <w:r w:rsidRPr="004712A3">
              <w:rPr>
                <w:rFonts w:ascii="Arial" w:hAnsi="Arial" w:cs="Arial"/>
                <w:color w:val="000000"/>
              </w:rPr>
              <w:t>Rows</w:t>
            </w:r>
          </w:p>
        </w:tc>
        <w:tc>
          <w:tcPr>
            <w:tcW w:w="1051" w:type="dxa"/>
            <w:tcBorders>
              <w:top w:val="nil"/>
              <w:left w:val="nil"/>
              <w:bottom w:val="nil"/>
              <w:right w:val="nil"/>
            </w:tcBorders>
            <w:noWrap/>
            <w:vAlign w:val="center"/>
            <w:hideMark/>
          </w:tcPr>
          <w:p w14:paraId="7C7C662E" w14:textId="77777777" w:rsidR="0062256C" w:rsidRPr="004712A3" w:rsidRDefault="0062256C" w:rsidP="00584C9F">
            <w:pPr>
              <w:jc w:val="center"/>
              <w:rPr>
                <w:rFonts w:ascii="Arial" w:hAnsi="Arial" w:cs="Arial"/>
                <w:color w:val="000000"/>
              </w:rPr>
            </w:pPr>
            <w:r w:rsidRPr="004712A3">
              <w:rPr>
                <w:rFonts w:ascii="Arial" w:hAnsi="Arial" w:cs="Arial"/>
                <w:color w:val="000000"/>
              </w:rPr>
              <w:t>343.4373</w:t>
            </w:r>
          </w:p>
        </w:tc>
        <w:tc>
          <w:tcPr>
            <w:tcW w:w="1051" w:type="dxa"/>
            <w:tcBorders>
              <w:top w:val="nil"/>
              <w:left w:val="nil"/>
              <w:bottom w:val="nil"/>
              <w:right w:val="nil"/>
            </w:tcBorders>
            <w:noWrap/>
            <w:vAlign w:val="center"/>
            <w:hideMark/>
          </w:tcPr>
          <w:p w14:paraId="4B68DC82" w14:textId="77777777" w:rsidR="0062256C" w:rsidRPr="004712A3" w:rsidRDefault="0062256C" w:rsidP="00584C9F">
            <w:pPr>
              <w:jc w:val="center"/>
              <w:rPr>
                <w:rFonts w:ascii="Arial" w:hAnsi="Arial" w:cs="Arial"/>
                <w:color w:val="000000"/>
              </w:rPr>
            </w:pPr>
            <w:r w:rsidRPr="004712A3">
              <w:rPr>
                <w:rFonts w:ascii="Arial" w:hAnsi="Arial" w:cs="Arial"/>
                <w:color w:val="000000"/>
              </w:rPr>
              <w:t>3</w:t>
            </w:r>
          </w:p>
        </w:tc>
        <w:tc>
          <w:tcPr>
            <w:tcW w:w="1170" w:type="dxa"/>
            <w:tcBorders>
              <w:top w:val="nil"/>
              <w:left w:val="nil"/>
              <w:bottom w:val="nil"/>
              <w:right w:val="nil"/>
            </w:tcBorders>
            <w:noWrap/>
            <w:vAlign w:val="center"/>
            <w:hideMark/>
          </w:tcPr>
          <w:p w14:paraId="10E0535A" w14:textId="77777777" w:rsidR="0062256C" w:rsidRPr="004712A3" w:rsidRDefault="0062256C" w:rsidP="00584C9F">
            <w:pPr>
              <w:jc w:val="center"/>
              <w:rPr>
                <w:rFonts w:ascii="Arial" w:hAnsi="Arial" w:cs="Arial"/>
                <w:color w:val="000000"/>
              </w:rPr>
            </w:pPr>
            <w:r w:rsidRPr="004712A3">
              <w:rPr>
                <w:rFonts w:ascii="Arial" w:hAnsi="Arial" w:cs="Arial"/>
                <w:color w:val="000000"/>
              </w:rPr>
              <w:t>114.4791</w:t>
            </w:r>
          </w:p>
        </w:tc>
        <w:tc>
          <w:tcPr>
            <w:tcW w:w="1058" w:type="dxa"/>
            <w:tcBorders>
              <w:top w:val="nil"/>
              <w:left w:val="nil"/>
              <w:bottom w:val="nil"/>
              <w:right w:val="nil"/>
            </w:tcBorders>
            <w:noWrap/>
            <w:vAlign w:val="center"/>
            <w:hideMark/>
          </w:tcPr>
          <w:p w14:paraId="08EA5B4C" w14:textId="77777777" w:rsidR="0062256C" w:rsidRPr="004712A3" w:rsidRDefault="0062256C" w:rsidP="00584C9F">
            <w:pPr>
              <w:jc w:val="center"/>
              <w:rPr>
                <w:rFonts w:ascii="Arial" w:hAnsi="Arial" w:cs="Arial"/>
                <w:color w:val="000000"/>
              </w:rPr>
            </w:pPr>
            <w:r w:rsidRPr="004712A3">
              <w:rPr>
                <w:rFonts w:ascii="Arial" w:hAnsi="Arial" w:cs="Arial"/>
                <w:color w:val="000000"/>
              </w:rPr>
              <w:t>17.72415</w:t>
            </w:r>
          </w:p>
        </w:tc>
        <w:tc>
          <w:tcPr>
            <w:tcW w:w="1051" w:type="dxa"/>
            <w:tcBorders>
              <w:top w:val="nil"/>
              <w:left w:val="nil"/>
              <w:bottom w:val="nil"/>
              <w:right w:val="nil"/>
            </w:tcBorders>
            <w:noWrap/>
            <w:vAlign w:val="center"/>
            <w:hideMark/>
          </w:tcPr>
          <w:p w14:paraId="21BD1D8C" w14:textId="77777777" w:rsidR="0062256C" w:rsidRPr="004712A3" w:rsidRDefault="0062256C" w:rsidP="00584C9F">
            <w:pPr>
              <w:jc w:val="center"/>
              <w:rPr>
                <w:rFonts w:ascii="Arial" w:hAnsi="Arial" w:cs="Arial"/>
                <w:color w:val="000000"/>
              </w:rPr>
            </w:pPr>
            <w:r w:rsidRPr="004712A3">
              <w:rPr>
                <w:rFonts w:ascii="Arial" w:hAnsi="Arial" w:cs="Arial"/>
                <w:color w:val="000000"/>
              </w:rPr>
              <w:t>0.000406</w:t>
            </w:r>
          </w:p>
        </w:tc>
        <w:tc>
          <w:tcPr>
            <w:tcW w:w="1238" w:type="dxa"/>
            <w:tcBorders>
              <w:top w:val="nil"/>
              <w:left w:val="nil"/>
              <w:bottom w:val="nil"/>
              <w:right w:val="nil"/>
            </w:tcBorders>
            <w:noWrap/>
            <w:vAlign w:val="center"/>
            <w:hideMark/>
          </w:tcPr>
          <w:p w14:paraId="6F233A68" w14:textId="77777777" w:rsidR="0062256C" w:rsidRPr="004712A3" w:rsidRDefault="0062256C" w:rsidP="00584C9F">
            <w:pPr>
              <w:jc w:val="center"/>
              <w:rPr>
                <w:rFonts w:ascii="Arial" w:hAnsi="Arial" w:cs="Arial"/>
                <w:color w:val="000000"/>
              </w:rPr>
            </w:pPr>
            <w:r w:rsidRPr="004712A3">
              <w:rPr>
                <w:rFonts w:ascii="Arial" w:hAnsi="Arial" w:cs="Arial"/>
                <w:color w:val="000000"/>
              </w:rPr>
              <w:t>3.862548</w:t>
            </w:r>
          </w:p>
        </w:tc>
      </w:tr>
      <w:tr w:rsidR="004712A3" w:rsidRPr="004712A3" w14:paraId="1441C62A" w14:textId="77777777" w:rsidTr="00401008">
        <w:trPr>
          <w:trHeight w:val="300"/>
        </w:trPr>
        <w:tc>
          <w:tcPr>
            <w:tcW w:w="571" w:type="dxa"/>
            <w:tcBorders>
              <w:top w:val="nil"/>
              <w:left w:val="nil"/>
              <w:bottom w:val="nil"/>
              <w:right w:val="nil"/>
            </w:tcBorders>
            <w:noWrap/>
            <w:vAlign w:val="center"/>
            <w:hideMark/>
          </w:tcPr>
          <w:p w14:paraId="38C672FD"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30363877" w14:textId="77777777" w:rsidR="0062256C" w:rsidRPr="004712A3" w:rsidRDefault="0062256C" w:rsidP="00584C9F">
            <w:pPr>
              <w:jc w:val="center"/>
              <w:rPr>
                <w:rFonts w:ascii="Arial" w:hAnsi="Arial" w:cs="Arial"/>
                <w:color w:val="000000"/>
              </w:rPr>
            </w:pPr>
            <w:r w:rsidRPr="004712A3">
              <w:rPr>
                <w:rFonts w:ascii="Arial" w:hAnsi="Arial" w:cs="Arial"/>
                <w:color w:val="000000"/>
              </w:rPr>
              <w:t>Columns</w:t>
            </w:r>
          </w:p>
        </w:tc>
        <w:tc>
          <w:tcPr>
            <w:tcW w:w="1051" w:type="dxa"/>
            <w:tcBorders>
              <w:top w:val="nil"/>
              <w:left w:val="nil"/>
              <w:bottom w:val="nil"/>
              <w:right w:val="nil"/>
            </w:tcBorders>
            <w:noWrap/>
            <w:vAlign w:val="center"/>
            <w:hideMark/>
          </w:tcPr>
          <w:p w14:paraId="2B20FDEE" w14:textId="77777777" w:rsidR="0062256C" w:rsidRPr="004712A3" w:rsidRDefault="0062256C" w:rsidP="00584C9F">
            <w:pPr>
              <w:jc w:val="center"/>
              <w:rPr>
                <w:rFonts w:ascii="Arial" w:hAnsi="Arial" w:cs="Arial"/>
                <w:color w:val="000000"/>
              </w:rPr>
            </w:pPr>
            <w:r w:rsidRPr="004712A3">
              <w:rPr>
                <w:rFonts w:ascii="Arial" w:hAnsi="Arial" w:cs="Arial"/>
                <w:color w:val="000000"/>
              </w:rPr>
              <w:t>16.60404</w:t>
            </w:r>
          </w:p>
        </w:tc>
        <w:tc>
          <w:tcPr>
            <w:tcW w:w="1051" w:type="dxa"/>
            <w:tcBorders>
              <w:top w:val="nil"/>
              <w:left w:val="nil"/>
              <w:bottom w:val="nil"/>
              <w:right w:val="nil"/>
            </w:tcBorders>
            <w:noWrap/>
            <w:vAlign w:val="center"/>
            <w:hideMark/>
          </w:tcPr>
          <w:p w14:paraId="2BBA5EFD" w14:textId="77777777" w:rsidR="0062256C" w:rsidRPr="004712A3" w:rsidRDefault="0062256C" w:rsidP="00584C9F">
            <w:pPr>
              <w:jc w:val="center"/>
              <w:rPr>
                <w:rFonts w:ascii="Arial" w:hAnsi="Arial" w:cs="Arial"/>
                <w:color w:val="000000"/>
              </w:rPr>
            </w:pPr>
            <w:r w:rsidRPr="004712A3">
              <w:rPr>
                <w:rFonts w:ascii="Arial" w:hAnsi="Arial" w:cs="Arial"/>
                <w:color w:val="000000"/>
              </w:rPr>
              <w:t>3</w:t>
            </w:r>
          </w:p>
        </w:tc>
        <w:tc>
          <w:tcPr>
            <w:tcW w:w="1170" w:type="dxa"/>
            <w:tcBorders>
              <w:top w:val="nil"/>
              <w:left w:val="nil"/>
              <w:bottom w:val="nil"/>
              <w:right w:val="nil"/>
            </w:tcBorders>
            <w:noWrap/>
            <w:vAlign w:val="center"/>
            <w:hideMark/>
          </w:tcPr>
          <w:p w14:paraId="27DAED59" w14:textId="77777777" w:rsidR="0062256C" w:rsidRPr="004712A3" w:rsidRDefault="0062256C" w:rsidP="00584C9F">
            <w:pPr>
              <w:jc w:val="center"/>
              <w:rPr>
                <w:rFonts w:ascii="Arial" w:hAnsi="Arial" w:cs="Arial"/>
                <w:color w:val="000000"/>
              </w:rPr>
            </w:pPr>
            <w:r w:rsidRPr="004712A3">
              <w:rPr>
                <w:rFonts w:ascii="Arial" w:hAnsi="Arial" w:cs="Arial"/>
                <w:color w:val="000000"/>
              </w:rPr>
              <w:t>5.534679</w:t>
            </w:r>
          </w:p>
        </w:tc>
        <w:tc>
          <w:tcPr>
            <w:tcW w:w="1058" w:type="dxa"/>
            <w:tcBorders>
              <w:top w:val="nil"/>
              <w:left w:val="nil"/>
              <w:bottom w:val="nil"/>
              <w:right w:val="nil"/>
            </w:tcBorders>
            <w:noWrap/>
            <w:vAlign w:val="center"/>
            <w:hideMark/>
          </w:tcPr>
          <w:p w14:paraId="14D03638" w14:textId="77777777" w:rsidR="0062256C" w:rsidRPr="004712A3" w:rsidRDefault="0062256C" w:rsidP="00584C9F">
            <w:pPr>
              <w:jc w:val="center"/>
              <w:rPr>
                <w:rFonts w:ascii="Arial" w:hAnsi="Arial" w:cs="Arial"/>
                <w:color w:val="000000"/>
              </w:rPr>
            </w:pPr>
            <w:r w:rsidRPr="004712A3">
              <w:rPr>
                <w:rFonts w:ascii="Arial" w:hAnsi="Arial" w:cs="Arial"/>
                <w:color w:val="000000"/>
              </w:rPr>
              <w:t>0.856903</w:t>
            </w:r>
          </w:p>
        </w:tc>
        <w:tc>
          <w:tcPr>
            <w:tcW w:w="1051" w:type="dxa"/>
            <w:tcBorders>
              <w:top w:val="nil"/>
              <w:left w:val="nil"/>
              <w:bottom w:val="nil"/>
              <w:right w:val="nil"/>
            </w:tcBorders>
            <w:noWrap/>
            <w:vAlign w:val="center"/>
            <w:hideMark/>
          </w:tcPr>
          <w:p w14:paraId="12BCAF61" w14:textId="77777777" w:rsidR="0062256C" w:rsidRPr="004712A3" w:rsidRDefault="0062256C" w:rsidP="00584C9F">
            <w:pPr>
              <w:jc w:val="center"/>
              <w:rPr>
                <w:rFonts w:ascii="Arial" w:hAnsi="Arial" w:cs="Arial"/>
                <w:color w:val="000000"/>
              </w:rPr>
            </w:pPr>
            <w:r w:rsidRPr="004712A3">
              <w:rPr>
                <w:rFonts w:ascii="Arial" w:hAnsi="Arial" w:cs="Arial"/>
                <w:color w:val="000000"/>
              </w:rPr>
              <w:t>0.497597</w:t>
            </w:r>
          </w:p>
        </w:tc>
        <w:tc>
          <w:tcPr>
            <w:tcW w:w="1238" w:type="dxa"/>
            <w:tcBorders>
              <w:top w:val="nil"/>
              <w:left w:val="nil"/>
              <w:bottom w:val="nil"/>
              <w:right w:val="nil"/>
            </w:tcBorders>
            <w:noWrap/>
            <w:vAlign w:val="center"/>
            <w:hideMark/>
          </w:tcPr>
          <w:p w14:paraId="6BA0D615" w14:textId="77777777" w:rsidR="0062256C" w:rsidRPr="004712A3" w:rsidRDefault="0062256C" w:rsidP="00584C9F">
            <w:pPr>
              <w:jc w:val="center"/>
              <w:rPr>
                <w:rFonts w:ascii="Arial" w:hAnsi="Arial" w:cs="Arial"/>
                <w:color w:val="000000"/>
              </w:rPr>
            </w:pPr>
            <w:r w:rsidRPr="004712A3">
              <w:rPr>
                <w:rFonts w:ascii="Arial" w:hAnsi="Arial" w:cs="Arial"/>
                <w:color w:val="000000"/>
              </w:rPr>
              <w:t>3.862548</w:t>
            </w:r>
          </w:p>
        </w:tc>
      </w:tr>
      <w:tr w:rsidR="004712A3" w:rsidRPr="004712A3" w14:paraId="1F815204" w14:textId="77777777" w:rsidTr="00401008">
        <w:trPr>
          <w:trHeight w:val="300"/>
        </w:trPr>
        <w:tc>
          <w:tcPr>
            <w:tcW w:w="571" w:type="dxa"/>
            <w:tcBorders>
              <w:top w:val="nil"/>
              <w:left w:val="nil"/>
              <w:bottom w:val="nil"/>
              <w:right w:val="nil"/>
            </w:tcBorders>
            <w:noWrap/>
            <w:vAlign w:val="center"/>
            <w:hideMark/>
          </w:tcPr>
          <w:p w14:paraId="3A5BE757"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72C6C347" w14:textId="77777777" w:rsidR="0062256C" w:rsidRPr="004712A3" w:rsidRDefault="0062256C" w:rsidP="00584C9F">
            <w:pPr>
              <w:jc w:val="center"/>
              <w:rPr>
                <w:rFonts w:ascii="Arial" w:hAnsi="Arial" w:cs="Arial"/>
                <w:color w:val="000000"/>
              </w:rPr>
            </w:pPr>
            <w:r w:rsidRPr="004712A3">
              <w:rPr>
                <w:rFonts w:ascii="Arial" w:hAnsi="Arial" w:cs="Arial"/>
                <w:color w:val="000000"/>
              </w:rPr>
              <w:t>Error</w:t>
            </w:r>
          </w:p>
        </w:tc>
        <w:tc>
          <w:tcPr>
            <w:tcW w:w="1051" w:type="dxa"/>
            <w:tcBorders>
              <w:top w:val="nil"/>
              <w:left w:val="nil"/>
              <w:bottom w:val="nil"/>
              <w:right w:val="nil"/>
            </w:tcBorders>
            <w:noWrap/>
            <w:vAlign w:val="center"/>
            <w:hideMark/>
          </w:tcPr>
          <w:p w14:paraId="4E3E705B" w14:textId="77777777" w:rsidR="0062256C" w:rsidRPr="004712A3" w:rsidRDefault="0062256C" w:rsidP="00584C9F">
            <w:pPr>
              <w:jc w:val="center"/>
              <w:rPr>
                <w:rFonts w:ascii="Arial" w:hAnsi="Arial" w:cs="Arial"/>
                <w:color w:val="000000"/>
              </w:rPr>
            </w:pPr>
            <w:r w:rsidRPr="004712A3">
              <w:rPr>
                <w:rFonts w:ascii="Arial" w:hAnsi="Arial" w:cs="Arial"/>
                <w:color w:val="000000"/>
              </w:rPr>
              <w:t>58.13041</w:t>
            </w:r>
          </w:p>
        </w:tc>
        <w:tc>
          <w:tcPr>
            <w:tcW w:w="1051" w:type="dxa"/>
            <w:tcBorders>
              <w:top w:val="nil"/>
              <w:left w:val="nil"/>
              <w:bottom w:val="nil"/>
              <w:right w:val="nil"/>
            </w:tcBorders>
            <w:noWrap/>
            <w:vAlign w:val="center"/>
            <w:hideMark/>
          </w:tcPr>
          <w:p w14:paraId="4C692CBF" w14:textId="77777777" w:rsidR="0062256C" w:rsidRPr="004712A3" w:rsidRDefault="0062256C" w:rsidP="00584C9F">
            <w:pPr>
              <w:jc w:val="center"/>
              <w:rPr>
                <w:rFonts w:ascii="Arial" w:hAnsi="Arial" w:cs="Arial"/>
                <w:color w:val="000000"/>
              </w:rPr>
            </w:pPr>
            <w:r w:rsidRPr="004712A3">
              <w:rPr>
                <w:rFonts w:ascii="Arial" w:hAnsi="Arial" w:cs="Arial"/>
                <w:color w:val="000000"/>
              </w:rPr>
              <w:t>9</w:t>
            </w:r>
          </w:p>
        </w:tc>
        <w:tc>
          <w:tcPr>
            <w:tcW w:w="1170" w:type="dxa"/>
            <w:tcBorders>
              <w:top w:val="nil"/>
              <w:left w:val="nil"/>
              <w:bottom w:val="nil"/>
              <w:right w:val="nil"/>
            </w:tcBorders>
            <w:noWrap/>
            <w:vAlign w:val="center"/>
            <w:hideMark/>
          </w:tcPr>
          <w:p w14:paraId="79E6857B" w14:textId="77777777" w:rsidR="0062256C" w:rsidRPr="004712A3" w:rsidRDefault="0062256C" w:rsidP="00584C9F">
            <w:pPr>
              <w:jc w:val="center"/>
              <w:rPr>
                <w:rFonts w:ascii="Arial" w:hAnsi="Arial" w:cs="Arial"/>
                <w:color w:val="000000"/>
              </w:rPr>
            </w:pPr>
            <w:r w:rsidRPr="004712A3">
              <w:rPr>
                <w:rFonts w:ascii="Arial" w:hAnsi="Arial" w:cs="Arial"/>
                <w:color w:val="000000"/>
              </w:rPr>
              <w:t>6.458934</w:t>
            </w:r>
          </w:p>
        </w:tc>
        <w:tc>
          <w:tcPr>
            <w:tcW w:w="1058" w:type="dxa"/>
            <w:tcBorders>
              <w:top w:val="nil"/>
              <w:left w:val="nil"/>
              <w:bottom w:val="nil"/>
              <w:right w:val="nil"/>
            </w:tcBorders>
            <w:noWrap/>
            <w:vAlign w:val="center"/>
            <w:hideMark/>
          </w:tcPr>
          <w:p w14:paraId="1B9BC7AE"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42482BC3"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65C3B19A" w14:textId="77777777" w:rsidR="0062256C" w:rsidRPr="004712A3" w:rsidRDefault="0062256C" w:rsidP="00584C9F">
            <w:pPr>
              <w:jc w:val="center"/>
              <w:rPr>
                <w:rFonts w:ascii="Arial" w:hAnsi="Arial" w:cs="Arial"/>
                <w:color w:val="000000"/>
              </w:rPr>
            </w:pPr>
          </w:p>
        </w:tc>
      </w:tr>
      <w:tr w:rsidR="004712A3" w:rsidRPr="004712A3" w14:paraId="15AC07AA" w14:textId="77777777" w:rsidTr="00401008">
        <w:trPr>
          <w:trHeight w:val="300"/>
        </w:trPr>
        <w:tc>
          <w:tcPr>
            <w:tcW w:w="571" w:type="dxa"/>
            <w:tcBorders>
              <w:top w:val="nil"/>
              <w:left w:val="nil"/>
              <w:bottom w:val="nil"/>
              <w:right w:val="nil"/>
            </w:tcBorders>
            <w:noWrap/>
            <w:vAlign w:val="center"/>
            <w:hideMark/>
          </w:tcPr>
          <w:p w14:paraId="3F341A9A"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4CED53CC"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47B48862"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73E0F82E" w14:textId="77777777" w:rsidR="0062256C" w:rsidRPr="004712A3" w:rsidRDefault="0062256C" w:rsidP="00584C9F">
            <w:pPr>
              <w:jc w:val="center"/>
              <w:rPr>
                <w:rFonts w:ascii="Arial" w:hAnsi="Arial" w:cs="Arial"/>
                <w:color w:val="000000"/>
              </w:rPr>
            </w:pPr>
          </w:p>
        </w:tc>
        <w:tc>
          <w:tcPr>
            <w:tcW w:w="1170" w:type="dxa"/>
            <w:tcBorders>
              <w:top w:val="nil"/>
              <w:left w:val="nil"/>
              <w:bottom w:val="nil"/>
              <w:right w:val="nil"/>
            </w:tcBorders>
            <w:noWrap/>
            <w:vAlign w:val="center"/>
            <w:hideMark/>
          </w:tcPr>
          <w:p w14:paraId="189E0216" w14:textId="77777777" w:rsidR="0062256C" w:rsidRPr="004712A3" w:rsidRDefault="0062256C" w:rsidP="00584C9F">
            <w:pPr>
              <w:jc w:val="center"/>
              <w:rPr>
                <w:rFonts w:ascii="Arial" w:hAnsi="Arial" w:cs="Arial"/>
                <w:color w:val="000000"/>
              </w:rPr>
            </w:pPr>
          </w:p>
        </w:tc>
        <w:tc>
          <w:tcPr>
            <w:tcW w:w="1058" w:type="dxa"/>
            <w:tcBorders>
              <w:top w:val="nil"/>
              <w:left w:val="nil"/>
              <w:bottom w:val="nil"/>
              <w:right w:val="nil"/>
            </w:tcBorders>
            <w:noWrap/>
            <w:vAlign w:val="center"/>
            <w:hideMark/>
          </w:tcPr>
          <w:p w14:paraId="00C2C5C3"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4B296D0E"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0F499A2A" w14:textId="77777777" w:rsidR="0062256C" w:rsidRPr="004712A3" w:rsidRDefault="0062256C" w:rsidP="00584C9F">
            <w:pPr>
              <w:jc w:val="center"/>
              <w:rPr>
                <w:rFonts w:ascii="Arial" w:hAnsi="Arial" w:cs="Arial"/>
                <w:color w:val="000000"/>
              </w:rPr>
            </w:pPr>
          </w:p>
        </w:tc>
      </w:tr>
      <w:tr w:rsidR="004712A3" w:rsidRPr="004712A3" w14:paraId="170AD81A" w14:textId="77777777" w:rsidTr="00401008">
        <w:trPr>
          <w:trHeight w:val="315"/>
        </w:trPr>
        <w:tc>
          <w:tcPr>
            <w:tcW w:w="571" w:type="dxa"/>
            <w:tcBorders>
              <w:top w:val="nil"/>
              <w:left w:val="nil"/>
              <w:bottom w:val="nil"/>
              <w:right w:val="nil"/>
            </w:tcBorders>
            <w:noWrap/>
            <w:vAlign w:val="center"/>
            <w:hideMark/>
          </w:tcPr>
          <w:p w14:paraId="03AEC666" w14:textId="77777777" w:rsidR="0062256C" w:rsidRPr="004712A3" w:rsidRDefault="0062256C" w:rsidP="00584C9F">
            <w:pPr>
              <w:jc w:val="center"/>
              <w:rPr>
                <w:rFonts w:ascii="Arial" w:hAnsi="Arial" w:cs="Arial"/>
                <w:color w:val="000000"/>
              </w:rPr>
            </w:pPr>
          </w:p>
        </w:tc>
        <w:tc>
          <w:tcPr>
            <w:tcW w:w="1329" w:type="dxa"/>
            <w:tcBorders>
              <w:top w:val="nil"/>
              <w:left w:val="nil"/>
              <w:bottom w:val="single" w:sz="8" w:space="0" w:color="auto"/>
              <w:right w:val="nil"/>
            </w:tcBorders>
            <w:noWrap/>
            <w:vAlign w:val="center"/>
            <w:hideMark/>
          </w:tcPr>
          <w:p w14:paraId="62FDEF06" w14:textId="77777777" w:rsidR="0062256C" w:rsidRPr="004712A3" w:rsidRDefault="0062256C" w:rsidP="00584C9F">
            <w:pPr>
              <w:jc w:val="center"/>
              <w:rPr>
                <w:rFonts w:ascii="Arial" w:hAnsi="Arial" w:cs="Arial"/>
                <w:color w:val="000000"/>
              </w:rPr>
            </w:pPr>
            <w:r w:rsidRPr="004712A3">
              <w:rPr>
                <w:rFonts w:ascii="Arial" w:hAnsi="Arial" w:cs="Arial"/>
                <w:color w:val="000000"/>
              </w:rPr>
              <w:t>Total</w:t>
            </w:r>
          </w:p>
        </w:tc>
        <w:tc>
          <w:tcPr>
            <w:tcW w:w="1051" w:type="dxa"/>
            <w:tcBorders>
              <w:top w:val="nil"/>
              <w:left w:val="nil"/>
              <w:bottom w:val="single" w:sz="8" w:space="0" w:color="auto"/>
              <w:right w:val="nil"/>
            </w:tcBorders>
            <w:noWrap/>
            <w:vAlign w:val="center"/>
            <w:hideMark/>
          </w:tcPr>
          <w:p w14:paraId="42C7AD52" w14:textId="77777777" w:rsidR="0062256C" w:rsidRPr="004712A3" w:rsidRDefault="0062256C" w:rsidP="00584C9F">
            <w:pPr>
              <w:jc w:val="center"/>
              <w:rPr>
                <w:rFonts w:ascii="Arial" w:hAnsi="Arial" w:cs="Arial"/>
                <w:color w:val="000000"/>
              </w:rPr>
            </w:pPr>
            <w:r w:rsidRPr="004712A3">
              <w:rPr>
                <w:rFonts w:ascii="Arial" w:hAnsi="Arial" w:cs="Arial"/>
                <w:color w:val="000000"/>
              </w:rPr>
              <w:t>418.1718</w:t>
            </w:r>
          </w:p>
        </w:tc>
        <w:tc>
          <w:tcPr>
            <w:tcW w:w="1051" w:type="dxa"/>
            <w:tcBorders>
              <w:top w:val="nil"/>
              <w:left w:val="nil"/>
              <w:bottom w:val="single" w:sz="8" w:space="0" w:color="auto"/>
              <w:right w:val="nil"/>
            </w:tcBorders>
            <w:noWrap/>
            <w:vAlign w:val="center"/>
            <w:hideMark/>
          </w:tcPr>
          <w:p w14:paraId="0150EB19" w14:textId="77777777" w:rsidR="0062256C" w:rsidRPr="004712A3" w:rsidRDefault="0062256C" w:rsidP="00584C9F">
            <w:pPr>
              <w:jc w:val="center"/>
              <w:rPr>
                <w:rFonts w:ascii="Arial" w:hAnsi="Arial" w:cs="Arial"/>
                <w:color w:val="000000"/>
              </w:rPr>
            </w:pPr>
            <w:r w:rsidRPr="004712A3">
              <w:rPr>
                <w:rFonts w:ascii="Arial" w:hAnsi="Arial" w:cs="Arial"/>
                <w:color w:val="000000"/>
              </w:rPr>
              <w:t>15</w:t>
            </w:r>
          </w:p>
        </w:tc>
        <w:tc>
          <w:tcPr>
            <w:tcW w:w="1170" w:type="dxa"/>
            <w:tcBorders>
              <w:top w:val="nil"/>
              <w:left w:val="nil"/>
              <w:bottom w:val="single" w:sz="8" w:space="0" w:color="auto"/>
              <w:right w:val="nil"/>
            </w:tcBorders>
            <w:noWrap/>
            <w:vAlign w:val="center"/>
            <w:hideMark/>
          </w:tcPr>
          <w:p w14:paraId="1857DC6D" w14:textId="77777777" w:rsidR="0062256C" w:rsidRPr="004712A3" w:rsidRDefault="0062256C" w:rsidP="00584C9F">
            <w:pPr>
              <w:jc w:val="center"/>
              <w:rPr>
                <w:rFonts w:ascii="Arial" w:hAnsi="Arial" w:cs="Arial"/>
                <w:color w:val="000000"/>
              </w:rPr>
            </w:pPr>
          </w:p>
        </w:tc>
        <w:tc>
          <w:tcPr>
            <w:tcW w:w="1058" w:type="dxa"/>
            <w:tcBorders>
              <w:top w:val="nil"/>
              <w:left w:val="nil"/>
              <w:bottom w:val="single" w:sz="8" w:space="0" w:color="auto"/>
              <w:right w:val="nil"/>
            </w:tcBorders>
            <w:noWrap/>
            <w:vAlign w:val="center"/>
            <w:hideMark/>
          </w:tcPr>
          <w:p w14:paraId="7DAFF9DE" w14:textId="77777777" w:rsidR="0062256C" w:rsidRPr="004712A3" w:rsidRDefault="0062256C" w:rsidP="00584C9F">
            <w:pPr>
              <w:jc w:val="center"/>
              <w:rPr>
                <w:rFonts w:ascii="Arial" w:hAnsi="Arial" w:cs="Arial"/>
                <w:color w:val="000000"/>
              </w:rPr>
            </w:pPr>
          </w:p>
        </w:tc>
        <w:tc>
          <w:tcPr>
            <w:tcW w:w="1051" w:type="dxa"/>
            <w:tcBorders>
              <w:top w:val="nil"/>
              <w:left w:val="nil"/>
              <w:bottom w:val="single" w:sz="8" w:space="0" w:color="auto"/>
              <w:right w:val="nil"/>
            </w:tcBorders>
            <w:noWrap/>
            <w:vAlign w:val="center"/>
            <w:hideMark/>
          </w:tcPr>
          <w:p w14:paraId="6311AECC" w14:textId="77777777" w:rsidR="0062256C" w:rsidRPr="004712A3" w:rsidRDefault="0062256C" w:rsidP="00584C9F">
            <w:pPr>
              <w:jc w:val="center"/>
              <w:rPr>
                <w:rFonts w:ascii="Arial" w:hAnsi="Arial" w:cs="Arial"/>
                <w:color w:val="000000"/>
              </w:rPr>
            </w:pPr>
          </w:p>
        </w:tc>
        <w:tc>
          <w:tcPr>
            <w:tcW w:w="1238" w:type="dxa"/>
            <w:tcBorders>
              <w:top w:val="nil"/>
              <w:left w:val="nil"/>
              <w:bottom w:val="single" w:sz="8" w:space="0" w:color="auto"/>
              <w:right w:val="nil"/>
            </w:tcBorders>
            <w:noWrap/>
            <w:vAlign w:val="center"/>
            <w:hideMark/>
          </w:tcPr>
          <w:p w14:paraId="386BB4FB" w14:textId="77777777" w:rsidR="0062256C" w:rsidRPr="004712A3" w:rsidRDefault="0062256C" w:rsidP="00584C9F">
            <w:pPr>
              <w:jc w:val="center"/>
              <w:rPr>
                <w:rFonts w:ascii="Arial" w:hAnsi="Arial" w:cs="Arial"/>
                <w:color w:val="000000"/>
              </w:rPr>
            </w:pPr>
          </w:p>
        </w:tc>
      </w:tr>
    </w:tbl>
    <w:p w14:paraId="16112BE6" w14:textId="77777777" w:rsidR="00472EE4" w:rsidRDefault="00B81577" w:rsidP="00331BD0">
      <w:pPr>
        <w:pStyle w:val="NormalWeb"/>
        <w:spacing w:line="276" w:lineRule="auto"/>
        <w:jc w:val="both"/>
        <w:rPr>
          <w:rFonts w:ascii="Arial" w:hAnsi="Arial" w:cs="Arial"/>
          <w:sz w:val="20"/>
        </w:rPr>
      </w:pPr>
      <w:r w:rsidRPr="00B81577">
        <w:rPr>
          <w:rFonts w:ascii="Arial" w:hAnsi="Arial" w:cs="Arial"/>
          <w:sz w:val="20"/>
        </w:rPr>
        <w:t>The results of the two-way analysis of variance without replication showed that the type of metal has a statistically significant effect on removal efficiency (F=17.72 &gt; Fcrit =3.86; p= 0.00041), whereas the effect of flow rate within the investigated range was not statistically significant (p=0.498). The observed differences in removal efficiency among the metals can be attributed to their distinct chemical properties and their tendency toward hydroxide precipitation. The lowest average efficiency values were recorded for Pb</w:t>
      </w:r>
      <w:r w:rsidR="002430F0">
        <w:rPr>
          <w:rFonts w:ascii="Arial" w:hAnsi="Arial" w:cs="Arial"/>
          <w:sz w:val="20"/>
        </w:rPr>
        <w:t>(II)</w:t>
      </w:r>
      <w:r w:rsidRPr="00B81577">
        <w:rPr>
          <w:rFonts w:ascii="Arial" w:hAnsi="Arial" w:cs="Arial"/>
          <w:sz w:val="20"/>
        </w:rPr>
        <w:t>, while Cu</w:t>
      </w:r>
      <w:r w:rsidR="002430F0">
        <w:rPr>
          <w:rFonts w:ascii="Arial" w:hAnsi="Arial" w:cs="Arial"/>
          <w:sz w:val="20"/>
        </w:rPr>
        <w:t>(II)</w:t>
      </w:r>
      <w:r w:rsidRPr="00B81577">
        <w:rPr>
          <w:rFonts w:ascii="Arial" w:hAnsi="Arial" w:cs="Arial"/>
          <w:sz w:val="20"/>
        </w:rPr>
        <w:t xml:space="preserve"> and Zn</w:t>
      </w:r>
      <w:r w:rsidR="002430F0">
        <w:rPr>
          <w:rFonts w:ascii="Arial" w:hAnsi="Arial" w:cs="Arial"/>
          <w:sz w:val="20"/>
        </w:rPr>
        <w:t>(II)</w:t>
      </w:r>
      <w:r w:rsidRPr="00B81577">
        <w:rPr>
          <w:rFonts w:ascii="Arial" w:hAnsi="Arial" w:cs="Arial"/>
          <w:sz w:val="20"/>
        </w:rPr>
        <w:t xml:space="preserve"> exhibited high and stable removal efficiencies with minimal variability in the results. Ni</w:t>
      </w:r>
      <w:r w:rsidR="002430F0">
        <w:rPr>
          <w:rFonts w:ascii="Arial" w:hAnsi="Arial" w:cs="Arial"/>
          <w:sz w:val="20"/>
        </w:rPr>
        <w:t>(II)</w:t>
      </w:r>
      <w:r w:rsidRPr="00B81577">
        <w:rPr>
          <w:rFonts w:ascii="Arial" w:hAnsi="Arial" w:cs="Arial"/>
          <w:sz w:val="20"/>
        </w:rPr>
        <w:t xml:space="preserve"> achieved intermediate efficiency values compared to the other metals.</w:t>
      </w:r>
    </w:p>
    <w:p w14:paraId="2BCDD0DA" w14:textId="77777777" w:rsidR="002B5A64" w:rsidRDefault="002B5A64" w:rsidP="00331BD0">
      <w:pPr>
        <w:pStyle w:val="NormalWeb"/>
        <w:spacing w:line="276" w:lineRule="auto"/>
        <w:jc w:val="both"/>
        <w:rPr>
          <w:rFonts w:ascii="Arial" w:hAnsi="Arial" w:cs="Arial"/>
          <w:sz w:val="20"/>
        </w:rPr>
      </w:pPr>
    </w:p>
    <w:tbl>
      <w:tblPr>
        <w:tblW w:w="8249" w:type="dxa"/>
        <w:jc w:val="center"/>
        <w:tblLook w:val="04A0" w:firstRow="1" w:lastRow="0" w:firstColumn="1" w:lastColumn="0" w:noHBand="0" w:noVBand="1"/>
      </w:tblPr>
      <w:tblGrid>
        <w:gridCol w:w="1051"/>
        <w:gridCol w:w="676"/>
        <w:gridCol w:w="263"/>
        <w:gridCol w:w="788"/>
        <w:gridCol w:w="263"/>
        <w:gridCol w:w="676"/>
        <w:gridCol w:w="375"/>
        <w:gridCol w:w="676"/>
        <w:gridCol w:w="703"/>
        <w:gridCol w:w="348"/>
        <w:gridCol w:w="703"/>
        <w:gridCol w:w="676"/>
        <w:gridCol w:w="1051"/>
      </w:tblGrid>
      <w:tr w:rsidR="003414D4" w:rsidRPr="00B81577" w14:paraId="3F8FB935" w14:textId="77777777" w:rsidTr="003414D4">
        <w:trPr>
          <w:trHeight w:val="300"/>
          <w:jc w:val="center"/>
        </w:trPr>
        <w:tc>
          <w:tcPr>
            <w:tcW w:w="8249" w:type="dxa"/>
            <w:gridSpan w:val="13"/>
            <w:noWrap/>
            <w:vAlign w:val="center"/>
            <w:hideMark/>
          </w:tcPr>
          <w:p w14:paraId="11D1FAD0" w14:textId="77777777" w:rsidR="003414D4" w:rsidRPr="003414D4" w:rsidRDefault="003414D4" w:rsidP="003414D4">
            <w:pPr>
              <w:jc w:val="center"/>
              <w:rPr>
                <w:rFonts w:ascii="Arial" w:hAnsi="Arial" w:cs="Arial"/>
                <w:b/>
                <w:color w:val="000000"/>
              </w:rPr>
            </w:pPr>
            <w:r w:rsidRPr="003414D4">
              <w:rPr>
                <w:rFonts w:ascii="Arial" w:hAnsi="Arial" w:cs="Arial"/>
                <w:b/>
                <w:color w:val="000000"/>
              </w:rPr>
              <w:t xml:space="preserve">Table 2. Results of the two-way analysis of variance (ANOVA) without replication assessing the influence of metal type and </w:t>
            </w:r>
            <w:r>
              <w:rPr>
                <w:rFonts w:ascii="Arial" w:hAnsi="Arial" w:cs="Arial"/>
                <w:b/>
                <w:color w:val="000000"/>
              </w:rPr>
              <w:t xml:space="preserve">stirring time </w:t>
            </w:r>
            <w:r w:rsidRPr="003414D4">
              <w:rPr>
                <w:rFonts w:ascii="Arial" w:hAnsi="Arial" w:cs="Arial"/>
                <w:b/>
                <w:color w:val="000000"/>
              </w:rPr>
              <w:t xml:space="preserve">on removal efficiency in </w:t>
            </w:r>
            <w:r>
              <w:rPr>
                <w:rFonts w:ascii="Arial" w:hAnsi="Arial" w:cs="Arial"/>
                <w:b/>
                <w:color w:val="000000"/>
              </w:rPr>
              <w:t>mono</w:t>
            </w:r>
            <w:r w:rsidRPr="003414D4">
              <w:rPr>
                <w:rFonts w:ascii="Arial" w:hAnsi="Arial" w:cs="Arial"/>
                <w:b/>
                <w:color w:val="000000"/>
              </w:rPr>
              <w:t>component metal solutions.</w:t>
            </w:r>
          </w:p>
        </w:tc>
      </w:tr>
      <w:tr w:rsidR="004712A3" w:rsidRPr="00B81577" w14:paraId="7D0869FE" w14:textId="77777777" w:rsidTr="004712A3">
        <w:trPr>
          <w:gridAfter w:val="2"/>
          <w:wAfter w:w="1727" w:type="dxa"/>
          <w:trHeight w:val="315"/>
          <w:jc w:val="center"/>
        </w:trPr>
        <w:tc>
          <w:tcPr>
            <w:tcW w:w="1051" w:type="dxa"/>
            <w:tcBorders>
              <w:top w:val="nil"/>
              <w:left w:val="nil"/>
              <w:bottom w:val="nil"/>
              <w:right w:val="nil"/>
            </w:tcBorders>
            <w:noWrap/>
            <w:vAlign w:val="center"/>
            <w:hideMark/>
          </w:tcPr>
          <w:p w14:paraId="07C0F036" w14:textId="77777777" w:rsidR="004712A3" w:rsidRPr="00B81577" w:rsidRDefault="004712A3" w:rsidP="004712A3">
            <w:pPr>
              <w:jc w:val="center"/>
              <w:rPr>
                <w:rFonts w:ascii="Arial" w:hAnsi="Arial" w:cs="Arial"/>
                <w:color w:val="000000"/>
              </w:rPr>
            </w:pPr>
          </w:p>
        </w:tc>
        <w:tc>
          <w:tcPr>
            <w:tcW w:w="939" w:type="dxa"/>
            <w:gridSpan w:val="2"/>
            <w:tcBorders>
              <w:top w:val="nil"/>
              <w:left w:val="nil"/>
              <w:bottom w:val="nil"/>
              <w:right w:val="nil"/>
            </w:tcBorders>
            <w:noWrap/>
            <w:vAlign w:val="center"/>
            <w:hideMark/>
          </w:tcPr>
          <w:p w14:paraId="0FCC05D0" w14:textId="77777777" w:rsidR="004712A3" w:rsidRPr="00B81577" w:rsidRDefault="004712A3"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2107A6E6" w14:textId="77777777" w:rsidR="004712A3" w:rsidRPr="00B81577" w:rsidRDefault="004712A3"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3D9A9115" w14:textId="77777777" w:rsidR="004712A3" w:rsidRPr="00B81577" w:rsidRDefault="004712A3"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6DBCB010" w14:textId="77777777" w:rsidR="004712A3" w:rsidRPr="00B81577" w:rsidRDefault="004712A3"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7ABB430E" w14:textId="77777777" w:rsidR="004712A3" w:rsidRPr="00B81577" w:rsidRDefault="004712A3" w:rsidP="004712A3">
            <w:pPr>
              <w:jc w:val="center"/>
              <w:rPr>
                <w:rFonts w:ascii="Arial" w:hAnsi="Arial" w:cs="Arial"/>
                <w:color w:val="000000"/>
              </w:rPr>
            </w:pPr>
          </w:p>
        </w:tc>
      </w:tr>
      <w:tr w:rsidR="00B81577" w:rsidRPr="00B81577" w14:paraId="767AD92C" w14:textId="77777777" w:rsidTr="004712A3">
        <w:trPr>
          <w:trHeight w:val="300"/>
          <w:jc w:val="center"/>
        </w:trPr>
        <w:tc>
          <w:tcPr>
            <w:tcW w:w="1727" w:type="dxa"/>
            <w:gridSpan w:val="2"/>
            <w:tcBorders>
              <w:top w:val="single" w:sz="8" w:space="0" w:color="auto"/>
              <w:left w:val="nil"/>
              <w:bottom w:val="single" w:sz="4" w:space="0" w:color="auto"/>
              <w:right w:val="nil"/>
            </w:tcBorders>
            <w:noWrap/>
            <w:vAlign w:val="center"/>
            <w:hideMark/>
          </w:tcPr>
          <w:p w14:paraId="46D7237E"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SUMMARY</w:t>
            </w:r>
          </w:p>
        </w:tc>
        <w:tc>
          <w:tcPr>
            <w:tcW w:w="1051" w:type="dxa"/>
            <w:gridSpan w:val="2"/>
            <w:tcBorders>
              <w:top w:val="single" w:sz="8" w:space="0" w:color="auto"/>
              <w:left w:val="nil"/>
              <w:bottom w:val="single" w:sz="4" w:space="0" w:color="auto"/>
              <w:right w:val="nil"/>
            </w:tcBorders>
            <w:noWrap/>
            <w:vAlign w:val="center"/>
            <w:hideMark/>
          </w:tcPr>
          <w:p w14:paraId="46797A1B"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Count</w:t>
            </w:r>
          </w:p>
        </w:tc>
        <w:tc>
          <w:tcPr>
            <w:tcW w:w="939" w:type="dxa"/>
            <w:gridSpan w:val="2"/>
            <w:tcBorders>
              <w:top w:val="single" w:sz="8" w:space="0" w:color="auto"/>
              <w:left w:val="nil"/>
              <w:bottom w:val="single" w:sz="4" w:space="0" w:color="auto"/>
              <w:right w:val="nil"/>
            </w:tcBorders>
            <w:noWrap/>
            <w:vAlign w:val="center"/>
            <w:hideMark/>
          </w:tcPr>
          <w:p w14:paraId="3D4E35C6"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Sum</w:t>
            </w:r>
          </w:p>
        </w:tc>
        <w:tc>
          <w:tcPr>
            <w:tcW w:w="1051" w:type="dxa"/>
            <w:gridSpan w:val="2"/>
            <w:tcBorders>
              <w:top w:val="single" w:sz="8" w:space="0" w:color="auto"/>
              <w:left w:val="nil"/>
              <w:bottom w:val="single" w:sz="4" w:space="0" w:color="auto"/>
              <w:right w:val="nil"/>
            </w:tcBorders>
            <w:noWrap/>
            <w:vAlign w:val="center"/>
            <w:hideMark/>
          </w:tcPr>
          <w:p w14:paraId="7C71D035"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Average</w:t>
            </w:r>
          </w:p>
        </w:tc>
        <w:tc>
          <w:tcPr>
            <w:tcW w:w="1051" w:type="dxa"/>
            <w:gridSpan w:val="2"/>
            <w:tcBorders>
              <w:top w:val="single" w:sz="8" w:space="0" w:color="auto"/>
              <w:left w:val="nil"/>
              <w:bottom w:val="single" w:sz="4" w:space="0" w:color="auto"/>
              <w:right w:val="nil"/>
            </w:tcBorders>
            <w:noWrap/>
            <w:vAlign w:val="center"/>
            <w:hideMark/>
          </w:tcPr>
          <w:p w14:paraId="354D74F2"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Variance</w:t>
            </w:r>
          </w:p>
        </w:tc>
        <w:tc>
          <w:tcPr>
            <w:tcW w:w="1379" w:type="dxa"/>
            <w:gridSpan w:val="2"/>
            <w:tcBorders>
              <w:top w:val="nil"/>
              <w:left w:val="nil"/>
              <w:bottom w:val="nil"/>
              <w:right w:val="nil"/>
            </w:tcBorders>
            <w:noWrap/>
            <w:vAlign w:val="center"/>
            <w:hideMark/>
          </w:tcPr>
          <w:p w14:paraId="778C2CC5"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579E7EFF" w14:textId="77777777" w:rsidR="00B81577" w:rsidRPr="00B81577" w:rsidRDefault="00B81577" w:rsidP="004712A3">
            <w:pPr>
              <w:jc w:val="center"/>
              <w:rPr>
                <w:rFonts w:ascii="Arial" w:hAnsi="Arial" w:cs="Arial"/>
                <w:color w:val="000000"/>
              </w:rPr>
            </w:pPr>
          </w:p>
        </w:tc>
      </w:tr>
      <w:tr w:rsidR="00B81577" w:rsidRPr="00B81577" w14:paraId="5D2816EB" w14:textId="77777777" w:rsidTr="004712A3">
        <w:trPr>
          <w:trHeight w:val="300"/>
          <w:jc w:val="center"/>
        </w:trPr>
        <w:tc>
          <w:tcPr>
            <w:tcW w:w="1727" w:type="dxa"/>
            <w:gridSpan w:val="2"/>
            <w:tcBorders>
              <w:top w:val="nil"/>
              <w:left w:val="nil"/>
              <w:bottom w:val="nil"/>
              <w:right w:val="nil"/>
            </w:tcBorders>
            <w:noWrap/>
            <w:vAlign w:val="center"/>
            <w:hideMark/>
          </w:tcPr>
          <w:p w14:paraId="61EA5356" w14:textId="77777777" w:rsidR="00B81577" w:rsidRPr="00B81577" w:rsidRDefault="00B81577" w:rsidP="004712A3">
            <w:pPr>
              <w:jc w:val="center"/>
              <w:rPr>
                <w:rFonts w:ascii="Arial" w:hAnsi="Arial" w:cs="Arial"/>
                <w:color w:val="000000"/>
              </w:rPr>
            </w:pPr>
            <w:r w:rsidRPr="00B81577">
              <w:rPr>
                <w:rFonts w:ascii="Arial" w:hAnsi="Arial" w:cs="Arial"/>
                <w:color w:val="000000"/>
              </w:rPr>
              <w:t>Cu</w:t>
            </w:r>
          </w:p>
        </w:tc>
        <w:tc>
          <w:tcPr>
            <w:tcW w:w="1051" w:type="dxa"/>
            <w:gridSpan w:val="2"/>
            <w:tcBorders>
              <w:top w:val="nil"/>
              <w:left w:val="nil"/>
              <w:bottom w:val="nil"/>
              <w:right w:val="nil"/>
            </w:tcBorders>
            <w:noWrap/>
            <w:vAlign w:val="center"/>
            <w:hideMark/>
          </w:tcPr>
          <w:p w14:paraId="758BE8E0" w14:textId="77777777" w:rsidR="00B81577" w:rsidRPr="00B81577" w:rsidRDefault="00B81577" w:rsidP="004712A3">
            <w:pPr>
              <w:jc w:val="center"/>
              <w:rPr>
                <w:rFonts w:ascii="Arial" w:hAnsi="Arial" w:cs="Arial"/>
                <w:color w:val="000000"/>
              </w:rPr>
            </w:pPr>
            <w:r w:rsidRPr="00B81577">
              <w:rPr>
                <w:rFonts w:ascii="Arial" w:hAnsi="Arial" w:cs="Arial"/>
                <w:color w:val="000000"/>
              </w:rPr>
              <w:t>3</w:t>
            </w:r>
          </w:p>
        </w:tc>
        <w:tc>
          <w:tcPr>
            <w:tcW w:w="939" w:type="dxa"/>
            <w:gridSpan w:val="2"/>
            <w:tcBorders>
              <w:top w:val="nil"/>
              <w:left w:val="nil"/>
              <w:bottom w:val="nil"/>
              <w:right w:val="nil"/>
            </w:tcBorders>
            <w:noWrap/>
            <w:vAlign w:val="center"/>
            <w:hideMark/>
          </w:tcPr>
          <w:p w14:paraId="1371C307" w14:textId="77777777" w:rsidR="00B81577" w:rsidRPr="00B81577" w:rsidRDefault="00B81577" w:rsidP="004712A3">
            <w:pPr>
              <w:jc w:val="center"/>
              <w:rPr>
                <w:rFonts w:ascii="Arial" w:hAnsi="Arial" w:cs="Arial"/>
                <w:color w:val="000000"/>
              </w:rPr>
            </w:pPr>
            <w:r w:rsidRPr="00B81577">
              <w:rPr>
                <w:rFonts w:ascii="Arial" w:hAnsi="Arial" w:cs="Arial"/>
                <w:color w:val="000000"/>
              </w:rPr>
              <w:t>299.861</w:t>
            </w:r>
          </w:p>
        </w:tc>
        <w:tc>
          <w:tcPr>
            <w:tcW w:w="1051" w:type="dxa"/>
            <w:gridSpan w:val="2"/>
            <w:tcBorders>
              <w:top w:val="nil"/>
              <w:left w:val="nil"/>
              <w:bottom w:val="nil"/>
              <w:right w:val="nil"/>
            </w:tcBorders>
            <w:noWrap/>
            <w:vAlign w:val="center"/>
            <w:hideMark/>
          </w:tcPr>
          <w:p w14:paraId="0E539B85" w14:textId="77777777" w:rsidR="00B81577" w:rsidRPr="00B81577" w:rsidRDefault="00B81577" w:rsidP="004712A3">
            <w:pPr>
              <w:jc w:val="center"/>
              <w:rPr>
                <w:rFonts w:ascii="Arial" w:hAnsi="Arial" w:cs="Arial"/>
                <w:color w:val="000000"/>
              </w:rPr>
            </w:pPr>
            <w:r w:rsidRPr="00B81577">
              <w:rPr>
                <w:rFonts w:ascii="Arial" w:hAnsi="Arial" w:cs="Arial"/>
                <w:color w:val="000000"/>
              </w:rPr>
              <w:t>99.95367</w:t>
            </w:r>
          </w:p>
        </w:tc>
        <w:tc>
          <w:tcPr>
            <w:tcW w:w="1051" w:type="dxa"/>
            <w:gridSpan w:val="2"/>
            <w:tcBorders>
              <w:top w:val="nil"/>
              <w:left w:val="nil"/>
              <w:bottom w:val="nil"/>
              <w:right w:val="nil"/>
            </w:tcBorders>
            <w:noWrap/>
            <w:vAlign w:val="center"/>
            <w:hideMark/>
          </w:tcPr>
          <w:p w14:paraId="3881E4BB" w14:textId="77777777" w:rsidR="00B81577" w:rsidRPr="00B81577" w:rsidRDefault="00B81577" w:rsidP="004712A3">
            <w:pPr>
              <w:jc w:val="center"/>
              <w:rPr>
                <w:rFonts w:ascii="Arial" w:hAnsi="Arial" w:cs="Arial"/>
                <w:color w:val="000000"/>
              </w:rPr>
            </w:pPr>
            <w:r w:rsidRPr="00B81577">
              <w:rPr>
                <w:rFonts w:ascii="Arial" w:hAnsi="Arial" w:cs="Arial"/>
                <w:color w:val="000000"/>
              </w:rPr>
              <w:t>0.005385</w:t>
            </w:r>
          </w:p>
        </w:tc>
        <w:tc>
          <w:tcPr>
            <w:tcW w:w="1379" w:type="dxa"/>
            <w:gridSpan w:val="2"/>
            <w:tcBorders>
              <w:top w:val="nil"/>
              <w:left w:val="nil"/>
              <w:bottom w:val="nil"/>
              <w:right w:val="nil"/>
            </w:tcBorders>
            <w:noWrap/>
            <w:vAlign w:val="center"/>
            <w:hideMark/>
          </w:tcPr>
          <w:p w14:paraId="6A30A23D"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66CCE2DD" w14:textId="77777777" w:rsidR="00B81577" w:rsidRPr="00B81577" w:rsidRDefault="00B81577" w:rsidP="004712A3">
            <w:pPr>
              <w:jc w:val="center"/>
              <w:rPr>
                <w:rFonts w:ascii="Arial" w:hAnsi="Arial" w:cs="Arial"/>
                <w:color w:val="000000"/>
              </w:rPr>
            </w:pPr>
          </w:p>
        </w:tc>
      </w:tr>
      <w:tr w:rsidR="00B81577" w:rsidRPr="00B81577" w14:paraId="17E29D9E" w14:textId="77777777" w:rsidTr="004712A3">
        <w:trPr>
          <w:trHeight w:val="300"/>
          <w:jc w:val="center"/>
        </w:trPr>
        <w:tc>
          <w:tcPr>
            <w:tcW w:w="1727" w:type="dxa"/>
            <w:gridSpan w:val="2"/>
            <w:tcBorders>
              <w:top w:val="nil"/>
              <w:left w:val="nil"/>
              <w:bottom w:val="nil"/>
              <w:right w:val="nil"/>
            </w:tcBorders>
            <w:noWrap/>
            <w:vAlign w:val="center"/>
            <w:hideMark/>
          </w:tcPr>
          <w:p w14:paraId="66041F05" w14:textId="77777777" w:rsidR="00B81577" w:rsidRPr="00B81577" w:rsidRDefault="00B81577" w:rsidP="004712A3">
            <w:pPr>
              <w:jc w:val="center"/>
              <w:rPr>
                <w:rFonts w:ascii="Arial" w:hAnsi="Arial" w:cs="Arial"/>
                <w:color w:val="000000"/>
              </w:rPr>
            </w:pPr>
            <w:r w:rsidRPr="00B81577">
              <w:rPr>
                <w:rFonts w:ascii="Arial" w:hAnsi="Arial" w:cs="Arial"/>
                <w:color w:val="000000"/>
              </w:rPr>
              <w:t>Ni</w:t>
            </w:r>
          </w:p>
        </w:tc>
        <w:tc>
          <w:tcPr>
            <w:tcW w:w="1051" w:type="dxa"/>
            <w:gridSpan w:val="2"/>
            <w:tcBorders>
              <w:top w:val="nil"/>
              <w:left w:val="nil"/>
              <w:bottom w:val="nil"/>
              <w:right w:val="nil"/>
            </w:tcBorders>
            <w:noWrap/>
            <w:vAlign w:val="center"/>
            <w:hideMark/>
          </w:tcPr>
          <w:p w14:paraId="4726E100" w14:textId="77777777" w:rsidR="00B81577" w:rsidRPr="00B81577" w:rsidRDefault="00B81577" w:rsidP="004712A3">
            <w:pPr>
              <w:jc w:val="center"/>
              <w:rPr>
                <w:rFonts w:ascii="Arial" w:hAnsi="Arial" w:cs="Arial"/>
                <w:color w:val="000000"/>
              </w:rPr>
            </w:pPr>
            <w:r w:rsidRPr="00B81577">
              <w:rPr>
                <w:rFonts w:ascii="Arial" w:hAnsi="Arial" w:cs="Arial"/>
                <w:color w:val="000000"/>
              </w:rPr>
              <w:t>3</w:t>
            </w:r>
          </w:p>
        </w:tc>
        <w:tc>
          <w:tcPr>
            <w:tcW w:w="939" w:type="dxa"/>
            <w:gridSpan w:val="2"/>
            <w:tcBorders>
              <w:top w:val="nil"/>
              <w:left w:val="nil"/>
              <w:bottom w:val="nil"/>
              <w:right w:val="nil"/>
            </w:tcBorders>
            <w:noWrap/>
            <w:vAlign w:val="center"/>
            <w:hideMark/>
          </w:tcPr>
          <w:p w14:paraId="3992A334" w14:textId="77777777" w:rsidR="00B81577" w:rsidRPr="00B81577" w:rsidRDefault="00B81577" w:rsidP="004712A3">
            <w:pPr>
              <w:jc w:val="center"/>
              <w:rPr>
                <w:rFonts w:ascii="Arial" w:hAnsi="Arial" w:cs="Arial"/>
                <w:color w:val="000000"/>
              </w:rPr>
            </w:pPr>
            <w:r w:rsidRPr="00B81577">
              <w:rPr>
                <w:rFonts w:ascii="Arial" w:hAnsi="Arial" w:cs="Arial"/>
                <w:color w:val="000000"/>
              </w:rPr>
              <w:t>285.905</w:t>
            </w:r>
          </w:p>
        </w:tc>
        <w:tc>
          <w:tcPr>
            <w:tcW w:w="1051" w:type="dxa"/>
            <w:gridSpan w:val="2"/>
            <w:tcBorders>
              <w:top w:val="nil"/>
              <w:left w:val="nil"/>
              <w:bottom w:val="nil"/>
              <w:right w:val="nil"/>
            </w:tcBorders>
            <w:noWrap/>
            <w:vAlign w:val="center"/>
            <w:hideMark/>
          </w:tcPr>
          <w:p w14:paraId="498BD270" w14:textId="77777777" w:rsidR="00B81577" w:rsidRPr="00B81577" w:rsidRDefault="00B81577" w:rsidP="004712A3">
            <w:pPr>
              <w:jc w:val="center"/>
              <w:rPr>
                <w:rFonts w:ascii="Arial" w:hAnsi="Arial" w:cs="Arial"/>
                <w:color w:val="000000"/>
              </w:rPr>
            </w:pPr>
            <w:r w:rsidRPr="00B81577">
              <w:rPr>
                <w:rFonts w:ascii="Arial" w:hAnsi="Arial" w:cs="Arial"/>
                <w:color w:val="000000"/>
              </w:rPr>
              <w:t>95.30167</w:t>
            </w:r>
          </w:p>
        </w:tc>
        <w:tc>
          <w:tcPr>
            <w:tcW w:w="1051" w:type="dxa"/>
            <w:gridSpan w:val="2"/>
            <w:tcBorders>
              <w:top w:val="nil"/>
              <w:left w:val="nil"/>
              <w:bottom w:val="nil"/>
              <w:right w:val="nil"/>
            </w:tcBorders>
            <w:noWrap/>
            <w:vAlign w:val="center"/>
            <w:hideMark/>
          </w:tcPr>
          <w:p w14:paraId="1414F6A5" w14:textId="77777777" w:rsidR="00B81577" w:rsidRPr="00B81577" w:rsidRDefault="00B81577" w:rsidP="004712A3">
            <w:pPr>
              <w:jc w:val="center"/>
              <w:rPr>
                <w:rFonts w:ascii="Arial" w:hAnsi="Arial" w:cs="Arial"/>
                <w:color w:val="000000"/>
              </w:rPr>
            </w:pPr>
            <w:r w:rsidRPr="00B81577">
              <w:rPr>
                <w:rFonts w:ascii="Arial" w:hAnsi="Arial" w:cs="Arial"/>
                <w:color w:val="000000"/>
              </w:rPr>
              <w:t>0.025457</w:t>
            </w:r>
          </w:p>
        </w:tc>
        <w:tc>
          <w:tcPr>
            <w:tcW w:w="1379" w:type="dxa"/>
            <w:gridSpan w:val="2"/>
            <w:tcBorders>
              <w:top w:val="nil"/>
              <w:left w:val="nil"/>
              <w:bottom w:val="nil"/>
              <w:right w:val="nil"/>
            </w:tcBorders>
            <w:noWrap/>
            <w:vAlign w:val="center"/>
            <w:hideMark/>
          </w:tcPr>
          <w:p w14:paraId="0346D743"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FBCC51C" w14:textId="77777777" w:rsidR="00B81577" w:rsidRPr="00B81577" w:rsidRDefault="00B81577" w:rsidP="004712A3">
            <w:pPr>
              <w:jc w:val="center"/>
              <w:rPr>
                <w:rFonts w:ascii="Arial" w:hAnsi="Arial" w:cs="Arial"/>
                <w:color w:val="000000"/>
              </w:rPr>
            </w:pPr>
          </w:p>
        </w:tc>
      </w:tr>
      <w:tr w:rsidR="00B81577" w:rsidRPr="00B81577" w14:paraId="61C89916" w14:textId="77777777" w:rsidTr="004712A3">
        <w:trPr>
          <w:trHeight w:val="300"/>
          <w:jc w:val="center"/>
        </w:trPr>
        <w:tc>
          <w:tcPr>
            <w:tcW w:w="1727" w:type="dxa"/>
            <w:gridSpan w:val="2"/>
            <w:tcBorders>
              <w:top w:val="nil"/>
              <w:left w:val="nil"/>
              <w:bottom w:val="nil"/>
              <w:right w:val="nil"/>
            </w:tcBorders>
            <w:noWrap/>
            <w:vAlign w:val="center"/>
            <w:hideMark/>
          </w:tcPr>
          <w:p w14:paraId="6BC563BA" w14:textId="77777777" w:rsidR="00B81577" w:rsidRPr="00B81577" w:rsidRDefault="00B81577" w:rsidP="004712A3">
            <w:pPr>
              <w:jc w:val="center"/>
              <w:rPr>
                <w:rFonts w:ascii="Arial" w:hAnsi="Arial" w:cs="Arial"/>
                <w:color w:val="000000"/>
              </w:rPr>
            </w:pPr>
            <w:r w:rsidRPr="00B81577">
              <w:rPr>
                <w:rFonts w:ascii="Arial" w:hAnsi="Arial" w:cs="Arial"/>
                <w:color w:val="000000"/>
              </w:rPr>
              <w:t>Pb</w:t>
            </w:r>
          </w:p>
        </w:tc>
        <w:tc>
          <w:tcPr>
            <w:tcW w:w="1051" w:type="dxa"/>
            <w:gridSpan w:val="2"/>
            <w:tcBorders>
              <w:top w:val="nil"/>
              <w:left w:val="nil"/>
              <w:bottom w:val="nil"/>
              <w:right w:val="nil"/>
            </w:tcBorders>
            <w:noWrap/>
            <w:vAlign w:val="center"/>
            <w:hideMark/>
          </w:tcPr>
          <w:p w14:paraId="0E8FD2A8" w14:textId="77777777" w:rsidR="00B81577" w:rsidRPr="00B81577" w:rsidRDefault="00B81577" w:rsidP="004712A3">
            <w:pPr>
              <w:jc w:val="center"/>
              <w:rPr>
                <w:rFonts w:ascii="Arial" w:hAnsi="Arial" w:cs="Arial"/>
                <w:color w:val="000000"/>
              </w:rPr>
            </w:pPr>
            <w:r w:rsidRPr="00B81577">
              <w:rPr>
                <w:rFonts w:ascii="Arial" w:hAnsi="Arial" w:cs="Arial"/>
                <w:color w:val="000000"/>
              </w:rPr>
              <w:t>3</w:t>
            </w:r>
          </w:p>
        </w:tc>
        <w:tc>
          <w:tcPr>
            <w:tcW w:w="939" w:type="dxa"/>
            <w:gridSpan w:val="2"/>
            <w:tcBorders>
              <w:top w:val="nil"/>
              <w:left w:val="nil"/>
              <w:bottom w:val="nil"/>
              <w:right w:val="nil"/>
            </w:tcBorders>
            <w:noWrap/>
            <w:vAlign w:val="center"/>
            <w:hideMark/>
          </w:tcPr>
          <w:p w14:paraId="3E9122B7" w14:textId="77777777" w:rsidR="00B81577" w:rsidRPr="00B81577" w:rsidRDefault="00B81577" w:rsidP="004712A3">
            <w:pPr>
              <w:jc w:val="center"/>
              <w:rPr>
                <w:rFonts w:ascii="Arial" w:hAnsi="Arial" w:cs="Arial"/>
                <w:color w:val="000000"/>
              </w:rPr>
            </w:pPr>
            <w:r w:rsidRPr="00B81577">
              <w:rPr>
                <w:rFonts w:ascii="Arial" w:hAnsi="Arial" w:cs="Arial"/>
                <w:color w:val="000000"/>
              </w:rPr>
              <w:t>268.736</w:t>
            </w:r>
          </w:p>
        </w:tc>
        <w:tc>
          <w:tcPr>
            <w:tcW w:w="1051" w:type="dxa"/>
            <w:gridSpan w:val="2"/>
            <w:tcBorders>
              <w:top w:val="nil"/>
              <w:left w:val="nil"/>
              <w:bottom w:val="nil"/>
              <w:right w:val="nil"/>
            </w:tcBorders>
            <w:noWrap/>
            <w:vAlign w:val="center"/>
            <w:hideMark/>
          </w:tcPr>
          <w:p w14:paraId="60ED9C59" w14:textId="77777777" w:rsidR="00B81577" w:rsidRPr="00B81577" w:rsidRDefault="00B81577" w:rsidP="004712A3">
            <w:pPr>
              <w:jc w:val="center"/>
              <w:rPr>
                <w:rFonts w:ascii="Arial" w:hAnsi="Arial" w:cs="Arial"/>
                <w:color w:val="000000"/>
              </w:rPr>
            </w:pPr>
            <w:r w:rsidRPr="00B81577">
              <w:rPr>
                <w:rFonts w:ascii="Arial" w:hAnsi="Arial" w:cs="Arial"/>
                <w:color w:val="000000"/>
              </w:rPr>
              <w:t>89.57867</w:t>
            </w:r>
          </w:p>
        </w:tc>
        <w:tc>
          <w:tcPr>
            <w:tcW w:w="1051" w:type="dxa"/>
            <w:gridSpan w:val="2"/>
            <w:tcBorders>
              <w:top w:val="nil"/>
              <w:left w:val="nil"/>
              <w:bottom w:val="nil"/>
              <w:right w:val="nil"/>
            </w:tcBorders>
            <w:noWrap/>
            <w:vAlign w:val="center"/>
            <w:hideMark/>
          </w:tcPr>
          <w:p w14:paraId="1693E251" w14:textId="77777777" w:rsidR="00B81577" w:rsidRPr="00B81577" w:rsidRDefault="00B81577" w:rsidP="004712A3">
            <w:pPr>
              <w:jc w:val="center"/>
              <w:rPr>
                <w:rFonts w:ascii="Arial" w:hAnsi="Arial" w:cs="Arial"/>
                <w:color w:val="000000"/>
              </w:rPr>
            </w:pPr>
            <w:r w:rsidRPr="00B81577">
              <w:rPr>
                <w:rFonts w:ascii="Arial" w:hAnsi="Arial" w:cs="Arial"/>
                <w:color w:val="000000"/>
              </w:rPr>
              <w:t>0.253816</w:t>
            </w:r>
          </w:p>
        </w:tc>
        <w:tc>
          <w:tcPr>
            <w:tcW w:w="1379" w:type="dxa"/>
            <w:gridSpan w:val="2"/>
            <w:tcBorders>
              <w:top w:val="nil"/>
              <w:left w:val="nil"/>
              <w:bottom w:val="nil"/>
              <w:right w:val="nil"/>
            </w:tcBorders>
            <w:noWrap/>
            <w:vAlign w:val="center"/>
            <w:hideMark/>
          </w:tcPr>
          <w:p w14:paraId="425E0B0D"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2CDAD275" w14:textId="77777777" w:rsidR="00B81577" w:rsidRPr="00B81577" w:rsidRDefault="00B81577" w:rsidP="004712A3">
            <w:pPr>
              <w:jc w:val="center"/>
              <w:rPr>
                <w:rFonts w:ascii="Arial" w:hAnsi="Arial" w:cs="Arial"/>
                <w:color w:val="000000"/>
              </w:rPr>
            </w:pPr>
          </w:p>
        </w:tc>
      </w:tr>
      <w:tr w:rsidR="00B81577" w:rsidRPr="00B81577" w14:paraId="5F712E05" w14:textId="77777777" w:rsidTr="004712A3">
        <w:trPr>
          <w:trHeight w:val="300"/>
          <w:jc w:val="center"/>
        </w:trPr>
        <w:tc>
          <w:tcPr>
            <w:tcW w:w="1727" w:type="dxa"/>
            <w:gridSpan w:val="2"/>
            <w:tcBorders>
              <w:top w:val="nil"/>
              <w:left w:val="nil"/>
              <w:bottom w:val="nil"/>
              <w:right w:val="nil"/>
            </w:tcBorders>
            <w:noWrap/>
            <w:vAlign w:val="center"/>
            <w:hideMark/>
          </w:tcPr>
          <w:p w14:paraId="67A5BEE0" w14:textId="77777777" w:rsidR="00B81577" w:rsidRPr="00B81577" w:rsidRDefault="00B81577" w:rsidP="004712A3">
            <w:pPr>
              <w:jc w:val="center"/>
              <w:rPr>
                <w:rFonts w:ascii="Arial" w:hAnsi="Arial" w:cs="Arial"/>
                <w:color w:val="000000"/>
              </w:rPr>
            </w:pPr>
            <w:r w:rsidRPr="00B81577">
              <w:rPr>
                <w:rFonts w:ascii="Arial" w:hAnsi="Arial" w:cs="Arial"/>
                <w:color w:val="000000"/>
              </w:rPr>
              <w:t>Zn</w:t>
            </w:r>
          </w:p>
        </w:tc>
        <w:tc>
          <w:tcPr>
            <w:tcW w:w="1051" w:type="dxa"/>
            <w:gridSpan w:val="2"/>
            <w:tcBorders>
              <w:top w:val="nil"/>
              <w:left w:val="nil"/>
              <w:bottom w:val="nil"/>
              <w:right w:val="nil"/>
            </w:tcBorders>
            <w:noWrap/>
            <w:vAlign w:val="center"/>
            <w:hideMark/>
          </w:tcPr>
          <w:p w14:paraId="5C988811" w14:textId="77777777" w:rsidR="00B81577" w:rsidRPr="00B81577" w:rsidRDefault="00B81577" w:rsidP="004712A3">
            <w:pPr>
              <w:jc w:val="center"/>
              <w:rPr>
                <w:rFonts w:ascii="Arial" w:hAnsi="Arial" w:cs="Arial"/>
                <w:color w:val="000000"/>
              </w:rPr>
            </w:pPr>
            <w:r w:rsidRPr="00B81577">
              <w:rPr>
                <w:rFonts w:ascii="Arial" w:hAnsi="Arial" w:cs="Arial"/>
                <w:color w:val="000000"/>
              </w:rPr>
              <w:t>3</w:t>
            </w:r>
          </w:p>
        </w:tc>
        <w:tc>
          <w:tcPr>
            <w:tcW w:w="939" w:type="dxa"/>
            <w:gridSpan w:val="2"/>
            <w:tcBorders>
              <w:top w:val="nil"/>
              <w:left w:val="nil"/>
              <w:bottom w:val="nil"/>
              <w:right w:val="nil"/>
            </w:tcBorders>
            <w:noWrap/>
            <w:vAlign w:val="center"/>
            <w:hideMark/>
          </w:tcPr>
          <w:p w14:paraId="62A8D535" w14:textId="77777777" w:rsidR="00B81577" w:rsidRPr="00B81577" w:rsidRDefault="00B81577" w:rsidP="004712A3">
            <w:pPr>
              <w:jc w:val="center"/>
              <w:rPr>
                <w:rFonts w:ascii="Arial" w:hAnsi="Arial" w:cs="Arial"/>
                <w:color w:val="000000"/>
              </w:rPr>
            </w:pPr>
            <w:r w:rsidRPr="00B81577">
              <w:rPr>
                <w:rFonts w:ascii="Arial" w:hAnsi="Arial" w:cs="Arial"/>
                <w:color w:val="000000"/>
              </w:rPr>
              <w:t>298.056</w:t>
            </w:r>
          </w:p>
        </w:tc>
        <w:tc>
          <w:tcPr>
            <w:tcW w:w="1051" w:type="dxa"/>
            <w:gridSpan w:val="2"/>
            <w:tcBorders>
              <w:top w:val="nil"/>
              <w:left w:val="nil"/>
              <w:bottom w:val="nil"/>
              <w:right w:val="nil"/>
            </w:tcBorders>
            <w:noWrap/>
            <w:vAlign w:val="center"/>
            <w:hideMark/>
          </w:tcPr>
          <w:p w14:paraId="020834B7" w14:textId="77777777" w:rsidR="00B81577" w:rsidRPr="00B81577" w:rsidRDefault="00B81577" w:rsidP="004712A3">
            <w:pPr>
              <w:jc w:val="center"/>
              <w:rPr>
                <w:rFonts w:ascii="Arial" w:hAnsi="Arial" w:cs="Arial"/>
                <w:color w:val="000000"/>
              </w:rPr>
            </w:pPr>
            <w:r w:rsidRPr="00B81577">
              <w:rPr>
                <w:rFonts w:ascii="Arial" w:hAnsi="Arial" w:cs="Arial"/>
                <w:color w:val="000000"/>
              </w:rPr>
              <w:t>99.352</w:t>
            </w:r>
          </w:p>
        </w:tc>
        <w:tc>
          <w:tcPr>
            <w:tcW w:w="1051" w:type="dxa"/>
            <w:gridSpan w:val="2"/>
            <w:tcBorders>
              <w:top w:val="nil"/>
              <w:left w:val="nil"/>
              <w:bottom w:val="nil"/>
              <w:right w:val="nil"/>
            </w:tcBorders>
            <w:noWrap/>
            <w:vAlign w:val="center"/>
            <w:hideMark/>
          </w:tcPr>
          <w:p w14:paraId="0FDAF785" w14:textId="77777777" w:rsidR="00B81577" w:rsidRPr="00B81577" w:rsidRDefault="00B81577" w:rsidP="004712A3">
            <w:pPr>
              <w:jc w:val="center"/>
              <w:rPr>
                <w:rFonts w:ascii="Arial" w:hAnsi="Arial" w:cs="Arial"/>
                <w:color w:val="000000"/>
              </w:rPr>
            </w:pPr>
            <w:r w:rsidRPr="00B81577">
              <w:rPr>
                <w:rFonts w:ascii="Arial" w:hAnsi="Arial" w:cs="Arial"/>
                <w:color w:val="000000"/>
              </w:rPr>
              <w:t>1.9E-05</w:t>
            </w:r>
          </w:p>
        </w:tc>
        <w:tc>
          <w:tcPr>
            <w:tcW w:w="1379" w:type="dxa"/>
            <w:gridSpan w:val="2"/>
            <w:tcBorders>
              <w:top w:val="nil"/>
              <w:left w:val="nil"/>
              <w:bottom w:val="nil"/>
              <w:right w:val="nil"/>
            </w:tcBorders>
            <w:noWrap/>
            <w:vAlign w:val="center"/>
            <w:hideMark/>
          </w:tcPr>
          <w:p w14:paraId="5E567525"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35D8F664" w14:textId="77777777" w:rsidR="00B81577" w:rsidRPr="00B81577" w:rsidRDefault="00B81577" w:rsidP="004712A3">
            <w:pPr>
              <w:jc w:val="center"/>
              <w:rPr>
                <w:rFonts w:ascii="Arial" w:hAnsi="Arial" w:cs="Arial"/>
                <w:color w:val="000000"/>
              </w:rPr>
            </w:pPr>
          </w:p>
        </w:tc>
      </w:tr>
      <w:tr w:rsidR="00B81577" w:rsidRPr="00B81577" w14:paraId="0272400D" w14:textId="77777777" w:rsidTr="004712A3">
        <w:trPr>
          <w:trHeight w:val="300"/>
          <w:jc w:val="center"/>
        </w:trPr>
        <w:tc>
          <w:tcPr>
            <w:tcW w:w="1727" w:type="dxa"/>
            <w:gridSpan w:val="2"/>
            <w:tcBorders>
              <w:top w:val="nil"/>
              <w:left w:val="nil"/>
              <w:bottom w:val="nil"/>
              <w:right w:val="nil"/>
            </w:tcBorders>
            <w:noWrap/>
            <w:vAlign w:val="center"/>
            <w:hideMark/>
          </w:tcPr>
          <w:p w14:paraId="13FF71E7"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49C1569A" w14:textId="77777777" w:rsidR="00B81577" w:rsidRPr="00B81577" w:rsidRDefault="00B81577" w:rsidP="004712A3">
            <w:pPr>
              <w:jc w:val="center"/>
              <w:rPr>
                <w:rFonts w:ascii="Arial" w:hAnsi="Arial" w:cs="Arial"/>
                <w:color w:val="000000"/>
              </w:rPr>
            </w:pPr>
          </w:p>
        </w:tc>
        <w:tc>
          <w:tcPr>
            <w:tcW w:w="939" w:type="dxa"/>
            <w:gridSpan w:val="2"/>
            <w:tcBorders>
              <w:top w:val="nil"/>
              <w:left w:val="nil"/>
              <w:bottom w:val="nil"/>
              <w:right w:val="nil"/>
            </w:tcBorders>
            <w:noWrap/>
            <w:vAlign w:val="center"/>
            <w:hideMark/>
          </w:tcPr>
          <w:p w14:paraId="192427D1"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1B18368C"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0AF1667D"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69F583C7"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ACD563E" w14:textId="77777777" w:rsidR="00B81577" w:rsidRPr="00B81577" w:rsidRDefault="00B81577" w:rsidP="004712A3">
            <w:pPr>
              <w:jc w:val="center"/>
              <w:rPr>
                <w:rFonts w:ascii="Arial" w:hAnsi="Arial" w:cs="Arial"/>
                <w:color w:val="000000"/>
              </w:rPr>
            </w:pPr>
          </w:p>
        </w:tc>
      </w:tr>
      <w:tr w:rsidR="00B81577" w:rsidRPr="00B81577" w14:paraId="1B039FAD" w14:textId="77777777" w:rsidTr="004712A3">
        <w:trPr>
          <w:trHeight w:val="300"/>
          <w:jc w:val="center"/>
        </w:trPr>
        <w:tc>
          <w:tcPr>
            <w:tcW w:w="1727" w:type="dxa"/>
            <w:gridSpan w:val="2"/>
            <w:tcBorders>
              <w:top w:val="nil"/>
              <w:left w:val="nil"/>
              <w:bottom w:val="nil"/>
              <w:right w:val="nil"/>
            </w:tcBorders>
            <w:noWrap/>
            <w:vAlign w:val="center"/>
            <w:hideMark/>
          </w:tcPr>
          <w:p w14:paraId="740FD6AF" w14:textId="77777777" w:rsidR="00B81577" w:rsidRPr="00B81577" w:rsidRDefault="00B81577" w:rsidP="004712A3">
            <w:pPr>
              <w:jc w:val="center"/>
              <w:rPr>
                <w:rFonts w:ascii="Arial" w:hAnsi="Arial" w:cs="Arial"/>
                <w:color w:val="000000"/>
              </w:rPr>
            </w:pPr>
            <w:r w:rsidRPr="00B81577">
              <w:rPr>
                <w:rFonts w:ascii="Arial" w:hAnsi="Arial" w:cs="Arial"/>
                <w:color w:val="000000"/>
              </w:rPr>
              <w:t>0</w:t>
            </w:r>
          </w:p>
        </w:tc>
        <w:tc>
          <w:tcPr>
            <w:tcW w:w="1051" w:type="dxa"/>
            <w:gridSpan w:val="2"/>
            <w:tcBorders>
              <w:top w:val="nil"/>
              <w:left w:val="nil"/>
              <w:bottom w:val="nil"/>
              <w:right w:val="nil"/>
            </w:tcBorders>
            <w:noWrap/>
            <w:vAlign w:val="center"/>
            <w:hideMark/>
          </w:tcPr>
          <w:p w14:paraId="1EABFEF9" w14:textId="77777777" w:rsidR="00B81577" w:rsidRPr="00B81577" w:rsidRDefault="00B81577" w:rsidP="004712A3">
            <w:pPr>
              <w:jc w:val="center"/>
              <w:rPr>
                <w:rFonts w:ascii="Arial" w:hAnsi="Arial" w:cs="Arial"/>
                <w:color w:val="000000"/>
              </w:rPr>
            </w:pPr>
            <w:r w:rsidRPr="00B81577">
              <w:rPr>
                <w:rFonts w:ascii="Arial" w:hAnsi="Arial" w:cs="Arial"/>
                <w:color w:val="000000"/>
              </w:rPr>
              <w:t>4</w:t>
            </w:r>
          </w:p>
        </w:tc>
        <w:tc>
          <w:tcPr>
            <w:tcW w:w="939" w:type="dxa"/>
            <w:gridSpan w:val="2"/>
            <w:tcBorders>
              <w:top w:val="nil"/>
              <w:left w:val="nil"/>
              <w:bottom w:val="nil"/>
              <w:right w:val="nil"/>
            </w:tcBorders>
            <w:noWrap/>
            <w:vAlign w:val="center"/>
            <w:hideMark/>
          </w:tcPr>
          <w:p w14:paraId="4761698D" w14:textId="77777777" w:rsidR="00B81577" w:rsidRPr="00B81577" w:rsidRDefault="00B81577" w:rsidP="004712A3">
            <w:pPr>
              <w:jc w:val="center"/>
              <w:rPr>
                <w:rFonts w:ascii="Arial" w:hAnsi="Arial" w:cs="Arial"/>
                <w:color w:val="000000"/>
              </w:rPr>
            </w:pPr>
            <w:r w:rsidRPr="00B81577">
              <w:rPr>
                <w:rFonts w:ascii="Arial" w:hAnsi="Arial" w:cs="Arial"/>
                <w:color w:val="000000"/>
              </w:rPr>
              <w:t>384.034</w:t>
            </w:r>
          </w:p>
        </w:tc>
        <w:tc>
          <w:tcPr>
            <w:tcW w:w="1051" w:type="dxa"/>
            <w:gridSpan w:val="2"/>
            <w:tcBorders>
              <w:top w:val="nil"/>
              <w:left w:val="nil"/>
              <w:bottom w:val="nil"/>
              <w:right w:val="nil"/>
            </w:tcBorders>
            <w:noWrap/>
            <w:vAlign w:val="center"/>
            <w:hideMark/>
          </w:tcPr>
          <w:p w14:paraId="7F1B30EB" w14:textId="77777777" w:rsidR="00B81577" w:rsidRPr="00B81577" w:rsidRDefault="00B81577" w:rsidP="004712A3">
            <w:pPr>
              <w:jc w:val="center"/>
              <w:rPr>
                <w:rFonts w:ascii="Arial" w:hAnsi="Arial" w:cs="Arial"/>
                <w:color w:val="000000"/>
              </w:rPr>
            </w:pPr>
            <w:r w:rsidRPr="00B81577">
              <w:rPr>
                <w:rFonts w:ascii="Arial" w:hAnsi="Arial" w:cs="Arial"/>
                <w:color w:val="000000"/>
              </w:rPr>
              <w:t>96.0085</w:t>
            </w:r>
          </w:p>
        </w:tc>
        <w:tc>
          <w:tcPr>
            <w:tcW w:w="1051" w:type="dxa"/>
            <w:gridSpan w:val="2"/>
            <w:tcBorders>
              <w:top w:val="nil"/>
              <w:left w:val="nil"/>
              <w:bottom w:val="nil"/>
              <w:right w:val="nil"/>
            </w:tcBorders>
            <w:noWrap/>
            <w:vAlign w:val="center"/>
            <w:hideMark/>
          </w:tcPr>
          <w:p w14:paraId="51309A63" w14:textId="77777777" w:rsidR="00B81577" w:rsidRPr="00B81577" w:rsidRDefault="00B81577" w:rsidP="004712A3">
            <w:pPr>
              <w:jc w:val="center"/>
              <w:rPr>
                <w:rFonts w:ascii="Arial" w:hAnsi="Arial" w:cs="Arial"/>
                <w:color w:val="000000"/>
              </w:rPr>
            </w:pPr>
            <w:r w:rsidRPr="00B81577">
              <w:rPr>
                <w:rFonts w:ascii="Arial" w:hAnsi="Arial" w:cs="Arial"/>
                <w:color w:val="000000"/>
              </w:rPr>
              <w:t>22.4037</w:t>
            </w:r>
          </w:p>
        </w:tc>
        <w:tc>
          <w:tcPr>
            <w:tcW w:w="1379" w:type="dxa"/>
            <w:gridSpan w:val="2"/>
            <w:tcBorders>
              <w:top w:val="nil"/>
              <w:left w:val="nil"/>
              <w:bottom w:val="nil"/>
              <w:right w:val="nil"/>
            </w:tcBorders>
            <w:noWrap/>
            <w:vAlign w:val="center"/>
            <w:hideMark/>
          </w:tcPr>
          <w:p w14:paraId="509F9AE9"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1606B969" w14:textId="77777777" w:rsidR="00B81577" w:rsidRPr="00B81577" w:rsidRDefault="00B81577" w:rsidP="004712A3">
            <w:pPr>
              <w:jc w:val="center"/>
              <w:rPr>
                <w:rFonts w:ascii="Arial" w:hAnsi="Arial" w:cs="Arial"/>
                <w:color w:val="000000"/>
              </w:rPr>
            </w:pPr>
          </w:p>
        </w:tc>
      </w:tr>
      <w:tr w:rsidR="00B81577" w:rsidRPr="00B81577" w14:paraId="018E1914" w14:textId="77777777" w:rsidTr="004712A3">
        <w:trPr>
          <w:trHeight w:val="300"/>
          <w:jc w:val="center"/>
        </w:trPr>
        <w:tc>
          <w:tcPr>
            <w:tcW w:w="1727" w:type="dxa"/>
            <w:gridSpan w:val="2"/>
            <w:tcBorders>
              <w:top w:val="nil"/>
              <w:left w:val="nil"/>
              <w:bottom w:val="nil"/>
              <w:right w:val="nil"/>
            </w:tcBorders>
            <w:noWrap/>
            <w:vAlign w:val="center"/>
            <w:hideMark/>
          </w:tcPr>
          <w:p w14:paraId="751181F7" w14:textId="77777777" w:rsidR="00B81577" w:rsidRPr="00B81577" w:rsidRDefault="00B81577" w:rsidP="004712A3">
            <w:pPr>
              <w:jc w:val="center"/>
              <w:rPr>
                <w:rFonts w:ascii="Arial" w:hAnsi="Arial" w:cs="Arial"/>
                <w:color w:val="000000"/>
              </w:rPr>
            </w:pPr>
            <w:r w:rsidRPr="00B81577">
              <w:rPr>
                <w:rFonts w:ascii="Arial" w:hAnsi="Arial" w:cs="Arial"/>
                <w:color w:val="000000"/>
              </w:rPr>
              <w:t>15</w:t>
            </w:r>
          </w:p>
        </w:tc>
        <w:tc>
          <w:tcPr>
            <w:tcW w:w="1051" w:type="dxa"/>
            <w:gridSpan w:val="2"/>
            <w:tcBorders>
              <w:top w:val="nil"/>
              <w:left w:val="nil"/>
              <w:bottom w:val="nil"/>
              <w:right w:val="nil"/>
            </w:tcBorders>
            <w:noWrap/>
            <w:vAlign w:val="center"/>
            <w:hideMark/>
          </w:tcPr>
          <w:p w14:paraId="3BB3E3EE" w14:textId="77777777" w:rsidR="00B81577" w:rsidRPr="00B81577" w:rsidRDefault="00B81577" w:rsidP="004712A3">
            <w:pPr>
              <w:jc w:val="center"/>
              <w:rPr>
                <w:rFonts w:ascii="Arial" w:hAnsi="Arial" w:cs="Arial"/>
                <w:color w:val="000000"/>
              </w:rPr>
            </w:pPr>
            <w:r w:rsidRPr="00B81577">
              <w:rPr>
                <w:rFonts w:ascii="Arial" w:hAnsi="Arial" w:cs="Arial"/>
                <w:color w:val="000000"/>
              </w:rPr>
              <w:t>4</w:t>
            </w:r>
          </w:p>
        </w:tc>
        <w:tc>
          <w:tcPr>
            <w:tcW w:w="939" w:type="dxa"/>
            <w:gridSpan w:val="2"/>
            <w:tcBorders>
              <w:top w:val="nil"/>
              <w:left w:val="nil"/>
              <w:bottom w:val="nil"/>
              <w:right w:val="nil"/>
            </w:tcBorders>
            <w:noWrap/>
            <w:vAlign w:val="center"/>
            <w:hideMark/>
          </w:tcPr>
          <w:p w14:paraId="7F3BFD65" w14:textId="77777777" w:rsidR="00B81577" w:rsidRPr="00B81577" w:rsidRDefault="00B81577" w:rsidP="004712A3">
            <w:pPr>
              <w:jc w:val="center"/>
              <w:rPr>
                <w:rFonts w:ascii="Arial" w:hAnsi="Arial" w:cs="Arial"/>
                <w:color w:val="000000"/>
              </w:rPr>
            </w:pPr>
            <w:r w:rsidRPr="00B81577">
              <w:rPr>
                <w:rFonts w:ascii="Arial" w:hAnsi="Arial" w:cs="Arial"/>
                <w:color w:val="000000"/>
              </w:rPr>
              <w:t>383.662</w:t>
            </w:r>
          </w:p>
        </w:tc>
        <w:tc>
          <w:tcPr>
            <w:tcW w:w="1051" w:type="dxa"/>
            <w:gridSpan w:val="2"/>
            <w:tcBorders>
              <w:top w:val="nil"/>
              <w:left w:val="nil"/>
              <w:bottom w:val="nil"/>
              <w:right w:val="nil"/>
            </w:tcBorders>
            <w:noWrap/>
            <w:vAlign w:val="center"/>
            <w:hideMark/>
          </w:tcPr>
          <w:p w14:paraId="3B750706" w14:textId="77777777" w:rsidR="00B81577" w:rsidRPr="00B81577" w:rsidRDefault="00B81577" w:rsidP="004712A3">
            <w:pPr>
              <w:jc w:val="center"/>
              <w:rPr>
                <w:rFonts w:ascii="Arial" w:hAnsi="Arial" w:cs="Arial"/>
                <w:color w:val="000000"/>
              </w:rPr>
            </w:pPr>
            <w:r w:rsidRPr="00B81577">
              <w:rPr>
                <w:rFonts w:ascii="Arial" w:hAnsi="Arial" w:cs="Arial"/>
                <w:color w:val="000000"/>
              </w:rPr>
              <w:t>95.9155</w:t>
            </w:r>
          </w:p>
        </w:tc>
        <w:tc>
          <w:tcPr>
            <w:tcW w:w="1051" w:type="dxa"/>
            <w:gridSpan w:val="2"/>
            <w:tcBorders>
              <w:top w:val="nil"/>
              <w:left w:val="nil"/>
              <w:bottom w:val="nil"/>
              <w:right w:val="nil"/>
            </w:tcBorders>
            <w:noWrap/>
            <w:vAlign w:val="center"/>
            <w:hideMark/>
          </w:tcPr>
          <w:p w14:paraId="139B4A6C" w14:textId="77777777" w:rsidR="00B81577" w:rsidRPr="00B81577" w:rsidRDefault="00B81577" w:rsidP="004712A3">
            <w:pPr>
              <w:jc w:val="center"/>
              <w:rPr>
                <w:rFonts w:ascii="Arial" w:hAnsi="Arial" w:cs="Arial"/>
                <w:color w:val="000000"/>
              </w:rPr>
            </w:pPr>
            <w:r w:rsidRPr="00B81577">
              <w:rPr>
                <w:rFonts w:ascii="Arial" w:hAnsi="Arial" w:cs="Arial"/>
                <w:color w:val="000000"/>
              </w:rPr>
              <w:t>25.39197</w:t>
            </w:r>
          </w:p>
        </w:tc>
        <w:tc>
          <w:tcPr>
            <w:tcW w:w="1379" w:type="dxa"/>
            <w:gridSpan w:val="2"/>
            <w:tcBorders>
              <w:top w:val="nil"/>
              <w:left w:val="nil"/>
              <w:bottom w:val="nil"/>
              <w:right w:val="nil"/>
            </w:tcBorders>
            <w:noWrap/>
            <w:vAlign w:val="center"/>
            <w:hideMark/>
          </w:tcPr>
          <w:p w14:paraId="4782D186"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0ACD5AE" w14:textId="77777777" w:rsidR="00B81577" w:rsidRPr="00B81577" w:rsidRDefault="00B81577" w:rsidP="004712A3">
            <w:pPr>
              <w:jc w:val="center"/>
              <w:rPr>
                <w:rFonts w:ascii="Arial" w:hAnsi="Arial" w:cs="Arial"/>
                <w:color w:val="000000"/>
              </w:rPr>
            </w:pPr>
          </w:p>
        </w:tc>
      </w:tr>
      <w:tr w:rsidR="00B81577" w:rsidRPr="00B81577" w14:paraId="05DD4C6D" w14:textId="77777777" w:rsidTr="004712A3">
        <w:trPr>
          <w:trHeight w:val="315"/>
          <w:jc w:val="center"/>
        </w:trPr>
        <w:tc>
          <w:tcPr>
            <w:tcW w:w="1727" w:type="dxa"/>
            <w:gridSpan w:val="2"/>
            <w:tcBorders>
              <w:top w:val="nil"/>
              <w:left w:val="nil"/>
              <w:bottom w:val="single" w:sz="8" w:space="0" w:color="auto"/>
              <w:right w:val="nil"/>
            </w:tcBorders>
            <w:noWrap/>
            <w:vAlign w:val="center"/>
            <w:hideMark/>
          </w:tcPr>
          <w:p w14:paraId="4364D5D4" w14:textId="77777777" w:rsidR="00B81577" w:rsidRPr="00B81577" w:rsidRDefault="00B81577" w:rsidP="004712A3">
            <w:pPr>
              <w:jc w:val="center"/>
              <w:rPr>
                <w:rFonts w:ascii="Arial" w:hAnsi="Arial" w:cs="Arial"/>
                <w:color w:val="000000"/>
              </w:rPr>
            </w:pPr>
            <w:r w:rsidRPr="00B81577">
              <w:rPr>
                <w:rFonts w:ascii="Arial" w:hAnsi="Arial" w:cs="Arial"/>
                <w:color w:val="000000"/>
              </w:rPr>
              <w:t>30</w:t>
            </w:r>
          </w:p>
        </w:tc>
        <w:tc>
          <w:tcPr>
            <w:tcW w:w="1051" w:type="dxa"/>
            <w:gridSpan w:val="2"/>
            <w:tcBorders>
              <w:top w:val="nil"/>
              <w:left w:val="nil"/>
              <w:bottom w:val="single" w:sz="8" w:space="0" w:color="auto"/>
              <w:right w:val="nil"/>
            </w:tcBorders>
            <w:noWrap/>
            <w:vAlign w:val="center"/>
            <w:hideMark/>
          </w:tcPr>
          <w:p w14:paraId="0E6C08E2" w14:textId="77777777" w:rsidR="00B81577" w:rsidRPr="00B81577" w:rsidRDefault="00B81577" w:rsidP="004712A3">
            <w:pPr>
              <w:jc w:val="center"/>
              <w:rPr>
                <w:rFonts w:ascii="Arial" w:hAnsi="Arial" w:cs="Arial"/>
                <w:color w:val="000000"/>
              </w:rPr>
            </w:pPr>
            <w:r w:rsidRPr="00B81577">
              <w:rPr>
                <w:rFonts w:ascii="Arial" w:hAnsi="Arial" w:cs="Arial"/>
                <w:color w:val="000000"/>
              </w:rPr>
              <w:t>4</w:t>
            </w:r>
          </w:p>
        </w:tc>
        <w:tc>
          <w:tcPr>
            <w:tcW w:w="939" w:type="dxa"/>
            <w:gridSpan w:val="2"/>
            <w:tcBorders>
              <w:top w:val="nil"/>
              <w:left w:val="nil"/>
              <w:bottom w:val="single" w:sz="8" w:space="0" w:color="auto"/>
              <w:right w:val="nil"/>
            </w:tcBorders>
            <w:noWrap/>
            <w:vAlign w:val="center"/>
            <w:hideMark/>
          </w:tcPr>
          <w:p w14:paraId="619D8FAE" w14:textId="77777777" w:rsidR="00B81577" w:rsidRPr="00B81577" w:rsidRDefault="00B81577" w:rsidP="004712A3">
            <w:pPr>
              <w:jc w:val="center"/>
              <w:rPr>
                <w:rFonts w:ascii="Arial" w:hAnsi="Arial" w:cs="Arial"/>
                <w:color w:val="000000"/>
              </w:rPr>
            </w:pPr>
            <w:r w:rsidRPr="00B81577">
              <w:rPr>
                <w:rFonts w:ascii="Arial" w:hAnsi="Arial" w:cs="Arial"/>
                <w:color w:val="000000"/>
              </w:rPr>
              <w:t>384.862</w:t>
            </w:r>
          </w:p>
        </w:tc>
        <w:tc>
          <w:tcPr>
            <w:tcW w:w="1051" w:type="dxa"/>
            <w:gridSpan w:val="2"/>
            <w:tcBorders>
              <w:top w:val="nil"/>
              <w:left w:val="nil"/>
              <w:bottom w:val="single" w:sz="8" w:space="0" w:color="auto"/>
              <w:right w:val="nil"/>
            </w:tcBorders>
            <w:noWrap/>
            <w:vAlign w:val="center"/>
            <w:hideMark/>
          </w:tcPr>
          <w:p w14:paraId="749DEE49" w14:textId="77777777" w:rsidR="00B81577" w:rsidRPr="00B81577" w:rsidRDefault="00B81577" w:rsidP="004712A3">
            <w:pPr>
              <w:jc w:val="center"/>
              <w:rPr>
                <w:rFonts w:ascii="Arial" w:hAnsi="Arial" w:cs="Arial"/>
                <w:color w:val="000000"/>
              </w:rPr>
            </w:pPr>
            <w:r w:rsidRPr="00B81577">
              <w:rPr>
                <w:rFonts w:ascii="Arial" w:hAnsi="Arial" w:cs="Arial"/>
                <w:color w:val="000000"/>
              </w:rPr>
              <w:t>96.2155</w:t>
            </w:r>
          </w:p>
        </w:tc>
        <w:tc>
          <w:tcPr>
            <w:tcW w:w="1051" w:type="dxa"/>
            <w:gridSpan w:val="2"/>
            <w:tcBorders>
              <w:top w:val="nil"/>
              <w:left w:val="nil"/>
              <w:bottom w:val="single" w:sz="8" w:space="0" w:color="auto"/>
              <w:right w:val="nil"/>
            </w:tcBorders>
            <w:noWrap/>
            <w:vAlign w:val="center"/>
            <w:hideMark/>
          </w:tcPr>
          <w:p w14:paraId="69CB4BD2" w14:textId="77777777" w:rsidR="00B81577" w:rsidRPr="00B81577" w:rsidRDefault="00B81577" w:rsidP="004712A3">
            <w:pPr>
              <w:jc w:val="center"/>
              <w:rPr>
                <w:rFonts w:ascii="Arial" w:hAnsi="Arial" w:cs="Arial"/>
                <w:color w:val="000000"/>
              </w:rPr>
            </w:pPr>
            <w:r w:rsidRPr="00B81577">
              <w:rPr>
                <w:rFonts w:ascii="Arial" w:hAnsi="Arial" w:cs="Arial"/>
                <w:color w:val="000000"/>
              </w:rPr>
              <w:t>20.91116</w:t>
            </w:r>
          </w:p>
        </w:tc>
        <w:tc>
          <w:tcPr>
            <w:tcW w:w="1379" w:type="dxa"/>
            <w:gridSpan w:val="2"/>
            <w:tcBorders>
              <w:top w:val="nil"/>
              <w:left w:val="nil"/>
              <w:bottom w:val="nil"/>
              <w:right w:val="nil"/>
            </w:tcBorders>
            <w:noWrap/>
            <w:vAlign w:val="center"/>
            <w:hideMark/>
          </w:tcPr>
          <w:p w14:paraId="3728A74F"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2DA74A62" w14:textId="77777777" w:rsidR="00B81577" w:rsidRPr="00B81577" w:rsidRDefault="00B81577" w:rsidP="004712A3">
            <w:pPr>
              <w:jc w:val="center"/>
              <w:rPr>
                <w:rFonts w:ascii="Arial" w:hAnsi="Arial" w:cs="Arial"/>
                <w:color w:val="000000"/>
              </w:rPr>
            </w:pPr>
          </w:p>
        </w:tc>
      </w:tr>
      <w:tr w:rsidR="00B81577" w:rsidRPr="00B81577" w14:paraId="248E0D22" w14:textId="77777777" w:rsidTr="004712A3">
        <w:trPr>
          <w:trHeight w:val="300"/>
          <w:jc w:val="center"/>
        </w:trPr>
        <w:tc>
          <w:tcPr>
            <w:tcW w:w="1727" w:type="dxa"/>
            <w:gridSpan w:val="2"/>
            <w:tcBorders>
              <w:top w:val="nil"/>
              <w:left w:val="nil"/>
              <w:bottom w:val="nil"/>
              <w:right w:val="nil"/>
            </w:tcBorders>
            <w:noWrap/>
            <w:vAlign w:val="center"/>
            <w:hideMark/>
          </w:tcPr>
          <w:p w14:paraId="15C99544"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717016DC" w14:textId="77777777" w:rsidR="00B81577" w:rsidRPr="00B81577" w:rsidRDefault="00B81577" w:rsidP="004712A3">
            <w:pPr>
              <w:jc w:val="center"/>
              <w:rPr>
                <w:rFonts w:ascii="Arial" w:hAnsi="Arial" w:cs="Arial"/>
                <w:color w:val="000000"/>
              </w:rPr>
            </w:pPr>
          </w:p>
        </w:tc>
        <w:tc>
          <w:tcPr>
            <w:tcW w:w="939" w:type="dxa"/>
            <w:gridSpan w:val="2"/>
            <w:tcBorders>
              <w:top w:val="nil"/>
              <w:left w:val="nil"/>
              <w:bottom w:val="nil"/>
              <w:right w:val="nil"/>
            </w:tcBorders>
            <w:noWrap/>
            <w:vAlign w:val="center"/>
            <w:hideMark/>
          </w:tcPr>
          <w:p w14:paraId="7429E8DC"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06D73257"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08B2F52C"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547449FD"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C4740CF" w14:textId="77777777" w:rsidR="00B81577" w:rsidRPr="00B81577" w:rsidRDefault="00B81577" w:rsidP="004712A3">
            <w:pPr>
              <w:jc w:val="center"/>
              <w:rPr>
                <w:rFonts w:ascii="Arial" w:hAnsi="Arial" w:cs="Arial"/>
                <w:color w:val="000000"/>
              </w:rPr>
            </w:pPr>
          </w:p>
        </w:tc>
      </w:tr>
      <w:tr w:rsidR="00B81577" w:rsidRPr="00B81577" w14:paraId="2828B5EC" w14:textId="77777777" w:rsidTr="004712A3">
        <w:trPr>
          <w:trHeight w:val="300"/>
          <w:jc w:val="center"/>
        </w:trPr>
        <w:tc>
          <w:tcPr>
            <w:tcW w:w="1727" w:type="dxa"/>
            <w:gridSpan w:val="2"/>
            <w:tcBorders>
              <w:top w:val="nil"/>
              <w:left w:val="nil"/>
              <w:bottom w:val="nil"/>
              <w:right w:val="nil"/>
            </w:tcBorders>
            <w:noWrap/>
            <w:vAlign w:val="center"/>
            <w:hideMark/>
          </w:tcPr>
          <w:p w14:paraId="789A9336"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5D0E71DB" w14:textId="77777777" w:rsidR="00B81577" w:rsidRPr="00B81577" w:rsidRDefault="00B81577" w:rsidP="004712A3">
            <w:pPr>
              <w:jc w:val="center"/>
              <w:rPr>
                <w:rFonts w:ascii="Arial" w:hAnsi="Arial" w:cs="Arial"/>
                <w:color w:val="000000"/>
              </w:rPr>
            </w:pPr>
          </w:p>
        </w:tc>
        <w:tc>
          <w:tcPr>
            <w:tcW w:w="939" w:type="dxa"/>
            <w:gridSpan w:val="2"/>
            <w:tcBorders>
              <w:top w:val="nil"/>
              <w:left w:val="nil"/>
              <w:bottom w:val="nil"/>
              <w:right w:val="nil"/>
            </w:tcBorders>
            <w:noWrap/>
            <w:vAlign w:val="center"/>
            <w:hideMark/>
          </w:tcPr>
          <w:p w14:paraId="0E32C67D"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4CF55A6A" w14:textId="77777777" w:rsidR="00B81577" w:rsidRPr="00B81577" w:rsidRDefault="00B81577" w:rsidP="004712A3">
            <w:pPr>
              <w:rPr>
                <w:rFonts w:ascii="Arial" w:hAnsi="Arial" w:cs="Arial"/>
                <w:color w:val="000000"/>
              </w:rPr>
            </w:pPr>
          </w:p>
        </w:tc>
        <w:tc>
          <w:tcPr>
            <w:tcW w:w="1051" w:type="dxa"/>
            <w:gridSpan w:val="2"/>
            <w:tcBorders>
              <w:top w:val="nil"/>
              <w:left w:val="nil"/>
              <w:bottom w:val="nil"/>
              <w:right w:val="nil"/>
            </w:tcBorders>
            <w:noWrap/>
            <w:vAlign w:val="center"/>
            <w:hideMark/>
          </w:tcPr>
          <w:p w14:paraId="7B9A6667"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6D576BB6"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DCC0D58" w14:textId="77777777" w:rsidR="00B81577" w:rsidRPr="00B81577" w:rsidRDefault="00B81577" w:rsidP="004712A3">
            <w:pPr>
              <w:jc w:val="center"/>
              <w:rPr>
                <w:rFonts w:ascii="Arial" w:hAnsi="Arial" w:cs="Arial"/>
                <w:color w:val="000000"/>
              </w:rPr>
            </w:pPr>
          </w:p>
        </w:tc>
      </w:tr>
      <w:tr w:rsidR="00B81577" w:rsidRPr="00B81577" w14:paraId="00988B63" w14:textId="77777777" w:rsidTr="004712A3">
        <w:trPr>
          <w:trHeight w:val="315"/>
          <w:jc w:val="center"/>
        </w:trPr>
        <w:tc>
          <w:tcPr>
            <w:tcW w:w="1727" w:type="dxa"/>
            <w:gridSpan w:val="2"/>
            <w:tcBorders>
              <w:top w:val="nil"/>
              <w:left w:val="nil"/>
              <w:bottom w:val="nil"/>
              <w:right w:val="nil"/>
            </w:tcBorders>
            <w:noWrap/>
            <w:vAlign w:val="center"/>
            <w:hideMark/>
          </w:tcPr>
          <w:p w14:paraId="3CD7E71E" w14:textId="77777777" w:rsidR="00B81577" w:rsidRPr="00B81577" w:rsidRDefault="00B81577" w:rsidP="004712A3">
            <w:pPr>
              <w:jc w:val="center"/>
              <w:rPr>
                <w:rFonts w:ascii="Arial" w:hAnsi="Arial" w:cs="Arial"/>
                <w:color w:val="000000"/>
              </w:rPr>
            </w:pPr>
            <w:r w:rsidRPr="00B81577">
              <w:rPr>
                <w:rFonts w:ascii="Arial" w:hAnsi="Arial" w:cs="Arial"/>
                <w:color w:val="000000"/>
              </w:rPr>
              <w:t>ANOVA</w:t>
            </w:r>
          </w:p>
        </w:tc>
        <w:tc>
          <w:tcPr>
            <w:tcW w:w="1051" w:type="dxa"/>
            <w:gridSpan w:val="2"/>
            <w:tcBorders>
              <w:top w:val="nil"/>
              <w:left w:val="nil"/>
              <w:bottom w:val="nil"/>
              <w:right w:val="nil"/>
            </w:tcBorders>
            <w:noWrap/>
            <w:vAlign w:val="center"/>
            <w:hideMark/>
          </w:tcPr>
          <w:p w14:paraId="41CA2F35" w14:textId="77777777" w:rsidR="00B81577" w:rsidRPr="00B81577" w:rsidRDefault="00B81577" w:rsidP="004712A3">
            <w:pPr>
              <w:jc w:val="center"/>
              <w:rPr>
                <w:rFonts w:ascii="Arial" w:hAnsi="Arial" w:cs="Arial"/>
                <w:color w:val="000000"/>
              </w:rPr>
            </w:pPr>
          </w:p>
        </w:tc>
        <w:tc>
          <w:tcPr>
            <w:tcW w:w="939" w:type="dxa"/>
            <w:gridSpan w:val="2"/>
            <w:tcBorders>
              <w:top w:val="nil"/>
              <w:left w:val="nil"/>
              <w:bottom w:val="nil"/>
              <w:right w:val="nil"/>
            </w:tcBorders>
            <w:noWrap/>
            <w:vAlign w:val="center"/>
            <w:hideMark/>
          </w:tcPr>
          <w:p w14:paraId="0481DEC5"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054BEF3B"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4D255EBC"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2DB023E5"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595DDA9C" w14:textId="77777777" w:rsidR="00B81577" w:rsidRPr="00B81577" w:rsidRDefault="00B81577" w:rsidP="004712A3">
            <w:pPr>
              <w:jc w:val="center"/>
              <w:rPr>
                <w:rFonts w:ascii="Arial" w:hAnsi="Arial" w:cs="Arial"/>
                <w:color w:val="000000"/>
              </w:rPr>
            </w:pPr>
          </w:p>
        </w:tc>
      </w:tr>
      <w:tr w:rsidR="00B81577" w:rsidRPr="00B81577" w14:paraId="0B6CE218" w14:textId="77777777" w:rsidTr="004712A3">
        <w:trPr>
          <w:trHeight w:val="300"/>
          <w:jc w:val="center"/>
        </w:trPr>
        <w:tc>
          <w:tcPr>
            <w:tcW w:w="1727" w:type="dxa"/>
            <w:gridSpan w:val="2"/>
            <w:tcBorders>
              <w:top w:val="single" w:sz="8" w:space="0" w:color="auto"/>
              <w:left w:val="nil"/>
              <w:bottom w:val="single" w:sz="4" w:space="0" w:color="auto"/>
              <w:right w:val="nil"/>
            </w:tcBorders>
            <w:noWrap/>
            <w:vAlign w:val="center"/>
            <w:hideMark/>
          </w:tcPr>
          <w:p w14:paraId="7727F9FA"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Source of Variation</w:t>
            </w:r>
          </w:p>
        </w:tc>
        <w:tc>
          <w:tcPr>
            <w:tcW w:w="1051" w:type="dxa"/>
            <w:gridSpan w:val="2"/>
            <w:tcBorders>
              <w:top w:val="single" w:sz="8" w:space="0" w:color="auto"/>
              <w:left w:val="nil"/>
              <w:bottom w:val="single" w:sz="4" w:space="0" w:color="auto"/>
              <w:right w:val="nil"/>
            </w:tcBorders>
            <w:noWrap/>
            <w:vAlign w:val="center"/>
            <w:hideMark/>
          </w:tcPr>
          <w:p w14:paraId="53ADE1AF"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SS</w:t>
            </w:r>
          </w:p>
        </w:tc>
        <w:tc>
          <w:tcPr>
            <w:tcW w:w="939" w:type="dxa"/>
            <w:gridSpan w:val="2"/>
            <w:tcBorders>
              <w:top w:val="single" w:sz="8" w:space="0" w:color="auto"/>
              <w:left w:val="nil"/>
              <w:bottom w:val="single" w:sz="4" w:space="0" w:color="auto"/>
              <w:right w:val="nil"/>
            </w:tcBorders>
            <w:noWrap/>
            <w:vAlign w:val="center"/>
            <w:hideMark/>
          </w:tcPr>
          <w:p w14:paraId="50B7D150"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df</w:t>
            </w:r>
          </w:p>
        </w:tc>
        <w:tc>
          <w:tcPr>
            <w:tcW w:w="1051" w:type="dxa"/>
            <w:gridSpan w:val="2"/>
            <w:tcBorders>
              <w:top w:val="single" w:sz="8" w:space="0" w:color="auto"/>
              <w:left w:val="nil"/>
              <w:bottom w:val="single" w:sz="4" w:space="0" w:color="auto"/>
              <w:right w:val="nil"/>
            </w:tcBorders>
            <w:noWrap/>
            <w:vAlign w:val="center"/>
            <w:hideMark/>
          </w:tcPr>
          <w:p w14:paraId="36E5C2A1"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MS</w:t>
            </w:r>
          </w:p>
        </w:tc>
        <w:tc>
          <w:tcPr>
            <w:tcW w:w="1051" w:type="dxa"/>
            <w:gridSpan w:val="2"/>
            <w:tcBorders>
              <w:top w:val="single" w:sz="8" w:space="0" w:color="auto"/>
              <w:left w:val="nil"/>
              <w:bottom w:val="single" w:sz="4" w:space="0" w:color="auto"/>
              <w:right w:val="nil"/>
            </w:tcBorders>
            <w:noWrap/>
            <w:vAlign w:val="center"/>
            <w:hideMark/>
          </w:tcPr>
          <w:p w14:paraId="276868CA"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F</w:t>
            </w:r>
          </w:p>
        </w:tc>
        <w:tc>
          <w:tcPr>
            <w:tcW w:w="1379" w:type="dxa"/>
            <w:gridSpan w:val="2"/>
            <w:tcBorders>
              <w:top w:val="single" w:sz="8" w:space="0" w:color="auto"/>
              <w:left w:val="nil"/>
              <w:bottom w:val="single" w:sz="4" w:space="0" w:color="auto"/>
              <w:right w:val="nil"/>
            </w:tcBorders>
            <w:noWrap/>
            <w:vAlign w:val="center"/>
            <w:hideMark/>
          </w:tcPr>
          <w:p w14:paraId="6B88E01A"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P-value</w:t>
            </w:r>
          </w:p>
        </w:tc>
        <w:tc>
          <w:tcPr>
            <w:tcW w:w="1051" w:type="dxa"/>
            <w:tcBorders>
              <w:top w:val="single" w:sz="8" w:space="0" w:color="auto"/>
              <w:left w:val="nil"/>
              <w:bottom w:val="single" w:sz="4" w:space="0" w:color="auto"/>
              <w:right w:val="nil"/>
            </w:tcBorders>
            <w:noWrap/>
            <w:vAlign w:val="center"/>
            <w:hideMark/>
          </w:tcPr>
          <w:p w14:paraId="7D0A33A9"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F crit</w:t>
            </w:r>
          </w:p>
        </w:tc>
      </w:tr>
      <w:tr w:rsidR="00B81577" w:rsidRPr="00B81577" w14:paraId="5C484D2A" w14:textId="77777777" w:rsidTr="004712A3">
        <w:trPr>
          <w:trHeight w:val="300"/>
          <w:jc w:val="center"/>
        </w:trPr>
        <w:tc>
          <w:tcPr>
            <w:tcW w:w="1727" w:type="dxa"/>
            <w:gridSpan w:val="2"/>
            <w:tcBorders>
              <w:top w:val="nil"/>
              <w:left w:val="nil"/>
              <w:bottom w:val="nil"/>
              <w:right w:val="nil"/>
            </w:tcBorders>
            <w:noWrap/>
            <w:vAlign w:val="center"/>
            <w:hideMark/>
          </w:tcPr>
          <w:p w14:paraId="6B2A6465" w14:textId="77777777" w:rsidR="00B81577" w:rsidRPr="00B81577" w:rsidRDefault="00B81577" w:rsidP="004712A3">
            <w:pPr>
              <w:jc w:val="center"/>
              <w:rPr>
                <w:rFonts w:ascii="Arial" w:hAnsi="Arial" w:cs="Arial"/>
                <w:color w:val="000000"/>
              </w:rPr>
            </w:pPr>
            <w:r w:rsidRPr="00B81577">
              <w:rPr>
                <w:rFonts w:ascii="Arial" w:hAnsi="Arial" w:cs="Arial"/>
                <w:color w:val="000000"/>
              </w:rPr>
              <w:lastRenderedPageBreak/>
              <w:t>Rows</w:t>
            </w:r>
          </w:p>
        </w:tc>
        <w:tc>
          <w:tcPr>
            <w:tcW w:w="1051" w:type="dxa"/>
            <w:gridSpan w:val="2"/>
            <w:tcBorders>
              <w:top w:val="nil"/>
              <w:left w:val="nil"/>
              <w:bottom w:val="nil"/>
              <w:right w:val="nil"/>
            </w:tcBorders>
            <w:noWrap/>
            <w:vAlign w:val="center"/>
            <w:hideMark/>
          </w:tcPr>
          <w:p w14:paraId="545A60F0" w14:textId="77777777" w:rsidR="00B81577" w:rsidRPr="00B81577" w:rsidRDefault="00B81577" w:rsidP="004712A3">
            <w:pPr>
              <w:jc w:val="center"/>
              <w:rPr>
                <w:rFonts w:ascii="Arial" w:hAnsi="Arial" w:cs="Arial"/>
                <w:color w:val="000000"/>
              </w:rPr>
            </w:pPr>
            <w:r w:rsidRPr="00B81577">
              <w:rPr>
                <w:rFonts w:ascii="Arial" w:hAnsi="Arial" w:cs="Arial"/>
                <w:color w:val="000000"/>
              </w:rPr>
              <w:t>205.7398</w:t>
            </w:r>
          </w:p>
        </w:tc>
        <w:tc>
          <w:tcPr>
            <w:tcW w:w="939" w:type="dxa"/>
            <w:gridSpan w:val="2"/>
            <w:tcBorders>
              <w:top w:val="nil"/>
              <w:left w:val="nil"/>
              <w:bottom w:val="nil"/>
              <w:right w:val="nil"/>
            </w:tcBorders>
            <w:noWrap/>
            <w:vAlign w:val="center"/>
            <w:hideMark/>
          </w:tcPr>
          <w:p w14:paraId="2A45C6E8" w14:textId="77777777" w:rsidR="00B81577" w:rsidRPr="00B81577" w:rsidRDefault="00B81577" w:rsidP="004712A3">
            <w:pPr>
              <w:jc w:val="center"/>
              <w:rPr>
                <w:rFonts w:ascii="Arial" w:hAnsi="Arial" w:cs="Arial"/>
                <w:color w:val="000000"/>
              </w:rPr>
            </w:pPr>
            <w:r w:rsidRPr="00B81577">
              <w:rPr>
                <w:rFonts w:ascii="Arial" w:hAnsi="Arial" w:cs="Arial"/>
                <w:color w:val="000000"/>
              </w:rPr>
              <w:t>3</w:t>
            </w:r>
          </w:p>
        </w:tc>
        <w:tc>
          <w:tcPr>
            <w:tcW w:w="1051" w:type="dxa"/>
            <w:gridSpan w:val="2"/>
            <w:tcBorders>
              <w:top w:val="nil"/>
              <w:left w:val="nil"/>
              <w:bottom w:val="nil"/>
              <w:right w:val="nil"/>
            </w:tcBorders>
            <w:noWrap/>
            <w:vAlign w:val="center"/>
            <w:hideMark/>
          </w:tcPr>
          <w:p w14:paraId="51EC8573" w14:textId="77777777" w:rsidR="00B81577" w:rsidRPr="00B81577" w:rsidRDefault="00B81577" w:rsidP="004712A3">
            <w:pPr>
              <w:jc w:val="center"/>
              <w:rPr>
                <w:rFonts w:ascii="Arial" w:hAnsi="Arial" w:cs="Arial"/>
                <w:color w:val="000000"/>
              </w:rPr>
            </w:pPr>
            <w:r w:rsidRPr="00B81577">
              <w:rPr>
                <w:rFonts w:ascii="Arial" w:hAnsi="Arial" w:cs="Arial"/>
                <w:color w:val="000000"/>
              </w:rPr>
              <w:t>68.57993</w:t>
            </w:r>
          </w:p>
        </w:tc>
        <w:tc>
          <w:tcPr>
            <w:tcW w:w="1051" w:type="dxa"/>
            <w:gridSpan w:val="2"/>
            <w:tcBorders>
              <w:top w:val="nil"/>
              <w:left w:val="nil"/>
              <w:bottom w:val="nil"/>
              <w:right w:val="nil"/>
            </w:tcBorders>
            <w:noWrap/>
            <w:vAlign w:val="center"/>
            <w:hideMark/>
          </w:tcPr>
          <w:p w14:paraId="79C87E71" w14:textId="77777777" w:rsidR="00B81577" w:rsidRPr="00B81577" w:rsidRDefault="00B81577" w:rsidP="004712A3">
            <w:pPr>
              <w:jc w:val="center"/>
              <w:rPr>
                <w:rFonts w:ascii="Arial" w:hAnsi="Arial" w:cs="Arial"/>
                <w:color w:val="000000"/>
              </w:rPr>
            </w:pPr>
            <w:r w:rsidRPr="00B81577">
              <w:rPr>
                <w:rFonts w:ascii="Arial" w:hAnsi="Arial" w:cs="Arial"/>
                <w:color w:val="000000"/>
              </w:rPr>
              <w:t>1080.873</w:t>
            </w:r>
          </w:p>
        </w:tc>
        <w:tc>
          <w:tcPr>
            <w:tcW w:w="1379" w:type="dxa"/>
            <w:gridSpan w:val="2"/>
            <w:tcBorders>
              <w:top w:val="nil"/>
              <w:left w:val="nil"/>
              <w:bottom w:val="nil"/>
              <w:right w:val="nil"/>
            </w:tcBorders>
            <w:noWrap/>
            <w:vAlign w:val="center"/>
            <w:hideMark/>
          </w:tcPr>
          <w:p w14:paraId="1BA7A3F2" w14:textId="77777777" w:rsidR="00B81577" w:rsidRPr="00B81577" w:rsidRDefault="00B81577" w:rsidP="004712A3">
            <w:pPr>
              <w:jc w:val="center"/>
              <w:rPr>
                <w:rFonts w:ascii="Arial" w:hAnsi="Arial" w:cs="Arial"/>
                <w:color w:val="000000"/>
              </w:rPr>
            </w:pPr>
            <w:r w:rsidRPr="00B81577">
              <w:rPr>
                <w:rFonts w:ascii="Arial" w:hAnsi="Arial" w:cs="Arial"/>
                <w:color w:val="000000"/>
              </w:rPr>
              <w:t>1.37723E-08</w:t>
            </w:r>
          </w:p>
        </w:tc>
        <w:tc>
          <w:tcPr>
            <w:tcW w:w="1051" w:type="dxa"/>
            <w:tcBorders>
              <w:top w:val="nil"/>
              <w:left w:val="nil"/>
              <w:bottom w:val="nil"/>
              <w:right w:val="nil"/>
            </w:tcBorders>
            <w:noWrap/>
            <w:vAlign w:val="center"/>
            <w:hideMark/>
          </w:tcPr>
          <w:p w14:paraId="09494E2A" w14:textId="77777777" w:rsidR="00B81577" w:rsidRPr="00B81577" w:rsidRDefault="00B81577" w:rsidP="004712A3">
            <w:pPr>
              <w:jc w:val="center"/>
              <w:rPr>
                <w:rFonts w:ascii="Arial" w:hAnsi="Arial" w:cs="Arial"/>
                <w:color w:val="000000"/>
              </w:rPr>
            </w:pPr>
            <w:r w:rsidRPr="00B81577">
              <w:rPr>
                <w:rFonts w:ascii="Arial" w:hAnsi="Arial" w:cs="Arial"/>
                <w:color w:val="000000"/>
              </w:rPr>
              <w:t>4.757063</w:t>
            </w:r>
          </w:p>
        </w:tc>
      </w:tr>
      <w:tr w:rsidR="00B81577" w:rsidRPr="00B81577" w14:paraId="2254A57C" w14:textId="77777777" w:rsidTr="004712A3">
        <w:trPr>
          <w:trHeight w:val="300"/>
          <w:jc w:val="center"/>
        </w:trPr>
        <w:tc>
          <w:tcPr>
            <w:tcW w:w="1727" w:type="dxa"/>
            <w:gridSpan w:val="2"/>
            <w:tcBorders>
              <w:top w:val="nil"/>
              <w:left w:val="nil"/>
              <w:bottom w:val="nil"/>
              <w:right w:val="nil"/>
            </w:tcBorders>
            <w:noWrap/>
            <w:vAlign w:val="center"/>
            <w:hideMark/>
          </w:tcPr>
          <w:p w14:paraId="5CC52F07" w14:textId="77777777" w:rsidR="00B81577" w:rsidRPr="00B81577" w:rsidRDefault="00B81577" w:rsidP="004712A3">
            <w:pPr>
              <w:jc w:val="center"/>
              <w:rPr>
                <w:rFonts w:ascii="Arial" w:hAnsi="Arial" w:cs="Arial"/>
                <w:color w:val="000000"/>
              </w:rPr>
            </w:pPr>
            <w:r w:rsidRPr="00B81577">
              <w:rPr>
                <w:rFonts w:ascii="Arial" w:hAnsi="Arial" w:cs="Arial"/>
                <w:color w:val="000000"/>
              </w:rPr>
              <w:t>Columns</w:t>
            </w:r>
          </w:p>
        </w:tc>
        <w:tc>
          <w:tcPr>
            <w:tcW w:w="1051" w:type="dxa"/>
            <w:gridSpan w:val="2"/>
            <w:tcBorders>
              <w:top w:val="nil"/>
              <w:left w:val="nil"/>
              <w:bottom w:val="nil"/>
              <w:right w:val="nil"/>
            </w:tcBorders>
            <w:noWrap/>
            <w:vAlign w:val="center"/>
            <w:hideMark/>
          </w:tcPr>
          <w:p w14:paraId="13AA1987" w14:textId="77777777" w:rsidR="00B81577" w:rsidRPr="00B81577" w:rsidRDefault="00B81577" w:rsidP="004712A3">
            <w:pPr>
              <w:jc w:val="center"/>
              <w:rPr>
                <w:rFonts w:ascii="Arial" w:hAnsi="Arial" w:cs="Arial"/>
                <w:color w:val="000000"/>
              </w:rPr>
            </w:pPr>
            <w:r w:rsidRPr="00B81577">
              <w:rPr>
                <w:rFonts w:ascii="Arial" w:hAnsi="Arial" w:cs="Arial"/>
                <w:color w:val="000000"/>
              </w:rPr>
              <w:t>0.188664</w:t>
            </w:r>
          </w:p>
        </w:tc>
        <w:tc>
          <w:tcPr>
            <w:tcW w:w="939" w:type="dxa"/>
            <w:gridSpan w:val="2"/>
            <w:tcBorders>
              <w:top w:val="nil"/>
              <w:left w:val="nil"/>
              <w:bottom w:val="nil"/>
              <w:right w:val="nil"/>
            </w:tcBorders>
            <w:noWrap/>
            <w:vAlign w:val="center"/>
            <w:hideMark/>
          </w:tcPr>
          <w:p w14:paraId="7FA21ECA" w14:textId="77777777" w:rsidR="00B81577" w:rsidRPr="00B81577" w:rsidRDefault="00B81577" w:rsidP="004712A3">
            <w:pPr>
              <w:jc w:val="center"/>
              <w:rPr>
                <w:rFonts w:ascii="Arial" w:hAnsi="Arial" w:cs="Arial"/>
                <w:color w:val="000000"/>
              </w:rPr>
            </w:pPr>
            <w:r w:rsidRPr="00B81577">
              <w:rPr>
                <w:rFonts w:ascii="Arial" w:hAnsi="Arial" w:cs="Arial"/>
                <w:color w:val="000000"/>
              </w:rPr>
              <w:t>2</w:t>
            </w:r>
          </w:p>
        </w:tc>
        <w:tc>
          <w:tcPr>
            <w:tcW w:w="1051" w:type="dxa"/>
            <w:gridSpan w:val="2"/>
            <w:tcBorders>
              <w:top w:val="nil"/>
              <w:left w:val="nil"/>
              <w:bottom w:val="nil"/>
              <w:right w:val="nil"/>
            </w:tcBorders>
            <w:noWrap/>
            <w:vAlign w:val="center"/>
            <w:hideMark/>
          </w:tcPr>
          <w:p w14:paraId="098427EB" w14:textId="77777777" w:rsidR="00B81577" w:rsidRPr="00B81577" w:rsidRDefault="00B81577" w:rsidP="004712A3">
            <w:pPr>
              <w:jc w:val="center"/>
              <w:rPr>
                <w:rFonts w:ascii="Arial" w:hAnsi="Arial" w:cs="Arial"/>
                <w:color w:val="000000"/>
              </w:rPr>
            </w:pPr>
            <w:r w:rsidRPr="00B81577">
              <w:rPr>
                <w:rFonts w:ascii="Arial" w:hAnsi="Arial" w:cs="Arial"/>
                <w:color w:val="000000"/>
              </w:rPr>
              <w:t>0.094332</w:t>
            </w:r>
          </w:p>
        </w:tc>
        <w:tc>
          <w:tcPr>
            <w:tcW w:w="1051" w:type="dxa"/>
            <w:gridSpan w:val="2"/>
            <w:tcBorders>
              <w:top w:val="nil"/>
              <w:left w:val="nil"/>
              <w:bottom w:val="nil"/>
              <w:right w:val="nil"/>
            </w:tcBorders>
            <w:noWrap/>
            <w:vAlign w:val="center"/>
            <w:hideMark/>
          </w:tcPr>
          <w:p w14:paraId="2DFC11A7" w14:textId="77777777" w:rsidR="00B81577" w:rsidRPr="00B81577" w:rsidRDefault="00B81577" w:rsidP="004712A3">
            <w:pPr>
              <w:jc w:val="center"/>
              <w:rPr>
                <w:rFonts w:ascii="Arial" w:hAnsi="Arial" w:cs="Arial"/>
                <w:color w:val="000000"/>
              </w:rPr>
            </w:pPr>
            <w:r w:rsidRPr="00B81577">
              <w:rPr>
                <w:rFonts w:ascii="Arial" w:hAnsi="Arial" w:cs="Arial"/>
                <w:color w:val="000000"/>
              </w:rPr>
              <w:t>1.486745</w:t>
            </w:r>
          </w:p>
        </w:tc>
        <w:tc>
          <w:tcPr>
            <w:tcW w:w="1379" w:type="dxa"/>
            <w:gridSpan w:val="2"/>
            <w:tcBorders>
              <w:top w:val="nil"/>
              <w:left w:val="nil"/>
              <w:bottom w:val="nil"/>
              <w:right w:val="nil"/>
            </w:tcBorders>
            <w:noWrap/>
            <w:vAlign w:val="center"/>
            <w:hideMark/>
          </w:tcPr>
          <w:p w14:paraId="3A3DFEBF" w14:textId="77777777" w:rsidR="00B81577" w:rsidRPr="00B81577" w:rsidRDefault="00B81577" w:rsidP="004712A3">
            <w:pPr>
              <w:jc w:val="center"/>
              <w:rPr>
                <w:rFonts w:ascii="Arial" w:hAnsi="Arial" w:cs="Arial"/>
                <w:color w:val="000000"/>
              </w:rPr>
            </w:pPr>
            <w:r w:rsidRPr="00B81577">
              <w:rPr>
                <w:rFonts w:ascii="Arial" w:hAnsi="Arial" w:cs="Arial"/>
                <w:color w:val="000000"/>
              </w:rPr>
              <w:t>0.29893003</w:t>
            </w:r>
          </w:p>
        </w:tc>
        <w:tc>
          <w:tcPr>
            <w:tcW w:w="1051" w:type="dxa"/>
            <w:tcBorders>
              <w:top w:val="nil"/>
              <w:left w:val="nil"/>
              <w:bottom w:val="nil"/>
              <w:right w:val="nil"/>
            </w:tcBorders>
            <w:noWrap/>
            <w:vAlign w:val="center"/>
            <w:hideMark/>
          </w:tcPr>
          <w:p w14:paraId="7762BF5F" w14:textId="77777777" w:rsidR="00B81577" w:rsidRPr="00B81577" w:rsidRDefault="00B81577" w:rsidP="004712A3">
            <w:pPr>
              <w:jc w:val="center"/>
              <w:rPr>
                <w:rFonts w:ascii="Arial" w:hAnsi="Arial" w:cs="Arial"/>
                <w:color w:val="000000"/>
              </w:rPr>
            </w:pPr>
            <w:r w:rsidRPr="00B81577">
              <w:rPr>
                <w:rFonts w:ascii="Arial" w:hAnsi="Arial" w:cs="Arial"/>
                <w:color w:val="000000"/>
              </w:rPr>
              <w:t>5.143253</w:t>
            </w:r>
          </w:p>
        </w:tc>
      </w:tr>
      <w:tr w:rsidR="00B81577" w:rsidRPr="00B81577" w14:paraId="6F95BCF2" w14:textId="77777777" w:rsidTr="004712A3">
        <w:trPr>
          <w:trHeight w:val="300"/>
          <w:jc w:val="center"/>
        </w:trPr>
        <w:tc>
          <w:tcPr>
            <w:tcW w:w="1727" w:type="dxa"/>
            <w:gridSpan w:val="2"/>
            <w:tcBorders>
              <w:top w:val="nil"/>
              <w:left w:val="nil"/>
              <w:bottom w:val="nil"/>
              <w:right w:val="nil"/>
            </w:tcBorders>
            <w:noWrap/>
            <w:vAlign w:val="center"/>
            <w:hideMark/>
          </w:tcPr>
          <w:p w14:paraId="245D5732" w14:textId="77777777" w:rsidR="00B81577" w:rsidRPr="00B81577" w:rsidRDefault="00B81577" w:rsidP="004712A3">
            <w:pPr>
              <w:jc w:val="center"/>
              <w:rPr>
                <w:rFonts w:ascii="Arial" w:hAnsi="Arial" w:cs="Arial"/>
                <w:color w:val="000000"/>
              </w:rPr>
            </w:pPr>
            <w:r w:rsidRPr="00B81577">
              <w:rPr>
                <w:rFonts w:ascii="Arial" w:hAnsi="Arial" w:cs="Arial"/>
                <w:color w:val="000000"/>
              </w:rPr>
              <w:t>Error</w:t>
            </w:r>
          </w:p>
        </w:tc>
        <w:tc>
          <w:tcPr>
            <w:tcW w:w="1051" w:type="dxa"/>
            <w:gridSpan w:val="2"/>
            <w:tcBorders>
              <w:top w:val="nil"/>
              <w:left w:val="nil"/>
              <w:bottom w:val="nil"/>
              <w:right w:val="nil"/>
            </w:tcBorders>
            <w:noWrap/>
            <w:vAlign w:val="center"/>
            <w:hideMark/>
          </w:tcPr>
          <w:p w14:paraId="2BE6E824" w14:textId="77777777" w:rsidR="00B81577" w:rsidRPr="00B81577" w:rsidRDefault="00B81577" w:rsidP="004712A3">
            <w:pPr>
              <w:jc w:val="center"/>
              <w:rPr>
                <w:rFonts w:ascii="Arial" w:hAnsi="Arial" w:cs="Arial"/>
                <w:color w:val="000000"/>
              </w:rPr>
            </w:pPr>
            <w:r w:rsidRPr="00B81577">
              <w:rPr>
                <w:rFonts w:ascii="Arial" w:hAnsi="Arial" w:cs="Arial"/>
                <w:color w:val="000000"/>
              </w:rPr>
              <w:t>0.380692</w:t>
            </w:r>
          </w:p>
        </w:tc>
        <w:tc>
          <w:tcPr>
            <w:tcW w:w="939" w:type="dxa"/>
            <w:gridSpan w:val="2"/>
            <w:tcBorders>
              <w:top w:val="nil"/>
              <w:left w:val="nil"/>
              <w:bottom w:val="nil"/>
              <w:right w:val="nil"/>
            </w:tcBorders>
            <w:noWrap/>
            <w:vAlign w:val="center"/>
            <w:hideMark/>
          </w:tcPr>
          <w:p w14:paraId="546471C9" w14:textId="77777777" w:rsidR="00B81577" w:rsidRPr="00B81577" w:rsidRDefault="00B81577" w:rsidP="004712A3">
            <w:pPr>
              <w:jc w:val="center"/>
              <w:rPr>
                <w:rFonts w:ascii="Arial" w:hAnsi="Arial" w:cs="Arial"/>
                <w:color w:val="000000"/>
              </w:rPr>
            </w:pPr>
            <w:r w:rsidRPr="00B81577">
              <w:rPr>
                <w:rFonts w:ascii="Arial" w:hAnsi="Arial" w:cs="Arial"/>
                <w:color w:val="000000"/>
              </w:rPr>
              <w:t>6</w:t>
            </w:r>
          </w:p>
        </w:tc>
        <w:tc>
          <w:tcPr>
            <w:tcW w:w="1051" w:type="dxa"/>
            <w:gridSpan w:val="2"/>
            <w:tcBorders>
              <w:top w:val="nil"/>
              <w:left w:val="nil"/>
              <w:bottom w:val="nil"/>
              <w:right w:val="nil"/>
            </w:tcBorders>
            <w:noWrap/>
            <w:vAlign w:val="center"/>
            <w:hideMark/>
          </w:tcPr>
          <w:p w14:paraId="2C6E1B84" w14:textId="77777777" w:rsidR="00B81577" w:rsidRPr="00B81577" w:rsidRDefault="00B81577" w:rsidP="004712A3">
            <w:pPr>
              <w:jc w:val="center"/>
              <w:rPr>
                <w:rFonts w:ascii="Arial" w:hAnsi="Arial" w:cs="Arial"/>
                <w:color w:val="000000"/>
              </w:rPr>
            </w:pPr>
            <w:r w:rsidRPr="00B81577">
              <w:rPr>
                <w:rFonts w:ascii="Arial" w:hAnsi="Arial" w:cs="Arial"/>
                <w:color w:val="000000"/>
              </w:rPr>
              <w:t>0.063449</w:t>
            </w:r>
          </w:p>
        </w:tc>
        <w:tc>
          <w:tcPr>
            <w:tcW w:w="1051" w:type="dxa"/>
            <w:gridSpan w:val="2"/>
            <w:tcBorders>
              <w:top w:val="nil"/>
              <w:left w:val="nil"/>
              <w:bottom w:val="nil"/>
              <w:right w:val="nil"/>
            </w:tcBorders>
            <w:noWrap/>
            <w:vAlign w:val="center"/>
            <w:hideMark/>
          </w:tcPr>
          <w:p w14:paraId="17225539"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1B2C1D03"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661C380" w14:textId="77777777" w:rsidR="00B81577" w:rsidRPr="00B81577" w:rsidRDefault="00B81577" w:rsidP="004712A3">
            <w:pPr>
              <w:jc w:val="center"/>
              <w:rPr>
                <w:rFonts w:ascii="Arial" w:hAnsi="Arial" w:cs="Arial"/>
                <w:color w:val="000000"/>
              </w:rPr>
            </w:pPr>
          </w:p>
        </w:tc>
      </w:tr>
      <w:tr w:rsidR="00B81577" w:rsidRPr="00B81577" w14:paraId="0A815D18" w14:textId="77777777" w:rsidTr="004712A3">
        <w:trPr>
          <w:trHeight w:val="300"/>
          <w:jc w:val="center"/>
        </w:trPr>
        <w:tc>
          <w:tcPr>
            <w:tcW w:w="1727" w:type="dxa"/>
            <w:gridSpan w:val="2"/>
            <w:tcBorders>
              <w:top w:val="nil"/>
              <w:left w:val="nil"/>
              <w:bottom w:val="nil"/>
              <w:right w:val="nil"/>
            </w:tcBorders>
            <w:noWrap/>
            <w:vAlign w:val="center"/>
            <w:hideMark/>
          </w:tcPr>
          <w:p w14:paraId="5E7E79A3"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350D4772" w14:textId="77777777" w:rsidR="00B81577" w:rsidRPr="00B81577" w:rsidRDefault="00B81577" w:rsidP="004712A3">
            <w:pPr>
              <w:jc w:val="center"/>
              <w:rPr>
                <w:rFonts w:ascii="Arial" w:hAnsi="Arial" w:cs="Arial"/>
                <w:color w:val="000000"/>
              </w:rPr>
            </w:pPr>
          </w:p>
        </w:tc>
        <w:tc>
          <w:tcPr>
            <w:tcW w:w="939" w:type="dxa"/>
            <w:gridSpan w:val="2"/>
            <w:tcBorders>
              <w:top w:val="nil"/>
              <w:left w:val="nil"/>
              <w:bottom w:val="nil"/>
              <w:right w:val="nil"/>
            </w:tcBorders>
            <w:noWrap/>
            <w:vAlign w:val="center"/>
            <w:hideMark/>
          </w:tcPr>
          <w:p w14:paraId="597AA319"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50CFE93F"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5333F6B1"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0B8BD838"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EF28FBF" w14:textId="77777777" w:rsidR="00B81577" w:rsidRPr="00B81577" w:rsidRDefault="00B81577" w:rsidP="004712A3">
            <w:pPr>
              <w:jc w:val="center"/>
              <w:rPr>
                <w:rFonts w:ascii="Arial" w:hAnsi="Arial" w:cs="Arial"/>
                <w:color w:val="000000"/>
              </w:rPr>
            </w:pPr>
          </w:p>
        </w:tc>
      </w:tr>
      <w:tr w:rsidR="00B81577" w:rsidRPr="00B81577" w14:paraId="052AC6DA" w14:textId="77777777" w:rsidTr="004712A3">
        <w:trPr>
          <w:trHeight w:val="315"/>
          <w:jc w:val="center"/>
        </w:trPr>
        <w:tc>
          <w:tcPr>
            <w:tcW w:w="1727" w:type="dxa"/>
            <w:gridSpan w:val="2"/>
            <w:tcBorders>
              <w:top w:val="nil"/>
              <w:left w:val="nil"/>
              <w:bottom w:val="single" w:sz="8" w:space="0" w:color="auto"/>
              <w:right w:val="nil"/>
            </w:tcBorders>
            <w:noWrap/>
            <w:vAlign w:val="center"/>
            <w:hideMark/>
          </w:tcPr>
          <w:p w14:paraId="1FDD18DE" w14:textId="77777777" w:rsidR="00B81577" w:rsidRPr="00B81577" w:rsidRDefault="00B81577" w:rsidP="004712A3">
            <w:pPr>
              <w:jc w:val="center"/>
              <w:rPr>
                <w:rFonts w:ascii="Arial" w:hAnsi="Arial" w:cs="Arial"/>
                <w:color w:val="000000"/>
              </w:rPr>
            </w:pPr>
            <w:r w:rsidRPr="00B81577">
              <w:rPr>
                <w:rFonts w:ascii="Arial" w:hAnsi="Arial" w:cs="Arial"/>
                <w:color w:val="000000"/>
              </w:rPr>
              <w:t>Total</w:t>
            </w:r>
          </w:p>
        </w:tc>
        <w:tc>
          <w:tcPr>
            <w:tcW w:w="1051" w:type="dxa"/>
            <w:gridSpan w:val="2"/>
            <w:tcBorders>
              <w:top w:val="nil"/>
              <w:left w:val="nil"/>
              <w:bottom w:val="single" w:sz="8" w:space="0" w:color="auto"/>
              <w:right w:val="nil"/>
            </w:tcBorders>
            <w:noWrap/>
            <w:vAlign w:val="center"/>
            <w:hideMark/>
          </w:tcPr>
          <w:p w14:paraId="000FCA81" w14:textId="77777777" w:rsidR="00B81577" w:rsidRPr="00B81577" w:rsidRDefault="00B81577" w:rsidP="004712A3">
            <w:pPr>
              <w:jc w:val="center"/>
              <w:rPr>
                <w:rFonts w:ascii="Arial" w:hAnsi="Arial" w:cs="Arial"/>
                <w:color w:val="000000"/>
              </w:rPr>
            </w:pPr>
            <w:r w:rsidRPr="00B81577">
              <w:rPr>
                <w:rFonts w:ascii="Arial" w:hAnsi="Arial" w:cs="Arial"/>
                <w:color w:val="000000"/>
              </w:rPr>
              <w:t>206.3091</w:t>
            </w:r>
          </w:p>
        </w:tc>
        <w:tc>
          <w:tcPr>
            <w:tcW w:w="939" w:type="dxa"/>
            <w:gridSpan w:val="2"/>
            <w:tcBorders>
              <w:top w:val="nil"/>
              <w:left w:val="nil"/>
              <w:bottom w:val="single" w:sz="8" w:space="0" w:color="auto"/>
              <w:right w:val="nil"/>
            </w:tcBorders>
            <w:noWrap/>
            <w:vAlign w:val="center"/>
            <w:hideMark/>
          </w:tcPr>
          <w:p w14:paraId="78D85FC5" w14:textId="77777777" w:rsidR="00B81577" w:rsidRPr="00B81577" w:rsidRDefault="00B81577" w:rsidP="004712A3">
            <w:pPr>
              <w:jc w:val="center"/>
              <w:rPr>
                <w:rFonts w:ascii="Arial" w:hAnsi="Arial" w:cs="Arial"/>
                <w:color w:val="000000"/>
              </w:rPr>
            </w:pPr>
            <w:r w:rsidRPr="00B81577">
              <w:rPr>
                <w:rFonts w:ascii="Arial" w:hAnsi="Arial" w:cs="Arial"/>
                <w:color w:val="000000"/>
              </w:rPr>
              <w:t>11</w:t>
            </w:r>
          </w:p>
        </w:tc>
        <w:tc>
          <w:tcPr>
            <w:tcW w:w="1051" w:type="dxa"/>
            <w:gridSpan w:val="2"/>
            <w:tcBorders>
              <w:top w:val="nil"/>
              <w:left w:val="nil"/>
              <w:bottom w:val="single" w:sz="8" w:space="0" w:color="auto"/>
              <w:right w:val="nil"/>
            </w:tcBorders>
            <w:noWrap/>
            <w:vAlign w:val="center"/>
            <w:hideMark/>
          </w:tcPr>
          <w:p w14:paraId="1FDF0F84"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single" w:sz="8" w:space="0" w:color="auto"/>
              <w:right w:val="nil"/>
            </w:tcBorders>
            <w:noWrap/>
            <w:vAlign w:val="center"/>
            <w:hideMark/>
          </w:tcPr>
          <w:p w14:paraId="4B63014F"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single" w:sz="8" w:space="0" w:color="auto"/>
              <w:right w:val="nil"/>
            </w:tcBorders>
            <w:noWrap/>
            <w:vAlign w:val="center"/>
            <w:hideMark/>
          </w:tcPr>
          <w:p w14:paraId="3036230B" w14:textId="77777777" w:rsidR="00B81577" w:rsidRPr="00B81577" w:rsidRDefault="00B81577" w:rsidP="004712A3">
            <w:pPr>
              <w:jc w:val="center"/>
              <w:rPr>
                <w:rFonts w:ascii="Arial" w:hAnsi="Arial" w:cs="Arial"/>
                <w:color w:val="000000"/>
              </w:rPr>
            </w:pPr>
          </w:p>
        </w:tc>
        <w:tc>
          <w:tcPr>
            <w:tcW w:w="1051" w:type="dxa"/>
            <w:tcBorders>
              <w:top w:val="nil"/>
              <w:left w:val="nil"/>
              <w:bottom w:val="single" w:sz="8" w:space="0" w:color="auto"/>
              <w:right w:val="nil"/>
            </w:tcBorders>
            <w:noWrap/>
            <w:vAlign w:val="center"/>
            <w:hideMark/>
          </w:tcPr>
          <w:p w14:paraId="27EB33B1" w14:textId="77777777" w:rsidR="00B81577" w:rsidRPr="00B81577" w:rsidRDefault="00B81577" w:rsidP="004712A3">
            <w:pPr>
              <w:jc w:val="center"/>
              <w:rPr>
                <w:rFonts w:ascii="Arial" w:hAnsi="Arial" w:cs="Arial"/>
                <w:color w:val="000000"/>
              </w:rPr>
            </w:pPr>
          </w:p>
        </w:tc>
      </w:tr>
    </w:tbl>
    <w:p w14:paraId="551B397D" w14:textId="77777777" w:rsidR="00B81577" w:rsidRPr="00B81577" w:rsidRDefault="00B81577" w:rsidP="00B81577">
      <w:pPr>
        <w:pStyle w:val="NormalWeb"/>
        <w:spacing w:line="276" w:lineRule="auto"/>
        <w:jc w:val="both"/>
        <w:rPr>
          <w:rFonts w:ascii="Arial" w:hAnsi="Arial" w:cs="Arial"/>
          <w:sz w:val="20"/>
        </w:rPr>
      </w:pPr>
      <w:r w:rsidRPr="00B81577">
        <w:rPr>
          <w:rFonts w:ascii="Arial" w:hAnsi="Arial" w:cs="Arial"/>
          <w:sz w:val="20"/>
        </w:rPr>
        <w:t>The results of the two-way analysis of variance without replication showed that the type of metal has a statistically significant effect on removal efficiency (F=1080.87; p&lt;0.001), whereas contact time in the range of 0 to 30 min</w:t>
      </w:r>
      <w:r w:rsidR="00143D35">
        <w:rPr>
          <w:rFonts w:ascii="Arial" w:hAnsi="Arial" w:cs="Arial"/>
          <w:sz w:val="20"/>
        </w:rPr>
        <w:t>.</w:t>
      </w:r>
      <w:r w:rsidRPr="00B81577">
        <w:rPr>
          <w:rFonts w:ascii="Arial" w:hAnsi="Arial" w:cs="Arial"/>
          <w:sz w:val="20"/>
        </w:rPr>
        <w:t xml:space="preserve"> did not have a statistically significant effect (p=0.299).</w:t>
      </w:r>
      <w:r>
        <w:rPr>
          <w:rFonts w:ascii="Arial" w:hAnsi="Arial" w:cs="Arial"/>
          <w:sz w:val="20"/>
        </w:rPr>
        <w:t xml:space="preserve"> </w:t>
      </w:r>
      <w:r w:rsidRPr="00B81577">
        <w:rPr>
          <w:rFonts w:ascii="Arial" w:hAnsi="Arial" w:cs="Arial"/>
          <w:sz w:val="20"/>
        </w:rPr>
        <w:t>The observed differences in removal efficiency among the metals are associated with their distinct chemical properties and their tendency toward hydroxide precipitation, with Pb</w:t>
      </w:r>
      <w:r w:rsidR="00143D35">
        <w:rPr>
          <w:rFonts w:ascii="Arial" w:hAnsi="Arial" w:cs="Arial"/>
          <w:sz w:val="20"/>
        </w:rPr>
        <w:t>(II)</w:t>
      </w:r>
      <w:r w:rsidRPr="00B81577">
        <w:rPr>
          <w:rFonts w:ascii="Arial" w:hAnsi="Arial" w:cs="Arial"/>
          <w:sz w:val="20"/>
        </w:rPr>
        <w:t xml:space="preserve"> exhibiting the lowest efficiency values. The absence of a significant effect of contact time indicates that the precipitation process occurs rapidly and that equilibrium is reached in the early stages of the process.</w:t>
      </w:r>
    </w:p>
    <w:tbl>
      <w:tblPr>
        <w:tblW w:w="8045" w:type="dxa"/>
        <w:jc w:val="center"/>
        <w:tblLook w:val="04A0" w:firstRow="1" w:lastRow="0" w:firstColumn="1" w:lastColumn="0" w:noHBand="0" w:noVBand="1"/>
      </w:tblPr>
      <w:tblGrid>
        <w:gridCol w:w="1727"/>
        <w:gridCol w:w="1053"/>
        <w:gridCol w:w="1053"/>
        <w:gridCol w:w="1053"/>
        <w:gridCol w:w="1053"/>
        <w:gridCol w:w="1053"/>
        <w:gridCol w:w="1053"/>
      </w:tblGrid>
      <w:tr w:rsidR="003414D4" w:rsidRPr="004712A3" w14:paraId="19C8D7EA" w14:textId="77777777" w:rsidTr="003414D4">
        <w:trPr>
          <w:trHeight w:val="300"/>
          <w:jc w:val="center"/>
        </w:trPr>
        <w:tc>
          <w:tcPr>
            <w:tcW w:w="8045" w:type="dxa"/>
            <w:gridSpan w:val="7"/>
            <w:noWrap/>
            <w:vAlign w:val="center"/>
            <w:hideMark/>
          </w:tcPr>
          <w:p w14:paraId="10795544" w14:textId="77777777" w:rsidR="003414D4" w:rsidRPr="003414D4" w:rsidRDefault="003414D4" w:rsidP="004712A3">
            <w:pPr>
              <w:jc w:val="center"/>
              <w:rPr>
                <w:rFonts w:ascii="Arial" w:hAnsi="Arial" w:cs="Arial"/>
                <w:b/>
                <w:color w:val="000000"/>
              </w:rPr>
            </w:pPr>
            <w:r w:rsidRPr="003414D4">
              <w:rPr>
                <w:rFonts w:ascii="Arial" w:hAnsi="Arial" w:cs="Arial"/>
                <w:b/>
                <w:color w:val="000000"/>
              </w:rPr>
              <w:t>Table 3. Results of the two-way analysis of variance (ANOVA) without replication assessing the influence of metal type and stirring speed on removal efficiency in binary mixtures</w:t>
            </w:r>
          </w:p>
        </w:tc>
      </w:tr>
      <w:tr w:rsidR="00B81577" w:rsidRPr="004712A3" w14:paraId="582E97F3" w14:textId="77777777" w:rsidTr="003414D4">
        <w:trPr>
          <w:trHeight w:val="315"/>
          <w:jc w:val="center"/>
        </w:trPr>
        <w:tc>
          <w:tcPr>
            <w:tcW w:w="1727" w:type="dxa"/>
            <w:tcBorders>
              <w:left w:val="nil"/>
              <w:bottom w:val="nil"/>
              <w:right w:val="nil"/>
            </w:tcBorders>
            <w:noWrap/>
            <w:vAlign w:val="center"/>
            <w:hideMark/>
          </w:tcPr>
          <w:p w14:paraId="490FE70D" w14:textId="77777777" w:rsidR="00B81577" w:rsidRPr="004712A3" w:rsidRDefault="00B81577" w:rsidP="004712A3">
            <w:pPr>
              <w:jc w:val="center"/>
              <w:rPr>
                <w:rFonts w:ascii="Arial" w:hAnsi="Arial" w:cs="Arial"/>
                <w:color w:val="000000"/>
              </w:rPr>
            </w:pPr>
          </w:p>
        </w:tc>
        <w:tc>
          <w:tcPr>
            <w:tcW w:w="1053" w:type="dxa"/>
            <w:tcBorders>
              <w:left w:val="nil"/>
              <w:bottom w:val="nil"/>
              <w:right w:val="nil"/>
            </w:tcBorders>
            <w:noWrap/>
            <w:vAlign w:val="center"/>
            <w:hideMark/>
          </w:tcPr>
          <w:p w14:paraId="021FBCA9" w14:textId="77777777" w:rsidR="00B81577" w:rsidRPr="004712A3" w:rsidRDefault="00B81577" w:rsidP="004712A3">
            <w:pPr>
              <w:jc w:val="center"/>
              <w:rPr>
                <w:rFonts w:ascii="Arial" w:hAnsi="Arial" w:cs="Arial"/>
                <w:color w:val="000000"/>
              </w:rPr>
            </w:pPr>
          </w:p>
        </w:tc>
        <w:tc>
          <w:tcPr>
            <w:tcW w:w="1053" w:type="dxa"/>
            <w:tcBorders>
              <w:left w:val="nil"/>
              <w:bottom w:val="nil"/>
              <w:right w:val="nil"/>
            </w:tcBorders>
            <w:noWrap/>
            <w:vAlign w:val="center"/>
            <w:hideMark/>
          </w:tcPr>
          <w:p w14:paraId="16955831" w14:textId="77777777" w:rsidR="00B81577" w:rsidRPr="004712A3" w:rsidRDefault="00B81577" w:rsidP="004712A3">
            <w:pPr>
              <w:jc w:val="center"/>
              <w:rPr>
                <w:rFonts w:ascii="Arial" w:hAnsi="Arial" w:cs="Arial"/>
                <w:color w:val="000000"/>
              </w:rPr>
            </w:pPr>
          </w:p>
        </w:tc>
        <w:tc>
          <w:tcPr>
            <w:tcW w:w="1053" w:type="dxa"/>
            <w:tcBorders>
              <w:left w:val="nil"/>
              <w:bottom w:val="nil"/>
              <w:right w:val="nil"/>
            </w:tcBorders>
            <w:noWrap/>
            <w:vAlign w:val="center"/>
            <w:hideMark/>
          </w:tcPr>
          <w:p w14:paraId="7A651D80" w14:textId="77777777" w:rsidR="00B81577" w:rsidRPr="004712A3" w:rsidRDefault="00B81577" w:rsidP="004712A3">
            <w:pPr>
              <w:jc w:val="center"/>
              <w:rPr>
                <w:rFonts w:ascii="Arial" w:hAnsi="Arial" w:cs="Arial"/>
                <w:color w:val="000000"/>
              </w:rPr>
            </w:pPr>
          </w:p>
        </w:tc>
        <w:tc>
          <w:tcPr>
            <w:tcW w:w="1053" w:type="dxa"/>
            <w:tcBorders>
              <w:left w:val="nil"/>
              <w:bottom w:val="nil"/>
              <w:right w:val="nil"/>
            </w:tcBorders>
            <w:noWrap/>
            <w:vAlign w:val="center"/>
            <w:hideMark/>
          </w:tcPr>
          <w:p w14:paraId="1429B635" w14:textId="77777777" w:rsidR="00B81577" w:rsidRPr="004712A3" w:rsidRDefault="00B81577" w:rsidP="004712A3">
            <w:pPr>
              <w:jc w:val="center"/>
              <w:rPr>
                <w:rFonts w:ascii="Arial" w:hAnsi="Arial" w:cs="Arial"/>
                <w:color w:val="000000"/>
              </w:rPr>
            </w:pPr>
          </w:p>
        </w:tc>
        <w:tc>
          <w:tcPr>
            <w:tcW w:w="1053" w:type="dxa"/>
            <w:tcBorders>
              <w:left w:val="nil"/>
              <w:bottom w:val="nil"/>
              <w:right w:val="nil"/>
            </w:tcBorders>
            <w:noWrap/>
            <w:vAlign w:val="center"/>
            <w:hideMark/>
          </w:tcPr>
          <w:p w14:paraId="1F3FC8BA" w14:textId="77777777" w:rsidR="00B81577" w:rsidRPr="004712A3" w:rsidRDefault="00B81577" w:rsidP="004712A3">
            <w:pPr>
              <w:jc w:val="center"/>
              <w:rPr>
                <w:rFonts w:ascii="Arial" w:hAnsi="Arial" w:cs="Arial"/>
                <w:color w:val="000000"/>
              </w:rPr>
            </w:pPr>
          </w:p>
        </w:tc>
        <w:tc>
          <w:tcPr>
            <w:tcW w:w="1053" w:type="dxa"/>
            <w:tcBorders>
              <w:left w:val="nil"/>
              <w:bottom w:val="nil"/>
              <w:right w:val="nil"/>
            </w:tcBorders>
            <w:noWrap/>
            <w:vAlign w:val="center"/>
            <w:hideMark/>
          </w:tcPr>
          <w:p w14:paraId="6D044742" w14:textId="77777777" w:rsidR="00B81577" w:rsidRPr="004712A3" w:rsidRDefault="00B81577" w:rsidP="004712A3">
            <w:pPr>
              <w:jc w:val="center"/>
              <w:rPr>
                <w:rFonts w:ascii="Arial" w:hAnsi="Arial" w:cs="Arial"/>
                <w:color w:val="000000"/>
              </w:rPr>
            </w:pPr>
          </w:p>
        </w:tc>
      </w:tr>
      <w:tr w:rsidR="00B81577" w:rsidRPr="004712A3" w14:paraId="49362462" w14:textId="77777777" w:rsidTr="004712A3">
        <w:trPr>
          <w:trHeight w:val="300"/>
          <w:jc w:val="center"/>
        </w:trPr>
        <w:tc>
          <w:tcPr>
            <w:tcW w:w="1727" w:type="dxa"/>
            <w:tcBorders>
              <w:top w:val="single" w:sz="8" w:space="0" w:color="auto"/>
              <w:left w:val="nil"/>
              <w:bottom w:val="single" w:sz="4" w:space="0" w:color="auto"/>
              <w:right w:val="nil"/>
            </w:tcBorders>
            <w:noWrap/>
            <w:vAlign w:val="center"/>
            <w:hideMark/>
          </w:tcPr>
          <w:p w14:paraId="0E88318D"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SUMMARY</w:t>
            </w:r>
          </w:p>
        </w:tc>
        <w:tc>
          <w:tcPr>
            <w:tcW w:w="1053" w:type="dxa"/>
            <w:tcBorders>
              <w:top w:val="single" w:sz="8" w:space="0" w:color="auto"/>
              <w:left w:val="nil"/>
              <w:bottom w:val="single" w:sz="4" w:space="0" w:color="auto"/>
              <w:right w:val="nil"/>
            </w:tcBorders>
            <w:noWrap/>
            <w:vAlign w:val="center"/>
            <w:hideMark/>
          </w:tcPr>
          <w:p w14:paraId="19E1B3C2"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Count</w:t>
            </w:r>
          </w:p>
        </w:tc>
        <w:tc>
          <w:tcPr>
            <w:tcW w:w="1053" w:type="dxa"/>
            <w:tcBorders>
              <w:top w:val="single" w:sz="8" w:space="0" w:color="auto"/>
              <w:left w:val="nil"/>
              <w:bottom w:val="single" w:sz="4" w:space="0" w:color="auto"/>
              <w:right w:val="nil"/>
            </w:tcBorders>
            <w:noWrap/>
            <w:vAlign w:val="center"/>
            <w:hideMark/>
          </w:tcPr>
          <w:p w14:paraId="02B9E289"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Sum</w:t>
            </w:r>
          </w:p>
        </w:tc>
        <w:tc>
          <w:tcPr>
            <w:tcW w:w="1053" w:type="dxa"/>
            <w:tcBorders>
              <w:top w:val="single" w:sz="8" w:space="0" w:color="auto"/>
              <w:left w:val="nil"/>
              <w:bottom w:val="single" w:sz="4" w:space="0" w:color="auto"/>
              <w:right w:val="nil"/>
            </w:tcBorders>
            <w:noWrap/>
            <w:vAlign w:val="center"/>
            <w:hideMark/>
          </w:tcPr>
          <w:p w14:paraId="30345911"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Average</w:t>
            </w:r>
          </w:p>
        </w:tc>
        <w:tc>
          <w:tcPr>
            <w:tcW w:w="1053" w:type="dxa"/>
            <w:tcBorders>
              <w:top w:val="single" w:sz="8" w:space="0" w:color="auto"/>
              <w:left w:val="nil"/>
              <w:bottom w:val="single" w:sz="4" w:space="0" w:color="auto"/>
              <w:right w:val="nil"/>
            </w:tcBorders>
            <w:noWrap/>
            <w:vAlign w:val="center"/>
            <w:hideMark/>
          </w:tcPr>
          <w:p w14:paraId="6349BCF7"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Variance</w:t>
            </w:r>
          </w:p>
        </w:tc>
        <w:tc>
          <w:tcPr>
            <w:tcW w:w="1053" w:type="dxa"/>
            <w:tcBorders>
              <w:top w:val="nil"/>
              <w:left w:val="nil"/>
              <w:bottom w:val="nil"/>
              <w:right w:val="nil"/>
            </w:tcBorders>
            <w:noWrap/>
            <w:vAlign w:val="center"/>
            <w:hideMark/>
          </w:tcPr>
          <w:p w14:paraId="1EE32DC5"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C5F9079" w14:textId="77777777" w:rsidR="00B81577" w:rsidRPr="004712A3" w:rsidRDefault="00B81577" w:rsidP="004712A3">
            <w:pPr>
              <w:jc w:val="center"/>
              <w:rPr>
                <w:rFonts w:ascii="Arial" w:hAnsi="Arial" w:cs="Arial"/>
                <w:color w:val="000000"/>
              </w:rPr>
            </w:pPr>
          </w:p>
        </w:tc>
      </w:tr>
      <w:tr w:rsidR="00B81577" w:rsidRPr="004712A3" w14:paraId="4B7CB657" w14:textId="77777777" w:rsidTr="004712A3">
        <w:trPr>
          <w:trHeight w:val="300"/>
          <w:jc w:val="center"/>
        </w:trPr>
        <w:tc>
          <w:tcPr>
            <w:tcW w:w="1727" w:type="dxa"/>
            <w:tcBorders>
              <w:top w:val="nil"/>
              <w:left w:val="nil"/>
              <w:bottom w:val="nil"/>
              <w:right w:val="nil"/>
            </w:tcBorders>
            <w:noWrap/>
            <w:vAlign w:val="center"/>
            <w:hideMark/>
          </w:tcPr>
          <w:p w14:paraId="3D1EA6CF" w14:textId="77777777" w:rsidR="00B81577" w:rsidRPr="004712A3" w:rsidRDefault="00B81577" w:rsidP="004712A3">
            <w:pPr>
              <w:jc w:val="center"/>
              <w:rPr>
                <w:rFonts w:ascii="Arial" w:hAnsi="Arial" w:cs="Arial"/>
                <w:color w:val="000000"/>
              </w:rPr>
            </w:pPr>
            <w:proofErr w:type="spellStart"/>
            <w:r w:rsidRPr="004712A3">
              <w:rPr>
                <w:rFonts w:ascii="Arial" w:hAnsi="Arial" w:cs="Arial"/>
                <w:color w:val="000000"/>
              </w:rPr>
              <w:t>Cu+Ni</w:t>
            </w:r>
            <w:proofErr w:type="spellEnd"/>
          </w:p>
        </w:tc>
        <w:tc>
          <w:tcPr>
            <w:tcW w:w="1053" w:type="dxa"/>
            <w:tcBorders>
              <w:top w:val="nil"/>
              <w:left w:val="nil"/>
              <w:bottom w:val="nil"/>
              <w:right w:val="nil"/>
            </w:tcBorders>
            <w:noWrap/>
            <w:vAlign w:val="center"/>
            <w:hideMark/>
          </w:tcPr>
          <w:p w14:paraId="5BF2198E" w14:textId="77777777" w:rsidR="00B81577" w:rsidRPr="004712A3" w:rsidRDefault="00B81577" w:rsidP="004712A3">
            <w:pPr>
              <w:jc w:val="center"/>
              <w:rPr>
                <w:rFonts w:ascii="Arial" w:hAnsi="Arial" w:cs="Arial"/>
                <w:color w:val="000000"/>
              </w:rPr>
            </w:pPr>
            <w:r w:rsidRPr="004712A3">
              <w:rPr>
                <w:rFonts w:ascii="Arial" w:hAnsi="Arial" w:cs="Arial"/>
                <w:color w:val="000000"/>
              </w:rPr>
              <w:t>4</w:t>
            </w:r>
          </w:p>
        </w:tc>
        <w:tc>
          <w:tcPr>
            <w:tcW w:w="1053" w:type="dxa"/>
            <w:tcBorders>
              <w:top w:val="nil"/>
              <w:left w:val="nil"/>
              <w:bottom w:val="nil"/>
              <w:right w:val="nil"/>
            </w:tcBorders>
            <w:noWrap/>
            <w:vAlign w:val="center"/>
            <w:hideMark/>
          </w:tcPr>
          <w:p w14:paraId="71CB4BED" w14:textId="77777777" w:rsidR="00B81577" w:rsidRPr="004712A3" w:rsidRDefault="00B81577" w:rsidP="004712A3">
            <w:pPr>
              <w:jc w:val="center"/>
              <w:rPr>
                <w:rFonts w:ascii="Arial" w:hAnsi="Arial" w:cs="Arial"/>
                <w:color w:val="000000"/>
              </w:rPr>
            </w:pPr>
            <w:r w:rsidRPr="004712A3">
              <w:rPr>
                <w:rFonts w:ascii="Arial" w:hAnsi="Arial" w:cs="Arial"/>
                <w:color w:val="000000"/>
              </w:rPr>
              <w:t>383.5765</w:t>
            </w:r>
          </w:p>
        </w:tc>
        <w:tc>
          <w:tcPr>
            <w:tcW w:w="1053" w:type="dxa"/>
            <w:tcBorders>
              <w:top w:val="nil"/>
              <w:left w:val="nil"/>
              <w:bottom w:val="nil"/>
              <w:right w:val="nil"/>
            </w:tcBorders>
            <w:noWrap/>
            <w:vAlign w:val="center"/>
            <w:hideMark/>
          </w:tcPr>
          <w:p w14:paraId="1F2CC028" w14:textId="77777777" w:rsidR="00B81577" w:rsidRPr="004712A3" w:rsidRDefault="00B81577" w:rsidP="004712A3">
            <w:pPr>
              <w:jc w:val="center"/>
              <w:rPr>
                <w:rFonts w:ascii="Arial" w:hAnsi="Arial" w:cs="Arial"/>
                <w:color w:val="000000"/>
              </w:rPr>
            </w:pPr>
            <w:r w:rsidRPr="004712A3">
              <w:rPr>
                <w:rFonts w:ascii="Arial" w:hAnsi="Arial" w:cs="Arial"/>
                <w:color w:val="000000"/>
              </w:rPr>
              <w:t>95.89413</w:t>
            </w:r>
          </w:p>
        </w:tc>
        <w:tc>
          <w:tcPr>
            <w:tcW w:w="1053" w:type="dxa"/>
            <w:tcBorders>
              <w:top w:val="nil"/>
              <w:left w:val="nil"/>
              <w:bottom w:val="nil"/>
              <w:right w:val="nil"/>
            </w:tcBorders>
            <w:noWrap/>
            <w:vAlign w:val="center"/>
            <w:hideMark/>
          </w:tcPr>
          <w:p w14:paraId="12D47827" w14:textId="77777777" w:rsidR="00B81577" w:rsidRPr="004712A3" w:rsidRDefault="00B81577" w:rsidP="004712A3">
            <w:pPr>
              <w:jc w:val="center"/>
              <w:rPr>
                <w:rFonts w:ascii="Arial" w:hAnsi="Arial" w:cs="Arial"/>
                <w:color w:val="000000"/>
              </w:rPr>
            </w:pPr>
            <w:r w:rsidRPr="004712A3">
              <w:rPr>
                <w:rFonts w:ascii="Arial" w:hAnsi="Arial" w:cs="Arial"/>
                <w:color w:val="000000"/>
              </w:rPr>
              <w:t>0.001989</w:t>
            </w:r>
          </w:p>
        </w:tc>
        <w:tc>
          <w:tcPr>
            <w:tcW w:w="1053" w:type="dxa"/>
            <w:tcBorders>
              <w:top w:val="nil"/>
              <w:left w:val="nil"/>
              <w:bottom w:val="nil"/>
              <w:right w:val="nil"/>
            </w:tcBorders>
            <w:noWrap/>
            <w:vAlign w:val="center"/>
            <w:hideMark/>
          </w:tcPr>
          <w:p w14:paraId="7C123DCA"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62D9757A" w14:textId="77777777" w:rsidR="00B81577" w:rsidRPr="004712A3" w:rsidRDefault="00B81577" w:rsidP="004712A3">
            <w:pPr>
              <w:jc w:val="center"/>
              <w:rPr>
                <w:rFonts w:ascii="Arial" w:hAnsi="Arial" w:cs="Arial"/>
                <w:color w:val="000000"/>
              </w:rPr>
            </w:pPr>
          </w:p>
        </w:tc>
      </w:tr>
      <w:tr w:rsidR="00B81577" w:rsidRPr="004712A3" w14:paraId="1E41A554" w14:textId="77777777" w:rsidTr="004712A3">
        <w:trPr>
          <w:trHeight w:val="300"/>
          <w:jc w:val="center"/>
        </w:trPr>
        <w:tc>
          <w:tcPr>
            <w:tcW w:w="1727" w:type="dxa"/>
            <w:tcBorders>
              <w:top w:val="nil"/>
              <w:left w:val="nil"/>
              <w:bottom w:val="nil"/>
              <w:right w:val="nil"/>
            </w:tcBorders>
            <w:noWrap/>
            <w:vAlign w:val="center"/>
            <w:hideMark/>
          </w:tcPr>
          <w:p w14:paraId="0A6C0C76" w14:textId="77777777" w:rsidR="00B81577" w:rsidRPr="004712A3" w:rsidRDefault="00B81577" w:rsidP="004712A3">
            <w:pPr>
              <w:jc w:val="center"/>
              <w:rPr>
                <w:rFonts w:ascii="Arial" w:hAnsi="Arial" w:cs="Arial"/>
                <w:color w:val="000000"/>
              </w:rPr>
            </w:pPr>
            <w:proofErr w:type="spellStart"/>
            <w:r w:rsidRPr="004712A3">
              <w:rPr>
                <w:rFonts w:ascii="Arial" w:hAnsi="Arial" w:cs="Arial"/>
                <w:color w:val="000000"/>
              </w:rPr>
              <w:t>Pb+Zn</w:t>
            </w:r>
            <w:proofErr w:type="spellEnd"/>
          </w:p>
        </w:tc>
        <w:tc>
          <w:tcPr>
            <w:tcW w:w="1053" w:type="dxa"/>
            <w:tcBorders>
              <w:top w:val="nil"/>
              <w:left w:val="nil"/>
              <w:bottom w:val="nil"/>
              <w:right w:val="nil"/>
            </w:tcBorders>
            <w:noWrap/>
            <w:vAlign w:val="center"/>
            <w:hideMark/>
          </w:tcPr>
          <w:p w14:paraId="6E26D113" w14:textId="77777777" w:rsidR="00B81577" w:rsidRPr="004712A3" w:rsidRDefault="00B81577" w:rsidP="004712A3">
            <w:pPr>
              <w:jc w:val="center"/>
              <w:rPr>
                <w:rFonts w:ascii="Arial" w:hAnsi="Arial" w:cs="Arial"/>
                <w:color w:val="000000"/>
              </w:rPr>
            </w:pPr>
            <w:r w:rsidRPr="004712A3">
              <w:rPr>
                <w:rFonts w:ascii="Arial" w:hAnsi="Arial" w:cs="Arial"/>
                <w:color w:val="000000"/>
              </w:rPr>
              <w:t>4</w:t>
            </w:r>
          </w:p>
        </w:tc>
        <w:tc>
          <w:tcPr>
            <w:tcW w:w="1053" w:type="dxa"/>
            <w:tcBorders>
              <w:top w:val="nil"/>
              <w:left w:val="nil"/>
              <w:bottom w:val="nil"/>
              <w:right w:val="nil"/>
            </w:tcBorders>
            <w:noWrap/>
            <w:vAlign w:val="center"/>
            <w:hideMark/>
          </w:tcPr>
          <w:p w14:paraId="622FA74F" w14:textId="77777777" w:rsidR="00B81577" w:rsidRPr="004712A3" w:rsidRDefault="00B81577" w:rsidP="004712A3">
            <w:pPr>
              <w:jc w:val="center"/>
              <w:rPr>
                <w:rFonts w:ascii="Arial" w:hAnsi="Arial" w:cs="Arial"/>
                <w:color w:val="000000"/>
              </w:rPr>
            </w:pPr>
            <w:r w:rsidRPr="004712A3">
              <w:rPr>
                <w:rFonts w:ascii="Arial" w:hAnsi="Arial" w:cs="Arial"/>
                <w:color w:val="000000"/>
              </w:rPr>
              <w:t>395.1955</w:t>
            </w:r>
          </w:p>
        </w:tc>
        <w:tc>
          <w:tcPr>
            <w:tcW w:w="1053" w:type="dxa"/>
            <w:tcBorders>
              <w:top w:val="nil"/>
              <w:left w:val="nil"/>
              <w:bottom w:val="nil"/>
              <w:right w:val="nil"/>
            </w:tcBorders>
            <w:noWrap/>
            <w:vAlign w:val="center"/>
            <w:hideMark/>
          </w:tcPr>
          <w:p w14:paraId="593260A2" w14:textId="77777777" w:rsidR="00B81577" w:rsidRPr="004712A3" w:rsidRDefault="00B81577" w:rsidP="004712A3">
            <w:pPr>
              <w:jc w:val="center"/>
              <w:rPr>
                <w:rFonts w:ascii="Arial" w:hAnsi="Arial" w:cs="Arial"/>
                <w:color w:val="000000"/>
              </w:rPr>
            </w:pPr>
            <w:r w:rsidRPr="004712A3">
              <w:rPr>
                <w:rFonts w:ascii="Arial" w:hAnsi="Arial" w:cs="Arial"/>
                <w:color w:val="000000"/>
              </w:rPr>
              <w:t>98.79888</w:t>
            </w:r>
          </w:p>
        </w:tc>
        <w:tc>
          <w:tcPr>
            <w:tcW w:w="1053" w:type="dxa"/>
            <w:tcBorders>
              <w:top w:val="nil"/>
              <w:left w:val="nil"/>
              <w:bottom w:val="nil"/>
              <w:right w:val="nil"/>
            </w:tcBorders>
            <w:noWrap/>
            <w:vAlign w:val="center"/>
            <w:hideMark/>
          </w:tcPr>
          <w:p w14:paraId="7CB20602" w14:textId="77777777" w:rsidR="00B81577" w:rsidRPr="004712A3" w:rsidRDefault="00B81577" w:rsidP="004712A3">
            <w:pPr>
              <w:jc w:val="center"/>
              <w:rPr>
                <w:rFonts w:ascii="Arial" w:hAnsi="Arial" w:cs="Arial"/>
                <w:color w:val="000000"/>
              </w:rPr>
            </w:pPr>
            <w:r w:rsidRPr="004712A3">
              <w:rPr>
                <w:rFonts w:ascii="Arial" w:hAnsi="Arial" w:cs="Arial"/>
                <w:color w:val="000000"/>
              </w:rPr>
              <w:t>0.028875</w:t>
            </w:r>
          </w:p>
        </w:tc>
        <w:tc>
          <w:tcPr>
            <w:tcW w:w="1053" w:type="dxa"/>
            <w:tcBorders>
              <w:top w:val="nil"/>
              <w:left w:val="nil"/>
              <w:bottom w:val="nil"/>
              <w:right w:val="nil"/>
            </w:tcBorders>
            <w:noWrap/>
            <w:vAlign w:val="center"/>
            <w:hideMark/>
          </w:tcPr>
          <w:p w14:paraId="549D6ECA"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6B02329" w14:textId="77777777" w:rsidR="00B81577" w:rsidRPr="004712A3" w:rsidRDefault="00B81577" w:rsidP="004712A3">
            <w:pPr>
              <w:jc w:val="center"/>
              <w:rPr>
                <w:rFonts w:ascii="Arial" w:hAnsi="Arial" w:cs="Arial"/>
                <w:color w:val="000000"/>
              </w:rPr>
            </w:pPr>
          </w:p>
        </w:tc>
      </w:tr>
      <w:tr w:rsidR="00B81577" w:rsidRPr="004712A3" w14:paraId="019DD9C1" w14:textId="77777777" w:rsidTr="004712A3">
        <w:trPr>
          <w:trHeight w:val="300"/>
          <w:jc w:val="center"/>
        </w:trPr>
        <w:tc>
          <w:tcPr>
            <w:tcW w:w="1727" w:type="dxa"/>
            <w:tcBorders>
              <w:top w:val="nil"/>
              <w:left w:val="nil"/>
              <w:bottom w:val="nil"/>
              <w:right w:val="nil"/>
            </w:tcBorders>
            <w:noWrap/>
            <w:vAlign w:val="center"/>
            <w:hideMark/>
          </w:tcPr>
          <w:p w14:paraId="57703B4A"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79F736F"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B1C0BDF"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4E00135F"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3F4078A"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3D225C7"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60002BD1" w14:textId="77777777" w:rsidR="00B81577" w:rsidRPr="004712A3" w:rsidRDefault="00B81577" w:rsidP="004712A3">
            <w:pPr>
              <w:jc w:val="center"/>
              <w:rPr>
                <w:rFonts w:ascii="Arial" w:hAnsi="Arial" w:cs="Arial"/>
                <w:color w:val="000000"/>
              </w:rPr>
            </w:pPr>
          </w:p>
        </w:tc>
      </w:tr>
      <w:tr w:rsidR="00B81577" w:rsidRPr="004712A3" w14:paraId="3E14FAB7" w14:textId="77777777" w:rsidTr="004712A3">
        <w:trPr>
          <w:trHeight w:val="300"/>
          <w:jc w:val="center"/>
        </w:trPr>
        <w:tc>
          <w:tcPr>
            <w:tcW w:w="1727" w:type="dxa"/>
            <w:tcBorders>
              <w:top w:val="nil"/>
              <w:left w:val="nil"/>
              <w:bottom w:val="nil"/>
              <w:right w:val="nil"/>
            </w:tcBorders>
            <w:noWrap/>
            <w:vAlign w:val="center"/>
            <w:hideMark/>
          </w:tcPr>
          <w:p w14:paraId="1FB77903" w14:textId="77777777" w:rsidR="00B81577" w:rsidRPr="004712A3" w:rsidRDefault="00B81577" w:rsidP="004712A3">
            <w:pPr>
              <w:jc w:val="center"/>
              <w:rPr>
                <w:rFonts w:ascii="Arial" w:hAnsi="Arial" w:cs="Arial"/>
                <w:color w:val="000000"/>
              </w:rPr>
            </w:pPr>
            <w:r w:rsidRPr="004712A3">
              <w:rPr>
                <w:rFonts w:ascii="Arial" w:hAnsi="Arial" w:cs="Arial"/>
                <w:color w:val="000000"/>
              </w:rPr>
              <w:t>0</w:t>
            </w:r>
          </w:p>
        </w:tc>
        <w:tc>
          <w:tcPr>
            <w:tcW w:w="1053" w:type="dxa"/>
            <w:tcBorders>
              <w:top w:val="nil"/>
              <w:left w:val="nil"/>
              <w:bottom w:val="nil"/>
              <w:right w:val="nil"/>
            </w:tcBorders>
            <w:noWrap/>
            <w:vAlign w:val="center"/>
            <w:hideMark/>
          </w:tcPr>
          <w:p w14:paraId="5CAA2EE6" w14:textId="77777777" w:rsidR="00B81577" w:rsidRPr="004712A3" w:rsidRDefault="00B81577" w:rsidP="004712A3">
            <w:pPr>
              <w:jc w:val="center"/>
              <w:rPr>
                <w:rFonts w:ascii="Arial" w:hAnsi="Arial" w:cs="Arial"/>
                <w:color w:val="000000"/>
              </w:rPr>
            </w:pPr>
            <w:r w:rsidRPr="004712A3">
              <w:rPr>
                <w:rFonts w:ascii="Arial" w:hAnsi="Arial" w:cs="Arial"/>
                <w:color w:val="000000"/>
              </w:rPr>
              <w:t>2</w:t>
            </w:r>
          </w:p>
        </w:tc>
        <w:tc>
          <w:tcPr>
            <w:tcW w:w="1053" w:type="dxa"/>
            <w:tcBorders>
              <w:top w:val="nil"/>
              <w:left w:val="nil"/>
              <w:bottom w:val="nil"/>
              <w:right w:val="nil"/>
            </w:tcBorders>
            <w:noWrap/>
            <w:vAlign w:val="center"/>
            <w:hideMark/>
          </w:tcPr>
          <w:p w14:paraId="07D6057D" w14:textId="77777777" w:rsidR="00B81577" w:rsidRPr="004712A3" w:rsidRDefault="00B81577" w:rsidP="004712A3">
            <w:pPr>
              <w:jc w:val="center"/>
              <w:rPr>
                <w:rFonts w:ascii="Arial" w:hAnsi="Arial" w:cs="Arial"/>
                <w:color w:val="000000"/>
              </w:rPr>
            </w:pPr>
            <w:r w:rsidRPr="004712A3">
              <w:rPr>
                <w:rFonts w:ascii="Arial" w:hAnsi="Arial" w:cs="Arial"/>
                <w:color w:val="000000"/>
              </w:rPr>
              <w:t>194.567</w:t>
            </w:r>
          </w:p>
        </w:tc>
        <w:tc>
          <w:tcPr>
            <w:tcW w:w="1053" w:type="dxa"/>
            <w:tcBorders>
              <w:top w:val="nil"/>
              <w:left w:val="nil"/>
              <w:bottom w:val="nil"/>
              <w:right w:val="nil"/>
            </w:tcBorders>
            <w:noWrap/>
            <w:vAlign w:val="center"/>
            <w:hideMark/>
          </w:tcPr>
          <w:p w14:paraId="389D32A0" w14:textId="77777777" w:rsidR="00B81577" w:rsidRPr="004712A3" w:rsidRDefault="00B81577" w:rsidP="004712A3">
            <w:pPr>
              <w:jc w:val="center"/>
              <w:rPr>
                <w:rFonts w:ascii="Arial" w:hAnsi="Arial" w:cs="Arial"/>
                <w:color w:val="000000"/>
              </w:rPr>
            </w:pPr>
            <w:r w:rsidRPr="004712A3">
              <w:rPr>
                <w:rFonts w:ascii="Arial" w:hAnsi="Arial" w:cs="Arial"/>
                <w:color w:val="000000"/>
              </w:rPr>
              <w:t>97.2835</w:t>
            </w:r>
          </w:p>
        </w:tc>
        <w:tc>
          <w:tcPr>
            <w:tcW w:w="1053" w:type="dxa"/>
            <w:tcBorders>
              <w:top w:val="nil"/>
              <w:left w:val="nil"/>
              <w:bottom w:val="nil"/>
              <w:right w:val="nil"/>
            </w:tcBorders>
            <w:noWrap/>
            <w:vAlign w:val="center"/>
            <w:hideMark/>
          </w:tcPr>
          <w:p w14:paraId="01ABF008" w14:textId="77777777" w:rsidR="00B81577" w:rsidRPr="004712A3" w:rsidRDefault="00B81577" w:rsidP="004712A3">
            <w:pPr>
              <w:jc w:val="center"/>
              <w:rPr>
                <w:rFonts w:ascii="Arial" w:hAnsi="Arial" w:cs="Arial"/>
                <w:color w:val="000000"/>
              </w:rPr>
            </w:pPr>
            <w:r w:rsidRPr="004712A3">
              <w:rPr>
                <w:rFonts w:ascii="Arial" w:hAnsi="Arial" w:cs="Arial"/>
                <w:color w:val="000000"/>
              </w:rPr>
              <w:t>3.9762</w:t>
            </w:r>
          </w:p>
        </w:tc>
        <w:tc>
          <w:tcPr>
            <w:tcW w:w="1053" w:type="dxa"/>
            <w:tcBorders>
              <w:top w:val="nil"/>
              <w:left w:val="nil"/>
              <w:bottom w:val="nil"/>
              <w:right w:val="nil"/>
            </w:tcBorders>
            <w:noWrap/>
            <w:vAlign w:val="center"/>
            <w:hideMark/>
          </w:tcPr>
          <w:p w14:paraId="3C241675"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4F7E5F25" w14:textId="77777777" w:rsidR="00B81577" w:rsidRPr="004712A3" w:rsidRDefault="00B81577" w:rsidP="004712A3">
            <w:pPr>
              <w:jc w:val="center"/>
              <w:rPr>
                <w:rFonts w:ascii="Arial" w:hAnsi="Arial" w:cs="Arial"/>
                <w:color w:val="000000"/>
              </w:rPr>
            </w:pPr>
          </w:p>
        </w:tc>
      </w:tr>
      <w:tr w:rsidR="00B81577" w:rsidRPr="004712A3" w14:paraId="7F7D4BD7" w14:textId="77777777" w:rsidTr="004712A3">
        <w:trPr>
          <w:trHeight w:val="300"/>
          <w:jc w:val="center"/>
        </w:trPr>
        <w:tc>
          <w:tcPr>
            <w:tcW w:w="1727" w:type="dxa"/>
            <w:tcBorders>
              <w:top w:val="nil"/>
              <w:left w:val="nil"/>
              <w:bottom w:val="nil"/>
              <w:right w:val="nil"/>
            </w:tcBorders>
            <w:noWrap/>
            <w:vAlign w:val="center"/>
            <w:hideMark/>
          </w:tcPr>
          <w:p w14:paraId="45E30404" w14:textId="77777777" w:rsidR="00B81577" w:rsidRPr="004712A3" w:rsidRDefault="00B81577" w:rsidP="004712A3">
            <w:pPr>
              <w:jc w:val="center"/>
              <w:rPr>
                <w:rFonts w:ascii="Arial" w:hAnsi="Arial" w:cs="Arial"/>
                <w:color w:val="000000"/>
              </w:rPr>
            </w:pPr>
            <w:r w:rsidRPr="004712A3">
              <w:rPr>
                <w:rFonts w:ascii="Arial" w:hAnsi="Arial" w:cs="Arial"/>
                <w:color w:val="000000"/>
              </w:rPr>
              <w:t>100</w:t>
            </w:r>
          </w:p>
        </w:tc>
        <w:tc>
          <w:tcPr>
            <w:tcW w:w="1053" w:type="dxa"/>
            <w:tcBorders>
              <w:top w:val="nil"/>
              <w:left w:val="nil"/>
              <w:bottom w:val="nil"/>
              <w:right w:val="nil"/>
            </w:tcBorders>
            <w:noWrap/>
            <w:vAlign w:val="center"/>
            <w:hideMark/>
          </w:tcPr>
          <w:p w14:paraId="311DD682" w14:textId="77777777" w:rsidR="00B81577" w:rsidRPr="004712A3" w:rsidRDefault="00B81577" w:rsidP="004712A3">
            <w:pPr>
              <w:jc w:val="center"/>
              <w:rPr>
                <w:rFonts w:ascii="Arial" w:hAnsi="Arial" w:cs="Arial"/>
                <w:color w:val="000000"/>
              </w:rPr>
            </w:pPr>
            <w:r w:rsidRPr="004712A3">
              <w:rPr>
                <w:rFonts w:ascii="Arial" w:hAnsi="Arial" w:cs="Arial"/>
                <w:color w:val="000000"/>
              </w:rPr>
              <w:t>2</w:t>
            </w:r>
          </w:p>
        </w:tc>
        <w:tc>
          <w:tcPr>
            <w:tcW w:w="1053" w:type="dxa"/>
            <w:tcBorders>
              <w:top w:val="nil"/>
              <w:left w:val="nil"/>
              <w:bottom w:val="nil"/>
              <w:right w:val="nil"/>
            </w:tcBorders>
            <w:noWrap/>
            <w:vAlign w:val="center"/>
            <w:hideMark/>
          </w:tcPr>
          <w:p w14:paraId="60BB16E3" w14:textId="77777777" w:rsidR="00B81577" w:rsidRPr="004712A3" w:rsidRDefault="00B81577" w:rsidP="004712A3">
            <w:pPr>
              <w:jc w:val="center"/>
              <w:rPr>
                <w:rFonts w:ascii="Arial" w:hAnsi="Arial" w:cs="Arial"/>
                <w:color w:val="000000"/>
              </w:rPr>
            </w:pPr>
            <w:r w:rsidRPr="004712A3">
              <w:rPr>
                <w:rFonts w:ascii="Arial" w:hAnsi="Arial" w:cs="Arial"/>
                <w:color w:val="000000"/>
              </w:rPr>
              <w:t>194.883</w:t>
            </w:r>
          </w:p>
        </w:tc>
        <w:tc>
          <w:tcPr>
            <w:tcW w:w="1053" w:type="dxa"/>
            <w:tcBorders>
              <w:top w:val="nil"/>
              <w:left w:val="nil"/>
              <w:bottom w:val="nil"/>
              <w:right w:val="nil"/>
            </w:tcBorders>
            <w:noWrap/>
            <w:vAlign w:val="center"/>
            <w:hideMark/>
          </w:tcPr>
          <w:p w14:paraId="0469DE42" w14:textId="77777777" w:rsidR="00B81577" w:rsidRPr="004712A3" w:rsidRDefault="00B81577" w:rsidP="004712A3">
            <w:pPr>
              <w:jc w:val="center"/>
              <w:rPr>
                <w:rFonts w:ascii="Arial" w:hAnsi="Arial" w:cs="Arial"/>
                <w:color w:val="000000"/>
              </w:rPr>
            </w:pPr>
            <w:r w:rsidRPr="004712A3">
              <w:rPr>
                <w:rFonts w:ascii="Arial" w:hAnsi="Arial" w:cs="Arial"/>
                <w:color w:val="000000"/>
              </w:rPr>
              <w:t>97.4415</w:t>
            </w:r>
          </w:p>
        </w:tc>
        <w:tc>
          <w:tcPr>
            <w:tcW w:w="1053" w:type="dxa"/>
            <w:tcBorders>
              <w:top w:val="nil"/>
              <w:left w:val="nil"/>
              <w:bottom w:val="nil"/>
              <w:right w:val="nil"/>
            </w:tcBorders>
            <w:noWrap/>
            <w:vAlign w:val="center"/>
            <w:hideMark/>
          </w:tcPr>
          <w:p w14:paraId="6C802AA5" w14:textId="77777777" w:rsidR="00B81577" w:rsidRPr="004712A3" w:rsidRDefault="00B81577" w:rsidP="004712A3">
            <w:pPr>
              <w:jc w:val="center"/>
              <w:rPr>
                <w:rFonts w:ascii="Arial" w:hAnsi="Arial" w:cs="Arial"/>
                <w:color w:val="000000"/>
              </w:rPr>
            </w:pPr>
            <w:r w:rsidRPr="004712A3">
              <w:rPr>
                <w:rFonts w:ascii="Arial" w:hAnsi="Arial" w:cs="Arial"/>
                <w:color w:val="000000"/>
              </w:rPr>
              <w:t>4.383761</w:t>
            </w:r>
          </w:p>
        </w:tc>
        <w:tc>
          <w:tcPr>
            <w:tcW w:w="1053" w:type="dxa"/>
            <w:tcBorders>
              <w:top w:val="nil"/>
              <w:left w:val="nil"/>
              <w:bottom w:val="nil"/>
              <w:right w:val="nil"/>
            </w:tcBorders>
            <w:noWrap/>
            <w:vAlign w:val="center"/>
            <w:hideMark/>
          </w:tcPr>
          <w:p w14:paraId="0BF0DD47"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2659E79" w14:textId="77777777" w:rsidR="00B81577" w:rsidRPr="004712A3" w:rsidRDefault="00B81577" w:rsidP="004712A3">
            <w:pPr>
              <w:jc w:val="center"/>
              <w:rPr>
                <w:rFonts w:ascii="Arial" w:hAnsi="Arial" w:cs="Arial"/>
                <w:color w:val="000000"/>
              </w:rPr>
            </w:pPr>
          </w:p>
        </w:tc>
      </w:tr>
      <w:tr w:rsidR="00B81577" w:rsidRPr="004712A3" w14:paraId="3317231D" w14:textId="77777777" w:rsidTr="004712A3">
        <w:trPr>
          <w:trHeight w:val="300"/>
          <w:jc w:val="center"/>
        </w:trPr>
        <w:tc>
          <w:tcPr>
            <w:tcW w:w="1727" w:type="dxa"/>
            <w:tcBorders>
              <w:top w:val="nil"/>
              <w:left w:val="nil"/>
              <w:bottom w:val="nil"/>
              <w:right w:val="nil"/>
            </w:tcBorders>
            <w:noWrap/>
            <w:vAlign w:val="center"/>
            <w:hideMark/>
          </w:tcPr>
          <w:p w14:paraId="04D366AD" w14:textId="77777777" w:rsidR="00B81577" w:rsidRPr="004712A3" w:rsidRDefault="00B81577" w:rsidP="004712A3">
            <w:pPr>
              <w:jc w:val="center"/>
              <w:rPr>
                <w:rFonts w:ascii="Arial" w:hAnsi="Arial" w:cs="Arial"/>
                <w:color w:val="000000"/>
              </w:rPr>
            </w:pPr>
            <w:r w:rsidRPr="004712A3">
              <w:rPr>
                <w:rFonts w:ascii="Arial" w:hAnsi="Arial" w:cs="Arial"/>
                <w:color w:val="000000"/>
              </w:rPr>
              <w:t>300</w:t>
            </w:r>
          </w:p>
        </w:tc>
        <w:tc>
          <w:tcPr>
            <w:tcW w:w="1053" w:type="dxa"/>
            <w:tcBorders>
              <w:top w:val="nil"/>
              <w:left w:val="nil"/>
              <w:bottom w:val="nil"/>
              <w:right w:val="nil"/>
            </w:tcBorders>
            <w:noWrap/>
            <w:vAlign w:val="center"/>
            <w:hideMark/>
          </w:tcPr>
          <w:p w14:paraId="3D16C028" w14:textId="77777777" w:rsidR="00B81577" w:rsidRPr="004712A3" w:rsidRDefault="00B81577" w:rsidP="004712A3">
            <w:pPr>
              <w:jc w:val="center"/>
              <w:rPr>
                <w:rFonts w:ascii="Arial" w:hAnsi="Arial" w:cs="Arial"/>
                <w:color w:val="000000"/>
              </w:rPr>
            </w:pPr>
            <w:r w:rsidRPr="004712A3">
              <w:rPr>
                <w:rFonts w:ascii="Arial" w:hAnsi="Arial" w:cs="Arial"/>
                <w:color w:val="000000"/>
              </w:rPr>
              <w:t>2</w:t>
            </w:r>
          </w:p>
        </w:tc>
        <w:tc>
          <w:tcPr>
            <w:tcW w:w="1053" w:type="dxa"/>
            <w:tcBorders>
              <w:top w:val="nil"/>
              <w:left w:val="nil"/>
              <w:bottom w:val="nil"/>
              <w:right w:val="nil"/>
            </w:tcBorders>
            <w:noWrap/>
            <w:vAlign w:val="center"/>
            <w:hideMark/>
          </w:tcPr>
          <w:p w14:paraId="2CD6990C" w14:textId="77777777" w:rsidR="00B81577" w:rsidRPr="004712A3" w:rsidRDefault="00B81577" w:rsidP="004712A3">
            <w:pPr>
              <w:jc w:val="center"/>
              <w:rPr>
                <w:rFonts w:ascii="Arial" w:hAnsi="Arial" w:cs="Arial"/>
                <w:color w:val="000000"/>
              </w:rPr>
            </w:pPr>
            <w:r w:rsidRPr="004712A3">
              <w:rPr>
                <w:rFonts w:ascii="Arial" w:hAnsi="Arial" w:cs="Arial"/>
                <w:color w:val="000000"/>
              </w:rPr>
              <w:t>194.488</w:t>
            </w:r>
          </w:p>
        </w:tc>
        <w:tc>
          <w:tcPr>
            <w:tcW w:w="1053" w:type="dxa"/>
            <w:tcBorders>
              <w:top w:val="nil"/>
              <w:left w:val="nil"/>
              <w:bottom w:val="nil"/>
              <w:right w:val="nil"/>
            </w:tcBorders>
            <w:noWrap/>
            <w:vAlign w:val="center"/>
            <w:hideMark/>
          </w:tcPr>
          <w:p w14:paraId="3FBA2505" w14:textId="77777777" w:rsidR="00B81577" w:rsidRPr="004712A3" w:rsidRDefault="00B81577" w:rsidP="004712A3">
            <w:pPr>
              <w:jc w:val="center"/>
              <w:rPr>
                <w:rFonts w:ascii="Arial" w:hAnsi="Arial" w:cs="Arial"/>
                <w:color w:val="000000"/>
              </w:rPr>
            </w:pPr>
            <w:r w:rsidRPr="004712A3">
              <w:rPr>
                <w:rFonts w:ascii="Arial" w:hAnsi="Arial" w:cs="Arial"/>
                <w:color w:val="000000"/>
              </w:rPr>
              <w:t>97.244</w:t>
            </w:r>
          </w:p>
        </w:tc>
        <w:tc>
          <w:tcPr>
            <w:tcW w:w="1053" w:type="dxa"/>
            <w:tcBorders>
              <w:top w:val="nil"/>
              <w:left w:val="nil"/>
              <w:bottom w:val="nil"/>
              <w:right w:val="nil"/>
            </w:tcBorders>
            <w:noWrap/>
            <w:vAlign w:val="center"/>
            <w:hideMark/>
          </w:tcPr>
          <w:p w14:paraId="632B0B7A" w14:textId="77777777" w:rsidR="00B81577" w:rsidRPr="004712A3" w:rsidRDefault="00B81577" w:rsidP="004712A3">
            <w:pPr>
              <w:jc w:val="center"/>
              <w:rPr>
                <w:rFonts w:ascii="Arial" w:hAnsi="Arial" w:cs="Arial"/>
                <w:color w:val="000000"/>
              </w:rPr>
            </w:pPr>
            <w:r w:rsidRPr="004712A3">
              <w:rPr>
                <w:rFonts w:ascii="Arial" w:hAnsi="Arial" w:cs="Arial"/>
                <w:color w:val="000000"/>
              </w:rPr>
              <w:t>3.767513</w:t>
            </w:r>
          </w:p>
        </w:tc>
        <w:tc>
          <w:tcPr>
            <w:tcW w:w="1053" w:type="dxa"/>
            <w:tcBorders>
              <w:top w:val="nil"/>
              <w:left w:val="nil"/>
              <w:bottom w:val="nil"/>
              <w:right w:val="nil"/>
            </w:tcBorders>
            <w:noWrap/>
            <w:vAlign w:val="center"/>
            <w:hideMark/>
          </w:tcPr>
          <w:p w14:paraId="05643F49"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1DC7F93" w14:textId="77777777" w:rsidR="00B81577" w:rsidRPr="004712A3" w:rsidRDefault="00B81577" w:rsidP="004712A3">
            <w:pPr>
              <w:jc w:val="center"/>
              <w:rPr>
                <w:rFonts w:ascii="Arial" w:hAnsi="Arial" w:cs="Arial"/>
                <w:color w:val="000000"/>
              </w:rPr>
            </w:pPr>
          </w:p>
        </w:tc>
      </w:tr>
      <w:tr w:rsidR="00B81577" w:rsidRPr="004712A3" w14:paraId="7738410B" w14:textId="77777777" w:rsidTr="004712A3">
        <w:trPr>
          <w:trHeight w:val="315"/>
          <w:jc w:val="center"/>
        </w:trPr>
        <w:tc>
          <w:tcPr>
            <w:tcW w:w="1727" w:type="dxa"/>
            <w:tcBorders>
              <w:top w:val="nil"/>
              <w:left w:val="nil"/>
              <w:bottom w:val="single" w:sz="8" w:space="0" w:color="auto"/>
              <w:right w:val="nil"/>
            </w:tcBorders>
            <w:noWrap/>
            <w:vAlign w:val="center"/>
            <w:hideMark/>
          </w:tcPr>
          <w:p w14:paraId="19AADAFE" w14:textId="77777777" w:rsidR="00B81577" w:rsidRPr="004712A3" w:rsidRDefault="00B81577" w:rsidP="004712A3">
            <w:pPr>
              <w:jc w:val="center"/>
              <w:rPr>
                <w:rFonts w:ascii="Arial" w:hAnsi="Arial" w:cs="Arial"/>
                <w:color w:val="000000"/>
              </w:rPr>
            </w:pPr>
            <w:r w:rsidRPr="004712A3">
              <w:rPr>
                <w:rFonts w:ascii="Arial" w:hAnsi="Arial" w:cs="Arial"/>
                <w:color w:val="000000"/>
              </w:rPr>
              <w:t>800</w:t>
            </w:r>
          </w:p>
        </w:tc>
        <w:tc>
          <w:tcPr>
            <w:tcW w:w="1053" w:type="dxa"/>
            <w:tcBorders>
              <w:top w:val="nil"/>
              <w:left w:val="nil"/>
              <w:bottom w:val="single" w:sz="8" w:space="0" w:color="auto"/>
              <w:right w:val="nil"/>
            </w:tcBorders>
            <w:noWrap/>
            <w:vAlign w:val="center"/>
            <w:hideMark/>
          </w:tcPr>
          <w:p w14:paraId="4A9FF261" w14:textId="77777777" w:rsidR="00B81577" w:rsidRPr="004712A3" w:rsidRDefault="00B81577" w:rsidP="004712A3">
            <w:pPr>
              <w:jc w:val="center"/>
              <w:rPr>
                <w:rFonts w:ascii="Arial" w:hAnsi="Arial" w:cs="Arial"/>
                <w:color w:val="000000"/>
              </w:rPr>
            </w:pPr>
            <w:r w:rsidRPr="004712A3">
              <w:rPr>
                <w:rFonts w:ascii="Arial" w:hAnsi="Arial" w:cs="Arial"/>
                <w:color w:val="000000"/>
              </w:rPr>
              <w:t>2</w:t>
            </w:r>
          </w:p>
        </w:tc>
        <w:tc>
          <w:tcPr>
            <w:tcW w:w="1053" w:type="dxa"/>
            <w:tcBorders>
              <w:top w:val="nil"/>
              <w:left w:val="nil"/>
              <w:bottom w:val="single" w:sz="8" w:space="0" w:color="auto"/>
              <w:right w:val="nil"/>
            </w:tcBorders>
            <w:noWrap/>
            <w:vAlign w:val="center"/>
            <w:hideMark/>
          </w:tcPr>
          <w:p w14:paraId="75223E3D" w14:textId="77777777" w:rsidR="00B81577" w:rsidRPr="004712A3" w:rsidRDefault="00B81577" w:rsidP="004712A3">
            <w:pPr>
              <w:jc w:val="center"/>
              <w:rPr>
                <w:rFonts w:ascii="Arial" w:hAnsi="Arial" w:cs="Arial"/>
                <w:color w:val="000000"/>
              </w:rPr>
            </w:pPr>
            <w:r w:rsidRPr="004712A3">
              <w:rPr>
                <w:rFonts w:ascii="Arial" w:hAnsi="Arial" w:cs="Arial"/>
                <w:color w:val="000000"/>
              </w:rPr>
              <w:t>194.834</w:t>
            </w:r>
          </w:p>
        </w:tc>
        <w:tc>
          <w:tcPr>
            <w:tcW w:w="1053" w:type="dxa"/>
            <w:tcBorders>
              <w:top w:val="nil"/>
              <w:left w:val="nil"/>
              <w:bottom w:val="single" w:sz="8" w:space="0" w:color="auto"/>
              <w:right w:val="nil"/>
            </w:tcBorders>
            <w:noWrap/>
            <w:vAlign w:val="center"/>
            <w:hideMark/>
          </w:tcPr>
          <w:p w14:paraId="3DBAA38B" w14:textId="77777777" w:rsidR="00B81577" w:rsidRPr="004712A3" w:rsidRDefault="00B81577" w:rsidP="004712A3">
            <w:pPr>
              <w:jc w:val="center"/>
              <w:rPr>
                <w:rFonts w:ascii="Arial" w:hAnsi="Arial" w:cs="Arial"/>
                <w:color w:val="000000"/>
              </w:rPr>
            </w:pPr>
            <w:r w:rsidRPr="004712A3">
              <w:rPr>
                <w:rFonts w:ascii="Arial" w:hAnsi="Arial" w:cs="Arial"/>
                <w:color w:val="000000"/>
              </w:rPr>
              <w:t>97.417</w:t>
            </w:r>
          </w:p>
        </w:tc>
        <w:tc>
          <w:tcPr>
            <w:tcW w:w="1053" w:type="dxa"/>
            <w:tcBorders>
              <w:top w:val="nil"/>
              <w:left w:val="nil"/>
              <w:bottom w:val="single" w:sz="8" w:space="0" w:color="auto"/>
              <w:right w:val="nil"/>
            </w:tcBorders>
            <w:noWrap/>
            <w:vAlign w:val="center"/>
            <w:hideMark/>
          </w:tcPr>
          <w:p w14:paraId="3C20EF3A" w14:textId="77777777" w:rsidR="00B81577" w:rsidRPr="004712A3" w:rsidRDefault="00B81577" w:rsidP="004712A3">
            <w:pPr>
              <w:jc w:val="center"/>
              <w:rPr>
                <w:rFonts w:ascii="Arial" w:hAnsi="Arial" w:cs="Arial"/>
                <w:color w:val="000000"/>
              </w:rPr>
            </w:pPr>
            <w:r w:rsidRPr="004712A3">
              <w:rPr>
                <w:rFonts w:ascii="Arial" w:hAnsi="Arial" w:cs="Arial"/>
                <w:color w:val="000000"/>
              </w:rPr>
              <w:t>4.783325</w:t>
            </w:r>
          </w:p>
        </w:tc>
        <w:tc>
          <w:tcPr>
            <w:tcW w:w="1053" w:type="dxa"/>
            <w:tcBorders>
              <w:top w:val="nil"/>
              <w:left w:val="nil"/>
              <w:bottom w:val="nil"/>
              <w:right w:val="nil"/>
            </w:tcBorders>
            <w:noWrap/>
            <w:vAlign w:val="center"/>
            <w:hideMark/>
          </w:tcPr>
          <w:p w14:paraId="568654D8"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A71B4F6" w14:textId="77777777" w:rsidR="00B81577" w:rsidRPr="004712A3" w:rsidRDefault="00B81577" w:rsidP="004712A3">
            <w:pPr>
              <w:jc w:val="center"/>
              <w:rPr>
                <w:rFonts w:ascii="Arial" w:hAnsi="Arial" w:cs="Arial"/>
                <w:color w:val="000000"/>
              </w:rPr>
            </w:pPr>
          </w:p>
        </w:tc>
      </w:tr>
      <w:tr w:rsidR="00B81577" w:rsidRPr="004712A3" w14:paraId="2D7E211D" w14:textId="77777777" w:rsidTr="004712A3">
        <w:trPr>
          <w:trHeight w:val="300"/>
          <w:jc w:val="center"/>
        </w:trPr>
        <w:tc>
          <w:tcPr>
            <w:tcW w:w="1727" w:type="dxa"/>
            <w:tcBorders>
              <w:top w:val="nil"/>
              <w:left w:val="nil"/>
              <w:bottom w:val="nil"/>
              <w:right w:val="nil"/>
            </w:tcBorders>
            <w:noWrap/>
            <w:vAlign w:val="center"/>
            <w:hideMark/>
          </w:tcPr>
          <w:p w14:paraId="4424309E"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B69ED59"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69C341E7"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2C41B34"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8545D07"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1781A5CC"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63C23BD4" w14:textId="77777777" w:rsidR="00B81577" w:rsidRPr="004712A3" w:rsidRDefault="00B81577" w:rsidP="004712A3">
            <w:pPr>
              <w:jc w:val="center"/>
              <w:rPr>
                <w:rFonts w:ascii="Arial" w:hAnsi="Arial" w:cs="Arial"/>
                <w:color w:val="000000"/>
              </w:rPr>
            </w:pPr>
          </w:p>
        </w:tc>
      </w:tr>
      <w:tr w:rsidR="00B81577" w:rsidRPr="004712A3" w14:paraId="3808CC91" w14:textId="77777777" w:rsidTr="004712A3">
        <w:trPr>
          <w:trHeight w:val="300"/>
          <w:jc w:val="center"/>
        </w:trPr>
        <w:tc>
          <w:tcPr>
            <w:tcW w:w="1727" w:type="dxa"/>
            <w:tcBorders>
              <w:top w:val="nil"/>
              <w:left w:val="nil"/>
              <w:bottom w:val="nil"/>
              <w:right w:val="nil"/>
            </w:tcBorders>
            <w:noWrap/>
            <w:vAlign w:val="center"/>
            <w:hideMark/>
          </w:tcPr>
          <w:p w14:paraId="5AC91AFE"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01D6AB9"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3941CFD"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5428F166"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41C1A794"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D46A438"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5A16CECF" w14:textId="77777777" w:rsidR="00B81577" w:rsidRPr="004712A3" w:rsidRDefault="00B81577" w:rsidP="004712A3">
            <w:pPr>
              <w:jc w:val="center"/>
              <w:rPr>
                <w:rFonts w:ascii="Arial" w:hAnsi="Arial" w:cs="Arial"/>
                <w:color w:val="000000"/>
              </w:rPr>
            </w:pPr>
          </w:p>
        </w:tc>
      </w:tr>
      <w:tr w:rsidR="00B81577" w:rsidRPr="004712A3" w14:paraId="0FFD3C70" w14:textId="77777777" w:rsidTr="004712A3">
        <w:trPr>
          <w:trHeight w:val="315"/>
          <w:jc w:val="center"/>
        </w:trPr>
        <w:tc>
          <w:tcPr>
            <w:tcW w:w="1727" w:type="dxa"/>
            <w:tcBorders>
              <w:top w:val="nil"/>
              <w:left w:val="nil"/>
              <w:bottom w:val="nil"/>
              <w:right w:val="nil"/>
            </w:tcBorders>
            <w:noWrap/>
            <w:vAlign w:val="center"/>
            <w:hideMark/>
          </w:tcPr>
          <w:p w14:paraId="449CA9B2" w14:textId="77777777" w:rsidR="00B81577" w:rsidRPr="004712A3" w:rsidRDefault="00B81577" w:rsidP="004712A3">
            <w:pPr>
              <w:jc w:val="center"/>
              <w:rPr>
                <w:rFonts w:ascii="Arial" w:hAnsi="Arial" w:cs="Arial"/>
                <w:color w:val="000000"/>
              </w:rPr>
            </w:pPr>
            <w:r w:rsidRPr="004712A3">
              <w:rPr>
                <w:rFonts w:ascii="Arial" w:hAnsi="Arial" w:cs="Arial"/>
                <w:color w:val="000000"/>
              </w:rPr>
              <w:t>ANOVA</w:t>
            </w:r>
          </w:p>
        </w:tc>
        <w:tc>
          <w:tcPr>
            <w:tcW w:w="1053" w:type="dxa"/>
            <w:tcBorders>
              <w:top w:val="nil"/>
              <w:left w:val="nil"/>
              <w:bottom w:val="nil"/>
              <w:right w:val="nil"/>
            </w:tcBorders>
            <w:noWrap/>
            <w:vAlign w:val="center"/>
            <w:hideMark/>
          </w:tcPr>
          <w:p w14:paraId="4926F565"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6A0F476"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17CF4BBB"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698F7F7"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56D6698"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4105A0F9" w14:textId="77777777" w:rsidR="00B81577" w:rsidRPr="004712A3" w:rsidRDefault="00B81577" w:rsidP="004712A3">
            <w:pPr>
              <w:jc w:val="center"/>
              <w:rPr>
                <w:rFonts w:ascii="Arial" w:hAnsi="Arial" w:cs="Arial"/>
                <w:color w:val="000000"/>
              </w:rPr>
            </w:pPr>
          </w:p>
        </w:tc>
      </w:tr>
      <w:tr w:rsidR="00B81577" w:rsidRPr="004712A3" w14:paraId="5B67D8DD" w14:textId="77777777" w:rsidTr="004712A3">
        <w:trPr>
          <w:trHeight w:val="300"/>
          <w:jc w:val="center"/>
        </w:trPr>
        <w:tc>
          <w:tcPr>
            <w:tcW w:w="1727" w:type="dxa"/>
            <w:tcBorders>
              <w:top w:val="single" w:sz="8" w:space="0" w:color="auto"/>
              <w:left w:val="nil"/>
              <w:bottom w:val="single" w:sz="4" w:space="0" w:color="auto"/>
              <w:right w:val="nil"/>
            </w:tcBorders>
            <w:noWrap/>
            <w:vAlign w:val="center"/>
            <w:hideMark/>
          </w:tcPr>
          <w:p w14:paraId="01044F36"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Source of Variation</w:t>
            </w:r>
          </w:p>
        </w:tc>
        <w:tc>
          <w:tcPr>
            <w:tcW w:w="1053" w:type="dxa"/>
            <w:tcBorders>
              <w:top w:val="single" w:sz="8" w:space="0" w:color="auto"/>
              <w:left w:val="nil"/>
              <w:bottom w:val="single" w:sz="4" w:space="0" w:color="auto"/>
              <w:right w:val="nil"/>
            </w:tcBorders>
            <w:noWrap/>
            <w:vAlign w:val="center"/>
            <w:hideMark/>
          </w:tcPr>
          <w:p w14:paraId="1D5F78C7"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SS</w:t>
            </w:r>
          </w:p>
        </w:tc>
        <w:tc>
          <w:tcPr>
            <w:tcW w:w="1053" w:type="dxa"/>
            <w:tcBorders>
              <w:top w:val="single" w:sz="8" w:space="0" w:color="auto"/>
              <w:left w:val="nil"/>
              <w:bottom w:val="single" w:sz="4" w:space="0" w:color="auto"/>
              <w:right w:val="nil"/>
            </w:tcBorders>
            <w:noWrap/>
            <w:vAlign w:val="center"/>
            <w:hideMark/>
          </w:tcPr>
          <w:p w14:paraId="72A91992"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df</w:t>
            </w:r>
          </w:p>
        </w:tc>
        <w:tc>
          <w:tcPr>
            <w:tcW w:w="1053" w:type="dxa"/>
            <w:tcBorders>
              <w:top w:val="single" w:sz="8" w:space="0" w:color="auto"/>
              <w:left w:val="nil"/>
              <w:bottom w:val="single" w:sz="4" w:space="0" w:color="auto"/>
              <w:right w:val="nil"/>
            </w:tcBorders>
            <w:noWrap/>
            <w:vAlign w:val="center"/>
            <w:hideMark/>
          </w:tcPr>
          <w:p w14:paraId="5C46F2FB"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MS</w:t>
            </w:r>
          </w:p>
        </w:tc>
        <w:tc>
          <w:tcPr>
            <w:tcW w:w="1053" w:type="dxa"/>
            <w:tcBorders>
              <w:top w:val="single" w:sz="8" w:space="0" w:color="auto"/>
              <w:left w:val="nil"/>
              <w:bottom w:val="single" w:sz="4" w:space="0" w:color="auto"/>
              <w:right w:val="nil"/>
            </w:tcBorders>
            <w:noWrap/>
            <w:vAlign w:val="center"/>
            <w:hideMark/>
          </w:tcPr>
          <w:p w14:paraId="28E46FDC"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F</w:t>
            </w:r>
          </w:p>
        </w:tc>
        <w:tc>
          <w:tcPr>
            <w:tcW w:w="1053" w:type="dxa"/>
            <w:tcBorders>
              <w:top w:val="single" w:sz="8" w:space="0" w:color="auto"/>
              <w:left w:val="nil"/>
              <w:bottom w:val="single" w:sz="4" w:space="0" w:color="auto"/>
              <w:right w:val="nil"/>
            </w:tcBorders>
            <w:noWrap/>
            <w:vAlign w:val="center"/>
            <w:hideMark/>
          </w:tcPr>
          <w:p w14:paraId="5EA41B3E"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P-value</w:t>
            </w:r>
          </w:p>
        </w:tc>
        <w:tc>
          <w:tcPr>
            <w:tcW w:w="1053" w:type="dxa"/>
            <w:tcBorders>
              <w:top w:val="single" w:sz="8" w:space="0" w:color="auto"/>
              <w:left w:val="nil"/>
              <w:bottom w:val="single" w:sz="4" w:space="0" w:color="auto"/>
              <w:right w:val="nil"/>
            </w:tcBorders>
            <w:noWrap/>
            <w:vAlign w:val="center"/>
            <w:hideMark/>
          </w:tcPr>
          <w:p w14:paraId="58B60EEF"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F crit</w:t>
            </w:r>
          </w:p>
        </w:tc>
      </w:tr>
      <w:tr w:rsidR="00B81577" w:rsidRPr="004712A3" w14:paraId="432A500A" w14:textId="77777777" w:rsidTr="004712A3">
        <w:trPr>
          <w:trHeight w:val="300"/>
          <w:jc w:val="center"/>
        </w:trPr>
        <w:tc>
          <w:tcPr>
            <w:tcW w:w="1727" w:type="dxa"/>
            <w:tcBorders>
              <w:top w:val="nil"/>
              <w:left w:val="nil"/>
              <w:bottom w:val="nil"/>
              <w:right w:val="nil"/>
            </w:tcBorders>
            <w:noWrap/>
            <w:vAlign w:val="center"/>
            <w:hideMark/>
          </w:tcPr>
          <w:p w14:paraId="39F781A8" w14:textId="77777777" w:rsidR="00B81577" w:rsidRPr="004712A3" w:rsidRDefault="00B81577" w:rsidP="004712A3">
            <w:pPr>
              <w:jc w:val="center"/>
              <w:rPr>
                <w:rFonts w:ascii="Arial" w:hAnsi="Arial" w:cs="Arial"/>
                <w:color w:val="000000"/>
              </w:rPr>
            </w:pPr>
            <w:r w:rsidRPr="004712A3">
              <w:rPr>
                <w:rFonts w:ascii="Arial" w:hAnsi="Arial" w:cs="Arial"/>
                <w:color w:val="000000"/>
              </w:rPr>
              <w:t>Rows</w:t>
            </w:r>
          </w:p>
        </w:tc>
        <w:tc>
          <w:tcPr>
            <w:tcW w:w="1053" w:type="dxa"/>
            <w:tcBorders>
              <w:top w:val="nil"/>
              <w:left w:val="nil"/>
              <w:bottom w:val="nil"/>
              <w:right w:val="nil"/>
            </w:tcBorders>
            <w:noWrap/>
            <w:vAlign w:val="center"/>
            <w:hideMark/>
          </w:tcPr>
          <w:p w14:paraId="6735EF08" w14:textId="77777777" w:rsidR="00B81577" w:rsidRPr="004712A3" w:rsidRDefault="00B81577" w:rsidP="004712A3">
            <w:pPr>
              <w:jc w:val="center"/>
              <w:rPr>
                <w:rFonts w:ascii="Arial" w:hAnsi="Arial" w:cs="Arial"/>
                <w:color w:val="000000"/>
              </w:rPr>
            </w:pPr>
            <w:r w:rsidRPr="004712A3">
              <w:rPr>
                <w:rFonts w:ascii="Arial" w:hAnsi="Arial" w:cs="Arial"/>
                <w:color w:val="000000"/>
              </w:rPr>
              <w:t>16.87515</w:t>
            </w:r>
          </w:p>
        </w:tc>
        <w:tc>
          <w:tcPr>
            <w:tcW w:w="1053" w:type="dxa"/>
            <w:tcBorders>
              <w:top w:val="nil"/>
              <w:left w:val="nil"/>
              <w:bottom w:val="nil"/>
              <w:right w:val="nil"/>
            </w:tcBorders>
            <w:noWrap/>
            <w:vAlign w:val="center"/>
            <w:hideMark/>
          </w:tcPr>
          <w:p w14:paraId="1B20006B" w14:textId="77777777" w:rsidR="00B81577" w:rsidRPr="004712A3" w:rsidRDefault="00B81577" w:rsidP="004712A3">
            <w:pPr>
              <w:jc w:val="center"/>
              <w:rPr>
                <w:rFonts w:ascii="Arial" w:hAnsi="Arial" w:cs="Arial"/>
                <w:color w:val="000000"/>
              </w:rPr>
            </w:pPr>
            <w:r w:rsidRPr="004712A3">
              <w:rPr>
                <w:rFonts w:ascii="Arial" w:hAnsi="Arial" w:cs="Arial"/>
                <w:color w:val="000000"/>
              </w:rPr>
              <w:t>1</w:t>
            </w:r>
          </w:p>
        </w:tc>
        <w:tc>
          <w:tcPr>
            <w:tcW w:w="1053" w:type="dxa"/>
            <w:tcBorders>
              <w:top w:val="nil"/>
              <w:left w:val="nil"/>
              <w:bottom w:val="nil"/>
              <w:right w:val="nil"/>
            </w:tcBorders>
            <w:noWrap/>
            <w:vAlign w:val="center"/>
            <w:hideMark/>
          </w:tcPr>
          <w:p w14:paraId="35BCBBAC" w14:textId="77777777" w:rsidR="00B81577" w:rsidRPr="004712A3" w:rsidRDefault="00B81577" w:rsidP="004712A3">
            <w:pPr>
              <w:jc w:val="center"/>
              <w:rPr>
                <w:rFonts w:ascii="Arial" w:hAnsi="Arial" w:cs="Arial"/>
                <w:color w:val="000000"/>
              </w:rPr>
            </w:pPr>
            <w:r w:rsidRPr="004712A3">
              <w:rPr>
                <w:rFonts w:ascii="Arial" w:hAnsi="Arial" w:cs="Arial"/>
                <w:color w:val="000000"/>
              </w:rPr>
              <w:t>16.87515</w:t>
            </w:r>
          </w:p>
        </w:tc>
        <w:tc>
          <w:tcPr>
            <w:tcW w:w="1053" w:type="dxa"/>
            <w:tcBorders>
              <w:top w:val="nil"/>
              <w:left w:val="nil"/>
              <w:bottom w:val="nil"/>
              <w:right w:val="nil"/>
            </w:tcBorders>
            <w:noWrap/>
            <w:vAlign w:val="center"/>
            <w:hideMark/>
          </w:tcPr>
          <w:p w14:paraId="2478952B" w14:textId="77777777" w:rsidR="00B81577" w:rsidRPr="004712A3" w:rsidRDefault="00B81577" w:rsidP="004712A3">
            <w:pPr>
              <w:jc w:val="center"/>
              <w:rPr>
                <w:rFonts w:ascii="Arial" w:hAnsi="Arial" w:cs="Arial"/>
                <w:color w:val="000000"/>
              </w:rPr>
            </w:pPr>
            <w:r w:rsidRPr="004712A3">
              <w:rPr>
                <w:rFonts w:ascii="Arial" w:hAnsi="Arial" w:cs="Arial"/>
                <w:color w:val="000000"/>
              </w:rPr>
              <w:t>1419.974</w:t>
            </w:r>
          </w:p>
        </w:tc>
        <w:tc>
          <w:tcPr>
            <w:tcW w:w="1053" w:type="dxa"/>
            <w:tcBorders>
              <w:top w:val="nil"/>
              <w:left w:val="nil"/>
              <w:bottom w:val="nil"/>
              <w:right w:val="nil"/>
            </w:tcBorders>
            <w:noWrap/>
            <w:vAlign w:val="center"/>
            <w:hideMark/>
          </w:tcPr>
          <w:p w14:paraId="40FF6ABD" w14:textId="77777777" w:rsidR="00B81577" w:rsidRPr="004712A3" w:rsidRDefault="00B81577" w:rsidP="004712A3">
            <w:pPr>
              <w:jc w:val="center"/>
              <w:rPr>
                <w:rFonts w:ascii="Arial" w:hAnsi="Arial" w:cs="Arial"/>
                <w:color w:val="000000"/>
              </w:rPr>
            </w:pPr>
            <w:r w:rsidRPr="004712A3">
              <w:rPr>
                <w:rFonts w:ascii="Arial" w:hAnsi="Arial" w:cs="Arial"/>
                <w:color w:val="000000"/>
              </w:rPr>
              <w:t>4.11E-05</w:t>
            </w:r>
          </w:p>
        </w:tc>
        <w:tc>
          <w:tcPr>
            <w:tcW w:w="1053" w:type="dxa"/>
            <w:tcBorders>
              <w:top w:val="nil"/>
              <w:left w:val="nil"/>
              <w:bottom w:val="nil"/>
              <w:right w:val="nil"/>
            </w:tcBorders>
            <w:noWrap/>
            <w:vAlign w:val="center"/>
            <w:hideMark/>
          </w:tcPr>
          <w:p w14:paraId="21AE9F84" w14:textId="77777777" w:rsidR="00B81577" w:rsidRPr="004712A3" w:rsidRDefault="00B81577" w:rsidP="004712A3">
            <w:pPr>
              <w:jc w:val="center"/>
              <w:rPr>
                <w:rFonts w:ascii="Arial" w:hAnsi="Arial" w:cs="Arial"/>
                <w:color w:val="000000"/>
              </w:rPr>
            </w:pPr>
            <w:r w:rsidRPr="004712A3">
              <w:rPr>
                <w:rFonts w:ascii="Arial" w:hAnsi="Arial" w:cs="Arial"/>
                <w:color w:val="000000"/>
              </w:rPr>
              <w:t>10.12796</w:t>
            </w:r>
          </w:p>
        </w:tc>
      </w:tr>
      <w:tr w:rsidR="00B81577" w:rsidRPr="004712A3" w14:paraId="33CDCA18" w14:textId="77777777" w:rsidTr="004712A3">
        <w:trPr>
          <w:trHeight w:val="300"/>
          <w:jc w:val="center"/>
        </w:trPr>
        <w:tc>
          <w:tcPr>
            <w:tcW w:w="1727" w:type="dxa"/>
            <w:tcBorders>
              <w:top w:val="nil"/>
              <w:left w:val="nil"/>
              <w:bottom w:val="nil"/>
              <w:right w:val="nil"/>
            </w:tcBorders>
            <w:noWrap/>
            <w:vAlign w:val="center"/>
            <w:hideMark/>
          </w:tcPr>
          <w:p w14:paraId="494D553E" w14:textId="77777777" w:rsidR="00B81577" w:rsidRPr="004712A3" w:rsidRDefault="00B81577" w:rsidP="004712A3">
            <w:pPr>
              <w:jc w:val="center"/>
              <w:rPr>
                <w:rFonts w:ascii="Arial" w:hAnsi="Arial" w:cs="Arial"/>
                <w:color w:val="000000"/>
              </w:rPr>
            </w:pPr>
            <w:r w:rsidRPr="004712A3">
              <w:rPr>
                <w:rFonts w:ascii="Arial" w:hAnsi="Arial" w:cs="Arial"/>
                <w:color w:val="000000"/>
              </w:rPr>
              <w:t>Columns</w:t>
            </w:r>
          </w:p>
        </w:tc>
        <w:tc>
          <w:tcPr>
            <w:tcW w:w="1053" w:type="dxa"/>
            <w:tcBorders>
              <w:top w:val="nil"/>
              <w:left w:val="nil"/>
              <w:bottom w:val="nil"/>
              <w:right w:val="nil"/>
            </w:tcBorders>
            <w:noWrap/>
            <w:vAlign w:val="center"/>
            <w:hideMark/>
          </w:tcPr>
          <w:p w14:paraId="36CBFB8C" w14:textId="77777777" w:rsidR="00B81577" w:rsidRPr="004712A3" w:rsidRDefault="00B81577" w:rsidP="004712A3">
            <w:pPr>
              <w:jc w:val="center"/>
              <w:rPr>
                <w:rFonts w:ascii="Arial" w:hAnsi="Arial" w:cs="Arial"/>
                <w:color w:val="000000"/>
              </w:rPr>
            </w:pPr>
            <w:r w:rsidRPr="004712A3">
              <w:rPr>
                <w:rFonts w:ascii="Arial" w:hAnsi="Arial" w:cs="Arial"/>
                <w:color w:val="000000"/>
              </w:rPr>
              <w:t>0.056941</w:t>
            </w:r>
          </w:p>
        </w:tc>
        <w:tc>
          <w:tcPr>
            <w:tcW w:w="1053" w:type="dxa"/>
            <w:tcBorders>
              <w:top w:val="nil"/>
              <w:left w:val="nil"/>
              <w:bottom w:val="nil"/>
              <w:right w:val="nil"/>
            </w:tcBorders>
            <w:noWrap/>
            <w:vAlign w:val="center"/>
            <w:hideMark/>
          </w:tcPr>
          <w:p w14:paraId="4A7E0366" w14:textId="77777777" w:rsidR="00B81577" w:rsidRPr="004712A3" w:rsidRDefault="00B81577" w:rsidP="004712A3">
            <w:pPr>
              <w:jc w:val="center"/>
              <w:rPr>
                <w:rFonts w:ascii="Arial" w:hAnsi="Arial" w:cs="Arial"/>
                <w:color w:val="000000"/>
              </w:rPr>
            </w:pPr>
            <w:r w:rsidRPr="004712A3">
              <w:rPr>
                <w:rFonts w:ascii="Arial" w:hAnsi="Arial" w:cs="Arial"/>
                <w:color w:val="000000"/>
              </w:rPr>
              <w:t>3</w:t>
            </w:r>
          </w:p>
        </w:tc>
        <w:tc>
          <w:tcPr>
            <w:tcW w:w="1053" w:type="dxa"/>
            <w:tcBorders>
              <w:top w:val="nil"/>
              <w:left w:val="nil"/>
              <w:bottom w:val="nil"/>
              <w:right w:val="nil"/>
            </w:tcBorders>
            <w:noWrap/>
            <w:vAlign w:val="center"/>
            <w:hideMark/>
          </w:tcPr>
          <w:p w14:paraId="5F553C37" w14:textId="77777777" w:rsidR="00B81577" w:rsidRPr="004712A3" w:rsidRDefault="00B81577" w:rsidP="004712A3">
            <w:pPr>
              <w:jc w:val="center"/>
              <w:rPr>
                <w:rFonts w:ascii="Arial" w:hAnsi="Arial" w:cs="Arial"/>
                <w:color w:val="000000"/>
              </w:rPr>
            </w:pPr>
            <w:r w:rsidRPr="004712A3">
              <w:rPr>
                <w:rFonts w:ascii="Arial" w:hAnsi="Arial" w:cs="Arial"/>
                <w:color w:val="000000"/>
              </w:rPr>
              <w:t>0.01898</w:t>
            </w:r>
          </w:p>
        </w:tc>
        <w:tc>
          <w:tcPr>
            <w:tcW w:w="1053" w:type="dxa"/>
            <w:tcBorders>
              <w:top w:val="nil"/>
              <w:left w:val="nil"/>
              <w:bottom w:val="nil"/>
              <w:right w:val="nil"/>
            </w:tcBorders>
            <w:noWrap/>
            <w:vAlign w:val="center"/>
            <w:hideMark/>
          </w:tcPr>
          <w:p w14:paraId="63F3F3DA" w14:textId="77777777" w:rsidR="00B81577" w:rsidRPr="004712A3" w:rsidRDefault="00B81577" w:rsidP="004712A3">
            <w:pPr>
              <w:jc w:val="center"/>
              <w:rPr>
                <w:rFonts w:ascii="Arial" w:hAnsi="Arial" w:cs="Arial"/>
                <w:color w:val="000000"/>
              </w:rPr>
            </w:pPr>
            <w:r w:rsidRPr="004712A3">
              <w:rPr>
                <w:rFonts w:ascii="Arial" w:hAnsi="Arial" w:cs="Arial"/>
                <w:color w:val="000000"/>
              </w:rPr>
              <w:t>1.597117</w:t>
            </w:r>
          </w:p>
        </w:tc>
        <w:tc>
          <w:tcPr>
            <w:tcW w:w="1053" w:type="dxa"/>
            <w:tcBorders>
              <w:top w:val="nil"/>
              <w:left w:val="nil"/>
              <w:bottom w:val="nil"/>
              <w:right w:val="nil"/>
            </w:tcBorders>
            <w:noWrap/>
            <w:vAlign w:val="center"/>
            <w:hideMark/>
          </w:tcPr>
          <w:p w14:paraId="20DEE54A" w14:textId="77777777" w:rsidR="00B81577" w:rsidRPr="004712A3" w:rsidRDefault="00B81577" w:rsidP="004712A3">
            <w:pPr>
              <w:jc w:val="center"/>
              <w:rPr>
                <w:rFonts w:ascii="Arial" w:hAnsi="Arial" w:cs="Arial"/>
                <w:color w:val="000000"/>
              </w:rPr>
            </w:pPr>
            <w:r w:rsidRPr="004712A3">
              <w:rPr>
                <w:rFonts w:ascii="Arial" w:hAnsi="Arial" w:cs="Arial"/>
                <w:color w:val="000000"/>
              </w:rPr>
              <w:t>0.354931</w:t>
            </w:r>
          </w:p>
        </w:tc>
        <w:tc>
          <w:tcPr>
            <w:tcW w:w="1053" w:type="dxa"/>
            <w:tcBorders>
              <w:top w:val="nil"/>
              <w:left w:val="nil"/>
              <w:bottom w:val="nil"/>
              <w:right w:val="nil"/>
            </w:tcBorders>
            <w:noWrap/>
            <w:vAlign w:val="center"/>
            <w:hideMark/>
          </w:tcPr>
          <w:p w14:paraId="220EFB5C" w14:textId="77777777" w:rsidR="00B81577" w:rsidRPr="004712A3" w:rsidRDefault="00B81577" w:rsidP="004712A3">
            <w:pPr>
              <w:jc w:val="center"/>
              <w:rPr>
                <w:rFonts w:ascii="Arial" w:hAnsi="Arial" w:cs="Arial"/>
                <w:color w:val="000000"/>
              </w:rPr>
            </w:pPr>
            <w:r w:rsidRPr="004712A3">
              <w:rPr>
                <w:rFonts w:ascii="Arial" w:hAnsi="Arial" w:cs="Arial"/>
                <w:color w:val="000000"/>
              </w:rPr>
              <w:t>9.276628</w:t>
            </w:r>
          </w:p>
        </w:tc>
      </w:tr>
      <w:tr w:rsidR="00B81577" w:rsidRPr="004712A3" w14:paraId="02A1B09A" w14:textId="77777777" w:rsidTr="004712A3">
        <w:trPr>
          <w:trHeight w:val="300"/>
          <w:jc w:val="center"/>
        </w:trPr>
        <w:tc>
          <w:tcPr>
            <w:tcW w:w="1727" w:type="dxa"/>
            <w:tcBorders>
              <w:top w:val="nil"/>
              <w:left w:val="nil"/>
              <w:bottom w:val="nil"/>
              <w:right w:val="nil"/>
            </w:tcBorders>
            <w:noWrap/>
            <w:vAlign w:val="center"/>
            <w:hideMark/>
          </w:tcPr>
          <w:p w14:paraId="78CED41B" w14:textId="77777777" w:rsidR="00B81577" w:rsidRPr="004712A3" w:rsidRDefault="00B81577" w:rsidP="004712A3">
            <w:pPr>
              <w:jc w:val="center"/>
              <w:rPr>
                <w:rFonts w:ascii="Arial" w:hAnsi="Arial" w:cs="Arial"/>
                <w:color w:val="000000"/>
              </w:rPr>
            </w:pPr>
            <w:r w:rsidRPr="004712A3">
              <w:rPr>
                <w:rFonts w:ascii="Arial" w:hAnsi="Arial" w:cs="Arial"/>
                <w:color w:val="000000"/>
              </w:rPr>
              <w:t>Error</w:t>
            </w:r>
          </w:p>
        </w:tc>
        <w:tc>
          <w:tcPr>
            <w:tcW w:w="1053" w:type="dxa"/>
            <w:tcBorders>
              <w:top w:val="nil"/>
              <w:left w:val="nil"/>
              <w:bottom w:val="nil"/>
              <w:right w:val="nil"/>
            </w:tcBorders>
            <w:noWrap/>
            <w:vAlign w:val="center"/>
            <w:hideMark/>
          </w:tcPr>
          <w:p w14:paraId="31AC0466" w14:textId="77777777" w:rsidR="00B81577" w:rsidRPr="004712A3" w:rsidRDefault="00B81577" w:rsidP="004712A3">
            <w:pPr>
              <w:jc w:val="center"/>
              <w:rPr>
                <w:rFonts w:ascii="Arial" w:hAnsi="Arial" w:cs="Arial"/>
                <w:color w:val="000000"/>
              </w:rPr>
            </w:pPr>
            <w:r w:rsidRPr="004712A3">
              <w:rPr>
                <w:rFonts w:ascii="Arial" w:hAnsi="Arial" w:cs="Arial"/>
                <w:color w:val="000000"/>
              </w:rPr>
              <w:t>0.035652</w:t>
            </w:r>
          </w:p>
        </w:tc>
        <w:tc>
          <w:tcPr>
            <w:tcW w:w="1053" w:type="dxa"/>
            <w:tcBorders>
              <w:top w:val="nil"/>
              <w:left w:val="nil"/>
              <w:bottom w:val="nil"/>
              <w:right w:val="nil"/>
            </w:tcBorders>
            <w:noWrap/>
            <w:vAlign w:val="center"/>
            <w:hideMark/>
          </w:tcPr>
          <w:p w14:paraId="2F3188CF" w14:textId="77777777" w:rsidR="00B81577" w:rsidRPr="004712A3" w:rsidRDefault="00B81577" w:rsidP="004712A3">
            <w:pPr>
              <w:jc w:val="center"/>
              <w:rPr>
                <w:rFonts w:ascii="Arial" w:hAnsi="Arial" w:cs="Arial"/>
                <w:color w:val="000000"/>
              </w:rPr>
            </w:pPr>
            <w:r w:rsidRPr="004712A3">
              <w:rPr>
                <w:rFonts w:ascii="Arial" w:hAnsi="Arial" w:cs="Arial"/>
                <w:color w:val="000000"/>
              </w:rPr>
              <w:t>3</w:t>
            </w:r>
          </w:p>
        </w:tc>
        <w:tc>
          <w:tcPr>
            <w:tcW w:w="1053" w:type="dxa"/>
            <w:tcBorders>
              <w:top w:val="nil"/>
              <w:left w:val="nil"/>
              <w:bottom w:val="nil"/>
              <w:right w:val="nil"/>
            </w:tcBorders>
            <w:noWrap/>
            <w:vAlign w:val="center"/>
            <w:hideMark/>
          </w:tcPr>
          <w:p w14:paraId="1A5A392E" w14:textId="77777777" w:rsidR="00B81577" w:rsidRPr="004712A3" w:rsidRDefault="00B81577" w:rsidP="004712A3">
            <w:pPr>
              <w:jc w:val="center"/>
              <w:rPr>
                <w:rFonts w:ascii="Arial" w:hAnsi="Arial" w:cs="Arial"/>
                <w:color w:val="000000"/>
              </w:rPr>
            </w:pPr>
            <w:r w:rsidRPr="004712A3">
              <w:rPr>
                <w:rFonts w:ascii="Arial" w:hAnsi="Arial" w:cs="Arial"/>
                <w:color w:val="000000"/>
              </w:rPr>
              <w:t>0.011884</w:t>
            </w:r>
          </w:p>
        </w:tc>
        <w:tc>
          <w:tcPr>
            <w:tcW w:w="1053" w:type="dxa"/>
            <w:tcBorders>
              <w:top w:val="nil"/>
              <w:left w:val="nil"/>
              <w:bottom w:val="nil"/>
              <w:right w:val="nil"/>
            </w:tcBorders>
            <w:noWrap/>
            <w:vAlign w:val="center"/>
            <w:hideMark/>
          </w:tcPr>
          <w:p w14:paraId="1250543C"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2EBC2FF4"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488794A" w14:textId="77777777" w:rsidR="00B81577" w:rsidRPr="004712A3" w:rsidRDefault="00B81577" w:rsidP="004712A3">
            <w:pPr>
              <w:jc w:val="center"/>
              <w:rPr>
                <w:rFonts w:ascii="Arial" w:hAnsi="Arial" w:cs="Arial"/>
                <w:color w:val="000000"/>
              </w:rPr>
            </w:pPr>
          </w:p>
        </w:tc>
      </w:tr>
      <w:tr w:rsidR="00B81577" w:rsidRPr="004712A3" w14:paraId="4D5B2363" w14:textId="77777777" w:rsidTr="004712A3">
        <w:trPr>
          <w:trHeight w:val="315"/>
          <w:jc w:val="center"/>
        </w:trPr>
        <w:tc>
          <w:tcPr>
            <w:tcW w:w="1727" w:type="dxa"/>
            <w:tcBorders>
              <w:top w:val="nil"/>
              <w:left w:val="nil"/>
              <w:bottom w:val="nil"/>
              <w:right w:val="nil"/>
            </w:tcBorders>
            <w:noWrap/>
            <w:vAlign w:val="center"/>
            <w:hideMark/>
          </w:tcPr>
          <w:p w14:paraId="1000B793"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68F3BA7"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FF03775"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D8C4969"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9E92D0B"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5171C80D"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15147863" w14:textId="77777777" w:rsidR="00B81577" w:rsidRPr="004712A3" w:rsidRDefault="00B81577" w:rsidP="004712A3">
            <w:pPr>
              <w:jc w:val="center"/>
              <w:rPr>
                <w:rFonts w:ascii="Arial" w:hAnsi="Arial" w:cs="Arial"/>
                <w:color w:val="000000"/>
              </w:rPr>
            </w:pPr>
          </w:p>
        </w:tc>
      </w:tr>
      <w:tr w:rsidR="00B81577" w:rsidRPr="004712A3" w14:paraId="414A7B3C" w14:textId="77777777" w:rsidTr="004712A3">
        <w:trPr>
          <w:trHeight w:val="315"/>
          <w:jc w:val="center"/>
        </w:trPr>
        <w:tc>
          <w:tcPr>
            <w:tcW w:w="1727" w:type="dxa"/>
            <w:tcBorders>
              <w:top w:val="nil"/>
              <w:left w:val="nil"/>
              <w:bottom w:val="single" w:sz="8" w:space="0" w:color="auto"/>
              <w:right w:val="nil"/>
            </w:tcBorders>
            <w:noWrap/>
            <w:vAlign w:val="center"/>
            <w:hideMark/>
          </w:tcPr>
          <w:p w14:paraId="3C697A5C" w14:textId="77777777" w:rsidR="00B81577" w:rsidRPr="004712A3" w:rsidRDefault="00B81577" w:rsidP="004712A3">
            <w:pPr>
              <w:jc w:val="center"/>
              <w:rPr>
                <w:rFonts w:ascii="Arial" w:hAnsi="Arial" w:cs="Arial"/>
                <w:color w:val="000000"/>
              </w:rPr>
            </w:pPr>
            <w:r w:rsidRPr="004712A3">
              <w:rPr>
                <w:rFonts w:ascii="Arial" w:hAnsi="Arial" w:cs="Arial"/>
                <w:color w:val="000000"/>
              </w:rPr>
              <w:t>Total</w:t>
            </w:r>
          </w:p>
        </w:tc>
        <w:tc>
          <w:tcPr>
            <w:tcW w:w="1053" w:type="dxa"/>
            <w:tcBorders>
              <w:top w:val="nil"/>
              <w:left w:val="nil"/>
              <w:bottom w:val="single" w:sz="8" w:space="0" w:color="auto"/>
              <w:right w:val="nil"/>
            </w:tcBorders>
            <w:noWrap/>
            <w:vAlign w:val="center"/>
            <w:hideMark/>
          </w:tcPr>
          <w:p w14:paraId="3587FCC1" w14:textId="77777777" w:rsidR="00B81577" w:rsidRPr="004712A3" w:rsidRDefault="00B81577" w:rsidP="004712A3">
            <w:pPr>
              <w:jc w:val="center"/>
              <w:rPr>
                <w:rFonts w:ascii="Arial" w:hAnsi="Arial" w:cs="Arial"/>
                <w:color w:val="000000"/>
              </w:rPr>
            </w:pPr>
            <w:r w:rsidRPr="004712A3">
              <w:rPr>
                <w:rFonts w:ascii="Arial" w:hAnsi="Arial" w:cs="Arial"/>
                <w:color w:val="000000"/>
              </w:rPr>
              <w:t>16.96774</w:t>
            </w:r>
          </w:p>
        </w:tc>
        <w:tc>
          <w:tcPr>
            <w:tcW w:w="1053" w:type="dxa"/>
            <w:tcBorders>
              <w:top w:val="nil"/>
              <w:left w:val="nil"/>
              <w:bottom w:val="single" w:sz="8" w:space="0" w:color="auto"/>
              <w:right w:val="nil"/>
            </w:tcBorders>
            <w:noWrap/>
            <w:vAlign w:val="center"/>
            <w:hideMark/>
          </w:tcPr>
          <w:p w14:paraId="3CF85014" w14:textId="77777777" w:rsidR="00B81577" w:rsidRPr="004712A3" w:rsidRDefault="00B81577" w:rsidP="004712A3">
            <w:pPr>
              <w:jc w:val="center"/>
              <w:rPr>
                <w:rFonts w:ascii="Arial" w:hAnsi="Arial" w:cs="Arial"/>
                <w:color w:val="000000"/>
              </w:rPr>
            </w:pPr>
            <w:r w:rsidRPr="004712A3">
              <w:rPr>
                <w:rFonts w:ascii="Arial" w:hAnsi="Arial" w:cs="Arial"/>
                <w:color w:val="000000"/>
              </w:rPr>
              <w:t>7</w:t>
            </w:r>
          </w:p>
        </w:tc>
        <w:tc>
          <w:tcPr>
            <w:tcW w:w="1053" w:type="dxa"/>
            <w:tcBorders>
              <w:top w:val="nil"/>
              <w:left w:val="nil"/>
              <w:bottom w:val="single" w:sz="8" w:space="0" w:color="auto"/>
              <w:right w:val="nil"/>
            </w:tcBorders>
            <w:noWrap/>
            <w:vAlign w:val="center"/>
            <w:hideMark/>
          </w:tcPr>
          <w:p w14:paraId="1D24F28C" w14:textId="77777777" w:rsidR="00B81577" w:rsidRPr="004712A3" w:rsidRDefault="00B81577" w:rsidP="004712A3">
            <w:pPr>
              <w:jc w:val="center"/>
              <w:rPr>
                <w:rFonts w:ascii="Arial" w:hAnsi="Arial" w:cs="Arial"/>
                <w:color w:val="000000"/>
              </w:rPr>
            </w:pPr>
          </w:p>
        </w:tc>
        <w:tc>
          <w:tcPr>
            <w:tcW w:w="1053" w:type="dxa"/>
            <w:tcBorders>
              <w:top w:val="nil"/>
              <w:left w:val="nil"/>
              <w:bottom w:val="single" w:sz="8" w:space="0" w:color="auto"/>
              <w:right w:val="nil"/>
            </w:tcBorders>
            <w:noWrap/>
            <w:vAlign w:val="center"/>
            <w:hideMark/>
          </w:tcPr>
          <w:p w14:paraId="2D79B230" w14:textId="77777777" w:rsidR="00B81577" w:rsidRPr="004712A3" w:rsidRDefault="00B81577" w:rsidP="004712A3">
            <w:pPr>
              <w:jc w:val="center"/>
              <w:rPr>
                <w:rFonts w:ascii="Arial" w:hAnsi="Arial" w:cs="Arial"/>
                <w:color w:val="000000"/>
              </w:rPr>
            </w:pPr>
          </w:p>
        </w:tc>
        <w:tc>
          <w:tcPr>
            <w:tcW w:w="1053" w:type="dxa"/>
            <w:tcBorders>
              <w:top w:val="nil"/>
              <w:left w:val="nil"/>
              <w:bottom w:val="single" w:sz="8" w:space="0" w:color="auto"/>
              <w:right w:val="nil"/>
            </w:tcBorders>
            <w:noWrap/>
            <w:vAlign w:val="center"/>
            <w:hideMark/>
          </w:tcPr>
          <w:p w14:paraId="30B5A04C" w14:textId="77777777" w:rsidR="00B81577" w:rsidRPr="004712A3" w:rsidRDefault="00B81577" w:rsidP="004712A3">
            <w:pPr>
              <w:jc w:val="center"/>
              <w:rPr>
                <w:rFonts w:ascii="Arial" w:hAnsi="Arial" w:cs="Arial"/>
                <w:color w:val="000000"/>
              </w:rPr>
            </w:pPr>
          </w:p>
        </w:tc>
        <w:tc>
          <w:tcPr>
            <w:tcW w:w="1053" w:type="dxa"/>
            <w:tcBorders>
              <w:top w:val="nil"/>
              <w:left w:val="nil"/>
              <w:bottom w:val="single" w:sz="8" w:space="0" w:color="auto"/>
              <w:right w:val="nil"/>
            </w:tcBorders>
            <w:noWrap/>
            <w:vAlign w:val="center"/>
            <w:hideMark/>
          </w:tcPr>
          <w:p w14:paraId="42D35AAD" w14:textId="77777777" w:rsidR="00B81577" w:rsidRPr="004712A3" w:rsidRDefault="00B81577" w:rsidP="004712A3">
            <w:pPr>
              <w:jc w:val="center"/>
              <w:rPr>
                <w:rFonts w:ascii="Arial" w:hAnsi="Arial" w:cs="Arial"/>
                <w:color w:val="000000"/>
              </w:rPr>
            </w:pPr>
          </w:p>
        </w:tc>
      </w:tr>
    </w:tbl>
    <w:p w14:paraId="61668536" w14:textId="77777777" w:rsidR="003414D4" w:rsidRPr="00B81577" w:rsidRDefault="00B81577" w:rsidP="00472EE4">
      <w:pPr>
        <w:pStyle w:val="NormalWeb"/>
        <w:spacing w:line="276" w:lineRule="auto"/>
        <w:jc w:val="both"/>
        <w:rPr>
          <w:rFonts w:ascii="Arial" w:hAnsi="Arial" w:cs="Arial"/>
          <w:sz w:val="20"/>
        </w:rPr>
      </w:pPr>
      <w:r w:rsidRPr="00B81577">
        <w:rPr>
          <w:rFonts w:ascii="Arial" w:hAnsi="Arial" w:cs="Arial"/>
          <w:sz w:val="20"/>
        </w:rPr>
        <w:t>In the case of binary mixtures, the two-way analysis of variance without replication showed a statistically significant effect of mixture type on removal efficiency (p&lt;0.001), whereas the effect of flow rate within the investigated range was not statistically significant (p=0.355).</w:t>
      </w:r>
      <w:r w:rsidR="004712A3">
        <w:rPr>
          <w:rFonts w:ascii="Arial" w:hAnsi="Arial" w:cs="Arial"/>
          <w:sz w:val="20"/>
        </w:rPr>
        <w:t xml:space="preserve"> </w:t>
      </w:r>
      <w:r w:rsidRPr="00B81577">
        <w:rPr>
          <w:rFonts w:ascii="Arial" w:hAnsi="Arial" w:cs="Arial"/>
          <w:sz w:val="20"/>
        </w:rPr>
        <w:t xml:space="preserve">The </w:t>
      </w:r>
      <w:r w:rsidR="00143D35">
        <w:rPr>
          <w:rFonts w:ascii="Arial" w:hAnsi="Arial" w:cs="Arial"/>
          <w:sz w:val="20"/>
        </w:rPr>
        <w:t>Pb(II)/Zn(II)</w:t>
      </w:r>
      <w:r w:rsidRPr="00B81577">
        <w:rPr>
          <w:rFonts w:ascii="Arial" w:hAnsi="Arial" w:cs="Arial"/>
          <w:sz w:val="20"/>
        </w:rPr>
        <w:t xml:space="preserve"> mixture exhibited higher average removal efficiency values compared to the </w:t>
      </w:r>
      <w:r w:rsidR="00143D35">
        <w:rPr>
          <w:rFonts w:ascii="Arial" w:hAnsi="Arial" w:cs="Arial"/>
          <w:sz w:val="20"/>
        </w:rPr>
        <w:t>CU(II)/Ni(II)</w:t>
      </w:r>
      <w:r w:rsidRPr="00B81577">
        <w:rPr>
          <w:rFonts w:ascii="Arial" w:hAnsi="Arial" w:cs="Arial"/>
          <w:sz w:val="20"/>
        </w:rPr>
        <w:t xml:space="preserve"> mixture. Although the differences in mean values are pronounced, the results </w:t>
      </w:r>
      <w:r w:rsidRPr="00B81577">
        <w:rPr>
          <w:rFonts w:ascii="Arial" w:hAnsi="Arial" w:cs="Arial"/>
          <w:sz w:val="20"/>
        </w:rPr>
        <w:lastRenderedPageBreak/>
        <w:t>should be interpreted with caution, taking into account the limitations of the analysis without replication and the small number of degrees of freedom.</w:t>
      </w:r>
    </w:p>
    <w:tbl>
      <w:tblPr>
        <w:tblW w:w="8033" w:type="dxa"/>
        <w:jc w:val="center"/>
        <w:tblLook w:val="04A0" w:firstRow="1" w:lastRow="0" w:firstColumn="1" w:lastColumn="0" w:noHBand="0" w:noVBand="1"/>
      </w:tblPr>
      <w:tblGrid>
        <w:gridCol w:w="1727"/>
        <w:gridCol w:w="1051"/>
        <w:gridCol w:w="1051"/>
        <w:gridCol w:w="1051"/>
        <w:gridCol w:w="1051"/>
        <w:gridCol w:w="1212"/>
        <w:gridCol w:w="1051"/>
      </w:tblGrid>
      <w:tr w:rsidR="00D43C06" w:rsidRPr="004712A3" w14:paraId="340C40EF" w14:textId="77777777" w:rsidTr="00D43C06">
        <w:trPr>
          <w:trHeight w:val="300"/>
          <w:jc w:val="center"/>
        </w:trPr>
        <w:tc>
          <w:tcPr>
            <w:tcW w:w="7143" w:type="dxa"/>
            <w:gridSpan w:val="6"/>
            <w:noWrap/>
            <w:vAlign w:val="center"/>
            <w:hideMark/>
          </w:tcPr>
          <w:p w14:paraId="35114F58" w14:textId="77777777" w:rsidR="00D43C06" w:rsidRPr="00D43C06" w:rsidRDefault="00D43C06" w:rsidP="004712A3">
            <w:pPr>
              <w:jc w:val="center"/>
              <w:rPr>
                <w:rFonts w:ascii="Arial" w:hAnsi="Arial" w:cs="Arial"/>
                <w:b/>
                <w:color w:val="000000"/>
              </w:rPr>
            </w:pPr>
            <w:r w:rsidRPr="00D43C06">
              <w:rPr>
                <w:rFonts w:ascii="Arial" w:hAnsi="Arial" w:cs="Arial"/>
                <w:b/>
                <w:color w:val="000000"/>
              </w:rPr>
              <w:t xml:space="preserve">Table 4. Results of the two-way analysis of variance (ANOVA) without replication assessing the influence of metal type and stirring time on removal efficiency in </w:t>
            </w:r>
            <w:r>
              <w:rPr>
                <w:rFonts w:ascii="Arial" w:hAnsi="Arial" w:cs="Arial"/>
                <w:b/>
                <w:color w:val="000000"/>
              </w:rPr>
              <w:t>binary mixtures</w:t>
            </w:r>
            <w:r w:rsidRPr="00D43C06">
              <w:rPr>
                <w:rFonts w:ascii="Arial" w:hAnsi="Arial" w:cs="Arial"/>
                <w:b/>
                <w:color w:val="000000"/>
              </w:rPr>
              <w:t>.</w:t>
            </w:r>
          </w:p>
        </w:tc>
        <w:tc>
          <w:tcPr>
            <w:tcW w:w="890" w:type="dxa"/>
            <w:tcBorders>
              <w:top w:val="nil"/>
              <w:left w:val="nil"/>
              <w:bottom w:val="nil"/>
              <w:right w:val="nil"/>
            </w:tcBorders>
            <w:noWrap/>
            <w:vAlign w:val="center"/>
            <w:hideMark/>
          </w:tcPr>
          <w:p w14:paraId="741DBDEE" w14:textId="77777777" w:rsidR="00D43C06" w:rsidRPr="004712A3" w:rsidRDefault="00D43C06" w:rsidP="004712A3">
            <w:pPr>
              <w:jc w:val="center"/>
              <w:rPr>
                <w:rFonts w:ascii="Arial" w:hAnsi="Arial" w:cs="Arial"/>
                <w:color w:val="000000"/>
              </w:rPr>
            </w:pPr>
          </w:p>
        </w:tc>
      </w:tr>
      <w:tr w:rsidR="00B45594" w:rsidRPr="004712A3" w14:paraId="3CD415CE" w14:textId="77777777" w:rsidTr="00D43C06">
        <w:trPr>
          <w:trHeight w:val="315"/>
          <w:jc w:val="center"/>
        </w:trPr>
        <w:tc>
          <w:tcPr>
            <w:tcW w:w="1727" w:type="dxa"/>
            <w:tcBorders>
              <w:left w:val="nil"/>
              <w:bottom w:val="nil"/>
              <w:right w:val="nil"/>
            </w:tcBorders>
            <w:noWrap/>
            <w:vAlign w:val="center"/>
            <w:hideMark/>
          </w:tcPr>
          <w:p w14:paraId="5523D2D6" w14:textId="77777777" w:rsidR="00B45594" w:rsidRPr="004712A3" w:rsidRDefault="00B45594" w:rsidP="004712A3">
            <w:pPr>
              <w:jc w:val="center"/>
              <w:rPr>
                <w:rFonts w:ascii="Arial" w:hAnsi="Arial" w:cs="Arial"/>
                <w:color w:val="000000"/>
              </w:rPr>
            </w:pPr>
          </w:p>
        </w:tc>
        <w:tc>
          <w:tcPr>
            <w:tcW w:w="1051" w:type="dxa"/>
            <w:tcBorders>
              <w:left w:val="nil"/>
              <w:bottom w:val="nil"/>
              <w:right w:val="nil"/>
            </w:tcBorders>
            <w:noWrap/>
            <w:vAlign w:val="center"/>
            <w:hideMark/>
          </w:tcPr>
          <w:p w14:paraId="5A5C368E" w14:textId="77777777" w:rsidR="00B45594" w:rsidRPr="004712A3" w:rsidRDefault="00B45594" w:rsidP="004712A3">
            <w:pPr>
              <w:jc w:val="center"/>
              <w:rPr>
                <w:rFonts w:ascii="Arial" w:hAnsi="Arial" w:cs="Arial"/>
                <w:color w:val="000000"/>
              </w:rPr>
            </w:pPr>
          </w:p>
        </w:tc>
        <w:tc>
          <w:tcPr>
            <w:tcW w:w="1051" w:type="dxa"/>
            <w:tcBorders>
              <w:left w:val="nil"/>
              <w:bottom w:val="nil"/>
              <w:right w:val="nil"/>
            </w:tcBorders>
            <w:noWrap/>
            <w:vAlign w:val="center"/>
            <w:hideMark/>
          </w:tcPr>
          <w:p w14:paraId="1EA5C51F" w14:textId="77777777" w:rsidR="00B45594" w:rsidRPr="004712A3" w:rsidRDefault="00B45594" w:rsidP="004712A3">
            <w:pPr>
              <w:jc w:val="center"/>
              <w:rPr>
                <w:rFonts w:ascii="Arial" w:hAnsi="Arial" w:cs="Arial"/>
                <w:color w:val="000000"/>
              </w:rPr>
            </w:pPr>
          </w:p>
        </w:tc>
        <w:tc>
          <w:tcPr>
            <w:tcW w:w="1051" w:type="dxa"/>
            <w:tcBorders>
              <w:left w:val="nil"/>
              <w:bottom w:val="nil"/>
              <w:right w:val="nil"/>
            </w:tcBorders>
            <w:noWrap/>
            <w:vAlign w:val="center"/>
            <w:hideMark/>
          </w:tcPr>
          <w:p w14:paraId="58880071" w14:textId="77777777" w:rsidR="00B45594" w:rsidRPr="004712A3" w:rsidRDefault="00B45594" w:rsidP="004712A3">
            <w:pPr>
              <w:jc w:val="center"/>
              <w:rPr>
                <w:rFonts w:ascii="Arial" w:hAnsi="Arial" w:cs="Arial"/>
                <w:color w:val="000000"/>
              </w:rPr>
            </w:pPr>
          </w:p>
        </w:tc>
        <w:tc>
          <w:tcPr>
            <w:tcW w:w="1051" w:type="dxa"/>
            <w:tcBorders>
              <w:left w:val="nil"/>
              <w:bottom w:val="nil"/>
              <w:right w:val="nil"/>
            </w:tcBorders>
            <w:noWrap/>
            <w:vAlign w:val="center"/>
            <w:hideMark/>
          </w:tcPr>
          <w:p w14:paraId="7485C225" w14:textId="77777777" w:rsidR="00B45594" w:rsidRPr="004712A3" w:rsidRDefault="00B45594" w:rsidP="004712A3">
            <w:pPr>
              <w:jc w:val="center"/>
              <w:rPr>
                <w:rFonts w:ascii="Arial" w:hAnsi="Arial" w:cs="Arial"/>
                <w:color w:val="000000"/>
              </w:rPr>
            </w:pPr>
          </w:p>
        </w:tc>
        <w:tc>
          <w:tcPr>
            <w:tcW w:w="1212" w:type="dxa"/>
            <w:tcBorders>
              <w:left w:val="nil"/>
              <w:bottom w:val="nil"/>
              <w:right w:val="nil"/>
            </w:tcBorders>
            <w:noWrap/>
            <w:vAlign w:val="center"/>
            <w:hideMark/>
          </w:tcPr>
          <w:p w14:paraId="4A75F024"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298A61BB" w14:textId="77777777" w:rsidR="00B45594" w:rsidRPr="004712A3" w:rsidRDefault="00B45594" w:rsidP="004712A3">
            <w:pPr>
              <w:jc w:val="center"/>
              <w:rPr>
                <w:rFonts w:ascii="Arial" w:hAnsi="Arial" w:cs="Arial"/>
                <w:color w:val="000000"/>
              </w:rPr>
            </w:pPr>
          </w:p>
        </w:tc>
      </w:tr>
      <w:tr w:rsidR="00B45594" w:rsidRPr="004712A3" w14:paraId="4F7228FD" w14:textId="77777777" w:rsidTr="00D43C06">
        <w:trPr>
          <w:trHeight w:val="300"/>
          <w:jc w:val="center"/>
        </w:trPr>
        <w:tc>
          <w:tcPr>
            <w:tcW w:w="1727" w:type="dxa"/>
            <w:tcBorders>
              <w:top w:val="single" w:sz="8" w:space="0" w:color="auto"/>
              <w:left w:val="nil"/>
              <w:bottom w:val="single" w:sz="4" w:space="0" w:color="auto"/>
              <w:right w:val="nil"/>
            </w:tcBorders>
            <w:noWrap/>
            <w:vAlign w:val="center"/>
            <w:hideMark/>
          </w:tcPr>
          <w:p w14:paraId="2F5555A1"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SUMMARY</w:t>
            </w:r>
          </w:p>
        </w:tc>
        <w:tc>
          <w:tcPr>
            <w:tcW w:w="1051" w:type="dxa"/>
            <w:tcBorders>
              <w:top w:val="single" w:sz="8" w:space="0" w:color="auto"/>
              <w:left w:val="nil"/>
              <w:bottom w:val="single" w:sz="4" w:space="0" w:color="auto"/>
              <w:right w:val="nil"/>
            </w:tcBorders>
            <w:noWrap/>
            <w:vAlign w:val="center"/>
            <w:hideMark/>
          </w:tcPr>
          <w:p w14:paraId="77C2DA80"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Count</w:t>
            </w:r>
          </w:p>
        </w:tc>
        <w:tc>
          <w:tcPr>
            <w:tcW w:w="1051" w:type="dxa"/>
            <w:tcBorders>
              <w:top w:val="single" w:sz="8" w:space="0" w:color="auto"/>
              <w:left w:val="nil"/>
              <w:bottom w:val="single" w:sz="4" w:space="0" w:color="auto"/>
              <w:right w:val="nil"/>
            </w:tcBorders>
            <w:noWrap/>
            <w:vAlign w:val="center"/>
            <w:hideMark/>
          </w:tcPr>
          <w:p w14:paraId="0945589D"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Sum</w:t>
            </w:r>
          </w:p>
        </w:tc>
        <w:tc>
          <w:tcPr>
            <w:tcW w:w="1051" w:type="dxa"/>
            <w:tcBorders>
              <w:top w:val="single" w:sz="8" w:space="0" w:color="auto"/>
              <w:left w:val="nil"/>
              <w:bottom w:val="single" w:sz="4" w:space="0" w:color="auto"/>
              <w:right w:val="nil"/>
            </w:tcBorders>
            <w:noWrap/>
            <w:vAlign w:val="center"/>
            <w:hideMark/>
          </w:tcPr>
          <w:p w14:paraId="4465391B"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Average</w:t>
            </w:r>
          </w:p>
        </w:tc>
        <w:tc>
          <w:tcPr>
            <w:tcW w:w="1051" w:type="dxa"/>
            <w:tcBorders>
              <w:top w:val="single" w:sz="8" w:space="0" w:color="auto"/>
              <w:left w:val="nil"/>
              <w:bottom w:val="single" w:sz="4" w:space="0" w:color="auto"/>
              <w:right w:val="nil"/>
            </w:tcBorders>
            <w:noWrap/>
            <w:vAlign w:val="center"/>
            <w:hideMark/>
          </w:tcPr>
          <w:p w14:paraId="7A4C91E1"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Variance</w:t>
            </w:r>
          </w:p>
        </w:tc>
        <w:tc>
          <w:tcPr>
            <w:tcW w:w="1212" w:type="dxa"/>
            <w:tcBorders>
              <w:top w:val="nil"/>
              <w:left w:val="nil"/>
              <w:bottom w:val="nil"/>
              <w:right w:val="nil"/>
            </w:tcBorders>
            <w:noWrap/>
            <w:vAlign w:val="center"/>
            <w:hideMark/>
          </w:tcPr>
          <w:p w14:paraId="6685531B"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23D22214" w14:textId="77777777" w:rsidR="00B45594" w:rsidRPr="004712A3" w:rsidRDefault="00B45594" w:rsidP="004712A3">
            <w:pPr>
              <w:jc w:val="center"/>
              <w:rPr>
                <w:rFonts w:ascii="Arial" w:hAnsi="Arial" w:cs="Arial"/>
                <w:color w:val="000000"/>
              </w:rPr>
            </w:pPr>
          </w:p>
        </w:tc>
      </w:tr>
      <w:tr w:rsidR="00B45594" w:rsidRPr="004712A3" w14:paraId="706181B2" w14:textId="77777777" w:rsidTr="00D43C06">
        <w:trPr>
          <w:trHeight w:val="300"/>
          <w:jc w:val="center"/>
        </w:trPr>
        <w:tc>
          <w:tcPr>
            <w:tcW w:w="1727" w:type="dxa"/>
            <w:tcBorders>
              <w:top w:val="nil"/>
              <w:left w:val="nil"/>
              <w:bottom w:val="nil"/>
              <w:right w:val="nil"/>
            </w:tcBorders>
            <w:noWrap/>
            <w:vAlign w:val="center"/>
            <w:hideMark/>
          </w:tcPr>
          <w:p w14:paraId="699B55F0" w14:textId="77777777" w:rsidR="00B45594" w:rsidRPr="004712A3" w:rsidRDefault="00B45594" w:rsidP="004712A3">
            <w:pPr>
              <w:jc w:val="center"/>
              <w:rPr>
                <w:rFonts w:ascii="Arial" w:hAnsi="Arial" w:cs="Arial"/>
                <w:color w:val="000000"/>
              </w:rPr>
            </w:pPr>
            <w:proofErr w:type="spellStart"/>
            <w:r w:rsidRPr="004712A3">
              <w:rPr>
                <w:rFonts w:ascii="Arial" w:hAnsi="Arial" w:cs="Arial"/>
                <w:color w:val="000000"/>
              </w:rPr>
              <w:t>Cu+Ni</w:t>
            </w:r>
            <w:proofErr w:type="spellEnd"/>
          </w:p>
        </w:tc>
        <w:tc>
          <w:tcPr>
            <w:tcW w:w="1051" w:type="dxa"/>
            <w:tcBorders>
              <w:top w:val="nil"/>
              <w:left w:val="nil"/>
              <w:bottom w:val="nil"/>
              <w:right w:val="nil"/>
            </w:tcBorders>
            <w:noWrap/>
            <w:vAlign w:val="center"/>
            <w:hideMark/>
          </w:tcPr>
          <w:p w14:paraId="073CC4D6" w14:textId="77777777" w:rsidR="00B45594" w:rsidRPr="004712A3" w:rsidRDefault="00B45594" w:rsidP="004712A3">
            <w:pPr>
              <w:jc w:val="center"/>
              <w:rPr>
                <w:rFonts w:ascii="Arial" w:hAnsi="Arial" w:cs="Arial"/>
                <w:color w:val="000000"/>
              </w:rPr>
            </w:pPr>
            <w:r w:rsidRPr="004712A3">
              <w:rPr>
                <w:rFonts w:ascii="Arial" w:hAnsi="Arial" w:cs="Arial"/>
                <w:color w:val="000000"/>
              </w:rPr>
              <w:t>3</w:t>
            </w:r>
          </w:p>
        </w:tc>
        <w:tc>
          <w:tcPr>
            <w:tcW w:w="1051" w:type="dxa"/>
            <w:tcBorders>
              <w:top w:val="nil"/>
              <w:left w:val="nil"/>
              <w:bottom w:val="nil"/>
              <w:right w:val="nil"/>
            </w:tcBorders>
            <w:noWrap/>
            <w:vAlign w:val="center"/>
            <w:hideMark/>
          </w:tcPr>
          <w:p w14:paraId="415807C1" w14:textId="77777777" w:rsidR="00B45594" w:rsidRPr="004712A3" w:rsidRDefault="00B45594" w:rsidP="004712A3">
            <w:pPr>
              <w:jc w:val="center"/>
              <w:rPr>
                <w:rFonts w:ascii="Arial" w:hAnsi="Arial" w:cs="Arial"/>
                <w:color w:val="000000"/>
              </w:rPr>
            </w:pPr>
            <w:r w:rsidRPr="004712A3">
              <w:rPr>
                <w:rFonts w:ascii="Arial" w:hAnsi="Arial" w:cs="Arial"/>
                <w:color w:val="000000"/>
              </w:rPr>
              <w:t>282.603</w:t>
            </w:r>
          </w:p>
        </w:tc>
        <w:tc>
          <w:tcPr>
            <w:tcW w:w="1051" w:type="dxa"/>
            <w:tcBorders>
              <w:top w:val="nil"/>
              <w:left w:val="nil"/>
              <w:bottom w:val="nil"/>
              <w:right w:val="nil"/>
            </w:tcBorders>
            <w:noWrap/>
            <w:vAlign w:val="center"/>
            <w:hideMark/>
          </w:tcPr>
          <w:p w14:paraId="692E51ED" w14:textId="77777777" w:rsidR="00B45594" w:rsidRPr="004712A3" w:rsidRDefault="00B45594" w:rsidP="004712A3">
            <w:pPr>
              <w:jc w:val="center"/>
              <w:rPr>
                <w:rFonts w:ascii="Arial" w:hAnsi="Arial" w:cs="Arial"/>
                <w:color w:val="000000"/>
              </w:rPr>
            </w:pPr>
            <w:r w:rsidRPr="004712A3">
              <w:rPr>
                <w:rFonts w:ascii="Arial" w:hAnsi="Arial" w:cs="Arial"/>
                <w:color w:val="000000"/>
              </w:rPr>
              <w:t>94.201</w:t>
            </w:r>
          </w:p>
        </w:tc>
        <w:tc>
          <w:tcPr>
            <w:tcW w:w="1051" w:type="dxa"/>
            <w:tcBorders>
              <w:top w:val="nil"/>
              <w:left w:val="nil"/>
              <w:bottom w:val="nil"/>
              <w:right w:val="nil"/>
            </w:tcBorders>
            <w:noWrap/>
            <w:vAlign w:val="center"/>
            <w:hideMark/>
          </w:tcPr>
          <w:p w14:paraId="3109D0A2" w14:textId="77777777" w:rsidR="00B45594" w:rsidRPr="004712A3" w:rsidRDefault="00B45594" w:rsidP="004712A3">
            <w:pPr>
              <w:jc w:val="center"/>
              <w:rPr>
                <w:rFonts w:ascii="Arial" w:hAnsi="Arial" w:cs="Arial"/>
                <w:color w:val="000000"/>
              </w:rPr>
            </w:pPr>
            <w:r w:rsidRPr="004712A3">
              <w:rPr>
                <w:rFonts w:ascii="Arial" w:hAnsi="Arial" w:cs="Arial"/>
                <w:color w:val="000000"/>
              </w:rPr>
              <w:t>4.73E-05</w:t>
            </w:r>
          </w:p>
        </w:tc>
        <w:tc>
          <w:tcPr>
            <w:tcW w:w="1212" w:type="dxa"/>
            <w:tcBorders>
              <w:top w:val="nil"/>
              <w:left w:val="nil"/>
              <w:bottom w:val="nil"/>
              <w:right w:val="nil"/>
            </w:tcBorders>
            <w:noWrap/>
            <w:vAlign w:val="center"/>
            <w:hideMark/>
          </w:tcPr>
          <w:p w14:paraId="6095A107"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674F8300" w14:textId="77777777" w:rsidR="00B45594" w:rsidRPr="004712A3" w:rsidRDefault="00B45594" w:rsidP="004712A3">
            <w:pPr>
              <w:jc w:val="center"/>
              <w:rPr>
                <w:rFonts w:ascii="Arial" w:hAnsi="Arial" w:cs="Arial"/>
                <w:color w:val="000000"/>
              </w:rPr>
            </w:pPr>
          </w:p>
        </w:tc>
      </w:tr>
      <w:tr w:rsidR="00B45594" w:rsidRPr="004712A3" w14:paraId="7B01DC74" w14:textId="77777777" w:rsidTr="00D43C06">
        <w:trPr>
          <w:trHeight w:val="300"/>
          <w:jc w:val="center"/>
        </w:trPr>
        <w:tc>
          <w:tcPr>
            <w:tcW w:w="1727" w:type="dxa"/>
            <w:tcBorders>
              <w:top w:val="nil"/>
              <w:left w:val="nil"/>
              <w:bottom w:val="nil"/>
              <w:right w:val="nil"/>
            </w:tcBorders>
            <w:noWrap/>
            <w:vAlign w:val="center"/>
            <w:hideMark/>
          </w:tcPr>
          <w:p w14:paraId="67B97CAD" w14:textId="77777777" w:rsidR="00B45594" w:rsidRPr="004712A3" w:rsidRDefault="0073750E" w:rsidP="004712A3">
            <w:pPr>
              <w:jc w:val="center"/>
              <w:rPr>
                <w:rFonts w:ascii="Arial" w:hAnsi="Arial" w:cs="Arial"/>
                <w:color w:val="000000"/>
              </w:rPr>
            </w:pPr>
            <w:r>
              <w:rPr>
                <w:rFonts w:ascii="Arial" w:hAnsi="Arial" w:cs="Arial"/>
                <w:color w:val="000000"/>
              </w:rPr>
              <w:t>Pb</w:t>
            </w:r>
            <w:r w:rsidR="00B45594" w:rsidRPr="004712A3">
              <w:rPr>
                <w:rFonts w:ascii="Arial" w:hAnsi="Arial" w:cs="Arial"/>
                <w:color w:val="000000"/>
              </w:rPr>
              <w:t>+Zn</w:t>
            </w:r>
          </w:p>
        </w:tc>
        <w:tc>
          <w:tcPr>
            <w:tcW w:w="1051" w:type="dxa"/>
            <w:tcBorders>
              <w:top w:val="nil"/>
              <w:left w:val="nil"/>
              <w:bottom w:val="nil"/>
              <w:right w:val="nil"/>
            </w:tcBorders>
            <w:noWrap/>
            <w:vAlign w:val="center"/>
            <w:hideMark/>
          </w:tcPr>
          <w:p w14:paraId="51F0F228" w14:textId="77777777" w:rsidR="00B45594" w:rsidRPr="004712A3" w:rsidRDefault="00B45594" w:rsidP="004712A3">
            <w:pPr>
              <w:jc w:val="center"/>
              <w:rPr>
                <w:rFonts w:ascii="Arial" w:hAnsi="Arial" w:cs="Arial"/>
                <w:color w:val="000000"/>
              </w:rPr>
            </w:pPr>
            <w:r w:rsidRPr="004712A3">
              <w:rPr>
                <w:rFonts w:ascii="Arial" w:hAnsi="Arial" w:cs="Arial"/>
                <w:color w:val="000000"/>
              </w:rPr>
              <w:t>3</w:t>
            </w:r>
          </w:p>
        </w:tc>
        <w:tc>
          <w:tcPr>
            <w:tcW w:w="1051" w:type="dxa"/>
            <w:tcBorders>
              <w:top w:val="nil"/>
              <w:left w:val="nil"/>
              <w:bottom w:val="nil"/>
              <w:right w:val="nil"/>
            </w:tcBorders>
            <w:noWrap/>
            <w:vAlign w:val="center"/>
            <w:hideMark/>
          </w:tcPr>
          <w:p w14:paraId="2386C54B" w14:textId="77777777" w:rsidR="00B45594" w:rsidRPr="004712A3" w:rsidRDefault="00B45594" w:rsidP="004712A3">
            <w:pPr>
              <w:jc w:val="center"/>
              <w:rPr>
                <w:rFonts w:ascii="Arial" w:hAnsi="Arial" w:cs="Arial"/>
                <w:color w:val="000000"/>
              </w:rPr>
            </w:pPr>
            <w:r w:rsidRPr="004712A3">
              <w:rPr>
                <w:rFonts w:ascii="Arial" w:hAnsi="Arial" w:cs="Arial"/>
                <w:color w:val="000000"/>
              </w:rPr>
              <w:t>297.0455</w:t>
            </w:r>
          </w:p>
        </w:tc>
        <w:tc>
          <w:tcPr>
            <w:tcW w:w="1051" w:type="dxa"/>
            <w:tcBorders>
              <w:top w:val="nil"/>
              <w:left w:val="nil"/>
              <w:bottom w:val="nil"/>
              <w:right w:val="nil"/>
            </w:tcBorders>
            <w:noWrap/>
            <w:vAlign w:val="center"/>
            <w:hideMark/>
          </w:tcPr>
          <w:p w14:paraId="044BA325" w14:textId="77777777" w:rsidR="00B45594" w:rsidRPr="004712A3" w:rsidRDefault="00B45594" w:rsidP="004712A3">
            <w:pPr>
              <w:jc w:val="center"/>
              <w:rPr>
                <w:rFonts w:ascii="Arial" w:hAnsi="Arial" w:cs="Arial"/>
                <w:color w:val="000000"/>
              </w:rPr>
            </w:pPr>
            <w:r w:rsidRPr="004712A3">
              <w:rPr>
                <w:rFonts w:ascii="Arial" w:hAnsi="Arial" w:cs="Arial"/>
                <w:color w:val="000000"/>
              </w:rPr>
              <w:t>99.01517</w:t>
            </w:r>
          </w:p>
        </w:tc>
        <w:tc>
          <w:tcPr>
            <w:tcW w:w="1051" w:type="dxa"/>
            <w:tcBorders>
              <w:top w:val="nil"/>
              <w:left w:val="nil"/>
              <w:bottom w:val="nil"/>
              <w:right w:val="nil"/>
            </w:tcBorders>
            <w:noWrap/>
            <w:vAlign w:val="center"/>
            <w:hideMark/>
          </w:tcPr>
          <w:p w14:paraId="64BE6E33" w14:textId="77777777" w:rsidR="00B45594" w:rsidRPr="004712A3" w:rsidRDefault="00B45594" w:rsidP="004712A3">
            <w:pPr>
              <w:jc w:val="center"/>
              <w:rPr>
                <w:rFonts w:ascii="Arial" w:hAnsi="Arial" w:cs="Arial"/>
                <w:color w:val="000000"/>
              </w:rPr>
            </w:pPr>
            <w:r w:rsidRPr="004712A3">
              <w:rPr>
                <w:rFonts w:ascii="Arial" w:hAnsi="Arial" w:cs="Arial"/>
                <w:color w:val="000000"/>
              </w:rPr>
              <w:t>0.012769</w:t>
            </w:r>
          </w:p>
        </w:tc>
        <w:tc>
          <w:tcPr>
            <w:tcW w:w="1212" w:type="dxa"/>
            <w:tcBorders>
              <w:top w:val="nil"/>
              <w:left w:val="nil"/>
              <w:bottom w:val="nil"/>
              <w:right w:val="nil"/>
            </w:tcBorders>
            <w:noWrap/>
            <w:vAlign w:val="center"/>
            <w:hideMark/>
          </w:tcPr>
          <w:p w14:paraId="7896775C"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3F6E06A6" w14:textId="77777777" w:rsidR="00B45594" w:rsidRPr="004712A3" w:rsidRDefault="00B45594" w:rsidP="004712A3">
            <w:pPr>
              <w:jc w:val="center"/>
              <w:rPr>
                <w:rFonts w:ascii="Arial" w:hAnsi="Arial" w:cs="Arial"/>
                <w:color w:val="000000"/>
              </w:rPr>
            </w:pPr>
          </w:p>
        </w:tc>
      </w:tr>
      <w:tr w:rsidR="00B45594" w:rsidRPr="004712A3" w14:paraId="3387738B" w14:textId="77777777" w:rsidTr="00D43C06">
        <w:trPr>
          <w:trHeight w:val="300"/>
          <w:jc w:val="center"/>
        </w:trPr>
        <w:tc>
          <w:tcPr>
            <w:tcW w:w="1727" w:type="dxa"/>
            <w:tcBorders>
              <w:top w:val="nil"/>
              <w:left w:val="nil"/>
              <w:bottom w:val="nil"/>
              <w:right w:val="nil"/>
            </w:tcBorders>
            <w:noWrap/>
            <w:vAlign w:val="center"/>
            <w:hideMark/>
          </w:tcPr>
          <w:p w14:paraId="1173394B"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C699C22"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A978C6F"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32F34E20"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3B08E643" w14:textId="77777777" w:rsidR="00B45594" w:rsidRPr="004712A3" w:rsidRDefault="00B45594" w:rsidP="004712A3">
            <w:pPr>
              <w:jc w:val="center"/>
              <w:rPr>
                <w:rFonts w:ascii="Arial" w:hAnsi="Arial" w:cs="Arial"/>
                <w:color w:val="000000"/>
              </w:rPr>
            </w:pPr>
          </w:p>
        </w:tc>
        <w:tc>
          <w:tcPr>
            <w:tcW w:w="1212" w:type="dxa"/>
            <w:tcBorders>
              <w:top w:val="nil"/>
              <w:left w:val="nil"/>
              <w:bottom w:val="nil"/>
              <w:right w:val="nil"/>
            </w:tcBorders>
            <w:noWrap/>
            <w:vAlign w:val="center"/>
            <w:hideMark/>
          </w:tcPr>
          <w:p w14:paraId="5F765A80"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5A7AC940" w14:textId="77777777" w:rsidR="00B45594" w:rsidRPr="004712A3" w:rsidRDefault="00B45594" w:rsidP="004712A3">
            <w:pPr>
              <w:jc w:val="center"/>
              <w:rPr>
                <w:rFonts w:ascii="Arial" w:hAnsi="Arial" w:cs="Arial"/>
                <w:color w:val="000000"/>
              </w:rPr>
            </w:pPr>
          </w:p>
        </w:tc>
      </w:tr>
      <w:tr w:rsidR="00B45594" w:rsidRPr="004712A3" w14:paraId="04EE2EAC" w14:textId="77777777" w:rsidTr="00D43C06">
        <w:trPr>
          <w:trHeight w:val="315"/>
          <w:jc w:val="center"/>
        </w:trPr>
        <w:tc>
          <w:tcPr>
            <w:tcW w:w="1727" w:type="dxa"/>
            <w:tcBorders>
              <w:top w:val="nil"/>
              <w:left w:val="nil"/>
              <w:bottom w:val="nil"/>
              <w:right w:val="nil"/>
            </w:tcBorders>
            <w:noWrap/>
            <w:vAlign w:val="center"/>
            <w:hideMark/>
          </w:tcPr>
          <w:p w14:paraId="6E68666C" w14:textId="77777777" w:rsidR="00B45594" w:rsidRPr="004712A3" w:rsidRDefault="00B45594" w:rsidP="004712A3">
            <w:pPr>
              <w:jc w:val="center"/>
              <w:rPr>
                <w:rFonts w:ascii="Arial" w:hAnsi="Arial" w:cs="Arial"/>
                <w:color w:val="000000"/>
              </w:rPr>
            </w:pPr>
            <w:r w:rsidRPr="004712A3">
              <w:rPr>
                <w:rFonts w:ascii="Arial" w:hAnsi="Arial" w:cs="Arial"/>
                <w:color w:val="000000"/>
              </w:rPr>
              <w:t>0</w:t>
            </w:r>
          </w:p>
        </w:tc>
        <w:tc>
          <w:tcPr>
            <w:tcW w:w="1051" w:type="dxa"/>
            <w:tcBorders>
              <w:top w:val="nil"/>
              <w:left w:val="nil"/>
              <w:bottom w:val="nil"/>
              <w:right w:val="nil"/>
            </w:tcBorders>
            <w:noWrap/>
            <w:vAlign w:val="center"/>
            <w:hideMark/>
          </w:tcPr>
          <w:p w14:paraId="362E2FA7" w14:textId="77777777" w:rsidR="00B45594" w:rsidRPr="004712A3" w:rsidRDefault="00B45594" w:rsidP="004712A3">
            <w:pPr>
              <w:jc w:val="center"/>
              <w:rPr>
                <w:rFonts w:ascii="Arial" w:hAnsi="Arial" w:cs="Arial"/>
                <w:color w:val="000000"/>
              </w:rPr>
            </w:pPr>
            <w:r w:rsidRPr="004712A3">
              <w:rPr>
                <w:rFonts w:ascii="Arial" w:hAnsi="Arial" w:cs="Arial"/>
                <w:color w:val="000000"/>
              </w:rPr>
              <w:t>2</w:t>
            </w:r>
          </w:p>
        </w:tc>
        <w:tc>
          <w:tcPr>
            <w:tcW w:w="1051" w:type="dxa"/>
            <w:tcBorders>
              <w:top w:val="nil"/>
              <w:left w:val="nil"/>
              <w:bottom w:val="nil"/>
              <w:right w:val="nil"/>
            </w:tcBorders>
            <w:noWrap/>
            <w:vAlign w:val="center"/>
            <w:hideMark/>
          </w:tcPr>
          <w:p w14:paraId="24E6DB3B" w14:textId="77777777" w:rsidR="00B45594" w:rsidRPr="004712A3" w:rsidRDefault="00B45594" w:rsidP="004712A3">
            <w:pPr>
              <w:jc w:val="center"/>
              <w:rPr>
                <w:rFonts w:ascii="Arial" w:hAnsi="Arial" w:cs="Arial"/>
                <w:color w:val="000000"/>
              </w:rPr>
            </w:pPr>
            <w:r w:rsidRPr="004712A3">
              <w:rPr>
                <w:rFonts w:ascii="Arial" w:hAnsi="Arial" w:cs="Arial"/>
                <w:color w:val="000000"/>
              </w:rPr>
              <w:t>193.094</w:t>
            </w:r>
          </w:p>
        </w:tc>
        <w:tc>
          <w:tcPr>
            <w:tcW w:w="1051" w:type="dxa"/>
            <w:tcBorders>
              <w:top w:val="nil"/>
              <w:left w:val="nil"/>
              <w:bottom w:val="nil"/>
              <w:right w:val="nil"/>
            </w:tcBorders>
            <w:noWrap/>
            <w:vAlign w:val="center"/>
            <w:hideMark/>
          </w:tcPr>
          <w:p w14:paraId="47753DCD" w14:textId="77777777" w:rsidR="00B45594" w:rsidRPr="004712A3" w:rsidRDefault="00B45594" w:rsidP="004712A3">
            <w:pPr>
              <w:jc w:val="center"/>
              <w:rPr>
                <w:rFonts w:ascii="Arial" w:hAnsi="Arial" w:cs="Arial"/>
                <w:color w:val="000000"/>
              </w:rPr>
            </w:pPr>
            <w:r w:rsidRPr="004712A3">
              <w:rPr>
                <w:rFonts w:ascii="Arial" w:hAnsi="Arial" w:cs="Arial"/>
                <w:color w:val="000000"/>
              </w:rPr>
              <w:t>96.547</w:t>
            </w:r>
          </w:p>
        </w:tc>
        <w:tc>
          <w:tcPr>
            <w:tcW w:w="1051" w:type="dxa"/>
            <w:tcBorders>
              <w:top w:val="nil"/>
              <w:left w:val="nil"/>
              <w:bottom w:val="nil"/>
              <w:right w:val="nil"/>
            </w:tcBorders>
            <w:noWrap/>
            <w:vAlign w:val="center"/>
            <w:hideMark/>
          </w:tcPr>
          <w:p w14:paraId="77D0B35E" w14:textId="77777777" w:rsidR="00B45594" w:rsidRPr="004712A3" w:rsidRDefault="00B45594" w:rsidP="004712A3">
            <w:pPr>
              <w:jc w:val="center"/>
              <w:rPr>
                <w:rFonts w:ascii="Arial" w:hAnsi="Arial" w:cs="Arial"/>
                <w:color w:val="000000"/>
              </w:rPr>
            </w:pPr>
            <w:r w:rsidRPr="004712A3">
              <w:rPr>
                <w:rFonts w:ascii="Arial" w:hAnsi="Arial" w:cs="Arial"/>
                <w:color w:val="000000"/>
              </w:rPr>
              <w:t>11.02151</w:t>
            </w:r>
          </w:p>
        </w:tc>
        <w:tc>
          <w:tcPr>
            <w:tcW w:w="1212" w:type="dxa"/>
            <w:tcBorders>
              <w:top w:val="nil"/>
              <w:left w:val="nil"/>
              <w:bottom w:val="nil"/>
              <w:right w:val="nil"/>
            </w:tcBorders>
            <w:noWrap/>
            <w:vAlign w:val="center"/>
            <w:hideMark/>
          </w:tcPr>
          <w:p w14:paraId="1C7E0B72"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2A89D647" w14:textId="77777777" w:rsidR="00B45594" w:rsidRPr="004712A3" w:rsidRDefault="00B45594" w:rsidP="004712A3">
            <w:pPr>
              <w:jc w:val="center"/>
              <w:rPr>
                <w:rFonts w:ascii="Arial" w:hAnsi="Arial" w:cs="Arial"/>
                <w:color w:val="000000"/>
              </w:rPr>
            </w:pPr>
          </w:p>
        </w:tc>
      </w:tr>
      <w:tr w:rsidR="00B45594" w:rsidRPr="004712A3" w14:paraId="5B00142C" w14:textId="77777777" w:rsidTr="00D43C06">
        <w:trPr>
          <w:trHeight w:val="300"/>
          <w:jc w:val="center"/>
        </w:trPr>
        <w:tc>
          <w:tcPr>
            <w:tcW w:w="1727" w:type="dxa"/>
            <w:tcBorders>
              <w:top w:val="nil"/>
              <w:left w:val="nil"/>
              <w:bottom w:val="nil"/>
              <w:right w:val="nil"/>
            </w:tcBorders>
            <w:noWrap/>
            <w:vAlign w:val="center"/>
            <w:hideMark/>
          </w:tcPr>
          <w:p w14:paraId="40813DE6" w14:textId="77777777" w:rsidR="00B45594" w:rsidRPr="004712A3" w:rsidRDefault="00B45594" w:rsidP="004712A3">
            <w:pPr>
              <w:jc w:val="center"/>
              <w:rPr>
                <w:rFonts w:ascii="Arial" w:hAnsi="Arial" w:cs="Arial"/>
                <w:color w:val="000000"/>
              </w:rPr>
            </w:pPr>
            <w:r w:rsidRPr="004712A3">
              <w:rPr>
                <w:rFonts w:ascii="Arial" w:hAnsi="Arial" w:cs="Arial"/>
                <w:color w:val="000000"/>
              </w:rPr>
              <w:t>15</w:t>
            </w:r>
          </w:p>
        </w:tc>
        <w:tc>
          <w:tcPr>
            <w:tcW w:w="1051" w:type="dxa"/>
            <w:tcBorders>
              <w:top w:val="nil"/>
              <w:left w:val="nil"/>
              <w:bottom w:val="nil"/>
              <w:right w:val="nil"/>
            </w:tcBorders>
            <w:noWrap/>
            <w:vAlign w:val="center"/>
            <w:hideMark/>
          </w:tcPr>
          <w:p w14:paraId="393069FC" w14:textId="77777777" w:rsidR="00B45594" w:rsidRPr="004712A3" w:rsidRDefault="00B45594" w:rsidP="004712A3">
            <w:pPr>
              <w:jc w:val="center"/>
              <w:rPr>
                <w:rFonts w:ascii="Arial" w:hAnsi="Arial" w:cs="Arial"/>
                <w:color w:val="000000"/>
              </w:rPr>
            </w:pPr>
            <w:r w:rsidRPr="004712A3">
              <w:rPr>
                <w:rFonts w:ascii="Arial" w:hAnsi="Arial" w:cs="Arial"/>
                <w:color w:val="000000"/>
              </w:rPr>
              <w:t>2</w:t>
            </w:r>
          </w:p>
        </w:tc>
        <w:tc>
          <w:tcPr>
            <w:tcW w:w="1051" w:type="dxa"/>
            <w:tcBorders>
              <w:top w:val="nil"/>
              <w:left w:val="nil"/>
              <w:bottom w:val="nil"/>
              <w:right w:val="nil"/>
            </w:tcBorders>
            <w:noWrap/>
            <w:vAlign w:val="center"/>
            <w:hideMark/>
          </w:tcPr>
          <w:p w14:paraId="115EC2B0" w14:textId="77777777" w:rsidR="00B45594" w:rsidRPr="004712A3" w:rsidRDefault="00B45594" w:rsidP="004712A3">
            <w:pPr>
              <w:jc w:val="center"/>
              <w:rPr>
                <w:rFonts w:ascii="Arial" w:hAnsi="Arial" w:cs="Arial"/>
                <w:color w:val="000000"/>
              </w:rPr>
            </w:pPr>
            <w:r w:rsidRPr="004712A3">
              <w:rPr>
                <w:rFonts w:ascii="Arial" w:hAnsi="Arial" w:cs="Arial"/>
                <w:color w:val="000000"/>
              </w:rPr>
              <w:t>193.3135</w:t>
            </w:r>
          </w:p>
        </w:tc>
        <w:tc>
          <w:tcPr>
            <w:tcW w:w="1051" w:type="dxa"/>
            <w:tcBorders>
              <w:top w:val="nil"/>
              <w:left w:val="nil"/>
              <w:bottom w:val="nil"/>
              <w:right w:val="nil"/>
            </w:tcBorders>
            <w:noWrap/>
            <w:vAlign w:val="center"/>
            <w:hideMark/>
          </w:tcPr>
          <w:p w14:paraId="7B5FA11E" w14:textId="77777777" w:rsidR="00B45594" w:rsidRPr="004712A3" w:rsidRDefault="00B45594" w:rsidP="004712A3">
            <w:pPr>
              <w:jc w:val="center"/>
              <w:rPr>
                <w:rFonts w:ascii="Arial" w:hAnsi="Arial" w:cs="Arial"/>
                <w:color w:val="000000"/>
              </w:rPr>
            </w:pPr>
            <w:r w:rsidRPr="004712A3">
              <w:rPr>
                <w:rFonts w:ascii="Arial" w:hAnsi="Arial" w:cs="Arial"/>
                <w:color w:val="000000"/>
              </w:rPr>
              <w:t>96.65675</w:t>
            </w:r>
          </w:p>
        </w:tc>
        <w:tc>
          <w:tcPr>
            <w:tcW w:w="1051" w:type="dxa"/>
            <w:tcBorders>
              <w:top w:val="nil"/>
              <w:left w:val="nil"/>
              <w:bottom w:val="nil"/>
              <w:right w:val="nil"/>
            </w:tcBorders>
            <w:noWrap/>
            <w:vAlign w:val="center"/>
            <w:hideMark/>
          </w:tcPr>
          <w:p w14:paraId="1EB4EB2B" w14:textId="77777777" w:rsidR="00B45594" w:rsidRPr="004712A3" w:rsidRDefault="00B45594" w:rsidP="004712A3">
            <w:pPr>
              <w:jc w:val="center"/>
              <w:rPr>
                <w:rFonts w:ascii="Arial" w:hAnsi="Arial" w:cs="Arial"/>
                <w:color w:val="000000"/>
              </w:rPr>
            </w:pPr>
            <w:r w:rsidRPr="004712A3">
              <w:rPr>
                <w:rFonts w:ascii="Arial" w:hAnsi="Arial" w:cs="Arial"/>
                <w:color w:val="000000"/>
              </w:rPr>
              <w:t>12.12043</w:t>
            </w:r>
          </w:p>
        </w:tc>
        <w:tc>
          <w:tcPr>
            <w:tcW w:w="1212" w:type="dxa"/>
            <w:tcBorders>
              <w:top w:val="nil"/>
              <w:left w:val="nil"/>
              <w:bottom w:val="nil"/>
              <w:right w:val="nil"/>
            </w:tcBorders>
            <w:noWrap/>
            <w:vAlign w:val="center"/>
            <w:hideMark/>
          </w:tcPr>
          <w:p w14:paraId="1DAEA06C"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4F4D13DE" w14:textId="77777777" w:rsidR="00B45594" w:rsidRPr="004712A3" w:rsidRDefault="00B45594" w:rsidP="004712A3">
            <w:pPr>
              <w:jc w:val="center"/>
              <w:rPr>
                <w:rFonts w:ascii="Arial" w:hAnsi="Arial" w:cs="Arial"/>
                <w:color w:val="000000"/>
              </w:rPr>
            </w:pPr>
          </w:p>
        </w:tc>
      </w:tr>
      <w:tr w:rsidR="00B45594" w:rsidRPr="004712A3" w14:paraId="6044A069" w14:textId="77777777" w:rsidTr="00D43C06">
        <w:trPr>
          <w:trHeight w:val="315"/>
          <w:jc w:val="center"/>
        </w:trPr>
        <w:tc>
          <w:tcPr>
            <w:tcW w:w="1727" w:type="dxa"/>
            <w:tcBorders>
              <w:top w:val="nil"/>
              <w:left w:val="nil"/>
              <w:bottom w:val="single" w:sz="8" w:space="0" w:color="auto"/>
              <w:right w:val="nil"/>
            </w:tcBorders>
            <w:noWrap/>
            <w:vAlign w:val="center"/>
            <w:hideMark/>
          </w:tcPr>
          <w:p w14:paraId="2D12C4BC" w14:textId="77777777" w:rsidR="00B45594" w:rsidRPr="004712A3" w:rsidRDefault="00B45594" w:rsidP="004712A3">
            <w:pPr>
              <w:jc w:val="center"/>
              <w:rPr>
                <w:rFonts w:ascii="Arial" w:hAnsi="Arial" w:cs="Arial"/>
                <w:color w:val="000000"/>
              </w:rPr>
            </w:pPr>
            <w:r w:rsidRPr="004712A3">
              <w:rPr>
                <w:rFonts w:ascii="Arial" w:hAnsi="Arial" w:cs="Arial"/>
                <w:color w:val="000000"/>
              </w:rPr>
              <w:t>30</w:t>
            </w:r>
          </w:p>
        </w:tc>
        <w:tc>
          <w:tcPr>
            <w:tcW w:w="1051" w:type="dxa"/>
            <w:tcBorders>
              <w:top w:val="nil"/>
              <w:left w:val="nil"/>
              <w:bottom w:val="single" w:sz="8" w:space="0" w:color="auto"/>
              <w:right w:val="nil"/>
            </w:tcBorders>
            <w:noWrap/>
            <w:vAlign w:val="center"/>
            <w:hideMark/>
          </w:tcPr>
          <w:p w14:paraId="44123797" w14:textId="77777777" w:rsidR="00B45594" w:rsidRPr="004712A3" w:rsidRDefault="00B45594" w:rsidP="004712A3">
            <w:pPr>
              <w:jc w:val="center"/>
              <w:rPr>
                <w:rFonts w:ascii="Arial" w:hAnsi="Arial" w:cs="Arial"/>
                <w:color w:val="000000"/>
              </w:rPr>
            </w:pPr>
            <w:r w:rsidRPr="004712A3">
              <w:rPr>
                <w:rFonts w:ascii="Arial" w:hAnsi="Arial" w:cs="Arial"/>
                <w:color w:val="000000"/>
              </w:rPr>
              <w:t>2</w:t>
            </w:r>
          </w:p>
        </w:tc>
        <w:tc>
          <w:tcPr>
            <w:tcW w:w="1051" w:type="dxa"/>
            <w:tcBorders>
              <w:top w:val="nil"/>
              <w:left w:val="nil"/>
              <w:bottom w:val="single" w:sz="8" w:space="0" w:color="auto"/>
              <w:right w:val="nil"/>
            </w:tcBorders>
            <w:noWrap/>
            <w:vAlign w:val="center"/>
            <w:hideMark/>
          </w:tcPr>
          <w:p w14:paraId="09EB66CA" w14:textId="77777777" w:rsidR="00B45594" w:rsidRPr="004712A3" w:rsidRDefault="00B45594" w:rsidP="004712A3">
            <w:pPr>
              <w:jc w:val="center"/>
              <w:rPr>
                <w:rFonts w:ascii="Arial" w:hAnsi="Arial" w:cs="Arial"/>
                <w:color w:val="000000"/>
              </w:rPr>
            </w:pPr>
            <w:r w:rsidRPr="004712A3">
              <w:rPr>
                <w:rFonts w:ascii="Arial" w:hAnsi="Arial" w:cs="Arial"/>
                <w:color w:val="000000"/>
              </w:rPr>
              <w:t>193.241</w:t>
            </w:r>
          </w:p>
        </w:tc>
        <w:tc>
          <w:tcPr>
            <w:tcW w:w="1051" w:type="dxa"/>
            <w:tcBorders>
              <w:top w:val="nil"/>
              <w:left w:val="nil"/>
              <w:bottom w:val="single" w:sz="8" w:space="0" w:color="auto"/>
              <w:right w:val="nil"/>
            </w:tcBorders>
            <w:noWrap/>
            <w:vAlign w:val="center"/>
            <w:hideMark/>
          </w:tcPr>
          <w:p w14:paraId="26D2F913" w14:textId="77777777" w:rsidR="00B45594" w:rsidRPr="004712A3" w:rsidRDefault="00B45594" w:rsidP="004712A3">
            <w:pPr>
              <w:jc w:val="center"/>
              <w:rPr>
                <w:rFonts w:ascii="Arial" w:hAnsi="Arial" w:cs="Arial"/>
                <w:color w:val="000000"/>
              </w:rPr>
            </w:pPr>
            <w:r w:rsidRPr="004712A3">
              <w:rPr>
                <w:rFonts w:ascii="Arial" w:hAnsi="Arial" w:cs="Arial"/>
                <w:color w:val="000000"/>
              </w:rPr>
              <w:t>96.6205</w:t>
            </w:r>
          </w:p>
        </w:tc>
        <w:tc>
          <w:tcPr>
            <w:tcW w:w="1051" w:type="dxa"/>
            <w:tcBorders>
              <w:top w:val="nil"/>
              <w:left w:val="nil"/>
              <w:bottom w:val="single" w:sz="8" w:space="0" w:color="auto"/>
              <w:right w:val="nil"/>
            </w:tcBorders>
            <w:noWrap/>
            <w:vAlign w:val="center"/>
            <w:hideMark/>
          </w:tcPr>
          <w:p w14:paraId="06AA0F65" w14:textId="77777777" w:rsidR="00B45594" w:rsidRPr="004712A3" w:rsidRDefault="00B45594" w:rsidP="004712A3">
            <w:pPr>
              <w:jc w:val="center"/>
              <w:rPr>
                <w:rFonts w:ascii="Arial" w:hAnsi="Arial" w:cs="Arial"/>
                <w:color w:val="000000"/>
              </w:rPr>
            </w:pPr>
            <w:r w:rsidRPr="004712A3">
              <w:rPr>
                <w:rFonts w:ascii="Arial" w:hAnsi="Arial" w:cs="Arial"/>
                <w:color w:val="000000"/>
              </w:rPr>
              <w:t>11.63549</w:t>
            </w:r>
          </w:p>
        </w:tc>
        <w:tc>
          <w:tcPr>
            <w:tcW w:w="1212" w:type="dxa"/>
            <w:tcBorders>
              <w:top w:val="nil"/>
              <w:left w:val="nil"/>
              <w:bottom w:val="nil"/>
              <w:right w:val="nil"/>
            </w:tcBorders>
            <w:noWrap/>
            <w:vAlign w:val="center"/>
            <w:hideMark/>
          </w:tcPr>
          <w:p w14:paraId="451D3FBA"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0E229897" w14:textId="77777777" w:rsidR="00B45594" w:rsidRPr="004712A3" w:rsidRDefault="00B45594" w:rsidP="004712A3">
            <w:pPr>
              <w:jc w:val="center"/>
              <w:rPr>
                <w:rFonts w:ascii="Arial" w:hAnsi="Arial" w:cs="Arial"/>
                <w:color w:val="000000"/>
              </w:rPr>
            </w:pPr>
          </w:p>
        </w:tc>
      </w:tr>
      <w:tr w:rsidR="00B45594" w:rsidRPr="004712A3" w14:paraId="655C4FB3" w14:textId="77777777" w:rsidTr="00D43C06">
        <w:trPr>
          <w:trHeight w:val="315"/>
          <w:jc w:val="center"/>
        </w:trPr>
        <w:tc>
          <w:tcPr>
            <w:tcW w:w="1727" w:type="dxa"/>
            <w:tcBorders>
              <w:top w:val="nil"/>
              <w:left w:val="nil"/>
              <w:bottom w:val="nil"/>
              <w:right w:val="nil"/>
            </w:tcBorders>
            <w:noWrap/>
            <w:vAlign w:val="center"/>
            <w:hideMark/>
          </w:tcPr>
          <w:p w14:paraId="43CAC7E4"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5563574F"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5F19579A"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6A4289FB"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15B456A0" w14:textId="77777777" w:rsidR="00B45594" w:rsidRPr="004712A3" w:rsidRDefault="00B45594" w:rsidP="004712A3">
            <w:pPr>
              <w:jc w:val="center"/>
              <w:rPr>
                <w:rFonts w:ascii="Arial" w:hAnsi="Arial" w:cs="Arial"/>
                <w:color w:val="000000"/>
              </w:rPr>
            </w:pPr>
          </w:p>
        </w:tc>
        <w:tc>
          <w:tcPr>
            <w:tcW w:w="1212" w:type="dxa"/>
            <w:tcBorders>
              <w:top w:val="nil"/>
              <w:left w:val="nil"/>
              <w:bottom w:val="nil"/>
              <w:right w:val="nil"/>
            </w:tcBorders>
            <w:noWrap/>
            <w:vAlign w:val="center"/>
            <w:hideMark/>
          </w:tcPr>
          <w:p w14:paraId="426BF5F1"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42C6F2C5" w14:textId="77777777" w:rsidR="00B45594" w:rsidRPr="004712A3" w:rsidRDefault="00B45594" w:rsidP="004712A3">
            <w:pPr>
              <w:jc w:val="center"/>
              <w:rPr>
                <w:rFonts w:ascii="Arial" w:hAnsi="Arial" w:cs="Arial"/>
                <w:color w:val="000000"/>
              </w:rPr>
            </w:pPr>
          </w:p>
        </w:tc>
      </w:tr>
      <w:tr w:rsidR="00B45594" w:rsidRPr="004712A3" w14:paraId="26A815DA" w14:textId="77777777" w:rsidTr="00D43C06">
        <w:trPr>
          <w:trHeight w:val="300"/>
          <w:jc w:val="center"/>
        </w:trPr>
        <w:tc>
          <w:tcPr>
            <w:tcW w:w="1727" w:type="dxa"/>
            <w:tcBorders>
              <w:top w:val="nil"/>
              <w:left w:val="nil"/>
              <w:bottom w:val="nil"/>
              <w:right w:val="nil"/>
            </w:tcBorders>
            <w:noWrap/>
            <w:vAlign w:val="center"/>
            <w:hideMark/>
          </w:tcPr>
          <w:p w14:paraId="216A6198"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92EB659"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60163BAA"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FFBBF99"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7F23E6E" w14:textId="77777777" w:rsidR="00B45594" w:rsidRPr="004712A3" w:rsidRDefault="00B45594" w:rsidP="004712A3">
            <w:pPr>
              <w:jc w:val="center"/>
              <w:rPr>
                <w:rFonts w:ascii="Arial" w:hAnsi="Arial" w:cs="Arial"/>
                <w:color w:val="000000"/>
              </w:rPr>
            </w:pPr>
          </w:p>
        </w:tc>
        <w:tc>
          <w:tcPr>
            <w:tcW w:w="1212" w:type="dxa"/>
            <w:tcBorders>
              <w:top w:val="nil"/>
              <w:left w:val="nil"/>
              <w:bottom w:val="nil"/>
              <w:right w:val="nil"/>
            </w:tcBorders>
            <w:noWrap/>
            <w:vAlign w:val="center"/>
            <w:hideMark/>
          </w:tcPr>
          <w:p w14:paraId="7351C060"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224E087B" w14:textId="77777777" w:rsidR="00B45594" w:rsidRPr="004712A3" w:rsidRDefault="00B45594" w:rsidP="004712A3">
            <w:pPr>
              <w:jc w:val="center"/>
              <w:rPr>
                <w:rFonts w:ascii="Arial" w:hAnsi="Arial" w:cs="Arial"/>
                <w:color w:val="000000"/>
              </w:rPr>
            </w:pPr>
          </w:p>
        </w:tc>
      </w:tr>
      <w:tr w:rsidR="00B45594" w:rsidRPr="004712A3" w14:paraId="5E2BA89D" w14:textId="77777777" w:rsidTr="00D43C06">
        <w:trPr>
          <w:trHeight w:val="315"/>
          <w:jc w:val="center"/>
        </w:trPr>
        <w:tc>
          <w:tcPr>
            <w:tcW w:w="1727" w:type="dxa"/>
            <w:tcBorders>
              <w:top w:val="nil"/>
              <w:left w:val="nil"/>
              <w:bottom w:val="nil"/>
              <w:right w:val="nil"/>
            </w:tcBorders>
            <w:noWrap/>
            <w:vAlign w:val="center"/>
            <w:hideMark/>
          </w:tcPr>
          <w:p w14:paraId="195B0465" w14:textId="77777777" w:rsidR="00B45594" w:rsidRPr="004712A3" w:rsidRDefault="00B45594" w:rsidP="004712A3">
            <w:pPr>
              <w:jc w:val="center"/>
              <w:rPr>
                <w:rFonts w:ascii="Arial" w:hAnsi="Arial" w:cs="Arial"/>
                <w:color w:val="000000"/>
              </w:rPr>
            </w:pPr>
            <w:r w:rsidRPr="004712A3">
              <w:rPr>
                <w:rFonts w:ascii="Arial" w:hAnsi="Arial" w:cs="Arial"/>
                <w:color w:val="000000"/>
              </w:rPr>
              <w:t>ANOVA</w:t>
            </w:r>
          </w:p>
        </w:tc>
        <w:tc>
          <w:tcPr>
            <w:tcW w:w="1051" w:type="dxa"/>
            <w:tcBorders>
              <w:top w:val="nil"/>
              <w:left w:val="nil"/>
              <w:bottom w:val="nil"/>
              <w:right w:val="nil"/>
            </w:tcBorders>
            <w:noWrap/>
            <w:vAlign w:val="center"/>
            <w:hideMark/>
          </w:tcPr>
          <w:p w14:paraId="53C45302"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2DB15609"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73E56BD"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7D923E5D" w14:textId="77777777" w:rsidR="00B45594" w:rsidRPr="004712A3" w:rsidRDefault="00B45594" w:rsidP="004712A3">
            <w:pPr>
              <w:jc w:val="center"/>
              <w:rPr>
                <w:rFonts w:ascii="Arial" w:hAnsi="Arial" w:cs="Arial"/>
                <w:color w:val="000000"/>
              </w:rPr>
            </w:pPr>
          </w:p>
        </w:tc>
        <w:tc>
          <w:tcPr>
            <w:tcW w:w="1212" w:type="dxa"/>
            <w:tcBorders>
              <w:top w:val="nil"/>
              <w:left w:val="nil"/>
              <w:bottom w:val="nil"/>
              <w:right w:val="nil"/>
            </w:tcBorders>
            <w:noWrap/>
            <w:vAlign w:val="center"/>
            <w:hideMark/>
          </w:tcPr>
          <w:p w14:paraId="6E6F6E58"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43E909D9" w14:textId="77777777" w:rsidR="00B45594" w:rsidRPr="004712A3" w:rsidRDefault="00B45594" w:rsidP="004712A3">
            <w:pPr>
              <w:jc w:val="center"/>
              <w:rPr>
                <w:rFonts w:ascii="Arial" w:hAnsi="Arial" w:cs="Arial"/>
                <w:color w:val="000000"/>
              </w:rPr>
            </w:pPr>
          </w:p>
        </w:tc>
      </w:tr>
      <w:tr w:rsidR="00B45594" w:rsidRPr="004712A3" w14:paraId="7C551240" w14:textId="77777777" w:rsidTr="00D43C06">
        <w:trPr>
          <w:trHeight w:val="300"/>
          <w:jc w:val="center"/>
        </w:trPr>
        <w:tc>
          <w:tcPr>
            <w:tcW w:w="1727" w:type="dxa"/>
            <w:tcBorders>
              <w:top w:val="single" w:sz="8" w:space="0" w:color="auto"/>
              <w:left w:val="nil"/>
              <w:bottom w:val="single" w:sz="4" w:space="0" w:color="auto"/>
              <w:right w:val="nil"/>
            </w:tcBorders>
            <w:noWrap/>
            <w:vAlign w:val="center"/>
            <w:hideMark/>
          </w:tcPr>
          <w:p w14:paraId="4BF0869F"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Source of Variation</w:t>
            </w:r>
          </w:p>
        </w:tc>
        <w:tc>
          <w:tcPr>
            <w:tcW w:w="1051" w:type="dxa"/>
            <w:tcBorders>
              <w:top w:val="single" w:sz="8" w:space="0" w:color="auto"/>
              <w:left w:val="nil"/>
              <w:bottom w:val="single" w:sz="4" w:space="0" w:color="auto"/>
              <w:right w:val="nil"/>
            </w:tcBorders>
            <w:noWrap/>
            <w:vAlign w:val="center"/>
            <w:hideMark/>
          </w:tcPr>
          <w:p w14:paraId="656957B4"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SS</w:t>
            </w:r>
          </w:p>
        </w:tc>
        <w:tc>
          <w:tcPr>
            <w:tcW w:w="1051" w:type="dxa"/>
            <w:tcBorders>
              <w:top w:val="single" w:sz="8" w:space="0" w:color="auto"/>
              <w:left w:val="nil"/>
              <w:bottom w:val="single" w:sz="4" w:space="0" w:color="auto"/>
              <w:right w:val="nil"/>
            </w:tcBorders>
            <w:noWrap/>
            <w:vAlign w:val="center"/>
            <w:hideMark/>
          </w:tcPr>
          <w:p w14:paraId="15567B58"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df</w:t>
            </w:r>
          </w:p>
        </w:tc>
        <w:tc>
          <w:tcPr>
            <w:tcW w:w="1051" w:type="dxa"/>
            <w:tcBorders>
              <w:top w:val="single" w:sz="8" w:space="0" w:color="auto"/>
              <w:left w:val="nil"/>
              <w:bottom w:val="single" w:sz="4" w:space="0" w:color="auto"/>
              <w:right w:val="nil"/>
            </w:tcBorders>
            <w:noWrap/>
            <w:vAlign w:val="center"/>
            <w:hideMark/>
          </w:tcPr>
          <w:p w14:paraId="31C6A879"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MS</w:t>
            </w:r>
          </w:p>
        </w:tc>
        <w:tc>
          <w:tcPr>
            <w:tcW w:w="1051" w:type="dxa"/>
            <w:tcBorders>
              <w:top w:val="single" w:sz="8" w:space="0" w:color="auto"/>
              <w:left w:val="nil"/>
              <w:bottom w:val="single" w:sz="4" w:space="0" w:color="auto"/>
              <w:right w:val="nil"/>
            </w:tcBorders>
            <w:noWrap/>
            <w:vAlign w:val="center"/>
            <w:hideMark/>
          </w:tcPr>
          <w:p w14:paraId="2D3A0B11"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F</w:t>
            </w:r>
          </w:p>
        </w:tc>
        <w:tc>
          <w:tcPr>
            <w:tcW w:w="1212" w:type="dxa"/>
            <w:tcBorders>
              <w:top w:val="single" w:sz="8" w:space="0" w:color="auto"/>
              <w:left w:val="nil"/>
              <w:bottom w:val="single" w:sz="4" w:space="0" w:color="auto"/>
              <w:right w:val="nil"/>
            </w:tcBorders>
            <w:noWrap/>
            <w:vAlign w:val="center"/>
            <w:hideMark/>
          </w:tcPr>
          <w:p w14:paraId="26C74E3D"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P-value</w:t>
            </w:r>
          </w:p>
        </w:tc>
        <w:tc>
          <w:tcPr>
            <w:tcW w:w="890" w:type="dxa"/>
            <w:tcBorders>
              <w:top w:val="single" w:sz="8" w:space="0" w:color="auto"/>
              <w:left w:val="nil"/>
              <w:bottom w:val="single" w:sz="4" w:space="0" w:color="auto"/>
              <w:right w:val="nil"/>
            </w:tcBorders>
            <w:noWrap/>
            <w:vAlign w:val="center"/>
            <w:hideMark/>
          </w:tcPr>
          <w:p w14:paraId="47114371"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F crit</w:t>
            </w:r>
          </w:p>
        </w:tc>
      </w:tr>
      <w:tr w:rsidR="00B45594" w:rsidRPr="004712A3" w14:paraId="52B4D39C" w14:textId="77777777" w:rsidTr="00D43C06">
        <w:trPr>
          <w:trHeight w:val="300"/>
          <w:jc w:val="center"/>
        </w:trPr>
        <w:tc>
          <w:tcPr>
            <w:tcW w:w="1727" w:type="dxa"/>
            <w:tcBorders>
              <w:top w:val="nil"/>
              <w:left w:val="nil"/>
              <w:bottom w:val="nil"/>
              <w:right w:val="nil"/>
            </w:tcBorders>
            <w:noWrap/>
            <w:vAlign w:val="center"/>
            <w:hideMark/>
          </w:tcPr>
          <w:p w14:paraId="66AA1709" w14:textId="77777777" w:rsidR="00B45594" w:rsidRPr="004712A3" w:rsidRDefault="00B45594" w:rsidP="004712A3">
            <w:pPr>
              <w:jc w:val="center"/>
              <w:rPr>
                <w:rFonts w:ascii="Arial" w:hAnsi="Arial" w:cs="Arial"/>
                <w:color w:val="000000"/>
              </w:rPr>
            </w:pPr>
            <w:r w:rsidRPr="004712A3">
              <w:rPr>
                <w:rFonts w:ascii="Arial" w:hAnsi="Arial" w:cs="Arial"/>
                <w:color w:val="000000"/>
              </w:rPr>
              <w:t>Rows</w:t>
            </w:r>
          </w:p>
        </w:tc>
        <w:tc>
          <w:tcPr>
            <w:tcW w:w="1051" w:type="dxa"/>
            <w:tcBorders>
              <w:top w:val="nil"/>
              <w:left w:val="nil"/>
              <w:bottom w:val="nil"/>
              <w:right w:val="nil"/>
            </w:tcBorders>
            <w:noWrap/>
            <w:vAlign w:val="center"/>
            <w:hideMark/>
          </w:tcPr>
          <w:p w14:paraId="2642A2CA" w14:textId="77777777" w:rsidR="00B45594" w:rsidRPr="004712A3" w:rsidRDefault="00B45594" w:rsidP="004712A3">
            <w:pPr>
              <w:jc w:val="center"/>
              <w:rPr>
                <w:rFonts w:ascii="Arial" w:hAnsi="Arial" w:cs="Arial"/>
                <w:color w:val="000000"/>
              </w:rPr>
            </w:pPr>
            <w:r w:rsidRPr="004712A3">
              <w:rPr>
                <w:rFonts w:ascii="Arial" w:hAnsi="Arial" w:cs="Arial"/>
                <w:color w:val="000000"/>
              </w:rPr>
              <w:t>34.7643</w:t>
            </w:r>
          </w:p>
        </w:tc>
        <w:tc>
          <w:tcPr>
            <w:tcW w:w="1051" w:type="dxa"/>
            <w:tcBorders>
              <w:top w:val="nil"/>
              <w:left w:val="nil"/>
              <w:bottom w:val="nil"/>
              <w:right w:val="nil"/>
            </w:tcBorders>
            <w:noWrap/>
            <w:vAlign w:val="center"/>
            <w:hideMark/>
          </w:tcPr>
          <w:p w14:paraId="656BF626" w14:textId="77777777" w:rsidR="00B45594" w:rsidRPr="004712A3" w:rsidRDefault="00B45594" w:rsidP="004712A3">
            <w:pPr>
              <w:jc w:val="center"/>
              <w:rPr>
                <w:rFonts w:ascii="Arial" w:hAnsi="Arial" w:cs="Arial"/>
                <w:color w:val="000000"/>
              </w:rPr>
            </w:pPr>
            <w:r w:rsidRPr="004712A3">
              <w:rPr>
                <w:rFonts w:ascii="Arial" w:hAnsi="Arial" w:cs="Arial"/>
                <w:color w:val="000000"/>
              </w:rPr>
              <w:t>1</w:t>
            </w:r>
          </w:p>
        </w:tc>
        <w:tc>
          <w:tcPr>
            <w:tcW w:w="1051" w:type="dxa"/>
            <w:tcBorders>
              <w:top w:val="nil"/>
              <w:left w:val="nil"/>
              <w:bottom w:val="nil"/>
              <w:right w:val="nil"/>
            </w:tcBorders>
            <w:noWrap/>
            <w:vAlign w:val="center"/>
            <w:hideMark/>
          </w:tcPr>
          <w:p w14:paraId="79CEF6AE" w14:textId="77777777" w:rsidR="00B45594" w:rsidRPr="004712A3" w:rsidRDefault="00B45594" w:rsidP="004712A3">
            <w:pPr>
              <w:jc w:val="center"/>
              <w:rPr>
                <w:rFonts w:ascii="Arial" w:hAnsi="Arial" w:cs="Arial"/>
                <w:color w:val="000000"/>
              </w:rPr>
            </w:pPr>
            <w:r w:rsidRPr="004712A3">
              <w:rPr>
                <w:rFonts w:ascii="Arial" w:hAnsi="Arial" w:cs="Arial"/>
                <w:color w:val="000000"/>
              </w:rPr>
              <w:t>34.7643</w:t>
            </w:r>
          </w:p>
        </w:tc>
        <w:tc>
          <w:tcPr>
            <w:tcW w:w="1051" w:type="dxa"/>
            <w:tcBorders>
              <w:top w:val="nil"/>
              <w:left w:val="nil"/>
              <w:bottom w:val="nil"/>
              <w:right w:val="nil"/>
            </w:tcBorders>
            <w:noWrap/>
            <w:vAlign w:val="center"/>
            <w:hideMark/>
          </w:tcPr>
          <w:p w14:paraId="13DA5A1D" w14:textId="77777777" w:rsidR="00B45594" w:rsidRPr="004712A3" w:rsidRDefault="00B45594" w:rsidP="004712A3">
            <w:pPr>
              <w:jc w:val="center"/>
              <w:rPr>
                <w:rFonts w:ascii="Arial" w:hAnsi="Arial" w:cs="Arial"/>
                <w:color w:val="000000"/>
              </w:rPr>
            </w:pPr>
            <w:r w:rsidRPr="004712A3">
              <w:rPr>
                <w:rFonts w:ascii="Arial" w:hAnsi="Arial" w:cs="Arial"/>
                <w:color w:val="000000"/>
              </w:rPr>
              <w:t>5297.182</w:t>
            </w:r>
          </w:p>
        </w:tc>
        <w:tc>
          <w:tcPr>
            <w:tcW w:w="1212" w:type="dxa"/>
            <w:tcBorders>
              <w:top w:val="nil"/>
              <w:left w:val="nil"/>
              <w:bottom w:val="nil"/>
              <w:right w:val="nil"/>
            </w:tcBorders>
            <w:noWrap/>
            <w:vAlign w:val="center"/>
            <w:hideMark/>
          </w:tcPr>
          <w:p w14:paraId="3ABFC967" w14:textId="77777777" w:rsidR="00B45594" w:rsidRPr="004712A3" w:rsidRDefault="00B45594" w:rsidP="004712A3">
            <w:pPr>
              <w:jc w:val="center"/>
              <w:rPr>
                <w:rFonts w:ascii="Arial" w:hAnsi="Arial" w:cs="Arial"/>
                <w:color w:val="000000"/>
              </w:rPr>
            </w:pPr>
            <w:r w:rsidRPr="004712A3">
              <w:rPr>
                <w:rFonts w:ascii="Arial" w:hAnsi="Arial" w:cs="Arial"/>
                <w:color w:val="000000"/>
              </w:rPr>
              <w:t>0.000189</w:t>
            </w:r>
          </w:p>
        </w:tc>
        <w:tc>
          <w:tcPr>
            <w:tcW w:w="890" w:type="dxa"/>
            <w:tcBorders>
              <w:top w:val="nil"/>
              <w:left w:val="nil"/>
              <w:bottom w:val="nil"/>
              <w:right w:val="nil"/>
            </w:tcBorders>
            <w:noWrap/>
            <w:vAlign w:val="center"/>
            <w:hideMark/>
          </w:tcPr>
          <w:p w14:paraId="6A9E371A" w14:textId="77777777" w:rsidR="00B45594" w:rsidRPr="004712A3" w:rsidRDefault="00B45594" w:rsidP="004712A3">
            <w:pPr>
              <w:jc w:val="center"/>
              <w:rPr>
                <w:rFonts w:ascii="Arial" w:hAnsi="Arial" w:cs="Arial"/>
                <w:color w:val="000000"/>
              </w:rPr>
            </w:pPr>
            <w:r w:rsidRPr="004712A3">
              <w:rPr>
                <w:rFonts w:ascii="Arial" w:hAnsi="Arial" w:cs="Arial"/>
                <w:color w:val="000000"/>
              </w:rPr>
              <w:t>18.51282</w:t>
            </w:r>
          </w:p>
        </w:tc>
      </w:tr>
      <w:tr w:rsidR="00B45594" w:rsidRPr="004712A3" w14:paraId="02E8CF51" w14:textId="77777777" w:rsidTr="00D43C06">
        <w:trPr>
          <w:trHeight w:val="300"/>
          <w:jc w:val="center"/>
        </w:trPr>
        <w:tc>
          <w:tcPr>
            <w:tcW w:w="1727" w:type="dxa"/>
            <w:tcBorders>
              <w:top w:val="nil"/>
              <w:left w:val="nil"/>
              <w:bottom w:val="nil"/>
              <w:right w:val="nil"/>
            </w:tcBorders>
            <w:noWrap/>
            <w:vAlign w:val="center"/>
            <w:hideMark/>
          </w:tcPr>
          <w:p w14:paraId="7E26E87A" w14:textId="77777777" w:rsidR="00B45594" w:rsidRPr="004712A3" w:rsidRDefault="00B45594" w:rsidP="004712A3">
            <w:pPr>
              <w:jc w:val="center"/>
              <w:rPr>
                <w:rFonts w:ascii="Arial" w:hAnsi="Arial" w:cs="Arial"/>
                <w:color w:val="000000"/>
              </w:rPr>
            </w:pPr>
            <w:r w:rsidRPr="004712A3">
              <w:rPr>
                <w:rFonts w:ascii="Arial" w:hAnsi="Arial" w:cs="Arial"/>
                <w:color w:val="000000"/>
              </w:rPr>
              <w:t>Columns</w:t>
            </w:r>
          </w:p>
        </w:tc>
        <w:tc>
          <w:tcPr>
            <w:tcW w:w="1051" w:type="dxa"/>
            <w:tcBorders>
              <w:top w:val="nil"/>
              <w:left w:val="nil"/>
              <w:bottom w:val="nil"/>
              <w:right w:val="nil"/>
            </w:tcBorders>
            <w:noWrap/>
            <w:vAlign w:val="center"/>
            <w:hideMark/>
          </w:tcPr>
          <w:p w14:paraId="35B1843C" w14:textId="77777777" w:rsidR="00B45594" w:rsidRPr="004712A3" w:rsidRDefault="00B45594" w:rsidP="004712A3">
            <w:pPr>
              <w:jc w:val="center"/>
              <w:rPr>
                <w:rFonts w:ascii="Arial" w:hAnsi="Arial" w:cs="Arial"/>
                <w:color w:val="000000"/>
              </w:rPr>
            </w:pPr>
            <w:r w:rsidRPr="004712A3">
              <w:rPr>
                <w:rFonts w:ascii="Arial" w:hAnsi="Arial" w:cs="Arial"/>
                <w:color w:val="000000"/>
              </w:rPr>
              <w:t>0.012508</w:t>
            </w:r>
          </w:p>
        </w:tc>
        <w:tc>
          <w:tcPr>
            <w:tcW w:w="1051" w:type="dxa"/>
            <w:tcBorders>
              <w:top w:val="nil"/>
              <w:left w:val="nil"/>
              <w:bottom w:val="nil"/>
              <w:right w:val="nil"/>
            </w:tcBorders>
            <w:noWrap/>
            <w:vAlign w:val="center"/>
            <w:hideMark/>
          </w:tcPr>
          <w:p w14:paraId="762ACBA2" w14:textId="77777777" w:rsidR="00B45594" w:rsidRPr="004712A3" w:rsidRDefault="00B45594" w:rsidP="004712A3">
            <w:pPr>
              <w:jc w:val="center"/>
              <w:rPr>
                <w:rFonts w:ascii="Arial" w:hAnsi="Arial" w:cs="Arial"/>
                <w:color w:val="000000"/>
              </w:rPr>
            </w:pPr>
            <w:r w:rsidRPr="004712A3">
              <w:rPr>
                <w:rFonts w:ascii="Arial" w:hAnsi="Arial" w:cs="Arial"/>
                <w:color w:val="000000"/>
              </w:rPr>
              <w:t>2</w:t>
            </w:r>
          </w:p>
        </w:tc>
        <w:tc>
          <w:tcPr>
            <w:tcW w:w="1051" w:type="dxa"/>
            <w:tcBorders>
              <w:top w:val="nil"/>
              <w:left w:val="nil"/>
              <w:bottom w:val="nil"/>
              <w:right w:val="nil"/>
            </w:tcBorders>
            <w:noWrap/>
            <w:vAlign w:val="center"/>
            <w:hideMark/>
          </w:tcPr>
          <w:p w14:paraId="62D2FDE3" w14:textId="77777777" w:rsidR="00B45594" w:rsidRPr="004712A3" w:rsidRDefault="00B45594" w:rsidP="004712A3">
            <w:pPr>
              <w:jc w:val="center"/>
              <w:rPr>
                <w:rFonts w:ascii="Arial" w:hAnsi="Arial" w:cs="Arial"/>
                <w:color w:val="000000"/>
              </w:rPr>
            </w:pPr>
            <w:r w:rsidRPr="004712A3">
              <w:rPr>
                <w:rFonts w:ascii="Arial" w:hAnsi="Arial" w:cs="Arial"/>
                <w:color w:val="000000"/>
              </w:rPr>
              <w:t>0.006254</w:t>
            </w:r>
          </w:p>
        </w:tc>
        <w:tc>
          <w:tcPr>
            <w:tcW w:w="1051" w:type="dxa"/>
            <w:tcBorders>
              <w:top w:val="nil"/>
              <w:left w:val="nil"/>
              <w:bottom w:val="nil"/>
              <w:right w:val="nil"/>
            </w:tcBorders>
            <w:noWrap/>
            <w:vAlign w:val="center"/>
            <w:hideMark/>
          </w:tcPr>
          <w:p w14:paraId="5362C701" w14:textId="77777777" w:rsidR="00B45594" w:rsidRPr="004712A3" w:rsidRDefault="00B45594" w:rsidP="004712A3">
            <w:pPr>
              <w:jc w:val="center"/>
              <w:rPr>
                <w:rFonts w:ascii="Arial" w:hAnsi="Arial" w:cs="Arial"/>
                <w:color w:val="000000"/>
              </w:rPr>
            </w:pPr>
            <w:r w:rsidRPr="004712A3">
              <w:rPr>
                <w:rFonts w:ascii="Arial" w:hAnsi="Arial" w:cs="Arial"/>
                <w:color w:val="000000"/>
              </w:rPr>
              <w:t>0.952916</w:t>
            </w:r>
          </w:p>
        </w:tc>
        <w:tc>
          <w:tcPr>
            <w:tcW w:w="1212" w:type="dxa"/>
            <w:tcBorders>
              <w:top w:val="nil"/>
              <w:left w:val="nil"/>
              <w:bottom w:val="nil"/>
              <w:right w:val="nil"/>
            </w:tcBorders>
            <w:noWrap/>
            <w:vAlign w:val="center"/>
            <w:hideMark/>
          </w:tcPr>
          <w:p w14:paraId="0F794D87" w14:textId="77777777" w:rsidR="00B45594" w:rsidRPr="004712A3" w:rsidRDefault="00B45594" w:rsidP="004712A3">
            <w:pPr>
              <w:jc w:val="center"/>
              <w:rPr>
                <w:rFonts w:ascii="Arial" w:hAnsi="Arial" w:cs="Arial"/>
                <w:color w:val="000000"/>
              </w:rPr>
            </w:pPr>
            <w:r w:rsidRPr="004712A3">
              <w:rPr>
                <w:rFonts w:ascii="Arial" w:hAnsi="Arial" w:cs="Arial"/>
                <w:color w:val="000000"/>
              </w:rPr>
              <w:t>0.512055</w:t>
            </w:r>
          </w:p>
        </w:tc>
        <w:tc>
          <w:tcPr>
            <w:tcW w:w="890" w:type="dxa"/>
            <w:tcBorders>
              <w:top w:val="nil"/>
              <w:left w:val="nil"/>
              <w:bottom w:val="nil"/>
              <w:right w:val="nil"/>
            </w:tcBorders>
            <w:noWrap/>
            <w:vAlign w:val="center"/>
            <w:hideMark/>
          </w:tcPr>
          <w:p w14:paraId="3B9FF78E" w14:textId="77777777" w:rsidR="00B45594" w:rsidRPr="004712A3" w:rsidRDefault="00B45594" w:rsidP="004712A3">
            <w:pPr>
              <w:jc w:val="center"/>
              <w:rPr>
                <w:rFonts w:ascii="Arial" w:hAnsi="Arial" w:cs="Arial"/>
                <w:color w:val="000000"/>
              </w:rPr>
            </w:pPr>
            <w:r w:rsidRPr="004712A3">
              <w:rPr>
                <w:rFonts w:ascii="Arial" w:hAnsi="Arial" w:cs="Arial"/>
                <w:color w:val="000000"/>
              </w:rPr>
              <w:t>19</w:t>
            </w:r>
          </w:p>
        </w:tc>
      </w:tr>
      <w:tr w:rsidR="00B45594" w:rsidRPr="004712A3" w14:paraId="3C7F82A2" w14:textId="77777777" w:rsidTr="00D43C06">
        <w:trPr>
          <w:trHeight w:val="315"/>
          <w:jc w:val="center"/>
        </w:trPr>
        <w:tc>
          <w:tcPr>
            <w:tcW w:w="1727" w:type="dxa"/>
            <w:tcBorders>
              <w:top w:val="nil"/>
              <w:left w:val="nil"/>
              <w:bottom w:val="nil"/>
              <w:right w:val="nil"/>
            </w:tcBorders>
            <w:noWrap/>
            <w:vAlign w:val="center"/>
            <w:hideMark/>
          </w:tcPr>
          <w:p w14:paraId="386609E7" w14:textId="77777777" w:rsidR="00B45594" w:rsidRPr="004712A3" w:rsidRDefault="00B45594" w:rsidP="004712A3">
            <w:pPr>
              <w:jc w:val="center"/>
              <w:rPr>
                <w:rFonts w:ascii="Arial" w:hAnsi="Arial" w:cs="Arial"/>
                <w:color w:val="000000"/>
              </w:rPr>
            </w:pPr>
            <w:r w:rsidRPr="004712A3">
              <w:rPr>
                <w:rFonts w:ascii="Arial" w:hAnsi="Arial" w:cs="Arial"/>
                <w:color w:val="000000"/>
              </w:rPr>
              <w:t>Error</w:t>
            </w:r>
          </w:p>
        </w:tc>
        <w:tc>
          <w:tcPr>
            <w:tcW w:w="1051" w:type="dxa"/>
            <w:tcBorders>
              <w:top w:val="nil"/>
              <w:left w:val="nil"/>
              <w:bottom w:val="nil"/>
              <w:right w:val="nil"/>
            </w:tcBorders>
            <w:noWrap/>
            <w:vAlign w:val="center"/>
            <w:hideMark/>
          </w:tcPr>
          <w:p w14:paraId="3D96B498" w14:textId="77777777" w:rsidR="00B45594" w:rsidRPr="004712A3" w:rsidRDefault="00B45594" w:rsidP="004712A3">
            <w:pPr>
              <w:jc w:val="center"/>
              <w:rPr>
                <w:rFonts w:ascii="Arial" w:hAnsi="Arial" w:cs="Arial"/>
                <w:color w:val="000000"/>
              </w:rPr>
            </w:pPr>
            <w:r w:rsidRPr="004712A3">
              <w:rPr>
                <w:rFonts w:ascii="Arial" w:hAnsi="Arial" w:cs="Arial"/>
                <w:color w:val="000000"/>
              </w:rPr>
              <w:t>0.013126</w:t>
            </w:r>
          </w:p>
        </w:tc>
        <w:tc>
          <w:tcPr>
            <w:tcW w:w="1051" w:type="dxa"/>
            <w:tcBorders>
              <w:top w:val="nil"/>
              <w:left w:val="nil"/>
              <w:bottom w:val="nil"/>
              <w:right w:val="nil"/>
            </w:tcBorders>
            <w:noWrap/>
            <w:vAlign w:val="center"/>
            <w:hideMark/>
          </w:tcPr>
          <w:p w14:paraId="599AF53F" w14:textId="77777777" w:rsidR="00B45594" w:rsidRPr="004712A3" w:rsidRDefault="00B45594" w:rsidP="004712A3">
            <w:pPr>
              <w:jc w:val="center"/>
              <w:rPr>
                <w:rFonts w:ascii="Arial" w:hAnsi="Arial" w:cs="Arial"/>
                <w:color w:val="000000"/>
              </w:rPr>
            </w:pPr>
            <w:r w:rsidRPr="004712A3">
              <w:rPr>
                <w:rFonts w:ascii="Arial" w:hAnsi="Arial" w:cs="Arial"/>
                <w:color w:val="000000"/>
              </w:rPr>
              <w:t>2</w:t>
            </w:r>
          </w:p>
        </w:tc>
        <w:tc>
          <w:tcPr>
            <w:tcW w:w="1051" w:type="dxa"/>
            <w:tcBorders>
              <w:top w:val="nil"/>
              <w:left w:val="nil"/>
              <w:bottom w:val="nil"/>
              <w:right w:val="nil"/>
            </w:tcBorders>
            <w:noWrap/>
            <w:vAlign w:val="center"/>
            <w:hideMark/>
          </w:tcPr>
          <w:p w14:paraId="28BF5D69" w14:textId="77777777" w:rsidR="00B45594" w:rsidRPr="004712A3" w:rsidRDefault="00B45594" w:rsidP="004712A3">
            <w:pPr>
              <w:jc w:val="center"/>
              <w:rPr>
                <w:rFonts w:ascii="Arial" w:hAnsi="Arial" w:cs="Arial"/>
                <w:color w:val="000000"/>
              </w:rPr>
            </w:pPr>
            <w:r w:rsidRPr="004712A3">
              <w:rPr>
                <w:rFonts w:ascii="Arial" w:hAnsi="Arial" w:cs="Arial"/>
                <w:color w:val="000000"/>
              </w:rPr>
              <w:t>0.006563</w:t>
            </w:r>
          </w:p>
        </w:tc>
        <w:tc>
          <w:tcPr>
            <w:tcW w:w="1051" w:type="dxa"/>
            <w:tcBorders>
              <w:top w:val="nil"/>
              <w:left w:val="nil"/>
              <w:bottom w:val="nil"/>
              <w:right w:val="nil"/>
            </w:tcBorders>
            <w:noWrap/>
            <w:vAlign w:val="center"/>
            <w:hideMark/>
          </w:tcPr>
          <w:p w14:paraId="506F51B8" w14:textId="77777777" w:rsidR="00B45594" w:rsidRPr="004712A3" w:rsidRDefault="00B45594" w:rsidP="004712A3">
            <w:pPr>
              <w:jc w:val="center"/>
              <w:rPr>
                <w:rFonts w:ascii="Arial" w:hAnsi="Arial" w:cs="Arial"/>
                <w:color w:val="000000"/>
              </w:rPr>
            </w:pPr>
          </w:p>
        </w:tc>
        <w:tc>
          <w:tcPr>
            <w:tcW w:w="1212" w:type="dxa"/>
            <w:tcBorders>
              <w:top w:val="nil"/>
              <w:left w:val="nil"/>
              <w:bottom w:val="nil"/>
              <w:right w:val="nil"/>
            </w:tcBorders>
            <w:noWrap/>
            <w:vAlign w:val="center"/>
            <w:hideMark/>
          </w:tcPr>
          <w:p w14:paraId="599EF21C"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41BAF616" w14:textId="77777777" w:rsidR="00B45594" w:rsidRPr="004712A3" w:rsidRDefault="00B45594" w:rsidP="004712A3">
            <w:pPr>
              <w:jc w:val="center"/>
              <w:rPr>
                <w:rFonts w:ascii="Arial" w:hAnsi="Arial" w:cs="Arial"/>
                <w:color w:val="000000"/>
              </w:rPr>
            </w:pPr>
          </w:p>
        </w:tc>
      </w:tr>
      <w:tr w:rsidR="00B45594" w:rsidRPr="004712A3" w14:paraId="1E994EFA" w14:textId="77777777" w:rsidTr="00D43C06">
        <w:trPr>
          <w:trHeight w:val="300"/>
          <w:jc w:val="center"/>
        </w:trPr>
        <w:tc>
          <w:tcPr>
            <w:tcW w:w="1727" w:type="dxa"/>
            <w:tcBorders>
              <w:top w:val="nil"/>
              <w:left w:val="nil"/>
              <w:bottom w:val="nil"/>
              <w:right w:val="nil"/>
            </w:tcBorders>
            <w:noWrap/>
            <w:vAlign w:val="center"/>
            <w:hideMark/>
          </w:tcPr>
          <w:p w14:paraId="02C35620"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1ACBB1DD"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13733385"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58C43B1"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310DB6FE" w14:textId="77777777" w:rsidR="00B45594" w:rsidRPr="004712A3" w:rsidRDefault="00B45594" w:rsidP="004712A3">
            <w:pPr>
              <w:jc w:val="center"/>
              <w:rPr>
                <w:rFonts w:ascii="Arial" w:hAnsi="Arial" w:cs="Arial"/>
                <w:color w:val="000000"/>
              </w:rPr>
            </w:pPr>
          </w:p>
        </w:tc>
        <w:tc>
          <w:tcPr>
            <w:tcW w:w="1212" w:type="dxa"/>
            <w:tcBorders>
              <w:top w:val="nil"/>
              <w:left w:val="nil"/>
              <w:bottom w:val="nil"/>
              <w:right w:val="nil"/>
            </w:tcBorders>
            <w:noWrap/>
            <w:vAlign w:val="center"/>
            <w:hideMark/>
          </w:tcPr>
          <w:p w14:paraId="7631F201" w14:textId="77777777" w:rsidR="00B45594" w:rsidRPr="004712A3" w:rsidRDefault="00B45594" w:rsidP="004712A3">
            <w:pPr>
              <w:jc w:val="center"/>
              <w:rPr>
                <w:rFonts w:ascii="Arial" w:hAnsi="Arial" w:cs="Arial"/>
                <w:color w:val="000000"/>
              </w:rPr>
            </w:pPr>
          </w:p>
        </w:tc>
        <w:tc>
          <w:tcPr>
            <w:tcW w:w="890" w:type="dxa"/>
            <w:tcBorders>
              <w:top w:val="nil"/>
              <w:left w:val="nil"/>
              <w:bottom w:val="nil"/>
              <w:right w:val="nil"/>
            </w:tcBorders>
            <w:noWrap/>
            <w:vAlign w:val="center"/>
            <w:hideMark/>
          </w:tcPr>
          <w:p w14:paraId="751E185B" w14:textId="77777777" w:rsidR="00B45594" w:rsidRPr="004712A3" w:rsidRDefault="00B45594" w:rsidP="004712A3">
            <w:pPr>
              <w:jc w:val="center"/>
              <w:rPr>
                <w:rFonts w:ascii="Arial" w:hAnsi="Arial" w:cs="Arial"/>
                <w:color w:val="000000"/>
              </w:rPr>
            </w:pPr>
          </w:p>
        </w:tc>
      </w:tr>
      <w:tr w:rsidR="00B45594" w:rsidRPr="004712A3" w14:paraId="2FBA4DDC" w14:textId="77777777" w:rsidTr="00D43C06">
        <w:trPr>
          <w:trHeight w:val="315"/>
          <w:jc w:val="center"/>
        </w:trPr>
        <w:tc>
          <w:tcPr>
            <w:tcW w:w="1727" w:type="dxa"/>
            <w:tcBorders>
              <w:top w:val="nil"/>
              <w:left w:val="nil"/>
              <w:bottom w:val="single" w:sz="8" w:space="0" w:color="auto"/>
              <w:right w:val="nil"/>
            </w:tcBorders>
            <w:noWrap/>
            <w:vAlign w:val="center"/>
            <w:hideMark/>
          </w:tcPr>
          <w:p w14:paraId="7A77804B" w14:textId="77777777" w:rsidR="00B45594" w:rsidRPr="004712A3" w:rsidRDefault="00B45594" w:rsidP="004712A3">
            <w:pPr>
              <w:jc w:val="center"/>
              <w:rPr>
                <w:rFonts w:ascii="Arial" w:hAnsi="Arial" w:cs="Arial"/>
                <w:color w:val="000000"/>
              </w:rPr>
            </w:pPr>
            <w:r w:rsidRPr="004712A3">
              <w:rPr>
                <w:rFonts w:ascii="Arial" w:hAnsi="Arial" w:cs="Arial"/>
                <w:color w:val="000000"/>
              </w:rPr>
              <w:t>Total</w:t>
            </w:r>
          </w:p>
        </w:tc>
        <w:tc>
          <w:tcPr>
            <w:tcW w:w="1051" w:type="dxa"/>
            <w:tcBorders>
              <w:top w:val="nil"/>
              <w:left w:val="nil"/>
              <w:bottom w:val="single" w:sz="8" w:space="0" w:color="auto"/>
              <w:right w:val="nil"/>
            </w:tcBorders>
            <w:noWrap/>
            <w:vAlign w:val="center"/>
            <w:hideMark/>
          </w:tcPr>
          <w:p w14:paraId="5581B548" w14:textId="77777777" w:rsidR="00B45594" w:rsidRPr="004712A3" w:rsidRDefault="00B45594" w:rsidP="004712A3">
            <w:pPr>
              <w:jc w:val="center"/>
              <w:rPr>
                <w:rFonts w:ascii="Arial" w:hAnsi="Arial" w:cs="Arial"/>
                <w:color w:val="000000"/>
              </w:rPr>
            </w:pPr>
            <w:r w:rsidRPr="004712A3">
              <w:rPr>
                <w:rFonts w:ascii="Arial" w:hAnsi="Arial" w:cs="Arial"/>
                <w:color w:val="000000"/>
              </w:rPr>
              <w:t>34.78993</w:t>
            </w:r>
          </w:p>
        </w:tc>
        <w:tc>
          <w:tcPr>
            <w:tcW w:w="1051" w:type="dxa"/>
            <w:tcBorders>
              <w:top w:val="nil"/>
              <w:left w:val="nil"/>
              <w:bottom w:val="single" w:sz="8" w:space="0" w:color="auto"/>
              <w:right w:val="nil"/>
            </w:tcBorders>
            <w:noWrap/>
            <w:vAlign w:val="center"/>
            <w:hideMark/>
          </w:tcPr>
          <w:p w14:paraId="6C1464B1" w14:textId="77777777" w:rsidR="00B45594" w:rsidRPr="004712A3" w:rsidRDefault="00B45594" w:rsidP="004712A3">
            <w:pPr>
              <w:jc w:val="center"/>
              <w:rPr>
                <w:rFonts w:ascii="Arial" w:hAnsi="Arial" w:cs="Arial"/>
                <w:color w:val="000000"/>
              </w:rPr>
            </w:pPr>
            <w:r w:rsidRPr="004712A3">
              <w:rPr>
                <w:rFonts w:ascii="Arial" w:hAnsi="Arial" w:cs="Arial"/>
                <w:color w:val="000000"/>
              </w:rPr>
              <w:t>5</w:t>
            </w:r>
          </w:p>
        </w:tc>
        <w:tc>
          <w:tcPr>
            <w:tcW w:w="1051" w:type="dxa"/>
            <w:tcBorders>
              <w:top w:val="nil"/>
              <w:left w:val="nil"/>
              <w:bottom w:val="single" w:sz="8" w:space="0" w:color="auto"/>
              <w:right w:val="nil"/>
            </w:tcBorders>
            <w:noWrap/>
            <w:vAlign w:val="center"/>
            <w:hideMark/>
          </w:tcPr>
          <w:p w14:paraId="6567DCD3" w14:textId="77777777" w:rsidR="00B45594" w:rsidRPr="004712A3" w:rsidRDefault="00B45594" w:rsidP="004712A3">
            <w:pPr>
              <w:jc w:val="center"/>
              <w:rPr>
                <w:rFonts w:ascii="Arial" w:hAnsi="Arial" w:cs="Arial"/>
                <w:color w:val="000000"/>
              </w:rPr>
            </w:pPr>
          </w:p>
        </w:tc>
        <w:tc>
          <w:tcPr>
            <w:tcW w:w="1051" w:type="dxa"/>
            <w:tcBorders>
              <w:top w:val="nil"/>
              <w:left w:val="nil"/>
              <w:bottom w:val="single" w:sz="8" w:space="0" w:color="auto"/>
              <w:right w:val="nil"/>
            </w:tcBorders>
            <w:noWrap/>
            <w:vAlign w:val="center"/>
            <w:hideMark/>
          </w:tcPr>
          <w:p w14:paraId="5C8F74AD" w14:textId="77777777" w:rsidR="00B45594" w:rsidRPr="004712A3" w:rsidRDefault="00B45594" w:rsidP="004712A3">
            <w:pPr>
              <w:jc w:val="center"/>
              <w:rPr>
                <w:rFonts w:ascii="Arial" w:hAnsi="Arial" w:cs="Arial"/>
                <w:color w:val="000000"/>
              </w:rPr>
            </w:pPr>
          </w:p>
        </w:tc>
        <w:tc>
          <w:tcPr>
            <w:tcW w:w="1212" w:type="dxa"/>
            <w:tcBorders>
              <w:top w:val="nil"/>
              <w:left w:val="nil"/>
              <w:bottom w:val="single" w:sz="8" w:space="0" w:color="auto"/>
              <w:right w:val="nil"/>
            </w:tcBorders>
            <w:noWrap/>
            <w:vAlign w:val="center"/>
            <w:hideMark/>
          </w:tcPr>
          <w:p w14:paraId="067BEB84" w14:textId="77777777" w:rsidR="00B45594" w:rsidRPr="004712A3" w:rsidRDefault="00B45594" w:rsidP="004712A3">
            <w:pPr>
              <w:jc w:val="center"/>
              <w:rPr>
                <w:rFonts w:ascii="Arial" w:hAnsi="Arial" w:cs="Arial"/>
                <w:color w:val="000000"/>
              </w:rPr>
            </w:pPr>
          </w:p>
        </w:tc>
        <w:tc>
          <w:tcPr>
            <w:tcW w:w="890" w:type="dxa"/>
            <w:tcBorders>
              <w:top w:val="nil"/>
              <w:left w:val="nil"/>
              <w:bottom w:val="single" w:sz="8" w:space="0" w:color="auto"/>
              <w:right w:val="nil"/>
            </w:tcBorders>
            <w:noWrap/>
            <w:vAlign w:val="center"/>
            <w:hideMark/>
          </w:tcPr>
          <w:p w14:paraId="5B06D22F" w14:textId="77777777" w:rsidR="00B45594" w:rsidRPr="004712A3" w:rsidRDefault="00B45594" w:rsidP="004712A3">
            <w:pPr>
              <w:jc w:val="center"/>
              <w:rPr>
                <w:rFonts w:ascii="Arial" w:hAnsi="Arial" w:cs="Arial"/>
                <w:color w:val="000000"/>
              </w:rPr>
            </w:pPr>
          </w:p>
        </w:tc>
      </w:tr>
    </w:tbl>
    <w:p w14:paraId="1949C345" w14:textId="77777777" w:rsidR="00B45594" w:rsidRPr="00B45594" w:rsidRDefault="00B45594" w:rsidP="00367EBC">
      <w:pPr>
        <w:pStyle w:val="NormalWeb"/>
        <w:spacing w:line="276" w:lineRule="auto"/>
        <w:jc w:val="both"/>
        <w:rPr>
          <w:rFonts w:ascii="Arial" w:hAnsi="Arial" w:cs="Arial"/>
          <w:sz w:val="20"/>
        </w:rPr>
      </w:pPr>
      <w:r w:rsidRPr="00B45594">
        <w:rPr>
          <w:rFonts w:ascii="Arial" w:hAnsi="Arial" w:cs="Arial"/>
          <w:sz w:val="20"/>
        </w:rPr>
        <w:t>The analysis of the effect of contact time on removal efficiency in binary mixtures showed a statistically significant effect of mixture type (p&lt;0.001), whereas contact time in the range of 0 to 30 min did not have a statistically significant influence (p=0.512).</w:t>
      </w:r>
      <w:r>
        <w:rPr>
          <w:rFonts w:ascii="Arial" w:hAnsi="Arial" w:cs="Arial"/>
          <w:sz w:val="20"/>
        </w:rPr>
        <w:t xml:space="preserve"> </w:t>
      </w:r>
      <w:r w:rsidRPr="00B45594">
        <w:rPr>
          <w:rFonts w:ascii="Arial" w:hAnsi="Arial" w:cs="Arial"/>
          <w:sz w:val="20"/>
        </w:rPr>
        <w:t xml:space="preserve">The </w:t>
      </w:r>
      <w:r w:rsidR="00643751">
        <w:rPr>
          <w:rFonts w:ascii="Arial" w:hAnsi="Arial" w:cs="Arial"/>
          <w:sz w:val="20"/>
        </w:rPr>
        <w:t>Ni(II)/Zn(II)</w:t>
      </w:r>
      <w:r w:rsidRPr="00B45594">
        <w:rPr>
          <w:rFonts w:ascii="Arial" w:hAnsi="Arial" w:cs="Arial"/>
          <w:sz w:val="20"/>
        </w:rPr>
        <w:t xml:space="preserve"> mixture achieved higher average removal efficiencies compared to the </w:t>
      </w:r>
      <w:r w:rsidR="00643751">
        <w:rPr>
          <w:rFonts w:ascii="Arial" w:hAnsi="Arial" w:cs="Arial"/>
          <w:sz w:val="20"/>
        </w:rPr>
        <w:t>Cu(II)/Zn(II)</w:t>
      </w:r>
      <w:r w:rsidRPr="00B45594">
        <w:rPr>
          <w:rFonts w:ascii="Arial" w:hAnsi="Arial" w:cs="Arial"/>
          <w:sz w:val="20"/>
        </w:rPr>
        <w:t xml:space="preserve"> mixture, with low variability in the results.</w:t>
      </w:r>
      <w:r w:rsidR="00331BD0">
        <w:rPr>
          <w:rFonts w:ascii="Arial" w:hAnsi="Arial" w:cs="Arial"/>
          <w:sz w:val="20"/>
        </w:rPr>
        <w:t xml:space="preserve"> </w:t>
      </w:r>
      <w:r w:rsidRPr="00B45594">
        <w:rPr>
          <w:rFonts w:ascii="Arial" w:hAnsi="Arial" w:cs="Arial"/>
          <w:sz w:val="20"/>
        </w:rPr>
        <w:t>These findings indicate that differences in efficiency primarily arise from the chemical nature of the metals in the mixture, while extending the contact time does not contribute to a significant improvement of the process within the investigated range.</w:t>
      </w:r>
    </w:p>
    <w:p w14:paraId="3DD4F97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7259EA" w14:textId="77777777" w:rsidR="00790ADA" w:rsidRDefault="00790ADA" w:rsidP="00367EBC">
      <w:pPr>
        <w:pStyle w:val="ConcHead"/>
        <w:spacing w:after="0" w:line="276" w:lineRule="auto"/>
        <w:jc w:val="both"/>
        <w:rPr>
          <w:rFonts w:ascii="Arial" w:hAnsi="Arial" w:cs="Arial"/>
        </w:rPr>
      </w:pPr>
    </w:p>
    <w:p w14:paraId="73F03521" w14:textId="77777777" w:rsidR="00F638B2" w:rsidRPr="00F638B2" w:rsidRDefault="00F638B2" w:rsidP="00367EBC">
      <w:pPr>
        <w:pStyle w:val="ConcHead"/>
        <w:spacing w:after="0" w:line="276" w:lineRule="auto"/>
        <w:jc w:val="both"/>
        <w:rPr>
          <w:rFonts w:ascii="Arial" w:hAnsi="Arial" w:cs="Arial"/>
          <w:b w:val="0"/>
          <w:sz w:val="20"/>
        </w:rPr>
      </w:pPr>
      <w:r>
        <w:rPr>
          <w:rFonts w:ascii="Arial" w:hAnsi="Arial" w:cs="Arial"/>
          <w:b w:val="0"/>
          <w:caps w:val="0"/>
          <w:sz w:val="20"/>
        </w:rPr>
        <w:t>T</w:t>
      </w:r>
      <w:r w:rsidRPr="00F638B2">
        <w:rPr>
          <w:rFonts w:ascii="Arial" w:hAnsi="Arial" w:cs="Arial"/>
          <w:b w:val="0"/>
          <w:caps w:val="0"/>
          <w:sz w:val="20"/>
        </w:rPr>
        <w:t xml:space="preserve">he study demonstrated that operational precipitation parameters, particularly </w:t>
      </w:r>
      <w:r>
        <w:rPr>
          <w:rFonts w:ascii="Arial" w:hAnsi="Arial" w:cs="Arial"/>
          <w:b w:val="0"/>
          <w:caps w:val="0"/>
          <w:sz w:val="20"/>
        </w:rPr>
        <w:t>stirring</w:t>
      </w:r>
      <w:r w:rsidRPr="00F638B2">
        <w:rPr>
          <w:rFonts w:ascii="Arial" w:hAnsi="Arial" w:cs="Arial"/>
          <w:b w:val="0"/>
          <w:caps w:val="0"/>
          <w:sz w:val="20"/>
        </w:rPr>
        <w:t xml:space="preserve"> speed and time, have a significant impact on the efficiency of heavy metal hydroxide precipitation from aqueous solutions. higher </w:t>
      </w:r>
      <w:r>
        <w:rPr>
          <w:rFonts w:ascii="Arial" w:hAnsi="Arial" w:cs="Arial"/>
          <w:b w:val="0"/>
          <w:caps w:val="0"/>
          <w:sz w:val="20"/>
        </w:rPr>
        <w:t>stirring</w:t>
      </w:r>
      <w:r w:rsidRPr="00F638B2">
        <w:rPr>
          <w:rFonts w:ascii="Arial" w:hAnsi="Arial" w:cs="Arial"/>
          <w:b w:val="0"/>
          <w:caps w:val="0"/>
          <w:sz w:val="20"/>
        </w:rPr>
        <w:t xml:space="preserve"> speeds enhance the contact between the precipitating agent and metal ions, while longer </w:t>
      </w:r>
      <w:r>
        <w:rPr>
          <w:rFonts w:ascii="Arial" w:hAnsi="Arial" w:cs="Arial"/>
          <w:b w:val="0"/>
          <w:caps w:val="0"/>
          <w:sz w:val="20"/>
        </w:rPr>
        <w:t>stirring</w:t>
      </w:r>
      <w:r w:rsidRPr="00F638B2">
        <w:rPr>
          <w:rFonts w:ascii="Arial" w:hAnsi="Arial" w:cs="Arial"/>
          <w:b w:val="0"/>
          <w:caps w:val="0"/>
          <w:sz w:val="20"/>
        </w:rPr>
        <w:t xml:space="preserve"> times further improve removal. </w:t>
      </w:r>
      <w:r w:rsidR="00472EE4">
        <w:rPr>
          <w:rFonts w:ascii="Arial" w:hAnsi="Arial" w:cs="Arial"/>
          <w:b w:val="0"/>
          <w:caps w:val="0"/>
          <w:sz w:val="20"/>
        </w:rPr>
        <w:t>T</w:t>
      </w:r>
      <w:r w:rsidRPr="00F638B2">
        <w:rPr>
          <w:rFonts w:ascii="Arial" w:hAnsi="Arial" w:cs="Arial"/>
          <w:b w:val="0"/>
          <w:caps w:val="0"/>
          <w:sz w:val="20"/>
        </w:rPr>
        <w:t xml:space="preserve">he results indicate that optimization of these parameters can substantially increase the efficiency of wastewater treatment, which is especially important in developing countries where the application of advanced technologies is often not feasible. </w:t>
      </w:r>
      <w:r>
        <w:rPr>
          <w:rFonts w:ascii="Arial" w:hAnsi="Arial" w:cs="Arial"/>
          <w:b w:val="0"/>
          <w:caps w:val="0"/>
          <w:sz w:val="20"/>
        </w:rPr>
        <w:t>T</w:t>
      </w:r>
      <w:r w:rsidRPr="00F638B2">
        <w:rPr>
          <w:rFonts w:ascii="Arial" w:hAnsi="Arial" w:cs="Arial"/>
          <w:b w:val="0"/>
          <w:caps w:val="0"/>
          <w:sz w:val="20"/>
        </w:rPr>
        <w:t xml:space="preserve">hese findings can </w:t>
      </w:r>
      <w:r w:rsidRPr="00F638B2">
        <w:rPr>
          <w:rFonts w:ascii="Arial" w:hAnsi="Arial" w:cs="Arial"/>
          <w:b w:val="0"/>
          <w:caps w:val="0"/>
          <w:sz w:val="20"/>
        </w:rPr>
        <w:lastRenderedPageBreak/>
        <w:t>serve as a basis for further research and the development of practical, cost-effective methods for treating waters contaminated with heavy metals.</w:t>
      </w:r>
    </w:p>
    <w:p w14:paraId="3255747C" w14:textId="4591E6A1" w:rsidR="0038036B" w:rsidRDefault="0038036B" w:rsidP="00441B6F">
      <w:pPr>
        <w:pStyle w:val="ReferHead"/>
        <w:spacing w:after="0"/>
        <w:jc w:val="both"/>
        <w:rPr>
          <w:rFonts w:ascii="Arial" w:hAnsi="Arial" w:cs="Arial"/>
          <w:b w:val="0"/>
          <w:caps w:val="0"/>
          <w:sz w:val="20"/>
        </w:rPr>
      </w:pPr>
    </w:p>
    <w:p w14:paraId="094975AC" w14:textId="77777777" w:rsidR="001E0DF9" w:rsidRDefault="001E0DF9" w:rsidP="00441B6F">
      <w:pPr>
        <w:pStyle w:val="ReferHead"/>
        <w:spacing w:after="0"/>
        <w:jc w:val="both"/>
        <w:rPr>
          <w:rFonts w:ascii="Arial" w:hAnsi="Arial" w:cs="Arial"/>
          <w:b w:val="0"/>
          <w:caps w:val="0"/>
          <w:sz w:val="20"/>
        </w:rPr>
      </w:pPr>
    </w:p>
    <w:p w14:paraId="13628E1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F1E86A" w14:textId="77777777" w:rsidR="00790ADA" w:rsidRDefault="00790ADA" w:rsidP="00441B6F">
      <w:pPr>
        <w:pStyle w:val="ReferHead"/>
        <w:spacing w:after="0"/>
        <w:jc w:val="both"/>
        <w:rPr>
          <w:rFonts w:ascii="Arial" w:hAnsi="Arial" w:cs="Arial"/>
        </w:rPr>
      </w:pPr>
    </w:p>
    <w:p w14:paraId="496DFF1A" w14:textId="77777777" w:rsidR="001406E1" w:rsidRDefault="001406E1" w:rsidP="00441B6F">
      <w:pPr>
        <w:pStyle w:val="Body"/>
        <w:spacing w:after="0"/>
        <w:rPr>
          <w:rFonts w:ascii="Arial" w:hAnsi="Arial" w:cs="Arial"/>
        </w:rPr>
      </w:pPr>
      <w:proofErr w:type="spellStart"/>
      <w:r w:rsidRPr="001406E1">
        <w:rPr>
          <w:rFonts w:ascii="Arial" w:hAnsi="Arial" w:cs="Arial"/>
        </w:rPr>
        <w:t>Madjar</w:t>
      </w:r>
      <w:proofErr w:type="spellEnd"/>
      <w:r w:rsidRPr="001406E1">
        <w:rPr>
          <w:rFonts w:ascii="Arial" w:hAnsi="Arial" w:cs="Arial"/>
        </w:rPr>
        <w:t>, R.M.</w:t>
      </w:r>
      <w:r w:rsidR="00CC0B9D">
        <w:rPr>
          <w:rFonts w:ascii="Arial" w:hAnsi="Arial" w:cs="Arial"/>
        </w:rPr>
        <w:t>,</w:t>
      </w:r>
      <w:r w:rsidRPr="001406E1">
        <w:rPr>
          <w:rFonts w:ascii="Arial" w:hAnsi="Arial" w:cs="Arial"/>
        </w:rPr>
        <w:t xml:space="preserve"> </w:t>
      </w:r>
      <w:proofErr w:type="spellStart"/>
      <w:r w:rsidRPr="001406E1">
        <w:rPr>
          <w:rFonts w:ascii="Arial" w:hAnsi="Arial" w:cs="Arial"/>
        </w:rPr>
        <w:t>Vasile</w:t>
      </w:r>
      <w:proofErr w:type="spellEnd"/>
      <w:r w:rsidRPr="001406E1">
        <w:rPr>
          <w:rFonts w:ascii="Arial" w:hAnsi="Arial" w:cs="Arial"/>
        </w:rPr>
        <w:t xml:space="preserve"> </w:t>
      </w:r>
      <w:proofErr w:type="spellStart"/>
      <w:r w:rsidRPr="001406E1">
        <w:rPr>
          <w:rFonts w:ascii="Arial" w:hAnsi="Arial" w:cs="Arial"/>
        </w:rPr>
        <w:t>Scăețeanu</w:t>
      </w:r>
      <w:proofErr w:type="spellEnd"/>
      <w:r w:rsidRPr="001406E1">
        <w:rPr>
          <w:rFonts w:ascii="Arial" w:hAnsi="Arial" w:cs="Arial"/>
        </w:rPr>
        <w:t xml:space="preserve">, G. </w:t>
      </w:r>
      <w:r w:rsidR="00624691">
        <w:rPr>
          <w:rFonts w:ascii="Arial" w:hAnsi="Arial" w:cs="Arial"/>
        </w:rPr>
        <w:t xml:space="preserve">(2025). </w:t>
      </w:r>
      <w:r w:rsidRPr="001406E1">
        <w:rPr>
          <w:rFonts w:ascii="Arial" w:hAnsi="Arial" w:cs="Arial"/>
        </w:rPr>
        <w:t>An Overview of Heavy Metal Contamination in Water from Agriculture: Origins, Monitoring, Risks, and Control Measures. Sustainability</w:t>
      </w:r>
      <w:r w:rsidR="00624691">
        <w:rPr>
          <w:rFonts w:ascii="Arial" w:hAnsi="Arial" w:cs="Arial"/>
        </w:rPr>
        <w:t xml:space="preserve">, 17, 7368, </w:t>
      </w:r>
      <w:proofErr w:type="spellStart"/>
      <w:r w:rsidR="00624691">
        <w:rPr>
          <w:rFonts w:ascii="Arial" w:hAnsi="Arial" w:cs="Arial"/>
        </w:rPr>
        <w:t>doi:</w:t>
      </w:r>
      <w:hyperlink r:id="rId20" w:history="1">
        <w:r w:rsidRPr="007025A4">
          <w:rPr>
            <w:rStyle w:val="Hyperlink"/>
            <w:rFonts w:ascii="Arial" w:hAnsi="Arial" w:cs="Arial"/>
          </w:rPr>
          <w:t>https</w:t>
        </w:r>
        <w:proofErr w:type="spellEnd"/>
        <w:r w:rsidRPr="007025A4">
          <w:rPr>
            <w:rStyle w:val="Hyperlink"/>
            <w:rFonts w:ascii="Arial" w:hAnsi="Arial" w:cs="Arial"/>
          </w:rPr>
          <w:t>://doi.org/10.3390/su17167368</w:t>
        </w:r>
      </w:hyperlink>
    </w:p>
    <w:p w14:paraId="1BE0650F" w14:textId="77777777" w:rsidR="00624691" w:rsidRDefault="00624691" w:rsidP="00441B6F">
      <w:pPr>
        <w:pStyle w:val="Body"/>
        <w:spacing w:after="0"/>
        <w:rPr>
          <w:rFonts w:ascii="Arial" w:hAnsi="Arial" w:cs="Arial"/>
        </w:rPr>
      </w:pPr>
    </w:p>
    <w:p w14:paraId="0A91B769" w14:textId="77777777" w:rsidR="00624691" w:rsidRDefault="00BD6BF1" w:rsidP="00441B6F">
      <w:pPr>
        <w:pStyle w:val="Body"/>
        <w:spacing w:after="0"/>
        <w:rPr>
          <w:rFonts w:ascii="Arial" w:hAnsi="Arial" w:cs="Arial"/>
        </w:rPr>
      </w:pPr>
      <w:r w:rsidRPr="00BD6BF1">
        <w:rPr>
          <w:rFonts w:ascii="Arial" w:hAnsi="Arial" w:cs="Arial"/>
        </w:rPr>
        <w:t>Galasso, F., Frank, A.B.</w:t>
      </w:r>
      <w:r w:rsidR="00491F93">
        <w:rPr>
          <w:rFonts w:ascii="Arial" w:hAnsi="Arial" w:cs="Arial"/>
        </w:rPr>
        <w:t>,</w:t>
      </w:r>
      <w:r w:rsidRPr="00BD6BF1">
        <w:rPr>
          <w:rFonts w:ascii="Arial" w:hAnsi="Arial" w:cs="Arial"/>
        </w:rPr>
        <w:t xml:space="preserve"> Foster, W.J. </w:t>
      </w:r>
      <w:r w:rsidR="00C76F72">
        <w:rPr>
          <w:rFonts w:ascii="Arial" w:hAnsi="Arial" w:cs="Arial"/>
        </w:rPr>
        <w:t xml:space="preserve"> (2025). </w:t>
      </w:r>
      <w:r w:rsidRPr="00BD6BF1">
        <w:rPr>
          <w:rFonts w:ascii="Arial" w:hAnsi="Arial" w:cs="Arial"/>
        </w:rPr>
        <w:t>Heavy metal toxicity and its role as a major driver of past biodiversity crises.</w:t>
      </w:r>
      <w:r w:rsidR="00C76F72">
        <w:rPr>
          <w:rFonts w:ascii="Arial" w:hAnsi="Arial" w:cs="Arial"/>
        </w:rPr>
        <w:t xml:space="preserve"> </w:t>
      </w:r>
      <w:r w:rsidRPr="00BD6BF1">
        <w:rPr>
          <w:rFonts w:ascii="Arial" w:hAnsi="Arial" w:cs="Arial"/>
        </w:rPr>
        <w:t>Commun Earth Environ</w:t>
      </w:r>
      <w:r w:rsidR="00C76F72">
        <w:rPr>
          <w:rFonts w:ascii="Arial" w:hAnsi="Arial" w:cs="Arial"/>
        </w:rPr>
        <w:t xml:space="preserve">, 6 (780). </w:t>
      </w:r>
      <w:proofErr w:type="spellStart"/>
      <w:r w:rsidR="00C76F72">
        <w:rPr>
          <w:rFonts w:ascii="Arial" w:hAnsi="Arial" w:cs="Arial"/>
        </w:rPr>
        <w:t>doi</w:t>
      </w:r>
      <w:proofErr w:type="spellEnd"/>
      <w:r w:rsidR="00C76F72">
        <w:rPr>
          <w:rFonts w:ascii="Arial" w:hAnsi="Arial" w:cs="Arial"/>
        </w:rPr>
        <w:t xml:space="preserve">: </w:t>
      </w:r>
      <w:hyperlink r:id="rId21" w:history="1">
        <w:r w:rsidR="00C76F72" w:rsidRPr="007025A4">
          <w:rPr>
            <w:rStyle w:val="Hyperlink"/>
            <w:rFonts w:ascii="Arial" w:hAnsi="Arial" w:cs="Arial"/>
          </w:rPr>
          <w:t>https://doi.org/10.1038/s43247-025-02781-5</w:t>
        </w:r>
      </w:hyperlink>
    </w:p>
    <w:p w14:paraId="1335EB26" w14:textId="77777777" w:rsidR="00C76F72" w:rsidRDefault="00C76F72" w:rsidP="00441B6F">
      <w:pPr>
        <w:pStyle w:val="Body"/>
        <w:spacing w:after="0"/>
        <w:rPr>
          <w:rFonts w:ascii="Arial" w:hAnsi="Arial" w:cs="Arial"/>
        </w:rPr>
      </w:pPr>
    </w:p>
    <w:p w14:paraId="168AC688" w14:textId="77777777" w:rsidR="00C76F72" w:rsidRDefault="00491F93" w:rsidP="00441B6F">
      <w:pPr>
        <w:pStyle w:val="Body"/>
        <w:spacing w:after="0"/>
        <w:rPr>
          <w:rFonts w:ascii="Arial" w:hAnsi="Arial" w:cs="Arial"/>
        </w:rPr>
      </w:pPr>
      <w:r w:rsidRPr="00491F93">
        <w:rPr>
          <w:rFonts w:ascii="Arial" w:hAnsi="Arial" w:cs="Arial"/>
        </w:rPr>
        <w:t>Yadav</w:t>
      </w:r>
      <w:r>
        <w:rPr>
          <w:rFonts w:ascii="Arial" w:hAnsi="Arial" w:cs="Arial"/>
        </w:rPr>
        <w:t>, M</w:t>
      </w:r>
      <w:r w:rsidR="001F667A">
        <w:rPr>
          <w:rFonts w:ascii="Arial" w:hAnsi="Arial" w:cs="Arial"/>
        </w:rPr>
        <w:t>.</w:t>
      </w:r>
      <w:r>
        <w:rPr>
          <w:rFonts w:ascii="Arial" w:hAnsi="Arial" w:cs="Arial"/>
        </w:rPr>
        <w:t xml:space="preserve">, </w:t>
      </w:r>
      <w:r w:rsidRPr="00491F93">
        <w:rPr>
          <w:rFonts w:ascii="Arial" w:hAnsi="Arial" w:cs="Arial"/>
        </w:rPr>
        <w:t>Singh,</w:t>
      </w:r>
      <w:r>
        <w:rPr>
          <w:rFonts w:ascii="Arial" w:hAnsi="Arial" w:cs="Arial"/>
        </w:rPr>
        <w:t xml:space="preserve"> G.,</w:t>
      </w:r>
      <w:r w:rsidR="001F667A">
        <w:rPr>
          <w:rFonts w:ascii="Arial" w:hAnsi="Arial" w:cs="Arial"/>
        </w:rPr>
        <w:t xml:space="preserve"> </w:t>
      </w:r>
      <w:r w:rsidRPr="00491F93">
        <w:rPr>
          <w:rFonts w:ascii="Arial" w:hAnsi="Arial" w:cs="Arial"/>
        </w:rPr>
        <w:t>Jadeja</w:t>
      </w:r>
      <w:r w:rsidR="001F667A">
        <w:rPr>
          <w:rFonts w:ascii="Arial" w:hAnsi="Arial" w:cs="Arial"/>
        </w:rPr>
        <w:t xml:space="preserve"> </w:t>
      </w:r>
      <w:r w:rsidR="001F667A" w:rsidRPr="001F667A">
        <w:rPr>
          <w:rFonts w:ascii="Arial" w:hAnsi="Arial" w:cs="Arial"/>
        </w:rPr>
        <w:t>R.N.</w:t>
      </w:r>
      <w:r w:rsidR="001F667A">
        <w:rPr>
          <w:rFonts w:ascii="Arial" w:hAnsi="Arial" w:cs="Arial"/>
        </w:rPr>
        <w:t xml:space="preserve"> (2025). </w:t>
      </w:r>
      <w:r w:rsidR="00A31C93" w:rsidRPr="00A31C93">
        <w:rPr>
          <w:rFonts w:ascii="Arial" w:hAnsi="Arial" w:cs="Arial"/>
        </w:rPr>
        <w:t>Physical and Chemical Methods for Heavy Metal Removal</w:t>
      </w:r>
      <w:r w:rsidR="00A31C93">
        <w:rPr>
          <w:rFonts w:ascii="Arial" w:hAnsi="Arial" w:cs="Arial"/>
        </w:rPr>
        <w:t>. In</w:t>
      </w:r>
      <w:r w:rsidR="00C03AA0">
        <w:rPr>
          <w:rFonts w:ascii="Arial" w:hAnsi="Arial" w:cs="Arial"/>
        </w:rPr>
        <w:t xml:space="preserve"> </w:t>
      </w:r>
      <w:r w:rsidR="00C03AA0" w:rsidRPr="00C03AA0">
        <w:rPr>
          <w:rFonts w:ascii="Arial" w:hAnsi="Arial" w:cs="Arial"/>
        </w:rPr>
        <w:t>Pollutants and Water Management: Resources, Strategies and Scarcity</w:t>
      </w:r>
      <w:r w:rsidR="00C03AA0">
        <w:rPr>
          <w:rFonts w:ascii="Arial" w:hAnsi="Arial" w:cs="Arial"/>
        </w:rPr>
        <w:t xml:space="preserve">. </w:t>
      </w:r>
      <w:r w:rsidR="00C03AA0" w:rsidRPr="00C03AA0">
        <w:rPr>
          <w:rFonts w:ascii="Arial" w:hAnsi="Arial" w:cs="Arial"/>
        </w:rPr>
        <w:t>John Wiley &amp; Sons Ltd.</w:t>
      </w:r>
      <w:r w:rsidR="00C03AA0">
        <w:rPr>
          <w:rFonts w:ascii="Arial" w:hAnsi="Arial" w:cs="Arial"/>
        </w:rPr>
        <w:t xml:space="preserve"> </w:t>
      </w:r>
      <w:proofErr w:type="spellStart"/>
      <w:r w:rsidR="00C03AA0">
        <w:rPr>
          <w:rFonts w:ascii="Arial" w:hAnsi="Arial" w:cs="Arial"/>
        </w:rPr>
        <w:t>doi</w:t>
      </w:r>
      <w:proofErr w:type="spellEnd"/>
      <w:r w:rsidR="00C03AA0">
        <w:rPr>
          <w:rFonts w:ascii="Arial" w:hAnsi="Arial" w:cs="Arial"/>
        </w:rPr>
        <w:t xml:space="preserve">: </w:t>
      </w:r>
      <w:hyperlink r:id="rId22" w:history="1">
        <w:r w:rsidR="00C03AA0" w:rsidRPr="007025A4">
          <w:rPr>
            <w:rStyle w:val="Hyperlink"/>
            <w:rFonts w:ascii="Arial" w:hAnsi="Arial" w:cs="Arial"/>
          </w:rPr>
          <w:t>https://doi.org/10.1002/9781119693635.ch15</w:t>
        </w:r>
      </w:hyperlink>
    </w:p>
    <w:p w14:paraId="64EF0BF2" w14:textId="77777777" w:rsidR="00C03AA0" w:rsidRDefault="00C03AA0" w:rsidP="00441B6F">
      <w:pPr>
        <w:pStyle w:val="Body"/>
        <w:spacing w:after="0"/>
        <w:rPr>
          <w:rFonts w:ascii="Arial" w:hAnsi="Arial" w:cs="Arial"/>
        </w:rPr>
      </w:pPr>
    </w:p>
    <w:p w14:paraId="41AA3A20" w14:textId="77777777" w:rsidR="00532C63" w:rsidRDefault="00532C63" w:rsidP="00532C63">
      <w:pPr>
        <w:pStyle w:val="Body"/>
        <w:rPr>
          <w:rFonts w:ascii="Arial" w:hAnsi="Arial" w:cs="Arial"/>
        </w:rPr>
      </w:pPr>
      <w:r w:rsidRPr="00532C63">
        <w:rPr>
          <w:rFonts w:ascii="Arial" w:hAnsi="Arial" w:cs="Arial"/>
        </w:rPr>
        <w:t>Odongo</w:t>
      </w:r>
      <w:r>
        <w:rPr>
          <w:rFonts w:ascii="Arial" w:hAnsi="Arial" w:cs="Arial"/>
        </w:rPr>
        <w:t>,</w:t>
      </w:r>
      <w:r w:rsidRPr="00532C63">
        <w:rPr>
          <w:rFonts w:ascii="Arial" w:hAnsi="Arial" w:cs="Arial"/>
        </w:rPr>
        <w:t xml:space="preserve"> I</w:t>
      </w:r>
      <w:r>
        <w:rPr>
          <w:rFonts w:ascii="Arial" w:hAnsi="Arial" w:cs="Arial"/>
        </w:rPr>
        <w:t>.</w:t>
      </w:r>
      <w:r w:rsidRPr="00532C63">
        <w:rPr>
          <w:rFonts w:ascii="Arial" w:hAnsi="Arial" w:cs="Arial"/>
        </w:rPr>
        <w:t xml:space="preserve"> A</w:t>
      </w:r>
      <w:r>
        <w:rPr>
          <w:rFonts w:ascii="Arial" w:hAnsi="Arial" w:cs="Arial"/>
        </w:rPr>
        <w:t>.</w:t>
      </w:r>
      <w:r w:rsidRPr="00532C63">
        <w:rPr>
          <w:rFonts w:ascii="Arial" w:hAnsi="Arial" w:cs="Arial"/>
        </w:rPr>
        <w:t>, Opiyo,</w:t>
      </w:r>
      <w:r>
        <w:rPr>
          <w:rFonts w:ascii="Arial" w:hAnsi="Arial" w:cs="Arial"/>
        </w:rPr>
        <w:t xml:space="preserve"> S.,</w:t>
      </w:r>
      <w:r w:rsidRPr="00532C63">
        <w:rPr>
          <w:rFonts w:ascii="Arial" w:hAnsi="Arial" w:cs="Arial"/>
        </w:rPr>
        <w:t xml:space="preserve"> </w:t>
      </w:r>
      <w:r>
        <w:rPr>
          <w:rFonts w:ascii="Arial" w:hAnsi="Arial" w:cs="Arial"/>
        </w:rPr>
        <w:t>W.P.,</w:t>
      </w:r>
      <w:r w:rsidRPr="00532C63">
        <w:rPr>
          <w:rFonts w:ascii="Arial" w:hAnsi="Arial" w:cs="Arial"/>
        </w:rPr>
        <w:t xml:space="preserve"> Osewe</w:t>
      </w:r>
      <w:r>
        <w:rPr>
          <w:rFonts w:ascii="Arial" w:hAnsi="Arial" w:cs="Arial"/>
        </w:rPr>
        <w:t xml:space="preserve"> T.E. (2025). </w:t>
      </w:r>
      <w:r w:rsidRPr="00532C63">
        <w:rPr>
          <w:rFonts w:ascii="Arial" w:hAnsi="Arial" w:cs="Arial"/>
        </w:rPr>
        <w:t>Heavy Metal Pollution in Water, Detection and Remediation Strategies</w:t>
      </w:r>
      <w:r>
        <w:rPr>
          <w:rFonts w:ascii="Arial" w:hAnsi="Arial" w:cs="Arial"/>
        </w:rPr>
        <w:t xml:space="preserve">. </w:t>
      </w:r>
      <w:r w:rsidRPr="00532C63">
        <w:rPr>
          <w:rFonts w:ascii="Arial" w:hAnsi="Arial" w:cs="Arial"/>
        </w:rPr>
        <w:t>Journal of Emerging Technologies and Innovative Research</w:t>
      </w:r>
      <w:r w:rsidR="00B2013F">
        <w:rPr>
          <w:rFonts w:ascii="Arial" w:hAnsi="Arial" w:cs="Arial"/>
        </w:rPr>
        <w:t>,</w:t>
      </w:r>
      <w:r w:rsidRPr="00532C63">
        <w:rPr>
          <w:rFonts w:ascii="Arial" w:hAnsi="Arial" w:cs="Arial"/>
        </w:rPr>
        <w:t xml:space="preserve"> 12(2)</w:t>
      </w:r>
      <w:r w:rsidR="00B2013F">
        <w:rPr>
          <w:rFonts w:ascii="Arial" w:hAnsi="Arial" w:cs="Arial"/>
        </w:rPr>
        <w:t xml:space="preserve">. </w:t>
      </w:r>
    </w:p>
    <w:p w14:paraId="3A84B717" w14:textId="77777777" w:rsidR="00B2013F" w:rsidRDefault="00B2013F" w:rsidP="00532C63">
      <w:pPr>
        <w:pStyle w:val="Body"/>
        <w:rPr>
          <w:rFonts w:ascii="Arial" w:hAnsi="Arial" w:cs="Arial"/>
        </w:rPr>
      </w:pPr>
      <w:r w:rsidRPr="00B2013F">
        <w:rPr>
          <w:rFonts w:ascii="Arial" w:hAnsi="Arial" w:cs="Arial"/>
        </w:rPr>
        <w:t xml:space="preserve">Matei, E., </w:t>
      </w:r>
      <w:proofErr w:type="spellStart"/>
      <w:r w:rsidRPr="00B2013F">
        <w:rPr>
          <w:rFonts w:ascii="Arial" w:hAnsi="Arial" w:cs="Arial"/>
        </w:rPr>
        <w:t>Râpă</w:t>
      </w:r>
      <w:proofErr w:type="spellEnd"/>
      <w:r w:rsidRPr="00B2013F">
        <w:rPr>
          <w:rFonts w:ascii="Arial" w:hAnsi="Arial" w:cs="Arial"/>
        </w:rPr>
        <w:t xml:space="preserve">, M., </w:t>
      </w:r>
      <w:proofErr w:type="spellStart"/>
      <w:r w:rsidRPr="00B2013F">
        <w:rPr>
          <w:rFonts w:ascii="Arial" w:hAnsi="Arial" w:cs="Arial"/>
        </w:rPr>
        <w:t>Mateș</w:t>
      </w:r>
      <w:proofErr w:type="spellEnd"/>
      <w:r w:rsidRPr="00B2013F">
        <w:rPr>
          <w:rFonts w:ascii="Arial" w:hAnsi="Arial" w:cs="Arial"/>
        </w:rPr>
        <w:t xml:space="preserve">, I. M., Popescu, A.-F., </w:t>
      </w:r>
      <w:proofErr w:type="spellStart"/>
      <w:r w:rsidRPr="00B2013F">
        <w:rPr>
          <w:rFonts w:ascii="Arial" w:hAnsi="Arial" w:cs="Arial"/>
        </w:rPr>
        <w:t>Bădiceanu</w:t>
      </w:r>
      <w:proofErr w:type="spellEnd"/>
      <w:r w:rsidRPr="00B2013F">
        <w:rPr>
          <w:rFonts w:ascii="Arial" w:hAnsi="Arial" w:cs="Arial"/>
        </w:rPr>
        <w:t xml:space="preserve">, A., Balint, A. I., &amp; </w:t>
      </w:r>
      <w:proofErr w:type="spellStart"/>
      <w:r w:rsidRPr="00B2013F">
        <w:rPr>
          <w:rFonts w:ascii="Arial" w:hAnsi="Arial" w:cs="Arial"/>
        </w:rPr>
        <w:t>Covaliu-Mierlă</w:t>
      </w:r>
      <w:proofErr w:type="spellEnd"/>
      <w:r w:rsidRPr="00B2013F">
        <w:rPr>
          <w:rFonts w:ascii="Arial" w:hAnsi="Arial" w:cs="Arial"/>
        </w:rPr>
        <w:t xml:space="preserve">, C. I. (2025). Heavy Metals in Particulate Matter—Trends and Impacts on Environment. Molecules, 30(7), 1455. </w:t>
      </w:r>
      <w:proofErr w:type="spellStart"/>
      <w:r>
        <w:rPr>
          <w:rFonts w:ascii="Arial" w:hAnsi="Arial" w:cs="Arial"/>
        </w:rPr>
        <w:t>doi:</w:t>
      </w:r>
      <w:hyperlink r:id="rId23" w:history="1">
        <w:r w:rsidRPr="007025A4">
          <w:rPr>
            <w:rStyle w:val="Hyperlink"/>
            <w:rFonts w:ascii="Arial" w:hAnsi="Arial" w:cs="Arial"/>
          </w:rPr>
          <w:t>https</w:t>
        </w:r>
        <w:proofErr w:type="spellEnd"/>
        <w:r w:rsidRPr="007025A4">
          <w:rPr>
            <w:rStyle w:val="Hyperlink"/>
            <w:rFonts w:ascii="Arial" w:hAnsi="Arial" w:cs="Arial"/>
          </w:rPr>
          <w:t>://doi.org/10.3390/molecules30071455</w:t>
        </w:r>
      </w:hyperlink>
    </w:p>
    <w:p w14:paraId="1070C28D" w14:textId="77777777" w:rsidR="00B2013F" w:rsidRDefault="00B2013F" w:rsidP="00B2013F">
      <w:pPr>
        <w:pStyle w:val="Body"/>
        <w:rPr>
          <w:rFonts w:ascii="Arial" w:hAnsi="Arial" w:cs="Arial"/>
        </w:rPr>
      </w:pPr>
      <w:proofErr w:type="spellStart"/>
      <w:r w:rsidRPr="00B2013F">
        <w:rPr>
          <w:rFonts w:ascii="Arial" w:hAnsi="Arial" w:cs="Arial"/>
        </w:rPr>
        <w:t>Oziegbe</w:t>
      </w:r>
      <w:proofErr w:type="spellEnd"/>
      <w:r>
        <w:rPr>
          <w:rFonts w:ascii="Arial" w:hAnsi="Arial" w:cs="Arial"/>
        </w:rPr>
        <w:t>, O.,</w:t>
      </w:r>
      <w:r w:rsidRPr="00B2013F">
        <w:rPr>
          <w:rFonts w:ascii="Arial" w:hAnsi="Arial" w:cs="Arial"/>
        </w:rPr>
        <w:t xml:space="preserve"> </w:t>
      </w:r>
      <w:proofErr w:type="gramStart"/>
      <w:r w:rsidRPr="00B2013F">
        <w:rPr>
          <w:rFonts w:ascii="Arial" w:hAnsi="Arial" w:cs="Arial"/>
        </w:rPr>
        <w:t>Ehitua  Julius</w:t>
      </w:r>
      <w:proofErr w:type="gramEnd"/>
      <w:r w:rsidRPr="00B2013F">
        <w:rPr>
          <w:rFonts w:ascii="Arial" w:hAnsi="Arial" w:cs="Arial"/>
        </w:rPr>
        <w:t xml:space="preserve"> Oziegbe</w:t>
      </w:r>
      <w:r>
        <w:rPr>
          <w:rFonts w:ascii="Arial" w:hAnsi="Arial" w:cs="Arial"/>
        </w:rPr>
        <w:t>, E.J.,</w:t>
      </w:r>
      <w:r w:rsidRPr="00B2013F">
        <w:rPr>
          <w:rFonts w:ascii="Arial" w:hAnsi="Arial" w:cs="Arial"/>
        </w:rPr>
        <w:t xml:space="preserve"> Ojo-Omoniyi,</w:t>
      </w:r>
      <w:r>
        <w:rPr>
          <w:rFonts w:ascii="Arial" w:hAnsi="Arial" w:cs="Arial"/>
        </w:rPr>
        <w:t xml:space="preserve"> O. (2025). </w:t>
      </w:r>
      <w:r w:rsidRPr="00B2013F">
        <w:rPr>
          <w:rFonts w:ascii="Arial" w:hAnsi="Arial" w:cs="Arial"/>
        </w:rPr>
        <w:t>Bioremediation of heavy metals in aquatic environment: A review</w:t>
      </w:r>
      <w:r>
        <w:rPr>
          <w:rFonts w:ascii="Arial" w:hAnsi="Arial" w:cs="Arial"/>
        </w:rPr>
        <w:t xml:space="preserve">. </w:t>
      </w:r>
      <w:r w:rsidRPr="00B2013F">
        <w:rPr>
          <w:rFonts w:ascii="Arial" w:hAnsi="Arial" w:cs="Arial"/>
        </w:rPr>
        <w:t>Cleaner Chemical Engineering</w:t>
      </w:r>
      <w:r>
        <w:rPr>
          <w:rFonts w:ascii="Arial" w:hAnsi="Arial" w:cs="Arial"/>
        </w:rPr>
        <w:t xml:space="preserve">, 11 (100193). </w:t>
      </w:r>
      <w:proofErr w:type="spellStart"/>
      <w:r>
        <w:rPr>
          <w:rFonts w:ascii="Arial" w:hAnsi="Arial" w:cs="Arial"/>
        </w:rPr>
        <w:t>doi</w:t>
      </w:r>
      <w:proofErr w:type="spellEnd"/>
      <w:r>
        <w:rPr>
          <w:rFonts w:ascii="Arial" w:hAnsi="Arial" w:cs="Arial"/>
        </w:rPr>
        <w:t xml:space="preserve">: </w:t>
      </w:r>
      <w:hyperlink r:id="rId24" w:history="1">
        <w:r w:rsidRPr="007025A4">
          <w:rPr>
            <w:rStyle w:val="Hyperlink"/>
            <w:rFonts w:ascii="Arial" w:hAnsi="Arial" w:cs="Arial"/>
          </w:rPr>
          <w:t>https://doi.org/10.1016/j.clce.2025.100193</w:t>
        </w:r>
      </w:hyperlink>
      <w:r w:rsidRPr="00B2013F">
        <w:rPr>
          <w:rFonts w:ascii="Arial" w:hAnsi="Arial" w:cs="Arial"/>
        </w:rPr>
        <w:t>.</w:t>
      </w:r>
    </w:p>
    <w:p w14:paraId="50E462DA" w14:textId="77777777" w:rsidR="00B2013F" w:rsidRDefault="004D2BE1" w:rsidP="00B2013F">
      <w:pPr>
        <w:pStyle w:val="Body"/>
        <w:rPr>
          <w:rFonts w:ascii="Arial" w:hAnsi="Arial" w:cs="Arial"/>
        </w:rPr>
      </w:pPr>
      <w:proofErr w:type="spellStart"/>
      <w:r w:rsidRPr="004D2BE1">
        <w:rPr>
          <w:rFonts w:ascii="Arial" w:hAnsi="Arial" w:cs="Arial"/>
        </w:rPr>
        <w:t>Kapepula</w:t>
      </w:r>
      <w:proofErr w:type="spellEnd"/>
      <w:r>
        <w:rPr>
          <w:rFonts w:ascii="Arial" w:hAnsi="Arial" w:cs="Arial"/>
        </w:rPr>
        <w:t>,</w:t>
      </w:r>
      <w:r w:rsidRPr="004D2BE1">
        <w:rPr>
          <w:rFonts w:ascii="Arial" w:hAnsi="Arial" w:cs="Arial"/>
        </w:rPr>
        <w:t xml:space="preserve"> V</w:t>
      </w:r>
      <w:r>
        <w:rPr>
          <w:rFonts w:ascii="Arial" w:hAnsi="Arial" w:cs="Arial"/>
        </w:rPr>
        <w:t>.</w:t>
      </w:r>
      <w:r w:rsidRPr="004D2BE1">
        <w:rPr>
          <w:rFonts w:ascii="Arial" w:hAnsi="Arial" w:cs="Arial"/>
        </w:rPr>
        <w:t>L</w:t>
      </w:r>
      <w:r>
        <w:rPr>
          <w:rFonts w:ascii="Arial" w:hAnsi="Arial" w:cs="Arial"/>
        </w:rPr>
        <w:t>.</w:t>
      </w:r>
      <w:r w:rsidRPr="004D2BE1">
        <w:rPr>
          <w:rFonts w:ascii="Arial" w:hAnsi="Arial" w:cs="Arial"/>
        </w:rPr>
        <w:t xml:space="preserve"> </w:t>
      </w:r>
      <w:r w:rsidR="00D14DF3" w:rsidRPr="00D14DF3">
        <w:rPr>
          <w:rFonts w:ascii="Arial" w:hAnsi="Arial" w:cs="Arial"/>
        </w:rPr>
        <w:t xml:space="preserve">&amp; </w:t>
      </w:r>
      <w:r w:rsidRPr="004D2BE1">
        <w:rPr>
          <w:rFonts w:ascii="Arial" w:hAnsi="Arial" w:cs="Arial"/>
        </w:rPr>
        <w:t>Luis</w:t>
      </w:r>
      <w:r w:rsidR="00D14DF3">
        <w:rPr>
          <w:rFonts w:ascii="Arial" w:hAnsi="Arial" w:cs="Arial"/>
        </w:rPr>
        <w:t>,</w:t>
      </w:r>
      <w:r w:rsidRPr="004D2BE1">
        <w:rPr>
          <w:rFonts w:ascii="Arial" w:hAnsi="Arial" w:cs="Arial"/>
        </w:rPr>
        <w:t xml:space="preserve"> P</w:t>
      </w:r>
      <w:r w:rsidR="00D14DF3">
        <w:rPr>
          <w:rFonts w:ascii="Arial" w:hAnsi="Arial" w:cs="Arial"/>
        </w:rPr>
        <w:t>.</w:t>
      </w:r>
      <w:r w:rsidRPr="004D2BE1">
        <w:rPr>
          <w:rFonts w:ascii="Arial" w:hAnsi="Arial" w:cs="Arial"/>
        </w:rPr>
        <w:t xml:space="preserve"> (2024) Removal of heavy metals from wastewater using reverse osmosis. Front. Chem. Eng. 6</w:t>
      </w:r>
      <w:r w:rsidR="00D14DF3">
        <w:rPr>
          <w:rFonts w:ascii="Arial" w:hAnsi="Arial" w:cs="Arial"/>
        </w:rPr>
        <w:t xml:space="preserve"> (</w:t>
      </w:r>
      <w:r w:rsidRPr="004D2BE1">
        <w:rPr>
          <w:rFonts w:ascii="Arial" w:hAnsi="Arial" w:cs="Arial"/>
        </w:rPr>
        <w:t>1334816</w:t>
      </w:r>
      <w:r w:rsidR="00D14DF3">
        <w:rPr>
          <w:rFonts w:ascii="Arial" w:hAnsi="Arial" w:cs="Arial"/>
        </w:rPr>
        <w:t>)</w:t>
      </w:r>
      <w:r w:rsidRPr="004D2BE1">
        <w:rPr>
          <w:rFonts w:ascii="Arial" w:hAnsi="Arial" w:cs="Arial"/>
        </w:rPr>
        <w:t xml:space="preserve">. </w:t>
      </w:r>
      <w:proofErr w:type="spellStart"/>
      <w:r w:rsidRPr="004D2BE1">
        <w:rPr>
          <w:rFonts w:ascii="Arial" w:hAnsi="Arial" w:cs="Arial"/>
        </w:rPr>
        <w:t>doi</w:t>
      </w:r>
      <w:proofErr w:type="spellEnd"/>
      <w:r w:rsidRPr="004D2BE1">
        <w:rPr>
          <w:rFonts w:ascii="Arial" w:hAnsi="Arial" w:cs="Arial"/>
        </w:rPr>
        <w:t xml:space="preserve">: </w:t>
      </w:r>
      <w:hyperlink r:id="rId25" w:history="1">
        <w:r w:rsidR="00D14DF3" w:rsidRPr="007025A4">
          <w:rPr>
            <w:rStyle w:val="Hyperlink"/>
            <w:rFonts w:ascii="Arial" w:hAnsi="Arial" w:cs="Arial"/>
          </w:rPr>
          <w:t>https://doi.org/10.3389/fceng.2024.1334816</w:t>
        </w:r>
      </w:hyperlink>
    </w:p>
    <w:p w14:paraId="64B137E9" w14:textId="77777777" w:rsidR="00D14DF3" w:rsidRDefault="00FC6109" w:rsidP="00B2013F">
      <w:pPr>
        <w:pStyle w:val="Body"/>
        <w:rPr>
          <w:rFonts w:ascii="Arial" w:hAnsi="Arial" w:cs="Arial"/>
        </w:rPr>
      </w:pPr>
      <w:r w:rsidRPr="00FC6109">
        <w:rPr>
          <w:rFonts w:ascii="Arial" w:hAnsi="Arial" w:cs="Arial"/>
        </w:rPr>
        <w:t xml:space="preserve">Zhou, Z., Wang, Y., Teng, H., Yang, H., Liu, A., Li, M., &amp; Niu, X. (2020). Historical Evolution of Sources and Pollution Levels of Heavy Metals in the Sediment of the </w:t>
      </w:r>
      <w:proofErr w:type="spellStart"/>
      <w:r w:rsidRPr="00FC6109">
        <w:rPr>
          <w:rFonts w:ascii="Arial" w:hAnsi="Arial" w:cs="Arial"/>
        </w:rPr>
        <w:t>Shuanglong</w:t>
      </w:r>
      <w:proofErr w:type="spellEnd"/>
      <w:r w:rsidRPr="00FC6109">
        <w:rPr>
          <w:rFonts w:ascii="Arial" w:hAnsi="Arial" w:cs="Arial"/>
        </w:rPr>
        <w:t xml:space="preserve"> Reservoir, China. Water, 12(7), 1855. </w:t>
      </w:r>
      <w:proofErr w:type="spellStart"/>
      <w:r w:rsidR="00D22867">
        <w:rPr>
          <w:rFonts w:ascii="Arial" w:hAnsi="Arial" w:cs="Arial"/>
        </w:rPr>
        <w:t>doi:</w:t>
      </w:r>
      <w:hyperlink r:id="rId26" w:history="1">
        <w:r w:rsidR="00D22867" w:rsidRPr="007025A4">
          <w:rPr>
            <w:rStyle w:val="Hyperlink"/>
            <w:rFonts w:ascii="Arial" w:hAnsi="Arial" w:cs="Arial"/>
          </w:rPr>
          <w:t>https</w:t>
        </w:r>
        <w:proofErr w:type="spellEnd"/>
        <w:r w:rsidR="00D22867" w:rsidRPr="007025A4">
          <w:rPr>
            <w:rStyle w:val="Hyperlink"/>
            <w:rFonts w:ascii="Arial" w:hAnsi="Arial" w:cs="Arial"/>
          </w:rPr>
          <w:t>://doi.org/10.3390/w12071855</w:t>
        </w:r>
      </w:hyperlink>
    </w:p>
    <w:p w14:paraId="7DBAC300" w14:textId="77777777" w:rsidR="00FC6109" w:rsidRDefault="00D22867" w:rsidP="00B2013F">
      <w:pPr>
        <w:pStyle w:val="Body"/>
        <w:rPr>
          <w:rFonts w:ascii="Arial" w:hAnsi="Arial" w:cs="Arial"/>
        </w:rPr>
      </w:pPr>
      <w:r w:rsidRPr="00D22867">
        <w:rPr>
          <w:rFonts w:ascii="Arial" w:hAnsi="Arial" w:cs="Arial"/>
        </w:rPr>
        <w:t>Niu</w:t>
      </w:r>
      <w:r>
        <w:rPr>
          <w:rFonts w:ascii="Arial" w:hAnsi="Arial" w:cs="Arial"/>
        </w:rPr>
        <w:t>,</w:t>
      </w:r>
      <w:r w:rsidRPr="00D22867">
        <w:rPr>
          <w:rFonts w:ascii="Arial" w:hAnsi="Arial" w:cs="Arial"/>
        </w:rPr>
        <w:t xml:space="preserve"> Y</w:t>
      </w:r>
      <w:r>
        <w:rPr>
          <w:rFonts w:ascii="Arial" w:hAnsi="Arial" w:cs="Arial"/>
        </w:rPr>
        <w:t>.</w:t>
      </w:r>
      <w:r w:rsidRPr="00D22867">
        <w:rPr>
          <w:rFonts w:ascii="Arial" w:hAnsi="Arial" w:cs="Arial"/>
        </w:rPr>
        <w:t>, Chen</w:t>
      </w:r>
      <w:r>
        <w:rPr>
          <w:rFonts w:ascii="Arial" w:hAnsi="Arial" w:cs="Arial"/>
        </w:rPr>
        <w:t>,</w:t>
      </w:r>
      <w:r w:rsidRPr="00D22867">
        <w:rPr>
          <w:rFonts w:ascii="Arial" w:hAnsi="Arial" w:cs="Arial"/>
        </w:rPr>
        <w:t xml:space="preserve"> F</w:t>
      </w:r>
      <w:r>
        <w:rPr>
          <w:rFonts w:ascii="Arial" w:hAnsi="Arial" w:cs="Arial"/>
        </w:rPr>
        <w:t>.</w:t>
      </w:r>
      <w:r w:rsidRPr="00D22867">
        <w:rPr>
          <w:rFonts w:ascii="Arial" w:hAnsi="Arial" w:cs="Arial"/>
        </w:rPr>
        <w:t>, Li</w:t>
      </w:r>
      <w:r>
        <w:rPr>
          <w:rFonts w:ascii="Arial" w:hAnsi="Arial" w:cs="Arial"/>
        </w:rPr>
        <w:t>,</w:t>
      </w:r>
      <w:r w:rsidRPr="00D22867">
        <w:rPr>
          <w:rFonts w:ascii="Arial" w:hAnsi="Arial" w:cs="Arial"/>
        </w:rPr>
        <w:t xml:space="preserve"> Y</w:t>
      </w:r>
      <w:r>
        <w:rPr>
          <w:rFonts w:ascii="Arial" w:hAnsi="Arial" w:cs="Arial"/>
        </w:rPr>
        <w:t>.</w:t>
      </w:r>
      <w:r w:rsidRPr="00D22867">
        <w:rPr>
          <w:rFonts w:ascii="Arial" w:hAnsi="Arial" w:cs="Arial"/>
        </w:rPr>
        <w:t>, Ren</w:t>
      </w:r>
      <w:r>
        <w:rPr>
          <w:rFonts w:ascii="Arial" w:hAnsi="Arial" w:cs="Arial"/>
        </w:rPr>
        <w:t>,</w:t>
      </w:r>
      <w:r w:rsidRPr="00D22867">
        <w:rPr>
          <w:rFonts w:ascii="Arial" w:hAnsi="Arial" w:cs="Arial"/>
        </w:rPr>
        <w:t xml:space="preserve"> B. </w:t>
      </w:r>
      <w:r>
        <w:rPr>
          <w:rFonts w:ascii="Arial" w:hAnsi="Arial" w:cs="Arial"/>
        </w:rPr>
        <w:t xml:space="preserve">(2021). </w:t>
      </w:r>
      <w:r w:rsidRPr="00D22867">
        <w:rPr>
          <w:rFonts w:ascii="Arial" w:hAnsi="Arial" w:cs="Arial"/>
        </w:rPr>
        <w:t xml:space="preserve">Trends and Sources of Heavy Metal Pollution in Global River and Lake Sediments from 1970 to 2018. Rev Environ </w:t>
      </w:r>
      <w:proofErr w:type="spellStart"/>
      <w:r w:rsidRPr="00D22867">
        <w:rPr>
          <w:rFonts w:ascii="Arial" w:hAnsi="Arial" w:cs="Arial"/>
        </w:rPr>
        <w:t>Contam</w:t>
      </w:r>
      <w:proofErr w:type="spellEnd"/>
      <w:r w:rsidRPr="00D22867">
        <w:rPr>
          <w:rFonts w:ascii="Arial" w:hAnsi="Arial" w:cs="Arial"/>
        </w:rPr>
        <w:t xml:space="preserve"> </w:t>
      </w:r>
      <w:proofErr w:type="spellStart"/>
      <w:r w:rsidRPr="00D22867">
        <w:rPr>
          <w:rFonts w:ascii="Arial" w:hAnsi="Arial" w:cs="Arial"/>
        </w:rPr>
        <w:t>Toxicol</w:t>
      </w:r>
      <w:proofErr w:type="spellEnd"/>
      <w:r>
        <w:rPr>
          <w:rFonts w:ascii="Arial" w:hAnsi="Arial" w:cs="Arial"/>
        </w:rPr>
        <w:t xml:space="preserve">, </w:t>
      </w:r>
      <w:r w:rsidRPr="00D22867">
        <w:rPr>
          <w:rFonts w:ascii="Arial" w:hAnsi="Arial" w:cs="Arial"/>
        </w:rPr>
        <w:t>257</w:t>
      </w:r>
      <w:r>
        <w:rPr>
          <w:rFonts w:ascii="Arial" w:hAnsi="Arial" w:cs="Arial"/>
        </w:rPr>
        <w:t xml:space="preserve"> (</w:t>
      </w:r>
      <w:r w:rsidRPr="00D22867">
        <w:rPr>
          <w:rFonts w:ascii="Arial" w:hAnsi="Arial" w:cs="Arial"/>
        </w:rPr>
        <w:t>1-35</w:t>
      </w:r>
      <w:r>
        <w:rPr>
          <w:rFonts w:ascii="Arial" w:hAnsi="Arial" w:cs="Arial"/>
        </w:rPr>
        <w:t>)</w:t>
      </w:r>
      <w:r w:rsidRPr="00D22867">
        <w:rPr>
          <w:rFonts w:ascii="Arial" w:hAnsi="Arial" w:cs="Arial"/>
        </w:rPr>
        <w:t xml:space="preserve">. </w:t>
      </w:r>
      <w:proofErr w:type="spellStart"/>
      <w:r w:rsidRPr="00D22867">
        <w:rPr>
          <w:rFonts w:ascii="Arial" w:hAnsi="Arial" w:cs="Arial"/>
        </w:rPr>
        <w:t>doi</w:t>
      </w:r>
      <w:proofErr w:type="spellEnd"/>
      <w:r w:rsidRPr="00D22867">
        <w:rPr>
          <w:rFonts w:ascii="Arial" w:hAnsi="Arial" w:cs="Arial"/>
        </w:rPr>
        <w:t xml:space="preserve">: </w:t>
      </w:r>
      <w:hyperlink r:id="rId27" w:history="1">
        <w:r w:rsidRPr="007025A4">
          <w:rPr>
            <w:rStyle w:val="Hyperlink"/>
            <w:rFonts w:ascii="Arial" w:hAnsi="Arial" w:cs="Arial"/>
          </w:rPr>
          <w:t>https://doi.org/10.1007/398_2020_59</w:t>
        </w:r>
      </w:hyperlink>
      <w:r>
        <w:rPr>
          <w:rFonts w:ascii="Arial" w:hAnsi="Arial" w:cs="Arial"/>
        </w:rPr>
        <w:t>.</w:t>
      </w:r>
    </w:p>
    <w:p w14:paraId="00D7E3A5" w14:textId="77777777" w:rsidR="00D22867" w:rsidRDefault="0095660D" w:rsidP="00B2013F">
      <w:pPr>
        <w:pStyle w:val="Body"/>
        <w:rPr>
          <w:rFonts w:ascii="Arial" w:hAnsi="Arial" w:cs="Arial"/>
        </w:rPr>
      </w:pPr>
      <w:r w:rsidRPr="0095660D">
        <w:rPr>
          <w:rFonts w:ascii="Arial" w:hAnsi="Arial" w:cs="Arial"/>
        </w:rPr>
        <w:t xml:space="preserve">Sanusi, I.O., Adepoju, A.A. &amp; Abdulrahman, B.D. </w:t>
      </w:r>
      <w:r>
        <w:rPr>
          <w:rFonts w:ascii="Arial" w:hAnsi="Arial" w:cs="Arial"/>
        </w:rPr>
        <w:t xml:space="preserve">(2025). </w:t>
      </w:r>
      <w:r w:rsidRPr="0095660D">
        <w:rPr>
          <w:rFonts w:ascii="Arial" w:hAnsi="Arial" w:cs="Arial"/>
        </w:rPr>
        <w:t xml:space="preserve">Heavy metal contamination, human health impact, and remediation techniques in water bodies: a review. </w:t>
      </w:r>
      <w:proofErr w:type="spellStart"/>
      <w:r w:rsidRPr="0095660D">
        <w:rPr>
          <w:rFonts w:ascii="Arial" w:hAnsi="Arial" w:cs="Arial"/>
        </w:rPr>
        <w:t>Discov</w:t>
      </w:r>
      <w:proofErr w:type="spellEnd"/>
      <w:r w:rsidRPr="0095660D">
        <w:rPr>
          <w:rFonts w:ascii="Arial" w:hAnsi="Arial" w:cs="Arial"/>
        </w:rPr>
        <w:t xml:space="preserve"> Environ</w:t>
      </w:r>
      <w:r>
        <w:rPr>
          <w:rFonts w:ascii="Arial" w:hAnsi="Arial" w:cs="Arial"/>
        </w:rPr>
        <w:t>,</w:t>
      </w:r>
      <w:r w:rsidRPr="0095660D">
        <w:rPr>
          <w:rFonts w:ascii="Arial" w:hAnsi="Arial" w:cs="Arial"/>
        </w:rPr>
        <w:t xml:space="preserve"> 3 </w:t>
      </w:r>
      <w:r>
        <w:rPr>
          <w:rFonts w:ascii="Arial" w:hAnsi="Arial" w:cs="Arial"/>
        </w:rPr>
        <w:t>(</w:t>
      </w:r>
      <w:r w:rsidRPr="0095660D">
        <w:rPr>
          <w:rFonts w:ascii="Arial" w:hAnsi="Arial" w:cs="Arial"/>
        </w:rPr>
        <w:t>268</w:t>
      </w:r>
      <w:r>
        <w:rPr>
          <w:rFonts w:ascii="Arial" w:hAnsi="Arial" w:cs="Arial"/>
        </w:rPr>
        <w:t>)</w:t>
      </w:r>
      <w:r w:rsidRPr="0095660D">
        <w:rPr>
          <w:rFonts w:ascii="Arial" w:hAnsi="Arial" w:cs="Arial"/>
        </w:rPr>
        <w:t xml:space="preserve"> </w:t>
      </w:r>
      <w:hyperlink r:id="rId28" w:history="1">
        <w:r w:rsidRPr="007025A4">
          <w:rPr>
            <w:rStyle w:val="Hyperlink"/>
            <w:rFonts w:ascii="Arial" w:hAnsi="Arial" w:cs="Arial"/>
          </w:rPr>
          <w:t>https://doi.org/10.1007/s44274-025-00475-5</w:t>
        </w:r>
      </w:hyperlink>
    </w:p>
    <w:p w14:paraId="7544E22B" w14:textId="77777777" w:rsidR="00382D05" w:rsidRDefault="00FD22BC" w:rsidP="00B2013F">
      <w:pPr>
        <w:pStyle w:val="Body"/>
        <w:rPr>
          <w:rFonts w:ascii="Arial" w:hAnsi="Arial" w:cs="Arial"/>
        </w:rPr>
      </w:pPr>
      <w:r w:rsidRPr="00FD22BC">
        <w:rPr>
          <w:rFonts w:ascii="Arial" w:hAnsi="Arial" w:cs="Arial"/>
        </w:rPr>
        <w:t>Ondrasek</w:t>
      </w:r>
      <w:r>
        <w:rPr>
          <w:rFonts w:ascii="Arial" w:hAnsi="Arial" w:cs="Arial"/>
        </w:rPr>
        <w:t>, G.,</w:t>
      </w:r>
      <w:r w:rsidRPr="00FD22BC">
        <w:rPr>
          <w:rFonts w:ascii="Arial" w:hAnsi="Arial" w:cs="Arial"/>
        </w:rPr>
        <w:t xml:space="preserve"> Shepherd</w:t>
      </w:r>
      <w:r w:rsidR="00382D05">
        <w:rPr>
          <w:rFonts w:ascii="Arial" w:hAnsi="Arial" w:cs="Arial"/>
        </w:rPr>
        <w:t>, J.,</w:t>
      </w:r>
      <w:r w:rsidRPr="00FD22BC">
        <w:rPr>
          <w:rFonts w:ascii="Arial" w:hAnsi="Arial" w:cs="Arial"/>
        </w:rPr>
        <w:t xml:space="preserve"> Rathod</w:t>
      </w:r>
      <w:r w:rsidR="00382D05">
        <w:rPr>
          <w:rFonts w:ascii="Arial" w:hAnsi="Arial" w:cs="Arial"/>
        </w:rPr>
        <w:t>, S.</w:t>
      </w:r>
      <w:r w:rsidRPr="00FD22BC">
        <w:rPr>
          <w:rFonts w:ascii="Arial" w:hAnsi="Arial" w:cs="Arial"/>
        </w:rPr>
        <w:t>,</w:t>
      </w:r>
      <w:r w:rsidR="00382D05">
        <w:rPr>
          <w:rFonts w:ascii="Arial" w:hAnsi="Arial" w:cs="Arial"/>
        </w:rPr>
        <w:t xml:space="preserve"> </w:t>
      </w:r>
      <w:proofErr w:type="spellStart"/>
      <w:r w:rsidRPr="00FD22BC">
        <w:rPr>
          <w:rFonts w:ascii="Arial" w:hAnsi="Arial" w:cs="Arial"/>
        </w:rPr>
        <w:t>Dharavath</w:t>
      </w:r>
      <w:proofErr w:type="spellEnd"/>
      <w:r w:rsidR="00382D05">
        <w:rPr>
          <w:rFonts w:ascii="Arial" w:hAnsi="Arial" w:cs="Arial"/>
        </w:rPr>
        <w:t>, R.</w:t>
      </w:r>
      <w:r w:rsidRPr="00FD22BC">
        <w:rPr>
          <w:rFonts w:ascii="Arial" w:hAnsi="Arial" w:cs="Arial"/>
        </w:rPr>
        <w:t>,</w:t>
      </w:r>
      <w:r w:rsidR="00382D05">
        <w:rPr>
          <w:rFonts w:ascii="Arial" w:hAnsi="Arial" w:cs="Arial"/>
        </w:rPr>
        <w:t xml:space="preserve"> </w:t>
      </w:r>
      <w:r w:rsidRPr="00FD22BC">
        <w:rPr>
          <w:rFonts w:ascii="Arial" w:hAnsi="Arial" w:cs="Arial"/>
        </w:rPr>
        <w:t>Rashid</w:t>
      </w:r>
      <w:r w:rsidR="00382D05">
        <w:rPr>
          <w:rFonts w:ascii="Arial" w:hAnsi="Arial" w:cs="Arial"/>
        </w:rPr>
        <w:t>, I.M.</w:t>
      </w:r>
      <w:r w:rsidRPr="00FD22BC">
        <w:rPr>
          <w:rFonts w:ascii="Arial" w:hAnsi="Arial" w:cs="Arial"/>
        </w:rPr>
        <w:t>,</w:t>
      </w:r>
      <w:r w:rsidR="00382D05">
        <w:rPr>
          <w:rFonts w:ascii="Arial" w:hAnsi="Arial" w:cs="Arial"/>
        </w:rPr>
        <w:t xml:space="preserve"> </w:t>
      </w:r>
      <w:proofErr w:type="spellStart"/>
      <w:r w:rsidRPr="00FD22BC">
        <w:rPr>
          <w:rFonts w:ascii="Arial" w:hAnsi="Arial" w:cs="Arial"/>
        </w:rPr>
        <w:t>Brtnicky</w:t>
      </w:r>
      <w:proofErr w:type="spellEnd"/>
      <w:r w:rsidR="00382D05">
        <w:rPr>
          <w:rFonts w:ascii="Arial" w:hAnsi="Arial" w:cs="Arial"/>
        </w:rPr>
        <w:t>, M.</w:t>
      </w:r>
      <w:r w:rsidRPr="00FD22BC">
        <w:rPr>
          <w:rFonts w:ascii="Arial" w:hAnsi="Arial" w:cs="Arial"/>
        </w:rPr>
        <w:t>,</w:t>
      </w:r>
      <w:r w:rsidR="00382D05">
        <w:rPr>
          <w:rFonts w:ascii="Arial" w:hAnsi="Arial" w:cs="Arial"/>
        </w:rPr>
        <w:t xml:space="preserve"> </w:t>
      </w:r>
      <w:r w:rsidRPr="00FD22BC">
        <w:rPr>
          <w:rFonts w:ascii="Arial" w:hAnsi="Arial" w:cs="Arial"/>
        </w:rPr>
        <w:t>Shahid,</w:t>
      </w:r>
      <w:r w:rsidR="00382D05">
        <w:rPr>
          <w:rFonts w:ascii="Arial" w:hAnsi="Arial" w:cs="Arial"/>
        </w:rPr>
        <w:t xml:space="preserve"> M.S.,</w:t>
      </w:r>
      <w:r w:rsidRPr="00FD22BC">
        <w:rPr>
          <w:rFonts w:ascii="Arial" w:hAnsi="Arial" w:cs="Arial"/>
        </w:rPr>
        <w:t xml:space="preserve"> </w:t>
      </w:r>
      <w:proofErr w:type="spellStart"/>
      <w:r w:rsidRPr="00FD22BC">
        <w:rPr>
          <w:rFonts w:ascii="Arial" w:hAnsi="Arial" w:cs="Arial"/>
        </w:rPr>
        <w:t>Horvatinec</w:t>
      </w:r>
      <w:proofErr w:type="spellEnd"/>
      <w:r w:rsidR="00382D05">
        <w:rPr>
          <w:rFonts w:ascii="Arial" w:hAnsi="Arial" w:cs="Arial"/>
        </w:rPr>
        <w:t>, J.,</w:t>
      </w:r>
      <w:r w:rsidRPr="00FD22BC">
        <w:rPr>
          <w:rFonts w:ascii="Arial" w:hAnsi="Arial" w:cs="Arial"/>
        </w:rPr>
        <w:t xml:space="preserve"> Rengel</w:t>
      </w:r>
      <w:r w:rsidR="00382D05">
        <w:rPr>
          <w:rFonts w:ascii="Arial" w:hAnsi="Arial" w:cs="Arial"/>
        </w:rPr>
        <w:t xml:space="preserve">, Z. (2025). </w:t>
      </w:r>
      <w:r w:rsidR="00382D05" w:rsidRPr="00382D05">
        <w:rPr>
          <w:rFonts w:ascii="Arial" w:hAnsi="Arial" w:cs="Arial"/>
        </w:rPr>
        <w:t>Metal contamination – a global environmental issue: sources, implications &amp; advances in mitigation</w:t>
      </w:r>
      <w:r w:rsidR="00382D05">
        <w:rPr>
          <w:rFonts w:ascii="Arial" w:hAnsi="Arial" w:cs="Arial"/>
        </w:rPr>
        <w:t xml:space="preserve">. Royal society of chemistry,15. </w:t>
      </w:r>
      <w:proofErr w:type="spellStart"/>
      <w:r w:rsidR="00382D05">
        <w:rPr>
          <w:rFonts w:ascii="Arial" w:hAnsi="Arial" w:cs="Arial"/>
        </w:rPr>
        <w:t>doi</w:t>
      </w:r>
      <w:proofErr w:type="spellEnd"/>
      <w:r w:rsidR="00382D05">
        <w:rPr>
          <w:rFonts w:ascii="Arial" w:hAnsi="Arial" w:cs="Arial"/>
        </w:rPr>
        <w:t xml:space="preserve">: </w:t>
      </w:r>
      <w:hyperlink r:id="rId29" w:history="1">
        <w:r w:rsidR="00382D05" w:rsidRPr="007025A4">
          <w:rPr>
            <w:rStyle w:val="Hyperlink"/>
            <w:rFonts w:ascii="Arial" w:hAnsi="Arial" w:cs="Arial"/>
          </w:rPr>
          <w:t>https://doi.org/10.1039/D4RA04639K</w:t>
        </w:r>
      </w:hyperlink>
    </w:p>
    <w:p w14:paraId="6EA5726C" w14:textId="77777777" w:rsidR="00382D05" w:rsidRDefault="008D0599" w:rsidP="008D0599">
      <w:pPr>
        <w:pStyle w:val="Body"/>
        <w:rPr>
          <w:rFonts w:ascii="Arial" w:hAnsi="Arial" w:cs="Arial"/>
        </w:rPr>
      </w:pPr>
      <w:r w:rsidRPr="008D0599">
        <w:rPr>
          <w:rFonts w:ascii="Arial" w:hAnsi="Arial" w:cs="Arial"/>
        </w:rPr>
        <w:lastRenderedPageBreak/>
        <w:t>Mustapha,</w:t>
      </w:r>
      <w:r>
        <w:rPr>
          <w:rFonts w:ascii="Arial" w:hAnsi="Arial" w:cs="Arial"/>
        </w:rPr>
        <w:t xml:space="preserve"> S.L.,</w:t>
      </w:r>
      <w:r w:rsidRPr="008D0599">
        <w:rPr>
          <w:rFonts w:ascii="Arial" w:hAnsi="Arial" w:cs="Arial"/>
        </w:rPr>
        <w:t xml:space="preserve"> Obayomi,</w:t>
      </w:r>
      <w:r>
        <w:rPr>
          <w:rFonts w:ascii="Arial" w:hAnsi="Arial" w:cs="Arial"/>
        </w:rPr>
        <w:t xml:space="preserve"> O.V.,</w:t>
      </w:r>
      <w:r w:rsidRPr="008D0599">
        <w:rPr>
          <w:rFonts w:ascii="Arial" w:hAnsi="Arial" w:cs="Arial"/>
        </w:rPr>
        <w:t xml:space="preserve"> Obayomi</w:t>
      </w:r>
      <w:r>
        <w:rPr>
          <w:rFonts w:ascii="Arial" w:hAnsi="Arial" w:cs="Arial"/>
        </w:rPr>
        <w:t xml:space="preserve">, S.K. (2025). </w:t>
      </w:r>
      <w:r w:rsidRPr="008D0599">
        <w:rPr>
          <w:rFonts w:ascii="Arial" w:hAnsi="Arial" w:cs="Arial"/>
        </w:rPr>
        <w:t>A comprehensive review on potential heavy metals in the environment: Persistence, bioaccumulation, ecotoxicology, and agricultural impacts</w:t>
      </w:r>
      <w:r>
        <w:rPr>
          <w:rFonts w:ascii="Arial" w:hAnsi="Arial" w:cs="Arial"/>
        </w:rPr>
        <w:t xml:space="preserve">. </w:t>
      </w:r>
      <w:r w:rsidRPr="008D0599">
        <w:rPr>
          <w:rFonts w:ascii="Arial" w:hAnsi="Arial" w:cs="Arial"/>
        </w:rPr>
        <w:t>Ecological Frontiers,</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30" w:history="1">
        <w:r w:rsidRPr="007025A4">
          <w:rPr>
            <w:rStyle w:val="Hyperlink"/>
            <w:rFonts w:ascii="Arial" w:hAnsi="Arial" w:cs="Arial"/>
          </w:rPr>
          <w:t>https://doi.org/10.1016/j.ecofro.2025.10.009</w:t>
        </w:r>
      </w:hyperlink>
    </w:p>
    <w:p w14:paraId="5C2386B4" w14:textId="77777777" w:rsidR="00FB31AB" w:rsidRDefault="00FB31AB" w:rsidP="008D0599">
      <w:pPr>
        <w:pStyle w:val="Body"/>
        <w:rPr>
          <w:rFonts w:ascii="Arial" w:hAnsi="Arial" w:cs="Arial"/>
        </w:rPr>
      </w:pPr>
      <w:r w:rsidRPr="00FB31AB">
        <w:rPr>
          <w:rFonts w:ascii="Arial" w:hAnsi="Arial" w:cs="Arial"/>
        </w:rPr>
        <w:t>Seo</w:t>
      </w:r>
      <w:r>
        <w:rPr>
          <w:rFonts w:ascii="Arial" w:hAnsi="Arial" w:cs="Arial"/>
        </w:rPr>
        <w:t>,</w:t>
      </w:r>
      <w:r w:rsidRPr="00FB31AB">
        <w:rPr>
          <w:rFonts w:ascii="Arial" w:hAnsi="Arial" w:cs="Arial"/>
        </w:rPr>
        <w:t xml:space="preserve"> C, Lee</w:t>
      </w:r>
      <w:r>
        <w:rPr>
          <w:rFonts w:ascii="Arial" w:hAnsi="Arial" w:cs="Arial"/>
        </w:rPr>
        <w:t>,</w:t>
      </w:r>
      <w:r w:rsidRPr="00FB31AB">
        <w:rPr>
          <w:rFonts w:ascii="Arial" w:hAnsi="Arial" w:cs="Arial"/>
        </w:rPr>
        <w:t xml:space="preserve"> J</w:t>
      </w:r>
      <w:r>
        <w:rPr>
          <w:rFonts w:ascii="Arial" w:hAnsi="Arial" w:cs="Arial"/>
        </w:rPr>
        <w:t>.</w:t>
      </w:r>
      <w:r w:rsidRPr="00FB31AB">
        <w:rPr>
          <w:rFonts w:ascii="Arial" w:hAnsi="Arial" w:cs="Arial"/>
        </w:rPr>
        <w:t>W</w:t>
      </w:r>
      <w:r>
        <w:rPr>
          <w:rFonts w:ascii="Arial" w:hAnsi="Arial" w:cs="Arial"/>
        </w:rPr>
        <w:t>.</w:t>
      </w:r>
      <w:r w:rsidRPr="00FB31AB">
        <w:rPr>
          <w:rFonts w:ascii="Arial" w:hAnsi="Arial" w:cs="Arial"/>
        </w:rPr>
        <w:t>, Jeong</w:t>
      </w:r>
      <w:r>
        <w:rPr>
          <w:rFonts w:ascii="Arial" w:hAnsi="Arial" w:cs="Arial"/>
        </w:rPr>
        <w:t>,</w:t>
      </w:r>
      <w:r w:rsidRPr="00FB31AB">
        <w:rPr>
          <w:rFonts w:ascii="Arial" w:hAnsi="Arial" w:cs="Arial"/>
        </w:rPr>
        <w:t xml:space="preserve"> J</w:t>
      </w:r>
      <w:r>
        <w:rPr>
          <w:rFonts w:ascii="Arial" w:hAnsi="Arial" w:cs="Arial"/>
        </w:rPr>
        <w:t>.</w:t>
      </w:r>
      <w:r w:rsidRPr="00FB31AB">
        <w:rPr>
          <w:rFonts w:ascii="Arial" w:hAnsi="Arial" w:cs="Arial"/>
        </w:rPr>
        <w:t>W</w:t>
      </w:r>
      <w:r>
        <w:rPr>
          <w:rFonts w:ascii="Arial" w:hAnsi="Arial" w:cs="Arial"/>
        </w:rPr>
        <w:t>.</w:t>
      </w:r>
      <w:r w:rsidRPr="00FB31AB">
        <w:rPr>
          <w:rFonts w:ascii="Arial" w:hAnsi="Arial" w:cs="Arial"/>
        </w:rPr>
        <w:t>, Kim</w:t>
      </w:r>
      <w:r>
        <w:rPr>
          <w:rFonts w:ascii="Arial" w:hAnsi="Arial" w:cs="Arial"/>
        </w:rPr>
        <w:t>,</w:t>
      </w:r>
      <w:r w:rsidRPr="00FB31AB">
        <w:rPr>
          <w:rFonts w:ascii="Arial" w:hAnsi="Arial" w:cs="Arial"/>
        </w:rPr>
        <w:t xml:space="preserve"> T</w:t>
      </w:r>
      <w:r>
        <w:rPr>
          <w:rFonts w:ascii="Arial" w:hAnsi="Arial" w:cs="Arial"/>
        </w:rPr>
        <w:t>.</w:t>
      </w:r>
      <w:r w:rsidRPr="00FB31AB">
        <w:rPr>
          <w:rFonts w:ascii="Arial" w:hAnsi="Arial" w:cs="Arial"/>
        </w:rPr>
        <w:t>S</w:t>
      </w:r>
      <w:r>
        <w:rPr>
          <w:rFonts w:ascii="Arial" w:hAnsi="Arial" w:cs="Arial"/>
        </w:rPr>
        <w:t>.</w:t>
      </w:r>
      <w:r w:rsidRPr="00FB31AB">
        <w:rPr>
          <w:rFonts w:ascii="Arial" w:hAnsi="Arial" w:cs="Arial"/>
        </w:rPr>
        <w:t>, Lee</w:t>
      </w:r>
      <w:r>
        <w:rPr>
          <w:rFonts w:ascii="Arial" w:hAnsi="Arial" w:cs="Arial"/>
        </w:rPr>
        <w:t>,</w:t>
      </w:r>
      <w:r w:rsidRPr="00FB31AB">
        <w:rPr>
          <w:rFonts w:ascii="Arial" w:hAnsi="Arial" w:cs="Arial"/>
        </w:rPr>
        <w:t xml:space="preserve"> Y</w:t>
      </w:r>
      <w:r>
        <w:rPr>
          <w:rFonts w:ascii="Arial" w:hAnsi="Arial" w:cs="Arial"/>
        </w:rPr>
        <w:t>.</w:t>
      </w:r>
      <w:r w:rsidRPr="00FB31AB">
        <w:rPr>
          <w:rFonts w:ascii="Arial" w:hAnsi="Arial" w:cs="Arial"/>
        </w:rPr>
        <w:t>, Gang</w:t>
      </w:r>
      <w:r>
        <w:rPr>
          <w:rFonts w:ascii="Arial" w:hAnsi="Arial" w:cs="Arial"/>
        </w:rPr>
        <w:t>,</w:t>
      </w:r>
      <w:r w:rsidRPr="00FB31AB">
        <w:rPr>
          <w:rFonts w:ascii="Arial" w:hAnsi="Arial" w:cs="Arial"/>
        </w:rPr>
        <w:t xml:space="preserve"> G</w:t>
      </w:r>
      <w:r>
        <w:rPr>
          <w:rFonts w:ascii="Arial" w:hAnsi="Arial" w:cs="Arial"/>
        </w:rPr>
        <w:t>.</w:t>
      </w:r>
      <w:r w:rsidRPr="00FB31AB">
        <w:rPr>
          <w:rFonts w:ascii="Arial" w:hAnsi="Arial" w:cs="Arial"/>
        </w:rPr>
        <w:t>, Lee</w:t>
      </w:r>
      <w:r>
        <w:rPr>
          <w:rFonts w:ascii="Arial" w:hAnsi="Arial" w:cs="Arial"/>
        </w:rPr>
        <w:t>,</w:t>
      </w:r>
      <w:r w:rsidRPr="00FB31AB">
        <w:rPr>
          <w:rFonts w:ascii="Arial" w:hAnsi="Arial" w:cs="Arial"/>
        </w:rPr>
        <w:t xml:space="preserve"> S</w:t>
      </w:r>
      <w:r>
        <w:rPr>
          <w:rFonts w:ascii="Arial" w:hAnsi="Arial" w:cs="Arial"/>
        </w:rPr>
        <w:t>.</w:t>
      </w:r>
      <w:r w:rsidRPr="00FB31AB">
        <w:rPr>
          <w:rFonts w:ascii="Arial" w:hAnsi="Arial" w:cs="Arial"/>
        </w:rPr>
        <w:t>G.</w:t>
      </w:r>
      <w:r>
        <w:rPr>
          <w:rFonts w:ascii="Arial" w:hAnsi="Arial" w:cs="Arial"/>
        </w:rPr>
        <w:t xml:space="preserve"> (2023). </w:t>
      </w:r>
      <w:r w:rsidRPr="00FB31AB">
        <w:rPr>
          <w:rFonts w:ascii="Arial" w:hAnsi="Arial" w:cs="Arial"/>
        </w:rPr>
        <w:t xml:space="preserve">Current technologies for heavy metal removal from food and environmental resources. Food Sci </w:t>
      </w:r>
      <w:proofErr w:type="spellStart"/>
      <w:r w:rsidRPr="00FB31AB">
        <w:rPr>
          <w:rFonts w:ascii="Arial" w:hAnsi="Arial" w:cs="Arial"/>
        </w:rPr>
        <w:t>Biotechnol</w:t>
      </w:r>
      <w:proofErr w:type="spellEnd"/>
      <w:r w:rsidRPr="00FB31AB">
        <w:rPr>
          <w:rFonts w:ascii="Arial" w:hAnsi="Arial" w:cs="Arial"/>
        </w:rPr>
        <w:t>. 20</w:t>
      </w:r>
      <w:r>
        <w:rPr>
          <w:rFonts w:ascii="Arial" w:hAnsi="Arial" w:cs="Arial"/>
        </w:rPr>
        <w:t xml:space="preserve">, </w:t>
      </w:r>
      <w:r w:rsidRPr="00FB31AB">
        <w:rPr>
          <w:rFonts w:ascii="Arial" w:hAnsi="Arial" w:cs="Arial"/>
        </w:rPr>
        <w:t>33(2)</w:t>
      </w:r>
      <w:r>
        <w:rPr>
          <w:rFonts w:ascii="Arial" w:hAnsi="Arial" w:cs="Arial"/>
        </w:rPr>
        <w:t xml:space="preserve">, </w:t>
      </w:r>
      <w:r w:rsidRPr="00FB31AB">
        <w:rPr>
          <w:rFonts w:ascii="Arial" w:hAnsi="Arial" w:cs="Arial"/>
        </w:rPr>
        <w:t xml:space="preserve">287-295. </w:t>
      </w:r>
      <w:proofErr w:type="spellStart"/>
      <w:r w:rsidRPr="00FB31AB">
        <w:rPr>
          <w:rFonts w:ascii="Arial" w:hAnsi="Arial" w:cs="Arial"/>
        </w:rPr>
        <w:t>doi</w:t>
      </w:r>
      <w:proofErr w:type="spellEnd"/>
      <w:r w:rsidRPr="00FB31AB">
        <w:rPr>
          <w:rFonts w:ascii="Arial" w:hAnsi="Arial" w:cs="Arial"/>
        </w:rPr>
        <w:t xml:space="preserve">: </w:t>
      </w:r>
      <w:hyperlink r:id="rId31" w:history="1">
        <w:r w:rsidRPr="007025A4">
          <w:rPr>
            <w:rStyle w:val="Hyperlink"/>
            <w:rFonts w:ascii="Arial" w:hAnsi="Arial" w:cs="Arial"/>
          </w:rPr>
          <w:t>https://doi.org/10.1007/s10068-023-01431-w</w:t>
        </w:r>
      </w:hyperlink>
    </w:p>
    <w:p w14:paraId="59F38FC4" w14:textId="77777777" w:rsidR="008D0599" w:rsidRDefault="00BB5A6C" w:rsidP="008D0599">
      <w:pPr>
        <w:pStyle w:val="Body"/>
        <w:rPr>
          <w:rFonts w:ascii="Arial" w:hAnsi="Arial" w:cs="Arial"/>
        </w:rPr>
      </w:pPr>
      <w:r w:rsidRPr="00BB5A6C">
        <w:rPr>
          <w:rFonts w:ascii="Arial" w:hAnsi="Arial" w:cs="Arial"/>
        </w:rPr>
        <w:t xml:space="preserve">Gupta, B.G., Mukhopadhyay, R. </w:t>
      </w:r>
      <w:r>
        <w:rPr>
          <w:rFonts w:ascii="Arial" w:hAnsi="Arial" w:cs="Arial"/>
        </w:rPr>
        <w:t xml:space="preserve">(2025). </w:t>
      </w:r>
      <w:r w:rsidRPr="00BB5A6C">
        <w:rPr>
          <w:rFonts w:ascii="Arial" w:hAnsi="Arial" w:cs="Arial"/>
        </w:rPr>
        <w:t>Heavy metal contamination from textile wastewater and its health impacts: a case study from West Bengal with sustainable remediation approaches. Sci Rep 15, 29578</w:t>
      </w:r>
      <w:r>
        <w:rPr>
          <w:rFonts w:ascii="Arial" w:hAnsi="Arial" w:cs="Arial"/>
        </w:rPr>
        <w:t xml:space="preserve">. </w:t>
      </w:r>
      <w:proofErr w:type="spellStart"/>
      <w:r>
        <w:rPr>
          <w:rFonts w:ascii="Arial" w:hAnsi="Arial" w:cs="Arial"/>
        </w:rPr>
        <w:t>doi</w:t>
      </w:r>
      <w:proofErr w:type="spellEnd"/>
      <w:r>
        <w:rPr>
          <w:rFonts w:ascii="Arial" w:hAnsi="Arial" w:cs="Arial"/>
        </w:rPr>
        <w:t>:</w:t>
      </w:r>
      <w:r w:rsidRPr="00BB5A6C">
        <w:rPr>
          <w:rFonts w:ascii="Arial" w:hAnsi="Arial" w:cs="Arial"/>
        </w:rPr>
        <w:t xml:space="preserve"> </w:t>
      </w:r>
      <w:hyperlink r:id="rId32" w:history="1">
        <w:r w:rsidRPr="007025A4">
          <w:rPr>
            <w:rStyle w:val="Hyperlink"/>
            <w:rFonts w:ascii="Arial" w:hAnsi="Arial" w:cs="Arial"/>
          </w:rPr>
          <w:t>https://doi.org/10.1038/s41598-025-13357-w</w:t>
        </w:r>
      </w:hyperlink>
    </w:p>
    <w:p w14:paraId="6FDF2D03" w14:textId="77777777" w:rsidR="00BB5A6C" w:rsidRDefault="00701145" w:rsidP="008D0599">
      <w:pPr>
        <w:pStyle w:val="Body"/>
        <w:rPr>
          <w:rFonts w:ascii="Arial" w:hAnsi="Arial" w:cs="Arial"/>
        </w:rPr>
      </w:pPr>
      <w:r w:rsidRPr="00701145">
        <w:rPr>
          <w:rFonts w:ascii="Arial" w:hAnsi="Arial" w:cs="Arial"/>
        </w:rPr>
        <w:t>Tripathi</w:t>
      </w:r>
      <w:r>
        <w:rPr>
          <w:rFonts w:ascii="Arial" w:hAnsi="Arial" w:cs="Arial"/>
        </w:rPr>
        <w:t>,</w:t>
      </w:r>
      <w:r w:rsidRPr="00701145">
        <w:rPr>
          <w:rFonts w:ascii="Arial" w:hAnsi="Arial" w:cs="Arial"/>
        </w:rPr>
        <w:t xml:space="preserve"> P</w:t>
      </w:r>
      <w:r>
        <w:rPr>
          <w:rFonts w:ascii="Arial" w:hAnsi="Arial" w:cs="Arial"/>
        </w:rPr>
        <w:t>.</w:t>
      </w:r>
      <w:r w:rsidRPr="00701145">
        <w:rPr>
          <w:rFonts w:ascii="Arial" w:hAnsi="Arial" w:cs="Arial"/>
        </w:rPr>
        <w:t>, Varma</w:t>
      </w:r>
      <w:r>
        <w:rPr>
          <w:rFonts w:ascii="Arial" w:hAnsi="Arial" w:cs="Arial"/>
        </w:rPr>
        <w:t>,</w:t>
      </w:r>
      <w:r w:rsidRPr="00701145">
        <w:rPr>
          <w:rFonts w:ascii="Arial" w:hAnsi="Arial" w:cs="Arial"/>
        </w:rPr>
        <w:t xml:space="preserve"> K</w:t>
      </w:r>
      <w:r>
        <w:rPr>
          <w:rFonts w:ascii="Arial" w:hAnsi="Arial" w:cs="Arial"/>
        </w:rPr>
        <w:t>.</w:t>
      </w:r>
      <w:r w:rsidRPr="00701145">
        <w:rPr>
          <w:rFonts w:ascii="Arial" w:hAnsi="Arial" w:cs="Arial"/>
        </w:rPr>
        <w:t>, Srivastava</w:t>
      </w:r>
      <w:r>
        <w:rPr>
          <w:rFonts w:ascii="Arial" w:hAnsi="Arial" w:cs="Arial"/>
        </w:rPr>
        <w:t>,</w:t>
      </w:r>
      <w:r w:rsidRPr="00701145">
        <w:rPr>
          <w:rFonts w:ascii="Arial" w:hAnsi="Arial" w:cs="Arial"/>
        </w:rPr>
        <w:t xml:space="preserve"> V</w:t>
      </w:r>
      <w:r>
        <w:rPr>
          <w:rFonts w:ascii="Arial" w:hAnsi="Arial" w:cs="Arial"/>
        </w:rPr>
        <w:t>.</w:t>
      </w:r>
      <w:r w:rsidRPr="00701145">
        <w:rPr>
          <w:rFonts w:ascii="Arial" w:hAnsi="Arial" w:cs="Arial"/>
        </w:rPr>
        <w:t>, Dlamini</w:t>
      </w:r>
      <w:r>
        <w:rPr>
          <w:rFonts w:ascii="Arial" w:hAnsi="Arial" w:cs="Arial"/>
        </w:rPr>
        <w:t>,</w:t>
      </w:r>
      <w:r w:rsidRPr="00701145">
        <w:rPr>
          <w:rFonts w:ascii="Arial" w:hAnsi="Arial" w:cs="Arial"/>
        </w:rPr>
        <w:t xml:space="preserve"> N</w:t>
      </w:r>
      <w:r>
        <w:rPr>
          <w:rFonts w:ascii="Arial" w:hAnsi="Arial" w:cs="Arial"/>
        </w:rPr>
        <w:t>.</w:t>
      </w:r>
      <w:r w:rsidRPr="00701145">
        <w:rPr>
          <w:rFonts w:ascii="Arial" w:hAnsi="Arial" w:cs="Arial"/>
        </w:rPr>
        <w:t>S</w:t>
      </w:r>
      <w:r>
        <w:rPr>
          <w:rFonts w:ascii="Arial" w:hAnsi="Arial" w:cs="Arial"/>
        </w:rPr>
        <w:t xml:space="preserve">., </w:t>
      </w:r>
      <w:r w:rsidRPr="00701145">
        <w:rPr>
          <w:rFonts w:ascii="Arial" w:hAnsi="Arial" w:cs="Arial"/>
        </w:rPr>
        <w:t>Jha</w:t>
      </w:r>
      <w:r>
        <w:rPr>
          <w:rFonts w:ascii="Arial" w:hAnsi="Arial" w:cs="Arial"/>
        </w:rPr>
        <w:t>,</w:t>
      </w:r>
      <w:r w:rsidRPr="00701145">
        <w:rPr>
          <w:rFonts w:ascii="Arial" w:hAnsi="Arial" w:cs="Arial"/>
        </w:rPr>
        <w:t xml:space="preserve"> P</w:t>
      </w:r>
      <w:r>
        <w:rPr>
          <w:rFonts w:ascii="Arial" w:hAnsi="Arial" w:cs="Arial"/>
        </w:rPr>
        <w:t>.</w:t>
      </w:r>
      <w:r w:rsidRPr="00701145">
        <w:rPr>
          <w:rFonts w:ascii="Arial" w:hAnsi="Arial" w:cs="Arial"/>
        </w:rPr>
        <w:t>K</w:t>
      </w:r>
      <w:r>
        <w:rPr>
          <w:rFonts w:ascii="Arial" w:hAnsi="Arial" w:cs="Arial"/>
        </w:rPr>
        <w:t>.</w:t>
      </w:r>
      <w:r w:rsidRPr="00701145">
        <w:rPr>
          <w:rFonts w:ascii="Arial" w:hAnsi="Arial" w:cs="Arial"/>
        </w:rPr>
        <w:t xml:space="preserve"> (2025)</w:t>
      </w:r>
      <w:r>
        <w:rPr>
          <w:rFonts w:ascii="Arial" w:hAnsi="Arial" w:cs="Arial"/>
        </w:rPr>
        <w:t>.</w:t>
      </w:r>
      <w:r w:rsidRPr="00701145">
        <w:rPr>
          <w:rFonts w:ascii="Arial" w:hAnsi="Arial" w:cs="Arial"/>
        </w:rPr>
        <w:t xml:space="preserve"> Heavy metal contamination and associated health risk assessment in groundwater of Mirzapur, Uttar Pradesh. Front. Water. 7:1694963. </w:t>
      </w:r>
      <w:proofErr w:type="spellStart"/>
      <w:r w:rsidRPr="00701145">
        <w:rPr>
          <w:rFonts w:ascii="Arial" w:hAnsi="Arial" w:cs="Arial"/>
        </w:rPr>
        <w:t>doi</w:t>
      </w:r>
      <w:proofErr w:type="spellEnd"/>
      <w:r w:rsidRPr="00701145">
        <w:rPr>
          <w:rFonts w:ascii="Arial" w:hAnsi="Arial" w:cs="Arial"/>
        </w:rPr>
        <w:t xml:space="preserve">: </w:t>
      </w:r>
      <w:hyperlink r:id="rId33" w:history="1">
        <w:r w:rsidRPr="007025A4">
          <w:rPr>
            <w:rStyle w:val="Hyperlink"/>
            <w:rFonts w:ascii="Arial" w:hAnsi="Arial" w:cs="Arial"/>
          </w:rPr>
          <w:t>https://doi.org/10.3389/frwa.2025.1694963</w:t>
        </w:r>
      </w:hyperlink>
    </w:p>
    <w:p w14:paraId="5FCED1FC" w14:textId="77777777" w:rsidR="00226D66" w:rsidRDefault="00226D66" w:rsidP="00226D66">
      <w:pPr>
        <w:pStyle w:val="Body"/>
        <w:rPr>
          <w:rFonts w:ascii="Arial" w:hAnsi="Arial" w:cs="Arial"/>
        </w:rPr>
      </w:pPr>
      <w:r w:rsidRPr="00226D66">
        <w:rPr>
          <w:rFonts w:ascii="Arial" w:hAnsi="Arial" w:cs="Arial"/>
        </w:rPr>
        <w:t>Gahrouei</w:t>
      </w:r>
      <w:r>
        <w:rPr>
          <w:rFonts w:ascii="Arial" w:hAnsi="Arial" w:cs="Arial"/>
        </w:rPr>
        <w:t>, E.A.,</w:t>
      </w:r>
      <w:r w:rsidRPr="00226D66">
        <w:rPr>
          <w:rFonts w:ascii="Arial" w:hAnsi="Arial" w:cs="Arial"/>
        </w:rPr>
        <w:t xml:space="preserve"> Rezapour</w:t>
      </w:r>
      <w:r>
        <w:rPr>
          <w:rFonts w:ascii="Arial" w:hAnsi="Arial" w:cs="Arial"/>
        </w:rPr>
        <w:t xml:space="preserve">, A., </w:t>
      </w:r>
      <w:r w:rsidRPr="00226D66">
        <w:rPr>
          <w:rFonts w:ascii="Arial" w:hAnsi="Arial" w:cs="Arial"/>
        </w:rPr>
        <w:t>Pirooz,</w:t>
      </w:r>
      <w:r>
        <w:rPr>
          <w:rFonts w:ascii="Arial" w:hAnsi="Arial" w:cs="Arial"/>
        </w:rPr>
        <w:t xml:space="preserve"> M.,</w:t>
      </w:r>
      <w:r w:rsidRPr="00226D66">
        <w:rPr>
          <w:rFonts w:ascii="Arial" w:hAnsi="Arial" w:cs="Arial"/>
        </w:rPr>
        <w:t xml:space="preserve"> Pourebrahimi</w:t>
      </w:r>
      <w:r>
        <w:rPr>
          <w:rFonts w:ascii="Arial" w:hAnsi="Arial" w:cs="Arial"/>
        </w:rPr>
        <w:t xml:space="preserve">, S. (2024). </w:t>
      </w:r>
      <w:r w:rsidRPr="00226D66">
        <w:rPr>
          <w:rFonts w:ascii="Arial" w:hAnsi="Arial" w:cs="Arial"/>
        </w:rPr>
        <w:t>From classic to cutting-edge solutions: A comprehensive review of materials and methods for heavy metal removal from water environments</w:t>
      </w:r>
      <w:r>
        <w:rPr>
          <w:rFonts w:ascii="Arial" w:hAnsi="Arial" w:cs="Arial"/>
        </w:rPr>
        <w:t xml:space="preserve">. </w:t>
      </w:r>
      <w:r w:rsidRPr="00226D66">
        <w:rPr>
          <w:rFonts w:ascii="Arial" w:hAnsi="Arial" w:cs="Arial"/>
        </w:rPr>
        <w:t>Desalination and Water Treatment,</w:t>
      </w:r>
      <w:r>
        <w:rPr>
          <w:rFonts w:ascii="Arial" w:hAnsi="Arial" w:cs="Arial"/>
        </w:rPr>
        <w:t xml:space="preserve"> 319, </w:t>
      </w:r>
      <w:r w:rsidRPr="00226D66">
        <w:rPr>
          <w:rFonts w:ascii="Arial" w:hAnsi="Arial" w:cs="Arial"/>
        </w:rPr>
        <w:t>100446</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34" w:history="1">
        <w:r w:rsidRPr="007025A4">
          <w:rPr>
            <w:rStyle w:val="Hyperlink"/>
            <w:rFonts w:ascii="Arial" w:hAnsi="Arial" w:cs="Arial"/>
          </w:rPr>
          <w:t>https://doi.org/10.1016/j.dwt.2024.100446</w:t>
        </w:r>
      </w:hyperlink>
    </w:p>
    <w:p w14:paraId="1C5AA12B" w14:textId="77777777" w:rsidR="00226D66" w:rsidRDefault="00273DF5" w:rsidP="00226D66">
      <w:pPr>
        <w:pStyle w:val="Body"/>
        <w:rPr>
          <w:rFonts w:ascii="Arial" w:hAnsi="Arial" w:cs="Arial"/>
        </w:rPr>
      </w:pPr>
      <w:r w:rsidRPr="00273DF5">
        <w:rPr>
          <w:rFonts w:ascii="Arial" w:hAnsi="Arial" w:cs="Arial"/>
        </w:rPr>
        <w:t xml:space="preserve">Ayach, J., El Malti, W., Duma, L., </w:t>
      </w:r>
      <w:proofErr w:type="spellStart"/>
      <w:r w:rsidRPr="00273DF5">
        <w:rPr>
          <w:rFonts w:ascii="Arial" w:hAnsi="Arial" w:cs="Arial"/>
        </w:rPr>
        <w:t>Lalevée</w:t>
      </w:r>
      <w:proofErr w:type="spellEnd"/>
      <w:r w:rsidRPr="00273DF5">
        <w:rPr>
          <w:rFonts w:ascii="Arial" w:hAnsi="Arial" w:cs="Arial"/>
        </w:rPr>
        <w:t xml:space="preserve">, J., Al Ajami, M., Hamad, H., &amp; Hijazi, A. (2024). Comparing Conventional and Advanced Approaches for Heavy Metal Removal in Wastewater Treatment: An In-Depth Review Emphasizing Filter-Based Strategies. Polymers, 16(14), 1959. </w:t>
      </w:r>
      <w:proofErr w:type="spellStart"/>
      <w:r>
        <w:rPr>
          <w:rFonts w:ascii="Arial" w:hAnsi="Arial" w:cs="Arial"/>
        </w:rPr>
        <w:t>doi</w:t>
      </w:r>
      <w:proofErr w:type="spellEnd"/>
      <w:r>
        <w:rPr>
          <w:rFonts w:ascii="Arial" w:hAnsi="Arial" w:cs="Arial"/>
        </w:rPr>
        <w:t xml:space="preserve">: </w:t>
      </w:r>
      <w:hyperlink r:id="rId35" w:history="1">
        <w:r w:rsidRPr="007025A4">
          <w:rPr>
            <w:rStyle w:val="Hyperlink"/>
            <w:rFonts w:ascii="Arial" w:hAnsi="Arial" w:cs="Arial"/>
          </w:rPr>
          <w:t>https://doi.org/10.3390/polym16141959</w:t>
        </w:r>
      </w:hyperlink>
    </w:p>
    <w:p w14:paraId="5BE5A252" w14:textId="77777777" w:rsidR="00226D66" w:rsidRDefault="000218B6" w:rsidP="00226D66">
      <w:pPr>
        <w:pStyle w:val="Body"/>
        <w:rPr>
          <w:rFonts w:ascii="Arial" w:hAnsi="Arial" w:cs="Arial"/>
        </w:rPr>
      </w:pPr>
      <w:r w:rsidRPr="000218B6">
        <w:rPr>
          <w:rFonts w:ascii="Arial" w:hAnsi="Arial" w:cs="Arial"/>
        </w:rPr>
        <w:t>Joshi,</w:t>
      </w:r>
      <w:r>
        <w:rPr>
          <w:rFonts w:ascii="Arial" w:hAnsi="Arial" w:cs="Arial"/>
        </w:rPr>
        <w:t xml:space="preserve"> A.A.,</w:t>
      </w:r>
      <w:r w:rsidRPr="000218B6">
        <w:rPr>
          <w:rFonts w:ascii="Arial" w:hAnsi="Arial" w:cs="Arial"/>
        </w:rPr>
        <w:t xml:space="preserve"> </w:t>
      </w:r>
      <w:proofErr w:type="spellStart"/>
      <w:r w:rsidRPr="000218B6">
        <w:rPr>
          <w:rFonts w:ascii="Arial" w:hAnsi="Arial" w:cs="Arial"/>
        </w:rPr>
        <w:t>Chaudharib</w:t>
      </w:r>
      <w:proofErr w:type="spellEnd"/>
      <w:r>
        <w:rPr>
          <w:rFonts w:ascii="Arial" w:hAnsi="Arial" w:cs="Arial"/>
        </w:rPr>
        <w:t xml:space="preserve"> K.,</w:t>
      </w:r>
      <w:r w:rsidRPr="000218B6">
        <w:rPr>
          <w:rFonts w:ascii="Arial" w:hAnsi="Arial" w:cs="Arial"/>
        </w:rPr>
        <w:t xml:space="preserve"> </w:t>
      </w:r>
      <w:proofErr w:type="spellStart"/>
      <w:r w:rsidRPr="000218B6">
        <w:rPr>
          <w:rFonts w:ascii="Arial" w:hAnsi="Arial" w:cs="Arial"/>
        </w:rPr>
        <w:t>Ragupath</w:t>
      </w:r>
      <w:proofErr w:type="spellEnd"/>
      <w:r>
        <w:rPr>
          <w:rFonts w:ascii="Arial" w:hAnsi="Arial" w:cs="Arial"/>
        </w:rPr>
        <w:t xml:space="preserve">, G. (2026). </w:t>
      </w:r>
      <w:r w:rsidRPr="000218B6">
        <w:rPr>
          <w:rFonts w:ascii="Arial" w:hAnsi="Arial" w:cs="Arial"/>
        </w:rPr>
        <w:t>Recent trends in heavy metal removal technologies from water: mechanisms and advancements</w:t>
      </w:r>
      <w:r>
        <w:rPr>
          <w:rFonts w:ascii="Arial" w:hAnsi="Arial" w:cs="Arial"/>
        </w:rPr>
        <w:t xml:space="preserve">. </w:t>
      </w:r>
      <w:r w:rsidRPr="000218B6">
        <w:rPr>
          <w:rFonts w:ascii="Arial" w:hAnsi="Arial" w:cs="Arial"/>
        </w:rPr>
        <w:t>Environ. Sci.: Water Res. Technol</w:t>
      </w:r>
      <w:r>
        <w:rPr>
          <w:rFonts w:ascii="Arial" w:hAnsi="Arial" w:cs="Arial"/>
        </w:rPr>
        <w:t xml:space="preserve">, </w:t>
      </w:r>
      <w:r w:rsidRPr="000218B6">
        <w:rPr>
          <w:rFonts w:ascii="Arial" w:hAnsi="Arial" w:cs="Arial"/>
        </w:rPr>
        <w:t>12, 421-456</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36" w:history="1">
        <w:r w:rsidRPr="007025A4">
          <w:rPr>
            <w:rStyle w:val="Hyperlink"/>
            <w:rFonts w:ascii="Arial" w:hAnsi="Arial" w:cs="Arial"/>
          </w:rPr>
          <w:t>https://doi.org/10.1039/D4EW01024H</w:t>
        </w:r>
      </w:hyperlink>
    </w:p>
    <w:p w14:paraId="13910A5E" w14:textId="77777777" w:rsidR="009F76F2" w:rsidRDefault="00441CA4" w:rsidP="00226D66">
      <w:pPr>
        <w:pStyle w:val="Body"/>
        <w:rPr>
          <w:rFonts w:ascii="Arial" w:hAnsi="Arial" w:cs="Arial"/>
        </w:rPr>
      </w:pPr>
      <w:proofErr w:type="spellStart"/>
      <w:r w:rsidRPr="00441CA4">
        <w:rPr>
          <w:rFonts w:ascii="Arial" w:hAnsi="Arial" w:cs="Arial"/>
        </w:rPr>
        <w:t>Akinterinwa</w:t>
      </w:r>
      <w:proofErr w:type="spellEnd"/>
      <w:r>
        <w:rPr>
          <w:rFonts w:ascii="Arial" w:hAnsi="Arial" w:cs="Arial"/>
        </w:rPr>
        <w:t>, A.</w:t>
      </w:r>
      <w:r w:rsidRPr="00441CA4">
        <w:rPr>
          <w:rFonts w:ascii="Arial" w:hAnsi="Arial" w:cs="Arial"/>
        </w:rPr>
        <w:t xml:space="preserve"> </w:t>
      </w:r>
      <w:r>
        <w:rPr>
          <w:rFonts w:ascii="Arial" w:hAnsi="Arial" w:cs="Arial"/>
        </w:rPr>
        <w:t xml:space="preserve">&amp; </w:t>
      </w:r>
      <w:r w:rsidRPr="00441CA4">
        <w:rPr>
          <w:rFonts w:ascii="Arial" w:hAnsi="Arial" w:cs="Arial"/>
        </w:rPr>
        <w:t>Adebayo</w:t>
      </w:r>
      <w:r>
        <w:rPr>
          <w:rFonts w:ascii="Arial" w:hAnsi="Arial" w:cs="Arial"/>
        </w:rPr>
        <w:t xml:space="preserve">, I. (2018). </w:t>
      </w:r>
      <w:r w:rsidRPr="00441CA4">
        <w:rPr>
          <w:rFonts w:ascii="Arial" w:hAnsi="Arial" w:cs="Arial"/>
        </w:rPr>
        <w:t xml:space="preserve">Chemical Precipitation Approach to The Removal of Heavy Metals from Wastewater for Discharge </w:t>
      </w:r>
      <w:proofErr w:type="gramStart"/>
      <w:r w:rsidRPr="00441CA4">
        <w:rPr>
          <w:rFonts w:ascii="Arial" w:hAnsi="Arial" w:cs="Arial"/>
        </w:rPr>
        <w:t>Into</w:t>
      </w:r>
      <w:proofErr w:type="gramEnd"/>
      <w:r w:rsidRPr="00441CA4">
        <w:rPr>
          <w:rFonts w:ascii="Arial" w:hAnsi="Arial" w:cs="Arial"/>
        </w:rPr>
        <w:t xml:space="preserve"> Sanitary Sewerag</w:t>
      </w:r>
      <w:r>
        <w:rPr>
          <w:rFonts w:ascii="Arial" w:hAnsi="Arial" w:cs="Arial"/>
        </w:rPr>
        <w:t xml:space="preserve">e. </w:t>
      </w:r>
      <w:r w:rsidRPr="00441CA4">
        <w:rPr>
          <w:rFonts w:ascii="Arial" w:hAnsi="Arial" w:cs="Arial"/>
        </w:rPr>
        <w:t>Int Journal of Chemistry</w:t>
      </w:r>
      <w:r w:rsidR="00775E4C">
        <w:rPr>
          <w:rFonts w:ascii="Arial" w:hAnsi="Arial" w:cs="Arial"/>
        </w:rPr>
        <w:t>, 1</w:t>
      </w:r>
      <w:r w:rsidRPr="00441CA4">
        <w:rPr>
          <w:rFonts w:ascii="Arial" w:hAnsi="Arial" w:cs="Arial"/>
        </w:rPr>
        <w:t xml:space="preserve"> 1(2581-7760</w:t>
      </w:r>
      <w:r w:rsidR="00775E4C">
        <w:rPr>
          <w:rFonts w:ascii="Arial" w:hAnsi="Arial" w:cs="Arial"/>
        </w:rPr>
        <w:t>).</w:t>
      </w:r>
    </w:p>
    <w:p w14:paraId="3E47852D" w14:textId="77777777" w:rsidR="009F76F2" w:rsidRDefault="009F76F2" w:rsidP="00226D66">
      <w:pPr>
        <w:pStyle w:val="Body"/>
        <w:rPr>
          <w:rFonts w:ascii="Arial" w:hAnsi="Arial" w:cs="Arial"/>
        </w:rPr>
      </w:pPr>
      <w:r w:rsidRPr="009F76F2">
        <w:rPr>
          <w:rFonts w:ascii="Arial" w:hAnsi="Arial" w:cs="Arial"/>
        </w:rPr>
        <w:t>Junuzović,</w:t>
      </w:r>
      <w:r>
        <w:rPr>
          <w:rFonts w:ascii="Arial" w:hAnsi="Arial" w:cs="Arial"/>
        </w:rPr>
        <w:t xml:space="preserve"> H., </w:t>
      </w:r>
      <w:r w:rsidRPr="009F76F2">
        <w:rPr>
          <w:rFonts w:ascii="Arial" w:hAnsi="Arial" w:cs="Arial"/>
        </w:rPr>
        <w:t xml:space="preserve">Begić, </w:t>
      </w:r>
      <w:r>
        <w:rPr>
          <w:rFonts w:ascii="Arial" w:hAnsi="Arial" w:cs="Arial"/>
        </w:rPr>
        <w:t xml:space="preserve">S., </w:t>
      </w:r>
      <w:r w:rsidRPr="009F76F2">
        <w:rPr>
          <w:rFonts w:ascii="Arial" w:hAnsi="Arial" w:cs="Arial"/>
        </w:rPr>
        <w:t>Selimović,</w:t>
      </w:r>
      <w:r>
        <w:rPr>
          <w:rFonts w:ascii="Arial" w:hAnsi="Arial" w:cs="Arial"/>
        </w:rPr>
        <w:t xml:space="preserve"> A.,</w:t>
      </w:r>
      <w:r w:rsidRPr="009F76F2">
        <w:rPr>
          <w:rFonts w:ascii="Arial" w:hAnsi="Arial" w:cs="Arial"/>
        </w:rPr>
        <w:t xml:space="preserve"> Ahmetović,</w:t>
      </w:r>
      <w:r>
        <w:rPr>
          <w:rFonts w:ascii="Arial" w:hAnsi="Arial" w:cs="Arial"/>
        </w:rPr>
        <w:t xml:space="preserve"> M.,</w:t>
      </w:r>
      <w:r w:rsidRPr="009F76F2">
        <w:rPr>
          <w:rFonts w:ascii="Arial" w:hAnsi="Arial" w:cs="Arial"/>
        </w:rPr>
        <w:t xml:space="preserve"> Karić,</w:t>
      </w:r>
      <w:r>
        <w:rPr>
          <w:rFonts w:ascii="Arial" w:hAnsi="Arial" w:cs="Arial"/>
        </w:rPr>
        <w:t xml:space="preserve"> E.,</w:t>
      </w:r>
      <w:r w:rsidRPr="009F76F2">
        <w:rPr>
          <w:rFonts w:ascii="Arial" w:hAnsi="Arial" w:cs="Arial"/>
        </w:rPr>
        <w:t xml:space="preserve"> Mehmedović,</w:t>
      </w:r>
      <w:r>
        <w:rPr>
          <w:rFonts w:ascii="Arial" w:hAnsi="Arial" w:cs="Arial"/>
        </w:rPr>
        <w:t xml:space="preserve"> E.,</w:t>
      </w:r>
      <w:r w:rsidRPr="009F76F2">
        <w:rPr>
          <w:rFonts w:ascii="Arial" w:hAnsi="Arial" w:cs="Arial"/>
        </w:rPr>
        <w:t xml:space="preserve"> Kovačević</w:t>
      </w:r>
      <w:r>
        <w:rPr>
          <w:rFonts w:ascii="Arial" w:hAnsi="Arial" w:cs="Arial"/>
        </w:rPr>
        <w:t>, L.</w:t>
      </w:r>
      <w:r w:rsidRPr="009F76F2">
        <w:rPr>
          <w:rFonts w:ascii="Arial" w:hAnsi="Arial" w:cs="Arial"/>
        </w:rPr>
        <w:t xml:space="preserve"> (2025). Influence of Selected Conditions on the Efficiency of Carbonate Precipitation of </w:t>
      </w:r>
      <w:proofErr w:type="gramStart"/>
      <w:r w:rsidRPr="009F76F2">
        <w:rPr>
          <w:rFonts w:ascii="Arial" w:hAnsi="Arial" w:cs="Arial"/>
        </w:rPr>
        <w:t>Cu(</w:t>
      </w:r>
      <w:proofErr w:type="gramEnd"/>
      <w:r w:rsidRPr="009F76F2">
        <w:rPr>
          <w:rFonts w:ascii="Arial" w:hAnsi="Arial" w:cs="Arial"/>
        </w:rPr>
        <w:t>II), Ni(II), Pb(II) and Zn(II) Ions. International Research Journal of Pure and Applied Chemistry</w:t>
      </w:r>
      <w:r w:rsidR="00340144">
        <w:rPr>
          <w:rFonts w:ascii="Arial" w:hAnsi="Arial" w:cs="Arial"/>
        </w:rPr>
        <w:t>,</w:t>
      </w:r>
      <w:r w:rsidRPr="009F76F2">
        <w:rPr>
          <w:rFonts w:ascii="Arial" w:hAnsi="Arial" w:cs="Arial"/>
        </w:rPr>
        <w:t xml:space="preserve"> 26 (1)</w:t>
      </w:r>
      <w:r w:rsidR="00340144">
        <w:rPr>
          <w:rFonts w:ascii="Arial" w:hAnsi="Arial" w:cs="Arial"/>
        </w:rPr>
        <w:t>,</w:t>
      </w:r>
      <w:r w:rsidRPr="009F76F2">
        <w:rPr>
          <w:rFonts w:ascii="Arial" w:hAnsi="Arial" w:cs="Arial"/>
        </w:rPr>
        <w:t xml:space="preserve"> 66-77.</w:t>
      </w:r>
      <w:r w:rsidR="00340144">
        <w:rPr>
          <w:rFonts w:ascii="Arial" w:hAnsi="Arial" w:cs="Arial"/>
        </w:rPr>
        <w:t xml:space="preserve"> </w:t>
      </w:r>
      <w:proofErr w:type="spellStart"/>
      <w:r w:rsidR="00340144">
        <w:rPr>
          <w:rFonts w:ascii="Arial" w:hAnsi="Arial" w:cs="Arial"/>
        </w:rPr>
        <w:t>doi</w:t>
      </w:r>
      <w:proofErr w:type="spellEnd"/>
      <w:r w:rsidR="00340144">
        <w:rPr>
          <w:rFonts w:ascii="Arial" w:hAnsi="Arial" w:cs="Arial"/>
        </w:rPr>
        <w:t>:</w:t>
      </w:r>
      <w:r w:rsidR="00B92832" w:rsidRPr="00B92832">
        <w:t xml:space="preserve"> </w:t>
      </w:r>
      <w:hyperlink r:id="rId37" w:history="1">
        <w:r w:rsidR="00B92832" w:rsidRPr="007025A4">
          <w:rPr>
            <w:rStyle w:val="Hyperlink"/>
            <w:rFonts w:ascii="Arial" w:hAnsi="Arial" w:cs="Arial"/>
          </w:rPr>
          <w:t>https://doi.org/10.9734/irjpac/2025/v26i1898</w:t>
        </w:r>
      </w:hyperlink>
    </w:p>
    <w:p w14:paraId="58CCDEB2" w14:textId="77777777" w:rsidR="00775E4C" w:rsidRDefault="00775E4C" w:rsidP="00226D66">
      <w:pPr>
        <w:pStyle w:val="Body"/>
        <w:rPr>
          <w:rFonts w:ascii="Arial" w:hAnsi="Arial" w:cs="Arial"/>
        </w:rPr>
      </w:pPr>
      <w:r w:rsidRPr="00775E4C">
        <w:rPr>
          <w:rFonts w:ascii="Arial" w:hAnsi="Arial" w:cs="Arial"/>
        </w:rPr>
        <w:t xml:space="preserve">Kowalik-Klimczak, A. (2025). Removal of Heavy Metals from Galvanic Industry Wastewater: A Review of Different Possible Methods. Sustainability, 17(19), 8562. </w:t>
      </w:r>
      <w:proofErr w:type="spellStart"/>
      <w:r>
        <w:rPr>
          <w:rFonts w:ascii="Arial" w:hAnsi="Arial" w:cs="Arial"/>
        </w:rPr>
        <w:t>doi:</w:t>
      </w:r>
      <w:hyperlink r:id="rId38" w:history="1">
        <w:r w:rsidRPr="007025A4">
          <w:rPr>
            <w:rStyle w:val="Hyperlink"/>
            <w:rFonts w:ascii="Arial" w:hAnsi="Arial" w:cs="Arial"/>
          </w:rPr>
          <w:t>https</w:t>
        </w:r>
        <w:proofErr w:type="spellEnd"/>
        <w:r w:rsidRPr="007025A4">
          <w:rPr>
            <w:rStyle w:val="Hyperlink"/>
            <w:rFonts w:ascii="Arial" w:hAnsi="Arial" w:cs="Arial"/>
          </w:rPr>
          <w:t>://doi.org/10.3390/su17198562</w:t>
        </w:r>
      </w:hyperlink>
      <w:r>
        <w:rPr>
          <w:rFonts w:ascii="Arial" w:hAnsi="Arial" w:cs="Arial"/>
        </w:rPr>
        <w:t xml:space="preserve"> </w:t>
      </w:r>
    </w:p>
    <w:p w14:paraId="46883A37" w14:textId="77777777" w:rsidR="00775E4C" w:rsidRDefault="00775E4C" w:rsidP="00775E4C">
      <w:pPr>
        <w:pStyle w:val="Body"/>
        <w:rPr>
          <w:rFonts w:ascii="Arial" w:hAnsi="Arial" w:cs="Arial"/>
        </w:rPr>
      </w:pPr>
      <w:r w:rsidRPr="00775E4C">
        <w:rPr>
          <w:rFonts w:ascii="Arial" w:hAnsi="Arial" w:cs="Arial"/>
        </w:rPr>
        <w:t>Han</w:t>
      </w:r>
      <w:r>
        <w:rPr>
          <w:rFonts w:ascii="Arial" w:hAnsi="Arial" w:cs="Arial"/>
        </w:rPr>
        <w:t xml:space="preserve"> R.</w:t>
      </w:r>
      <w:r w:rsidRPr="00775E4C">
        <w:rPr>
          <w:rFonts w:ascii="Arial" w:hAnsi="Arial" w:cs="Arial"/>
        </w:rPr>
        <w:t>, Gao,</w:t>
      </w:r>
      <w:r>
        <w:rPr>
          <w:rFonts w:ascii="Arial" w:hAnsi="Arial" w:cs="Arial"/>
        </w:rPr>
        <w:t xml:space="preserve"> Y.,</w:t>
      </w:r>
      <w:r w:rsidRPr="00775E4C">
        <w:rPr>
          <w:rFonts w:ascii="Arial" w:hAnsi="Arial" w:cs="Arial"/>
        </w:rPr>
        <w:t xml:space="preserve"> Jia,</w:t>
      </w:r>
      <w:r>
        <w:rPr>
          <w:rFonts w:ascii="Arial" w:hAnsi="Arial" w:cs="Arial"/>
        </w:rPr>
        <w:t xml:space="preserve"> Y.,</w:t>
      </w:r>
      <w:r w:rsidRPr="00775E4C">
        <w:rPr>
          <w:rFonts w:ascii="Arial" w:hAnsi="Arial" w:cs="Arial"/>
        </w:rPr>
        <w:t xml:space="preserve"> Wang,</w:t>
      </w:r>
      <w:r>
        <w:rPr>
          <w:rFonts w:ascii="Arial" w:hAnsi="Arial" w:cs="Arial"/>
        </w:rPr>
        <w:t xml:space="preserve"> S. (2024). </w:t>
      </w:r>
      <w:r w:rsidRPr="00775E4C">
        <w:rPr>
          <w:rFonts w:ascii="Arial" w:hAnsi="Arial" w:cs="Arial"/>
        </w:rPr>
        <w:t>Heterogeneous precipitation behavior and mechanism during the adsorption of cationic heavy metals by biochar: Roles of inorganic components</w:t>
      </w:r>
      <w:r>
        <w:rPr>
          <w:rFonts w:ascii="Arial" w:hAnsi="Arial" w:cs="Arial"/>
        </w:rPr>
        <w:t xml:space="preserve">. </w:t>
      </w:r>
      <w:r w:rsidRPr="00775E4C">
        <w:rPr>
          <w:rFonts w:ascii="Arial" w:hAnsi="Arial" w:cs="Arial"/>
        </w:rPr>
        <w:t>Journal of Hazardous Materials,</w:t>
      </w:r>
      <w:r>
        <w:rPr>
          <w:rFonts w:ascii="Arial" w:hAnsi="Arial" w:cs="Arial"/>
        </w:rPr>
        <w:t>480 (</w:t>
      </w:r>
      <w:r w:rsidRPr="00775E4C">
        <w:rPr>
          <w:rFonts w:ascii="Arial" w:hAnsi="Arial" w:cs="Arial"/>
        </w:rPr>
        <w:t>136322</w:t>
      </w:r>
      <w:r>
        <w:rPr>
          <w:rFonts w:ascii="Arial" w:hAnsi="Arial" w:cs="Arial"/>
        </w:rPr>
        <w:t>)</w:t>
      </w:r>
      <w:r w:rsidRPr="00775E4C">
        <w:rPr>
          <w:rFonts w:ascii="Arial" w:hAnsi="Arial" w:cs="Arial"/>
        </w:rPr>
        <w:t>,</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39" w:history="1">
        <w:r w:rsidRPr="007025A4">
          <w:rPr>
            <w:rStyle w:val="Hyperlink"/>
            <w:rFonts w:ascii="Arial" w:hAnsi="Arial" w:cs="Arial"/>
          </w:rPr>
          <w:t>https://doi.org/10.1016/j.jhazmat.2024.136322</w:t>
        </w:r>
      </w:hyperlink>
    </w:p>
    <w:p w14:paraId="732E2ADE" w14:textId="77777777" w:rsidR="00775E4C" w:rsidRDefault="001B1D0E" w:rsidP="001B1D0E">
      <w:pPr>
        <w:pStyle w:val="Body"/>
        <w:rPr>
          <w:rFonts w:ascii="Arial" w:hAnsi="Arial" w:cs="Arial"/>
        </w:rPr>
      </w:pPr>
      <w:r w:rsidRPr="001B1D0E">
        <w:rPr>
          <w:rFonts w:ascii="Arial" w:hAnsi="Arial" w:cs="Arial"/>
        </w:rPr>
        <w:t>Pohl</w:t>
      </w:r>
      <w:r>
        <w:rPr>
          <w:rFonts w:ascii="Arial" w:hAnsi="Arial" w:cs="Arial"/>
        </w:rPr>
        <w:t xml:space="preserve">, A. (2020). </w:t>
      </w:r>
      <w:r w:rsidRPr="001B1D0E">
        <w:rPr>
          <w:rFonts w:ascii="Arial" w:hAnsi="Arial" w:cs="Arial"/>
        </w:rPr>
        <w:t>Removal of Heavy Metal Ions from Water</w:t>
      </w:r>
      <w:r>
        <w:rPr>
          <w:rFonts w:ascii="Arial" w:hAnsi="Arial" w:cs="Arial"/>
        </w:rPr>
        <w:t xml:space="preserve"> </w:t>
      </w:r>
      <w:r w:rsidRPr="001B1D0E">
        <w:rPr>
          <w:rFonts w:ascii="Arial" w:hAnsi="Arial" w:cs="Arial"/>
        </w:rPr>
        <w:t>and Wastewaters by Sulfur-Containing Precipitation</w:t>
      </w:r>
      <w:r>
        <w:rPr>
          <w:rFonts w:ascii="Arial" w:hAnsi="Arial" w:cs="Arial"/>
        </w:rPr>
        <w:t xml:space="preserve"> </w:t>
      </w:r>
      <w:r w:rsidRPr="001B1D0E">
        <w:rPr>
          <w:rFonts w:ascii="Arial" w:hAnsi="Arial" w:cs="Arial"/>
        </w:rPr>
        <w:t>Agents</w:t>
      </w:r>
      <w:r>
        <w:rPr>
          <w:rFonts w:ascii="Arial" w:hAnsi="Arial" w:cs="Arial"/>
        </w:rPr>
        <w:t xml:space="preserve">. </w:t>
      </w:r>
      <w:r w:rsidRPr="001B1D0E">
        <w:rPr>
          <w:rFonts w:ascii="Arial" w:hAnsi="Arial" w:cs="Arial"/>
        </w:rPr>
        <w:t xml:space="preserve">Water Air Soil </w:t>
      </w:r>
      <w:proofErr w:type="spellStart"/>
      <w:r w:rsidRPr="001B1D0E">
        <w:rPr>
          <w:rFonts w:ascii="Arial" w:hAnsi="Arial" w:cs="Arial"/>
        </w:rPr>
        <w:t>Pollut</w:t>
      </w:r>
      <w:proofErr w:type="spellEnd"/>
      <w:r>
        <w:rPr>
          <w:rFonts w:ascii="Arial" w:hAnsi="Arial" w:cs="Arial"/>
        </w:rPr>
        <w:t xml:space="preserve">, </w:t>
      </w:r>
      <w:r w:rsidRPr="001B1D0E">
        <w:rPr>
          <w:rFonts w:ascii="Arial" w:hAnsi="Arial" w:cs="Arial"/>
        </w:rPr>
        <w:t>231</w:t>
      </w:r>
      <w:r>
        <w:rPr>
          <w:rFonts w:ascii="Arial" w:hAnsi="Arial" w:cs="Arial"/>
        </w:rPr>
        <w:t>(</w:t>
      </w:r>
      <w:r w:rsidRPr="001B1D0E">
        <w:rPr>
          <w:rFonts w:ascii="Arial" w:hAnsi="Arial" w:cs="Arial"/>
        </w:rPr>
        <w:t>503</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40" w:history="1">
        <w:r w:rsidRPr="007025A4">
          <w:rPr>
            <w:rStyle w:val="Hyperlink"/>
            <w:rFonts w:ascii="Arial" w:hAnsi="Arial" w:cs="Arial"/>
          </w:rPr>
          <w:t>https://doi.org/10.1007/s11270-020-04863-w</w:t>
        </w:r>
      </w:hyperlink>
    </w:p>
    <w:p w14:paraId="4D2F6D26" w14:textId="77777777" w:rsidR="001B1D0E" w:rsidRDefault="009B5F25" w:rsidP="009B5F25">
      <w:pPr>
        <w:pStyle w:val="Body"/>
        <w:rPr>
          <w:rFonts w:ascii="Arial" w:hAnsi="Arial" w:cs="Arial"/>
        </w:rPr>
      </w:pPr>
      <w:r w:rsidRPr="009B5F25">
        <w:rPr>
          <w:rFonts w:ascii="Arial" w:hAnsi="Arial" w:cs="Arial"/>
        </w:rPr>
        <w:lastRenderedPageBreak/>
        <w:t>Anagnostopoulos</w:t>
      </w:r>
      <w:r>
        <w:rPr>
          <w:rFonts w:ascii="Arial" w:hAnsi="Arial" w:cs="Arial"/>
        </w:rPr>
        <w:t xml:space="preserve">, F.I. (2024). </w:t>
      </w:r>
      <w:r w:rsidRPr="009B5F25">
        <w:rPr>
          <w:rFonts w:ascii="Arial" w:hAnsi="Arial" w:cs="Arial"/>
        </w:rPr>
        <w:t>Upscaling and testing of a procedure for</w:t>
      </w:r>
      <w:r>
        <w:rPr>
          <w:rFonts w:ascii="Arial" w:hAnsi="Arial" w:cs="Arial"/>
        </w:rPr>
        <w:t xml:space="preserve"> </w:t>
      </w:r>
      <w:r w:rsidRPr="009B5F25">
        <w:rPr>
          <w:rFonts w:ascii="Arial" w:hAnsi="Arial" w:cs="Arial"/>
        </w:rPr>
        <w:t>precipitation of metal oxides and metals from</w:t>
      </w:r>
      <w:r>
        <w:rPr>
          <w:rFonts w:ascii="Arial" w:hAnsi="Arial" w:cs="Arial"/>
        </w:rPr>
        <w:t xml:space="preserve"> </w:t>
      </w:r>
      <w:r w:rsidRPr="009B5F25">
        <w:rPr>
          <w:rFonts w:ascii="Arial" w:hAnsi="Arial" w:cs="Arial"/>
        </w:rPr>
        <w:t>wastewater</w:t>
      </w:r>
      <w:r>
        <w:rPr>
          <w:rFonts w:ascii="Arial" w:hAnsi="Arial" w:cs="Arial"/>
        </w:rPr>
        <w:t xml:space="preserve">. Doctoral thesis. </w:t>
      </w:r>
      <w:r w:rsidRPr="009B5F25">
        <w:rPr>
          <w:rFonts w:ascii="Arial" w:hAnsi="Arial" w:cs="Arial"/>
        </w:rPr>
        <w:t>München</w:t>
      </w:r>
      <w:r>
        <w:rPr>
          <w:rFonts w:ascii="Arial" w:hAnsi="Arial" w:cs="Arial"/>
        </w:rPr>
        <w:t>. Germany.</w:t>
      </w:r>
    </w:p>
    <w:p w14:paraId="2F7B373A" w14:textId="77777777" w:rsidR="009B5F25" w:rsidRDefault="00C478F4" w:rsidP="009B5F25">
      <w:pPr>
        <w:pStyle w:val="Body"/>
        <w:rPr>
          <w:rFonts w:ascii="Arial" w:hAnsi="Arial" w:cs="Arial"/>
        </w:rPr>
      </w:pPr>
      <w:r w:rsidRPr="00C478F4">
        <w:rPr>
          <w:rFonts w:ascii="Arial" w:hAnsi="Arial" w:cs="Arial"/>
        </w:rPr>
        <w:t>Pohl, A.</w:t>
      </w:r>
      <w:r>
        <w:rPr>
          <w:rFonts w:ascii="Arial" w:hAnsi="Arial" w:cs="Arial"/>
        </w:rPr>
        <w:t xml:space="preserve"> (2020).</w:t>
      </w:r>
      <w:r w:rsidRPr="00C478F4">
        <w:rPr>
          <w:rFonts w:ascii="Arial" w:hAnsi="Arial" w:cs="Arial"/>
        </w:rPr>
        <w:t xml:space="preserve"> Removal of Heavy Metal Ions from Water and Wastewaters by Sulfur-Containing Precipitation Agents. Water Air Soil </w:t>
      </w:r>
      <w:proofErr w:type="spellStart"/>
      <w:r w:rsidRPr="00C478F4">
        <w:rPr>
          <w:rFonts w:ascii="Arial" w:hAnsi="Arial" w:cs="Arial"/>
        </w:rPr>
        <w:t>Pollut</w:t>
      </w:r>
      <w:proofErr w:type="spellEnd"/>
      <w:r w:rsidRPr="00C478F4">
        <w:rPr>
          <w:rFonts w:ascii="Arial" w:hAnsi="Arial" w:cs="Arial"/>
        </w:rPr>
        <w:t xml:space="preserve"> 231,</w:t>
      </w:r>
      <w:r>
        <w:rPr>
          <w:rFonts w:ascii="Arial" w:hAnsi="Arial" w:cs="Arial"/>
        </w:rPr>
        <w:t xml:space="preserve"> (</w:t>
      </w:r>
      <w:r w:rsidRPr="00C478F4">
        <w:rPr>
          <w:rFonts w:ascii="Arial" w:hAnsi="Arial" w:cs="Arial"/>
        </w:rPr>
        <w:t>503</w:t>
      </w:r>
      <w:r>
        <w:rPr>
          <w:rFonts w:ascii="Arial" w:hAnsi="Arial" w:cs="Arial"/>
        </w:rPr>
        <w:t>)</w:t>
      </w:r>
      <w:r w:rsidRPr="00C478F4">
        <w:rPr>
          <w:rFonts w:ascii="Arial" w:hAnsi="Arial" w:cs="Arial"/>
        </w:rPr>
        <w:t xml:space="preserve">. </w:t>
      </w:r>
      <w:hyperlink r:id="rId41" w:history="1">
        <w:r w:rsidRPr="007025A4">
          <w:rPr>
            <w:rStyle w:val="Hyperlink"/>
            <w:rFonts w:ascii="Arial" w:hAnsi="Arial" w:cs="Arial"/>
          </w:rPr>
          <w:t>https://doi.org/10.1007/s11270-020-04863-w</w:t>
        </w:r>
      </w:hyperlink>
    </w:p>
    <w:p w14:paraId="25027F8B" w14:textId="77777777" w:rsidR="00C478F4" w:rsidRDefault="000A11BD" w:rsidP="000A11BD">
      <w:pPr>
        <w:pStyle w:val="Body"/>
        <w:rPr>
          <w:rFonts w:ascii="Arial" w:hAnsi="Arial" w:cs="Arial"/>
        </w:rPr>
      </w:pPr>
      <w:r w:rsidRPr="000A11BD">
        <w:rPr>
          <w:rFonts w:ascii="Arial" w:hAnsi="Arial" w:cs="Arial"/>
        </w:rPr>
        <w:t>Kartal, L., Şen, A. and Timur, T. (2023). The</w:t>
      </w:r>
      <w:r>
        <w:rPr>
          <w:rFonts w:ascii="Arial" w:hAnsi="Arial" w:cs="Arial"/>
        </w:rPr>
        <w:t xml:space="preserve"> </w:t>
      </w:r>
      <w:r w:rsidRPr="000A11BD">
        <w:rPr>
          <w:rFonts w:ascii="Arial" w:hAnsi="Arial" w:cs="Arial"/>
        </w:rPr>
        <w:t>removal of heavy metals from refinery effluents</w:t>
      </w:r>
      <w:r>
        <w:rPr>
          <w:rFonts w:ascii="Arial" w:hAnsi="Arial" w:cs="Arial"/>
        </w:rPr>
        <w:t xml:space="preserve"> </w:t>
      </w:r>
      <w:r w:rsidRPr="000A11BD">
        <w:rPr>
          <w:rFonts w:ascii="Arial" w:hAnsi="Arial" w:cs="Arial"/>
        </w:rPr>
        <w:t xml:space="preserve">by sulfide precipitation. Acta </w:t>
      </w:r>
      <w:proofErr w:type="spellStart"/>
      <w:r w:rsidRPr="000A11BD">
        <w:rPr>
          <w:rFonts w:ascii="Arial" w:hAnsi="Arial" w:cs="Arial"/>
        </w:rPr>
        <w:t>Montanistica</w:t>
      </w:r>
      <w:proofErr w:type="spellEnd"/>
      <w:r>
        <w:rPr>
          <w:rFonts w:ascii="Arial" w:hAnsi="Arial" w:cs="Arial"/>
        </w:rPr>
        <w:t xml:space="preserve"> </w:t>
      </w:r>
      <w:proofErr w:type="spellStart"/>
      <w:r w:rsidRPr="000A11BD">
        <w:rPr>
          <w:rFonts w:ascii="Arial" w:hAnsi="Arial" w:cs="Arial"/>
        </w:rPr>
        <w:t>Slovaca</w:t>
      </w:r>
      <w:proofErr w:type="spellEnd"/>
      <w:r w:rsidRPr="000A11BD">
        <w:rPr>
          <w:rFonts w:ascii="Arial" w:hAnsi="Arial" w:cs="Arial"/>
        </w:rPr>
        <w:t>, 28 (1), 214-225</w:t>
      </w:r>
      <w:r>
        <w:rPr>
          <w:rFonts w:ascii="Arial" w:hAnsi="Arial" w:cs="Arial"/>
        </w:rPr>
        <w:t xml:space="preserve">. </w:t>
      </w:r>
      <w:proofErr w:type="spellStart"/>
      <w:r>
        <w:rPr>
          <w:rFonts w:ascii="Arial" w:hAnsi="Arial" w:cs="Arial"/>
        </w:rPr>
        <w:t>doi</w:t>
      </w:r>
      <w:proofErr w:type="spellEnd"/>
      <w:r>
        <w:rPr>
          <w:rFonts w:ascii="Arial" w:hAnsi="Arial" w:cs="Arial"/>
        </w:rPr>
        <w:t>:</w:t>
      </w:r>
      <w:r w:rsidR="004F194C">
        <w:rPr>
          <w:rFonts w:ascii="Arial" w:hAnsi="Arial" w:cs="Arial"/>
        </w:rPr>
        <w:t xml:space="preserve"> </w:t>
      </w:r>
      <w:hyperlink r:id="rId42" w:history="1">
        <w:r w:rsidR="004F194C" w:rsidRPr="007025A4">
          <w:rPr>
            <w:rStyle w:val="Hyperlink"/>
            <w:rFonts w:ascii="Arial" w:hAnsi="Arial" w:cs="Arial"/>
          </w:rPr>
          <w:t>https://doi.org/10.46544/AMS.v28i1.17</w:t>
        </w:r>
      </w:hyperlink>
    </w:p>
    <w:p w14:paraId="6BE3B84F" w14:textId="77777777" w:rsidR="000A11BD" w:rsidRDefault="004F194C" w:rsidP="004F194C">
      <w:pPr>
        <w:pStyle w:val="Body"/>
        <w:rPr>
          <w:rFonts w:ascii="Arial" w:hAnsi="Arial" w:cs="Arial"/>
        </w:rPr>
      </w:pPr>
      <w:r w:rsidRPr="004F194C">
        <w:rPr>
          <w:rFonts w:ascii="Arial" w:hAnsi="Arial" w:cs="Arial"/>
        </w:rPr>
        <w:t>Manoj Kumar</w:t>
      </w:r>
      <w:r>
        <w:rPr>
          <w:rFonts w:ascii="Arial" w:hAnsi="Arial" w:cs="Arial"/>
        </w:rPr>
        <w:t xml:space="preserve">, M., </w:t>
      </w:r>
      <w:r w:rsidRPr="004F194C">
        <w:rPr>
          <w:rFonts w:ascii="Arial" w:hAnsi="Arial" w:cs="Arial"/>
        </w:rPr>
        <w:t>Nandi</w:t>
      </w:r>
      <w:r>
        <w:rPr>
          <w:rFonts w:ascii="Arial" w:hAnsi="Arial" w:cs="Arial"/>
        </w:rPr>
        <w:t xml:space="preserve">, M., </w:t>
      </w:r>
      <w:proofErr w:type="spellStart"/>
      <w:r w:rsidRPr="004F194C">
        <w:rPr>
          <w:rFonts w:ascii="Arial" w:hAnsi="Arial" w:cs="Arial"/>
        </w:rPr>
        <w:t>Pakshirajan</w:t>
      </w:r>
      <w:proofErr w:type="spellEnd"/>
      <w:r>
        <w:rPr>
          <w:rFonts w:ascii="Arial" w:hAnsi="Arial" w:cs="Arial"/>
        </w:rPr>
        <w:t xml:space="preserve">, K. (2021). </w:t>
      </w:r>
      <w:r w:rsidRPr="004F194C">
        <w:rPr>
          <w:rFonts w:ascii="Arial" w:hAnsi="Arial" w:cs="Arial"/>
        </w:rPr>
        <w:t>Recent advances in heavy metal recovery from wastewater by biogenic sulfide precipitation</w:t>
      </w:r>
      <w:r>
        <w:rPr>
          <w:rFonts w:ascii="Arial" w:hAnsi="Arial" w:cs="Arial"/>
        </w:rPr>
        <w:t xml:space="preserve">. </w:t>
      </w:r>
      <w:r w:rsidRPr="004F194C">
        <w:rPr>
          <w:rFonts w:ascii="Arial" w:hAnsi="Arial" w:cs="Arial"/>
        </w:rPr>
        <w:t>Journal of Environmental Management</w:t>
      </w:r>
      <w:r>
        <w:rPr>
          <w:rFonts w:ascii="Arial" w:hAnsi="Arial" w:cs="Arial"/>
        </w:rPr>
        <w:t xml:space="preserve">, 276 (2), </w:t>
      </w:r>
      <w:r w:rsidRPr="004F194C">
        <w:rPr>
          <w:rFonts w:ascii="Arial" w:hAnsi="Arial" w:cs="Arial"/>
        </w:rPr>
        <w:t>111555</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43" w:history="1">
        <w:r w:rsidRPr="007025A4">
          <w:rPr>
            <w:rStyle w:val="Hyperlink"/>
            <w:rFonts w:ascii="Arial" w:hAnsi="Arial" w:cs="Arial"/>
          </w:rPr>
          <w:t>https://doi.org/10.1016/j.jenvman.2020.111555</w:t>
        </w:r>
      </w:hyperlink>
    </w:p>
    <w:p w14:paraId="1A228D1D" w14:textId="77777777" w:rsidR="004F194C" w:rsidRDefault="00900A1E" w:rsidP="004F194C">
      <w:pPr>
        <w:pStyle w:val="Body"/>
        <w:rPr>
          <w:rFonts w:ascii="Arial" w:hAnsi="Arial" w:cs="Arial"/>
        </w:rPr>
      </w:pPr>
      <w:r w:rsidRPr="00900A1E">
        <w:rPr>
          <w:rFonts w:ascii="Arial" w:hAnsi="Arial" w:cs="Arial"/>
        </w:rPr>
        <w:t>Qasem, N.A.A., Mohammed, R.H.</w:t>
      </w:r>
      <w:r>
        <w:rPr>
          <w:rFonts w:ascii="Arial" w:hAnsi="Arial" w:cs="Arial"/>
        </w:rPr>
        <w:t>,</w:t>
      </w:r>
      <w:r w:rsidRPr="00900A1E">
        <w:rPr>
          <w:rFonts w:ascii="Arial" w:hAnsi="Arial" w:cs="Arial"/>
        </w:rPr>
        <w:t xml:space="preserve"> Lawal, D.U.</w:t>
      </w:r>
      <w:r>
        <w:rPr>
          <w:rFonts w:ascii="Arial" w:hAnsi="Arial" w:cs="Arial"/>
        </w:rPr>
        <w:t xml:space="preserve"> (2021).</w:t>
      </w:r>
      <w:r w:rsidRPr="00900A1E">
        <w:rPr>
          <w:rFonts w:ascii="Arial" w:hAnsi="Arial" w:cs="Arial"/>
        </w:rPr>
        <w:t xml:space="preserve"> Removal of heavy metal ions from wastewater: a comprehensive and critical review. </w:t>
      </w:r>
      <w:proofErr w:type="spellStart"/>
      <w:r w:rsidRPr="00900A1E">
        <w:rPr>
          <w:rFonts w:ascii="Arial" w:hAnsi="Arial" w:cs="Arial"/>
        </w:rPr>
        <w:t>npj</w:t>
      </w:r>
      <w:proofErr w:type="spellEnd"/>
      <w:r w:rsidRPr="00900A1E">
        <w:rPr>
          <w:rFonts w:ascii="Arial" w:hAnsi="Arial" w:cs="Arial"/>
        </w:rPr>
        <w:t xml:space="preserve"> Clean Water 4, 36. </w:t>
      </w:r>
      <w:proofErr w:type="spellStart"/>
      <w:r>
        <w:rPr>
          <w:rFonts w:ascii="Arial" w:hAnsi="Arial" w:cs="Arial"/>
        </w:rPr>
        <w:t>doi</w:t>
      </w:r>
      <w:proofErr w:type="spellEnd"/>
      <w:r>
        <w:rPr>
          <w:rFonts w:ascii="Arial" w:hAnsi="Arial" w:cs="Arial"/>
        </w:rPr>
        <w:t xml:space="preserve">: </w:t>
      </w:r>
      <w:hyperlink r:id="rId44" w:history="1">
        <w:r w:rsidRPr="007025A4">
          <w:rPr>
            <w:rStyle w:val="Hyperlink"/>
            <w:rFonts w:ascii="Arial" w:hAnsi="Arial" w:cs="Arial"/>
          </w:rPr>
          <w:t>https://doi.org/10.1038/s41545-021-00127-0</w:t>
        </w:r>
      </w:hyperlink>
    </w:p>
    <w:p w14:paraId="3A8C3FEB" w14:textId="77777777" w:rsidR="00900A1E" w:rsidRDefault="007E3236" w:rsidP="007E3236">
      <w:pPr>
        <w:pStyle w:val="Body"/>
        <w:rPr>
          <w:rFonts w:ascii="Arial" w:hAnsi="Arial" w:cs="Arial"/>
        </w:rPr>
      </w:pPr>
      <w:proofErr w:type="spellStart"/>
      <w:r w:rsidRPr="007E3236">
        <w:rPr>
          <w:rFonts w:ascii="Arial" w:hAnsi="Arial" w:cs="Arial"/>
        </w:rPr>
        <w:t>Loughlaimi</w:t>
      </w:r>
      <w:proofErr w:type="spellEnd"/>
      <w:r>
        <w:rPr>
          <w:rFonts w:ascii="Arial" w:hAnsi="Arial" w:cs="Arial"/>
        </w:rPr>
        <w:t>,</w:t>
      </w:r>
      <w:r w:rsidRPr="007E3236">
        <w:rPr>
          <w:rFonts w:ascii="Arial" w:hAnsi="Arial" w:cs="Arial"/>
        </w:rPr>
        <w:t xml:space="preserve"> I</w:t>
      </w:r>
      <w:r>
        <w:rPr>
          <w:rFonts w:ascii="Arial" w:hAnsi="Arial" w:cs="Arial"/>
        </w:rPr>
        <w:t>.</w:t>
      </w:r>
      <w:r w:rsidRPr="007E3236">
        <w:rPr>
          <w:rFonts w:ascii="Arial" w:hAnsi="Arial" w:cs="Arial"/>
        </w:rPr>
        <w:t xml:space="preserve">, </w:t>
      </w:r>
      <w:proofErr w:type="spellStart"/>
      <w:r w:rsidRPr="007E3236">
        <w:rPr>
          <w:rFonts w:ascii="Arial" w:hAnsi="Arial" w:cs="Arial"/>
        </w:rPr>
        <w:t>Bakher</w:t>
      </w:r>
      <w:proofErr w:type="spellEnd"/>
      <w:r>
        <w:rPr>
          <w:rFonts w:ascii="Arial" w:hAnsi="Arial" w:cs="Arial"/>
        </w:rPr>
        <w:t>,</w:t>
      </w:r>
      <w:r w:rsidRPr="007E3236">
        <w:rPr>
          <w:rFonts w:ascii="Arial" w:hAnsi="Arial" w:cs="Arial"/>
        </w:rPr>
        <w:t xml:space="preserve"> Z</w:t>
      </w:r>
      <w:r>
        <w:rPr>
          <w:rFonts w:ascii="Arial" w:hAnsi="Arial" w:cs="Arial"/>
        </w:rPr>
        <w:t>.</w:t>
      </w:r>
      <w:r w:rsidRPr="007E3236">
        <w:rPr>
          <w:rFonts w:ascii="Arial" w:hAnsi="Arial" w:cs="Arial"/>
        </w:rPr>
        <w:t xml:space="preserve">, </w:t>
      </w:r>
      <w:proofErr w:type="spellStart"/>
      <w:r w:rsidRPr="007E3236">
        <w:rPr>
          <w:rFonts w:ascii="Arial" w:hAnsi="Arial" w:cs="Arial"/>
        </w:rPr>
        <w:t>Zouhri</w:t>
      </w:r>
      <w:proofErr w:type="spellEnd"/>
      <w:r>
        <w:rPr>
          <w:rFonts w:ascii="Arial" w:hAnsi="Arial" w:cs="Arial"/>
        </w:rPr>
        <w:t>,</w:t>
      </w:r>
      <w:r w:rsidRPr="007E3236">
        <w:rPr>
          <w:rFonts w:ascii="Arial" w:hAnsi="Arial" w:cs="Arial"/>
        </w:rPr>
        <w:t xml:space="preserve"> A. </w:t>
      </w:r>
      <w:r>
        <w:rPr>
          <w:rFonts w:ascii="Arial" w:hAnsi="Arial" w:cs="Arial"/>
        </w:rPr>
        <w:t xml:space="preserve">(2024). </w:t>
      </w:r>
      <w:r w:rsidRPr="007E3236">
        <w:rPr>
          <w:rFonts w:ascii="Arial" w:hAnsi="Arial" w:cs="Arial"/>
        </w:rPr>
        <w:t>Enhanced Heavy Metal Removal from Wastewater Produced by</w:t>
      </w:r>
      <w:r>
        <w:rPr>
          <w:rFonts w:ascii="Arial" w:hAnsi="Arial" w:cs="Arial"/>
        </w:rPr>
        <w:t xml:space="preserve"> </w:t>
      </w:r>
      <w:r w:rsidRPr="007E3236">
        <w:rPr>
          <w:rFonts w:ascii="Arial" w:hAnsi="Arial" w:cs="Arial"/>
        </w:rPr>
        <w:t>Chemical Analysis Laboratory Using Calcium Oxide Precipitation: pH Improvement and Characterization of</w:t>
      </w:r>
      <w:r>
        <w:rPr>
          <w:rFonts w:ascii="Arial" w:hAnsi="Arial" w:cs="Arial"/>
        </w:rPr>
        <w:t xml:space="preserve"> </w:t>
      </w:r>
      <w:r w:rsidRPr="007E3236">
        <w:rPr>
          <w:rFonts w:ascii="Arial" w:hAnsi="Arial" w:cs="Arial"/>
        </w:rPr>
        <w:t>Precipitated Phases. JOTCSA</w:t>
      </w:r>
      <w:r>
        <w:rPr>
          <w:rFonts w:ascii="Arial" w:hAnsi="Arial" w:cs="Arial"/>
        </w:rPr>
        <w:t xml:space="preserve">, </w:t>
      </w:r>
      <w:r w:rsidRPr="007E3236">
        <w:rPr>
          <w:rFonts w:ascii="Arial" w:hAnsi="Arial" w:cs="Arial"/>
        </w:rPr>
        <w:t>11(1)</w:t>
      </w:r>
      <w:r>
        <w:rPr>
          <w:rFonts w:ascii="Arial" w:hAnsi="Arial" w:cs="Arial"/>
        </w:rPr>
        <w:t xml:space="preserve">, </w:t>
      </w:r>
      <w:r w:rsidRPr="007E3236">
        <w:rPr>
          <w:rFonts w:ascii="Arial" w:hAnsi="Arial" w:cs="Arial"/>
        </w:rPr>
        <w:t>83-92.</w:t>
      </w:r>
      <w:r>
        <w:rPr>
          <w:rFonts w:ascii="Arial" w:hAnsi="Arial" w:cs="Arial"/>
        </w:rPr>
        <w:t xml:space="preserve"> </w:t>
      </w:r>
      <w:proofErr w:type="spellStart"/>
      <w:r>
        <w:rPr>
          <w:rFonts w:ascii="Arial" w:hAnsi="Arial" w:cs="Arial"/>
        </w:rPr>
        <w:t>doi</w:t>
      </w:r>
      <w:proofErr w:type="spellEnd"/>
      <w:r w:rsidRPr="007E3236">
        <w:rPr>
          <w:rFonts w:ascii="Arial" w:hAnsi="Arial" w:cs="Arial"/>
        </w:rPr>
        <w:t xml:space="preserve">: </w:t>
      </w:r>
      <w:hyperlink r:id="rId45" w:history="1">
        <w:r w:rsidRPr="007025A4">
          <w:rPr>
            <w:rStyle w:val="Hyperlink"/>
            <w:rFonts w:ascii="Arial" w:hAnsi="Arial" w:cs="Arial"/>
          </w:rPr>
          <w:t>https://doi.org/10.18596/jotcsa.1321183</w:t>
        </w:r>
      </w:hyperlink>
      <w:r>
        <w:rPr>
          <w:rFonts w:ascii="Arial" w:hAnsi="Arial" w:cs="Arial"/>
        </w:rPr>
        <w:t xml:space="preserve"> </w:t>
      </w:r>
    </w:p>
    <w:p w14:paraId="317CDE8F" w14:textId="77777777" w:rsidR="007E3236" w:rsidRDefault="001F0564" w:rsidP="007E3236">
      <w:pPr>
        <w:pStyle w:val="Body"/>
        <w:rPr>
          <w:rFonts w:ascii="Arial" w:hAnsi="Arial" w:cs="Arial"/>
        </w:rPr>
      </w:pPr>
      <w:r w:rsidRPr="001F0564">
        <w:rPr>
          <w:rFonts w:ascii="Arial" w:hAnsi="Arial" w:cs="Arial"/>
        </w:rPr>
        <w:t>Zhang</w:t>
      </w:r>
      <w:r>
        <w:rPr>
          <w:rFonts w:ascii="Arial" w:hAnsi="Arial" w:cs="Arial"/>
        </w:rPr>
        <w:t>,</w:t>
      </w:r>
      <w:r w:rsidRPr="001F0564">
        <w:rPr>
          <w:rFonts w:ascii="Arial" w:hAnsi="Arial" w:cs="Arial"/>
        </w:rPr>
        <w:t xml:space="preserve"> Y</w:t>
      </w:r>
      <w:r>
        <w:rPr>
          <w:rFonts w:ascii="Arial" w:hAnsi="Arial" w:cs="Arial"/>
        </w:rPr>
        <w:t>. &amp;</w:t>
      </w:r>
      <w:r w:rsidRPr="001F0564">
        <w:rPr>
          <w:rFonts w:ascii="Arial" w:hAnsi="Arial" w:cs="Arial"/>
        </w:rPr>
        <w:t xml:space="preserve"> Duan</w:t>
      </w:r>
      <w:r>
        <w:rPr>
          <w:rFonts w:ascii="Arial" w:hAnsi="Arial" w:cs="Arial"/>
        </w:rPr>
        <w:t>,</w:t>
      </w:r>
      <w:r w:rsidRPr="001F0564">
        <w:rPr>
          <w:rFonts w:ascii="Arial" w:hAnsi="Arial" w:cs="Arial"/>
        </w:rPr>
        <w:t xml:space="preserve"> X. </w:t>
      </w:r>
      <w:r>
        <w:rPr>
          <w:rFonts w:ascii="Arial" w:hAnsi="Arial" w:cs="Arial"/>
        </w:rPr>
        <w:t xml:space="preserve">(2020). </w:t>
      </w:r>
      <w:r w:rsidRPr="001F0564">
        <w:rPr>
          <w:rFonts w:ascii="Arial" w:hAnsi="Arial" w:cs="Arial"/>
        </w:rPr>
        <w:t>Chemical precipitation of heavy metals from wastewater by using the synthetical magnesium hydroxy carbonate. Water Sci Technol</w:t>
      </w:r>
      <w:r>
        <w:rPr>
          <w:rFonts w:ascii="Arial" w:hAnsi="Arial" w:cs="Arial"/>
        </w:rPr>
        <w:t xml:space="preserve">, </w:t>
      </w:r>
      <w:r w:rsidRPr="001F0564">
        <w:rPr>
          <w:rFonts w:ascii="Arial" w:hAnsi="Arial" w:cs="Arial"/>
        </w:rPr>
        <w:t>81(6)</w:t>
      </w:r>
      <w:r>
        <w:rPr>
          <w:rFonts w:ascii="Arial" w:hAnsi="Arial" w:cs="Arial"/>
        </w:rPr>
        <w:t xml:space="preserve">, </w:t>
      </w:r>
      <w:r w:rsidRPr="001F0564">
        <w:rPr>
          <w:rFonts w:ascii="Arial" w:hAnsi="Arial" w:cs="Arial"/>
        </w:rPr>
        <w:t xml:space="preserve">1130-1136. </w:t>
      </w:r>
      <w:proofErr w:type="spellStart"/>
      <w:r w:rsidRPr="001F0564">
        <w:rPr>
          <w:rFonts w:ascii="Arial" w:hAnsi="Arial" w:cs="Arial"/>
        </w:rPr>
        <w:t>doi</w:t>
      </w:r>
      <w:proofErr w:type="spellEnd"/>
      <w:r w:rsidRPr="001F0564">
        <w:rPr>
          <w:rFonts w:ascii="Arial" w:hAnsi="Arial" w:cs="Arial"/>
        </w:rPr>
        <w:t xml:space="preserve">: </w:t>
      </w:r>
      <w:hyperlink r:id="rId46" w:history="1">
        <w:r w:rsidRPr="007025A4">
          <w:rPr>
            <w:rStyle w:val="Hyperlink"/>
            <w:rFonts w:ascii="Arial" w:hAnsi="Arial" w:cs="Arial"/>
          </w:rPr>
          <w:t>https://doi.org/10.2166/wst.2020.208</w:t>
        </w:r>
      </w:hyperlink>
    </w:p>
    <w:p w14:paraId="1E72D2AB" w14:textId="77777777" w:rsidR="001F0564" w:rsidRDefault="00FD2A2C" w:rsidP="007E3236">
      <w:pPr>
        <w:pStyle w:val="Body"/>
        <w:rPr>
          <w:rFonts w:ascii="Arial" w:hAnsi="Arial" w:cs="Arial"/>
        </w:rPr>
      </w:pPr>
      <w:proofErr w:type="spellStart"/>
      <w:r w:rsidRPr="00FD2A2C">
        <w:rPr>
          <w:rFonts w:ascii="Arial" w:hAnsi="Arial" w:cs="Arial"/>
        </w:rPr>
        <w:t>Zapién</w:t>
      </w:r>
      <w:proofErr w:type="spellEnd"/>
      <w:r w:rsidRPr="00FD2A2C">
        <w:rPr>
          <w:rFonts w:ascii="Arial" w:hAnsi="Arial" w:cs="Arial"/>
        </w:rPr>
        <w:t xml:space="preserve"> Serrano, L. Z., Ortiz Lara, N. O., Ríos Vera, R. R., Cholico-González, D. (2021). Removal of </w:t>
      </w:r>
      <w:proofErr w:type="gramStart"/>
      <w:r w:rsidRPr="00FD2A2C">
        <w:rPr>
          <w:rFonts w:ascii="Arial" w:hAnsi="Arial" w:cs="Arial"/>
        </w:rPr>
        <w:t>Fe(</w:t>
      </w:r>
      <w:proofErr w:type="gramEnd"/>
      <w:r w:rsidRPr="00FD2A2C">
        <w:rPr>
          <w:rFonts w:ascii="Arial" w:hAnsi="Arial" w:cs="Arial"/>
        </w:rPr>
        <w:t xml:space="preserve">III), Cd(II), and Zn(II) as Hydroxides by Precipitation–Flotation System. Sustainability, 13(21), 11913. </w:t>
      </w:r>
      <w:proofErr w:type="spellStart"/>
      <w:r w:rsidR="007B391F">
        <w:rPr>
          <w:rFonts w:ascii="Arial" w:hAnsi="Arial" w:cs="Arial"/>
        </w:rPr>
        <w:t>doi</w:t>
      </w:r>
      <w:proofErr w:type="spellEnd"/>
      <w:r w:rsidR="007B391F">
        <w:rPr>
          <w:rFonts w:ascii="Arial" w:hAnsi="Arial" w:cs="Arial"/>
        </w:rPr>
        <w:t xml:space="preserve">: </w:t>
      </w:r>
      <w:hyperlink r:id="rId47" w:history="1">
        <w:r w:rsidR="007B391F" w:rsidRPr="007025A4">
          <w:rPr>
            <w:rStyle w:val="Hyperlink"/>
            <w:rFonts w:ascii="Arial" w:hAnsi="Arial" w:cs="Arial"/>
          </w:rPr>
          <w:t>https://doi.org/10.3390/su132111913</w:t>
        </w:r>
      </w:hyperlink>
    </w:p>
    <w:p w14:paraId="36089EDF" w14:textId="77777777" w:rsidR="007B391F" w:rsidRDefault="00CD103F" w:rsidP="007E3236">
      <w:pPr>
        <w:pStyle w:val="Body"/>
        <w:rPr>
          <w:rFonts w:ascii="Arial" w:hAnsi="Arial" w:cs="Arial"/>
        </w:rPr>
      </w:pPr>
      <w:r w:rsidRPr="00CD103F">
        <w:rPr>
          <w:rFonts w:ascii="Arial" w:hAnsi="Arial" w:cs="Arial"/>
        </w:rPr>
        <w:t xml:space="preserve">Benalia, M.C., Youcef, L., Bouaziz, M.G. et al. </w:t>
      </w:r>
      <w:r>
        <w:rPr>
          <w:rFonts w:ascii="Arial" w:hAnsi="Arial" w:cs="Arial"/>
        </w:rPr>
        <w:t xml:space="preserve">(2022). </w:t>
      </w:r>
      <w:r w:rsidRPr="00CD103F">
        <w:rPr>
          <w:rFonts w:ascii="Arial" w:hAnsi="Arial" w:cs="Arial"/>
        </w:rPr>
        <w:t>Removal of Heavy Metals from Industrial Wastewater by Chemical Precipitation: Mechanisms and Sludge Characterization. Arab J Sci Eng</w:t>
      </w:r>
      <w:r>
        <w:rPr>
          <w:rFonts w:ascii="Arial" w:hAnsi="Arial" w:cs="Arial"/>
        </w:rPr>
        <w:t>,</w:t>
      </w:r>
      <w:r w:rsidRPr="00CD103F">
        <w:rPr>
          <w:rFonts w:ascii="Arial" w:hAnsi="Arial" w:cs="Arial"/>
        </w:rPr>
        <w:t xml:space="preserve"> 47, 5587–5599</w:t>
      </w:r>
      <w:r>
        <w:rPr>
          <w:rFonts w:ascii="Arial" w:hAnsi="Arial" w:cs="Arial"/>
        </w:rPr>
        <w:t>.</w:t>
      </w:r>
      <w:r w:rsidRPr="00CD103F">
        <w:rPr>
          <w:rFonts w:ascii="Arial" w:hAnsi="Arial" w:cs="Arial"/>
        </w:rPr>
        <w:t xml:space="preserve"> </w:t>
      </w:r>
      <w:bookmarkStart w:id="3" w:name="_Hlk221706616"/>
      <w:proofErr w:type="spellStart"/>
      <w:r w:rsidR="00C5196C">
        <w:rPr>
          <w:rFonts w:ascii="Arial" w:hAnsi="Arial" w:cs="Arial"/>
        </w:rPr>
        <w:t>doi:</w:t>
      </w:r>
      <w:hyperlink r:id="rId48" w:history="1">
        <w:r w:rsidR="00C5196C" w:rsidRPr="007025A4">
          <w:rPr>
            <w:rStyle w:val="Hyperlink"/>
            <w:rFonts w:ascii="Arial" w:hAnsi="Arial" w:cs="Arial"/>
          </w:rPr>
          <w:t>https</w:t>
        </w:r>
        <w:proofErr w:type="spellEnd"/>
        <w:r w:rsidR="00C5196C" w:rsidRPr="007025A4">
          <w:rPr>
            <w:rStyle w:val="Hyperlink"/>
            <w:rFonts w:ascii="Arial" w:hAnsi="Arial" w:cs="Arial"/>
          </w:rPr>
          <w:t>://doi.org/10.1007/s13369-021-05525-7</w:t>
        </w:r>
      </w:hyperlink>
      <w:bookmarkEnd w:id="3"/>
    </w:p>
    <w:p w14:paraId="03C3A60F" w14:textId="77777777" w:rsidR="00CD103F" w:rsidRDefault="00140212" w:rsidP="00140212">
      <w:pPr>
        <w:pStyle w:val="Body"/>
        <w:rPr>
          <w:rFonts w:ascii="Arial" w:hAnsi="Arial" w:cs="Arial"/>
        </w:rPr>
      </w:pPr>
      <w:r w:rsidRPr="00140212">
        <w:rPr>
          <w:rFonts w:ascii="Arial" w:hAnsi="Arial" w:cs="Arial"/>
        </w:rPr>
        <w:t xml:space="preserve">Junuzović, </w:t>
      </w:r>
      <w:r>
        <w:rPr>
          <w:rFonts w:ascii="Arial" w:hAnsi="Arial" w:cs="Arial"/>
        </w:rPr>
        <w:t xml:space="preserve">H., </w:t>
      </w:r>
      <w:r w:rsidRPr="00140212">
        <w:rPr>
          <w:rFonts w:ascii="Arial" w:hAnsi="Arial" w:cs="Arial"/>
        </w:rPr>
        <w:t>Amra Selimović</w:t>
      </w:r>
      <w:r>
        <w:rPr>
          <w:rFonts w:ascii="Arial" w:hAnsi="Arial" w:cs="Arial"/>
        </w:rPr>
        <w:t xml:space="preserve">, A., </w:t>
      </w:r>
      <w:r w:rsidRPr="00140212">
        <w:rPr>
          <w:rFonts w:ascii="Arial" w:hAnsi="Arial" w:cs="Arial"/>
        </w:rPr>
        <w:t>Begić,</w:t>
      </w:r>
      <w:r>
        <w:rPr>
          <w:rFonts w:ascii="Arial" w:hAnsi="Arial" w:cs="Arial"/>
        </w:rPr>
        <w:t xml:space="preserve"> S.,</w:t>
      </w:r>
      <w:r w:rsidRPr="00140212">
        <w:rPr>
          <w:rFonts w:ascii="Arial" w:hAnsi="Arial" w:cs="Arial"/>
        </w:rPr>
        <w:t xml:space="preserve"> </w:t>
      </w:r>
      <w:proofErr w:type="spellStart"/>
      <w:r w:rsidRPr="00140212">
        <w:rPr>
          <w:rFonts w:ascii="Arial" w:hAnsi="Arial" w:cs="Arial"/>
        </w:rPr>
        <w:t>Đozić</w:t>
      </w:r>
      <w:proofErr w:type="spellEnd"/>
      <w:r>
        <w:rPr>
          <w:rFonts w:ascii="Arial" w:hAnsi="Arial" w:cs="Arial"/>
        </w:rPr>
        <w:t>, A. (2019). A</w:t>
      </w:r>
      <w:r w:rsidRPr="00140212">
        <w:rPr>
          <w:rFonts w:ascii="Arial" w:hAnsi="Arial" w:cs="Arial"/>
        </w:rPr>
        <w:t>pplication of sodium hydroxide as a precipitating agent</w:t>
      </w:r>
      <w:r>
        <w:rPr>
          <w:rFonts w:ascii="Arial" w:hAnsi="Arial" w:cs="Arial"/>
        </w:rPr>
        <w:t xml:space="preserve"> </w:t>
      </w:r>
      <w:r w:rsidRPr="00140212">
        <w:rPr>
          <w:rFonts w:ascii="Arial" w:hAnsi="Arial" w:cs="Arial"/>
        </w:rPr>
        <w:t>for the removal of copper and nickel from water</w:t>
      </w:r>
      <w:r>
        <w:rPr>
          <w:rFonts w:ascii="Arial" w:hAnsi="Arial" w:cs="Arial"/>
        </w:rPr>
        <w:t xml:space="preserve">. </w:t>
      </w:r>
      <w:r w:rsidRPr="00140212">
        <w:rPr>
          <w:rFonts w:ascii="Arial" w:hAnsi="Arial" w:cs="Arial"/>
        </w:rPr>
        <w:t>8th International Conference WATER FOR ALL</w:t>
      </w:r>
      <w:r>
        <w:rPr>
          <w:rFonts w:ascii="Arial" w:hAnsi="Arial" w:cs="Arial"/>
        </w:rPr>
        <w:t xml:space="preserve">, </w:t>
      </w:r>
      <w:r w:rsidRPr="00140212">
        <w:rPr>
          <w:rFonts w:ascii="Arial" w:hAnsi="Arial" w:cs="Arial"/>
        </w:rPr>
        <w:t>Osijek, Croatia</w:t>
      </w:r>
      <w:r>
        <w:rPr>
          <w:rFonts w:ascii="Arial" w:hAnsi="Arial" w:cs="Arial"/>
        </w:rPr>
        <w:t>.</w:t>
      </w:r>
    </w:p>
    <w:p w14:paraId="03C64726" w14:textId="77777777" w:rsidR="00140212" w:rsidRDefault="00C5196C" w:rsidP="00140212">
      <w:pPr>
        <w:pStyle w:val="Body"/>
        <w:rPr>
          <w:rFonts w:ascii="Arial" w:hAnsi="Arial" w:cs="Arial"/>
        </w:rPr>
      </w:pPr>
      <w:r w:rsidRPr="00C5196C">
        <w:rPr>
          <w:rFonts w:ascii="Arial" w:hAnsi="Arial" w:cs="Arial"/>
        </w:rPr>
        <w:t xml:space="preserve">Junuzović, </w:t>
      </w:r>
      <w:r>
        <w:rPr>
          <w:rFonts w:ascii="Arial" w:hAnsi="Arial" w:cs="Arial"/>
        </w:rPr>
        <w:t xml:space="preserve">H., </w:t>
      </w:r>
      <w:r w:rsidRPr="00C5196C">
        <w:rPr>
          <w:rFonts w:ascii="Arial" w:hAnsi="Arial" w:cs="Arial"/>
        </w:rPr>
        <w:t>Selimović,</w:t>
      </w:r>
      <w:r>
        <w:rPr>
          <w:rFonts w:ascii="Arial" w:hAnsi="Arial" w:cs="Arial"/>
        </w:rPr>
        <w:t xml:space="preserve"> A.,</w:t>
      </w:r>
      <w:r w:rsidRPr="00C5196C">
        <w:rPr>
          <w:rFonts w:ascii="Arial" w:hAnsi="Arial" w:cs="Arial"/>
        </w:rPr>
        <w:t xml:space="preserve"> </w:t>
      </w:r>
      <w:proofErr w:type="spellStart"/>
      <w:proofErr w:type="gramStart"/>
      <w:r w:rsidRPr="00C5196C">
        <w:rPr>
          <w:rFonts w:ascii="Arial" w:hAnsi="Arial" w:cs="Arial"/>
        </w:rPr>
        <w:t>Begić,</w:t>
      </w:r>
      <w:r>
        <w:rPr>
          <w:rFonts w:ascii="Arial" w:hAnsi="Arial" w:cs="Arial"/>
        </w:rPr>
        <w:t>S</w:t>
      </w:r>
      <w:proofErr w:type="spellEnd"/>
      <w:r>
        <w:rPr>
          <w:rFonts w:ascii="Arial" w:hAnsi="Arial" w:cs="Arial"/>
        </w:rPr>
        <w:t>.</w:t>
      </w:r>
      <w:proofErr w:type="gramEnd"/>
      <w:r>
        <w:rPr>
          <w:rFonts w:ascii="Arial" w:hAnsi="Arial" w:cs="Arial"/>
        </w:rPr>
        <w:t xml:space="preserve">, </w:t>
      </w:r>
      <w:r w:rsidRPr="00C5196C">
        <w:rPr>
          <w:rFonts w:ascii="Arial" w:hAnsi="Arial" w:cs="Arial"/>
        </w:rPr>
        <w:t>Salkić,</w:t>
      </w:r>
      <w:r>
        <w:rPr>
          <w:rFonts w:ascii="Arial" w:hAnsi="Arial" w:cs="Arial"/>
        </w:rPr>
        <w:t xml:space="preserve"> M., </w:t>
      </w:r>
      <w:r w:rsidRPr="00C5196C">
        <w:rPr>
          <w:rFonts w:ascii="Arial" w:hAnsi="Arial" w:cs="Arial"/>
        </w:rPr>
        <w:t>Osmić,</w:t>
      </w:r>
      <w:r>
        <w:rPr>
          <w:rFonts w:ascii="Arial" w:hAnsi="Arial" w:cs="Arial"/>
        </w:rPr>
        <w:t xml:space="preserve"> S.</w:t>
      </w:r>
      <w:r w:rsidRPr="00C5196C">
        <w:rPr>
          <w:rFonts w:ascii="Arial" w:hAnsi="Arial" w:cs="Arial"/>
        </w:rPr>
        <w:t xml:space="preserve"> </w:t>
      </w:r>
      <w:r>
        <w:rPr>
          <w:rFonts w:ascii="Arial" w:hAnsi="Arial" w:cs="Arial"/>
        </w:rPr>
        <w:t xml:space="preserve">(2019). </w:t>
      </w:r>
      <w:r w:rsidRPr="00C5196C">
        <w:rPr>
          <w:rFonts w:ascii="Arial" w:hAnsi="Arial" w:cs="Arial"/>
        </w:rPr>
        <w:t>Removal of lead and zinc ions</w:t>
      </w:r>
      <w:r>
        <w:rPr>
          <w:rFonts w:ascii="Arial" w:hAnsi="Arial" w:cs="Arial"/>
        </w:rPr>
        <w:t>.</w:t>
      </w:r>
      <w:r w:rsidRPr="00C5196C">
        <w:rPr>
          <w:rFonts w:ascii="Arial" w:hAnsi="Arial" w:cs="Arial"/>
        </w:rPr>
        <w:t xml:space="preserve"> </w:t>
      </w:r>
      <w:proofErr w:type="spellStart"/>
      <w:r w:rsidRPr="00C5196C">
        <w:rPr>
          <w:rFonts w:ascii="Arial" w:hAnsi="Arial" w:cs="Arial"/>
        </w:rPr>
        <w:t>Technologica</w:t>
      </w:r>
      <w:proofErr w:type="spellEnd"/>
      <w:r w:rsidRPr="00C5196C">
        <w:rPr>
          <w:rFonts w:ascii="Arial" w:hAnsi="Arial" w:cs="Arial"/>
        </w:rPr>
        <w:t xml:space="preserve"> Acta, 12</w:t>
      </w:r>
      <w:r>
        <w:rPr>
          <w:rFonts w:ascii="Arial" w:hAnsi="Arial" w:cs="Arial"/>
        </w:rPr>
        <w:t xml:space="preserve"> (2)</w:t>
      </w:r>
      <w:r w:rsidRPr="00C5196C">
        <w:rPr>
          <w:rFonts w:ascii="Arial" w:hAnsi="Arial" w:cs="Arial"/>
        </w:rPr>
        <w:t>, 1-6</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49" w:history="1">
        <w:r w:rsidRPr="007025A4">
          <w:rPr>
            <w:rStyle w:val="Hyperlink"/>
            <w:rFonts w:ascii="Arial" w:hAnsi="Arial" w:cs="Arial"/>
          </w:rPr>
          <w:t>https://doi.org/10.5281/zenodo.3643035</w:t>
        </w:r>
      </w:hyperlink>
    </w:p>
    <w:p w14:paraId="68A42B09" w14:textId="77777777" w:rsidR="00C5196C" w:rsidRDefault="00C3757C" w:rsidP="00140212">
      <w:pPr>
        <w:pStyle w:val="Body"/>
        <w:rPr>
          <w:rFonts w:ascii="Arial" w:hAnsi="Arial" w:cs="Arial"/>
        </w:rPr>
      </w:pPr>
      <w:r w:rsidRPr="00C3757C">
        <w:rPr>
          <w:rFonts w:ascii="Arial" w:hAnsi="Arial" w:cs="Arial"/>
        </w:rPr>
        <w:t>Nurul</w:t>
      </w:r>
      <w:r>
        <w:rPr>
          <w:rFonts w:ascii="Arial" w:hAnsi="Arial" w:cs="Arial"/>
        </w:rPr>
        <w:t>, M.,</w:t>
      </w:r>
      <w:r w:rsidRPr="00C3757C">
        <w:rPr>
          <w:rFonts w:ascii="Arial" w:hAnsi="Arial" w:cs="Arial"/>
        </w:rPr>
        <w:t xml:space="preserve"> Hanifah,</w:t>
      </w:r>
      <w:r>
        <w:rPr>
          <w:rFonts w:ascii="Arial" w:hAnsi="Arial" w:cs="Arial"/>
        </w:rPr>
        <w:t xml:space="preserve"> H.A.,</w:t>
      </w:r>
      <w:r w:rsidRPr="00C3757C">
        <w:rPr>
          <w:rFonts w:ascii="Arial" w:hAnsi="Arial" w:cs="Arial"/>
        </w:rPr>
        <w:t xml:space="preserve"> Anita,</w:t>
      </w:r>
      <w:r>
        <w:rPr>
          <w:rFonts w:ascii="Arial" w:hAnsi="Arial" w:cs="Arial"/>
        </w:rPr>
        <w:t xml:space="preserve"> I.S.,</w:t>
      </w:r>
      <w:r w:rsidRPr="00C3757C">
        <w:rPr>
          <w:rFonts w:ascii="Arial" w:hAnsi="Arial" w:cs="Arial"/>
        </w:rPr>
        <w:t xml:space="preserve"> Devi,</w:t>
      </w:r>
      <w:r>
        <w:rPr>
          <w:rFonts w:ascii="Arial" w:hAnsi="Arial" w:cs="Arial"/>
        </w:rPr>
        <w:t xml:space="preserve"> S., </w:t>
      </w:r>
      <w:proofErr w:type="spellStart"/>
      <w:r w:rsidRPr="00C3757C">
        <w:rPr>
          <w:rFonts w:ascii="Arial" w:hAnsi="Arial" w:cs="Arial"/>
        </w:rPr>
        <w:t>Tamboesai</w:t>
      </w:r>
      <w:proofErr w:type="spellEnd"/>
      <w:r>
        <w:rPr>
          <w:rFonts w:ascii="Arial" w:hAnsi="Arial" w:cs="Arial"/>
        </w:rPr>
        <w:t xml:space="preserve">, M.E. (2025). </w:t>
      </w:r>
      <w:proofErr w:type="gramStart"/>
      <w:r w:rsidRPr="00C3757C">
        <w:rPr>
          <w:rFonts w:ascii="Arial" w:hAnsi="Arial" w:cs="Arial"/>
        </w:rPr>
        <w:t>Optimization  of</w:t>
      </w:r>
      <w:proofErr w:type="gramEnd"/>
      <w:r w:rsidRPr="00C3757C">
        <w:rPr>
          <w:rFonts w:ascii="Arial" w:hAnsi="Arial" w:cs="Arial"/>
        </w:rPr>
        <w:t xml:space="preserve">  Contact  Time  and  Stirring  Speed  in  The Adsorption of Cd(II) Using Acacia </w:t>
      </w:r>
      <w:proofErr w:type="spellStart"/>
      <w:r w:rsidRPr="00C3757C">
        <w:rPr>
          <w:rFonts w:ascii="Arial" w:hAnsi="Arial" w:cs="Arial"/>
        </w:rPr>
        <w:t>crassicarpaBark</w:t>
      </w:r>
      <w:proofErr w:type="spellEnd"/>
      <w:r w:rsidRPr="00C3757C">
        <w:rPr>
          <w:rFonts w:ascii="Arial" w:hAnsi="Arial" w:cs="Arial"/>
        </w:rPr>
        <w:t xml:space="preserve"> Powder as Adsorbent</w:t>
      </w:r>
      <w:r>
        <w:rPr>
          <w:rFonts w:ascii="Arial" w:hAnsi="Arial" w:cs="Arial"/>
        </w:rPr>
        <w:t xml:space="preserve">. </w:t>
      </w:r>
      <w:proofErr w:type="spellStart"/>
      <w:proofErr w:type="gramStart"/>
      <w:r w:rsidRPr="00C3757C">
        <w:rPr>
          <w:rFonts w:ascii="Arial" w:hAnsi="Arial" w:cs="Arial"/>
        </w:rPr>
        <w:t>Ind.J.Chem.Anal</w:t>
      </w:r>
      <w:proofErr w:type="spellEnd"/>
      <w:proofErr w:type="gramEnd"/>
      <w:r w:rsidRPr="00C3757C">
        <w:rPr>
          <w:rFonts w:ascii="Arial" w:hAnsi="Arial" w:cs="Arial"/>
        </w:rPr>
        <w:t>., 8</w:t>
      </w:r>
      <w:r w:rsidR="002F20A3">
        <w:rPr>
          <w:rFonts w:ascii="Arial" w:hAnsi="Arial" w:cs="Arial"/>
        </w:rPr>
        <w:t xml:space="preserve"> (</w:t>
      </w:r>
      <w:r w:rsidRPr="00C3757C">
        <w:rPr>
          <w:rFonts w:ascii="Arial" w:hAnsi="Arial" w:cs="Arial"/>
        </w:rPr>
        <w:t>2</w:t>
      </w:r>
      <w:r w:rsidR="002F20A3">
        <w:rPr>
          <w:rFonts w:ascii="Arial" w:hAnsi="Arial" w:cs="Arial"/>
        </w:rPr>
        <w:t xml:space="preserve">), </w:t>
      </w:r>
      <w:r w:rsidRPr="00C3757C">
        <w:rPr>
          <w:rFonts w:ascii="Arial" w:hAnsi="Arial" w:cs="Arial"/>
        </w:rPr>
        <w:t>111-120</w:t>
      </w:r>
      <w:r w:rsidR="002F20A3">
        <w:rPr>
          <w:rFonts w:ascii="Arial" w:hAnsi="Arial" w:cs="Arial"/>
        </w:rPr>
        <w:t xml:space="preserve">. </w:t>
      </w:r>
      <w:proofErr w:type="spellStart"/>
      <w:r w:rsidR="002F20A3">
        <w:rPr>
          <w:rFonts w:ascii="Arial" w:hAnsi="Arial" w:cs="Arial"/>
        </w:rPr>
        <w:t>doi</w:t>
      </w:r>
      <w:proofErr w:type="spellEnd"/>
      <w:r w:rsidR="002F20A3">
        <w:rPr>
          <w:rFonts w:ascii="Arial" w:hAnsi="Arial" w:cs="Arial"/>
        </w:rPr>
        <w:t xml:space="preserve">: </w:t>
      </w:r>
      <w:hyperlink r:id="rId50" w:history="1">
        <w:r w:rsidR="002F20A3" w:rsidRPr="007025A4">
          <w:rPr>
            <w:rStyle w:val="Hyperlink"/>
            <w:rFonts w:ascii="Arial" w:hAnsi="Arial" w:cs="Arial"/>
          </w:rPr>
          <w:t>https://doi.org/10.20885/ijca.vol8.iss2.art2</w:t>
        </w:r>
      </w:hyperlink>
    </w:p>
    <w:p w14:paraId="7D13D4E1" w14:textId="77777777" w:rsidR="002F20A3" w:rsidRDefault="00E90022" w:rsidP="00140212">
      <w:pPr>
        <w:pStyle w:val="Body"/>
        <w:rPr>
          <w:rFonts w:ascii="Arial" w:hAnsi="Arial" w:cs="Arial"/>
        </w:rPr>
      </w:pPr>
      <w:proofErr w:type="spellStart"/>
      <w:r w:rsidRPr="00E90022">
        <w:rPr>
          <w:rFonts w:ascii="Arial" w:hAnsi="Arial" w:cs="Arial"/>
        </w:rPr>
        <w:t>Sasan</w:t>
      </w:r>
      <w:proofErr w:type="spellEnd"/>
      <w:r w:rsidRPr="00E90022">
        <w:rPr>
          <w:rFonts w:ascii="Arial" w:hAnsi="Arial" w:cs="Arial"/>
        </w:rPr>
        <w:t xml:space="preserve"> </w:t>
      </w:r>
      <w:proofErr w:type="spellStart"/>
      <w:r w:rsidRPr="00E90022">
        <w:rPr>
          <w:rFonts w:ascii="Arial" w:hAnsi="Arial" w:cs="Arial"/>
        </w:rPr>
        <w:t>Narkesabad</w:t>
      </w:r>
      <w:proofErr w:type="spellEnd"/>
      <w:r w:rsidRPr="00E90022">
        <w:rPr>
          <w:rFonts w:ascii="Arial" w:hAnsi="Arial" w:cs="Arial"/>
        </w:rPr>
        <w:t>, Z., Rafiee, R.</w:t>
      </w:r>
      <w:r>
        <w:rPr>
          <w:rFonts w:ascii="Arial" w:hAnsi="Arial" w:cs="Arial"/>
        </w:rPr>
        <w:t>,</w:t>
      </w:r>
      <w:r w:rsidRPr="00E90022">
        <w:rPr>
          <w:rFonts w:ascii="Arial" w:hAnsi="Arial" w:cs="Arial"/>
        </w:rPr>
        <w:t xml:space="preserve"> </w:t>
      </w:r>
      <w:proofErr w:type="spellStart"/>
      <w:r w:rsidRPr="00E90022">
        <w:rPr>
          <w:rFonts w:ascii="Arial" w:hAnsi="Arial" w:cs="Arial"/>
        </w:rPr>
        <w:t>Jalilnejad</w:t>
      </w:r>
      <w:proofErr w:type="spellEnd"/>
      <w:r w:rsidRPr="00E90022">
        <w:rPr>
          <w:rFonts w:ascii="Arial" w:hAnsi="Arial" w:cs="Arial"/>
        </w:rPr>
        <w:t>, E.</w:t>
      </w:r>
      <w:r>
        <w:rPr>
          <w:rFonts w:ascii="Arial" w:hAnsi="Arial" w:cs="Arial"/>
        </w:rPr>
        <w:t xml:space="preserve"> (2023).</w:t>
      </w:r>
      <w:r w:rsidRPr="00E90022">
        <w:rPr>
          <w:rFonts w:ascii="Arial" w:hAnsi="Arial" w:cs="Arial"/>
        </w:rPr>
        <w:t xml:space="preserve"> Experimental study on evaluation and optimization of heavy metals adsorption on a novel </w:t>
      </w:r>
      <w:proofErr w:type="spellStart"/>
      <w:r w:rsidRPr="00E90022">
        <w:rPr>
          <w:rFonts w:ascii="Arial" w:hAnsi="Arial" w:cs="Arial"/>
        </w:rPr>
        <w:t>amidoximated</w:t>
      </w:r>
      <w:proofErr w:type="spellEnd"/>
      <w:r w:rsidRPr="00E90022">
        <w:rPr>
          <w:rFonts w:ascii="Arial" w:hAnsi="Arial" w:cs="Arial"/>
        </w:rPr>
        <w:t xml:space="preserve"> silane functionalized Luffa cylindrica. Sci Rep</w:t>
      </w:r>
      <w:r>
        <w:rPr>
          <w:rFonts w:ascii="Arial" w:hAnsi="Arial" w:cs="Arial"/>
        </w:rPr>
        <w:t>,</w:t>
      </w:r>
      <w:r w:rsidRPr="00E90022">
        <w:rPr>
          <w:rFonts w:ascii="Arial" w:hAnsi="Arial" w:cs="Arial"/>
        </w:rPr>
        <w:t xml:space="preserve"> 13, 3670. </w:t>
      </w:r>
      <w:hyperlink r:id="rId51" w:history="1">
        <w:r w:rsidRPr="007025A4">
          <w:rPr>
            <w:rStyle w:val="Hyperlink"/>
            <w:rFonts w:ascii="Arial" w:hAnsi="Arial" w:cs="Arial"/>
          </w:rPr>
          <w:t>https://doi.org/10.1038/s41598-023-30634-8</w:t>
        </w:r>
      </w:hyperlink>
    </w:p>
    <w:p w14:paraId="7CDAA90E" w14:textId="77777777" w:rsidR="00E90022" w:rsidRDefault="0035795E" w:rsidP="00140212">
      <w:pPr>
        <w:pStyle w:val="Body"/>
        <w:rPr>
          <w:rFonts w:ascii="Arial" w:hAnsi="Arial" w:cs="Arial"/>
        </w:rPr>
      </w:pPr>
      <w:proofErr w:type="spellStart"/>
      <w:r w:rsidRPr="0035795E">
        <w:rPr>
          <w:rFonts w:ascii="Arial" w:hAnsi="Arial" w:cs="Arial"/>
        </w:rPr>
        <w:lastRenderedPageBreak/>
        <w:t>Chouchane</w:t>
      </w:r>
      <w:proofErr w:type="spellEnd"/>
      <w:r w:rsidRPr="0035795E">
        <w:rPr>
          <w:rFonts w:ascii="Arial" w:hAnsi="Arial" w:cs="Arial"/>
        </w:rPr>
        <w:t xml:space="preserve">, T., Boukari, A., </w:t>
      </w:r>
      <w:proofErr w:type="spellStart"/>
      <w:r w:rsidRPr="0035795E">
        <w:rPr>
          <w:rFonts w:ascii="Arial" w:hAnsi="Arial" w:cs="Arial"/>
        </w:rPr>
        <w:t>Khireddine</w:t>
      </w:r>
      <w:proofErr w:type="spellEnd"/>
      <w:r w:rsidRPr="0035795E">
        <w:rPr>
          <w:rFonts w:ascii="Arial" w:hAnsi="Arial" w:cs="Arial"/>
        </w:rPr>
        <w:t xml:space="preserve">, O. et al. </w:t>
      </w:r>
      <w:r>
        <w:rPr>
          <w:rFonts w:ascii="Arial" w:hAnsi="Arial" w:cs="Arial"/>
        </w:rPr>
        <w:t xml:space="preserve">(2023). </w:t>
      </w:r>
      <w:r w:rsidRPr="0035795E">
        <w:rPr>
          <w:rFonts w:ascii="Arial" w:hAnsi="Arial" w:cs="Arial"/>
        </w:rPr>
        <w:t xml:space="preserve">Equilibrium, kinetics, and thermodynamics of batch adsorption of </w:t>
      </w:r>
      <w:proofErr w:type="gramStart"/>
      <w:r w:rsidRPr="0035795E">
        <w:rPr>
          <w:rFonts w:ascii="Arial" w:hAnsi="Arial" w:cs="Arial"/>
        </w:rPr>
        <w:t>Mn(</w:t>
      </w:r>
      <w:proofErr w:type="gramEnd"/>
      <w:r w:rsidRPr="0035795E">
        <w:rPr>
          <w:rFonts w:ascii="Arial" w:hAnsi="Arial" w:cs="Arial"/>
        </w:rPr>
        <w:t>II) ions on blast furnace slag (BFS) and kaolin (KGA). J. Eng. Appl. Sci. 70</w:t>
      </w:r>
      <w:r>
        <w:rPr>
          <w:rFonts w:ascii="Arial" w:hAnsi="Arial" w:cs="Arial"/>
        </w:rPr>
        <w:t xml:space="preserve"> (</w:t>
      </w:r>
      <w:r w:rsidRPr="0035795E">
        <w:rPr>
          <w:rFonts w:ascii="Arial" w:hAnsi="Arial" w:cs="Arial"/>
        </w:rPr>
        <w:t>58</w:t>
      </w:r>
      <w:r>
        <w:rPr>
          <w:rFonts w:ascii="Arial" w:hAnsi="Arial" w:cs="Arial"/>
        </w:rPr>
        <w:t>)</w:t>
      </w:r>
      <w:r w:rsidRPr="0035795E">
        <w:rPr>
          <w:rFonts w:ascii="Arial" w:hAnsi="Arial" w:cs="Arial"/>
        </w:rPr>
        <w:t xml:space="preserve">. </w:t>
      </w:r>
      <w:hyperlink r:id="rId52" w:history="1">
        <w:r w:rsidRPr="007025A4">
          <w:rPr>
            <w:rStyle w:val="Hyperlink"/>
            <w:rFonts w:ascii="Arial" w:hAnsi="Arial" w:cs="Arial"/>
          </w:rPr>
          <w:t>https://doi.org/10.1186/s44147-023-00218-4</w:t>
        </w:r>
      </w:hyperlink>
    </w:p>
    <w:p w14:paraId="6B947EE3" w14:textId="77777777" w:rsidR="00465665" w:rsidRDefault="00465665" w:rsidP="00140212">
      <w:pPr>
        <w:pStyle w:val="Body"/>
        <w:rPr>
          <w:rFonts w:ascii="Arial" w:hAnsi="Arial" w:cs="Arial"/>
        </w:rPr>
      </w:pPr>
      <w:r w:rsidRPr="00465665">
        <w:rPr>
          <w:rFonts w:ascii="Arial" w:hAnsi="Arial" w:cs="Arial"/>
        </w:rPr>
        <w:t>Selimović</w:t>
      </w:r>
      <w:r>
        <w:rPr>
          <w:rFonts w:ascii="Arial" w:hAnsi="Arial" w:cs="Arial"/>
        </w:rPr>
        <w:t>, A.,</w:t>
      </w:r>
      <w:r w:rsidRPr="00465665">
        <w:rPr>
          <w:rFonts w:ascii="Arial" w:hAnsi="Arial" w:cs="Arial"/>
        </w:rPr>
        <w:t xml:space="preserve"> Begić,</w:t>
      </w:r>
      <w:r>
        <w:rPr>
          <w:rFonts w:ascii="Arial" w:hAnsi="Arial" w:cs="Arial"/>
        </w:rPr>
        <w:t xml:space="preserve"> S.,</w:t>
      </w:r>
      <w:r w:rsidRPr="00465665">
        <w:rPr>
          <w:rFonts w:ascii="Arial" w:hAnsi="Arial" w:cs="Arial"/>
        </w:rPr>
        <w:t xml:space="preserve"> Junuzović,</w:t>
      </w:r>
      <w:r>
        <w:rPr>
          <w:rFonts w:ascii="Arial" w:hAnsi="Arial" w:cs="Arial"/>
        </w:rPr>
        <w:t xml:space="preserve"> H.,</w:t>
      </w:r>
      <w:r w:rsidRPr="00465665">
        <w:rPr>
          <w:rFonts w:ascii="Arial" w:hAnsi="Arial" w:cs="Arial"/>
        </w:rPr>
        <w:t xml:space="preserve"> Salkić,</w:t>
      </w:r>
      <w:r>
        <w:rPr>
          <w:rFonts w:ascii="Arial" w:hAnsi="Arial" w:cs="Arial"/>
        </w:rPr>
        <w:t xml:space="preserve"> M., </w:t>
      </w:r>
      <w:r w:rsidRPr="00465665">
        <w:rPr>
          <w:rFonts w:ascii="Arial" w:hAnsi="Arial" w:cs="Arial"/>
        </w:rPr>
        <w:t>Ahmetović,</w:t>
      </w:r>
      <w:r>
        <w:rPr>
          <w:rFonts w:ascii="Arial" w:hAnsi="Arial" w:cs="Arial"/>
        </w:rPr>
        <w:t xml:space="preserve"> M.,</w:t>
      </w:r>
      <w:r w:rsidRPr="00465665">
        <w:rPr>
          <w:rFonts w:ascii="Arial" w:hAnsi="Arial" w:cs="Arial"/>
        </w:rPr>
        <w:t xml:space="preserve"> Alihodžić,</w:t>
      </w:r>
      <w:r w:rsidR="006F0FD0">
        <w:rPr>
          <w:rFonts w:ascii="Arial" w:hAnsi="Arial" w:cs="Arial"/>
        </w:rPr>
        <w:t xml:space="preserve"> H.,</w:t>
      </w:r>
      <w:r w:rsidRPr="00465665">
        <w:rPr>
          <w:rFonts w:ascii="Arial" w:hAnsi="Arial" w:cs="Arial"/>
        </w:rPr>
        <w:t xml:space="preserve"> Kahvedžić</w:t>
      </w:r>
      <w:r w:rsidR="006F0FD0">
        <w:rPr>
          <w:rFonts w:ascii="Arial" w:hAnsi="Arial" w:cs="Arial"/>
        </w:rPr>
        <w:t>, S.</w:t>
      </w:r>
      <w:r w:rsidRPr="00465665">
        <w:rPr>
          <w:rFonts w:ascii="Arial" w:hAnsi="Arial" w:cs="Arial"/>
        </w:rPr>
        <w:t xml:space="preserve"> (2026). Highly efficient removal of </w:t>
      </w:r>
      <w:proofErr w:type="gramStart"/>
      <w:r w:rsidRPr="00465665">
        <w:rPr>
          <w:rFonts w:ascii="Arial" w:hAnsi="Arial" w:cs="Arial"/>
        </w:rPr>
        <w:t>Cd(</w:t>
      </w:r>
      <w:proofErr w:type="gramEnd"/>
      <w:r w:rsidRPr="00465665">
        <w:rPr>
          <w:rFonts w:ascii="Arial" w:hAnsi="Arial" w:cs="Arial"/>
        </w:rPr>
        <w:t>II) ions from aqueous solutions using hydrated lime as a precipitating agent. International Research Journal of Pure and Applied Chemistry. 27(1)</w:t>
      </w:r>
      <w:r w:rsidR="006F0FD0">
        <w:rPr>
          <w:rFonts w:ascii="Arial" w:hAnsi="Arial" w:cs="Arial"/>
        </w:rPr>
        <w:t>,</w:t>
      </w:r>
      <w:r w:rsidRPr="00465665">
        <w:rPr>
          <w:rFonts w:ascii="Arial" w:hAnsi="Arial" w:cs="Arial"/>
        </w:rPr>
        <w:t xml:space="preserve"> 122-132.</w:t>
      </w:r>
      <w:r w:rsidR="006F0FD0">
        <w:rPr>
          <w:rFonts w:ascii="Arial" w:hAnsi="Arial" w:cs="Arial"/>
        </w:rPr>
        <w:t xml:space="preserve"> </w:t>
      </w:r>
      <w:proofErr w:type="spellStart"/>
      <w:r w:rsidR="006F0FD0">
        <w:rPr>
          <w:rFonts w:ascii="Arial" w:hAnsi="Arial" w:cs="Arial"/>
        </w:rPr>
        <w:t>doi</w:t>
      </w:r>
      <w:proofErr w:type="spellEnd"/>
      <w:r w:rsidR="006F0FD0">
        <w:rPr>
          <w:rFonts w:ascii="Arial" w:hAnsi="Arial" w:cs="Arial"/>
        </w:rPr>
        <w:t xml:space="preserve">: </w:t>
      </w:r>
      <w:hyperlink r:id="rId53" w:history="1">
        <w:r w:rsidR="00414A3D" w:rsidRPr="007025A4">
          <w:rPr>
            <w:rStyle w:val="Hyperlink"/>
            <w:rFonts w:ascii="Arial" w:hAnsi="Arial" w:cs="Arial"/>
          </w:rPr>
          <w:t>https://doi.org/10.9734/irjpac/2026/v27i1978</w:t>
        </w:r>
      </w:hyperlink>
      <w:r w:rsidR="00414A3D">
        <w:rPr>
          <w:rFonts w:ascii="Arial" w:hAnsi="Arial" w:cs="Arial"/>
        </w:rPr>
        <w:t xml:space="preserve"> </w:t>
      </w:r>
    </w:p>
    <w:p w14:paraId="3AD4AD98" w14:textId="77777777" w:rsidR="001F0564" w:rsidRDefault="001803BB" w:rsidP="007E3236">
      <w:pPr>
        <w:pStyle w:val="Body"/>
        <w:rPr>
          <w:rFonts w:ascii="Arial" w:hAnsi="Arial" w:cs="Arial"/>
        </w:rPr>
      </w:pPr>
      <w:r w:rsidRPr="001803BB">
        <w:rPr>
          <w:rFonts w:ascii="Arial" w:hAnsi="Arial" w:cs="Arial"/>
        </w:rPr>
        <w:t>Junuzović</w:t>
      </w:r>
      <w:r>
        <w:rPr>
          <w:rFonts w:ascii="Arial" w:hAnsi="Arial" w:cs="Arial"/>
        </w:rPr>
        <w:t>, H.</w:t>
      </w:r>
      <w:r w:rsidRPr="001803BB">
        <w:rPr>
          <w:rFonts w:ascii="Arial" w:hAnsi="Arial" w:cs="Arial"/>
        </w:rPr>
        <w:t>, Begić,</w:t>
      </w:r>
      <w:r>
        <w:rPr>
          <w:rFonts w:ascii="Arial" w:hAnsi="Arial" w:cs="Arial"/>
        </w:rPr>
        <w:t xml:space="preserve"> S., </w:t>
      </w:r>
      <w:proofErr w:type="spellStart"/>
      <w:r w:rsidRPr="001803BB">
        <w:rPr>
          <w:rFonts w:ascii="Arial" w:hAnsi="Arial" w:cs="Arial"/>
        </w:rPr>
        <w:t>Papraćanin</w:t>
      </w:r>
      <w:proofErr w:type="spellEnd"/>
      <w:r w:rsidRPr="001803BB">
        <w:rPr>
          <w:rFonts w:ascii="Arial" w:hAnsi="Arial" w:cs="Arial"/>
        </w:rPr>
        <w:t>,</w:t>
      </w:r>
      <w:r>
        <w:rPr>
          <w:rFonts w:ascii="Arial" w:hAnsi="Arial" w:cs="Arial"/>
        </w:rPr>
        <w:t xml:space="preserve"> E.,</w:t>
      </w:r>
      <w:r w:rsidRPr="001803BB">
        <w:rPr>
          <w:rFonts w:ascii="Arial" w:hAnsi="Arial" w:cs="Arial"/>
        </w:rPr>
        <w:t xml:space="preserve"> Selimović</w:t>
      </w:r>
      <w:r>
        <w:rPr>
          <w:rFonts w:ascii="Arial" w:hAnsi="Arial" w:cs="Arial"/>
        </w:rPr>
        <w:t xml:space="preserve">, A. (2025). </w:t>
      </w:r>
      <w:r w:rsidRPr="001803BB">
        <w:rPr>
          <w:rFonts w:ascii="Arial" w:hAnsi="Arial" w:cs="Arial"/>
        </w:rPr>
        <w:t>Efficiency of Hydrated Lime in Removal of Lead Ions from Aqueous Solutions</w:t>
      </w:r>
      <w:r>
        <w:rPr>
          <w:rFonts w:ascii="Arial" w:hAnsi="Arial" w:cs="Arial"/>
        </w:rPr>
        <w:t xml:space="preserve">. </w:t>
      </w:r>
      <w:r w:rsidRPr="001803BB">
        <w:rPr>
          <w:rFonts w:ascii="Arial" w:hAnsi="Arial" w:cs="Arial"/>
        </w:rPr>
        <w:t>New Technologies,</w:t>
      </w:r>
      <w:r w:rsidR="00D735CC">
        <w:rPr>
          <w:rFonts w:ascii="Arial" w:hAnsi="Arial" w:cs="Arial"/>
        </w:rPr>
        <w:t xml:space="preserve"> </w:t>
      </w:r>
      <w:r w:rsidRPr="001803BB">
        <w:rPr>
          <w:rFonts w:ascii="Arial" w:hAnsi="Arial" w:cs="Arial"/>
        </w:rPr>
        <w:t>Development and</w:t>
      </w:r>
      <w:r w:rsidR="00D735CC">
        <w:rPr>
          <w:rFonts w:ascii="Arial" w:hAnsi="Arial" w:cs="Arial"/>
        </w:rPr>
        <w:t xml:space="preserve"> </w:t>
      </w:r>
      <w:r w:rsidRPr="001803BB">
        <w:rPr>
          <w:rFonts w:ascii="Arial" w:hAnsi="Arial" w:cs="Arial"/>
        </w:rPr>
        <w:t>Application VIII</w:t>
      </w:r>
      <w:r w:rsidR="00D735CC">
        <w:rPr>
          <w:rFonts w:ascii="Arial" w:hAnsi="Arial" w:cs="Arial"/>
        </w:rPr>
        <w:t xml:space="preserve">, 3, </w:t>
      </w:r>
      <w:r w:rsidRPr="001803BB">
        <w:rPr>
          <w:rFonts w:ascii="Arial" w:hAnsi="Arial" w:cs="Arial"/>
        </w:rPr>
        <w:t>1484, 284–293</w:t>
      </w:r>
      <w:r w:rsidR="00D735CC">
        <w:rPr>
          <w:rFonts w:ascii="Arial" w:hAnsi="Arial" w:cs="Arial"/>
        </w:rPr>
        <w:t xml:space="preserve">. </w:t>
      </w:r>
      <w:proofErr w:type="spellStart"/>
      <w:r w:rsidR="00D735CC">
        <w:rPr>
          <w:rFonts w:ascii="Arial" w:hAnsi="Arial" w:cs="Arial"/>
        </w:rPr>
        <w:t>doi</w:t>
      </w:r>
      <w:proofErr w:type="spellEnd"/>
      <w:r w:rsidR="00D735CC">
        <w:rPr>
          <w:rFonts w:ascii="Arial" w:hAnsi="Arial" w:cs="Arial"/>
        </w:rPr>
        <w:t xml:space="preserve">: </w:t>
      </w:r>
      <w:hyperlink r:id="rId54" w:history="1">
        <w:r w:rsidR="00D735CC" w:rsidRPr="007025A4">
          <w:rPr>
            <w:rStyle w:val="Hyperlink"/>
            <w:rFonts w:ascii="Arial" w:hAnsi="Arial" w:cs="Arial"/>
          </w:rPr>
          <w:t>https://doi.org/10.1007/978-3-031-95200-5_32</w:t>
        </w:r>
      </w:hyperlink>
    </w:p>
    <w:p w14:paraId="0C14860D" w14:textId="77777777" w:rsidR="00D735CC" w:rsidRDefault="00385DCD" w:rsidP="007E3236">
      <w:pPr>
        <w:pStyle w:val="Body"/>
        <w:rPr>
          <w:rFonts w:ascii="Arial" w:hAnsi="Arial" w:cs="Arial"/>
        </w:rPr>
      </w:pPr>
      <w:r w:rsidRPr="00385DCD">
        <w:rPr>
          <w:rFonts w:ascii="Arial" w:hAnsi="Arial" w:cs="Arial"/>
        </w:rPr>
        <w:t xml:space="preserve">Šestan, </w:t>
      </w:r>
      <w:r>
        <w:rPr>
          <w:rFonts w:ascii="Arial" w:hAnsi="Arial" w:cs="Arial"/>
        </w:rPr>
        <w:t xml:space="preserve">I., </w:t>
      </w:r>
      <w:r w:rsidRPr="00385DCD">
        <w:rPr>
          <w:rFonts w:ascii="Arial" w:hAnsi="Arial" w:cs="Arial"/>
        </w:rPr>
        <w:t>Ahmetović,</w:t>
      </w:r>
      <w:r>
        <w:rPr>
          <w:rFonts w:ascii="Arial" w:hAnsi="Arial" w:cs="Arial"/>
        </w:rPr>
        <w:t xml:space="preserve"> M.,</w:t>
      </w:r>
      <w:r w:rsidRPr="00385DCD">
        <w:rPr>
          <w:rFonts w:ascii="Arial" w:hAnsi="Arial" w:cs="Arial"/>
        </w:rPr>
        <w:t xml:space="preserve"> Hasanović</w:t>
      </w:r>
      <w:r>
        <w:rPr>
          <w:rFonts w:ascii="Arial" w:hAnsi="Arial" w:cs="Arial"/>
        </w:rPr>
        <w:t>, S.</w:t>
      </w:r>
      <w:r w:rsidRPr="00385DCD">
        <w:rPr>
          <w:rFonts w:ascii="Arial" w:hAnsi="Arial" w:cs="Arial"/>
        </w:rPr>
        <w:t xml:space="preserve"> </w:t>
      </w:r>
      <w:r>
        <w:rPr>
          <w:rFonts w:ascii="Arial" w:hAnsi="Arial" w:cs="Arial"/>
        </w:rPr>
        <w:t>(</w:t>
      </w:r>
      <w:r w:rsidRPr="00385DCD">
        <w:rPr>
          <w:rFonts w:ascii="Arial" w:hAnsi="Arial" w:cs="Arial"/>
        </w:rPr>
        <w:t>2025</w:t>
      </w:r>
      <w:r>
        <w:rPr>
          <w:rFonts w:ascii="Arial" w:hAnsi="Arial" w:cs="Arial"/>
        </w:rPr>
        <w:t>)</w:t>
      </w:r>
      <w:r w:rsidRPr="00385DCD">
        <w:rPr>
          <w:rFonts w:ascii="Arial" w:hAnsi="Arial" w:cs="Arial"/>
        </w:rPr>
        <w:t xml:space="preserve">. Adsorption Kinetics of </w:t>
      </w:r>
      <w:proofErr w:type="gramStart"/>
      <w:r w:rsidRPr="00385DCD">
        <w:rPr>
          <w:rFonts w:ascii="Arial" w:hAnsi="Arial" w:cs="Arial"/>
        </w:rPr>
        <w:t>Cu(</w:t>
      </w:r>
      <w:proofErr w:type="gramEnd"/>
      <w:r w:rsidRPr="00385DCD">
        <w:rPr>
          <w:rFonts w:ascii="Arial" w:hAnsi="Arial" w:cs="Arial"/>
        </w:rPr>
        <w:t>II), Cr(III), and Ni(II) Ions from a Multicomponent Solution Using Synthetic Zeolite. International Research Journal of Pure and Applied Chemistry</w:t>
      </w:r>
      <w:r>
        <w:rPr>
          <w:rFonts w:ascii="Arial" w:hAnsi="Arial" w:cs="Arial"/>
        </w:rPr>
        <w:t xml:space="preserve">, </w:t>
      </w:r>
      <w:r w:rsidRPr="00385DCD">
        <w:rPr>
          <w:rFonts w:ascii="Arial" w:hAnsi="Arial" w:cs="Arial"/>
        </w:rPr>
        <w:t xml:space="preserve">26 (5):156–165. </w:t>
      </w:r>
      <w:proofErr w:type="spellStart"/>
      <w:r>
        <w:rPr>
          <w:rFonts w:ascii="Arial" w:hAnsi="Arial" w:cs="Arial"/>
        </w:rPr>
        <w:t>doi</w:t>
      </w:r>
      <w:proofErr w:type="spellEnd"/>
      <w:r>
        <w:rPr>
          <w:rFonts w:ascii="Arial" w:hAnsi="Arial" w:cs="Arial"/>
        </w:rPr>
        <w:t xml:space="preserve">: </w:t>
      </w:r>
      <w:hyperlink r:id="rId55" w:history="1">
        <w:r w:rsidRPr="007025A4">
          <w:rPr>
            <w:rStyle w:val="Hyperlink"/>
            <w:rFonts w:ascii="Arial" w:hAnsi="Arial" w:cs="Arial"/>
          </w:rPr>
          <w:t>https://doi.org/10.9734/irjpac/2025/v26i5953</w:t>
        </w:r>
      </w:hyperlink>
    </w:p>
    <w:p w14:paraId="0A674E6F" w14:textId="77777777" w:rsidR="00385DCD" w:rsidRDefault="00DF3123" w:rsidP="007E3236">
      <w:pPr>
        <w:pStyle w:val="Body"/>
        <w:rPr>
          <w:rFonts w:ascii="Arial" w:hAnsi="Arial" w:cs="Arial"/>
        </w:rPr>
      </w:pPr>
      <w:r w:rsidRPr="00DF3123">
        <w:rPr>
          <w:rFonts w:ascii="Arial" w:hAnsi="Arial" w:cs="Arial"/>
        </w:rPr>
        <w:t>Pan,</w:t>
      </w:r>
      <w:r>
        <w:rPr>
          <w:rFonts w:ascii="Arial" w:hAnsi="Arial" w:cs="Arial"/>
        </w:rPr>
        <w:t xml:space="preserve"> S.Y.,</w:t>
      </w:r>
      <w:r w:rsidRPr="00DF3123">
        <w:rPr>
          <w:rFonts w:ascii="Arial" w:hAnsi="Arial" w:cs="Arial"/>
        </w:rPr>
        <w:t xml:space="preserve"> </w:t>
      </w:r>
      <w:proofErr w:type="spellStart"/>
      <w:r w:rsidRPr="00DF3123">
        <w:rPr>
          <w:rFonts w:ascii="Arial" w:hAnsi="Arial" w:cs="Arial"/>
        </w:rPr>
        <w:t>Syu</w:t>
      </w:r>
      <w:proofErr w:type="spellEnd"/>
      <w:r>
        <w:rPr>
          <w:rFonts w:ascii="Arial" w:hAnsi="Arial" w:cs="Arial"/>
        </w:rPr>
        <w:t>, W.J.,</w:t>
      </w:r>
      <w:r w:rsidRPr="00DF3123">
        <w:rPr>
          <w:rFonts w:ascii="Arial" w:hAnsi="Arial" w:cs="Arial"/>
        </w:rPr>
        <w:t xml:space="preserve"> Chang</w:t>
      </w:r>
      <w:r>
        <w:rPr>
          <w:rFonts w:ascii="Arial" w:hAnsi="Arial" w:cs="Arial"/>
        </w:rPr>
        <w:t>, T.K.,</w:t>
      </w:r>
      <w:r w:rsidRPr="00DF3123">
        <w:rPr>
          <w:rFonts w:ascii="Arial" w:hAnsi="Arial" w:cs="Arial"/>
        </w:rPr>
        <w:t xml:space="preserve"> Lee</w:t>
      </w:r>
      <w:r>
        <w:rPr>
          <w:rFonts w:ascii="Arial" w:hAnsi="Arial" w:cs="Arial"/>
        </w:rPr>
        <w:t xml:space="preserve">, H.C. (2020). </w:t>
      </w:r>
      <w:r w:rsidRPr="00DF3123">
        <w:rPr>
          <w:rFonts w:ascii="Arial" w:hAnsi="Arial" w:cs="Arial"/>
        </w:rPr>
        <w:t>A multiple model approach for evaluating the performance of time-lapse capsules in trapping heavy metals from water bodies</w:t>
      </w:r>
      <w:r>
        <w:rPr>
          <w:rFonts w:ascii="Arial" w:hAnsi="Arial" w:cs="Arial"/>
        </w:rPr>
        <w:t xml:space="preserve">. </w:t>
      </w:r>
      <w:r w:rsidR="00C83896">
        <w:rPr>
          <w:rFonts w:ascii="Arial" w:hAnsi="Arial" w:cs="Arial"/>
        </w:rPr>
        <w:t xml:space="preserve">Royal society of chemistry, </w:t>
      </w:r>
      <w:r w:rsidR="00C83896" w:rsidRPr="00C83896">
        <w:rPr>
          <w:rFonts w:ascii="Arial" w:hAnsi="Arial" w:cs="Arial"/>
        </w:rPr>
        <w:t>10, 16490-16501</w:t>
      </w:r>
      <w:r w:rsidR="00C83896">
        <w:rPr>
          <w:rFonts w:ascii="Arial" w:hAnsi="Arial" w:cs="Arial"/>
        </w:rPr>
        <w:t xml:space="preserve">. </w:t>
      </w:r>
      <w:proofErr w:type="spellStart"/>
      <w:r w:rsidR="00C83896">
        <w:rPr>
          <w:rFonts w:ascii="Arial" w:hAnsi="Arial" w:cs="Arial"/>
        </w:rPr>
        <w:t>doi</w:t>
      </w:r>
      <w:proofErr w:type="spellEnd"/>
      <w:r w:rsidR="00C83896">
        <w:rPr>
          <w:rFonts w:ascii="Arial" w:hAnsi="Arial" w:cs="Arial"/>
        </w:rPr>
        <w:t xml:space="preserve">: </w:t>
      </w:r>
      <w:hyperlink r:id="rId56" w:history="1">
        <w:r w:rsidR="00C83896" w:rsidRPr="007025A4">
          <w:rPr>
            <w:rStyle w:val="Hyperlink"/>
            <w:rFonts w:ascii="Arial" w:hAnsi="Arial" w:cs="Arial"/>
          </w:rPr>
          <w:t>https://doi.org/10.1039/D0RA03017A</w:t>
        </w:r>
      </w:hyperlink>
    </w:p>
    <w:p w14:paraId="3838A428" w14:textId="77777777" w:rsidR="00790ADA" w:rsidRPr="00FB3A86" w:rsidRDefault="00790ADA" w:rsidP="00441B6F">
      <w:pPr>
        <w:pStyle w:val="Body"/>
        <w:spacing w:after="0"/>
        <w:rPr>
          <w:rFonts w:ascii="Arial" w:hAnsi="Arial" w:cs="Arial"/>
        </w:rPr>
      </w:pPr>
    </w:p>
    <w:p w14:paraId="6FFE7655" w14:textId="77777777" w:rsidR="004D4277" w:rsidRPr="00FB3A86" w:rsidRDefault="004D4277" w:rsidP="00441B6F">
      <w:pPr>
        <w:pStyle w:val="Appendix"/>
        <w:spacing w:after="0"/>
        <w:jc w:val="both"/>
        <w:rPr>
          <w:rFonts w:ascii="Arial" w:hAnsi="Arial" w:cs="Arial"/>
          <w:b w:val="0"/>
        </w:rPr>
        <w:sectPr w:rsidR="004D4277" w:rsidRPr="00FB3A86" w:rsidSect="00F5050A">
          <w:headerReference w:type="even" r:id="rId57"/>
          <w:headerReference w:type="default" r:id="rId58"/>
          <w:footerReference w:type="default" r:id="rId59"/>
          <w:headerReference w:type="first" r:id="rId60"/>
          <w:type w:val="continuous"/>
          <w:pgSz w:w="12240" w:h="15840"/>
          <w:pgMar w:top="1440" w:right="2016" w:bottom="2016" w:left="2016" w:header="720" w:footer="1123" w:gutter="0"/>
          <w:cols w:space="720"/>
          <w:docGrid w:linePitch="272"/>
        </w:sectPr>
      </w:pPr>
    </w:p>
    <w:p w14:paraId="100E98FD" w14:textId="77777777" w:rsidR="00B01FCD" w:rsidRPr="00FB3A86" w:rsidRDefault="00B01FCD" w:rsidP="00441B6F">
      <w:pPr>
        <w:pStyle w:val="Appendix"/>
        <w:spacing w:after="0"/>
        <w:jc w:val="both"/>
        <w:rPr>
          <w:rFonts w:ascii="Arial" w:hAnsi="Arial" w:cs="Arial"/>
          <w:b w:val="0"/>
        </w:rPr>
      </w:pPr>
    </w:p>
    <w:sectPr w:rsidR="00B01FCD" w:rsidRPr="00FB3A86" w:rsidSect="00F5050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18CE3" w14:textId="77777777" w:rsidR="009936A2" w:rsidRDefault="009936A2" w:rsidP="00C37E61">
      <w:r>
        <w:separator/>
      </w:r>
    </w:p>
  </w:endnote>
  <w:endnote w:type="continuationSeparator" w:id="0">
    <w:p w14:paraId="652329BC" w14:textId="77777777" w:rsidR="009936A2" w:rsidRDefault="009936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A890" w14:textId="77777777" w:rsidR="00C04EA2" w:rsidRDefault="00C04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110BF" w14:textId="77777777" w:rsidR="00C04EA2" w:rsidRDefault="00C04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2E889" w14:textId="77777777" w:rsidR="00255192" w:rsidRDefault="00255192">
    <w:pPr>
      <w:pStyle w:val="Footer"/>
      <w:rPr>
        <w:rFonts w:ascii="Arial" w:hAnsi="Arial" w:cs="Arial"/>
        <w:sz w:val="16"/>
      </w:rPr>
    </w:pPr>
  </w:p>
  <w:p w14:paraId="69CF929A" w14:textId="77777777" w:rsidR="00255192" w:rsidRDefault="0025519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B381F0C" w14:textId="77777777" w:rsidR="00255192" w:rsidRDefault="00255192">
    <w:pPr>
      <w:pStyle w:val="Footer"/>
      <w:rPr>
        <w:rFonts w:ascii="Arial" w:hAnsi="Arial" w:cs="Arial"/>
        <w:sz w:val="16"/>
      </w:rPr>
    </w:pPr>
  </w:p>
  <w:p w14:paraId="130BE7ED" w14:textId="73705AD4" w:rsidR="00255192" w:rsidRPr="009E048A" w:rsidRDefault="00255192">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44C7" w14:textId="77777777" w:rsidR="00255192" w:rsidRPr="00C37E61" w:rsidRDefault="0025519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EB362" w14:textId="77777777" w:rsidR="009936A2" w:rsidRDefault="009936A2" w:rsidP="00C37E61">
      <w:r>
        <w:separator/>
      </w:r>
    </w:p>
  </w:footnote>
  <w:footnote w:type="continuationSeparator" w:id="0">
    <w:p w14:paraId="42E7966A" w14:textId="77777777" w:rsidR="009936A2" w:rsidRDefault="009936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083B" w14:textId="56CA9FDC" w:rsidR="00C04EA2" w:rsidRDefault="00C04EA2">
    <w:pPr>
      <w:pStyle w:val="Header"/>
    </w:pPr>
    <w:r>
      <w:rPr>
        <w:noProof/>
      </w:rPr>
      <w:pict w14:anchorId="5C377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3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6387" w14:textId="79A87057" w:rsidR="00C04EA2" w:rsidRDefault="00C04EA2">
    <w:pPr>
      <w:pStyle w:val="Header"/>
    </w:pPr>
    <w:r>
      <w:rPr>
        <w:noProof/>
      </w:rPr>
      <w:pict w14:anchorId="5CB72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3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7944B" w14:textId="7AAA7F9D" w:rsidR="00255192" w:rsidRPr="00296529" w:rsidRDefault="00C04EA2" w:rsidP="00296529">
    <w:pPr>
      <w:ind w:left="2160"/>
      <w:jc w:val="center"/>
      <w:rPr>
        <w:rFonts w:ascii="Times New Roman" w:eastAsia="Calibri" w:hAnsi="Times New Roman"/>
        <w:i/>
        <w:sz w:val="18"/>
        <w:szCs w:val="22"/>
      </w:rPr>
    </w:pPr>
    <w:r>
      <w:rPr>
        <w:noProof/>
      </w:rPr>
      <w:pict w14:anchorId="2CD4C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3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A10113" w14:textId="77777777" w:rsidR="00255192" w:rsidRPr="00296529" w:rsidRDefault="0025519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2B30B3E" w14:textId="77777777" w:rsidR="00255192" w:rsidRPr="00296529" w:rsidRDefault="0025519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C34575" w14:textId="77777777" w:rsidR="00255192" w:rsidRPr="00296529" w:rsidRDefault="0025519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4C5D9E" w14:textId="77777777" w:rsidR="00255192" w:rsidRDefault="0025519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B02E25" w14:textId="77777777" w:rsidR="00255192" w:rsidRDefault="0025519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E720AD" w14:textId="77777777" w:rsidR="00255192" w:rsidRDefault="0025519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56027" w14:textId="2F2616D0" w:rsidR="00C04EA2" w:rsidRDefault="00C04EA2">
    <w:pPr>
      <w:pStyle w:val="Header"/>
    </w:pPr>
    <w:r>
      <w:rPr>
        <w:noProof/>
      </w:rPr>
      <w:pict w14:anchorId="76763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3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D68B" w14:textId="0FE65C15" w:rsidR="00C04EA2" w:rsidRDefault="00C04EA2">
    <w:pPr>
      <w:pStyle w:val="Header"/>
    </w:pPr>
    <w:r>
      <w:rPr>
        <w:noProof/>
      </w:rPr>
      <w:pict w14:anchorId="18A86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3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9A33" w14:textId="006EA0F3" w:rsidR="00C04EA2" w:rsidRDefault="00C04EA2">
    <w:pPr>
      <w:pStyle w:val="Header"/>
    </w:pPr>
    <w:r>
      <w:rPr>
        <w:noProof/>
      </w:rPr>
      <w:pict w14:anchorId="1F75A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3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DCA"/>
    <w:rsid w:val="000218B2"/>
    <w:rsid w:val="000218B6"/>
    <w:rsid w:val="00030174"/>
    <w:rsid w:val="000342E2"/>
    <w:rsid w:val="00042A52"/>
    <w:rsid w:val="0004579C"/>
    <w:rsid w:val="000A11BD"/>
    <w:rsid w:val="000A47FA"/>
    <w:rsid w:val="000A65D3"/>
    <w:rsid w:val="000A6B67"/>
    <w:rsid w:val="000B1E33"/>
    <w:rsid w:val="000D689F"/>
    <w:rsid w:val="000E7B7B"/>
    <w:rsid w:val="000E7D62"/>
    <w:rsid w:val="000F4DCE"/>
    <w:rsid w:val="00103357"/>
    <w:rsid w:val="00120F04"/>
    <w:rsid w:val="00123C9F"/>
    <w:rsid w:val="00126190"/>
    <w:rsid w:val="00130F17"/>
    <w:rsid w:val="001320BF"/>
    <w:rsid w:val="00140212"/>
    <w:rsid w:val="001406E1"/>
    <w:rsid w:val="00143D35"/>
    <w:rsid w:val="00163BC4"/>
    <w:rsid w:val="001803BB"/>
    <w:rsid w:val="00191062"/>
    <w:rsid w:val="00192B72"/>
    <w:rsid w:val="00197317"/>
    <w:rsid w:val="00197F18"/>
    <w:rsid w:val="001A29D8"/>
    <w:rsid w:val="001A5CAA"/>
    <w:rsid w:val="001B0427"/>
    <w:rsid w:val="001B1D0E"/>
    <w:rsid w:val="001D3A51"/>
    <w:rsid w:val="001E0DF9"/>
    <w:rsid w:val="001E10D2"/>
    <w:rsid w:val="001E25B4"/>
    <w:rsid w:val="001E44FE"/>
    <w:rsid w:val="001F0564"/>
    <w:rsid w:val="001F667A"/>
    <w:rsid w:val="00200595"/>
    <w:rsid w:val="00204835"/>
    <w:rsid w:val="00226D66"/>
    <w:rsid w:val="00231920"/>
    <w:rsid w:val="0023195C"/>
    <w:rsid w:val="00240B79"/>
    <w:rsid w:val="0024282C"/>
    <w:rsid w:val="002430F0"/>
    <w:rsid w:val="002460DC"/>
    <w:rsid w:val="00250985"/>
    <w:rsid w:val="00255192"/>
    <w:rsid w:val="002556F6"/>
    <w:rsid w:val="00273DF5"/>
    <w:rsid w:val="00276F21"/>
    <w:rsid w:val="00283105"/>
    <w:rsid w:val="00284C4C"/>
    <w:rsid w:val="00287E68"/>
    <w:rsid w:val="00296529"/>
    <w:rsid w:val="002B27FB"/>
    <w:rsid w:val="002B5A64"/>
    <w:rsid w:val="002B685A"/>
    <w:rsid w:val="002C57D2"/>
    <w:rsid w:val="002D6F94"/>
    <w:rsid w:val="002E0D56"/>
    <w:rsid w:val="002F0271"/>
    <w:rsid w:val="002F20A3"/>
    <w:rsid w:val="00306E78"/>
    <w:rsid w:val="00315186"/>
    <w:rsid w:val="00331BD0"/>
    <w:rsid w:val="0033343E"/>
    <w:rsid w:val="00340144"/>
    <w:rsid w:val="003414D4"/>
    <w:rsid w:val="00347640"/>
    <w:rsid w:val="00347A09"/>
    <w:rsid w:val="003512C2"/>
    <w:rsid w:val="00351A76"/>
    <w:rsid w:val="0035795E"/>
    <w:rsid w:val="00367EBC"/>
    <w:rsid w:val="00371FB6"/>
    <w:rsid w:val="003763C1"/>
    <w:rsid w:val="00376BBE"/>
    <w:rsid w:val="0038036B"/>
    <w:rsid w:val="00382D05"/>
    <w:rsid w:val="00385DCD"/>
    <w:rsid w:val="003904C0"/>
    <w:rsid w:val="0039224F"/>
    <w:rsid w:val="003A43A4"/>
    <w:rsid w:val="003A7E18"/>
    <w:rsid w:val="003C4C86"/>
    <w:rsid w:val="003C6258"/>
    <w:rsid w:val="003E2904"/>
    <w:rsid w:val="00400513"/>
    <w:rsid w:val="00401008"/>
    <w:rsid w:val="00401927"/>
    <w:rsid w:val="0041027F"/>
    <w:rsid w:val="00412475"/>
    <w:rsid w:val="00414A3D"/>
    <w:rsid w:val="00423789"/>
    <w:rsid w:val="00440F43"/>
    <w:rsid w:val="00441B6F"/>
    <w:rsid w:val="00441CA4"/>
    <w:rsid w:val="00446221"/>
    <w:rsid w:val="00450E62"/>
    <w:rsid w:val="004539DB"/>
    <w:rsid w:val="00465665"/>
    <w:rsid w:val="004712A3"/>
    <w:rsid w:val="00471A80"/>
    <w:rsid w:val="00472EE4"/>
    <w:rsid w:val="00491F93"/>
    <w:rsid w:val="004C7507"/>
    <w:rsid w:val="004D2BE1"/>
    <w:rsid w:val="004D305E"/>
    <w:rsid w:val="004D4277"/>
    <w:rsid w:val="004E20EE"/>
    <w:rsid w:val="004F194C"/>
    <w:rsid w:val="00502516"/>
    <w:rsid w:val="00505F06"/>
    <w:rsid w:val="00506828"/>
    <w:rsid w:val="00525920"/>
    <w:rsid w:val="00527163"/>
    <w:rsid w:val="0053056E"/>
    <w:rsid w:val="00532C63"/>
    <w:rsid w:val="00554FDA"/>
    <w:rsid w:val="00556BCF"/>
    <w:rsid w:val="00584C9F"/>
    <w:rsid w:val="005C784C"/>
    <w:rsid w:val="005D17F6"/>
    <w:rsid w:val="005E5539"/>
    <w:rsid w:val="00602BF5"/>
    <w:rsid w:val="00617FDD"/>
    <w:rsid w:val="0062256C"/>
    <w:rsid w:val="00624691"/>
    <w:rsid w:val="00633614"/>
    <w:rsid w:val="00633F68"/>
    <w:rsid w:val="00636EB2"/>
    <w:rsid w:val="006375B8"/>
    <w:rsid w:val="00643751"/>
    <w:rsid w:val="0066510A"/>
    <w:rsid w:val="00673F9F"/>
    <w:rsid w:val="00686953"/>
    <w:rsid w:val="00687DEA"/>
    <w:rsid w:val="00687E67"/>
    <w:rsid w:val="00693C71"/>
    <w:rsid w:val="006967F7"/>
    <w:rsid w:val="006A250C"/>
    <w:rsid w:val="006B21D3"/>
    <w:rsid w:val="006B57D0"/>
    <w:rsid w:val="006D2F13"/>
    <w:rsid w:val="006D30FF"/>
    <w:rsid w:val="006D6940"/>
    <w:rsid w:val="006F0FD0"/>
    <w:rsid w:val="006F11EC"/>
    <w:rsid w:val="0070082C"/>
    <w:rsid w:val="00701145"/>
    <w:rsid w:val="0070587F"/>
    <w:rsid w:val="007116A7"/>
    <w:rsid w:val="00715022"/>
    <w:rsid w:val="007369E6"/>
    <w:rsid w:val="0073750E"/>
    <w:rsid w:val="00743BE7"/>
    <w:rsid w:val="00746E59"/>
    <w:rsid w:val="00754C9A"/>
    <w:rsid w:val="0075599A"/>
    <w:rsid w:val="00761D52"/>
    <w:rsid w:val="00775E4C"/>
    <w:rsid w:val="0077749E"/>
    <w:rsid w:val="00790ADA"/>
    <w:rsid w:val="007B391F"/>
    <w:rsid w:val="007C5BF5"/>
    <w:rsid w:val="007D2288"/>
    <w:rsid w:val="007E02CD"/>
    <w:rsid w:val="007E088F"/>
    <w:rsid w:val="007E3236"/>
    <w:rsid w:val="007F0995"/>
    <w:rsid w:val="007F7B32"/>
    <w:rsid w:val="00804BC2"/>
    <w:rsid w:val="0081431A"/>
    <w:rsid w:val="0083216F"/>
    <w:rsid w:val="00860000"/>
    <w:rsid w:val="00863BD3"/>
    <w:rsid w:val="008641ED"/>
    <w:rsid w:val="00866D66"/>
    <w:rsid w:val="008671C6"/>
    <w:rsid w:val="00875803"/>
    <w:rsid w:val="00884210"/>
    <w:rsid w:val="008B459E"/>
    <w:rsid w:val="008C442A"/>
    <w:rsid w:val="008D0599"/>
    <w:rsid w:val="008E13AE"/>
    <w:rsid w:val="008E1506"/>
    <w:rsid w:val="008E710C"/>
    <w:rsid w:val="008F69D6"/>
    <w:rsid w:val="00900A1E"/>
    <w:rsid w:val="00902823"/>
    <w:rsid w:val="00902C49"/>
    <w:rsid w:val="00906068"/>
    <w:rsid w:val="00915CA6"/>
    <w:rsid w:val="00927834"/>
    <w:rsid w:val="009441FC"/>
    <w:rsid w:val="009466C0"/>
    <w:rsid w:val="009500A6"/>
    <w:rsid w:val="0095660D"/>
    <w:rsid w:val="00957C18"/>
    <w:rsid w:val="009659BA"/>
    <w:rsid w:val="00983040"/>
    <w:rsid w:val="009936A2"/>
    <w:rsid w:val="009A376D"/>
    <w:rsid w:val="009B3FB9"/>
    <w:rsid w:val="009B5D86"/>
    <w:rsid w:val="009B5F25"/>
    <w:rsid w:val="009C2465"/>
    <w:rsid w:val="009D35A0"/>
    <w:rsid w:val="009D7EB7"/>
    <w:rsid w:val="009E048A"/>
    <w:rsid w:val="009E08E9"/>
    <w:rsid w:val="009E3DB9"/>
    <w:rsid w:val="009E6E35"/>
    <w:rsid w:val="009F0EDA"/>
    <w:rsid w:val="009F6EE1"/>
    <w:rsid w:val="009F76F2"/>
    <w:rsid w:val="00A03B96"/>
    <w:rsid w:val="00A05B19"/>
    <w:rsid w:val="00A1134E"/>
    <w:rsid w:val="00A24E7E"/>
    <w:rsid w:val="00A258C3"/>
    <w:rsid w:val="00A31C93"/>
    <w:rsid w:val="00A347C0"/>
    <w:rsid w:val="00A34A3B"/>
    <w:rsid w:val="00A51431"/>
    <w:rsid w:val="00A531A0"/>
    <w:rsid w:val="00A539AD"/>
    <w:rsid w:val="00A94063"/>
    <w:rsid w:val="00AA6219"/>
    <w:rsid w:val="00AA74E0"/>
    <w:rsid w:val="00AB3E76"/>
    <w:rsid w:val="00AB703F"/>
    <w:rsid w:val="00AC6BB8"/>
    <w:rsid w:val="00AE008F"/>
    <w:rsid w:val="00AE17D0"/>
    <w:rsid w:val="00AF0853"/>
    <w:rsid w:val="00B01FCD"/>
    <w:rsid w:val="00B111D0"/>
    <w:rsid w:val="00B1776C"/>
    <w:rsid w:val="00B2013F"/>
    <w:rsid w:val="00B45594"/>
    <w:rsid w:val="00B52583"/>
    <w:rsid w:val="00B52896"/>
    <w:rsid w:val="00B641D2"/>
    <w:rsid w:val="00B70C74"/>
    <w:rsid w:val="00B81577"/>
    <w:rsid w:val="00B92832"/>
    <w:rsid w:val="00B95236"/>
    <w:rsid w:val="00B96BD9"/>
    <w:rsid w:val="00BA1B01"/>
    <w:rsid w:val="00BA2641"/>
    <w:rsid w:val="00BA27BD"/>
    <w:rsid w:val="00BB37AA"/>
    <w:rsid w:val="00BB5A6C"/>
    <w:rsid w:val="00BC53A0"/>
    <w:rsid w:val="00BC79F9"/>
    <w:rsid w:val="00BD3B26"/>
    <w:rsid w:val="00BD6BF1"/>
    <w:rsid w:val="00BE62AD"/>
    <w:rsid w:val="00BF121F"/>
    <w:rsid w:val="00BF1F80"/>
    <w:rsid w:val="00C03AA0"/>
    <w:rsid w:val="00C04EA2"/>
    <w:rsid w:val="00C14B47"/>
    <w:rsid w:val="00C166EF"/>
    <w:rsid w:val="00C17EB0"/>
    <w:rsid w:val="00C226D3"/>
    <w:rsid w:val="00C27F5F"/>
    <w:rsid w:val="00C30A0F"/>
    <w:rsid w:val="00C3757C"/>
    <w:rsid w:val="00C37E61"/>
    <w:rsid w:val="00C478F4"/>
    <w:rsid w:val="00C5196C"/>
    <w:rsid w:val="00C65E7B"/>
    <w:rsid w:val="00C70F1B"/>
    <w:rsid w:val="00C71A47"/>
    <w:rsid w:val="00C7464C"/>
    <w:rsid w:val="00C76F72"/>
    <w:rsid w:val="00C83896"/>
    <w:rsid w:val="00C85588"/>
    <w:rsid w:val="00CC0B9D"/>
    <w:rsid w:val="00CD103F"/>
    <w:rsid w:val="00CD6755"/>
    <w:rsid w:val="00CD6856"/>
    <w:rsid w:val="00CE0089"/>
    <w:rsid w:val="00CE793C"/>
    <w:rsid w:val="00CF193C"/>
    <w:rsid w:val="00D14DF3"/>
    <w:rsid w:val="00D173F1"/>
    <w:rsid w:val="00D22867"/>
    <w:rsid w:val="00D43C06"/>
    <w:rsid w:val="00D735CC"/>
    <w:rsid w:val="00D74CB0"/>
    <w:rsid w:val="00D8295D"/>
    <w:rsid w:val="00D96C44"/>
    <w:rsid w:val="00DC2A65"/>
    <w:rsid w:val="00DE15F0"/>
    <w:rsid w:val="00DE5663"/>
    <w:rsid w:val="00DE5F64"/>
    <w:rsid w:val="00DE78AA"/>
    <w:rsid w:val="00DF3123"/>
    <w:rsid w:val="00E053D0"/>
    <w:rsid w:val="00E05B56"/>
    <w:rsid w:val="00E15994"/>
    <w:rsid w:val="00E3114E"/>
    <w:rsid w:val="00E31A70"/>
    <w:rsid w:val="00E35B02"/>
    <w:rsid w:val="00E35EE8"/>
    <w:rsid w:val="00E66496"/>
    <w:rsid w:val="00E66B35"/>
    <w:rsid w:val="00E66E10"/>
    <w:rsid w:val="00E7318D"/>
    <w:rsid w:val="00E769F6"/>
    <w:rsid w:val="00E8407C"/>
    <w:rsid w:val="00E84F3C"/>
    <w:rsid w:val="00E90022"/>
    <w:rsid w:val="00EA012C"/>
    <w:rsid w:val="00EC6A55"/>
    <w:rsid w:val="00ED0288"/>
    <w:rsid w:val="00EE52CB"/>
    <w:rsid w:val="00EF09CB"/>
    <w:rsid w:val="00EF581D"/>
    <w:rsid w:val="00EF7FD8"/>
    <w:rsid w:val="00F06F59"/>
    <w:rsid w:val="00F11224"/>
    <w:rsid w:val="00F17988"/>
    <w:rsid w:val="00F469F0"/>
    <w:rsid w:val="00F5050A"/>
    <w:rsid w:val="00F53273"/>
    <w:rsid w:val="00F638B2"/>
    <w:rsid w:val="00F755E4"/>
    <w:rsid w:val="00F77D02"/>
    <w:rsid w:val="00FB31AB"/>
    <w:rsid w:val="00FB3A86"/>
    <w:rsid w:val="00FC6109"/>
    <w:rsid w:val="00FD22BC"/>
    <w:rsid w:val="00FD2A2C"/>
    <w:rsid w:val="00FD36C8"/>
    <w:rsid w:val="00FF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25E5F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81577"/>
    <w:pPr>
      <w:spacing w:before="100" w:beforeAutospacing="1" w:after="100" w:afterAutospacing="1"/>
    </w:pPr>
    <w:rPr>
      <w:rFonts w:ascii="Times New Roman" w:hAnsi="Times New Roman"/>
      <w:sz w:val="24"/>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234720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7445353">
      <w:bodyDiv w:val="1"/>
      <w:marLeft w:val="0"/>
      <w:marRight w:val="0"/>
      <w:marTop w:val="0"/>
      <w:marBottom w:val="0"/>
      <w:divBdr>
        <w:top w:val="none" w:sz="0" w:space="0" w:color="auto"/>
        <w:left w:val="none" w:sz="0" w:space="0" w:color="auto"/>
        <w:bottom w:val="none" w:sz="0" w:space="0" w:color="auto"/>
        <w:right w:val="none" w:sz="0" w:space="0" w:color="auto"/>
      </w:divBdr>
    </w:div>
    <w:div w:id="81534334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062179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doi.org/10.3390/w12071855" TargetMode="External"/><Relationship Id="rId39" Type="http://schemas.openxmlformats.org/officeDocument/2006/relationships/hyperlink" Target="https://doi.org/10.1016/j.jhazmat.2024.136322" TargetMode="External"/><Relationship Id="rId21" Type="http://schemas.openxmlformats.org/officeDocument/2006/relationships/hyperlink" Target="https://doi.org/10.1038/s43247-025-02781-5" TargetMode="External"/><Relationship Id="rId34" Type="http://schemas.openxmlformats.org/officeDocument/2006/relationships/hyperlink" Target="https://doi.org/10.1016/j.dwt.2024.100446" TargetMode="External"/><Relationship Id="rId42" Type="http://schemas.openxmlformats.org/officeDocument/2006/relationships/hyperlink" Target="https://doi.org/10.46544/AMS.v28i1.17" TargetMode="External"/><Relationship Id="rId47" Type="http://schemas.openxmlformats.org/officeDocument/2006/relationships/hyperlink" Target="https://doi.org/10.3390/su132111913" TargetMode="External"/><Relationship Id="rId50" Type="http://schemas.openxmlformats.org/officeDocument/2006/relationships/hyperlink" Target="https://doi.org/10.20885/ijca.vol8.iss2.art2" TargetMode="External"/><Relationship Id="rId55" Type="http://schemas.openxmlformats.org/officeDocument/2006/relationships/hyperlink" Target="https://doi.org/10.9734/irjpac/2025/v26i595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1039/D4RA04639K" TargetMode="External"/><Relationship Id="rId11" Type="http://schemas.openxmlformats.org/officeDocument/2006/relationships/footer" Target="footer2.xml"/><Relationship Id="rId24" Type="http://schemas.openxmlformats.org/officeDocument/2006/relationships/hyperlink" Target="https://doi.org/10.1016/j.clce.2025.100193" TargetMode="External"/><Relationship Id="rId32" Type="http://schemas.openxmlformats.org/officeDocument/2006/relationships/hyperlink" Target="https://doi.org/10.1038/s41598-025-13357-w" TargetMode="External"/><Relationship Id="rId37" Type="http://schemas.openxmlformats.org/officeDocument/2006/relationships/hyperlink" Target="https://doi.org/10.9734/irjpac/2025/v26i1898" TargetMode="External"/><Relationship Id="rId40" Type="http://schemas.openxmlformats.org/officeDocument/2006/relationships/hyperlink" Target="https://doi.org/10.1007/s11270-020-04863-w" TargetMode="External"/><Relationship Id="rId45" Type="http://schemas.openxmlformats.org/officeDocument/2006/relationships/hyperlink" Target="https://doi.org/10.18596/jotcsa.1321183" TargetMode="External"/><Relationship Id="rId53" Type="http://schemas.openxmlformats.org/officeDocument/2006/relationships/hyperlink" Target="https://doi.org/10.9734/irjpac/2026/v27i1978" TargetMode="External"/><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hyperlink" Target="https://doi.org/10.1002/9781119693635.ch15" TargetMode="External"/><Relationship Id="rId27" Type="http://schemas.openxmlformats.org/officeDocument/2006/relationships/hyperlink" Target="https://doi.org/10.1007/398_2020_59" TargetMode="External"/><Relationship Id="rId30" Type="http://schemas.openxmlformats.org/officeDocument/2006/relationships/hyperlink" Target="https://doi.org/10.1016/j.ecofro.2025.10.009" TargetMode="External"/><Relationship Id="rId35" Type="http://schemas.openxmlformats.org/officeDocument/2006/relationships/hyperlink" Target="https://doi.org/10.3390/polym16141959" TargetMode="External"/><Relationship Id="rId43" Type="http://schemas.openxmlformats.org/officeDocument/2006/relationships/hyperlink" Target="https://doi.org/10.1016/j.jenvman.2020.111555" TargetMode="External"/><Relationship Id="rId48" Type="http://schemas.openxmlformats.org/officeDocument/2006/relationships/hyperlink" Target="https://doi.org/10.1007/s13369-021-05525-7" TargetMode="External"/><Relationship Id="rId56" Type="http://schemas.openxmlformats.org/officeDocument/2006/relationships/hyperlink" Target="https://doi.org/10.1039/D0RA03017A" TargetMode="External"/><Relationship Id="rId8" Type="http://schemas.openxmlformats.org/officeDocument/2006/relationships/header" Target="header1.xml"/><Relationship Id="rId51" Type="http://schemas.openxmlformats.org/officeDocument/2006/relationships/hyperlink" Target="https://doi.org/10.1038/s41598-023-30634-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3389/fceng.2024.1334816" TargetMode="External"/><Relationship Id="rId33" Type="http://schemas.openxmlformats.org/officeDocument/2006/relationships/hyperlink" Target="https://doi.org/10.3389/frwa.2025.1694963" TargetMode="External"/><Relationship Id="rId38" Type="http://schemas.openxmlformats.org/officeDocument/2006/relationships/hyperlink" Target="https://doi.org/10.3390/su17198562" TargetMode="External"/><Relationship Id="rId46" Type="http://schemas.openxmlformats.org/officeDocument/2006/relationships/hyperlink" Target="https://doi.org/10.2166/wst.2020.208" TargetMode="External"/><Relationship Id="rId59" Type="http://schemas.openxmlformats.org/officeDocument/2006/relationships/footer" Target="footer4.xml"/><Relationship Id="rId20" Type="http://schemas.openxmlformats.org/officeDocument/2006/relationships/hyperlink" Target="https://doi.org/10.3390/su17167368" TargetMode="External"/><Relationship Id="rId41" Type="http://schemas.openxmlformats.org/officeDocument/2006/relationships/hyperlink" Target="https://doi.org/10.1007/s11270-020-04863-w" TargetMode="External"/><Relationship Id="rId54" Type="http://schemas.openxmlformats.org/officeDocument/2006/relationships/hyperlink" Target="https://doi.org/10.1007/978-3-031-95200-5_3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3390/molecules30071455" TargetMode="External"/><Relationship Id="rId28" Type="http://schemas.openxmlformats.org/officeDocument/2006/relationships/hyperlink" Target="https://doi.org/10.1007/s44274-025-00475-5" TargetMode="External"/><Relationship Id="rId36" Type="http://schemas.openxmlformats.org/officeDocument/2006/relationships/hyperlink" Target="https://doi.org/10.1039/D4EW01024H" TargetMode="External"/><Relationship Id="rId49" Type="http://schemas.openxmlformats.org/officeDocument/2006/relationships/hyperlink" Target="https://doi.org/10.5281/zenodo.3643035"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doi.org/10.1007/s10068-023-01431-w" TargetMode="External"/><Relationship Id="rId44" Type="http://schemas.openxmlformats.org/officeDocument/2006/relationships/hyperlink" Target="https://doi.org/10.1038/s41545-021-00127-0" TargetMode="External"/><Relationship Id="rId52" Type="http://schemas.openxmlformats.org/officeDocument/2006/relationships/hyperlink" Target="https://doi.org/10.1186/s44147-023-00218-4"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brzina!$L$2</c:f>
              <c:strCache>
                <c:ptCount val="1"/>
                <c:pt idx="0">
                  <c:v>Cu(II)</c:v>
                </c:pt>
              </c:strCache>
            </c:strRef>
          </c:tx>
          <c:spPr>
            <a:solidFill>
              <a:srgbClr val="0070C0"/>
            </a:solidFill>
            <a:ln>
              <a:noFill/>
            </a:ln>
            <a:effectLst/>
          </c:spPr>
          <c:invertIfNegative val="0"/>
          <c:cat>
            <c:numRef>
              <c:f>brzina!$K$3:$K$6</c:f>
              <c:numCache>
                <c:formatCode>General</c:formatCode>
                <c:ptCount val="4"/>
                <c:pt idx="0">
                  <c:v>0</c:v>
                </c:pt>
                <c:pt idx="1">
                  <c:v>100</c:v>
                </c:pt>
                <c:pt idx="2">
                  <c:v>300</c:v>
                </c:pt>
                <c:pt idx="3">
                  <c:v>800</c:v>
                </c:pt>
              </c:numCache>
            </c:numRef>
          </c:cat>
          <c:val>
            <c:numRef>
              <c:f>brzina!$L$3:$L$6</c:f>
              <c:numCache>
                <c:formatCode>General</c:formatCode>
                <c:ptCount val="4"/>
                <c:pt idx="0">
                  <c:v>99.825000000000003</c:v>
                </c:pt>
                <c:pt idx="1">
                  <c:v>99.983000000000004</c:v>
                </c:pt>
                <c:pt idx="2">
                  <c:v>99.984999999999999</c:v>
                </c:pt>
                <c:pt idx="3">
                  <c:v>99.991</c:v>
                </c:pt>
              </c:numCache>
            </c:numRef>
          </c:val>
          <c:extLst>
            <c:ext xmlns:c16="http://schemas.microsoft.com/office/drawing/2014/chart" uri="{C3380CC4-5D6E-409C-BE32-E72D297353CC}">
              <c16:uniqueId val="{00000000-AEA5-47BD-AC95-DAEAB4B83333}"/>
            </c:ext>
          </c:extLst>
        </c:ser>
        <c:ser>
          <c:idx val="1"/>
          <c:order val="1"/>
          <c:tx>
            <c:strRef>
              <c:f>brzina!$M$2</c:f>
              <c:strCache>
                <c:ptCount val="1"/>
                <c:pt idx="0">
                  <c:v>Ni(II)</c:v>
                </c:pt>
              </c:strCache>
            </c:strRef>
          </c:tx>
          <c:spPr>
            <a:solidFill>
              <a:schemeClr val="accent2"/>
            </a:solidFill>
            <a:ln>
              <a:noFill/>
            </a:ln>
            <a:effectLst/>
          </c:spPr>
          <c:invertIfNegative val="0"/>
          <c:cat>
            <c:numRef>
              <c:f>brzina!$K$3:$K$6</c:f>
              <c:numCache>
                <c:formatCode>General</c:formatCode>
                <c:ptCount val="4"/>
                <c:pt idx="0">
                  <c:v>0</c:v>
                </c:pt>
                <c:pt idx="1">
                  <c:v>100</c:v>
                </c:pt>
                <c:pt idx="2">
                  <c:v>300</c:v>
                </c:pt>
                <c:pt idx="3">
                  <c:v>800</c:v>
                </c:pt>
              </c:numCache>
            </c:numRef>
          </c:cat>
          <c:val>
            <c:numRef>
              <c:f>brzina!$M$3:$M$6</c:f>
              <c:numCache>
                <c:formatCode>General</c:formatCode>
                <c:ptCount val="4"/>
                <c:pt idx="0">
                  <c:v>95.012</c:v>
                </c:pt>
                <c:pt idx="1">
                  <c:v>95.018000000000001</c:v>
                </c:pt>
                <c:pt idx="2">
                  <c:v>95.02</c:v>
                </c:pt>
                <c:pt idx="3">
                  <c:v>94.046999999999997</c:v>
                </c:pt>
              </c:numCache>
            </c:numRef>
          </c:val>
          <c:extLst>
            <c:ext xmlns:c16="http://schemas.microsoft.com/office/drawing/2014/chart" uri="{C3380CC4-5D6E-409C-BE32-E72D297353CC}">
              <c16:uniqueId val="{00000001-AEA5-47BD-AC95-DAEAB4B83333}"/>
            </c:ext>
          </c:extLst>
        </c:ser>
        <c:ser>
          <c:idx val="2"/>
          <c:order val="2"/>
          <c:tx>
            <c:strRef>
              <c:f>brzina!$N$2</c:f>
              <c:strCache>
                <c:ptCount val="1"/>
                <c:pt idx="0">
                  <c:v>Pb(II)</c:v>
                </c:pt>
              </c:strCache>
            </c:strRef>
          </c:tx>
          <c:spPr>
            <a:solidFill>
              <a:schemeClr val="tx1">
                <a:lumMod val="75000"/>
                <a:lumOff val="25000"/>
              </a:schemeClr>
            </a:solidFill>
            <a:ln>
              <a:solidFill>
                <a:schemeClr val="bg1">
                  <a:lumMod val="50000"/>
                </a:schemeClr>
              </a:solidFill>
            </a:ln>
            <a:effectLst/>
          </c:spPr>
          <c:invertIfNegative val="0"/>
          <c:cat>
            <c:numRef>
              <c:f>brzina!$K$3:$K$6</c:f>
              <c:numCache>
                <c:formatCode>General</c:formatCode>
                <c:ptCount val="4"/>
                <c:pt idx="0">
                  <c:v>0</c:v>
                </c:pt>
                <c:pt idx="1">
                  <c:v>100</c:v>
                </c:pt>
                <c:pt idx="2">
                  <c:v>300</c:v>
                </c:pt>
                <c:pt idx="3">
                  <c:v>800</c:v>
                </c:pt>
              </c:numCache>
            </c:numRef>
          </c:cat>
          <c:val>
            <c:numRef>
              <c:f>brzina!$N$3:$N$6</c:f>
              <c:numCache>
                <c:formatCode>General</c:formatCode>
                <c:ptCount val="4"/>
                <c:pt idx="0">
                  <c:v>82.602999999999994</c:v>
                </c:pt>
                <c:pt idx="1">
                  <c:v>86.64</c:v>
                </c:pt>
                <c:pt idx="2">
                  <c:v>89.846999999999994</c:v>
                </c:pt>
                <c:pt idx="3">
                  <c:v>94.334000000000003</c:v>
                </c:pt>
              </c:numCache>
            </c:numRef>
          </c:val>
          <c:extLst>
            <c:ext xmlns:c16="http://schemas.microsoft.com/office/drawing/2014/chart" uri="{C3380CC4-5D6E-409C-BE32-E72D297353CC}">
              <c16:uniqueId val="{00000002-AEA5-47BD-AC95-DAEAB4B83333}"/>
            </c:ext>
          </c:extLst>
        </c:ser>
        <c:ser>
          <c:idx val="3"/>
          <c:order val="3"/>
          <c:tx>
            <c:strRef>
              <c:f>brzina!$O$2</c:f>
              <c:strCache>
                <c:ptCount val="1"/>
                <c:pt idx="0">
                  <c:v>Zn(II)</c:v>
                </c:pt>
              </c:strCache>
            </c:strRef>
          </c:tx>
          <c:spPr>
            <a:solidFill>
              <a:schemeClr val="accent4"/>
            </a:solidFill>
            <a:ln>
              <a:noFill/>
            </a:ln>
            <a:effectLst/>
          </c:spPr>
          <c:invertIfNegative val="0"/>
          <c:cat>
            <c:numRef>
              <c:f>brzina!$K$3:$K$6</c:f>
              <c:numCache>
                <c:formatCode>General</c:formatCode>
                <c:ptCount val="4"/>
                <c:pt idx="0">
                  <c:v>0</c:v>
                </c:pt>
                <c:pt idx="1">
                  <c:v>100</c:v>
                </c:pt>
                <c:pt idx="2">
                  <c:v>300</c:v>
                </c:pt>
                <c:pt idx="3">
                  <c:v>800</c:v>
                </c:pt>
              </c:numCache>
            </c:numRef>
          </c:cat>
          <c:val>
            <c:numRef>
              <c:f>brzina!$O$3:$O$6</c:f>
              <c:numCache>
                <c:formatCode>General</c:formatCode>
                <c:ptCount val="4"/>
                <c:pt idx="0">
                  <c:v>99.24</c:v>
                </c:pt>
                <c:pt idx="1">
                  <c:v>99.325000000000003</c:v>
                </c:pt>
                <c:pt idx="2">
                  <c:v>99.343000000000004</c:v>
                </c:pt>
                <c:pt idx="3">
                  <c:v>99.358999999999995</c:v>
                </c:pt>
              </c:numCache>
            </c:numRef>
          </c:val>
          <c:extLst>
            <c:ext xmlns:c16="http://schemas.microsoft.com/office/drawing/2014/chart" uri="{C3380CC4-5D6E-409C-BE32-E72D297353CC}">
              <c16:uniqueId val="{00000003-AEA5-47BD-AC95-DAEAB4B83333}"/>
            </c:ext>
          </c:extLst>
        </c:ser>
        <c:dLbls>
          <c:showLegendKey val="0"/>
          <c:showVal val="0"/>
          <c:showCatName val="0"/>
          <c:showSerName val="0"/>
          <c:showPercent val="0"/>
          <c:showBubbleSize val="0"/>
        </c:dLbls>
        <c:gapWidth val="219"/>
        <c:overlap val="-27"/>
        <c:axId val="827740527"/>
        <c:axId val="908823999"/>
      </c:barChart>
      <c:catAx>
        <c:axId val="827740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08823999"/>
        <c:crosses val="autoZero"/>
        <c:auto val="1"/>
        <c:lblAlgn val="ctr"/>
        <c:lblOffset val="100"/>
        <c:noMultiLvlLbl val="0"/>
      </c:catAx>
      <c:valAx>
        <c:axId val="908823999"/>
        <c:scaling>
          <c:orientation val="minMax"/>
          <c:max val="100"/>
          <c:min val="8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27740527"/>
        <c:crosses val="autoZero"/>
        <c:crossBetween val="between"/>
        <c:majorUnit val="5"/>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brzina!$G$18</c:f>
              <c:strCache>
                <c:ptCount val="1"/>
                <c:pt idx="0">
                  <c:v>Cu(II) </c:v>
                </c:pt>
              </c:strCache>
            </c:strRef>
          </c:tx>
          <c:spPr>
            <a:solidFill>
              <a:srgbClr val="0070C0"/>
            </a:solidFill>
            <a:ln>
              <a:noFill/>
            </a:ln>
            <a:effectLst/>
          </c:spPr>
          <c:invertIfNegative val="0"/>
          <c:cat>
            <c:numRef>
              <c:f>brzina!$F$19:$F$22</c:f>
              <c:numCache>
                <c:formatCode>General</c:formatCode>
                <c:ptCount val="4"/>
                <c:pt idx="0">
                  <c:v>0</c:v>
                </c:pt>
                <c:pt idx="1">
                  <c:v>100</c:v>
                </c:pt>
                <c:pt idx="2">
                  <c:v>300</c:v>
                </c:pt>
                <c:pt idx="3">
                  <c:v>800</c:v>
                </c:pt>
              </c:numCache>
            </c:numRef>
          </c:cat>
          <c:val>
            <c:numRef>
              <c:f>brzina!$G$19:$G$22</c:f>
              <c:numCache>
                <c:formatCode>General</c:formatCode>
                <c:ptCount val="4"/>
                <c:pt idx="0">
                  <c:v>96.224000000000004</c:v>
                </c:pt>
                <c:pt idx="1">
                  <c:v>96.394000000000005</c:v>
                </c:pt>
                <c:pt idx="2">
                  <c:v>96.225999999999999</c:v>
                </c:pt>
                <c:pt idx="3">
                  <c:v>96.221999999999994</c:v>
                </c:pt>
              </c:numCache>
            </c:numRef>
          </c:val>
          <c:extLst>
            <c:ext xmlns:c16="http://schemas.microsoft.com/office/drawing/2014/chart" uri="{C3380CC4-5D6E-409C-BE32-E72D297353CC}">
              <c16:uniqueId val="{00000000-AD4F-458A-BC5C-40A0A5473123}"/>
            </c:ext>
          </c:extLst>
        </c:ser>
        <c:ser>
          <c:idx val="1"/>
          <c:order val="1"/>
          <c:tx>
            <c:strRef>
              <c:f>brzina!$H$18</c:f>
              <c:strCache>
                <c:ptCount val="1"/>
                <c:pt idx="0">
                  <c:v>Ni(II)</c:v>
                </c:pt>
              </c:strCache>
            </c:strRef>
          </c:tx>
          <c:spPr>
            <a:solidFill>
              <a:schemeClr val="accent2"/>
            </a:solidFill>
            <a:ln>
              <a:noFill/>
            </a:ln>
            <a:effectLst/>
          </c:spPr>
          <c:invertIfNegative val="0"/>
          <c:cat>
            <c:numRef>
              <c:f>brzina!$F$19:$F$22</c:f>
              <c:numCache>
                <c:formatCode>General</c:formatCode>
                <c:ptCount val="4"/>
                <c:pt idx="0">
                  <c:v>0</c:v>
                </c:pt>
                <c:pt idx="1">
                  <c:v>100</c:v>
                </c:pt>
                <c:pt idx="2">
                  <c:v>300</c:v>
                </c:pt>
                <c:pt idx="3">
                  <c:v>800</c:v>
                </c:pt>
              </c:numCache>
            </c:numRef>
          </c:cat>
          <c:val>
            <c:numRef>
              <c:f>brzina!$H$19:$H$22</c:f>
              <c:numCache>
                <c:formatCode>General</c:formatCode>
                <c:ptCount val="4"/>
                <c:pt idx="0">
                  <c:v>95.522999999999996</c:v>
                </c:pt>
                <c:pt idx="1">
                  <c:v>95.528000000000006</c:v>
                </c:pt>
                <c:pt idx="2">
                  <c:v>95.516999999999996</c:v>
                </c:pt>
                <c:pt idx="3">
                  <c:v>95.519000000000005</c:v>
                </c:pt>
              </c:numCache>
            </c:numRef>
          </c:val>
          <c:extLst>
            <c:ext xmlns:c16="http://schemas.microsoft.com/office/drawing/2014/chart" uri="{C3380CC4-5D6E-409C-BE32-E72D297353CC}">
              <c16:uniqueId val="{00000001-AD4F-458A-BC5C-40A0A5473123}"/>
            </c:ext>
          </c:extLst>
        </c:ser>
        <c:dLbls>
          <c:showLegendKey val="0"/>
          <c:showVal val="0"/>
          <c:showCatName val="0"/>
          <c:showSerName val="0"/>
          <c:showPercent val="0"/>
          <c:showBubbleSize val="0"/>
        </c:dLbls>
        <c:gapWidth val="219"/>
        <c:overlap val="-27"/>
        <c:axId val="833516175"/>
        <c:axId val="1089505599"/>
      </c:barChart>
      <c:catAx>
        <c:axId val="833516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89505599"/>
        <c:crosses val="autoZero"/>
        <c:auto val="1"/>
        <c:lblAlgn val="ctr"/>
        <c:lblOffset val="100"/>
        <c:noMultiLvlLbl val="0"/>
      </c:catAx>
      <c:valAx>
        <c:axId val="1089505599"/>
        <c:scaling>
          <c:orientation val="minMax"/>
          <c:max val="100"/>
          <c:min val="9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33516175"/>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brzina!$F$10</c:f>
              <c:strCache>
                <c:ptCount val="1"/>
                <c:pt idx="0">
                  <c:v>Pb(II) </c:v>
                </c:pt>
              </c:strCache>
            </c:strRef>
          </c:tx>
          <c:spPr>
            <a:solidFill>
              <a:schemeClr val="tx1">
                <a:lumMod val="75000"/>
                <a:lumOff val="25000"/>
              </a:schemeClr>
            </a:solidFill>
            <a:ln>
              <a:solidFill>
                <a:schemeClr val="tx1">
                  <a:lumMod val="75000"/>
                  <a:lumOff val="25000"/>
                </a:schemeClr>
              </a:solidFill>
            </a:ln>
            <a:effectLst/>
          </c:spPr>
          <c:invertIfNegative val="0"/>
          <c:cat>
            <c:numRef>
              <c:f>brzina!$E$11:$E$14</c:f>
              <c:numCache>
                <c:formatCode>General</c:formatCode>
                <c:ptCount val="4"/>
                <c:pt idx="0">
                  <c:v>0</c:v>
                </c:pt>
                <c:pt idx="1">
                  <c:v>100</c:v>
                </c:pt>
                <c:pt idx="2">
                  <c:v>300</c:v>
                </c:pt>
                <c:pt idx="3">
                  <c:v>800</c:v>
                </c:pt>
              </c:numCache>
            </c:numRef>
          </c:cat>
          <c:val>
            <c:numRef>
              <c:f>brzina!$F$11:$F$14</c:f>
              <c:numCache>
                <c:formatCode>General</c:formatCode>
                <c:ptCount val="4"/>
                <c:pt idx="0">
                  <c:v>98.14</c:v>
                </c:pt>
                <c:pt idx="1">
                  <c:v>98.561000000000007</c:v>
                </c:pt>
                <c:pt idx="2">
                  <c:v>97.947999999999993</c:v>
                </c:pt>
                <c:pt idx="3">
                  <c:v>98.634</c:v>
                </c:pt>
              </c:numCache>
            </c:numRef>
          </c:val>
          <c:extLst>
            <c:ext xmlns:c16="http://schemas.microsoft.com/office/drawing/2014/chart" uri="{C3380CC4-5D6E-409C-BE32-E72D297353CC}">
              <c16:uniqueId val="{00000000-5E42-4E01-AA91-2815A18CD2FB}"/>
            </c:ext>
          </c:extLst>
        </c:ser>
        <c:ser>
          <c:idx val="1"/>
          <c:order val="1"/>
          <c:tx>
            <c:strRef>
              <c:f>brzina!$G$10</c:f>
              <c:strCache>
                <c:ptCount val="1"/>
                <c:pt idx="0">
                  <c:v>Zn(II)</c:v>
                </c:pt>
              </c:strCache>
            </c:strRef>
          </c:tx>
          <c:spPr>
            <a:solidFill>
              <a:schemeClr val="accent4"/>
            </a:solidFill>
            <a:ln>
              <a:solidFill>
                <a:schemeClr val="accent4"/>
              </a:solidFill>
            </a:ln>
            <a:effectLst/>
          </c:spPr>
          <c:invertIfNegative val="0"/>
          <c:cat>
            <c:numRef>
              <c:f>brzina!$E$11:$E$14</c:f>
              <c:numCache>
                <c:formatCode>General</c:formatCode>
                <c:ptCount val="4"/>
                <c:pt idx="0">
                  <c:v>0</c:v>
                </c:pt>
                <c:pt idx="1">
                  <c:v>100</c:v>
                </c:pt>
                <c:pt idx="2">
                  <c:v>300</c:v>
                </c:pt>
                <c:pt idx="3">
                  <c:v>800</c:v>
                </c:pt>
              </c:numCache>
            </c:numRef>
          </c:cat>
          <c:val>
            <c:numRef>
              <c:f>brzina!$G$11:$G$14</c:f>
              <c:numCache>
                <c:formatCode>General</c:formatCode>
                <c:ptCount val="4"/>
                <c:pt idx="0">
                  <c:v>99.247</c:v>
                </c:pt>
                <c:pt idx="1">
                  <c:v>99.283000000000001</c:v>
                </c:pt>
                <c:pt idx="2">
                  <c:v>99.284999999999997</c:v>
                </c:pt>
                <c:pt idx="3">
                  <c:v>99.293000000000006</c:v>
                </c:pt>
              </c:numCache>
            </c:numRef>
          </c:val>
          <c:extLst>
            <c:ext xmlns:c16="http://schemas.microsoft.com/office/drawing/2014/chart" uri="{C3380CC4-5D6E-409C-BE32-E72D297353CC}">
              <c16:uniqueId val="{00000001-5E42-4E01-AA91-2815A18CD2FB}"/>
            </c:ext>
          </c:extLst>
        </c:ser>
        <c:dLbls>
          <c:showLegendKey val="0"/>
          <c:showVal val="0"/>
          <c:showCatName val="0"/>
          <c:showSerName val="0"/>
          <c:showPercent val="0"/>
          <c:showBubbleSize val="0"/>
        </c:dLbls>
        <c:gapWidth val="219"/>
        <c:overlap val="-27"/>
        <c:axId val="899554319"/>
        <c:axId val="1089522239"/>
      </c:barChart>
      <c:catAx>
        <c:axId val="8995543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89522239"/>
        <c:crosses val="autoZero"/>
        <c:auto val="1"/>
        <c:lblAlgn val="ctr"/>
        <c:lblOffset val="100"/>
        <c:noMultiLvlLbl val="0"/>
      </c:catAx>
      <c:valAx>
        <c:axId val="1089522239"/>
        <c:scaling>
          <c:orientation val="minMax"/>
          <c:max val="100"/>
          <c:min val="9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9554319"/>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brzina!$L$2</c:f>
              <c:strCache>
                <c:ptCount val="1"/>
                <c:pt idx="0">
                  <c:v>Cu(II)</c:v>
                </c:pt>
              </c:strCache>
            </c:strRef>
          </c:tx>
          <c:spPr>
            <a:solidFill>
              <a:srgbClr val="0070C0"/>
            </a:solidFill>
            <a:ln>
              <a:noFill/>
            </a:ln>
            <a:effectLst/>
          </c:spPr>
          <c:invertIfNegative val="0"/>
          <c:cat>
            <c:numRef>
              <c:f>brzina!$K$3:$K$6</c:f>
              <c:numCache>
                <c:formatCode>General</c:formatCode>
                <c:ptCount val="3"/>
                <c:pt idx="0">
                  <c:v>0</c:v>
                </c:pt>
                <c:pt idx="1">
                  <c:v>15</c:v>
                </c:pt>
                <c:pt idx="2">
                  <c:v>30</c:v>
                </c:pt>
              </c:numCache>
            </c:numRef>
          </c:cat>
          <c:val>
            <c:numRef>
              <c:f>brzina!$L$3:$L$6</c:f>
              <c:numCache>
                <c:formatCode>General</c:formatCode>
                <c:ptCount val="3"/>
                <c:pt idx="0">
                  <c:v>99.869</c:v>
                </c:pt>
                <c:pt idx="1">
                  <c:v>99.99</c:v>
                </c:pt>
                <c:pt idx="2">
                  <c:v>99.992999999999995</c:v>
                </c:pt>
              </c:numCache>
            </c:numRef>
          </c:val>
          <c:extLst>
            <c:ext xmlns:c16="http://schemas.microsoft.com/office/drawing/2014/chart" uri="{C3380CC4-5D6E-409C-BE32-E72D297353CC}">
              <c16:uniqueId val="{00000000-CB4F-4F2F-9447-C102010A77E8}"/>
            </c:ext>
          </c:extLst>
        </c:ser>
        <c:ser>
          <c:idx val="1"/>
          <c:order val="1"/>
          <c:tx>
            <c:strRef>
              <c:f>brzina!$M$2</c:f>
              <c:strCache>
                <c:ptCount val="1"/>
                <c:pt idx="0">
                  <c:v>Ni(II)</c:v>
                </c:pt>
              </c:strCache>
            </c:strRef>
          </c:tx>
          <c:spPr>
            <a:solidFill>
              <a:schemeClr val="accent2"/>
            </a:solidFill>
            <a:ln>
              <a:noFill/>
            </a:ln>
            <a:effectLst/>
          </c:spPr>
          <c:invertIfNegative val="0"/>
          <c:cat>
            <c:numRef>
              <c:f>brzina!$K$3:$K$6</c:f>
              <c:numCache>
                <c:formatCode>General</c:formatCode>
                <c:ptCount val="3"/>
                <c:pt idx="0">
                  <c:v>0</c:v>
                </c:pt>
                <c:pt idx="1">
                  <c:v>15</c:v>
                </c:pt>
                <c:pt idx="2">
                  <c:v>30</c:v>
                </c:pt>
              </c:numCache>
            </c:numRef>
          </c:cat>
          <c:val>
            <c:numRef>
              <c:f>brzina!$M$3:$M$6</c:f>
              <c:numCache>
                <c:formatCode>General</c:formatCode>
                <c:ptCount val="3"/>
                <c:pt idx="0">
                  <c:v>95.165000000000006</c:v>
                </c:pt>
                <c:pt idx="1">
                  <c:v>95.263000000000005</c:v>
                </c:pt>
                <c:pt idx="2">
                  <c:v>95.477000000000004</c:v>
                </c:pt>
              </c:numCache>
            </c:numRef>
          </c:val>
          <c:extLst>
            <c:ext xmlns:c16="http://schemas.microsoft.com/office/drawing/2014/chart" uri="{C3380CC4-5D6E-409C-BE32-E72D297353CC}">
              <c16:uniqueId val="{00000001-CB4F-4F2F-9447-C102010A77E8}"/>
            </c:ext>
          </c:extLst>
        </c:ser>
        <c:ser>
          <c:idx val="2"/>
          <c:order val="2"/>
          <c:tx>
            <c:strRef>
              <c:f>brzina!$N$2</c:f>
              <c:strCache>
                <c:ptCount val="1"/>
                <c:pt idx="0">
                  <c:v>Pb(II)</c:v>
                </c:pt>
              </c:strCache>
            </c:strRef>
          </c:tx>
          <c:spPr>
            <a:solidFill>
              <a:schemeClr val="tx1">
                <a:lumMod val="75000"/>
                <a:lumOff val="25000"/>
              </a:schemeClr>
            </a:solidFill>
            <a:ln>
              <a:solidFill>
                <a:schemeClr val="bg1">
                  <a:lumMod val="50000"/>
                </a:schemeClr>
              </a:solidFill>
            </a:ln>
            <a:effectLst/>
          </c:spPr>
          <c:invertIfNegative val="0"/>
          <c:cat>
            <c:numRef>
              <c:f>brzina!$K$3:$K$6</c:f>
              <c:numCache>
                <c:formatCode>General</c:formatCode>
                <c:ptCount val="3"/>
                <c:pt idx="0">
                  <c:v>0</c:v>
                </c:pt>
                <c:pt idx="1">
                  <c:v>15</c:v>
                </c:pt>
                <c:pt idx="2">
                  <c:v>30</c:v>
                </c:pt>
              </c:numCache>
            </c:numRef>
          </c:cat>
          <c:val>
            <c:numRef>
              <c:f>brzina!$N$3:$N$6</c:f>
              <c:numCache>
                <c:formatCode>General</c:formatCode>
                <c:ptCount val="3"/>
                <c:pt idx="0">
                  <c:v>89.65</c:v>
                </c:pt>
                <c:pt idx="1">
                  <c:v>89.043000000000006</c:v>
                </c:pt>
                <c:pt idx="2">
                  <c:v>90.043000000000006</c:v>
                </c:pt>
              </c:numCache>
            </c:numRef>
          </c:val>
          <c:extLst>
            <c:ext xmlns:c16="http://schemas.microsoft.com/office/drawing/2014/chart" uri="{C3380CC4-5D6E-409C-BE32-E72D297353CC}">
              <c16:uniqueId val="{00000002-CB4F-4F2F-9447-C102010A77E8}"/>
            </c:ext>
          </c:extLst>
        </c:ser>
        <c:ser>
          <c:idx val="3"/>
          <c:order val="3"/>
          <c:tx>
            <c:strRef>
              <c:f>brzina!$O$2</c:f>
              <c:strCache>
                <c:ptCount val="1"/>
                <c:pt idx="0">
                  <c:v>Zn(II)</c:v>
                </c:pt>
              </c:strCache>
            </c:strRef>
          </c:tx>
          <c:spPr>
            <a:solidFill>
              <a:schemeClr val="accent4"/>
            </a:solidFill>
            <a:ln>
              <a:noFill/>
            </a:ln>
            <a:effectLst/>
          </c:spPr>
          <c:invertIfNegative val="0"/>
          <c:cat>
            <c:numRef>
              <c:f>brzina!$K$3:$K$6</c:f>
              <c:numCache>
                <c:formatCode>General</c:formatCode>
                <c:ptCount val="3"/>
                <c:pt idx="0">
                  <c:v>0</c:v>
                </c:pt>
                <c:pt idx="1">
                  <c:v>15</c:v>
                </c:pt>
                <c:pt idx="2">
                  <c:v>30</c:v>
                </c:pt>
              </c:numCache>
            </c:numRef>
          </c:cat>
          <c:val>
            <c:numRef>
              <c:f>brzina!$O$3:$O$6</c:f>
              <c:numCache>
                <c:formatCode>General</c:formatCode>
                <c:ptCount val="3"/>
                <c:pt idx="0">
                  <c:v>99.35</c:v>
                </c:pt>
                <c:pt idx="1">
                  <c:v>99.356999999999999</c:v>
                </c:pt>
                <c:pt idx="2">
                  <c:v>99.349000000000004</c:v>
                </c:pt>
              </c:numCache>
            </c:numRef>
          </c:val>
          <c:extLst>
            <c:ext xmlns:c16="http://schemas.microsoft.com/office/drawing/2014/chart" uri="{C3380CC4-5D6E-409C-BE32-E72D297353CC}">
              <c16:uniqueId val="{00000003-CB4F-4F2F-9447-C102010A77E8}"/>
            </c:ext>
          </c:extLst>
        </c:ser>
        <c:dLbls>
          <c:showLegendKey val="0"/>
          <c:showVal val="0"/>
          <c:showCatName val="0"/>
          <c:showSerName val="0"/>
          <c:showPercent val="0"/>
          <c:showBubbleSize val="0"/>
        </c:dLbls>
        <c:gapWidth val="219"/>
        <c:overlap val="-27"/>
        <c:axId val="827740527"/>
        <c:axId val="908823999"/>
      </c:barChart>
      <c:catAx>
        <c:axId val="827740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08823999"/>
        <c:crosses val="autoZero"/>
        <c:auto val="1"/>
        <c:lblAlgn val="ctr"/>
        <c:lblOffset val="100"/>
        <c:noMultiLvlLbl val="0"/>
      </c:catAx>
      <c:valAx>
        <c:axId val="908823999"/>
        <c:scaling>
          <c:orientation val="minMax"/>
          <c:max val="100"/>
          <c:min val="8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27740527"/>
        <c:crosses val="autoZero"/>
        <c:crossBetween val="between"/>
        <c:majorUnit val="5"/>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brzina!$G$18</c:f>
              <c:strCache>
                <c:ptCount val="1"/>
                <c:pt idx="0">
                  <c:v>Cu(II) </c:v>
                </c:pt>
              </c:strCache>
            </c:strRef>
          </c:tx>
          <c:spPr>
            <a:solidFill>
              <a:srgbClr val="0070C0"/>
            </a:solidFill>
            <a:ln>
              <a:noFill/>
            </a:ln>
            <a:effectLst/>
          </c:spPr>
          <c:invertIfNegative val="0"/>
          <c:cat>
            <c:numRef>
              <c:f>brzina!$F$19:$F$22</c:f>
              <c:numCache>
                <c:formatCode>General</c:formatCode>
                <c:ptCount val="3"/>
                <c:pt idx="0">
                  <c:v>0</c:v>
                </c:pt>
                <c:pt idx="1">
                  <c:v>15</c:v>
                </c:pt>
                <c:pt idx="2">
                  <c:v>30</c:v>
                </c:pt>
              </c:numCache>
              <c:extLst/>
            </c:numRef>
          </c:cat>
          <c:val>
            <c:numRef>
              <c:f>brzina!$G$19:$G$22</c:f>
              <c:numCache>
                <c:formatCode>General</c:formatCode>
                <c:ptCount val="3"/>
                <c:pt idx="0">
                  <c:v>94.024000000000001</c:v>
                </c:pt>
                <c:pt idx="1">
                  <c:v>93.998999999999995</c:v>
                </c:pt>
                <c:pt idx="2">
                  <c:v>94.117999999999995</c:v>
                </c:pt>
              </c:numCache>
              <c:extLst/>
            </c:numRef>
          </c:val>
          <c:extLst>
            <c:ext xmlns:c16="http://schemas.microsoft.com/office/drawing/2014/chart" uri="{C3380CC4-5D6E-409C-BE32-E72D297353CC}">
              <c16:uniqueId val="{00000000-6908-443D-BBE8-00F368E4E0FC}"/>
            </c:ext>
          </c:extLst>
        </c:ser>
        <c:ser>
          <c:idx val="1"/>
          <c:order val="1"/>
          <c:tx>
            <c:strRef>
              <c:f>brzina!$H$18</c:f>
              <c:strCache>
                <c:ptCount val="1"/>
                <c:pt idx="0">
                  <c:v>Ni(II)</c:v>
                </c:pt>
              </c:strCache>
            </c:strRef>
          </c:tx>
          <c:spPr>
            <a:solidFill>
              <a:schemeClr val="accent2"/>
            </a:solidFill>
            <a:ln>
              <a:noFill/>
            </a:ln>
            <a:effectLst/>
          </c:spPr>
          <c:invertIfNegative val="0"/>
          <c:cat>
            <c:numRef>
              <c:f>brzina!$F$19:$F$22</c:f>
              <c:numCache>
                <c:formatCode>General</c:formatCode>
                <c:ptCount val="3"/>
                <c:pt idx="0">
                  <c:v>0</c:v>
                </c:pt>
                <c:pt idx="1">
                  <c:v>15</c:v>
                </c:pt>
                <c:pt idx="2">
                  <c:v>30</c:v>
                </c:pt>
              </c:numCache>
              <c:extLst/>
            </c:numRef>
          </c:cat>
          <c:val>
            <c:numRef>
              <c:f>brzina!$H$19:$H$22</c:f>
              <c:numCache>
                <c:formatCode>General</c:formatCode>
                <c:ptCount val="3"/>
                <c:pt idx="0">
                  <c:v>94.375</c:v>
                </c:pt>
                <c:pt idx="1">
                  <c:v>94.391000000000005</c:v>
                </c:pt>
                <c:pt idx="2">
                  <c:v>94.299000000000007</c:v>
                </c:pt>
              </c:numCache>
              <c:extLst/>
            </c:numRef>
          </c:val>
          <c:extLst>
            <c:ext xmlns:c16="http://schemas.microsoft.com/office/drawing/2014/chart" uri="{C3380CC4-5D6E-409C-BE32-E72D297353CC}">
              <c16:uniqueId val="{00000001-6908-443D-BBE8-00F368E4E0FC}"/>
            </c:ext>
          </c:extLst>
        </c:ser>
        <c:dLbls>
          <c:showLegendKey val="0"/>
          <c:showVal val="0"/>
          <c:showCatName val="0"/>
          <c:showSerName val="0"/>
          <c:showPercent val="0"/>
          <c:showBubbleSize val="0"/>
        </c:dLbls>
        <c:gapWidth val="219"/>
        <c:overlap val="-27"/>
        <c:axId val="833516175"/>
        <c:axId val="1089505599"/>
      </c:barChart>
      <c:catAx>
        <c:axId val="833516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89505599"/>
        <c:crosses val="autoZero"/>
        <c:auto val="1"/>
        <c:lblAlgn val="ctr"/>
        <c:lblOffset val="100"/>
        <c:noMultiLvlLbl val="0"/>
      </c:catAx>
      <c:valAx>
        <c:axId val="1089505599"/>
        <c:scaling>
          <c:orientation val="minMax"/>
          <c:max val="100"/>
          <c:min val="9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33516175"/>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brzina!$F$10</c:f>
              <c:strCache>
                <c:ptCount val="1"/>
                <c:pt idx="0">
                  <c:v>Pb(II) </c:v>
                </c:pt>
              </c:strCache>
            </c:strRef>
          </c:tx>
          <c:spPr>
            <a:solidFill>
              <a:schemeClr val="tx1">
                <a:lumMod val="75000"/>
                <a:lumOff val="25000"/>
              </a:schemeClr>
            </a:solidFill>
            <a:ln>
              <a:solidFill>
                <a:schemeClr val="tx1">
                  <a:lumMod val="75000"/>
                  <a:lumOff val="25000"/>
                </a:schemeClr>
              </a:solidFill>
            </a:ln>
            <a:effectLst/>
          </c:spPr>
          <c:invertIfNegative val="0"/>
          <c:cat>
            <c:numRef>
              <c:f>brzina!$E$11:$E$14</c:f>
              <c:numCache>
                <c:formatCode>General</c:formatCode>
                <c:ptCount val="3"/>
                <c:pt idx="0">
                  <c:v>0</c:v>
                </c:pt>
                <c:pt idx="1">
                  <c:v>15</c:v>
                </c:pt>
                <c:pt idx="2">
                  <c:v>30</c:v>
                </c:pt>
              </c:numCache>
            </c:numRef>
          </c:cat>
          <c:val>
            <c:numRef>
              <c:f>brzina!$F$11:$F$14</c:f>
              <c:numCache>
                <c:formatCode>General</c:formatCode>
                <c:ptCount val="3"/>
                <c:pt idx="0">
                  <c:v>98.751000000000005</c:v>
                </c:pt>
                <c:pt idx="1">
                  <c:v>99.186999999999998</c:v>
                </c:pt>
                <c:pt idx="2">
                  <c:v>99.019000000000005</c:v>
                </c:pt>
              </c:numCache>
            </c:numRef>
          </c:val>
          <c:extLst>
            <c:ext xmlns:c16="http://schemas.microsoft.com/office/drawing/2014/chart" uri="{C3380CC4-5D6E-409C-BE32-E72D297353CC}">
              <c16:uniqueId val="{00000000-4348-4C89-80FB-5E39604FBCA3}"/>
            </c:ext>
          </c:extLst>
        </c:ser>
        <c:ser>
          <c:idx val="1"/>
          <c:order val="1"/>
          <c:tx>
            <c:strRef>
              <c:f>brzina!$G$10</c:f>
              <c:strCache>
                <c:ptCount val="1"/>
                <c:pt idx="0">
                  <c:v>Zn(II)</c:v>
                </c:pt>
              </c:strCache>
            </c:strRef>
          </c:tx>
          <c:spPr>
            <a:solidFill>
              <a:schemeClr val="accent4"/>
            </a:solidFill>
            <a:ln>
              <a:solidFill>
                <a:schemeClr val="accent4"/>
              </a:solidFill>
            </a:ln>
            <a:effectLst/>
          </c:spPr>
          <c:invertIfNegative val="0"/>
          <c:cat>
            <c:numRef>
              <c:f>brzina!$E$11:$E$14</c:f>
              <c:numCache>
                <c:formatCode>General</c:formatCode>
                <c:ptCount val="3"/>
                <c:pt idx="0">
                  <c:v>0</c:v>
                </c:pt>
                <c:pt idx="1">
                  <c:v>15</c:v>
                </c:pt>
                <c:pt idx="2">
                  <c:v>30</c:v>
                </c:pt>
              </c:numCache>
            </c:numRef>
          </c:cat>
          <c:val>
            <c:numRef>
              <c:f>brzina!$G$11:$G$14</c:f>
              <c:numCache>
                <c:formatCode>General</c:formatCode>
                <c:ptCount val="3"/>
                <c:pt idx="0">
                  <c:v>99.037999999999997</c:v>
                </c:pt>
                <c:pt idx="1">
                  <c:v>99.05</c:v>
                </c:pt>
                <c:pt idx="2">
                  <c:v>99.046000000000006</c:v>
                </c:pt>
              </c:numCache>
            </c:numRef>
          </c:val>
          <c:extLst>
            <c:ext xmlns:c16="http://schemas.microsoft.com/office/drawing/2014/chart" uri="{C3380CC4-5D6E-409C-BE32-E72D297353CC}">
              <c16:uniqueId val="{00000001-4348-4C89-80FB-5E39604FBCA3}"/>
            </c:ext>
          </c:extLst>
        </c:ser>
        <c:dLbls>
          <c:showLegendKey val="0"/>
          <c:showVal val="0"/>
          <c:showCatName val="0"/>
          <c:showSerName val="0"/>
          <c:showPercent val="0"/>
          <c:showBubbleSize val="0"/>
        </c:dLbls>
        <c:gapWidth val="219"/>
        <c:overlap val="-27"/>
        <c:axId val="899554319"/>
        <c:axId val="1089522239"/>
      </c:barChart>
      <c:catAx>
        <c:axId val="8995543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89522239"/>
        <c:crosses val="autoZero"/>
        <c:auto val="1"/>
        <c:lblAlgn val="ctr"/>
        <c:lblOffset val="100"/>
        <c:noMultiLvlLbl val="0"/>
      </c:catAx>
      <c:valAx>
        <c:axId val="1089522239"/>
        <c:scaling>
          <c:orientation val="minMax"/>
          <c:max val="100"/>
          <c:min val="9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9554319"/>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B7451-9A59-42CC-A707-5E872F7C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307</TotalTime>
  <Pages>17</Pages>
  <Words>6700</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44801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128</cp:revision>
  <cp:lastPrinted>2026-02-11T12:30:00Z</cp:lastPrinted>
  <dcterms:created xsi:type="dcterms:W3CDTF">2014-10-25T14:34:00Z</dcterms:created>
  <dcterms:modified xsi:type="dcterms:W3CDTF">2026-02-12T11:42:00Z</dcterms:modified>
</cp:coreProperties>
</file>