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F68" w:rsidRDefault="00835BD3">
      <w:pPr>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Systematic Review Article</w:t>
      </w:r>
    </w:p>
    <w:p w:rsidR="005E2F68" w:rsidRDefault="005E2F68">
      <w:pPr>
        <w:jc w:val="center"/>
        <w:rPr>
          <w:rFonts w:ascii="Times New Roman" w:eastAsia="Times New Roman" w:hAnsi="Times New Roman" w:cs="Times New Roman"/>
          <w:b/>
          <w:bCs/>
          <w:sz w:val="30"/>
          <w:szCs w:val="30"/>
          <w:highlight w:val="white"/>
        </w:rPr>
      </w:pPr>
    </w:p>
    <w:p w:rsidR="005E2F68" w:rsidRDefault="00835BD3">
      <w:pPr>
        <w:jc w:val="center"/>
        <w:rPr>
          <w:rFonts w:ascii="Times New Roman" w:eastAsia="Times New Roman" w:hAnsi="Times New Roman" w:cs="Times New Roman"/>
          <w:b/>
          <w:bCs/>
          <w:sz w:val="30"/>
          <w:szCs w:val="30"/>
          <w:highlight w:val="white"/>
        </w:rPr>
      </w:pPr>
      <w:r>
        <w:rPr>
          <w:rFonts w:ascii="Times New Roman" w:eastAsia="Times New Roman" w:hAnsi="Times New Roman" w:cs="Times New Roman"/>
          <w:b/>
          <w:bCs/>
          <w:sz w:val="30"/>
          <w:szCs w:val="30"/>
          <w:highlight w:val="white"/>
        </w:rPr>
        <w:t>De-escalating the Axilla: A Systematic Evaluation of Sentinel Lymph Node Biopsy Reliability and Oncological Safety in the Post-Neoadjuvant Landscape</w:t>
      </w:r>
    </w:p>
    <w:p w:rsidR="005E2F68" w:rsidRDefault="005E2F68">
      <w:pPr>
        <w:spacing w:line="342" w:lineRule="auto"/>
        <w:rPr>
          <w:b/>
          <w:bCs/>
          <w:color w:val="303030"/>
          <w:sz w:val="21"/>
          <w:szCs w:val="21"/>
          <w:highlight w:val="white"/>
        </w:rPr>
      </w:pPr>
    </w:p>
    <w:p w:rsidR="00417446" w:rsidRDefault="00417446">
      <w:pPr>
        <w:spacing w:line="259" w:lineRule="auto"/>
        <w:jc w:val="center"/>
        <w:rPr>
          <w:rFonts w:ascii="Times New Roman" w:eastAsia="Times New Roman" w:hAnsi="Times New Roman" w:cs="Times New Roman"/>
          <w:b/>
          <w:bCs/>
          <w:sz w:val="24"/>
          <w:szCs w:val="24"/>
          <w:highlight w:val="white"/>
        </w:rPr>
      </w:pPr>
    </w:p>
    <w:p w:rsidR="005E2F68" w:rsidRDefault="005E2F68">
      <w:pPr>
        <w:spacing w:line="342" w:lineRule="auto"/>
        <w:jc w:val="both"/>
        <w:rPr>
          <w:rFonts w:ascii="Times New Roman" w:eastAsia="Times New Roman" w:hAnsi="Times New Roman" w:cs="Times New Roman"/>
          <w:b/>
          <w:bCs/>
          <w:sz w:val="24"/>
          <w:szCs w:val="24"/>
          <w:highlight w:val="white"/>
        </w:rPr>
      </w:pPr>
    </w:p>
    <w:p w:rsidR="005E2F68" w:rsidRDefault="00835BD3">
      <w:pPr>
        <w:spacing w:line="342"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ABSTRACT</w:t>
      </w:r>
    </w:p>
    <w:p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Introduction</w:t>
      </w:r>
      <w:r>
        <w:rPr>
          <w:rFonts w:ascii="Times New Roman" w:eastAsia="Times New Roman" w:hAnsi="Times New Roman" w:cs="Times New Roman"/>
          <w:sz w:val="24"/>
          <w:szCs w:val="24"/>
          <w:highlight w:val="white"/>
        </w:rPr>
        <w:t xml:space="preserve"> </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Breast cancer management is increasingly shifting toward minimally invasive procedures. While</w:t>
      </w:r>
      <w:r>
        <w:rPr>
          <w:rFonts w:ascii="Times New Roman" w:eastAsia="Times New Roman" w:hAnsi="Times New Roman" w:cs="Times New Roman"/>
          <w:sz w:val="24"/>
          <w:szCs w:val="24"/>
          <w:highlight w:val="white"/>
        </w:rPr>
        <w:t xml:space="preserve"> Neoadjuvant Chemotherapy (NACT) is used to downstage locally advanced disease, it can induce lymphatic fibrosis, potentially compromising the identification rate (IR) and false-negative rate (FNR) of Sentinel Lymph Node Biopsy (SLNB). This systematic revi</w:t>
      </w:r>
      <w:r>
        <w:rPr>
          <w:rFonts w:ascii="Times New Roman" w:eastAsia="Times New Roman" w:hAnsi="Times New Roman" w:cs="Times New Roman"/>
          <w:sz w:val="24"/>
          <w:szCs w:val="24"/>
          <w:highlight w:val="white"/>
        </w:rPr>
        <w:t>ew evaluates the reliability and oncological safety of SLNB in patients following NACT.</w:t>
      </w:r>
    </w:p>
    <w:p w:rsidR="005E2F68" w:rsidRDefault="005E2F68">
      <w:pPr>
        <w:jc w:val="both"/>
        <w:rPr>
          <w:rFonts w:ascii="Times New Roman" w:eastAsia="Times New Roman" w:hAnsi="Times New Roman" w:cs="Times New Roman"/>
          <w:sz w:val="24"/>
          <w:szCs w:val="24"/>
          <w:highlight w:val="white"/>
        </w:rPr>
      </w:pP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Methodology</w:t>
      </w:r>
      <w:r>
        <w:rPr>
          <w:rFonts w:ascii="Times New Roman" w:eastAsia="Times New Roman" w:hAnsi="Times New Roman" w:cs="Times New Roman"/>
          <w:sz w:val="24"/>
          <w:szCs w:val="24"/>
          <w:highlight w:val="white"/>
        </w:rPr>
        <w:t xml:space="preserve"> </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Following PRISMA guidelines, a systematic search was conducted across PubMed, Scopus, and Google Scholar using keywords like "Locally Advanced Breast Canc</w:t>
      </w:r>
      <w:r>
        <w:rPr>
          <w:rFonts w:ascii="Times New Roman" w:eastAsia="Times New Roman" w:hAnsi="Times New Roman" w:cs="Times New Roman"/>
          <w:sz w:val="24"/>
          <w:szCs w:val="24"/>
          <w:highlight w:val="white"/>
        </w:rPr>
        <w:t>er", “Neoadjuvant Chemotherapy” and "Sentinel Lymph Node Biopsy". Inclusion criteria focused on free full-text studies published between 2020 and 2025 that examined SLNB post-NACT. Ten studies were selected for final analysis, comprising six prospective an</w:t>
      </w:r>
      <w:r>
        <w:rPr>
          <w:rFonts w:ascii="Times New Roman" w:eastAsia="Times New Roman" w:hAnsi="Times New Roman" w:cs="Times New Roman"/>
          <w:sz w:val="24"/>
          <w:szCs w:val="24"/>
          <w:highlight w:val="white"/>
        </w:rPr>
        <w:t>d four retrospective cohorts.</w:t>
      </w:r>
    </w:p>
    <w:p w:rsidR="005E2F68" w:rsidRDefault="005E2F68">
      <w:pPr>
        <w:jc w:val="both"/>
        <w:rPr>
          <w:rFonts w:ascii="Times New Roman" w:eastAsia="Times New Roman" w:hAnsi="Times New Roman" w:cs="Times New Roman"/>
          <w:sz w:val="24"/>
          <w:szCs w:val="24"/>
          <w:highlight w:val="white"/>
        </w:rPr>
      </w:pP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Results</w:t>
      </w:r>
      <w:r>
        <w:rPr>
          <w:rFonts w:ascii="Times New Roman" w:eastAsia="Times New Roman" w:hAnsi="Times New Roman" w:cs="Times New Roman"/>
          <w:sz w:val="24"/>
          <w:szCs w:val="24"/>
          <w:highlight w:val="white"/>
        </w:rPr>
        <w:t xml:space="preserve"> </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IRs ranged from 49.54% to 96.8%, though dual tracer mapping achieved success rates up to 100%. FNRs varied significantly, from 11% with dual mapping to as high as 50% with single tracers. Accuracy improved notably by</w:t>
      </w:r>
      <w:r>
        <w:rPr>
          <w:rFonts w:ascii="Times New Roman" w:eastAsia="Times New Roman" w:hAnsi="Times New Roman" w:cs="Times New Roman"/>
          <w:sz w:val="24"/>
          <w:szCs w:val="24"/>
          <w:highlight w:val="white"/>
        </w:rPr>
        <w:t xml:space="preserve"> harvesting three or more nodes, which reduced the FNR to acceptable levels, reaching 0% in specific cohorts. Innovative methods like the "black node" technique (pre-NACT tattooing) showed an FNR of 0% in initially cN0 patients. Triple-Negative and HER2-po</w:t>
      </w:r>
      <w:r>
        <w:rPr>
          <w:rFonts w:ascii="Times New Roman" w:eastAsia="Times New Roman" w:hAnsi="Times New Roman" w:cs="Times New Roman"/>
          <w:sz w:val="24"/>
          <w:szCs w:val="24"/>
          <w:highlight w:val="white"/>
        </w:rPr>
        <w:t>sitive subtypes had the highest response rates, with some achieving zero SLNB-positivity. Five-year overall survival was high (95.2%-97.6%), and axillary recurrence remained low (1.1%-2.3%), with no significant difference compared to radical dissection.</w:t>
      </w:r>
    </w:p>
    <w:p w:rsidR="005E2F68" w:rsidRDefault="005E2F68">
      <w:pPr>
        <w:jc w:val="both"/>
        <w:rPr>
          <w:rFonts w:ascii="Times New Roman" w:eastAsia="Times New Roman" w:hAnsi="Times New Roman" w:cs="Times New Roman"/>
          <w:sz w:val="24"/>
          <w:szCs w:val="24"/>
          <w:highlight w:val="white"/>
        </w:rPr>
      </w:pPr>
    </w:p>
    <w:p w:rsidR="005E2F68" w:rsidRDefault="00835BD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Conclusion</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SLNB is a feasible, safe, and reliable alternative to radical axillary clearance in the post-NACT setting. Success is maximized through dual tracer mapping, retrieval of at least three nodes, and consideration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biology. These strategies </w:t>
      </w:r>
      <w:r>
        <w:rPr>
          <w:rFonts w:ascii="Times New Roman" w:eastAsia="Times New Roman" w:hAnsi="Times New Roman" w:cs="Times New Roman"/>
          <w:sz w:val="24"/>
          <w:szCs w:val="24"/>
          <w:highlight w:val="white"/>
        </w:rPr>
        <w:t>support the continued de-escalation of axillary surgery, reducing patient morbidity while maintaining oncological safety.</w:t>
      </w:r>
    </w:p>
    <w:p w:rsidR="005E2F68" w:rsidRDefault="005E2F68">
      <w:pPr>
        <w:spacing w:line="342" w:lineRule="auto"/>
        <w:jc w:val="both"/>
        <w:rPr>
          <w:rFonts w:ascii="Times New Roman" w:eastAsia="Times New Roman" w:hAnsi="Times New Roman" w:cs="Times New Roman"/>
          <w:b/>
          <w:bCs/>
          <w:sz w:val="24"/>
          <w:szCs w:val="24"/>
          <w:highlight w:val="white"/>
        </w:rPr>
      </w:pPr>
    </w:p>
    <w:p w:rsidR="005E2F68" w:rsidRDefault="005E2F68">
      <w:pPr>
        <w:spacing w:line="342" w:lineRule="auto"/>
        <w:jc w:val="both"/>
        <w:rPr>
          <w:rFonts w:ascii="Times New Roman" w:eastAsia="Times New Roman" w:hAnsi="Times New Roman" w:cs="Times New Roman"/>
          <w:b/>
          <w:bCs/>
          <w:sz w:val="24"/>
          <w:szCs w:val="24"/>
          <w:highlight w:val="white"/>
        </w:rPr>
      </w:pPr>
    </w:p>
    <w:p w:rsidR="005E2F68" w:rsidRDefault="00835BD3">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Keywords</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Sentinel Lymph Node Biopsy: Neoadjuvant Chemotherapy; Locally Advanced Breast Cancer; False-Negative Rate; Pathological Com</w:t>
      </w:r>
      <w:r>
        <w:rPr>
          <w:rFonts w:ascii="Times New Roman" w:eastAsia="Times New Roman" w:hAnsi="Times New Roman" w:cs="Times New Roman"/>
          <w:sz w:val="24"/>
          <w:szCs w:val="24"/>
          <w:highlight w:val="white"/>
        </w:rPr>
        <w:t>plete Response</w:t>
      </w:r>
    </w:p>
    <w:p w:rsidR="005E2F68" w:rsidRDefault="005E2F68">
      <w:pPr>
        <w:jc w:val="both"/>
        <w:rPr>
          <w:rFonts w:ascii="Times New Roman" w:eastAsia="Times New Roman" w:hAnsi="Times New Roman" w:cs="Times New Roman"/>
          <w:b/>
          <w:bCs/>
          <w:sz w:val="24"/>
          <w:szCs w:val="24"/>
          <w:highlight w:val="white"/>
        </w:rPr>
      </w:pPr>
    </w:p>
    <w:p w:rsidR="005E2F68" w:rsidRDefault="005E2F68">
      <w:pPr>
        <w:jc w:val="both"/>
        <w:rPr>
          <w:rFonts w:ascii="Times New Roman" w:eastAsia="Times New Roman" w:hAnsi="Times New Roman" w:cs="Times New Roman"/>
          <w:b/>
          <w:bCs/>
          <w:sz w:val="24"/>
          <w:szCs w:val="24"/>
          <w:highlight w:val="white"/>
        </w:rPr>
      </w:pPr>
    </w:p>
    <w:p w:rsidR="005E2F68" w:rsidRDefault="00835BD3">
      <w:pPr>
        <w:spacing w:line="342"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Introduction</w:t>
      </w:r>
    </w:p>
    <w:p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Breast cancer is the most common malignancy among women worldwide [1,2]. The treatment strategies have currently shifted from radical surgeries towards minimally invasive procedures. Sentinel Lymph Node Biopsy (SLNB) is the st</w:t>
      </w:r>
      <w:r>
        <w:rPr>
          <w:rFonts w:ascii="Times New Roman" w:eastAsia="Times New Roman" w:hAnsi="Times New Roman" w:cs="Times New Roman"/>
          <w:sz w:val="24"/>
          <w:szCs w:val="24"/>
          <w:highlight w:val="white"/>
        </w:rPr>
        <w:t xml:space="preserve">andard method for axillary staging in clinically node-negative (cN0) patients, significantly reducing the morbidity associated with Axillary Lymph Node Dissection (ALND) - such as lymphedema and sensory neuropathy [3-7]. Neoadjuvant Chemotherapy (NACT) is </w:t>
      </w:r>
      <w:r>
        <w:rPr>
          <w:rFonts w:ascii="Times New Roman" w:eastAsia="Times New Roman" w:hAnsi="Times New Roman" w:cs="Times New Roman"/>
          <w:sz w:val="24"/>
          <w:szCs w:val="24"/>
          <w:highlight w:val="white"/>
        </w:rPr>
        <w:t>increasingly used to downstage Locally Advanced Breast Cancer (LABC), potentially allowing for breast-conserving surgery and converting node-positive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patients to clinically node-negative (ycN0) status [8-11].</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reliability of SLNB following NACT is</w:t>
      </w:r>
      <w:r>
        <w:rPr>
          <w:rFonts w:ascii="Times New Roman" w:eastAsia="Times New Roman" w:hAnsi="Times New Roman" w:cs="Times New Roman"/>
          <w:sz w:val="24"/>
          <w:szCs w:val="24"/>
          <w:highlight w:val="white"/>
        </w:rPr>
        <w:t xml:space="preserve"> a central focus of modern breast cancer management. While NACT is highly effective at downstaging locally advanced disease, it can induce lymphatic fibrosis and disruption, which potentially alters drainage patterns and lowers Identification Rates (IR) wh</w:t>
      </w:r>
      <w:r>
        <w:rPr>
          <w:rFonts w:ascii="Times New Roman" w:eastAsia="Times New Roman" w:hAnsi="Times New Roman" w:cs="Times New Roman"/>
          <w:sz w:val="24"/>
          <w:szCs w:val="24"/>
          <w:highlight w:val="white"/>
        </w:rPr>
        <w:t>ile increasing False-Negative Rates (FNR) [12-14]. However, higher IRs can be achieved by employing specialized mapping techniques and patient selection.</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accuracy, the use of dual tracer mapping is widely recommended. Combining methylene blue wi</w:t>
      </w:r>
      <w:r>
        <w:rPr>
          <w:rFonts w:ascii="Times New Roman" w:eastAsia="Times New Roman" w:hAnsi="Times New Roman" w:cs="Times New Roman"/>
          <w:sz w:val="24"/>
          <w:szCs w:val="24"/>
          <w:highlight w:val="white"/>
        </w:rPr>
        <w:t>th radioactive colloid has been shown to achieve a high IR and a significantly lower FNR, compared to single-agent mapping [15-18]. In resource-limited settings where radiocolloids may be unavailable, low-cost alternatives such as the combination of fluore</w:t>
      </w:r>
      <w:r>
        <w:rPr>
          <w:rFonts w:ascii="Times New Roman" w:eastAsia="Times New Roman" w:hAnsi="Times New Roman" w:cs="Times New Roman"/>
          <w:sz w:val="24"/>
          <w:szCs w:val="24"/>
          <w:highlight w:val="white"/>
        </w:rPr>
        <w:t>scein and blue dye have proven effective [19,20]. Furthermore, the number of nodes retrieved is a critical prognostic factor - harvesting three or more nodes or identifying at least two sentinel nodes has been shown to reduce the FNR to acceptable limits [</w:t>
      </w:r>
      <w:r>
        <w:rPr>
          <w:rFonts w:ascii="Times New Roman" w:eastAsia="Times New Roman" w:hAnsi="Times New Roman" w:cs="Times New Roman"/>
          <w:sz w:val="24"/>
          <w:szCs w:val="24"/>
          <w:highlight w:val="white"/>
        </w:rPr>
        <w:t>15-18].</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biological subtype of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is a primary determinant of nodal response. Patients with Triple-Negative (TNBC) and HER2-positive subtypes demonstrate the highest rates of Pathological Complete Response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[21-24]. In cases where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w:t>
      </w:r>
      <w:r>
        <w:rPr>
          <w:rFonts w:ascii="Times New Roman" w:eastAsia="Times New Roman" w:hAnsi="Times New Roman" w:cs="Times New Roman"/>
          <w:sz w:val="24"/>
          <w:szCs w:val="24"/>
          <w:highlight w:val="white"/>
        </w:rPr>
        <w:t xml:space="preserve"> primary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(ypT0) is achieved, the risk of residual nodal disease is exceptionally low, particularly for TNBC and HR-/HER2+ patients [25,26]. Consequently, there is growing debate regarding the potential to safely omit axillary surgery altogether in th</w:t>
      </w:r>
      <w:r>
        <w:rPr>
          <w:rFonts w:ascii="Times New Roman" w:eastAsia="Times New Roman" w:hAnsi="Times New Roman" w:cs="Times New Roman"/>
          <w:sz w:val="24"/>
          <w:szCs w:val="24"/>
          <w:highlight w:val="white"/>
        </w:rPr>
        <w:t>ese high-responding molecular subtypes.</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Innovative methods are also being developed to enhance nodal identification. Pre-NACT tattooing of the primary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with black ink allows for the permanent marking of the sentinel node, creating a "black node" that </w:t>
      </w:r>
      <w:r>
        <w:rPr>
          <w:rFonts w:ascii="Times New Roman" w:eastAsia="Times New Roman" w:hAnsi="Times New Roman" w:cs="Times New Roman"/>
          <w:sz w:val="24"/>
          <w:szCs w:val="24"/>
          <w:highlight w:val="white"/>
        </w:rPr>
        <w:t>can be identified intraoperatively [27].</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concerns regarding accuracy persist, the implementation of dual tracers, retrieval of multiple nodes, and consideration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biology ensure that SLNB remains a feasible and safe staging tool. These strateg</w:t>
      </w:r>
      <w:r>
        <w:rPr>
          <w:rFonts w:ascii="Times New Roman" w:eastAsia="Times New Roman" w:hAnsi="Times New Roman" w:cs="Times New Roman"/>
          <w:sz w:val="24"/>
          <w:szCs w:val="24"/>
          <w:highlight w:val="white"/>
        </w:rPr>
        <w:t>ies collectively support the continued de-escalation of axillary surgery, sparing a significant number of patients the long-term morbidity of radical clearance.</w:t>
      </w:r>
    </w:p>
    <w:p w:rsidR="005E2F68" w:rsidRDefault="005E2F68">
      <w:pPr>
        <w:rPr>
          <w:rFonts w:ascii="Times New Roman" w:eastAsia="Times New Roman" w:hAnsi="Times New Roman" w:cs="Times New Roman"/>
          <w:b/>
          <w:bCs/>
          <w:color w:val="303030"/>
          <w:sz w:val="24"/>
          <w:szCs w:val="24"/>
          <w:highlight w:val="white"/>
        </w:rPr>
      </w:pPr>
    </w:p>
    <w:p w:rsidR="005E2F68" w:rsidRDefault="005E2F68">
      <w:pPr>
        <w:rPr>
          <w:rFonts w:ascii="Times New Roman" w:eastAsia="Times New Roman" w:hAnsi="Times New Roman" w:cs="Times New Roman"/>
          <w:b/>
          <w:bCs/>
          <w:color w:val="303030"/>
          <w:sz w:val="24"/>
          <w:szCs w:val="24"/>
          <w:highlight w:val="white"/>
        </w:rPr>
      </w:pPr>
    </w:p>
    <w:p w:rsidR="005E2F68" w:rsidRDefault="00835BD3">
      <w:pPr>
        <w:rPr>
          <w:rFonts w:ascii="Times New Roman" w:eastAsia="Times New Roman" w:hAnsi="Times New Roman" w:cs="Times New Roman"/>
          <w:b/>
          <w:bCs/>
          <w:color w:val="303030"/>
          <w:sz w:val="24"/>
          <w:szCs w:val="24"/>
          <w:highlight w:val="white"/>
        </w:rPr>
      </w:pPr>
      <w:r>
        <w:rPr>
          <w:rFonts w:ascii="Times New Roman" w:eastAsia="Times New Roman" w:hAnsi="Times New Roman" w:cs="Times New Roman"/>
          <w:b/>
          <w:bCs/>
          <w:color w:val="303030"/>
          <w:sz w:val="24"/>
          <w:szCs w:val="24"/>
          <w:highlight w:val="white"/>
        </w:rPr>
        <w:t>Methodology</w:t>
      </w:r>
    </w:p>
    <w:p w:rsidR="005E2F68" w:rsidRDefault="00835BD3">
      <w:pPr>
        <w:spacing w:before="20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Pubmed</w:t>
      </w:r>
      <w:proofErr w:type="spellEnd"/>
      <w:r>
        <w:rPr>
          <w:rFonts w:ascii="Times New Roman" w:eastAsia="Times New Roman" w:hAnsi="Times New Roman" w:cs="Times New Roman"/>
          <w:sz w:val="24"/>
          <w:szCs w:val="24"/>
        </w:rPr>
        <w:t>, Scopus and Google Scholar databases were systematically searched with key</w:t>
      </w:r>
      <w:r>
        <w:rPr>
          <w:rFonts w:ascii="Times New Roman" w:eastAsia="Times New Roman" w:hAnsi="Times New Roman" w:cs="Times New Roman"/>
          <w:sz w:val="24"/>
          <w:szCs w:val="24"/>
        </w:rPr>
        <w:t>words - “</w:t>
      </w:r>
      <w:r>
        <w:rPr>
          <w:rFonts w:ascii="Times New Roman" w:eastAsia="Times New Roman" w:hAnsi="Times New Roman" w:cs="Times New Roman"/>
          <w:sz w:val="24"/>
          <w:szCs w:val="24"/>
          <w:highlight w:val="white"/>
        </w:rPr>
        <w:t>Locally Advanced Breast Cancer</w:t>
      </w:r>
      <w:r>
        <w:rPr>
          <w:rFonts w:ascii="Times New Roman" w:eastAsia="Times New Roman" w:hAnsi="Times New Roman" w:cs="Times New Roman"/>
          <w:sz w:val="24"/>
          <w:szCs w:val="24"/>
        </w:rPr>
        <w:t>”, "</w:t>
      </w:r>
      <w:r>
        <w:rPr>
          <w:rFonts w:ascii="Times New Roman" w:eastAsia="Times New Roman" w:hAnsi="Times New Roman" w:cs="Times New Roman"/>
          <w:sz w:val="24"/>
          <w:szCs w:val="24"/>
          <w:highlight w:val="white"/>
        </w:rPr>
        <w:t>Neoadjuvant Chemotherapy</w:t>
      </w:r>
      <w:r>
        <w:rPr>
          <w:rFonts w:ascii="Times New Roman" w:eastAsia="Times New Roman" w:hAnsi="Times New Roman" w:cs="Times New Roman"/>
          <w:sz w:val="24"/>
          <w:szCs w:val="24"/>
        </w:rPr>
        <w:t>”, and “</w:t>
      </w:r>
      <w:r>
        <w:rPr>
          <w:rFonts w:ascii="Times New Roman" w:eastAsia="Times New Roman" w:hAnsi="Times New Roman" w:cs="Times New Roman"/>
          <w:sz w:val="24"/>
          <w:szCs w:val="24"/>
          <w:highlight w:val="white"/>
        </w:rPr>
        <w:t>Sentinel Lymph Node Biopsy”</w:t>
      </w:r>
      <w:r>
        <w:rPr>
          <w:rFonts w:ascii="Times New Roman" w:eastAsia="Times New Roman" w:hAnsi="Times New Roman" w:cs="Times New Roman"/>
          <w:sz w:val="24"/>
          <w:szCs w:val="24"/>
        </w:rPr>
        <w:t>. Studies using SLNB in post-NACT settings in LABC cases were included. PRISMA guidelines were followed (figure 1). Initially, a total of 688 articles wer</w:t>
      </w:r>
      <w:r>
        <w:rPr>
          <w:rFonts w:ascii="Times New Roman" w:eastAsia="Times New Roman" w:hAnsi="Times New Roman" w:cs="Times New Roman"/>
          <w:sz w:val="24"/>
          <w:szCs w:val="24"/>
        </w:rPr>
        <w:t xml:space="preserve">e retrieved. Studies without English text, preprints and review articles were excluded. Studies published within 2020 to 2025 and only with free full texts were included. Finally, 10 studies were included for analysis. </w:t>
      </w:r>
    </w:p>
    <w:p w:rsidR="005E2F68" w:rsidRDefault="00835BD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 of which, 6 were prospective and</w:t>
      </w:r>
      <w:r>
        <w:rPr>
          <w:rFonts w:ascii="Times New Roman" w:eastAsia="Times New Roman" w:hAnsi="Times New Roman" w:cs="Times New Roman"/>
          <w:sz w:val="24"/>
          <w:szCs w:val="24"/>
        </w:rPr>
        <w:t xml:space="preserve"> 4 were retrospective studies. Two independent reviewers extracted the data. Details of the included articles have been summarized in table 1.</w:t>
      </w:r>
    </w:p>
    <w:p w:rsidR="005E2F68" w:rsidRDefault="00835BD3">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624513" cy="6981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24513" cy="6981825"/>
                    </a:xfrm>
                    <a:prstGeom prst="rect">
                      <a:avLst/>
                    </a:prstGeom>
                    <a:ln/>
                  </pic:spPr>
                </pic:pic>
              </a:graphicData>
            </a:graphic>
          </wp:inline>
        </w:drawing>
      </w:r>
    </w:p>
    <w:p w:rsidR="005E2F68" w:rsidRDefault="00835BD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PRISMA Flowchart</w:t>
      </w:r>
    </w:p>
    <w:p w:rsidR="005E2F68" w:rsidRDefault="005E2F68">
      <w:pPr>
        <w:spacing w:before="200" w:line="240" w:lineRule="auto"/>
        <w:jc w:val="both"/>
        <w:rPr>
          <w:rFonts w:ascii="Times New Roman" w:eastAsia="Times New Roman" w:hAnsi="Times New Roman" w:cs="Times New Roman"/>
          <w:color w:val="303030"/>
          <w:sz w:val="24"/>
          <w:szCs w:val="24"/>
          <w:highlight w:val="white"/>
        </w:rPr>
      </w:pP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835BD3">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Summary of articles included for review</w:t>
      </w:r>
    </w:p>
    <w:tbl>
      <w:tblPr>
        <w:tblStyle w:val="a"/>
        <w:tblW w:w="954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710"/>
        <w:gridCol w:w="3225"/>
        <w:gridCol w:w="2925"/>
      </w:tblGrid>
      <w:tr w:rsidR="005E2F68">
        <w:trPr>
          <w:trHeight w:val="80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Design</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Population</w:t>
            </w:r>
          </w:p>
        </w:tc>
      </w:tr>
      <w:tr w:rsidR="005E2F68">
        <w:trPr>
          <w:trHeight w:val="145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Somashekhar</w:t>
            </w:r>
            <w:proofErr w:type="spellEnd"/>
            <w:r>
              <w:rPr>
                <w:rFonts w:ascii="Times New Roman" w:eastAsia="Times New Roman" w:hAnsi="Times New Roman" w:cs="Times New Roman"/>
                <w:b/>
                <w:bCs/>
              </w:rPr>
              <w:t xml:space="preserve"> &amp; Abhishek [28]</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p w:rsidR="005E2F68" w:rsidRDefault="005E2F68">
            <w:pPr>
              <w:rPr>
                <w:rFonts w:ascii="Times New Roman" w:eastAsia="Times New Roman" w:hAnsi="Times New Roman" w:cs="Times New Roma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evaluate SLNB in post-NACT patients, assessing axillary metastases, residual disease, and cancer staging</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30 breast cancer patients (cT1-4, cN0-2) who completed 4 cycles of </w:t>
            </w:r>
            <w:r>
              <w:rPr>
                <w:rFonts w:ascii="Times New Roman" w:eastAsia="Times New Roman" w:hAnsi="Times New Roman" w:cs="Times New Roman"/>
              </w:rPr>
              <w:t>chemotherapy</w:t>
            </w:r>
          </w:p>
        </w:tc>
      </w:tr>
      <w:tr w:rsidR="005E2F68">
        <w:trPr>
          <w:trHeight w:val="150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Arjunan</w:t>
            </w:r>
            <w:proofErr w:type="spellEnd"/>
            <w:r>
              <w:rPr>
                <w:rFonts w:ascii="Times New Roman" w:eastAsia="Times New Roman" w:hAnsi="Times New Roman" w:cs="Times New Roman"/>
                <w:b/>
                <w:bCs/>
              </w:rPr>
              <w:t xml:space="preserve"> et al. [29]</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p w:rsidR="005E2F68" w:rsidRDefault="005E2F68">
            <w:pPr>
              <w:jc w:val="center"/>
              <w:rPr>
                <w:rFonts w:ascii="Times New Roman" w:eastAsia="Times New Roman" w:hAnsi="Times New Roman" w:cs="Times New Roman"/>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determine the feasibility, IR, and FNR of SLNB in locally advanced breast cancer (LABC) patients after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44 LABC patients (T3, T4 with cN0 or cN1) who were node-negative or converted to node</w:t>
            </w:r>
            <w:r>
              <w:rPr>
                <w:rFonts w:ascii="Times New Roman" w:eastAsia="Times New Roman" w:hAnsi="Times New Roman" w:cs="Times New Roman"/>
              </w:rPr>
              <w:t>-negative post-NACT</w:t>
            </w:r>
          </w:p>
        </w:tc>
      </w:tr>
      <w:tr w:rsidR="005E2F68">
        <w:trPr>
          <w:trHeight w:val="1694"/>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Shreya et al. [30]</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evaluate the predictive accuracy of SLNB post-NACT and its correlation with clinical, imaging, and histopathological nodal status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109 female patients with LABC who received at least two cycles of NACT </w:t>
            </w:r>
          </w:p>
        </w:tc>
      </w:tr>
      <w:tr w:rsidR="005E2F68">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Alors</w:t>
            </w:r>
            <w:proofErr w:type="spellEnd"/>
            <w:r>
              <w:rPr>
                <w:rFonts w:ascii="Times New Roman" w:eastAsia="Times New Roman" w:hAnsi="Times New Roman" w:cs="Times New Roman"/>
                <w:b/>
                <w:bCs/>
              </w:rPr>
              <w:t>-Ruiz et al. [31]</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evaluate predictive variables for SLNB-negativity and survival to assess the possible omission of SLNB after NACT in cN0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179 women with cN0 breast cancer (treated with NACT and subsequent surgery)</w:t>
            </w:r>
          </w:p>
        </w:tc>
      </w:tr>
      <w:tr w:rsidR="005E2F68">
        <w:trPr>
          <w:trHeight w:val="142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Sulthana</w:t>
            </w:r>
            <w:proofErr w:type="spellEnd"/>
            <w:r>
              <w:rPr>
                <w:rFonts w:ascii="Times New Roman" w:eastAsia="Times New Roman" w:hAnsi="Times New Roman" w:cs="Times New Roman"/>
                <w:b/>
                <w:bCs/>
              </w:rPr>
              <w:t xml:space="preserve"> et al. [32]</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determine the FNR and IR of SLNB in breast cancer patients who received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19 node-positive patients who became clinically and </w:t>
            </w:r>
            <w:r>
              <w:rPr>
                <w:rFonts w:ascii="Times New Roman" w:eastAsia="Times New Roman" w:hAnsi="Times New Roman" w:cs="Times New Roman"/>
              </w:rPr>
              <w:t>radiologically node-negative post-NACT</w:t>
            </w:r>
          </w:p>
        </w:tc>
      </w:tr>
      <w:tr w:rsidR="005E2F68">
        <w:trPr>
          <w:trHeight w:val="170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Bhargavan</w:t>
            </w:r>
            <w:proofErr w:type="spellEnd"/>
            <w:r>
              <w:rPr>
                <w:rFonts w:ascii="Times New Roman" w:eastAsia="Times New Roman" w:hAnsi="Times New Roman" w:cs="Times New Roman"/>
                <w:b/>
                <w:bCs/>
              </w:rPr>
              <w:t xml:space="preserve"> et al. [33]</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Prospective cross-sectional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To evaluate the hypothesis that the "black node" (identified via pre-NACT tattooing) is the sentinel node in post-NACT LABC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 xml:space="preserve">214 women with </w:t>
            </w:r>
            <w:r>
              <w:rPr>
                <w:rFonts w:ascii="Times New Roman" w:eastAsia="Times New Roman" w:hAnsi="Times New Roman" w:cs="Times New Roman"/>
                <w:highlight w:val="white"/>
              </w:rPr>
              <w:t>biopsy-proven LABC (cT3 or 4, N0–3 or any T, N 2–3) undergoing surgery after NACT</w:t>
            </w:r>
          </w:p>
        </w:tc>
      </w:tr>
      <w:tr w:rsidR="005E2F68">
        <w:trPr>
          <w:trHeight w:val="174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Zahwe</w:t>
            </w:r>
            <w:proofErr w:type="spellEnd"/>
            <w:r>
              <w:rPr>
                <w:rFonts w:ascii="Times New Roman" w:eastAsia="Times New Roman" w:hAnsi="Times New Roman" w:cs="Times New Roman"/>
                <w:b/>
                <w:bCs/>
              </w:rPr>
              <w:t xml:space="preserve"> et al. [34]</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To evaluate long-term oncological outcomes of SLNB after NACT and compare results between initially node-negative and </w:t>
            </w:r>
            <w:r>
              <w:rPr>
                <w:rFonts w:ascii="Times New Roman" w:eastAsia="Times New Roman" w:hAnsi="Times New Roman" w:cs="Times New Roman"/>
              </w:rPr>
              <w:t>node-positive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186 breast cancer patients (all women) who received NACT</w:t>
            </w:r>
            <w:r>
              <w:rPr>
                <w:color w:val="303030"/>
                <w:sz w:val="21"/>
                <w:szCs w:val="21"/>
                <w:highlight w:val="white"/>
              </w:rPr>
              <w:t xml:space="preserve"> </w:t>
            </w:r>
          </w:p>
        </w:tc>
      </w:tr>
      <w:tr w:rsidR="005E2F68">
        <w:trPr>
          <w:trHeight w:val="173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Tinterri</w:t>
            </w:r>
            <w:proofErr w:type="spellEnd"/>
            <w:r>
              <w:rPr>
                <w:rFonts w:ascii="Times New Roman" w:eastAsia="Times New Roman" w:hAnsi="Times New Roman" w:cs="Times New Roman"/>
                <w:b/>
                <w:bCs/>
              </w:rPr>
              <w:t xml:space="preserve"> et al. [35]</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To assess the reliability and clinical significance of SLNB by comparing oncological outcomes between cN0 and </w:t>
            </w:r>
            <w:proofErr w:type="spellStart"/>
            <w:r>
              <w:rPr>
                <w:rFonts w:ascii="Times New Roman" w:eastAsia="Times New Roman" w:hAnsi="Times New Roman" w:cs="Times New Roman"/>
              </w:rPr>
              <w:t>cN</w:t>
            </w:r>
            <w:proofErr w:type="spellEnd"/>
            <w:r>
              <w:rPr>
                <w:rFonts w:ascii="Times New Roman" w:eastAsia="Times New Roman" w:hAnsi="Times New Roman" w:cs="Times New Roman"/>
              </w:rPr>
              <w:t>+ patients pri</w:t>
            </w:r>
            <w:r>
              <w:rPr>
                <w:rFonts w:ascii="Times New Roman" w:eastAsia="Times New Roman" w:hAnsi="Times New Roman" w:cs="Times New Roman"/>
              </w:rPr>
              <w:t>or to 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291 patients (131 cN0, 160 </w:t>
            </w:r>
            <w:proofErr w:type="spellStart"/>
            <w:r>
              <w:rPr>
                <w:rFonts w:ascii="Times New Roman" w:eastAsia="Times New Roman" w:hAnsi="Times New Roman" w:cs="Times New Roman"/>
              </w:rPr>
              <w:t>cN</w:t>
            </w:r>
            <w:proofErr w:type="spellEnd"/>
            <w:r>
              <w:rPr>
                <w:rFonts w:ascii="Times New Roman" w:eastAsia="Times New Roman" w:hAnsi="Times New Roman" w:cs="Times New Roman"/>
              </w:rPr>
              <w:t>+ who became ycN0 after NACT)</w:t>
            </w:r>
          </w:p>
        </w:tc>
      </w:tr>
      <w:tr w:rsidR="005E2F68">
        <w:trPr>
          <w:trHeight w:val="202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Sanchez et al. [36]</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highlight w:val="white"/>
              </w:rPr>
              <w:t>To assess the feasibility and prognostic significance (Overall Survival, Distant Disease-Free Survival, Regional Disease-Free Survival) of</w:t>
            </w:r>
            <w:r>
              <w:rPr>
                <w:rFonts w:ascii="Times New Roman" w:eastAsia="Times New Roman" w:hAnsi="Times New Roman" w:cs="Times New Roman"/>
                <w:highlight w:val="white"/>
              </w:rPr>
              <w:t xml:space="preserve"> SLNB status in ycN0 patients</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399 ycN0 patients (219 initially cN0, 180 initially cN1/2)</w:t>
            </w:r>
          </w:p>
        </w:tc>
      </w:tr>
      <w:tr w:rsidR="005E2F68">
        <w:trPr>
          <w:trHeight w:val="1433"/>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Ergenç</w:t>
            </w:r>
            <w:proofErr w:type="spellEnd"/>
            <w:r>
              <w:rPr>
                <w:rFonts w:ascii="Times New Roman" w:eastAsia="Times New Roman" w:hAnsi="Times New Roman" w:cs="Times New Roman"/>
                <w:b/>
                <w:bCs/>
              </w:rPr>
              <w:t xml:space="preserve"> et al. [37]</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Retrospective cohort study</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To evaluate the efficacy and axillary recurrence rate of SLNB using blue dye-only in patients post-NACT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rPr>
              <w:t xml:space="preserve">185 ycN0 </w:t>
            </w:r>
            <w:r>
              <w:rPr>
                <w:rFonts w:ascii="Times New Roman" w:eastAsia="Times New Roman" w:hAnsi="Times New Roman" w:cs="Times New Roman"/>
              </w:rPr>
              <w:t>patients (68 initially cN0, 117 initially cN1)</w:t>
            </w:r>
          </w:p>
        </w:tc>
      </w:tr>
    </w:tbl>
    <w:p w:rsidR="005E2F68" w:rsidRDefault="005E2F68"/>
    <w:p w:rsidR="005E2F68" w:rsidRDefault="005E2F68"/>
    <w:p w:rsidR="005E2F68" w:rsidRDefault="00835B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p w:rsidR="005E2F68" w:rsidRDefault="00835BD3">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Feasibility: Identification Rates (IR)</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feasibility of SLNB post-NACT is measured primarily by the Identification Rate (IR), which varies based on the mapping technique and initial nodal status. </w:t>
      </w:r>
      <w:r>
        <w:rPr>
          <w:rFonts w:ascii="Times New Roman" w:eastAsia="Times New Roman" w:hAnsi="Times New Roman" w:cs="Times New Roman"/>
          <w:sz w:val="24"/>
          <w:szCs w:val="24"/>
          <w:highlight w:val="white"/>
        </w:rPr>
        <w:t>IRs range were noted from as low as 49.54% and 68.42% in some prospective cohorts to high rates of 90%-96.8%. The use of dual tracers (blue dye plus radiocolloid) significantly improved success, achieving a 100% IR in multiple studies. Single-agent mapping</w:t>
      </w:r>
      <w:r>
        <w:rPr>
          <w:rFonts w:ascii="Times New Roman" w:eastAsia="Times New Roman" w:hAnsi="Times New Roman" w:cs="Times New Roman"/>
          <w:sz w:val="24"/>
          <w:szCs w:val="24"/>
          <w:highlight w:val="white"/>
        </w:rPr>
        <w:t xml:space="preserve"> using blue dye alone reported variable IRs, such as 88%-91%. The IRs of included articles have been tabulated in table 2.</w:t>
      </w:r>
    </w:p>
    <w:p w:rsidR="005E2F68" w:rsidRDefault="005E2F68">
      <w:pPr>
        <w:jc w:val="both"/>
        <w:rPr>
          <w:rFonts w:ascii="Times New Roman" w:eastAsia="Times New Roman" w:hAnsi="Times New Roman" w:cs="Times New Roman"/>
          <w:sz w:val="24"/>
          <w:szCs w:val="24"/>
          <w:highlight w:val="white"/>
        </w:rPr>
      </w:pP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Identification Rate of included studies</w:t>
      </w:r>
    </w:p>
    <w:tbl>
      <w:tblPr>
        <w:tblStyle w:val="a0"/>
        <w:tblW w:w="87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4605"/>
      </w:tblGrid>
      <w:tr w:rsidR="005E2F68">
        <w:trPr>
          <w:trHeight w:val="54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Study</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Identification Rate (IR)</w:t>
            </w:r>
          </w:p>
        </w:tc>
      </w:tr>
      <w:tr w:rsidR="005E2F68">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Somashekhar</w:t>
            </w:r>
            <w:proofErr w:type="spellEnd"/>
            <w:r>
              <w:rPr>
                <w:rFonts w:ascii="Times New Roman" w:eastAsia="Times New Roman" w:hAnsi="Times New Roman" w:cs="Times New Roman"/>
                <w:b/>
                <w:bCs/>
              </w:rPr>
              <w:t xml:space="preserve"> &amp; Abhishek [28]</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90%</w:t>
            </w:r>
          </w:p>
        </w:tc>
      </w:tr>
      <w:tr w:rsidR="005E2F68">
        <w:trPr>
          <w:trHeight w:val="108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Arjunan</w:t>
            </w:r>
            <w:proofErr w:type="spellEnd"/>
            <w:r>
              <w:rPr>
                <w:rFonts w:ascii="Times New Roman" w:eastAsia="Times New Roman" w:hAnsi="Times New Roman" w:cs="Times New Roman"/>
                <w:b/>
                <w:bCs/>
              </w:rPr>
              <w:t xml:space="preserve"> et al. </w:t>
            </w:r>
            <w:r>
              <w:rPr>
                <w:rFonts w:ascii="Times New Roman" w:eastAsia="Times New Roman" w:hAnsi="Times New Roman" w:cs="Times New Roman"/>
                <w:b/>
                <w:bCs/>
              </w:rPr>
              <w:t>[29]</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86.4%</w:t>
            </w:r>
          </w:p>
          <w:p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 (dual method)</w:t>
            </w:r>
          </w:p>
          <w:p w:rsidR="005E2F68" w:rsidRDefault="00835BD3">
            <w:pPr>
              <w:numPr>
                <w:ilvl w:val="0"/>
                <w:numId w:val="1"/>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66.7% (single-agent)</w:t>
            </w:r>
          </w:p>
        </w:tc>
      </w:tr>
      <w:tr w:rsidR="005E2F68">
        <w:trPr>
          <w:trHeight w:val="465"/>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Shreya et al. [30]</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49.54%</w:t>
            </w:r>
          </w:p>
        </w:tc>
      </w:tr>
      <w:tr w:rsidR="005E2F68">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Alors</w:t>
            </w:r>
            <w:proofErr w:type="spellEnd"/>
            <w:r>
              <w:rPr>
                <w:rFonts w:ascii="Times New Roman" w:eastAsia="Times New Roman" w:hAnsi="Times New Roman" w:cs="Times New Roman"/>
                <w:b/>
                <w:bCs/>
              </w:rPr>
              <w:t>-Ruiz et al. [31]</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&gt;95%</w:t>
            </w:r>
          </w:p>
        </w:tc>
      </w:tr>
      <w:tr w:rsidR="005E2F68">
        <w:trPr>
          <w:trHeight w:val="48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Sulthana</w:t>
            </w:r>
            <w:proofErr w:type="spellEnd"/>
            <w:r>
              <w:rPr>
                <w:rFonts w:ascii="Times New Roman" w:eastAsia="Times New Roman" w:hAnsi="Times New Roman" w:cs="Times New Roman"/>
                <w:b/>
                <w:bCs/>
              </w:rPr>
              <w:t xml:space="preserve"> et al. [32]</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68.42%</w:t>
            </w:r>
          </w:p>
        </w:tc>
      </w:tr>
      <w:tr w:rsidR="005E2F68">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Bhargavan</w:t>
            </w:r>
            <w:proofErr w:type="spellEnd"/>
            <w:r>
              <w:rPr>
                <w:rFonts w:ascii="Times New Roman" w:eastAsia="Times New Roman" w:hAnsi="Times New Roman" w:cs="Times New Roman"/>
                <w:b/>
                <w:bCs/>
              </w:rPr>
              <w:t xml:space="preserve"> et al. [33]</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88.8%</w:t>
            </w:r>
          </w:p>
          <w:p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100% (cN0 subset) </w:t>
            </w:r>
          </w:p>
          <w:p w:rsidR="005E2F68" w:rsidRDefault="00835BD3">
            <w:pPr>
              <w:numPr>
                <w:ilvl w:val="0"/>
                <w:numId w:val="3"/>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96.6% (cN1 subset)</w:t>
            </w:r>
          </w:p>
        </w:tc>
      </w:tr>
      <w:tr w:rsidR="005E2F68">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Zahwe</w:t>
            </w:r>
            <w:proofErr w:type="spellEnd"/>
            <w:r>
              <w:rPr>
                <w:rFonts w:ascii="Times New Roman" w:eastAsia="Times New Roman" w:hAnsi="Times New Roman" w:cs="Times New Roman"/>
                <w:b/>
                <w:bCs/>
              </w:rPr>
              <w:t xml:space="preserve"> et al. [34]</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4"/>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 (cN0)</w:t>
            </w:r>
          </w:p>
          <w:p w:rsidR="005E2F68" w:rsidRDefault="00835BD3">
            <w:pPr>
              <w:numPr>
                <w:ilvl w:val="0"/>
                <w:numId w:val="4"/>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96.6% (</w:t>
            </w:r>
            <w:proofErr w:type="spellStart"/>
            <w:r>
              <w:rPr>
                <w:rFonts w:ascii="Times New Roman" w:eastAsia="Times New Roman" w:hAnsi="Times New Roman" w:cs="Times New Roman"/>
                <w:highlight w:val="white"/>
              </w:rPr>
              <w:t>cN</w:t>
            </w:r>
            <w:proofErr w:type="spellEnd"/>
            <w:r>
              <w:rPr>
                <w:rFonts w:ascii="Times New Roman" w:eastAsia="Times New Roman" w:hAnsi="Times New Roman" w:cs="Times New Roman"/>
                <w:highlight w:val="white"/>
              </w:rPr>
              <w:t>+)</w:t>
            </w:r>
          </w:p>
        </w:tc>
      </w:tr>
      <w:tr w:rsidR="005E2F68">
        <w:trPr>
          <w:trHeight w:val="45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Tinterri</w:t>
            </w:r>
            <w:proofErr w:type="spellEnd"/>
            <w:r>
              <w:rPr>
                <w:rFonts w:ascii="Times New Roman" w:eastAsia="Times New Roman" w:hAnsi="Times New Roman" w:cs="Times New Roman"/>
                <w:b/>
                <w:bCs/>
              </w:rPr>
              <w:t xml:space="preserve"> </w:t>
            </w:r>
            <w:r>
              <w:rPr>
                <w:rFonts w:ascii="Times New Roman" w:eastAsia="Times New Roman" w:hAnsi="Times New Roman" w:cs="Times New Roman"/>
                <w:b/>
                <w:bCs/>
              </w:rPr>
              <w:t>et al. [35]</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100%</w:t>
            </w:r>
          </w:p>
        </w:tc>
      </w:tr>
      <w:tr w:rsidR="005E2F68">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r>
              <w:rPr>
                <w:rFonts w:ascii="Times New Roman" w:eastAsia="Times New Roman" w:hAnsi="Times New Roman" w:cs="Times New Roman"/>
                <w:b/>
                <w:bCs/>
              </w:rPr>
              <w:t>Sanchez et al. [36]</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96.8%</w:t>
            </w:r>
          </w:p>
          <w:p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98.2% (cN0 patients)</w:t>
            </w:r>
          </w:p>
          <w:p w:rsidR="005E2F68" w:rsidRDefault="00835BD3">
            <w:pPr>
              <w:numPr>
                <w:ilvl w:val="0"/>
                <w:numId w:val="2"/>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95.2% (</w:t>
            </w:r>
            <w:proofErr w:type="spellStart"/>
            <w:r>
              <w:rPr>
                <w:rFonts w:ascii="Times New Roman" w:eastAsia="Times New Roman" w:hAnsi="Times New Roman" w:cs="Times New Roman"/>
                <w:highlight w:val="white"/>
              </w:rPr>
              <w:t>cN</w:t>
            </w:r>
            <w:proofErr w:type="spellEnd"/>
            <w:r>
              <w:rPr>
                <w:rFonts w:ascii="Times New Roman" w:eastAsia="Times New Roman" w:hAnsi="Times New Roman" w:cs="Times New Roman"/>
                <w:highlight w:val="white"/>
              </w:rPr>
              <w:t>+ patients)</w:t>
            </w:r>
          </w:p>
        </w:tc>
      </w:tr>
      <w:tr w:rsidR="005E2F68">
        <w:trPr>
          <w:trHeight w:val="800"/>
        </w:trPr>
        <w:tc>
          <w:tcPr>
            <w:tcW w:w="4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rPr>
            </w:pPr>
            <w:proofErr w:type="spellStart"/>
            <w:r>
              <w:rPr>
                <w:rFonts w:ascii="Times New Roman" w:eastAsia="Times New Roman" w:hAnsi="Times New Roman" w:cs="Times New Roman"/>
                <w:b/>
                <w:bCs/>
              </w:rPr>
              <w:t>Ergenç</w:t>
            </w:r>
            <w:proofErr w:type="spellEnd"/>
            <w:r>
              <w:rPr>
                <w:rFonts w:ascii="Times New Roman" w:eastAsia="Times New Roman" w:hAnsi="Times New Roman" w:cs="Times New Roman"/>
                <w:b/>
                <w:bCs/>
              </w:rPr>
              <w:t xml:space="preserve"> et al. [37]</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89.2%</w:t>
            </w:r>
          </w:p>
          <w:p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91.2% (cN0)</w:t>
            </w:r>
          </w:p>
          <w:p w:rsidR="005E2F68" w:rsidRDefault="00835BD3">
            <w:pPr>
              <w:numPr>
                <w:ilvl w:val="0"/>
                <w:numId w:val="5"/>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88.0% (cN1)</w:t>
            </w:r>
          </w:p>
        </w:tc>
      </w:tr>
    </w:tbl>
    <w:p w:rsidR="005E2F68" w:rsidRDefault="005E2F68">
      <w:pPr>
        <w:jc w:val="both"/>
        <w:rPr>
          <w:rFonts w:ascii="Times New Roman" w:eastAsia="Times New Roman" w:hAnsi="Times New Roman" w:cs="Times New Roman"/>
          <w:sz w:val="24"/>
          <w:szCs w:val="24"/>
          <w:highlight w:val="white"/>
        </w:rPr>
      </w:pPr>
    </w:p>
    <w:p w:rsidR="005E2F68" w:rsidRDefault="00835BD3">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Diagnostic Accuracy: False Negative Rates (FNR)</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FNR remains the most critical concern for oncological safety. </w:t>
      </w:r>
      <w:r>
        <w:rPr>
          <w:rFonts w:ascii="Times New Roman" w:eastAsia="Times New Roman" w:hAnsi="Times New Roman" w:cs="Times New Roman"/>
          <w:sz w:val="24"/>
          <w:szCs w:val="24"/>
          <w:highlight w:val="white"/>
        </w:rPr>
        <w:t>Current expert consensus suggests an FNR &lt;10% is ideal for clinical reliability. Reported FNRs ranged from 11% with dual mapping to 18.4%-25% with single tracer methods. FNR decreased as more nodes were harvested. It was found to be 0% when two or more sen</w:t>
      </w:r>
      <w:r>
        <w:rPr>
          <w:rFonts w:ascii="Times New Roman" w:eastAsia="Times New Roman" w:hAnsi="Times New Roman" w:cs="Times New Roman"/>
          <w:sz w:val="24"/>
          <w:szCs w:val="24"/>
          <w:highlight w:val="white"/>
        </w:rPr>
        <w:t>tinel nodes were identified. The "black node" technique (pre-NACT tattooing) achieved an FNR of 0% in cN0 patients and 4.63% in cN1 patients. The FNRs of included articles have been tabulated in table 3.</w:t>
      </w:r>
    </w:p>
    <w:p w:rsidR="005E2F68" w:rsidRDefault="005E2F68">
      <w:pPr>
        <w:jc w:val="both"/>
        <w:rPr>
          <w:rFonts w:ascii="Times New Roman" w:eastAsia="Times New Roman" w:hAnsi="Times New Roman" w:cs="Times New Roman"/>
          <w:sz w:val="24"/>
          <w:szCs w:val="24"/>
          <w:highlight w:val="white"/>
        </w:rPr>
      </w:pP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False Negative Rate of included studies</w:t>
      </w:r>
    </w:p>
    <w:tbl>
      <w:tblPr>
        <w:tblStyle w:val="a1"/>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520"/>
      </w:tblGrid>
      <w:tr w:rsidR="005E2F68">
        <w:trPr>
          <w:trHeight w:val="5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St</w:t>
            </w:r>
            <w:r>
              <w:rPr>
                <w:rFonts w:ascii="Times New Roman" w:eastAsia="Times New Roman" w:hAnsi="Times New Roman" w:cs="Times New Roman"/>
                <w:b/>
                <w:bCs/>
                <w:sz w:val="24"/>
                <w:szCs w:val="24"/>
                <w:highlight w:val="white"/>
              </w:rPr>
              <w:t>udy</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False Negative Rate (FNR)</w:t>
            </w:r>
          </w:p>
        </w:tc>
      </w:tr>
      <w:tr w:rsidR="005E2F68">
        <w:trPr>
          <w:trHeight w:val="48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Somashekhar</w:t>
            </w:r>
            <w:proofErr w:type="spellEnd"/>
            <w:r>
              <w:rPr>
                <w:rFonts w:ascii="Times New Roman" w:eastAsia="Times New Roman" w:hAnsi="Times New Roman" w:cs="Times New Roman"/>
                <w:b/>
                <w:bCs/>
                <w:highlight w:val="white"/>
              </w:rPr>
              <w:t xml:space="preserve"> &amp; Abhishek [28]</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18.4%</w:t>
            </w:r>
          </w:p>
        </w:tc>
      </w:tr>
      <w:tr w:rsidR="005E2F68">
        <w:trPr>
          <w:trHeight w:val="1328"/>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Arjunan</w:t>
            </w:r>
            <w:proofErr w:type="spellEnd"/>
            <w:r>
              <w:rPr>
                <w:rFonts w:ascii="Times New Roman" w:eastAsia="Times New Roman" w:hAnsi="Times New Roman" w:cs="Times New Roman"/>
                <w:b/>
                <w:bCs/>
                <w:highlight w:val="white"/>
              </w:rPr>
              <w:t xml:space="preserve"> et al. [29]</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21.4% </w:t>
            </w:r>
          </w:p>
          <w:p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11% (dual mapping) </w:t>
            </w:r>
          </w:p>
          <w:p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50% (methylene blue)</w:t>
            </w:r>
          </w:p>
          <w:p w:rsidR="005E2F68" w:rsidRDefault="00835BD3">
            <w:pPr>
              <w:numPr>
                <w:ilvl w:val="0"/>
                <w:numId w:val="6"/>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33.3% (radioactive colloid)</w:t>
            </w:r>
          </w:p>
        </w:tc>
      </w:tr>
      <w:tr w:rsidR="005E2F68">
        <w:trPr>
          <w:trHeight w:val="45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Sulthana</w:t>
            </w:r>
            <w:proofErr w:type="spellEnd"/>
            <w:r>
              <w:rPr>
                <w:rFonts w:ascii="Times New Roman" w:eastAsia="Times New Roman" w:hAnsi="Times New Roman" w:cs="Times New Roman"/>
                <w:b/>
                <w:bCs/>
                <w:highlight w:val="white"/>
              </w:rPr>
              <w:t xml:space="preserve"> et al. [32]</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5E2F68">
        <w:trPr>
          <w:trHeight w:val="450"/>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jc w:val="center"/>
              <w:rPr>
                <w:rFonts w:ascii="Times New Roman" w:eastAsia="Times New Roman" w:hAnsi="Times New Roman" w:cs="Times New Roman"/>
                <w:highlight w:val="white"/>
              </w:rPr>
            </w:pPr>
            <w:proofErr w:type="spellStart"/>
            <w:r>
              <w:rPr>
                <w:rFonts w:ascii="Times New Roman" w:eastAsia="Times New Roman" w:hAnsi="Times New Roman" w:cs="Times New Roman"/>
                <w:b/>
                <w:bCs/>
                <w:highlight w:val="white"/>
              </w:rPr>
              <w:t>Bhargavan</w:t>
            </w:r>
            <w:proofErr w:type="spellEnd"/>
            <w:r>
              <w:rPr>
                <w:rFonts w:ascii="Times New Roman" w:eastAsia="Times New Roman" w:hAnsi="Times New Roman" w:cs="Times New Roman"/>
                <w:b/>
                <w:bCs/>
                <w:highlight w:val="white"/>
              </w:rPr>
              <w:t xml:space="preserve"> et al. [33]</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17.4% </w:t>
            </w:r>
          </w:p>
          <w:p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 (cN0)</w:t>
            </w:r>
          </w:p>
          <w:p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4.63% (cN1)</w:t>
            </w:r>
          </w:p>
          <w:p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35.8% (cN2)</w:t>
            </w:r>
          </w:p>
          <w:p w:rsidR="005E2F68" w:rsidRDefault="00835BD3">
            <w:pPr>
              <w:numPr>
                <w:ilvl w:val="0"/>
                <w:numId w:val="8"/>
              </w:num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27.8%</w:t>
            </w:r>
            <w:r>
              <w:rPr>
                <w:rFonts w:ascii="Times New Roman" w:eastAsia="Times New Roman" w:hAnsi="Times New Roman" w:cs="Times New Roman"/>
                <w:highlight w:val="white"/>
              </w:rPr>
              <w:t xml:space="preserve"> (cN3)</w:t>
            </w:r>
          </w:p>
        </w:tc>
      </w:tr>
    </w:tbl>
    <w:p w:rsidR="005E2F68" w:rsidRDefault="005E2F68">
      <w:pPr>
        <w:jc w:val="both"/>
        <w:rPr>
          <w:rFonts w:ascii="Times New Roman" w:eastAsia="Times New Roman" w:hAnsi="Times New Roman" w:cs="Times New Roman"/>
          <w:sz w:val="24"/>
          <w:szCs w:val="24"/>
          <w:highlight w:val="white"/>
        </w:rPr>
      </w:pPr>
    </w:p>
    <w:p w:rsidR="005E2F68" w:rsidRDefault="00835BD3">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Pathological Response and </w:t>
      </w:r>
      <w:proofErr w:type="spellStart"/>
      <w:r>
        <w:rPr>
          <w:rFonts w:ascii="Times New Roman" w:eastAsia="Times New Roman" w:hAnsi="Times New Roman" w:cs="Times New Roman"/>
          <w:b/>
          <w:bCs/>
          <w:sz w:val="24"/>
          <w:szCs w:val="24"/>
          <w:highlight w:val="white"/>
        </w:rPr>
        <w:t>Tumor</w:t>
      </w:r>
      <w:proofErr w:type="spellEnd"/>
      <w:r>
        <w:rPr>
          <w:rFonts w:ascii="Times New Roman" w:eastAsia="Times New Roman" w:hAnsi="Times New Roman" w:cs="Times New Roman"/>
          <w:b/>
          <w:bCs/>
          <w:sz w:val="24"/>
          <w:szCs w:val="24"/>
          <w:highlight w:val="white"/>
        </w:rPr>
        <w:t xml:space="preserve"> Biology</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NACT effectively downstages nodal disease, but response is highly dependent on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characteristics. Studies reported that 68.2% to 70.64% of patients became clinically node-negative after NACT. Pathologica</w:t>
      </w:r>
      <w:r>
        <w:rPr>
          <w:rFonts w:ascii="Times New Roman" w:eastAsia="Times New Roman" w:hAnsi="Times New Roman" w:cs="Times New Roman"/>
          <w:sz w:val="24"/>
          <w:szCs w:val="24"/>
          <w:highlight w:val="white"/>
        </w:rPr>
        <w:t xml:space="preserve">l complete response rates ranged from 26.7% to 39.7%. Triple-negative (TNBC) and HER2-positive subtypes showed the highest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rates (often &gt;50%) and zero SLNB-positivity in patients achieving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This has led to the suggestion that SLNB might be s</w:t>
      </w:r>
      <w:r>
        <w:rPr>
          <w:rFonts w:ascii="Times New Roman" w:eastAsia="Times New Roman" w:hAnsi="Times New Roman" w:cs="Times New Roman"/>
          <w:sz w:val="24"/>
          <w:szCs w:val="24"/>
          <w:highlight w:val="white"/>
        </w:rPr>
        <w:t xml:space="preserve">afely omitted in highly selected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cases.</w:t>
      </w:r>
    </w:p>
    <w:p w:rsidR="005E2F68" w:rsidRDefault="00835BD3">
      <w:pPr>
        <w:spacing w:before="2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Oncological Safety and Survival</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Long-term data suggested that SLNB is a safe alternative to ALND for ycN0 patients. Five-year Overall Survival (OS) was high, with reports of 95.2% to 97.6%. Multiple retrospective</w:t>
      </w:r>
      <w:r>
        <w:rPr>
          <w:rFonts w:ascii="Times New Roman" w:eastAsia="Times New Roman" w:hAnsi="Times New Roman" w:cs="Times New Roman"/>
          <w:sz w:val="24"/>
          <w:szCs w:val="24"/>
          <w:highlight w:val="white"/>
        </w:rPr>
        <w:t xml:space="preserve"> analyses found no statistically significant difference in OS, Disease-Free Survival (DFS), or Distant Disease-Free Survival (DDFS) between patients who were initially cN0 and those who converted from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to ycN0. Recurrence rates in the axilla remained lo</w:t>
      </w:r>
      <w:r>
        <w:rPr>
          <w:rFonts w:ascii="Times New Roman" w:eastAsia="Times New Roman" w:hAnsi="Times New Roman" w:cs="Times New Roman"/>
          <w:sz w:val="24"/>
          <w:szCs w:val="24"/>
          <w:highlight w:val="white"/>
        </w:rPr>
        <w:t>w, ranging from 1.1% to 2.3%.</w:t>
      </w:r>
    </w:p>
    <w:p w:rsidR="005E2F68" w:rsidRDefault="005E2F68">
      <w:pPr>
        <w:jc w:val="both"/>
        <w:rPr>
          <w:rFonts w:ascii="Times New Roman" w:eastAsia="Times New Roman" w:hAnsi="Times New Roman" w:cs="Times New Roman"/>
          <w:sz w:val="24"/>
          <w:szCs w:val="24"/>
        </w:rPr>
      </w:pPr>
    </w:p>
    <w:p w:rsidR="005E2F68" w:rsidRDefault="005E2F68">
      <w:pPr>
        <w:jc w:val="both"/>
        <w:rPr>
          <w:rFonts w:ascii="Times New Roman" w:eastAsia="Times New Roman" w:hAnsi="Times New Roman" w:cs="Times New Roman"/>
          <w:sz w:val="24"/>
          <w:szCs w:val="24"/>
        </w:rPr>
      </w:pPr>
    </w:p>
    <w:p w:rsidR="005E2F68" w:rsidRDefault="00835B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management of the axilla in breast cancer has undergone a paradigm shift, moving from the radical extirpation principles of Halsted toward biologically driven, de-escalated surgical interventions. While SLNB i</w:t>
      </w:r>
      <w:r>
        <w:rPr>
          <w:rFonts w:ascii="Times New Roman" w:eastAsia="Times New Roman" w:hAnsi="Times New Roman" w:cs="Times New Roman"/>
          <w:sz w:val="24"/>
          <w:szCs w:val="24"/>
          <w:highlight w:val="white"/>
        </w:rPr>
        <w:t>s the undisputed gold standard for axillary staging in cN0 patients, its application following NACT remains one of the most debated topics in surgical oncology. The core of this debate rests on whether the chemotherapy-induced changes to the lymphatic arch</w:t>
      </w:r>
      <w:r>
        <w:rPr>
          <w:rFonts w:ascii="Times New Roman" w:eastAsia="Times New Roman" w:hAnsi="Times New Roman" w:cs="Times New Roman"/>
          <w:sz w:val="24"/>
          <w:szCs w:val="24"/>
          <w:highlight w:val="white"/>
        </w:rPr>
        <w:t>itecture - such as fibrosis and altered drainage, jeopardize the IR and FNR to an extent that compromises oncological safety.</w:t>
      </w:r>
    </w:p>
    <w:p w:rsidR="005E2F68" w:rsidRDefault="00835BD3">
      <w:pPr>
        <w:spacing w:before="200" w:line="342"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The Challenge of Nodal Identification and Mapping Techniques</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critical factor in the success of post-NACT SLNB is the mapping technique employed [38]. Traditional teaching suggested that NACT might impair lymphatic drainage, leading to dismal identification rates. Indeed, some prospective cohorts in the review repo</w:t>
      </w:r>
      <w:r>
        <w:rPr>
          <w:rFonts w:ascii="Times New Roman" w:eastAsia="Times New Roman" w:hAnsi="Times New Roman" w:cs="Times New Roman"/>
          <w:sz w:val="24"/>
          <w:szCs w:val="24"/>
          <w:highlight w:val="white"/>
        </w:rPr>
        <w:t>rted success in only 49.54% to 68.42% of cases when using single-tracer methods. However, more contemporary data suggest that high identification rates are achievable, particularly with dual tracer mapping [39]. The evidence analysed for this review consis</w:t>
      </w:r>
      <w:r>
        <w:rPr>
          <w:rFonts w:ascii="Times New Roman" w:eastAsia="Times New Roman" w:hAnsi="Times New Roman" w:cs="Times New Roman"/>
          <w:sz w:val="24"/>
          <w:szCs w:val="24"/>
          <w:highlight w:val="white"/>
        </w:rPr>
        <w:t>tently showed that combining radioactive colloid and blue dye provides the most robust results, often reaching a 100% IR. In settings where radiocolloids are unavailable due to cost or regulatory constraints, the studies highlight effective alternatives. F</w:t>
      </w:r>
      <w:r>
        <w:rPr>
          <w:rFonts w:ascii="Times New Roman" w:eastAsia="Times New Roman" w:hAnsi="Times New Roman" w:cs="Times New Roman"/>
          <w:sz w:val="24"/>
          <w:szCs w:val="24"/>
          <w:highlight w:val="white"/>
        </w:rPr>
        <w:t xml:space="preserve">or example, the use of fluorescein combined with methylene blue or even methylene blue alone in experienced hands yielded IRs of 90% to 95%. These findings reinforce the observation that the learning curve and surgical experience of the operating team are </w:t>
      </w:r>
      <w:r>
        <w:rPr>
          <w:rFonts w:ascii="Times New Roman" w:eastAsia="Times New Roman" w:hAnsi="Times New Roman" w:cs="Times New Roman"/>
          <w:sz w:val="24"/>
          <w:szCs w:val="24"/>
          <w:highlight w:val="white"/>
        </w:rPr>
        <w:t>as vital as the tracers used [40].</w:t>
      </w:r>
    </w:p>
    <w:p w:rsidR="005E2F68" w:rsidRDefault="00835BD3">
      <w:pPr>
        <w:spacing w:before="200" w:line="342"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Diagnostic Accuracy and the 'False-Negative' Threshold</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concern regarding SLNB post-NACT is the FNR. Historical trials like ACOSOG Z1071 and SENTINA reported FNR around the 10% threshold with dual dye technique</w:t>
      </w:r>
      <w:r>
        <w:rPr>
          <w:rFonts w:ascii="Times New Roman" w:eastAsia="Times New Roman" w:hAnsi="Times New Roman" w:cs="Times New Roman"/>
          <w:sz w:val="24"/>
          <w:szCs w:val="24"/>
          <w:highlight w:val="white"/>
        </w:rPr>
        <w:t xml:space="preserve"> and harvesting 3 or more nodes, which is generally accepted for clinical safety [15,17]. The articles included for review reported variable FNRs, ranging from a low of 11% with dual mapping to as high as 25% with single-agent techniques. This inaccuracy i</w:t>
      </w:r>
      <w:r>
        <w:rPr>
          <w:rFonts w:ascii="Times New Roman" w:eastAsia="Times New Roman" w:hAnsi="Times New Roman" w:cs="Times New Roman"/>
          <w:sz w:val="24"/>
          <w:szCs w:val="24"/>
          <w:highlight w:val="white"/>
        </w:rPr>
        <w:t xml:space="preserve">s often attributed to "skip metastases," where NACT eradicates disease in the sentinel node but leaves residual cancer in higher-level nodes [41,42]. To mitigate this risk, two critical strategies have been emphasized - node count and targeted techniques. </w:t>
      </w:r>
      <w:r>
        <w:rPr>
          <w:rFonts w:ascii="Times New Roman" w:eastAsia="Times New Roman" w:hAnsi="Times New Roman" w:cs="Times New Roman"/>
          <w:sz w:val="24"/>
          <w:szCs w:val="24"/>
          <w:highlight w:val="white"/>
        </w:rPr>
        <w:t>Harvesting three or more nodes significantly reduces the FNR [15,17,38]. For instance, one study noted an FNR of 0% when two or more sentinel nodes were identified. This has led to the development of Targeted Axillary Dissection (TAD), which involves marki</w:t>
      </w:r>
      <w:r>
        <w:rPr>
          <w:rFonts w:ascii="Times New Roman" w:eastAsia="Times New Roman" w:hAnsi="Times New Roman" w:cs="Times New Roman"/>
          <w:sz w:val="24"/>
          <w:szCs w:val="24"/>
          <w:highlight w:val="white"/>
        </w:rPr>
        <w:t xml:space="preserve">ng positive nodes before NACT to ensure their retrieval. An innovative and cost-effective iteration of this is the "black node" technique. By tattooing the primary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area prior to NACT, surgeons can visually identify the first-echelon node by its perma</w:t>
      </w:r>
      <w:r>
        <w:rPr>
          <w:rFonts w:ascii="Times New Roman" w:eastAsia="Times New Roman" w:hAnsi="Times New Roman" w:cs="Times New Roman"/>
          <w:sz w:val="24"/>
          <w:szCs w:val="24"/>
          <w:highlight w:val="white"/>
        </w:rPr>
        <w:t>nent pigment [27]. This method achieved an FNR of 0% to 4.63% in patients with a low pre-NACT nodal burden (cN0/cN1), demonstrating its potential as a reliable predictor of axillary status in resource-limited settings.</w:t>
      </w:r>
    </w:p>
    <w:p w:rsidR="005E2F68" w:rsidRDefault="00835BD3">
      <w:pPr>
        <w:spacing w:before="200" w:line="342" w:lineRule="auto"/>
        <w:rPr>
          <w:rFonts w:ascii="Times New Roman" w:eastAsia="Times New Roman" w:hAnsi="Times New Roman" w:cs="Times New Roman"/>
          <w:b/>
          <w:bCs/>
          <w:sz w:val="24"/>
          <w:szCs w:val="24"/>
          <w:highlight w:val="white"/>
        </w:rPr>
      </w:pPr>
      <w:proofErr w:type="spellStart"/>
      <w:r>
        <w:rPr>
          <w:rFonts w:ascii="Times New Roman" w:eastAsia="Times New Roman" w:hAnsi="Times New Roman" w:cs="Times New Roman"/>
          <w:b/>
          <w:bCs/>
          <w:sz w:val="24"/>
          <w:szCs w:val="24"/>
          <w:highlight w:val="white"/>
        </w:rPr>
        <w:t>Tumor</w:t>
      </w:r>
      <w:proofErr w:type="spellEnd"/>
      <w:r>
        <w:rPr>
          <w:rFonts w:ascii="Times New Roman" w:eastAsia="Times New Roman" w:hAnsi="Times New Roman" w:cs="Times New Roman"/>
          <w:b/>
          <w:bCs/>
          <w:sz w:val="24"/>
          <w:szCs w:val="24"/>
          <w:highlight w:val="white"/>
        </w:rPr>
        <w:t xml:space="preserve"> Biology as a Predictor of Respo</w:t>
      </w:r>
      <w:r>
        <w:rPr>
          <w:rFonts w:ascii="Times New Roman" w:eastAsia="Times New Roman" w:hAnsi="Times New Roman" w:cs="Times New Roman"/>
          <w:b/>
          <w:bCs/>
          <w:sz w:val="24"/>
          <w:szCs w:val="24"/>
          <w:highlight w:val="white"/>
        </w:rPr>
        <w:t>nse</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significant insight provided by the review is that axillary management should be tailored to molecular subtypes. Patients with Triple-Negative Breast Cancer (TNBC) and HER2-positive disease are "excellent responders" to NACT. The probability of achie</w:t>
      </w:r>
      <w:r>
        <w:rPr>
          <w:rFonts w:ascii="Times New Roman" w:eastAsia="Times New Roman" w:hAnsi="Times New Roman" w:cs="Times New Roman"/>
          <w:sz w:val="24"/>
          <w:szCs w:val="24"/>
          <w:highlight w:val="white"/>
        </w:rPr>
        <w:t xml:space="preserve">ving a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these subtypes often exceeds 50% [21-24]. Crucially, the review demonstrates a strong correlation between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in the breast (ypT0) and a negative axilla. In one study, TNBC and HER2+ patients who achieved a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had zero SLNB positivit</w:t>
      </w:r>
      <w:r>
        <w:rPr>
          <w:rFonts w:ascii="Times New Roman" w:eastAsia="Times New Roman" w:hAnsi="Times New Roman" w:cs="Times New Roman"/>
          <w:sz w:val="24"/>
          <w:szCs w:val="24"/>
          <w:highlight w:val="white"/>
        </w:rPr>
        <w:t xml:space="preserve">y, suggesting that the axilla was cleared of disease in every single case. This has </w:t>
      </w:r>
      <w:proofErr w:type="spellStart"/>
      <w:r>
        <w:rPr>
          <w:rFonts w:ascii="Times New Roman" w:eastAsia="Times New Roman" w:hAnsi="Times New Roman" w:cs="Times New Roman"/>
          <w:sz w:val="24"/>
          <w:szCs w:val="24"/>
          <w:highlight w:val="white"/>
        </w:rPr>
        <w:t>fueled</w:t>
      </w:r>
      <w:proofErr w:type="spellEnd"/>
      <w:r>
        <w:rPr>
          <w:rFonts w:ascii="Times New Roman" w:eastAsia="Times New Roman" w:hAnsi="Times New Roman" w:cs="Times New Roman"/>
          <w:sz w:val="24"/>
          <w:szCs w:val="24"/>
          <w:highlight w:val="white"/>
        </w:rPr>
        <w:t xml:space="preserve"> a growing movement toward the complete omission of axillary surgery in highly selected, high-responding patients. Conversely, patients with Hormone Receptor-positive</w:t>
      </w:r>
      <w:r>
        <w:rPr>
          <w:rFonts w:ascii="Times New Roman" w:eastAsia="Times New Roman" w:hAnsi="Times New Roman" w:cs="Times New Roman"/>
          <w:sz w:val="24"/>
          <w:szCs w:val="24"/>
          <w:highlight w:val="white"/>
        </w:rPr>
        <w:t xml:space="preserve"> (HR+) disease show much lower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rates (often &lt;10%), and SLNB-negativity in this group is less predictable [43,44]. This suggests that </w:t>
      </w:r>
      <w:r>
        <w:rPr>
          <w:rFonts w:ascii="Times New Roman" w:eastAsia="Times New Roman" w:hAnsi="Times New Roman" w:cs="Times New Roman"/>
          <w:sz w:val="24"/>
          <w:szCs w:val="24"/>
          <w:highlight w:val="white"/>
        </w:rPr>
        <w:lastRenderedPageBreak/>
        <w:t xml:space="preserve">anatomical staging remains paramount for the HR+ subtype, whereas biological response may soon guide the management of </w:t>
      </w:r>
      <w:r>
        <w:rPr>
          <w:rFonts w:ascii="Times New Roman" w:eastAsia="Times New Roman" w:hAnsi="Times New Roman" w:cs="Times New Roman"/>
          <w:sz w:val="24"/>
          <w:szCs w:val="24"/>
          <w:highlight w:val="white"/>
        </w:rPr>
        <w:t>TNBC and HER2+ cases.</w:t>
      </w:r>
    </w:p>
    <w:p w:rsidR="005E2F68" w:rsidRDefault="00835BD3">
      <w:pPr>
        <w:spacing w:before="200" w:line="342"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Long-Term Oncological Outcomes and Safety</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concerns over FNR, the long-term survival data presented in the review are highly encouraging. Retrospective analyses showed that axillary recurrence was rare, ranging from 1.1% to 2.3</w:t>
      </w:r>
      <w:r>
        <w:rPr>
          <w:rFonts w:ascii="Times New Roman" w:eastAsia="Times New Roman" w:hAnsi="Times New Roman" w:cs="Times New Roman"/>
          <w:sz w:val="24"/>
          <w:szCs w:val="24"/>
          <w:highlight w:val="white"/>
        </w:rPr>
        <w:t>%. These low failure rates occur even in cohorts where the FNR might theoretically be higher than the 10% ideal. Furthermore, several studies found no statistically significant difference in 5-year OS or DFS between patients undergoing SLNB alone versus th</w:t>
      </w:r>
      <w:r>
        <w:rPr>
          <w:rFonts w:ascii="Times New Roman" w:eastAsia="Times New Roman" w:hAnsi="Times New Roman" w:cs="Times New Roman"/>
          <w:sz w:val="24"/>
          <w:szCs w:val="24"/>
          <w:highlight w:val="white"/>
        </w:rPr>
        <w:t>ose receiving radical ALND after NACT. This indicates that the prognostic power of SLNB is maintained post-NACT - a positive sentinel node remains a strong independent predictor of worse survival outcomes, allowing clinicians to escalate adjuvant therapies</w:t>
      </w:r>
      <w:r>
        <w:rPr>
          <w:rFonts w:ascii="Times New Roman" w:eastAsia="Times New Roman" w:hAnsi="Times New Roman" w:cs="Times New Roman"/>
          <w:sz w:val="24"/>
          <w:szCs w:val="24"/>
          <w:highlight w:val="white"/>
        </w:rPr>
        <w:t xml:space="preserve"> appropriately. These findings support the conclusion that SLNB is an </w:t>
      </w:r>
      <w:proofErr w:type="spellStart"/>
      <w:r>
        <w:rPr>
          <w:rFonts w:ascii="Times New Roman" w:eastAsia="Times New Roman" w:hAnsi="Times New Roman" w:cs="Times New Roman"/>
          <w:sz w:val="24"/>
          <w:szCs w:val="24"/>
          <w:highlight w:val="white"/>
        </w:rPr>
        <w:t>oncologically</w:t>
      </w:r>
      <w:proofErr w:type="spellEnd"/>
      <w:r>
        <w:rPr>
          <w:rFonts w:ascii="Times New Roman" w:eastAsia="Times New Roman" w:hAnsi="Times New Roman" w:cs="Times New Roman"/>
          <w:sz w:val="24"/>
          <w:szCs w:val="24"/>
          <w:highlight w:val="white"/>
        </w:rPr>
        <w:t xml:space="preserve"> safe alternative to ALND for patients who are clinically node-negative (ycN0) after systemic therapy.</w:t>
      </w:r>
    </w:p>
    <w:p w:rsidR="005E2F68" w:rsidRDefault="00835BD3">
      <w:pPr>
        <w:spacing w:before="200" w:line="342"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Clinical Implications and Future Directions</w:t>
      </w:r>
    </w:p>
    <w:p w:rsidR="005E2F68" w:rsidRDefault="00835BD3">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integration of SLNB in</w:t>
      </w:r>
      <w:r>
        <w:rPr>
          <w:rFonts w:ascii="Times New Roman" w:eastAsia="Times New Roman" w:hAnsi="Times New Roman" w:cs="Times New Roman"/>
          <w:sz w:val="24"/>
          <w:szCs w:val="24"/>
          <w:highlight w:val="white"/>
        </w:rPr>
        <w:t xml:space="preserve">to the post-NACT workflow offers the tangible benefit of reducing surgical morbidity, specifically the "ugly appearance" and functional impairment of upper limb lymphedema and </w:t>
      </w:r>
      <w:proofErr w:type="spellStart"/>
      <w:r>
        <w:rPr>
          <w:rFonts w:ascii="Times New Roman" w:eastAsia="Times New Roman" w:hAnsi="Times New Roman" w:cs="Times New Roman"/>
          <w:sz w:val="24"/>
          <w:szCs w:val="24"/>
          <w:highlight w:val="white"/>
        </w:rPr>
        <w:t>paresthesia</w:t>
      </w:r>
      <w:proofErr w:type="spellEnd"/>
      <w:r>
        <w:rPr>
          <w:rFonts w:ascii="Times New Roman" w:eastAsia="Times New Roman" w:hAnsi="Times New Roman" w:cs="Times New Roman"/>
          <w:sz w:val="24"/>
          <w:szCs w:val="24"/>
          <w:highlight w:val="white"/>
        </w:rPr>
        <w:t xml:space="preserve"> associated with ALND [3-7]. As breast units move toward further de-e</w:t>
      </w:r>
      <w:r>
        <w:rPr>
          <w:rFonts w:ascii="Times New Roman" w:eastAsia="Times New Roman" w:hAnsi="Times New Roman" w:cs="Times New Roman"/>
          <w:sz w:val="24"/>
          <w:szCs w:val="24"/>
          <w:highlight w:val="white"/>
        </w:rPr>
        <w:t>scalation, the focus is shifting toward personalized axillary management. However, challenges remain. The review advises caution in patients with a high initial nodal burden (cN2/cN3) or those who do not achieve a complete clinical response to NACT, as the</w:t>
      </w:r>
      <w:r>
        <w:rPr>
          <w:rFonts w:ascii="Times New Roman" w:eastAsia="Times New Roman" w:hAnsi="Times New Roman" w:cs="Times New Roman"/>
          <w:sz w:val="24"/>
          <w:szCs w:val="24"/>
          <w:highlight w:val="white"/>
        </w:rPr>
        <w:t xml:space="preserve"> risk of residual disease and procedural failure is significantly higher in these groups. For these patients, ALND remains the standard of care to ensure locoregional control.</w:t>
      </w: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835B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5E2F68" w:rsidRDefault="00835BD3">
      <w:pPr>
        <w:spacing w:before="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Neoadjuvant chemotherapy (NACT) is a powerful tool for downstaging </w:t>
      </w:r>
      <w:r>
        <w:rPr>
          <w:rFonts w:ascii="Times New Roman" w:eastAsia="Times New Roman" w:hAnsi="Times New Roman" w:cs="Times New Roman"/>
          <w:sz w:val="24"/>
          <w:szCs w:val="24"/>
          <w:highlight w:val="white"/>
        </w:rPr>
        <w:t>axillary disease, often converting node-positive patients to clinically node-negative status. Sentinel lymph node biopsy (SLNB) is a feasible and safe staging modality following NACT, providing accurate prognostic information with low axillary recurrence r</w:t>
      </w:r>
      <w:r>
        <w:rPr>
          <w:rFonts w:ascii="Times New Roman" w:eastAsia="Times New Roman" w:hAnsi="Times New Roman" w:cs="Times New Roman"/>
          <w:sz w:val="24"/>
          <w:szCs w:val="24"/>
          <w:highlight w:val="white"/>
        </w:rPr>
        <w:t>ates. While SLNB reliability post-NACT has been debated due to chemotherapy-induced lymphatic disruption, accuracy is significantly optimized through specific surgical strategies. Dual tracer mapping (combining dye and radiocolloids) and the retrieval of a</w:t>
      </w:r>
      <w:r>
        <w:rPr>
          <w:rFonts w:ascii="Times New Roman" w:eastAsia="Times New Roman" w:hAnsi="Times New Roman" w:cs="Times New Roman"/>
          <w:sz w:val="24"/>
          <w:szCs w:val="24"/>
          <w:highlight w:val="white"/>
        </w:rPr>
        <w:t>t least three sentinel nodes are strongly recommended to minimize false-negative rates (FNR). Innovative methods, such as pre-chemotherapy breast tattooing, have emerged as effective and cost-efficient techniques. Long-term oncological data confirm that th</w:t>
      </w:r>
      <w:r>
        <w:rPr>
          <w:rFonts w:ascii="Times New Roman" w:eastAsia="Times New Roman" w:hAnsi="Times New Roman" w:cs="Times New Roman"/>
          <w:sz w:val="24"/>
          <w:szCs w:val="24"/>
          <w:highlight w:val="white"/>
        </w:rPr>
        <w:t xml:space="preserve">ere is no statistically significant difference in overall survival (OS) or disease-free survival (DFS) between patients undergoing SLNB alone versus those receiving radical axillary lymph node dissection (ALND) after NACT.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biology is a critical predi</w:t>
      </w:r>
      <w:r>
        <w:rPr>
          <w:rFonts w:ascii="Times New Roman" w:eastAsia="Times New Roman" w:hAnsi="Times New Roman" w:cs="Times New Roman"/>
          <w:sz w:val="24"/>
          <w:szCs w:val="24"/>
          <w:highlight w:val="white"/>
        </w:rPr>
        <w:t>ctor - patients with Triple-Negative and HER2-positive subtypes who achieve a pathological complete response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show excellent outcomes. In conclusion, SLNB is a reliable alternative to ALND in the post-neoadjuvant setting. Its success depends on carefu</w:t>
      </w:r>
      <w:r>
        <w:rPr>
          <w:rFonts w:ascii="Times New Roman" w:eastAsia="Times New Roman" w:hAnsi="Times New Roman" w:cs="Times New Roman"/>
          <w:sz w:val="24"/>
          <w:szCs w:val="24"/>
          <w:highlight w:val="white"/>
        </w:rPr>
        <w:t xml:space="preserve">l patient </w:t>
      </w:r>
      <w:r>
        <w:rPr>
          <w:rFonts w:ascii="Times New Roman" w:eastAsia="Times New Roman" w:hAnsi="Times New Roman" w:cs="Times New Roman"/>
          <w:sz w:val="24"/>
          <w:szCs w:val="24"/>
          <w:highlight w:val="white"/>
        </w:rPr>
        <w:lastRenderedPageBreak/>
        <w:t>selection, meticulous mapping techniques, and a multimodal approach integrating clinical, radiological, and pathological assessments.</w:t>
      </w:r>
    </w:p>
    <w:p w:rsidR="005E2F68" w:rsidRDefault="005E2F68">
      <w:pPr>
        <w:rPr>
          <w:rFonts w:ascii="Times New Roman" w:eastAsia="Times New Roman" w:hAnsi="Times New Roman" w:cs="Times New Roman"/>
          <w:sz w:val="24"/>
          <w:szCs w:val="24"/>
        </w:rPr>
      </w:pPr>
    </w:p>
    <w:p w:rsidR="005E2F68" w:rsidRDefault="005E2F68">
      <w:pPr>
        <w:rPr>
          <w:rFonts w:ascii="Times New Roman" w:eastAsia="Times New Roman" w:hAnsi="Times New Roman" w:cs="Times New Roman"/>
          <w:sz w:val="24"/>
          <w:szCs w:val="24"/>
        </w:rPr>
      </w:pPr>
    </w:p>
    <w:p w:rsidR="005E2F68" w:rsidRDefault="00835BD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Declaration</w:t>
      </w:r>
    </w:p>
    <w:p w:rsidR="005E2F68" w:rsidRDefault="005E2F68">
      <w:pPr>
        <w:shd w:val="clear" w:color="auto" w:fill="FFFFFF"/>
        <w:rPr>
          <w:color w:val="222222"/>
        </w:rPr>
      </w:pPr>
    </w:p>
    <w:p w:rsidR="005E2F68" w:rsidRDefault="00835BD3">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rsidR="005E2F68" w:rsidRDefault="00835BD3">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Consent for </w:t>
      </w:r>
      <w:r>
        <w:rPr>
          <w:rFonts w:ascii="Times New Roman" w:eastAsia="Times New Roman" w:hAnsi="Times New Roman" w:cs="Times New Roman"/>
          <w:b/>
          <w:bCs/>
          <w:sz w:val="24"/>
          <w:szCs w:val="24"/>
          <w:shd w:val="clear" w:color="auto" w:fill="FCFCFC"/>
        </w:rPr>
        <w:t>publication:</w:t>
      </w:r>
      <w:r>
        <w:rPr>
          <w:rFonts w:ascii="Times New Roman" w:eastAsia="Times New Roman" w:hAnsi="Times New Roman" w:cs="Times New Roman"/>
          <w:sz w:val="24"/>
          <w:szCs w:val="24"/>
          <w:shd w:val="clear" w:color="auto" w:fill="FCFCFC"/>
        </w:rPr>
        <w:t> There is consent for the publication of this paper.</w:t>
      </w:r>
    </w:p>
    <w:p w:rsidR="005E2F68" w:rsidRDefault="00835BD3">
      <w:pPr>
        <w:spacing w:after="160" w:line="259" w:lineRule="auto"/>
        <w:jc w:val="both"/>
        <w:rPr>
          <w:rFonts w:ascii="Times New Roman" w:eastAsia="Times New Roman" w:hAnsi="Times New Roman" w:cs="Times New Roman"/>
          <w:sz w:val="24"/>
          <w:szCs w:val="24"/>
          <w:highlight w:val="white"/>
        </w:rPr>
      </w:pPr>
      <w:bookmarkStart w:id="0" w:name="_nn9h7az1hmdg" w:colFirst="0" w:colLast="0"/>
      <w:bookmarkStart w:id="1" w:name="_GoBack"/>
      <w:bookmarkEnd w:id="0"/>
      <w:bookmarkEnd w:id="1"/>
      <w:r>
        <w:rPr>
          <w:rFonts w:ascii="Times New Roman" w:eastAsia="Times New Roman" w:hAnsi="Times New Roman" w:cs="Times New Roman"/>
          <w:b/>
          <w:bCs/>
          <w:sz w:val="24"/>
          <w:szCs w:val="24"/>
          <w:highlight w:val="white"/>
        </w:rPr>
        <w:t>Ethical approval:</w:t>
      </w:r>
      <w:r>
        <w:rPr>
          <w:rFonts w:ascii="Times New Roman" w:eastAsia="Times New Roman" w:hAnsi="Times New Roman" w:cs="Times New Roman"/>
          <w:sz w:val="24"/>
          <w:szCs w:val="24"/>
          <w:highlight w:val="white"/>
        </w:rPr>
        <w:t xml:space="preserve"> Not required.</w:t>
      </w:r>
    </w:p>
    <w:p w:rsidR="005E2F68" w:rsidRDefault="00835BD3">
      <w:pPr>
        <w:spacing w:after="160" w:line="259" w:lineRule="auto"/>
        <w:jc w:val="both"/>
        <w:rPr>
          <w:rFonts w:ascii="Times New Roman" w:eastAsia="Times New Roman" w:hAnsi="Times New Roman" w:cs="Times New Roman"/>
          <w:sz w:val="24"/>
          <w:szCs w:val="24"/>
          <w:highlight w:val="white"/>
        </w:rPr>
      </w:pPr>
      <w:bookmarkStart w:id="2" w:name="_4vm6xr96qwdf" w:colFirst="0" w:colLast="0"/>
      <w:bookmarkEnd w:id="2"/>
      <w:r>
        <w:rPr>
          <w:rFonts w:ascii="Times New Roman" w:eastAsia="Times New Roman" w:hAnsi="Times New Roman" w:cs="Times New Roman"/>
          <w:b/>
          <w:bCs/>
          <w:sz w:val="24"/>
          <w:szCs w:val="24"/>
          <w:highlight w:val="white"/>
        </w:rPr>
        <w:t>Artificial Intelligence:</w:t>
      </w:r>
      <w:r>
        <w:rPr>
          <w:rFonts w:ascii="Times New Roman" w:eastAsia="Times New Roman" w:hAnsi="Times New Roman" w:cs="Times New Roman"/>
          <w:sz w:val="24"/>
          <w:szCs w:val="24"/>
          <w:highlight w:val="white"/>
        </w:rPr>
        <w:t xml:space="preserve"> During the preparation of this work, the authors used Google </w:t>
      </w:r>
      <w:proofErr w:type="spellStart"/>
      <w:r>
        <w:rPr>
          <w:rFonts w:ascii="Times New Roman" w:eastAsia="Times New Roman" w:hAnsi="Times New Roman" w:cs="Times New Roman"/>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 </w:t>
      </w:r>
      <w:r>
        <w:rPr>
          <w:rFonts w:ascii="Times New Roman" w:eastAsia="Times New Roman" w:hAnsi="Times New Roman" w:cs="Times New Roman"/>
          <w:sz w:val="24"/>
          <w:szCs w:val="24"/>
          <w:highlight w:val="white"/>
        </w:rPr>
        <w:t>After using this tool, the authors reviewed and edited the content as needed and take full responsibility for the content of the published article.</w:t>
      </w:r>
    </w:p>
    <w:p w:rsidR="005E2F68" w:rsidRDefault="005E2F68">
      <w:pPr>
        <w:spacing w:after="160" w:line="259" w:lineRule="auto"/>
        <w:jc w:val="both"/>
        <w:rPr>
          <w:rFonts w:ascii="Times New Roman" w:eastAsia="Times New Roman" w:hAnsi="Times New Roman" w:cs="Times New Roman"/>
          <w:sz w:val="24"/>
          <w:szCs w:val="24"/>
          <w:highlight w:val="white"/>
        </w:rPr>
      </w:pPr>
      <w:bookmarkStart w:id="3" w:name="_bzw4xtb1g4w4" w:colFirst="0" w:colLast="0"/>
      <w:bookmarkEnd w:id="3"/>
    </w:p>
    <w:p w:rsidR="005E2F68" w:rsidRDefault="00835BD3">
      <w:pPr>
        <w:spacing w:after="160" w:line="259" w:lineRule="auto"/>
        <w:jc w:val="both"/>
        <w:rPr>
          <w:rFonts w:ascii="Times New Roman" w:eastAsia="Times New Roman" w:hAnsi="Times New Roman" w:cs="Times New Roman"/>
          <w:b/>
          <w:bCs/>
          <w:sz w:val="24"/>
          <w:szCs w:val="24"/>
          <w:highlight w:val="white"/>
        </w:rPr>
      </w:pPr>
      <w:bookmarkStart w:id="4" w:name="_ivoydj9p7m3o" w:colFirst="0" w:colLast="0"/>
      <w:bookmarkEnd w:id="4"/>
      <w:r>
        <w:rPr>
          <w:rFonts w:ascii="Times New Roman" w:eastAsia="Times New Roman" w:hAnsi="Times New Roman" w:cs="Times New Roman"/>
          <w:b/>
          <w:bCs/>
          <w:sz w:val="24"/>
          <w:szCs w:val="24"/>
          <w:highlight w:val="white"/>
        </w:rPr>
        <w:t>References</w:t>
      </w:r>
    </w:p>
    <w:p w:rsidR="005E2F68" w:rsidRDefault="00835BD3">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w:t>
      </w:r>
      <w:r>
        <w:rPr>
          <w:rFonts w:ascii="Times New Roman" w:eastAsia="Times New Roman" w:hAnsi="Times New Roman" w:cs="Times New Roman"/>
          <w:sz w:val="24"/>
          <w:szCs w:val="24"/>
          <w:highlight w:val="white"/>
        </w:rPr>
        <w:t xml:space="preserve">Statistics 2020: GLOBOCAN Estimates of Incidence and Mortality Worldwide for 36 Cancers in 185 Countries. CA Cancer J Clin. 2021 May;71(3):209-249.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10.3322/caac.21660.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2021 Feb 4. PMID: 33538338.</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33818764.</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Si-Qi </w:t>
      </w:r>
      <w:proofErr w:type="spellStart"/>
      <w:r>
        <w:rPr>
          <w:rFonts w:ascii="Times New Roman" w:eastAsia="Times New Roman" w:hAnsi="Times New Roman" w:cs="Times New Roman"/>
          <w:sz w:val="24"/>
          <w:szCs w:val="24"/>
          <w:highlight w:val="white"/>
        </w:rPr>
        <w:t>Qiu</w:t>
      </w:r>
      <w:proofErr w:type="spellEnd"/>
      <w:r>
        <w:rPr>
          <w:rFonts w:ascii="Times New Roman" w:eastAsia="Times New Roman" w:hAnsi="Times New Roman" w:cs="Times New Roman"/>
          <w:sz w:val="24"/>
          <w:szCs w:val="24"/>
          <w:highlight w:val="white"/>
        </w:rPr>
        <w:t xml:space="preserve">, Guo-Jun Zhang, </w:t>
      </w:r>
      <w:proofErr w:type="spellStart"/>
      <w:r>
        <w:rPr>
          <w:rFonts w:ascii="Times New Roman" w:eastAsia="Times New Roman" w:hAnsi="Times New Roman" w:cs="Times New Roman"/>
          <w:sz w:val="24"/>
          <w:szCs w:val="24"/>
          <w:highlight w:val="white"/>
        </w:rPr>
        <w:t>Liesbeth</w:t>
      </w:r>
      <w:proofErr w:type="spellEnd"/>
      <w:r>
        <w:rPr>
          <w:rFonts w:ascii="Times New Roman" w:eastAsia="Times New Roman" w:hAnsi="Times New Roman" w:cs="Times New Roman"/>
          <w:sz w:val="24"/>
          <w:szCs w:val="24"/>
          <w:highlight w:val="white"/>
        </w:rPr>
        <w:t xml:space="preserve"> Jansen, Jakob de Vries, </w:t>
      </w:r>
      <w:proofErr w:type="spellStart"/>
      <w:r>
        <w:rPr>
          <w:rFonts w:ascii="Times New Roman" w:eastAsia="Times New Roman" w:hAnsi="Times New Roman" w:cs="Times New Roman"/>
          <w:sz w:val="24"/>
          <w:szCs w:val="24"/>
          <w:highlight w:val="white"/>
        </w:rPr>
        <w:t>Carolien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Schröder</w:t>
      </w:r>
      <w:proofErr w:type="spellEnd"/>
      <w:r>
        <w:rPr>
          <w:rFonts w:ascii="Times New Roman" w:eastAsia="Times New Roman" w:hAnsi="Times New Roman" w:cs="Times New Roman"/>
          <w:sz w:val="24"/>
          <w:szCs w:val="24"/>
          <w:highlight w:val="white"/>
        </w:rPr>
        <w:t xml:space="preserve">, Elisabeth </w:t>
      </w:r>
      <w:r>
        <w:rPr>
          <w:rFonts w:ascii="Times New Roman" w:eastAsia="Times New Roman" w:hAnsi="Times New Roman" w:cs="Times New Roman"/>
          <w:sz w:val="24"/>
          <w:szCs w:val="24"/>
          <w:highlight w:val="white"/>
        </w:rPr>
        <w:t xml:space="preserve">G.E. de Vries, </w:t>
      </w:r>
      <w:proofErr w:type="spellStart"/>
      <w:r>
        <w:rPr>
          <w:rFonts w:ascii="Times New Roman" w:eastAsia="Times New Roman" w:hAnsi="Times New Roman" w:cs="Times New Roman"/>
          <w:sz w:val="24"/>
          <w:szCs w:val="24"/>
          <w:highlight w:val="white"/>
        </w:rPr>
        <w:t>Gooitzen</w:t>
      </w:r>
      <w:proofErr w:type="spellEnd"/>
      <w:r>
        <w:rPr>
          <w:rFonts w:ascii="Times New Roman" w:eastAsia="Times New Roman" w:hAnsi="Times New Roman" w:cs="Times New Roman"/>
          <w:sz w:val="24"/>
          <w:szCs w:val="24"/>
          <w:highlight w:val="white"/>
        </w:rPr>
        <w:t xml:space="preserve"> M. van Dam, Evolution in sentinel lymph node biopsy in breast cancer, Critical Reviews in Oncology/</w:t>
      </w:r>
      <w:proofErr w:type="spellStart"/>
      <w:r>
        <w:rPr>
          <w:rFonts w:ascii="Times New Roman" w:eastAsia="Times New Roman" w:hAnsi="Times New Roman" w:cs="Times New Roman"/>
          <w:sz w:val="24"/>
          <w:szCs w:val="24"/>
          <w:highlight w:val="white"/>
        </w:rPr>
        <w:t>Hematology</w:t>
      </w:r>
      <w:proofErr w:type="spellEnd"/>
      <w:r>
        <w:rPr>
          <w:rFonts w:ascii="Times New Roman" w:eastAsia="Times New Roman" w:hAnsi="Times New Roman" w:cs="Times New Roman"/>
          <w:sz w:val="24"/>
          <w:szCs w:val="24"/>
          <w:highlight w:val="white"/>
        </w:rPr>
        <w:t>, Volume 123, 2018, Pages 83-94, ISSN 1040-8428, https://doi.org/10.1016/j.critrevonc.2017.09.010.</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Giuliano AE, </w:t>
      </w:r>
      <w:proofErr w:type="spellStart"/>
      <w:r>
        <w:rPr>
          <w:rFonts w:ascii="Times New Roman" w:eastAsia="Times New Roman" w:hAnsi="Times New Roman" w:cs="Times New Roman"/>
          <w:sz w:val="24"/>
          <w:szCs w:val="24"/>
          <w:highlight w:val="white"/>
        </w:rPr>
        <w:t>Ballman</w:t>
      </w:r>
      <w:proofErr w:type="spellEnd"/>
      <w:r>
        <w:rPr>
          <w:rFonts w:ascii="Times New Roman" w:eastAsia="Times New Roman" w:hAnsi="Times New Roman" w:cs="Times New Roman"/>
          <w:sz w:val="24"/>
          <w:szCs w:val="24"/>
          <w:highlight w:val="white"/>
        </w:rPr>
        <w:t xml:space="preserve"> KV,</w:t>
      </w:r>
      <w:r>
        <w:rPr>
          <w:rFonts w:ascii="Times New Roman" w:eastAsia="Times New Roman" w:hAnsi="Times New Roman" w:cs="Times New Roman"/>
          <w:sz w:val="24"/>
          <w:szCs w:val="24"/>
          <w:highlight w:val="white"/>
        </w:rPr>
        <w:t xml:space="preserve"> McCall L, </w:t>
      </w:r>
      <w:proofErr w:type="spellStart"/>
      <w:r>
        <w:rPr>
          <w:rFonts w:ascii="Times New Roman" w:eastAsia="Times New Roman" w:hAnsi="Times New Roman" w:cs="Times New Roman"/>
          <w:sz w:val="24"/>
          <w:szCs w:val="24"/>
          <w:highlight w:val="white"/>
        </w:rPr>
        <w:t>Beitsch</w:t>
      </w:r>
      <w:proofErr w:type="spellEnd"/>
      <w:r>
        <w:rPr>
          <w:rFonts w:ascii="Times New Roman" w:eastAsia="Times New Roman" w:hAnsi="Times New Roman" w:cs="Times New Roman"/>
          <w:sz w:val="24"/>
          <w:szCs w:val="24"/>
          <w:highlight w:val="white"/>
        </w:rPr>
        <w:t xml:space="preserve"> PD, Brennan MB, Kelemen PR, </w:t>
      </w:r>
      <w:proofErr w:type="spellStart"/>
      <w:r>
        <w:rPr>
          <w:rFonts w:ascii="Times New Roman" w:eastAsia="Times New Roman" w:hAnsi="Times New Roman" w:cs="Times New Roman"/>
          <w:sz w:val="24"/>
          <w:szCs w:val="24"/>
          <w:highlight w:val="white"/>
        </w:rPr>
        <w:t>Ollila</w:t>
      </w:r>
      <w:proofErr w:type="spellEnd"/>
      <w:r>
        <w:rPr>
          <w:rFonts w:ascii="Times New Roman" w:eastAsia="Times New Roman" w:hAnsi="Times New Roman" w:cs="Times New Roman"/>
          <w:sz w:val="24"/>
          <w:szCs w:val="24"/>
          <w:highlight w:val="white"/>
        </w:rPr>
        <w:t xml:space="preserve"> DW, Hansen NM, Whitworth PW, </w:t>
      </w:r>
      <w:proofErr w:type="spellStart"/>
      <w:r>
        <w:rPr>
          <w:rFonts w:ascii="Times New Roman" w:eastAsia="Times New Roman" w:hAnsi="Times New Roman" w:cs="Times New Roman"/>
          <w:sz w:val="24"/>
          <w:szCs w:val="24"/>
          <w:highlight w:val="white"/>
        </w:rPr>
        <w:t>Blumencranz</w:t>
      </w:r>
      <w:proofErr w:type="spellEnd"/>
      <w:r>
        <w:rPr>
          <w:rFonts w:ascii="Times New Roman" w:eastAsia="Times New Roman" w:hAnsi="Times New Roman" w:cs="Times New Roman"/>
          <w:sz w:val="24"/>
          <w:szCs w:val="24"/>
          <w:highlight w:val="white"/>
        </w:rPr>
        <w:t xml:space="preserve"> PW, Leitch AM, </w:t>
      </w:r>
      <w:proofErr w:type="spellStart"/>
      <w:r>
        <w:rPr>
          <w:rFonts w:ascii="Times New Roman" w:eastAsia="Times New Roman" w:hAnsi="Times New Roman" w:cs="Times New Roman"/>
          <w:sz w:val="24"/>
          <w:szCs w:val="24"/>
          <w:highlight w:val="white"/>
        </w:rPr>
        <w:t>Saha</w:t>
      </w:r>
      <w:proofErr w:type="spellEnd"/>
      <w:r>
        <w:rPr>
          <w:rFonts w:ascii="Times New Roman" w:eastAsia="Times New Roman" w:hAnsi="Times New Roman" w:cs="Times New Roman"/>
          <w:sz w:val="24"/>
          <w:szCs w:val="24"/>
          <w:highlight w:val="white"/>
        </w:rPr>
        <w:t xml:space="preserve"> S, Hunt KK, Morrow M. Effect of Axillary Dissection vs No Axillary Dissection on 10-Year Overall Survival Among Women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Invasive Breast Ca</w:t>
      </w:r>
      <w:r>
        <w:rPr>
          <w:rFonts w:ascii="Times New Roman" w:eastAsia="Times New Roman" w:hAnsi="Times New Roman" w:cs="Times New Roman"/>
          <w:sz w:val="24"/>
          <w:szCs w:val="24"/>
          <w:highlight w:val="white"/>
        </w:rPr>
        <w:t xml:space="preserve">ncer and Sentinel Node Metastasis: The ACOSOG Z0011 (Alliance) Randomized Clinical Trial. JAMA. 2017 Sep 12;318(10):918-926.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10.1001/jama.2017.11470. PMID: 28898379; PMCID: PMC5672806.</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Krag</w:t>
      </w:r>
      <w:proofErr w:type="spellEnd"/>
      <w:r>
        <w:rPr>
          <w:rFonts w:ascii="Times New Roman" w:eastAsia="Times New Roman" w:hAnsi="Times New Roman" w:cs="Times New Roman"/>
          <w:sz w:val="24"/>
          <w:szCs w:val="24"/>
          <w:highlight w:val="white"/>
        </w:rPr>
        <w:t xml:space="preserve"> DN, Anderson SJ, Julian TB, Brown AM, Harlow SP, Costantino J</w:t>
      </w:r>
      <w:r>
        <w:rPr>
          <w:rFonts w:ascii="Times New Roman" w:eastAsia="Times New Roman" w:hAnsi="Times New Roman" w:cs="Times New Roman"/>
          <w:sz w:val="24"/>
          <w:szCs w:val="24"/>
          <w:highlight w:val="white"/>
        </w:rPr>
        <w:t xml:space="preserve">P, Ashikaga T, Weaver DL, </w:t>
      </w:r>
      <w:proofErr w:type="spellStart"/>
      <w:r>
        <w:rPr>
          <w:rFonts w:ascii="Times New Roman" w:eastAsia="Times New Roman" w:hAnsi="Times New Roman" w:cs="Times New Roman"/>
          <w:sz w:val="24"/>
          <w:szCs w:val="24"/>
          <w:highlight w:val="white"/>
        </w:rPr>
        <w:t>Mamounas</w:t>
      </w:r>
      <w:proofErr w:type="spellEnd"/>
      <w:r>
        <w:rPr>
          <w:rFonts w:ascii="Times New Roman" w:eastAsia="Times New Roman" w:hAnsi="Times New Roman" w:cs="Times New Roman"/>
          <w:sz w:val="24"/>
          <w:szCs w:val="24"/>
          <w:highlight w:val="white"/>
        </w:rPr>
        <w:t xml:space="preserve"> EP, </w:t>
      </w:r>
      <w:proofErr w:type="spellStart"/>
      <w:r>
        <w:rPr>
          <w:rFonts w:ascii="Times New Roman" w:eastAsia="Times New Roman" w:hAnsi="Times New Roman" w:cs="Times New Roman"/>
          <w:sz w:val="24"/>
          <w:szCs w:val="24"/>
          <w:highlight w:val="white"/>
        </w:rPr>
        <w:t>Jalovec</w:t>
      </w:r>
      <w:proofErr w:type="spellEnd"/>
      <w:r>
        <w:rPr>
          <w:rFonts w:ascii="Times New Roman" w:eastAsia="Times New Roman" w:hAnsi="Times New Roman" w:cs="Times New Roman"/>
          <w:sz w:val="24"/>
          <w:szCs w:val="24"/>
          <w:highlight w:val="white"/>
        </w:rPr>
        <w:t xml:space="preserve"> LM, Frazier TG, Noyes RD, </w:t>
      </w:r>
      <w:proofErr w:type="spellStart"/>
      <w:r>
        <w:rPr>
          <w:rFonts w:ascii="Times New Roman" w:eastAsia="Times New Roman" w:hAnsi="Times New Roman" w:cs="Times New Roman"/>
          <w:sz w:val="24"/>
          <w:szCs w:val="24"/>
          <w:highlight w:val="white"/>
        </w:rPr>
        <w:t>Robidoux</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Scarth</w:t>
      </w:r>
      <w:proofErr w:type="spellEnd"/>
      <w:r>
        <w:rPr>
          <w:rFonts w:ascii="Times New Roman" w:eastAsia="Times New Roman" w:hAnsi="Times New Roman" w:cs="Times New Roman"/>
          <w:sz w:val="24"/>
          <w:szCs w:val="24"/>
          <w:highlight w:val="white"/>
        </w:rPr>
        <w:t xml:space="preserve"> HM, </w:t>
      </w:r>
      <w:proofErr w:type="spellStart"/>
      <w:r>
        <w:rPr>
          <w:rFonts w:ascii="Times New Roman" w:eastAsia="Times New Roman" w:hAnsi="Times New Roman" w:cs="Times New Roman"/>
          <w:sz w:val="24"/>
          <w:szCs w:val="24"/>
          <w:highlight w:val="white"/>
        </w:rPr>
        <w:t>Wolmark</w:t>
      </w:r>
      <w:proofErr w:type="spellEnd"/>
      <w:r>
        <w:rPr>
          <w:rFonts w:ascii="Times New Roman" w:eastAsia="Times New Roman" w:hAnsi="Times New Roman" w:cs="Times New Roman"/>
          <w:sz w:val="24"/>
          <w:szCs w:val="24"/>
          <w:highlight w:val="white"/>
        </w:rPr>
        <w:t xml:space="preserve"> N. Sentinel-lymph-node resection compared with conventional axillary-lymph-node dissection in clinically node-negative patients with breast cancer: over</w:t>
      </w:r>
      <w:r>
        <w:rPr>
          <w:rFonts w:ascii="Times New Roman" w:eastAsia="Times New Roman" w:hAnsi="Times New Roman" w:cs="Times New Roman"/>
          <w:sz w:val="24"/>
          <w:szCs w:val="24"/>
          <w:highlight w:val="white"/>
        </w:rPr>
        <w:t xml:space="preserve">all survival findings from the NSABP B-32 randomised phase 3 trial. Lancet Oncol. 2010 Oct;11(10):927-33.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10.1016/S1470-2045(10)70207-2. PMID: 20863759; PMCID: PMC3041644.</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Galimberti</w:t>
      </w:r>
      <w:proofErr w:type="spellEnd"/>
      <w:r>
        <w:rPr>
          <w:rFonts w:ascii="Times New Roman" w:eastAsia="Times New Roman" w:hAnsi="Times New Roman" w:cs="Times New Roman"/>
          <w:sz w:val="24"/>
          <w:szCs w:val="24"/>
          <w:highlight w:val="white"/>
        </w:rPr>
        <w:t xml:space="preserve"> V, Cole BF, </w:t>
      </w:r>
      <w:proofErr w:type="spellStart"/>
      <w:r>
        <w:rPr>
          <w:rFonts w:ascii="Times New Roman" w:eastAsia="Times New Roman" w:hAnsi="Times New Roman" w:cs="Times New Roman"/>
          <w:sz w:val="24"/>
          <w:szCs w:val="24"/>
          <w:highlight w:val="white"/>
        </w:rPr>
        <w:t>Zurrida</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Viale</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Luini</w:t>
      </w:r>
      <w:proofErr w:type="spellEnd"/>
      <w:r>
        <w:rPr>
          <w:rFonts w:ascii="Times New Roman" w:eastAsia="Times New Roman" w:hAnsi="Times New Roman" w:cs="Times New Roman"/>
          <w:sz w:val="24"/>
          <w:szCs w:val="24"/>
          <w:highlight w:val="white"/>
        </w:rPr>
        <w:t xml:space="preserve"> A, Veronesi P, </w:t>
      </w:r>
      <w:proofErr w:type="spellStart"/>
      <w:r>
        <w:rPr>
          <w:rFonts w:ascii="Times New Roman" w:eastAsia="Times New Roman" w:hAnsi="Times New Roman" w:cs="Times New Roman"/>
          <w:sz w:val="24"/>
          <w:szCs w:val="24"/>
          <w:highlight w:val="white"/>
        </w:rPr>
        <w:t>Baratella</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Ch</w:t>
      </w:r>
      <w:r>
        <w:rPr>
          <w:rFonts w:ascii="Times New Roman" w:eastAsia="Times New Roman" w:hAnsi="Times New Roman" w:cs="Times New Roman"/>
          <w:sz w:val="24"/>
          <w:szCs w:val="24"/>
          <w:highlight w:val="white"/>
        </w:rPr>
        <w:t>ifu</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Sargenti</w:t>
      </w:r>
      <w:proofErr w:type="spellEnd"/>
      <w:r>
        <w:rPr>
          <w:rFonts w:ascii="Times New Roman" w:eastAsia="Times New Roman" w:hAnsi="Times New Roman" w:cs="Times New Roman"/>
          <w:sz w:val="24"/>
          <w:szCs w:val="24"/>
          <w:highlight w:val="white"/>
        </w:rPr>
        <w:t xml:space="preserve"> M, Intra M, </w:t>
      </w:r>
      <w:proofErr w:type="spellStart"/>
      <w:r>
        <w:rPr>
          <w:rFonts w:ascii="Times New Roman" w:eastAsia="Times New Roman" w:hAnsi="Times New Roman" w:cs="Times New Roman"/>
          <w:sz w:val="24"/>
          <w:szCs w:val="24"/>
          <w:highlight w:val="white"/>
        </w:rPr>
        <w:t>Gentilini</w:t>
      </w:r>
      <w:proofErr w:type="spellEnd"/>
      <w:r>
        <w:rPr>
          <w:rFonts w:ascii="Times New Roman" w:eastAsia="Times New Roman" w:hAnsi="Times New Roman" w:cs="Times New Roman"/>
          <w:sz w:val="24"/>
          <w:szCs w:val="24"/>
          <w:highlight w:val="white"/>
        </w:rPr>
        <w:t xml:space="preserve"> O, </w:t>
      </w:r>
      <w:proofErr w:type="spellStart"/>
      <w:r>
        <w:rPr>
          <w:rFonts w:ascii="Times New Roman" w:eastAsia="Times New Roman" w:hAnsi="Times New Roman" w:cs="Times New Roman"/>
          <w:sz w:val="24"/>
          <w:szCs w:val="24"/>
          <w:highlight w:val="white"/>
        </w:rPr>
        <w:t>Mastropasqua</w:t>
      </w:r>
      <w:proofErr w:type="spellEnd"/>
      <w:r>
        <w:rPr>
          <w:rFonts w:ascii="Times New Roman" w:eastAsia="Times New Roman" w:hAnsi="Times New Roman" w:cs="Times New Roman"/>
          <w:sz w:val="24"/>
          <w:szCs w:val="24"/>
          <w:highlight w:val="white"/>
        </w:rPr>
        <w:t xml:space="preserve"> MG, </w:t>
      </w:r>
      <w:proofErr w:type="spellStart"/>
      <w:r>
        <w:rPr>
          <w:rFonts w:ascii="Times New Roman" w:eastAsia="Times New Roman" w:hAnsi="Times New Roman" w:cs="Times New Roman"/>
          <w:sz w:val="24"/>
          <w:szCs w:val="24"/>
          <w:highlight w:val="white"/>
        </w:rPr>
        <w:t>Mazzarol</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Massarut</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Garbay</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JR, </w:t>
      </w:r>
      <w:proofErr w:type="spellStart"/>
      <w:r>
        <w:rPr>
          <w:rFonts w:ascii="Times New Roman" w:eastAsia="Times New Roman" w:hAnsi="Times New Roman" w:cs="Times New Roman"/>
          <w:sz w:val="24"/>
          <w:szCs w:val="24"/>
          <w:highlight w:val="white"/>
        </w:rPr>
        <w:t>Zgajnar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Galatius</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Recalcati</w:t>
      </w:r>
      <w:proofErr w:type="spellEnd"/>
      <w:r>
        <w:rPr>
          <w:rFonts w:ascii="Times New Roman" w:eastAsia="Times New Roman" w:hAnsi="Times New Roman" w:cs="Times New Roman"/>
          <w:sz w:val="24"/>
          <w:szCs w:val="24"/>
          <w:highlight w:val="white"/>
        </w:rPr>
        <w:t xml:space="preserve"> A, Littlejohn D, </w:t>
      </w:r>
      <w:proofErr w:type="spellStart"/>
      <w:r>
        <w:rPr>
          <w:rFonts w:ascii="Times New Roman" w:eastAsia="Times New Roman" w:hAnsi="Times New Roman" w:cs="Times New Roman"/>
          <w:sz w:val="24"/>
          <w:szCs w:val="24"/>
          <w:highlight w:val="white"/>
        </w:rPr>
        <w:t>Bamert</w:t>
      </w:r>
      <w:proofErr w:type="spellEnd"/>
      <w:r>
        <w:rPr>
          <w:rFonts w:ascii="Times New Roman" w:eastAsia="Times New Roman" w:hAnsi="Times New Roman" w:cs="Times New Roman"/>
          <w:sz w:val="24"/>
          <w:szCs w:val="24"/>
          <w:highlight w:val="white"/>
        </w:rPr>
        <w:t xml:space="preserve"> M, Colleoni M, Price KN, Regan MM, </w:t>
      </w:r>
      <w:proofErr w:type="spellStart"/>
      <w:r>
        <w:rPr>
          <w:rFonts w:ascii="Times New Roman" w:eastAsia="Times New Roman" w:hAnsi="Times New Roman" w:cs="Times New Roman"/>
          <w:sz w:val="24"/>
          <w:szCs w:val="24"/>
          <w:highlight w:val="white"/>
        </w:rPr>
        <w:t>Goldhirsch</w:t>
      </w:r>
      <w:proofErr w:type="spellEnd"/>
      <w:r>
        <w:rPr>
          <w:rFonts w:ascii="Times New Roman" w:eastAsia="Times New Roman" w:hAnsi="Times New Roman" w:cs="Times New Roman"/>
          <w:sz w:val="24"/>
          <w:szCs w:val="24"/>
          <w:highlight w:val="white"/>
        </w:rPr>
        <w:t xml:space="preserve"> A, Coates AS, </w:t>
      </w:r>
      <w:proofErr w:type="spellStart"/>
      <w:r>
        <w:rPr>
          <w:rFonts w:ascii="Times New Roman" w:eastAsia="Times New Roman" w:hAnsi="Times New Roman" w:cs="Times New Roman"/>
          <w:sz w:val="24"/>
          <w:szCs w:val="24"/>
          <w:highlight w:val="white"/>
        </w:rPr>
        <w:t>Gelber</w:t>
      </w:r>
      <w:proofErr w:type="spellEnd"/>
      <w:r>
        <w:rPr>
          <w:rFonts w:ascii="Times New Roman" w:eastAsia="Times New Roman" w:hAnsi="Times New Roman" w:cs="Times New Roman"/>
          <w:sz w:val="24"/>
          <w:szCs w:val="24"/>
          <w:highlight w:val="white"/>
        </w:rPr>
        <w:t xml:space="preserve"> RD, Veronesi U; International Breast Ca</w:t>
      </w:r>
      <w:r>
        <w:rPr>
          <w:rFonts w:ascii="Times New Roman" w:eastAsia="Times New Roman" w:hAnsi="Times New Roman" w:cs="Times New Roman"/>
          <w:sz w:val="24"/>
          <w:szCs w:val="24"/>
          <w:highlight w:val="white"/>
        </w:rPr>
        <w:t xml:space="preserve">ncer Study Group Trial 23-01 investigators. Axillary dissection versus no axillary dissection in patients with sentinel-node </w:t>
      </w:r>
      <w:proofErr w:type="spellStart"/>
      <w:r>
        <w:rPr>
          <w:rFonts w:ascii="Times New Roman" w:eastAsia="Times New Roman" w:hAnsi="Times New Roman" w:cs="Times New Roman"/>
          <w:sz w:val="24"/>
          <w:szCs w:val="24"/>
          <w:highlight w:val="white"/>
        </w:rPr>
        <w:t>micrometastases</w:t>
      </w:r>
      <w:proofErr w:type="spellEnd"/>
      <w:r>
        <w:rPr>
          <w:rFonts w:ascii="Times New Roman" w:eastAsia="Times New Roman" w:hAnsi="Times New Roman" w:cs="Times New Roman"/>
          <w:sz w:val="24"/>
          <w:szCs w:val="24"/>
          <w:highlight w:val="white"/>
        </w:rPr>
        <w:t xml:space="preserve"> (IBCSG 23-01): a phase 3 randomised controlled trial. Lancet Oncol. 2013 Apr;14(4):297-305.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10.1016/S1470-2045</w:t>
      </w:r>
      <w:r>
        <w:rPr>
          <w:rFonts w:ascii="Times New Roman" w:eastAsia="Times New Roman" w:hAnsi="Times New Roman" w:cs="Times New Roman"/>
          <w:sz w:val="24"/>
          <w:szCs w:val="24"/>
          <w:highlight w:val="white"/>
        </w:rPr>
        <w:t xml:space="preserve">(13)70035-4.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2013 Mar 11. Erratum in: Lancet Oncol. 2013 Jun;14(7</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254. PMID: 23491275; PMCID: PMC3935346.</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Mansel</w:t>
      </w:r>
      <w:proofErr w:type="spellEnd"/>
      <w:r>
        <w:rPr>
          <w:rFonts w:ascii="Times New Roman" w:eastAsia="Times New Roman" w:hAnsi="Times New Roman" w:cs="Times New Roman"/>
          <w:sz w:val="24"/>
          <w:szCs w:val="24"/>
          <w:highlight w:val="white"/>
        </w:rPr>
        <w:t xml:space="preserve"> RE, Fallowfield L, Kissin M, Goyal A, Newcombe RG, Dixon JM, </w:t>
      </w:r>
      <w:proofErr w:type="spellStart"/>
      <w:r>
        <w:rPr>
          <w:rFonts w:ascii="Times New Roman" w:eastAsia="Times New Roman" w:hAnsi="Times New Roman" w:cs="Times New Roman"/>
          <w:sz w:val="24"/>
          <w:szCs w:val="24"/>
          <w:highlight w:val="white"/>
        </w:rPr>
        <w:t>Yiangou</w:t>
      </w:r>
      <w:proofErr w:type="spellEnd"/>
      <w:r>
        <w:rPr>
          <w:rFonts w:ascii="Times New Roman" w:eastAsia="Times New Roman" w:hAnsi="Times New Roman" w:cs="Times New Roman"/>
          <w:sz w:val="24"/>
          <w:szCs w:val="24"/>
          <w:highlight w:val="white"/>
        </w:rPr>
        <w:t xml:space="preserve"> C, Horgan K, </w:t>
      </w:r>
      <w:proofErr w:type="spellStart"/>
      <w:r>
        <w:rPr>
          <w:rFonts w:ascii="Times New Roman" w:eastAsia="Times New Roman" w:hAnsi="Times New Roman" w:cs="Times New Roman"/>
          <w:sz w:val="24"/>
          <w:szCs w:val="24"/>
          <w:highlight w:val="white"/>
        </w:rPr>
        <w:t>Bundred</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Monypenny</w:t>
      </w:r>
      <w:proofErr w:type="spellEnd"/>
      <w:r>
        <w:rPr>
          <w:rFonts w:ascii="Times New Roman" w:eastAsia="Times New Roman" w:hAnsi="Times New Roman" w:cs="Times New Roman"/>
          <w:sz w:val="24"/>
          <w:szCs w:val="24"/>
          <w:highlight w:val="white"/>
        </w:rPr>
        <w:t xml:space="preserve"> I, England D, </w:t>
      </w:r>
      <w:proofErr w:type="spellStart"/>
      <w:r>
        <w:rPr>
          <w:rFonts w:ascii="Times New Roman" w:eastAsia="Times New Roman" w:hAnsi="Times New Roman" w:cs="Times New Roman"/>
          <w:sz w:val="24"/>
          <w:szCs w:val="24"/>
          <w:highlight w:val="white"/>
        </w:rPr>
        <w:t>Sibbering</w:t>
      </w:r>
      <w:proofErr w:type="spellEnd"/>
      <w:r>
        <w:rPr>
          <w:rFonts w:ascii="Times New Roman" w:eastAsia="Times New Roman" w:hAnsi="Times New Roman" w:cs="Times New Roman"/>
          <w:sz w:val="24"/>
          <w:szCs w:val="24"/>
          <w:highlight w:val="white"/>
        </w:rPr>
        <w:t xml:space="preserve"> M, Abdull</w:t>
      </w:r>
      <w:r>
        <w:rPr>
          <w:rFonts w:ascii="Times New Roman" w:eastAsia="Times New Roman" w:hAnsi="Times New Roman" w:cs="Times New Roman"/>
          <w:sz w:val="24"/>
          <w:szCs w:val="24"/>
          <w:highlight w:val="white"/>
        </w:rPr>
        <w:t xml:space="preserve">ah TI, Barr L, Chetty U, </w:t>
      </w:r>
      <w:proofErr w:type="spellStart"/>
      <w:r>
        <w:rPr>
          <w:rFonts w:ascii="Times New Roman" w:eastAsia="Times New Roman" w:hAnsi="Times New Roman" w:cs="Times New Roman"/>
          <w:sz w:val="24"/>
          <w:szCs w:val="24"/>
          <w:highlight w:val="white"/>
        </w:rPr>
        <w:t>Sinnett</w:t>
      </w:r>
      <w:proofErr w:type="spellEnd"/>
      <w:r>
        <w:rPr>
          <w:rFonts w:ascii="Times New Roman" w:eastAsia="Times New Roman" w:hAnsi="Times New Roman" w:cs="Times New Roman"/>
          <w:sz w:val="24"/>
          <w:szCs w:val="24"/>
          <w:highlight w:val="white"/>
        </w:rPr>
        <w:t xml:space="preserve"> DH, </w:t>
      </w:r>
      <w:proofErr w:type="spellStart"/>
      <w:r>
        <w:rPr>
          <w:rFonts w:ascii="Times New Roman" w:eastAsia="Times New Roman" w:hAnsi="Times New Roman" w:cs="Times New Roman"/>
          <w:sz w:val="24"/>
          <w:szCs w:val="24"/>
          <w:highlight w:val="white"/>
        </w:rPr>
        <w:t>Fleissig</w:t>
      </w:r>
      <w:proofErr w:type="spellEnd"/>
      <w:r>
        <w:rPr>
          <w:rFonts w:ascii="Times New Roman" w:eastAsia="Times New Roman" w:hAnsi="Times New Roman" w:cs="Times New Roman"/>
          <w:sz w:val="24"/>
          <w:szCs w:val="24"/>
          <w:highlight w:val="white"/>
        </w:rPr>
        <w:t xml:space="preserve"> A, Clarke D, Ell PJ. Randomized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trial of sentinel node biopsy versus standard axillary treatment in operable breast cancer: the ALMANAC Trial. J Natl Cancer Inst. 2006 May 3;98(9):599-609.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w:t>
      </w:r>
      <w:r>
        <w:rPr>
          <w:rFonts w:ascii="Times New Roman" w:eastAsia="Times New Roman" w:hAnsi="Times New Roman" w:cs="Times New Roman"/>
          <w:sz w:val="24"/>
          <w:szCs w:val="24"/>
          <w:highlight w:val="white"/>
        </w:rPr>
        <w:t>093/</w:t>
      </w:r>
      <w:proofErr w:type="spellStart"/>
      <w:r>
        <w:rPr>
          <w:rFonts w:ascii="Times New Roman" w:eastAsia="Times New Roman" w:hAnsi="Times New Roman" w:cs="Times New Roman"/>
          <w:sz w:val="24"/>
          <w:szCs w:val="24"/>
          <w:highlight w:val="white"/>
        </w:rPr>
        <w:t>jnci</w:t>
      </w:r>
      <w:proofErr w:type="spellEnd"/>
      <w:r>
        <w:rPr>
          <w:rFonts w:ascii="Times New Roman" w:eastAsia="Times New Roman" w:hAnsi="Times New Roman" w:cs="Times New Roman"/>
          <w:sz w:val="24"/>
          <w:szCs w:val="24"/>
          <w:highlight w:val="white"/>
        </w:rPr>
        <w:t>/djj158. Erratum in: J Natl Cancer Inst. 2006 Jun 21;98(12):876. PMID: 16670385.</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Masood S. Neoadjuvant chemotherapy in breast cancers. </w:t>
      </w:r>
      <w:proofErr w:type="spellStart"/>
      <w:r>
        <w:rPr>
          <w:rFonts w:ascii="Times New Roman" w:eastAsia="Times New Roman" w:hAnsi="Times New Roman" w:cs="Times New Roman"/>
          <w:sz w:val="24"/>
          <w:szCs w:val="24"/>
          <w:highlight w:val="white"/>
        </w:rPr>
        <w:t>Womens</w:t>
      </w:r>
      <w:proofErr w:type="spellEnd"/>
      <w:r>
        <w:rPr>
          <w:rFonts w:ascii="Times New Roman" w:eastAsia="Times New Roman" w:hAnsi="Times New Roman" w:cs="Times New Roman"/>
          <w:sz w:val="24"/>
          <w:szCs w:val="24"/>
          <w:highlight w:val="white"/>
        </w:rPr>
        <w:t xml:space="preserve"> Health (</w:t>
      </w:r>
      <w:proofErr w:type="spellStart"/>
      <w:r>
        <w:rPr>
          <w:rFonts w:ascii="Times New Roman" w:eastAsia="Times New Roman" w:hAnsi="Times New Roman" w:cs="Times New Roman"/>
          <w:sz w:val="24"/>
          <w:szCs w:val="24"/>
          <w:highlight w:val="white"/>
        </w:rPr>
        <w:t>Lond</w:t>
      </w:r>
      <w:proofErr w:type="spellEnd"/>
      <w:r>
        <w:rPr>
          <w:rFonts w:ascii="Times New Roman" w:eastAsia="Times New Roman" w:hAnsi="Times New Roman" w:cs="Times New Roman"/>
          <w:sz w:val="24"/>
          <w:szCs w:val="24"/>
          <w:highlight w:val="white"/>
        </w:rPr>
        <w:t xml:space="preserve">). 2016 Sep;12(5):480-491.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10.1177/1745505716677139. PMID: 27885165; PMCID: PMC5373271.</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 xml:space="preserve">grawal </w:t>
      </w:r>
      <w:proofErr w:type="spellStart"/>
      <w:r>
        <w:rPr>
          <w:rFonts w:ascii="Times New Roman" w:eastAsia="Times New Roman" w:hAnsi="Times New Roman" w:cs="Times New Roman"/>
          <w:sz w:val="24"/>
          <w:szCs w:val="24"/>
          <w:highlight w:val="white"/>
        </w:rPr>
        <w:t>Sanjit</w:t>
      </w:r>
      <w:proofErr w:type="spellEnd"/>
      <w:r>
        <w:rPr>
          <w:rFonts w:ascii="Times New Roman" w:eastAsia="Times New Roman" w:hAnsi="Times New Roman" w:cs="Times New Roman"/>
          <w:sz w:val="24"/>
          <w:szCs w:val="24"/>
          <w:highlight w:val="white"/>
        </w:rPr>
        <w:t xml:space="preserve"> Kumar, Patel Dimple, Shenoy </w:t>
      </w:r>
      <w:proofErr w:type="spellStart"/>
      <w:r>
        <w:rPr>
          <w:rFonts w:ascii="Times New Roman" w:eastAsia="Times New Roman" w:hAnsi="Times New Roman" w:cs="Times New Roman"/>
          <w:sz w:val="24"/>
          <w:szCs w:val="24"/>
          <w:highlight w:val="white"/>
        </w:rPr>
        <w:t>Pradyumn</w:t>
      </w:r>
      <w:proofErr w:type="spellEnd"/>
      <w:r>
        <w:rPr>
          <w:rFonts w:ascii="Times New Roman" w:eastAsia="Times New Roman" w:hAnsi="Times New Roman" w:cs="Times New Roman"/>
          <w:sz w:val="24"/>
          <w:szCs w:val="24"/>
          <w:highlight w:val="white"/>
        </w:rPr>
        <w:t xml:space="preserve">, Ahmed Rosina, Arun </w:t>
      </w:r>
      <w:proofErr w:type="spellStart"/>
      <w:r>
        <w:rPr>
          <w:rFonts w:ascii="Times New Roman" w:eastAsia="Times New Roman" w:hAnsi="Times New Roman" w:cs="Times New Roman"/>
          <w:sz w:val="24"/>
          <w:szCs w:val="24"/>
          <w:highlight w:val="white"/>
        </w:rPr>
        <w:t>Indu</w:t>
      </w:r>
      <w:proofErr w:type="spellEnd"/>
      <w:r>
        <w:rPr>
          <w:rFonts w:ascii="Times New Roman" w:eastAsia="Times New Roman" w:hAnsi="Times New Roman" w:cs="Times New Roman"/>
          <w:sz w:val="24"/>
          <w:szCs w:val="24"/>
          <w:highlight w:val="white"/>
        </w:rPr>
        <w:t xml:space="preserve">, Chatterjee Sanjoy (2023) Oncologic safety of breast conservation following NACT in women with locally advanced breast cancer </w:t>
      </w:r>
      <w:proofErr w:type="spellStart"/>
      <w:r>
        <w:rPr>
          <w:rFonts w:ascii="Times New Roman" w:eastAsia="Times New Roman" w:hAnsi="Times New Roman" w:cs="Times New Roman"/>
          <w:i/>
          <w:iCs/>
          <w:sz w:val="24"/>
          <w:szCs w:val="24"/>
          <w:highlight w:val="white"/>
        </w:rPr>
        <w:t>ecancer</w:t>
      </w:r>
      <w:proofErr w:type="spellEnd"/>
      <w:r>
        <w:rPr>
          <w:rFonts w:ascii="Times New Roman" w:eastAsia="Times New Roman" w:hAnsi="Times New Roman" w:cs="Times New Roman"/>
          <w:sz w:val="24"/>
          <w:szCs w:val="24"/>
          <w:highlight w:val="white"/>
        </w:rPr>
        <w:t xml:space="preserve"> 17 1554</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Nirhale</w:t>
      </w:r>
      <w:proofErr w:type="spellEnd"/>
      <w:r>
        <w:rPr>
          <w:rFonts w:ascii="Times New Roman" w:eastAsia="Times New Roman" w:hAnsi="Times New Roman" w:cs="Times New Roman"/>
          <w:sz w:val="24"/>
          <w:szCs w:val="24"/>
          <w:highlight w:val="white"/>
        </w:rPr>
        <w:t xml:space="preserve">, D. S., </w:t>
      </w:r>
      <w:proofErr w:type="spellStart"/>
      <w:r>
        <w:rPr>
          <w:rFonts w:ascii="Times New Roman" w:eastAsia="Times New Roman" w:hAnsi="Times New Roman" w:cs="Times New Roman"/>
          <w:sz w:val="24"/>
          <w:szCs w:val="24"/>
          <w:highlight w:val="white"/>
        </w:rPr>
        <w:t>Sooraj</w:t>
      </w:r>
      <w:proofErr w:type="spellEnd"/>
      <w:r>
        <w:rPr>
          <w:rFonts w:ascii="Times New Roman" w:eastAsia="Times New Roman" w:hAnsi="Times New Roman" w:cs="Times New Roman"/>
          <w:sz w:val="24"/>
          <w:szCs w:val="24"/>
          <w:highlight w:val="white"/>
        </w:rPr>
        <w:t xml:space="preserve">, R., &amp; Rawat, A. (2020). Role of neoadjuvant chemotherapy in downstaging locally advanced breast carcinoma, selection of surgical procedure and its outcome. </w:t>
      </w:r>
      <w:r>
        <w:rPr>
          <w:rFonts w:ascii="Times New Roman" w:eastAsia="Times New Roman" w:hAnsi="Times New Roman" w:cs="Times New Roman"/>
          <w:i/>
          <w:iCs/>
          <w:sz w:val="24"/>
          <w:szCs w:val="24"/>
          <w:highlight w:val="white"/>
        </w:rPr>
        <w:t>International Surgery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7</w:t>
      </w:r>
      <w:r>
        <w:rPr>
          <w:rFonts w:ascii="Times New Roman" w:eastAsia="Times New Roman" w:hAnsi="Times New Roman" w:cs="Times New Roman"/>
          <w:sz w:val="24"/>
          <w:szCs w:val="24"/>
          <w:highlight w:val="white"/>
        </w:rPr>
        <w:t xml:space="preserve">(2), 526–534. </w:t>
      </w:r>
      <w:hyperlink r:id="rId8">
        <w:r>
          <w:rPr>
            <w:rFonts w:ascii="Times New Roman" w:eastAsia="Times New Roman" w:hAnsi="Times New Roman" w:cs="Times New Roman"/>
            <w:sz w:val="24"/>
            <w:szCs w:val="24"/>
            <w:highlight w:val="white"/>
            <w:u w:val="single"/>
          </w:rPr>
          <w:t>https://doi.org/10.18203/2349-2902.isj20200309</w:t>
        </w:r>
      </w:hyperlink>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Graham PJ, Brar MS, Foster T, McCall M, Bouchard-Fortier A, Temple W, Quan ML. Neoadjuvant Chemotherapy for Breast Cancer, Is Practice Changing? A Population-Based Review of</w:t>
      </w:r>
      <w:r>
        <w:rPr>
          <w:rFonts w:ascii="Times New Roman" w:eastAsia="Times New Roman" w:hAnsi="Times New Roman" w:cs="Times New Roman"/>
          <w:sz w:val="24"/>
          <w:szCs w:val="24"/>
          <w:highlight w:val="white"/>
        </w:rPr>
        <w:t xml:space="preserve"> Current Surgical Trends.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2015 Oct;22(10):3376-82.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10.1245/s10434-015-4714-x.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2015 Jul 23. PMID: 26202561.</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Cipolla</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Gebbia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D’Agati</w:t>
      </w:r>
      <w:proofErr w:type="spellEnd"/>
      <w:r>
        <w:rPr>
          <w:rFonts w:ascii="Times New Roman" w:eastAsia="Times New Roman" w:hAnsi="Times New Roman" w:cs="Times New Roman"/>
          <w:sz w:val="24"/>
          <w:szCs w:val="24"/>
          <w:highlight w:val="white"/>
        </w:rPr>
        <w:t xml:space="preserve"> E, Greco M, </w:t>
      </w:r>
      <w:proofErr w:type="spellStart"/>
      <w:r>
        <w:rPr>
          <w:rFonts w:ascii="Times New Roman" w:eastAsia="Times New Roman" w:hAnsi="Times New Roman" w:cs="Times New Roman"/>
          <w:sz w:val="24"/>
          <w:szCs w:val="24"/>
          <w:highlight w:val="white"/>
        </w:rPr>
        <w:t>Mesi</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Scandurra</w:t>
      </w:r>
      <w:proofErr w:type="spellEnd"/>
      <w:r>
        <w:rPr>
          <w:rFonts w:ascii="Times New Roman" w:eastAsia="Times New Roman" w:hAnsi="Times New Roman" w:cs="Times New Roman"/>
          <w:sz w:val="24"/>
          <w:szCs w:val="24"/>
          <w:highlight w:val="white"/>
        </w:rPr>
        <w:t xml:space="preserve"> G, Valerio MR. Comprehensive Axillary Management of Clinically N</w:t>
      </w:r>
      <w:r>
        <w:rPr>
          <w:rFonts w:ascii="Times New Roman" w:eastAsia="Times New Roman" w:hAnsi="Times New Roman" w:cs="Times New Roman"/>
          <w:sz w:val="24"/>
          <w:szCs w:val="24"/>
          <w:highlight w:val="white"/>
        </w:rPr>
        <w:t>ode-Positive (</w:t>
      </w:r>
      <w:proofErr w:type="spellStart"/>
      <w:r>
        <w:rPr>
          <w:rFonts w:ascii="Times New Roman" w:eastAsia="Times New Roman" w:hAnsi="Times New Roman" w:cs="Times New Roman"/>
          <w:sz w:val="24"/>
          <w:szCs w:val="24"/>
          <w:highlight w:val="white"/>
        </w:rPr>
        <w:t>cN</w:t>
      </w:r>
      <w:proofErr w:type="spellEnd"/>
      <w:r>
        <w:rPr>
          <w:rFonts w:ascii="Times New Roman" w:eastAsia="Times New Roman" w:hAnsi="Times New Roman" w:cs="Times New Roman"/>
          <w:sz w:val="24"/>
          <w:szCs w:val="24"/>
          <w:highlight w:val="white"/>
        </w:rPr>
        <w:t xml:space="preserve">+) Breast Cancer Patients: A Narrative Review on Neoadjuvant Chemotherapy. </w:t>
      </w:r>
      <w:r>
        <w:rPr>
          <w:rFonts w:ascii="Times New Roman" w:eastAsia="Times New Roman" w:hAnsi="Times New Roman" w:cs="Times New Roman"/>
          <w:i/>
          <w:iCs/>
          <w:sz w:val="24"/>
          <w:szCs w:val="24"/>
          <w:highlight w:val="white"/>
        </w:rPr>
        <w:t>Cancers</w:t>
      </w:r>
      <w:r>
        <w:rPr>
          <w:rFonts w:ascii="Times New Roman" w:eastAsia="Times New Roman" w:hAnsi="Times New Roman" w:cs="Times New Roman"/>
          <w:sz w:val="24"/>
          <w:szCs w:val="24"/>
          <w:highlight w:val="white"/>
        </w:rPr>
        <w:t xml:space="preserve">. 2024; 16(19):3354. </w:t>
      </w:r>
      <w:hyperlink r:id="rId9">
        <w:r>
          <w:rPr>
            <w:rFonts w:ascii="Times New Roman" w:eastAsia="Times New Roman" w:hAnsi="Times New Roman" w:cs="Times New Roman"/>
            <w:sz w:val="24"/>
            <w:szCs w:val="24"/>
            <w:highlight w:val="white"/>
            <w:u w:val="single"/>
          </w:rPr>
          <w:t>https://doi.org/10.3390/cancers16193354</w:t>
        </w:r>
      </w:hyperlink>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Ferrarazzo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Nieri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Firpo</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Rattar</w:t>
      </w:r>
      <w:r>
        <w:rPr>
          <w:rFonts w:ascii="Times New Roman" w:eastAsia="Times New Roman" w:hAnsi="Times New Roman" w:cs="Times New Roman"/>
          <w:sz w:val="24"/>
          <w:szCs w:val="24"/>
          <w:highlight w:val="white"/>
        </w:rPr>
        <w:t>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Mignone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Guasone</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Manzara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Perniciaro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Spinaci</w:t>
      </w:r>
      <w:proofErr w:type="spellEnd"/>
      <w:r>
        <w:rPr>
          <w:rFonts w:ascii="Times New Roman" w:eastAsia="Times New Roman" w:hAnsi="Times New Roman" w:cs="Times New Roman"/>
          <w:sz w:val="24"/>
          <w:szCs w:val="24"/>
          <w:highlight w:val="white"/>
        </w:rPr>
        <w:t xml:space="preserve"> S. The Role of Sentinel Lymph Node Biopsy in Breast Cancer Patients Who Become Clinically Node-Negative Following Neo-Adjuvant Chemotherapy: A Literature Review. </w:t>
      </w:r>
      <w:r>
        <w:rPr>
          <w:rFonts w:ascii="Times New Roman" w:eastAsia="Times New Roman" w:hAnsi="Times New Roman" w:cs="Times New Roman"/>
          <w:i/>
          <w:iCs/>
          <w:sz w:val="24"/>
          <w:szCs w:val="24"/>
          <w:highlight w:val="white"/>
        </w:rPr>
        <w:t>Current Oncology</w:t>
      </w:r>
      <w:r>
        <w:rPr>
          <w:rFonts w:ascii="Times New Roman" w:eastAsia="Times New Roman" w:hAnsi="Times New Roman" w:cs="Times New Roman"/>
          <w:sz w:val="24"/>
          <w:szCs w:val="24"/>
          <w:highlight w:val="white"/>
        </w:rPr>
        <w:t>. 2023; 30(10):870</w:t>
      </w:r>
      <w:r>
        <w:rPr>
          <w:rFonts w:ascii="Times New Roman" w:eastAsia="Times New Roman" w:hAnsi="Times New Roman" w:cs="Times New Roman"/>
          <w:sz w:val="24"/>
          <w:szCs w:val="24"/>
          <w:highlight w:val="white"/>
        </w:rPr>
        <w:t xml:space="preserve">3-8719. </w:t>
      </w:r>
      <w:hyperlink r:id="rId10">
        <w:r>
          <w:rPr>
            <w:rFonts w:ascii="Times New Roman" w:eastAsia="Times New Roman" w:hAnsi="Times New Roman" w:cs="Times New Roman"/>
            <w:sz w:val="24"/>
            <w:szCs w:val="24"/>
            <w:highlight w:val="white"/>
            <w:u w:val="single"/>
          </w:rPr>
          <w:t>https://doi.org/10.3390/curroncol30100630</w:t>
        </w:r>
      </w:hyperlink>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Jain AK. Locally Advanced Breast Cancer: Response Evaluation to Neoadjuvant Chemotherapy by </w:t>
      </w:r>
      <w:proofErr w:type="spellStart"/>
      <w:r>
        <w:rPr>
          <w:rFonts w:ascii="Times New Roman" w:eastAsia="Times New Roman" w:hAnsi="Times New Roman" w:cs="Times New Roman"/>
          <w:sz w:val="24"/>
          <w:szCs w:val="24"/>
          <w:highlight w:val="white"/>
        </w:rPr>
        <w:t>Clinico</w:t>
      </w:r>
      <w:proofErr w:type="spellEnd"/>
      <w:r>
        <w:rPr>
          <w:rFonts w:ascii="Times New Roman" w:eastAsia="Times New Roman" w:hAnsi="Times New Roman" w:cs="Times New Roman"/>
          <w:sz w:val="24"/>
          <w:szCs w:val="24"/>
          <w:highlight w:val="white"/>
        </w:rPr>
        <w:t>-Histopathological Parameters and Molecular Im</w:t>
      </w:r>
      <w:r>
        <w:rPr>
          <w:rFonts w:ascii="Times New Roman" w:eastAsia="Times New Roman" w:hAnsi="Times New Roman" w:cs="Times New Roman"/>
          <w:sz w:val="24"/>
          <w:szCs w:val="24"/>
          <w:highlight w:val="white"/>
        </w:rPr>
        <w:t xml:space="preserve">aging.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2023 Jun;14(2):279-287.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10.1007/s13193-023-01711-1.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Feb 6. PMID: 37324312; PMCID: PMC10267070.</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Kuehn T, </w:t>
      </w:r>
      <w:proofErr w:type="spellStart"/>
      <w:r>
        <w:rPr>
          <w:rFonts w:ascii="Times New Roman" w:eastAsia="Times New Roman" w:hAnsi="Times New Roman" w:cs="Times New Roman"/>
          <w:sz w:val="24"/>
          <w:szCs w:val="24"/>
          <w:highlight w:val="white"/>
        </w:rPr>
        <w:t>Bauerfeind</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Fehm</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Fleige</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Hausschild</w:t>
      </w:r>
      <w:proofErr w:type="spellEnd"/>
      <w:r>
        <w:rPr>
          <w:rFonts w:ascii="Times New Roman" w:eastAsia="Times New Roman" w:hAnsi="Times New Roman" w:cs="Times New Roman"/>
          <w:sz w:val="24"/>
          <w:szCs w:val="24"/>
          <w:highlight w:val="white"/>
        </w:rPr>
        <w:t xml:space="preserve"> M, Helms G, </w:t>
      </w:r>
      <w:proofErr w:type="spellStart"/>
      <w:r>
        <w:rPr>
          <w:rFonts w:ascii="Times New Roman" w:eastAsia="Times New Roman" w:hAnsi="Times New Roman" w:cs="Times New Roman"/>
          <w:sz w:val="24"/>
          <w:szCs w:val="24"/>
          <w:highlight w:val="white"/>
        </w:rPr>
        <w:t>Lebeau</w:t>
      </w:r>
      <w:proofErr w:type="spellEnd"/>
      <w:r>
        <w:rPr>
          <w:rFonts w:ascii="Times New Roman" w:eastAsia="Times New Roman" w:hAnsi="Times New Roman" w:cs="Times New Roman"/>
          <w:sz w:val="24"/>
          <w:szCs w:val="24"/>
          <w:highlight w:val="white"/>
        </w:rPr>
        <w:t xml:space="preserve"> A, Liedtke C, von </w:t>
      </w:r>
      <w:proofErr w:type="spellStart"/>
      <w:r>
        <w:rPr>
          <w:rFonts w:ascii="Times New Roman" w:eastAsia="Times New Roman" w:hAnsi="Times New Roman" w:cs="Times New Roman"/>
          <w:sz w:val="24"/>
          <w:szCs w:val="24"/>
          <w:highlight w:val="white"/>
        </w:rPr>
        <w:t>Minckwitz</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Nekljudova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Sc</w:t>
      </w:r>
      <w:r>
        <w:rPr>
          <w:rFonts w:ascii="Times New Roman" w:eastAsia="Times New Roman" w:hAnsi="Times New Roman" w:cs="Times New Roman"/>
          <w:sz w:val="24"/>
          <w:szCs w:val="24"/>
          <w:highlight w:val="white"/>
        </w:rPr>
        <w:t>hmatloch</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Schrenk</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Staebler</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Untch</w:t>
      </w:r>
      <w:proofErr w:type="spellEnd"/>
      <w:r>
        <w:rPr>
          <w:rFonts w:ascii="Times New Roman" w:eastAsia="Times New Roman" w:hAnsi="Times New Roman" w:cs="Times New Roman"/>
          <w:sz w:val="24"/>
          <w:szCs w:val="24"/>
          <w:highlight w:val="white"/>
        </w:rPr>
        <w:t xml:space="preserve"> M. Sentinel-lymph-node biopsy in patients with breast cancer before and after neoadjuvant </w:t>
      </w:r>
      <w:r>
        <w:rPr>
          <w:rFonts w:ascii="Times New Roman" w:eastAsia="Times New Roman" w:hAnsi="Times New Roman" w:cs="Times New Roman"/>
          <w:sz w:val="24"/>
          <w:szCs w:val="24"/>
          <w:highlight w:val="white"/>
        </w:rPr>
        <w:lastRenderedPageBreak/>
        <w:t xml:space="preserve">chemotherapy (SENTINA): a prospective, multicentre cohort study. Lancet Oncol. 2013 Jun;14(7):609-18.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10.1016/S1470-2045</w:t>
      </w:r>
      <w:r>
        <w:rPr>
          <w:rFonts w:ascii="Times New Roman" w:eastAsia="Times New Roman" w:hAnsi="Times New Roman" w:cs="Times New Roman"/>
          <w:sz w:val="24"/>
          <w:szCs w:val="24"/>
          <w:highlight w:val="white"/>
        </w:rPr>
        <w:t xml:space="preserve">(13)70166-9.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2013 May 15. PMID: 23683750.</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Boileau JF, Poirier B, </w:t>
      </w:r>
      <w:proofErr w:type="spellStart"/>
      <w:r>
        <w:rPr>
          <w:rFonts w:ascii="Times New Roman" w:eastAsia="Times New Roman" w:hAnsi="Times New Roman" w:cs="Times New Roman"/>
          <w:sz w:val="24"/>
          <w:szCs w:val="24"/>
          <w:highlight w:val="white"/>
        </w:rPr>
        <w:t>Basik</w:t>
      </w:r>
      <w:proofErr w:type="spellEnd"/>
      <w:r>
        <w:rPr>
          <w:rFonts w:ascii="Times New Roman" w:eastAsia="Times New Roman" w:hAnsi="Times New Roman" w:cs="Times New Roman"/>
          <w:sz w:val="24"/>
          <w:szCs w:val="24"/>
          <w:highlight w:val="white"/>
        </w:rPr>
        <w:t xml:space="preserve"> M, Holloway CM, Gaboury L, Sideris L, </w:t>
      </w:r>
      <w:proofErr w:type="spellStart"/>
      <w:r>
        <w:rPr>
          <w:rFonts w:ascii="Times New Roman" w:eastAsia="Times New Roman" w:hAnsi="Times New Roman" w:cs="Times New Roman"/>
          <w:sz w:val="24"/>
          <w:szCs w:val="24"/>
          <w:highlight w:val="white"/>
        </w:rPr>
        <w:t>Meterissian</w:t>
      </w:r>
      <w:proofErr w:type="spellEnd"/>
      <w:r>
        <w:rPr>
          <w:rFonts w:ascii="Times New Roman" w:eastAsia="Times New Roman" w:hAnsi="Times New Roman" w:cs="Times New Roman"/>
          <w:sz w:val="24"/>
          <w:szCs w:val="24"/>
          <w:highlight w:val="white"/>
        </w:rPr>
        <w:t xml:space="preserve"> S, Arnaout A, </w:t>
      </w:r>
      <w:proofErr w:type="spellStart"/>
      <w:r>
        <w:rPr>
          <w:rFonts w:ascii="Times New Roman" w:eastAsia="Times New Roman" w:hAnsi="Times New Roman" w:cs="Times New Roman"/>
          <w:sz w:val="24"/>
          <w:szCs w:val="24"/>
          <w:highlight w:val="white"/>
        </w:rPr>
        <w:t>Brackstone</w:t>
      </w:r>
      <w:proofErr w:type="spellEnd"/>
      <w:r>
        <w:rPr>
          <w:rFonts w:ascii="Times New Roman" w:eastAsia="Times New Roman" w:hAnsi="Times New Roman" w:cs="Times New Roman"/>
          <w:sz w:val="24"/>
          <w:szCs w:val="24"/>
          <w:highlight w:val="white"/>
        </w:rPr>
        <w:t xml:space="preserve"> M, McCready DR, Karp SE, Trop I, </w:t>
      </w:r>
      <w:proofErr w:type="spellStart"/>
      <w:r>
        <w:rPr>
          <w:rFonts w:ascii="Times New Roman" w:eastAsia="Times New Roman" w:hAnsi="Times New Roman" w:cs="Times New Roman"/>
          <w:sz w:val="24"/>
          <w:szCs w:val="24"/>
          <w:highlight w:val="white"/>
        </w:rPr>
        <w:t>Lisbona</w:t>
      </w:r>
      <w:proofErr w:type="spellEnd"/>
      <w:r>
        <w:rPr>
          <w:rFonts w:ascii="Times New Roman" w:eastAsia="Times New Roman" w:hAnsi="Times New Roman" w:cs="Times New Roman"/>
          <w:sz w:val="24"/>
          <w:szCs w:val="24"/>
          <w:highlight w:val="white"/>
        </w:rPr>
        <w:t xml:space="preserve"> A, Wright FC, </w:t>
      </w:r>
      <w:proofErr w:type="spellStart"/>
      <w:r>
        <w:rPr>
          <w:rFonts w:ascii="Times New Roman" w:eastAsia="Times New Roman" w:hAnsi="Times New Roman" w:cs="Times New Roman"/>
          <w:sz w:val="24"/>
          <w:szCs w:val="24"/>
          <w:highlight w:val="white"/>
        </w:rPr>
        <w:t>Younan</w:t>
      </w:r>
      <w:proofErr w:type="spellEnd"/>
      <w:r>
        <w:rPr>
          <w:rFonts w:ascii="Times New Roman" w:eastAsia="Times New Roman" w:hAnsi="Times New Roman" w:cs="Times New Roman"/>
          <w:sz w:val="24"/>
          <w:szCs w:val="24"/>
          <w:highlight w:val="white"/>
        </w:rPr>
        <w:t xml:space="preserve"> RJ, Provencher L, </w:t>
      </w:r>
      <w:proofErr w:type="spellStart"/>
      <w:r>
        <w:rPr>
          <w:rFonts w:ascii="Times New Roman" w:eastAsia="Times New Roman" w:hAnsi="Times New Roman" w:cs="Times New Roman"/>
          <w:sz w:val="24"/>
          <w:szCs w:val="24"/>
          <w:highlight w:val="white"/>
        </w:rPr>
        <w:t>Patocskai</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Omeroglu</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Robidoux</w:t>
      </w:r>
      <w:proofErr w:type="spellEnd"/>
      <w:r>
        <w:rPr>
          <w:rFonts w:ascii="Times New Roman" w:eastAsia="Times New Roman" w:hAnsi="Times New Roman" w:cs="Times New Roman"/>
          <w:sz w:val="24"/>
          <w:szCs w:val="24"/>
          <w:highlight w:val="white"/>
        </w:rPr>
        <w:t xml:space="preserve"> A. Sentinel node biopsy after neoadjuvant chemotherapy in biopsy-proven node-positive breast cancer: the SN FNAC study. J Clin Oncol. 2015 Jan 20;33(3):258-64.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10.1200/JCO.2014.55.7827.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Dec 1. PMID: 25452445.</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Boughey</w:t>
      </w:r>
      <w:proofErr w:type="spellEnd"/>
      <w:r>
        <w:rPr>
          <w:rFonts w:ascii="Times New Roman" w:eastAsia="Times New Roman" w:hAnsi="Times New Roman" w:cs="Times New Roman"/>
          <w:sz w:val="24"/>
          <w:szCs w:val="24"/>
          <w:highlight w:val="white"/>
        </w:rPr>
        <w:t xml:space="preserve"> JC, Suman VJ, </w:t>
      </w:r>
      <w:proofErr w:type="spellStart"/>
      <w:r>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ittendorf</w:t>
      </w:r>
      <w:proofErr w:type="spellEnd"/>
      <w:r>
        <w:rPr>
          <w:rFonts w:ascii="Times New Roman" w:eastAsia="Times New Roman" w:hAnsi="Times New Roman" w:cs="Times New Roman"/>
          <w:sz w:val="24"/>
          <w:szCs w:val="24"/>
          <w:highlight w:val="white"/>
        </w:rPr>
        <w:t xml:space="preserve"> EA, </w:t>
      </w:r>
      <w:proofErr w:type="spellStart"/>
      <w:r>
        <w:rPr>
          <w:rFonts w:ascii="Times New Roman" w:eastAsia="Times New Roman" w:hAnsi="Times New Roman" w:cs="Times New Roman"/>
          <w:sz w:val="24"/>
          <w:szCs w:val="24"/>
          <w:highlight w:val="white"/>
        </w:rPr>
        <w:t>Ahrendt</w:t>
      </w:r>
      <w:proofErr w:type="spellEnd"/>
      <w:r>
        <w:rPr>
          <w:rFonts w:ascii="Times New Roman" w:eastAsia="Times New Roman" w:hAnsi="Times New Roman" w:cs="Times New Roman"/>
          <w:sz w:val="24"/>
          <w:szCs w:val="24"/>
          <w:highlight w:val="white"/>
        </w:rPr>
        <w:t xml:space="preserve"> GM, Wilke LG, </w:t>
      </w:r>
      <w:proofErr w:type="spellStart"/>
      <w:r>
        <w:rPr>
          <w:rFonts w:ascii="Times New Roman" w:eastAsia="Times New Roman" w:hAnsi="Times New Roman" w:cs="Times New Roman"/>
          <w:sz w:val="24"/>
          <w:szCs w:val="24"/>
          <w:highlight w:val="white"/>
        </w:rPr>
        <w:t>Taback</w:t>
      </w:r>
      <w:proofErr w:type="spellEnd"/>
      <w:r>
        <w:rPr>
          <w:rFonts w:ascii="Times New Roman" w:eastAsia="Times New Roman" w:hAnsi="Times New Roman" w:cs="Times New Roman"/>
          <w:sz w:val="24"/>
          <w:szCs w:val="24"/>
          <w:highlight w:val="white"/>
        </w:rPr>
        <w:t xml:space="preserve"> B, Leitch AM, </w:t>
      </w:r>
      <w:proofErr w:type="spellStart"/>
      <w:r>
        <w:rPr>
          <w:rFonts w:ascii="Times New Roman" w:eastAsia="Times New Roman" w:hAnsi="Times New Roman" w:cs="Times New Roman"/>
          <w:sz w:val="24"/>
          <w:szCs w:val="24"/>
          <w:highlight w:val="white"/>
        </w:rPr>
        <w:t>Kuerer</w:t>
      </w:r>
      <w:proofErr w:type="spellEnd"/>
      <w:r>
        <w:rPr>
          <w:rFonts w:ascii="Times New Roman" w:eastAsia="Times New Roman" w:hAnsi="Times New Roman" w:cs="Times New Roman"/>
          <w:sz w:val="24"/>
          <w:szCs w:val="24"/>
          <w:highlight w:val="white"/>
        </w:rPr>
        <w:t xml:space="preserve"> HM, Bowling M, </w:t>
      </w:r>
      <w:proofErr w:type="spellStart"/>
      <w:r>
        <w:rPr>
          <w:rFonts w:ascii="Times New Roman" w:eastAsia="Times New Roman" w:hAnsi="Times New Roman" w:cs="Times New Roman"/>
          <w:sz w:val="24"/>
          <w:szCs w:val="24"/>
          <w:highlight w:val="white"/>
        </w:rPr>
        <w:t>Flippo</w:t>
      </w:r>
      <w:proofErr w:type="spellEnd"/>
      <w:r>
        <w:rPr>
          <w:rFonts w:ascii="Times New Roman" w:eastAsia="Times New Roman" w:hAnsi="Times New Roman" w:cs="Times New Roman"/>
          <w:sz w:val="24"/>
          <w:szCs w:val="24"/>
          <w:highlight w:val="white"/>
        </w:rPr>
        <w:t xml:space="preserve">-Morton TS, Byrd DR, </w:t>
      </w:r>
      <w:proofErr w:type="spellStart"/>
      <w:r>
        <w:rPr>
          <w:rFonts w:ascii="Times New Roman" w:eastAsia="Times New Roman" w:hAnsi="Times New Roman" w:cs="Times New Roman"/>
          <w:sz w:val="24"/>
          <w:szCs w:val="24"/>
          <w:highlight w:val="white"/>
        </w:rPr>
        <w:t>Ollila</w:t>
      </w:r>
      <w:proofErr w:type="spellEnd"/>
      <w:r>
        <w:rPr>
          <w:rFonts w:ascii="Times New Roman" w:eastAsia="Times New Roman" w:hAnsi="Times New Roman" w:cs="Times New Roman"/>
          <w:sz w:val="24"/>
          <w:szCs w:val="24"/>
          <w:highlight w:val="white"/>
        </w:rPr>
        <w:t xml:space="preserve"> DW, Julian TB, McLaughlin SA, McCall L, </w:t>
      </w:r>
      <w:proofErr w:type="spellStart"/>
      <w:r>
        <w:rPr>
          <w:rFonts w:ascii="Times New Roman" w:eastAsia="Times New Roman" w:hAnsi="Times New Roman" w:cs="Times New Roman"/>
          <w:sz w:val="24"/>
          <w:szCs w:val="24"/>
          <w:highlight w:val="white"/>
        </w:rPr>
        <w:t>Symmans</w:t>
      </w:r>
      <w:proofErr w:type="spellEnd"/>
      <w:r>
        <w:rPr>
          <w:rFonts w:ascii="Times New Roman" w:eastAsia="Times New Roman" w:hAnsi="Times New Roman" w:cs="Times New Roman"/>
          <w:sz w:val="24"/>
          <w:szCs w:val="24"/>
          <w:highlight w:val="white"/>
        </w:rPr>
        <w:t xml:space="preserve"> WF, Le-</w:t>
      </w:r>
      <w:proofErr w:type="spellStart"/>
      <w:r>
        <w:rPr>
          <w:rFonts w:ascii="Times New Roman" w:eastAsia="Times New Roman" w:hAnsi="Times New Roman" w:cs="Times New Roman"/>
          <w:sz w:val="24"/>
          <w:szCs w:val="24"/>
          <w:highlight w:val="white"/>
        </w:rPr>
        <w:t>Petross</w:t>
      </w:r>
      <w:proofErr w:type="spellEnd"/>
      <w:r>
        <w:rPr>
          <w:rFonts w:ascii="Times New Roman" w:eastAsia="Times New Roman" w:hAnsi="Times New Roman" w:cs="Times New Roman"/>
          <w:sz w:val="24"/>
          <w:szCs w:val="24"/>
          <w:highlight w:val="white"/>
        </w:rPr>
        <w:t xml:space="preserve"> HT, </w:t>
      </w:r>
      <w:proofErr w:type="spellStart"/>
      <w:r>
        <w:rPr>
          <w:rFonts w:ascii="Times New Roman" w:eastAsia="Times New Roman" w:hAnsi="Times New Roman" w:cs="Times New Roman"/>
          <w:sz w:val="24"/>
          <w:szCs w:val="24"/>
          <w:highlight w:val="white"/>
        </w:rPr>
        <w:t>Haffty</w:t>
      </w:r>
      <w:proofErr w:type="spellEnd"/>
      <w:r>
        <w:rPr>
          <w:rFonts w:ascii="Times New Roman" w:eastAsia="Times New Roman" w:hAnsi="Times New Roman" w:cs="Times New Roman"/>
          <w:sz w:val="24"/>
          <w:szCs w:val="24"/>
          <w:highlight w:val="white"/>
        </w:rPr>
        <w:t xml:space="preserve"> BG, Buchholz TA, Nelson H, Hunt KK; Alliance for Clinical Trials in O</w:t>
      </w:r>
      <w:r>
        <w:rPr>
          <w:rFonts w:ascii="Times New Roman" w:eastAsia="Times New Roman" w:hAnsi="Times New Roman" w:cs="Times New Roman"/>
          <w:sz w:val="24"/>
          <w:szCs w:val="24"/>
          <w:highlight w:val="white"/>
        </w:rPr>
        <w:t xml:space="preserve">ncology. Sentinel lymph node surgery after neoadjuvant chemotherapy in patients with node-positive breast cancer: the ACOSOG Z1071 (Alliance) clinical trial. JAMA. 2013 Oct 9;310(14):1455-61.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10.1001/jama.2013.278932. PMID: 24101169; PMCID: PMC4075763</w:t>
      </w:r>
      <w:r>
        <w:rPr>
          <w:rFonts w:ascii="Times New Roman" w:eastAsia="Times New Roman" w:hAnsi="Times New Roman" w:cs="Times New Roman"/>
          <w:sz w:val="24"/>
          <w:szCs w:val="24"/>
          <w:highlight w:val="white"/>
        </w:rPr>
        <w:t>.</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Classe</w:t>
      </w:r>
      <w:proofErr w:type="spellEnd"/>
      <w:r>
        <w:rPr>
          <w:rFonts w:ascii="Times New Roman" w:eastAsia="Times New Roman" w:hAnsi="Times New Roman" w:cs="Times New Roman"/>
          <w:sz w:val="24"/>
          <w:szCs w:val="24"/>
          <w:highlight w:val="white"/>
        </w:rPr>
        <w:t xml:space="preserve"> JM, </w:t>
      </w:r>
      <w:proofErr w:type="spellStart"/>
      <w:r>
        <w:rPr>
          <w:rFonts w:ascii="Times New Roman" w:eastAsia="Times New Roman" w:hAnsi="Times New Roman" w:cs="Times New Roman"/>
          <w:sz w:val="24"/>
          <w:szCs w:val="24"/>
          <w:highlight w:val="white"/>
        </w:rPr>
        <w:t>Loaec</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Gimbergues</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Alran</w:t>
      </w:r>
      <w:proofErr w:type="spellEnd"/>
      <w:r>
        <w:rPr>
          <w:rFonts w:ascii="Times New Roman" w:eastAsia="Times New Roman" w:hAnsi="Times New Roman" w:cs="Times New Roman"/>
          <w:sz w:val="24"/>
          <w:szCs w:val="24"/>
          <w:highlight w:val="white"/>
        </w:rPr>
        <w:t xml:space="preserve"> S, de Lara CT, Dupre PF, </w:t>
      </w:r>
      <w:proofErr w:type="spellStart"/>
      <w:r>
        <w:rPr>
          <w:rFonts w:ascii="Times New Roman" w:eastAsia="Times New Roman" w:hAnsi="Times New Roman" w:cs="Times New Roman"/>
          <w:sz w:val="24"/>
          <w:szCs w:val="24"/>
          <w:highlight w:val="white"/>
        </w:rPr>
        <w:t>Rouzier</w:t>
      </w:r>
      <w:proofErr w:type="spellEnd"/>
      <w:r>
        <w:rPr>
          <w:rFonts w:ascii="Times New Roman" w:eastAsia="Times New Roman" w:hAnsi="Times New Roman" w:cs="Times New Roman"/>
          <w:sz w:val="24"/>
          <w:szCs w:val="24"/>
          <w:highlight w:val="white"/>
        </w:rPr>
        <w:t xml:space="preserve"> R, Faure C, </w:t>
      </w:r>
      <w:proofErr w:type="spellStart"/>
      <w:r>
        <w:rPr>
          <w:rFonts w:ascii="Times New Roman" w:eastAsia="Times New Roman" w:hAnsi="Times New Roman" w:cs="Times New Roman"/>
          <w:sz w:val="24"/>
          <w:szCs w:val="24"/>
          <w:highlight w:val="white"/>
        </w:rPr>
        <w:t>Paillocher</w:t>
      </w:r>
      <w:proofErr w:type="spellEnd"/>
      <w:r>
        <w:rPr>
          <w:rFonts w:ascii="Times New Roman" w:eastAsia="Times New Roman" w:hAnsi="Times New Roman" w:cs="Times New Roman"/>
          <w:sz w:val="24"/>
          <w:szCs w:val="24"/>
          <w:highlight w:val="white"/>
        </w:rPr>
        <w:t xml:space="preserve"> N, Chauvet MP, </w:t>
      </w:r>
      <w:proofErr w:type="spellStart"/>
      <w:r>
        <w:rPr>
          <w:rFonts w:ascii="Times New Roman" w:eastAsia="Times New Roman" w:hAnsi="Times New Roman" w:cs="Times New Roman"/>
          <w:sz w:val="24"/>
          <w:szCs w:val="24"/>
          <w:highlight w:val="white"/>
        </w:rPr>
        <w:t>Houvenaeghel</w:t>
      </w:r>
      <w:proofErr w:type="spellEnd"/>
      <w:r>
        <w:rPr>
          <w:rFonts w:ascii="Times New Roman" w:eastAsia="Times New Roman" w:hAnsi="Times New Roman" w:cs="Times New Roman"/>
          <w:sz w:val="24"/>
          <w:szCs w:val="24"/>
          <w:highlight w:val="white"/>
        </w:rPr>
        <w:t xml:space="preserve"> G, Gutowski M, De </w:t>
      </w:r>
      <w:proofErr w:type="spellStart"/>
      <w:r>
        <w:rPr>
          <w:rFonts w:ascii="Times New Roman" w:eastAsia="Times New Roman" w:hAnsi="Times New Roman" w:cs="Times New Roman"/>
          <w:sz w:val="24"/>
          <w:szCs w:val="24"/>
          <w:highlight w:val="white"/>
        </w:rPr>
        <w:t>Blay</w:t>
      </w:r>
      <w:proofErr w:type="spellEnd"/>
      <w:r>
        <w:rPr>
          <w:rFonts w:ascii="Times New Roman" w:eastAsia="Times New Roman" w:hAnsi="Times New Roman" w:cs="Times New Roman"/>
          <w:sz w:val="24"/>
          <w:szCs w:val="24"/>
          <w:highlight w:val="white"/>
        </w:rPr>
        <w:t xml:space="preserve"> P, Verhaeghe JL, </w:t>
      </w:r>
      <w:proofErr w:type="spellStart"/>
      <w:r>
        <w:rPr>
          <w:rFonts w:ascii="Times New Roman" w:eastAsia="Times New Roman" w:hAnsi="Times New Roman" w:cs="Times New Roman"/>
          <w:sz w:val="24"/>
          <w:szCs w:val="24"/>
          <w:highlight w:val="white"/>
        </w:rPr>
        <w:t>Barranger</w:t>
      </w:r>
      <w:proofErr w:type="spellEnd"/>
      <w:r>
        <w:rPr>
          <w:rFonts w:ascii="Times New Roman" w:eastAsia="Times New Roman" w:hAnsi="Times New Roman" w:cs="Times New Roman"/>
          <w:sz w:val="24"/>
          <w:szCs w:val="24"/>
          <w:highlight w:val="white"/>
        </w:rPr>
        <w:t xml:space="preserve"> E, Lefebvre C, Ngo C, Ferron G, </w:t>
      </w:r>
      <w:proofErr w:type="spellStart"/>
      <w:r>
        <w:rPr>
          <w:rFonts w:ascii="Times New Roman" w:eastAsia="Times New Roman" w:hAnsi="Times New Roman" w:cs="Times New Roman"/>
          <w:sz w:val="24"/>
          <w:szCs w:val="24"/>
          <w:highlight w:val="white"/>
        </w:rPr>
        <w:t>Palpacuer</w:t>
      </w:r>
      <w:proofErr w:type="spellEnd"/>
      <w:r>
        <w:rPr>
          <w:rFonts w:ascii="Times New Roman" w:eastAsia="Times New Roman" w:hAnsi="Times New Roman" w:cs="Times New Roman"/>
          <w:sz w:val="24"/>
          <w:szCs w:val="24"/>
          <w:highlight w:val="white"/>
        </w:rPr>
        <w:t xml:space="preserve"> C, Campion L. Sentinel lymph node biop</w:t>
      </w:r>
      <w:r>
        <w:rPr>
          <w:rFonts w:ascii="Times New Roman" w:eastAsia="Times New Roman" w:hAnsi="Times New Roman" w:cs="Times New Roman"/>
          <w:sz w:val="24"/>
          <w:szCs w:val="24"/>
          <w:highlight w:val="white"/>
        </w:rPr>
        <w:t xml:space="preserve">sy without axillary lymphadenectomy after neoadjuvant chemotherapy is accurate and safe for selected patients: the GANEA 2 study. Breast Cancer Res Treat. 2019 Jan;173(2):343-352.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10.1007/s10549-018-5004-7.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2018 Oct 20. PMID: 30343457.</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Valiveru</w:t>
      </w:r>
      <w:proofErr w:type="spellEnd"/>
      <w:r>
        <w:rPr>
          <w:rFonts w:ascii="Times New Roman" w:eastAsia="Times New Roman" w:hAnsi="Times New Roman" w:cs="Times New Roman"/>
          <w:sz w:val="24"/>
          <w:szCs w:val="24"/>
          <w:highlight w:val="white"/>
        </w:rPr>
        <w:t xml:space="preserve"> R</w:t>
      </w:r>
      <w:r>
        <w:rPr>
          <w:rFonts w:ascii="Times New Roman" w:eastAsia="Times New Roman" w:hAnsi="Times New Roman" w:cs="Times New Roman"/>
          <w:sz w:val="24"/>
          <w:szCs w:val="24"/>
          <w:highlight w:val="white"/>
        </w:rPr>
        <w:t xml:space="preserve">C, Agarwal G, Agrawal V, Gambhir S, </w:t>
      </w:r>
      <w:proofErr w:type="spellStart"/>
      <w:r>
        <w:rPr>
          <w:rFonts w:ascii="Times New Roman" w:eastAsia="Times New Roman" w:hAnsi="Times New Roman" w:cs="Times New Roman"/>
          <w:sz w:val="24"/>
          <w:szCs w:val="24"/>
          <w:highlight w:val="white"/>
        </w:rPr>
        <w:t>Mayilvaganan</w:t>
      </w:r>
      <w:proofErr w:type="spellEnd"/>
      <w:r>
        <w:rPr>
          <w:rFonts w:ascii="Times New Roman" w:eastAsia="Times New Roman" w:hAnsi="Times New Roman" w:cs="Times New Roman"/>
          <w:sz w:val="24"/>
          <w:szCs w:val="24"/>
          <w:highlight w:val="white"/>
        </w:rPr>
        <w:t xml:space="preserve"> S, Chand G, Mishra A, Agarwal A, Mishra SK. Low-cost Fluorescein as an Alternative to Radio-colloid for Sentinel Lymph Node Biopsy-a Prospective Validation Study in Early Breast Cancer. World J Surg. 2020 Oc</w:t>
      </w:r>
      <w:r>
        <w:rPr>
          <w:rFonts w:ascii="Times New Roman" w:eastAsia="Times New Roman" w:hAnsi="Times New Roman" w:cs="Times New Roman"/>
          <w:sz w:val="24"/>
          <w:szCs w:val="24"/>
          <w:highlight w:val="white"/>
        </w:rPr>
        <w:t xml:space="preserve">t;44(10):3417-3422.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10.1007/s00268-020-05631-x. PMID: 32504276.</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Kedrzycki</w:t>
      </w:r>
      <w:proofErr w:type="spellEnd"/>
      <w:r>
        <w:rPr>
          <w:rFonts w:ascii="Times New Roman" w:eastAsia="Times New Roman" w:hAnsi="Times New Roman" w:cs="Times New Roman"/>
          <w:sz w:val="24"/>
          <w:szCs w:val="24"/>
          <w:highlight w:val="white"/>
        </w:rPr>
        <w:t xml:space="preserve"> MS, </w:t>
      </w:r>
      <w:proofErr w:type="spellStart"/>
      <w:r>
        <w:rPr>
          <w:rFonts w:ascii="Times New Roman" w:eastAsia="Times New Roman" w:hAnsi="Times New Roman" w:cs="Times New Roman"/>
          <w:sz w:val="24"/>
          <w:szCs w:val="24"/>
          <w:highlight w:val="white"/>
        </w:rPr>
        <w:t>Leiloglou</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Ashrafian</w:t>
      </w:r>
      <w:proofErr w:type="spellEnd"/>
      <w:r>
        <w:rPr>
          <w:rFonts w:ascii="Times New Roman" w:eastAsia="Times New Roman" w:hAnsi="Times New Roman" w:cs="Times New Roman"/>
          <w:sz w:val="24"/>
          <w:szCs w:val="24"/>
          <w:highlight w:val="white"/>
        </w:rPr>
        <w:t xml:space="preserve"> H, Jiwa N, </w:t>
      </w:r>
      <w:proofErr w:type="spellStart"/>
      <w:r>
        <w:rPr>
          <w:rFonts w:ascii="Times New Roman" w:eastAsia="Times New Roman" w:hAnsi="Times New Roman" w:cs="Times New Roman"/>
          <w:sz w:val="24"/>
          <w:szCs w:val="24"/>
          <w:highlight w:val="white"/>
        </w:rPr>
        <w:t>Thiruchelvam</w:t>
      </w:r>
      <w:proofErr w:type="spellEnd"/>
      <w:r>
        <w:rPr>
          <w:rFonts w:ascii="Times New Roman" w:eastAsia="Times New Roman" w:hAnsi="Times New Roman" w:cs="Times New Roman"/>
          <w:sz w:val="24"/>
          <w:szCs w:val="24"/>
          <w:highlight w:val="white"/>
        </w:rPr>
        <w:t xml:space="preserve"> PTR, Elson DS, </w:t>
      </w:r>
      <w:proofErr w:type="spellStart"/>
      <w:r>
        <w:rPr>
          <w:rFonts w:ascii="Times New Roman" w:eastAsia="Times New Roman" w:hAnsi="Times New Roman" w:cs="Times New Roman"/>
          <w:sz w:val="24"/>
          <w:szCs w:val="24"/>
          <w:highlight w:val="white"/>
        </w:rPr>
        <w:t>Leff</w:t>
      </w:r>
      <w:proofErr w:type="spellEnd"/>
      <w:r>
        <w:rPr>
          <w:rFonts w:ascii="Times New Roman" w:eastAsia="Times New Roman" w:hAnsi="Times New Roman" w:cs="Times New Roman"/>
          <w:sz w:val="24"/>
          <w:szCs w:val="24"/>
          <w:highlight w:val="white"/>
        </w:rPr>
        <w:t xml:space="preserve"> DR. Meta-analysis Comparing Fluorescence Imaging with Radioisotope and Blue Dye-Guided Sentinel Node Ident</w:t>
      </w:r>
      <w:r>
        <w:rPr>
          <w:rFonts w:ascii="Times New Roman" w:eastAsia="Times New Roman" w:hAnsi="Times New Roman" w:cs="Times New Roman"/>
          <w:sz w:val="24"/>
          <w:szCs w:val="24"/>
          <w:highlight w:val="white"/>
        </w:rPr>
        <w:t xml:space="preserve">ification for Breast Cancer Surgery. Ann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2021 Jul;28(7):3738-3748.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10.1245/s10434-020-09288-7.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Nov 6. PMID: 33156466; PMCID: PMC8184731.</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Shinde AM, </w:t>
      </w:r>
      <w:proofErr w:type="spellStart"/>
      <w:r>
        <w:rPr>
          <w:rFonts w:ascii="Times New Roman" w:eastAsia="Times New Roman" w:hAnsi="Times New Roman" w:cs="Times New Roman"/>
          <w:sz w:val="24"/>
          <w:szCs w:val="24"/>
          <w:highlight w:val="white"/>
        </w:rPr>
        <w:t>Zhai</w:t>
      </w:r>
      <w:proofErr w:type="spellEnd"/>
      <w:r>
        <w:rPr>
          <w:rFonts w:ascii="Times New Roman" w:eastAsia="Times New Roman" w:hAnsi="Times New Roman" w:cs="Times New Roman"/>
          <w:sz w:val="24"/>
          <w:szCs w:val="24"/>
          <w:highlight w:val="white"/>
        </w:rPr>
        <w:t xml:space="preserve"> J, Yu KW, Frankel P, </w:t>
      </w:r>
      <w:proofErr w:type="spellStart"/>
      <w:r>
        <w:rPr>
          <w:rFonts w:ascii="Times New Roman" w:eastAsia="Times New Roman" w:hAnsi="Times New Roman" w:cs="Times New Roman"/>
          <w:sz w:val="24"/>
          <w:szCs w:val="24"/>
          <w:highlight w:val="white"/>
        </w:rPr>
        <w:t>Yim</w:t>
      </w:r>
      <w:proofErr w:type="spellEnd"/>
      <w:r>
        <w:rPr>
          <w:rFonts w:ascii="Times New Roman" w:eastAsia="Times New Roman" w:hAnsi="Times New Roman" w:cs="Times New Roman"/>
          <w:sz w:val="24"/>
          <w:szCs w:val="24"/>
          <w:highlight w:val="white"/>
        </w:rPr>
        <w:t xml:space="preserve"> JH, </w:t>
      </w:r>
      <w:proofErr w:type="spellStart"/>
      <w:r>
        <w:rPr>
          <w:rFonts w:ascii="Times New Roman" w:eastAsia="Times New Roman" w:hAnsi="Times New Roman" w:cs="Times New Roman"/>
          <w:sz w:val="24"/>
          <w:szCs w:val="24"/>
          <w:highlight w:val="white"/>
        </w:rPr>
        <w:t>Luu</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Kruper</w:t>
      </w:r>
      <w:proofErr w:type="spellEnd"/>
      <w:r>
        <w:rPr>
          <w:rFonts w:ascii="Times New Roman" w:eastAsia="Times New Roman" w:hAnsi="Times New Roman" w:cs="Times New Roman"/>
          <w:sz w:val="24"/>
          <w:szCs w:val="24"/>
          <w:highlight w:val="white"/>
        </w:rPr>
        <w:t xml:space="preserve"> L, Vito C, Shaw S, Vora NL, Kirsc</w:t>
      </w:r>
      <w:r>
        <w:rPr>
          <w:rFonts w:ascii="Times New Roman" w:eastAsia="Times New Roman" w:hAnsi="Times New Roman" w:cs="Times New Roman"/>
          <w:sz w:val="24"/>
          <w:szCs w:val="24"/>
          <w:highlight w:val="white"/>
        </w:rPr>
        <w:t xml:space="preserve">henbaum M, </w:t>
      </w:r>
      <w:proofErr w:type="spellStart"/>
      <w:r>
        <w:rPr>
          <w:rFonts w:ascii="Times New Roman" w:eastAsia="Times New Roman" w:hAnsi="Times New Roman" w:cs="Times New Roman"/>
          <w:sz w:val="24"/>
          <w:szCs w:val="24"/>
          <w:highlight w:val="white"/>
        </w:rPr>
        <w:t>Somlo</w:t>
      </w:r>
      <w:proofErr w:type="spellEnd"/>
      <w:r>
        <w:rPr>
          <w:rFonts w:ascii="Times New Roman" w:eastAsia="Times New Roman" w:hAnsi="Times New Roman" w:cs="Times New Roman"/>
          <w:sz w:val="24"/>
          <w:szCs w:val="24"/>
          <w:highlight w:val="white"/>
        </w:rPr>
        <w:t xml:space="preserve"> G. Pathologic complete response rates in triple-negative, HER2-positive, and hormone receptor-positive breast cancers after anthracycline-free neoadjuvant chemotherapy with carboplatin and paclitaxel with or without trastuzumab. Breast. 20</w:t>
      </w:r>
      <w:r>
        <w:rPr>
          <w:rFonts w:ascii="Times New Roman" w:eastAsia="Times New Roman" w:hAnsi="Times New Roman" w:cs="Times New Roman"/>
          <w:sz w:val="24"/>
          <w:szCs w:val="24"/>
          <w:highlight w:val="white"/>
        </w:rPr>
        <w:t xml:space="preserve">15 Feb;24(1):18-23.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10.1016/j.breast.2014.10.008.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Nov 20. PMID: 25467313; PMCID: PMC4596816.</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Ghosh, </w:t>
      </w:r>
      <w:proofErr w:type="spellStart"/>
      <w:r>
        <w:rPr>
          <w:rFonts w:ascii="Times New Roman" w:eastAsia="Times New Roman" w:hAnsi="Times New Roman" w:cs="Times New Roman"/>
          <w:sz w:val="24"/>
          <w:szCs w:val="24"/>
          <w:highlight w:val="white"/>
        </w:rPr>
        <w:t>Joydeep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Ganguly</w:t>
      </w:r>
      <w:proofErr w:type="spellEnd"/>
      <w:r>
        <w:rPr>
          <w:rFonts w:ascii="Times New Roman" w:eastAsia="Times New Roman" w:hAnsi="Times New Roman" w:cs="Times New Roman"/>
          <w:sz w:val="24"/>
          <w:szCs w:val="24"/>
          <w:highlight w:val="white"/>
        </w:rPr>
        <w:t xml:space="preserve">, Sandip. Pathological complete response in breast cancer: Is it truly a surrogate for </w:t>
      </w:r>
      <w:proofErr w:type="gramStart"/>
      <w:r>
        <w:rPr>
          <w:rFonts w:ascii="Times New Roman" w:eastAsia="Times New Roman" w:hAnsi="Times New Roman" w:cs="Times New Roman"/>
          <w:sz w:val="24"/>
          <w:szCs w:val="24"/>
          <w:highlight w:val="white"/>
        </w:rPr>
        <w:t>outcome?.</w:t>
      </w:r>
      <w:proofErr w:type="gramEnd"/>
      <w:r>
        <w:rPr>
          <w:rFonts w:ascii="Times New Roman" w:eastAsia="Times New Roman" w:hAnsi="Times New Roman" w:cs="Times New Roman"/>
          <w:sz w:val="24"/>
          <w:szCs w:val="24"/>
          <w:highlight w:val="white"/>
        </w:rPr>
        <w:t xml:space="preserve"> Cancer Research, Statistics,</w:t>
      </w:r>
      <w:r>
        <w:rPr>
          <w:rFonts w:ascii="Times New Roman" w:eastAsia="Times New Roman" w:hAnsi="Times New Roman" w:cs="Times New Roman"/>
          <w:sz w:val="24"/>
          <w:szCs w:val="24"/>
          <w:highlight w:val="white"/>
        </w:rPr>
        <w:t xml:space="preserve"> and Treatment 6(2</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232-234, Apr–Jun 2023. | DOI: 10.4103/crst.crst_201_23 </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Marcelo </w:t>
      </w:r>
      <w:proofErr w:type="spellStart"/>
      <w:r>
        <w:rPr>
          <w:rFonts w:ascii="Times New Roman" w:eastAsia="Times New Roman" w:hAnsi="Times New Roman" w:cs="Times New Roman"/>
          <w:sz w:val="24"/>
          <w:szCs w:val="24"/>
          <w:highlight w:val="white"/>
        </w:rPr>
        <w:t>Antonini</w:t>
      </w:r>
      <w:proofErr w:type="spellEnd"/>
      <w:r>
        <w:rPr>
          <w:rFonts w:ascii="Times New Roman" w:eastAsia="Times New Roman" w:hAnsi="Times New Roman" w:cs="Times New Roman"/>
          <w:sz w:val="24"/>
          <w:szCs w:val="24"/>
          <w:highlight w:val="white"/>
        </w:rPr>
        <w:t xml:space="preserve">, André </w:t>
      </w:r>
      <w:proofErr w:type="spellStart"/>
      <w:r>
        <w:rPr>
          <w:rFonts w:ascii="Times New Roman" w:eastAsia="Times New Roman" w:hAnsi="Times New Roman" w:cs="Times New Roman"/>
          <w:sz w:val="24"/>
          <w:szCs w:val="24"/>
          <w:highlight w:val="white"/>
        </w:rPr>
        <w:t>Mattar</w:t>
      </w:r>
      <w:proofErr w:type="spellEnd"/>
      <w:r>
        <w:rPr>
          <w:rFonts w:ascii="Times New Roman" w:eastAsia="Times New Roman" w:hAnsi="Times New Roman" w:cs="Times New Roman"/>
          <w:sz w:val="24"/>
          <w:szCs w:val="24"/>
          <w:highlight w:val="white"/>
        </w:rPr>
        <w:t xml:space="preserve">, Thais Melo Pereira, Ludmila </w:t>
      </w:r>
      <w:proofErr w:type="spellStart"/>
      <w:r>
        <w:rPr>
          <w:rFonts w:ascii="Times New Roman" w:eastAsia="Times New Roman" w:hAnsi="Times New Roman" w:cs="Times New Roman"/>
          <w:sz w:val="24"/>
          <w:szCs w:val="24"/>
          <w:highlight w:val="white"/>
        </w:rPr>
        <w:t>Lemos</w:t>
      </w:r>
      <w:proofErr w:type="spellEnd"/>
      <w:r>
        <w:rPr>
          <w:rFonts w:ascii="Times New Roman" w:eastAsia="Times New Roman" w:hAnsi="Times New Roman" w:cs="Times New Roman"/>
          <w:sz w:val="24"/>
          <w:szCs w:val="24"/>
          <w:highlight w:val="white"/>
        </w:rPr>
        <w:t xml:space="preserve"> Oliveira, Marina </w:t>
      </w:r>
      <w:proofErr w:type="spellStart"/>
      <w:r>
        <w:rPr>
          <w:rFonts w:ascii="Times New Roman" w:eastAsia="Times New Roman" w:hAnsi="Times New Roman" w:cs="Times New Roman"/>
          <w:sz w:val="24"/>
          <w:szCs w:val="24"/>
          <w:highlight w:val="white"/>
        </w:rPr>
        <w:t>Diógenes</w:t>
      </w:r>
      <w:proofErr w:type="spellEnd"/>
      <w:r>
        <w:rPr>
          <w:rFonts w:ascii="Times New Roman" w:eastAsia="Times New Roman" w:hAnsi="Times New Roman" w:cs="Times New Roman"/>
          <w:sz w:val="24"/>
          <w:szCs w:val="24"/>
          <w:highlight w:val="white"/>
        </w:rPr>
        <w:t xml:space="preserve"> Teixeira, Andressa Gonçalves Amorim, </w:t>
      </w:r>
      <w:proofErr w:type="spellStart"/>
      <w:r>
        <w:rPr>
          <w:rFonts w:ascii="Times New Roman" w:eastAsia="Times New Roman" w:hAnsi="Times New Roman" w:cs="Times New Roman"/>
          <w:sz w:val="24"/>
          <w:szCs w:val="24"/>
          <w:highlight w:val="white"/>
        </w:rPr>
        <w:t>Odair</w:t>
      </w:r>
      <w:proofErr w:type="spellEnd"/>
      <w:r>
        <w:rPr>
          <w:rFonts w:ascii="Times New Roman" w:eastAsia="Times New Roman" w:hAnsi="Times New Roman" w:cs="Times New Roman"/>
          <w:sz w:val="24"/>
          <w:szCs w:val="24"/>
          <w:highlight w:val="white"/>
        </w:rPr>
        <w:t xml:space="preserve"> Ferraro, Larissa </w:t>
      </w:r>
      <w:proofErr w:type="spellStart"/>
      <w:r>
        <w:rPr>
          <w:rFonts w:ascii="Times New Roman" w:eastAsia="Times New Roman" w:hAnsi="Times New Roman" w:cs="Times New Roman"/>
          <w:sz w:val="24"/>
          <w:szCs w:val="24"/>
          <w:highlight w:val="white"/>
        </w:rPr>
        <w:t>Chrispim</w:t>
      </w:r>
      <w:proofErr w:type="spellEnd"/>
      <w:r>
        <w:rPr>
          <w:rFonts w:ascii="Times New Roman" w:eastAsia="Times New Roman" w:hAnsi="Times New Roman" w:cs="Times New Roman"/>
          <w:sz w:val="24"/>
          <w:szCs w:val="24"/>
          <w:highlight w:val="white"/>
        </w:rPr>
        <w:t xml:space="preserve"> de </w:t>
      </w:r>
      <w:r>
        <w:rPr>
          <w:rFonts w:ascii="Times New Roman" w:eastAsia="Times New Roman" w:hAnsi="Times New Roman" w:cs="Times New Roman"/>
          <w:sz w:val="24"/>
          <w:szCs w:val="24"/>
          <w:highlight w:val="white"/>
        </w:rPr>
        <w:lastRenderedPageBreak/>
        <w:t>Oliveira, Marc</w:t>
      </w:r>
      <w:r>
        <w:rPr>
          <w:rFonts w:ascii="Times New Roman" w:eastAsia="Times New Roman" w:hAnsi="Times New Roman" w:cs="Times New Roman"/>
          <w:sz w:val="24"/>
          <w:szCs w:val="24"/>
          <w:highlight w:val="white"/>
        </w:rPr>
        <w:t xml:space="preserve">ellus do Nascimento Moreira Ramos, Francisco Pimentel Cavalcante, Felipe </w:t>
      </w:r>
      <w:proofErr w:type="spellStart"/>
      <w:r>
        <w:rPr>
          <w:rFonts w:ascii="Times New Roman" w:eastAsia="Times New Roman" w:hAnsi="Times New Roman" w:cs="Times New Roman"/>
          <w:sz w:val="24"/>
          <w:szCs w:val="24"/>
          <w:highlight w:val="white"/>
        </w:rPr>
        <w:t>Zerwes</w:t>
      </w:r>
      <w:proofErr w:type="spellEnd"/>
      <w:r>
        <w:rPr>
          <w:rFonts w:ascii="Times New Roman" w:eastAsia="Times New Roman" w:hAnsi="Times New Roman" w:cs="Times New Roman"/>
          <w:sz w:val="24"/>
          <w:szCs w:val="24"/>
          <w:highlight w:val="white"/>
        </w:rPr>
        <w:t xml:space="preserve">, Marcelo Madeira, Leonardo Ribeiro Soares, Eduardo Camargo Millen, Antonio Luiz </w:t>
      </w:r>
      <w:proofErr w:type="spellStart"/>
      <w:r>
        <w:rPr>
          <w:rFonts w:ascii="Times New Roman" w:eastAsia="Times New Roman" w:hAnsi="Times New Roman" w:cs="Times New Roman"/>
          <w:sz w:val="24"/>
          <w:szCs w:val="24"/>
          <w:highlight w:val="white"/>
        </w:rPr>
        <w:t>Frasson</w:t>
      </w:r>
      <w:proofErr w:type="spellEnd"/>
      <w:r>
        <w:rPr>
          <w:rFonts w:ascii="Times New Roman" w:eastAsia="Times New Roman" w:hAnsi="Times New Roman" w:cs="Times New Roman"/>
          <w:sz w:val="24"/>
          <w:szCs w:val="24"/>
          <w:highlight w:val="white"/>
        </w:rPr>
        <w:t xml:space="preserve">, Fabricio Palermo </w:t>
      </w:r>
      <w:proofErr w:type="spellStart"/>
      <w:r>
        <w:rPr>
          <w:rFonts w:ascii="Times New Roman" w:eastAsia="Times New Roman" w:hAnsi="Times New Roman" w:cs="Times New Roman"/>
          <w:sz w:val="24"/>
          <w:szCs w:val="24"/>
          <w:highlight w:val="white"/>
        </w:rPr>
        <w:t>Brenelli</w:t>
      </w:r>
      <w:proofErr w:type="spellEnd"/>
      <w:r>
        <w:rPr>
          <w:rFonts w:ascii="Times New Roman" w:eastAsia="Times New Roman" w:hAnsi="Times New Roman" w:cs="Times New Roman"/>
          <w:sz w:val="24"/>
          <w:szCs w:val="24"/>
          <w:highlight w:val="white"/>
        </w:rPr>
        <w:t xml:space="preserve">, Gil </w:t>
      </w:r>
      <w:proofErr w:type="spellStart"/>
      <w:r>
        <w:rPr>
          <w:rFonts w:ascii="Times New Roman" w:eastAsia="Times New Roman" w:hAnsi="Times New Roman" w:cs="Times New Roman"/>
          <w:sz w:val="24"/>
          <w:szCs w:val="24"/>
          <w:highlight w:val="white"/>
        </w:rPr>
        <w:t>Facina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Rogerio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Fenile</w:t>
      </w:r>
      <w:proofErr w:type="spellEnd"/>
      <w:r>
        <w:rPr>
          <w:rFonts w:ascii="Times New Roman" w:eastAsia="Times New Roman" w:hAnsi="Times New Roman" w:cs="Times New Roman"/>
          <w:sz w:val="24"/>
          <w:szCs w:val="24"/>
          <w:highlight w:val="white"/>
        </w:rPr>
        <w:t>, Renata Arakelian, Ruffo de Freit</w:t>
      </w:r>
      <w:r>
        <w:rPr>
          <w:rFonts w:ascii="Times New Roman" w:eastAsia="Times New Roman" w:hAnsi="Times New Roman" w:cs="Times New Roman"/>
          <w:sz w:val="24"/>
          <w:szCs w:val="24"/>
          <w:highlight w:val="white"/>
        </w:rPr>
        <w:t xml:space="preserve">as Júnior, Marcela </w:t>
      </w:r>
      <w:proofErr w:type="spellStart"/>
      <w:r>
        <w:rPr>
          <w:rFonts w:ascii="Times New Roman" w:eastAsia="Times New Roman" w:hAnsi="Times New Roman" w:cs="Times New Roman"/>
          <w:sz w:val="24"/>
          <w:szCs w:val="24"/>
          <w:highlight w:val="white"/>
        </w:rPr>
        <w:t>Bonalumi</w:t>
      </w:r>
      <w:proofErr w:type="spellEnd"/>
      <w:r>
        <w:rPr>
          <w:rFonts w:ascii="Times New Roman" w:eastAsia="Times New Roman" w:hAnsi="Times New Roman" w:cs="Times New Roman"/>
          <w:sz w:val="24"/>
          <w:szCs w:val="24"/>
          <w:highlight w:val="white"/>
        </w:rPr>
        <w:t xml:space="preserve"> dos Santos, Henrique Lima Couto, Luiz Henrique </w:t>
      </w:r>
      <w:proofErr w:type="spellStart"/>
      <w:r>
        <w:rPr>
          <w:rFonts w:ascii="Times New Roman" w:eastAsia="Times New Roman" w:hAnsi="Times New Roman" w:cs="Times New Roman"/>
          <w:sz w:val="24"/>
          <w:szCs w:val="24"/>
          <w:highlight w:val="white"/>
        </w:rPr>
        <w:t>Gebrim</w:t>
      </w:r>
      <w:proofErr w:type="spellEnd"/>
      <w:r>
        <w:rPr>
          <w:rFonts w:ascii="Times New Roman" w:eastAsia="Times New Roman" w:hAnsi="Times New Roman" w:cs="Times New Roman"/>
          <w:sz w:val="24"/>
          <w:szCs w:val="24"/>
          <w:highlight w:val="white"/>
        </w:rPr>
        <w:t xml:space="preserve">, Pathologic complete response and breast cancer survival post-neoadjuvant chemotherapy: A systematic review and meta-analysis of real-world data, </w:t>
      </w:r>
      <w:proofErr w:type="spellStart"/>
      <w:r>
        <w:rPr>
          <w:rFonts w:ascii="Times New Roman" w:eastAsia="Times New Roman" w:hAnsi="Times New Roman" w:cs="Times New Roman"/>
          <w:sz w:val="24"/>
          <w:szCs w:val="24"/>
          <w:highlight w:val="white"/>
        </w:rPr>
        <w:t>Heliyon</w:t>
      </w:r>
      <w:proofErr w:type="spellEnd"/>
      <w:r>
        <w:rPr>
          <w:rFonts w:ascii="Times New Roman" w:eastAsia="Times New Roman" w:hAnsi="Times New Roman" w:cs="Times New Roman"/>
          <w:sz w:val="24"/>
          <w:szCs w:val="24"/>
          <w:highlight w:val="white"/>
        </w:rPr>
        <w:t>, Volume 11, Issue 10</w:t>
      </w:r>
      <w:r>
        <w:rPr>
          <w:rFonts w:ascii="Times New Roman" w:eastAsia="Times New Roman" w:hAnsi="Times New Roman" w:cs="Times New Roman"/>
          <w:sz w:val="24"/>
          <w:szCs w:val="24"/>
          <w:highlight w:val="white"/>
        </w:rPr>
        <w:t>, 2025, e43069, ISSN 2405-8440, https://doi.org/10.1016/j.heliyon.2025.e43069.</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Altundag</w:t>
      </w:r>
      <w:proofErr w:type="spellEnd"/>
      <w:r>
        <w:rPr>
          <w:rFonts w:ascii="Times New Roman" w:eastAsia="Times New Roman" w:hAnsi="Times New Roman" w:cs="Times New Roman"/>
          <w:sz w:val="24"/>
          <w:szCs w:val="24"/>
          <w:highlight w:val="white"/>
        </w:rPr>
        <w:t xml:space="preserve">, K. Increased pathologic complete response are expected in HER2-positive and triple-negative locally advanced breast cancers. </w:t>
      </w:r>
      <w:r>
        <w:rPr>
          <w:rFonts w:ascii="Times New Roman" w:eastAsia="Times New Roman" w:hAnsi="Times New Roman" w:cs="Times New Roman"/>
          <w:i/>
          <w:iCs/>
          <w:sz w:val="24"/>
          <w:szCs w:val="24"/>
          <w:highlight w:val="white"/>
        </w:rPr>
        <w:t>Chin J Cancer</w:t>
      </w:r>
      <w:r>
        <w:rPr>
          <w:rFonts w:ascii="Times New Roman" w:eastAsia="Times New Roman" w:hAnsi="Times New Roman" w:cs="Times New Roman"/>
          <w:sz w:val="24"/>
          <w:szCs w:val="24"/>
          <w:highlight w:val="white"/>
        </w:rPr>
        <w:t xml:space="preserve"> 36, 44 (2017). </w:t>
      </w:r>
      <w:hyperlink r:id="rId11">
        <w:r>
          <w:rPr>
            <w:rFonts w:ascii="Times New Roman" w:eastAsia="Times New Roman" w:hAnsi="Times New Roman" w:cs="Times New Roman"/>
            <w:sz w:val="24"/>
            <w:szCs w:val="24"/>
            <w:highlight w:val="white"/>
            <w:u w:val="single"/>
          </w:rPr>
          <w:t>https://doi.org/10.1186/s40880-017-0208-5</w:t>
        </w:r>
      </w:hyperlink>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 L, Chen H, He J,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P, Gao P, Li Y, Zhang H, Fan Z. The nodal positivity rate in breast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patients with initially, clinically node-negative breast cancer after </w:t>
      </w:r>
      <w:r>
        <w:rPr>
          <w:rFonts w:ascii="Times New Roman" w:eastAsia="Times New Roman" w:hAnsi="Times New Roman" w:cs="Times New Roman"/>
          <w:sz w:val="24"/>
          <w:szCs w:val="24"/>
          <w:highlight w:val="white"/>
        </w:rPr>
        <w:t xml:space="preserve">neoadjuvant systemic therapy: A systematic review and meta-analysis. Front Oncol. 2023 Mar </w:t>
      </w:r>
      <w:proofErr w:type="gramStart"/>
      <w:r>
        <w:rPr>
          <w:rFonts w:ascii="Times New Roman" w:eastAsia="Times New Roman" w:hAnsi="Times New Roman" w:cs="Times New Roman"/>
          <w:sz w:val="24"/>
          <w:szCs w:val="24"/>
          <w:highlight w:val="white"/>
        </w:rPr>
        <w:t>29;13:1167912</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10.3389/fonc.2023.1167912. PMID: 37064127; PMCID: PMC10090490.</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Xuhui</w:t>
      </w:r>
      <w:proofErr w:type="spellEnd"/>
      <w:r>
        <w:rPr>
          <w:rFonts w:ascii="Times New Roman" w:eastAsia="Times New Roman" w:hAnsi="Times New Roman" w:cs="Times New Roman"/>
          <w:sz w:val="24"/>
          <w:szCs w:val="24"/>
          <w:highlight w:val="white"/>
        </w:rPr>
        <w:t xml:space="preserve"> Guo, Jiao Zhang, </w:t>
      </w:r>
      <w:proofErr w:type="spellStart"/>
      <w:r>
        <w:rPr>
          <w:rFonts w:ascii="Times New Roman" w:eastAsia="Times New Roman" w:hAnsi="Times New Roman" w:cs="Times New Roman"/>
          <w:sz w:val="24"/>
          <w:szCs w:val="24"/>
          <w:highlight w:val="white"/>
        </w:rPr>
        <w:t>Xilong</w:t>
      </w:r>
      <w:proofErr w:type="spellEnd"/>
      <w:r>
        <w:rPr>
          <w:rFonts w:ascii="Times New Roman" w:eastAsia="Times New Roman" w:hAnsi="Times New Roman" w:cs="Times New Roman"/>
          <w:sz w:val="24"/>
          <w:szCs w:val="24"/>
          <w:highlight w:val="white"/>
        </w:rPr>
        <w:t xml:space="preserve"> Gong, Jia Wang, Hao Dai, </w:t>
      </w:r>
      <w:proofErr w:type="spellStart"/>
      <w:r>
        <w:rPr>
          <w:rFonts w:ascii="Times New Roman" w:eastAsia="Times New Roman" w:hAnsi="Times New Roman" w:cs="Times New Roman"/>
          <w:sz w:val="24"/>
          <w:szCs w:val="24"/>
          <w:highlight w:val="white"/>
        </w:rPr>
        <w:t>Dechuang</w:t>
      </w:r>
      <w:proofErr w:type="spellEnd"/>
      <w:r>
        <w:rPr>
          <w:rFonts w:ascii="Times New Roman" w:eastAsia="Times New Roman" w:hAnsi="Times New Roman" w:cs="Times New Roman"/>
          <w:sz w:val="24"/>
          <w:szCs w:val="24"/>
          <w:highlight w:val="white"/>
        </w:rPr>
        <w:t xml:space="preserve"> Jiao, Rui Ling, Yi</w:t>
      </w:r>
      <w:r>
        <w:rPr>
          <w:rFonts w:ascii="Times New Roman" w:eastAsia="Times New Roman" w:hAnsi="Times New Roman" w:cs="Times New Roman"/>
          <w:sz w:val="24"/>
          <w:szCs w:val="24"/>
          <w:highlight w:val="white"/>
        </w:rPr>
        <w:t xml:space="preserve"> Zhao, </w:t>
      </w:r>
      <w:proofErr w:type="spellStart"/>
      <w:r>
        <w:rPr>
          <w:rFonts w:ascii="Times New Roman" w:eastAsia="Times New Roman" w:hAnsi="Times New Roman" w:cs="Times New Roman"/>
          <w:sz w:val="24"/>
          <w:szCs w:val="24"/>
          <w:highlight w:val="white"/>
        </w:rPr>
        <w:t>Hongjian</w:t>
      </w:r>
      <w:proofErr w:type="spell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Yunjiang</w:t>
      </w:r>
      <w:proofErr w:type="spellEnd"/>
      <w:r>
        <w:rPr>
          <w:rFonts w:ascii="Times New Roman" w:eastAsia="Times New Roman" w:hAnsi="Times New Roman" w:cs="Times New Roman"/>
          <w:sz w:val="24"/>
          <w:szCs w:val="24"/>
          <w:highlight w:val="white"/>
        </w:rPr>
        <w:t xml:space="preserve"> Liu, </w:t>
      </w:r>
      <w:proofErr w:type="spellStart"/>
      <w:r>
        <w:rPr>
          <w:rFonts w:ascii="Times New Roman" w:eastAsia="Times New Roman" w:hAnsi="Times New Roman" w:cs="Times New Roman"/>
          <w:sz w:val="24"/>
          <w:szCs w:val="24"/>
          <w:highlight w:val="white"/>
        </w:rPr>
        <w:t>Ke</w:t>
      </w:r>
      <w:proofErr w:type="spellEnd"/>
      <w:r>
        <w:rPr>
          <w:rFonts w:ascii="Times New Roman" w:eastAsia="Times New Roman" w:hAnsi="Times New Roman" w:cs="Times New Roman"/>
          <w:sz w:val="24"/>
          <w:szCs w:val="24"/>
          <w:highlight w:val="white"/>
        </w:rPr>
        <w:t xml:space="preserve"> Liu, </w:t>
      </w:r>
      <w:proofErr w:type="spellStart"/>
      <w:r>
        <w:rPr>
          <w:rFonts w:ascii="Times New Roman" w:eastAsia="Times New Roman" w:hAnsi="Times New Roman" w:cs="Times New Roman"/>
          <w:sz w:val="24"/>
          <w:szCs w:val="24"/>
          <w:highlight w:val="white"/>
        </w:rPr>
        <w:t>Jianguo</w:t>
      </w:r>
      <w:proofErr w:type="spellEnd"/>
      <w:r>
        <w:rPr>
          <w:rFonts w:ascii="Times New Roman" w:eastAsia="Times New Roman" w:hAnsi="Times New Roman" w:cs="Times New Roman"/>
          <w:sz w:val="24"/>
          <w:szCs w:val="24"/>
          <w:highlight w:val="white"/>
        </w:rPr>
        <w:t xml:space="preserve"> Zhang, </w:t>
      </w:r>
      <w:proofErr w:type="spellStart"/>
      <w:r>
        <w:rPr>
          <w:rFonts w:ascii="Times New Roman" w:eastAsia="Times New Roman" w:hAnsi="Times New Roman" w:cs="Times New Roman"/>
          <w:sz w:val="24"/>
          <w:szCs w:val="24"/>
          <w:highlight w:val="white"/>
        </w:rPr>
        <w:t>Dahua</w:t>
      </w:r>
      <w:proofErr w:type="spellEnd"/>
      <w:r>
        <w:rPr>
          <w:rFonts w:ascii="Times New Roman" w:eastAsia="Times New Roman" w:hAnsi="Times New Roman" w:cs="Times New Roman"/>
          <w:sz w:val="24"/>
          <w:szCs w:val="24"/>
          <w:highlight w:val="white"/>
        </w:rPr>
        <w:t xml:space="preserve"> Mao, </w:t>
      </w:r>
      <w:proofErr w:type="spellStart"/>
      <w:r>
        <w:rPr>
          <w:rFonts w:ascii="Times New Roman" w:eastAsia="Times New Roman" w:hAnsi="Times New Roman" w:cs="Times New Roman"/>
          <w:sz w:val="24"/>
          <w:szCs w:val="24"/>
          <w:highlight w:val="white"/>
        </w:rPr>
        <w:t>Jianjun</w:t>
      </w:r>
      <w:proofErr w:type="spellEnd"/>
      <w:r>
        <w:rPr>
          <w:rFonts w:ascii="Times New Roman" w:eastAsia="Times New Roman" w:hAnsi="Times New Roman" w:cs="Times New Roman"/>
          <w:sz w:val="24"/>
          <w:szCs w:val="24"/>
          <w:highlight w:val="white"/>
        </w:rPr>
        <w:t xml:space="preserve"> He, </w:t>
      </w:r>
      <w:proofErr w:type="spellStart"/>
      <w:r>
        <w:rPr>
          <w:rFonts w:ascii="Times New Roman" w:eastAsia="Times New Roman" w:hAnsi="Times New Roman" w:cs="Times New Roman"/>
          <w:sz w:val="24"/>
          <w:szCs w:val="24"/>
          <w:highlight w:val="white"/>
        </w:rPr>
        <w:t>Zhigang</w:t>
      </w:r>
      <w:proofErr w:type="spellEnd"/>
      <w:r>
        <w:rPr>
          <w:rFonts w:ascii="Times New Roman" w:eastAsia="Times New Roman" w:hAnsi="Times New Roman" w:cs="Times New Roman"/>
          <w:sz w:val="24"/>
          <w:szCs w:val="24"/>
          <w:highlight w:val="white"/>
        </w:rPr>
        <w:t xml:space="preserve"> Yu, </w:t>
      </w:r>
      <w:proofErr w:type="spellStart"/>
      <w:r>
        <w:rPr>
          <w:rFonts w:ascii="Times New Roman" w:eastAsia="Times New Roman" w:hAnsi="Times New Roman" w:cs="Times New Roman"/>
          <w:sz w:val="24"/>
          <w:szCs w:val="24"/>
          <w:highlight w:val="white"/>
        </w:rPr>
        <w:t>Yinhua</w:t>
      </w:r>
      <w:proofErr w:type="spellEnd"/>
      <w:r>
        <w:rPr>
          <w:rFonts w:ascii="Times New Roman" w:eastAsia="Times New Roman" w:hAnsi="Times New Roman" w:cs="Times New Roman"/>
          <w:sz w:val="24"/>
          <w:szCs w:val="24"/>
          <w:highlight w:val="white"/>
        </w:rPr>
        <w:t xml:space="preserve"> Liu, </w:t>
      </w:r>
      <w:proofErr w:type="spellStart"/>
      <w:r>
        <w:rPr>
          <w:rFonts w:ascii="Times New Roman" w:eastAsia="Times New Roman" w:hAnsi="Times New Roman" w:cs="Times New Roman"/>
          <w:sz w:val="24"/>
          <w:szCs w:val="24"/>
          <w:highlight w:val="white"/>
        </w:rPr>
        <w:t>Peifen</w:t>
      </w:r>
      <w:proofErr w:type="spellEnd"/>
      <w:r>
        <w:rPr>
          <w:rFonts w:ascii="Times New Roman" w:eastAsia="Times New Roman" w:hAnsi="Times New Roman" w:cs="Times New Roman"/>
          <w:sz w:val="24"/>
          <w:szCs w:val="24"/>
          <w:highlight w:val="white"/>
        </w:rPr>
        <w:t xml:space="preserve"> Fu, </w:t>
      </w:r>
      <w:proofErr w:type="spellStart"/>
      <w:r>
        <w:rPr>
          <w:rFonts w:ascii="Times New Roman" w:eastAsia="Times New Roman" w:hAnsi="Times New Roman" w:cs="Times New Roman"/>
          <w:sz w:val="24"/>
          <w:szCs w:val="24"/>
          <w:highlight w:val="white"/>
        </w:rPr>
        <w:t>Jiandong</w:t>
      </w:r>
      <w:proofErr w:type="spellEnd"/>
      <w:r>
        <w:rPr>
          <w:rFonts w:ascii="Times New Roman" w:eastAsia="Times New Roman" w:hAnsi="Times New Roman" w:cs="Times New Roman"/>
          <w:sz w:val="24"/>
          <w:szCs w:val="24"/>
          <w:highlight w:val="white"/>
        </w:rPr>
        <w:t xml:space="preserve"> Wang, </w:t>
      </w:r>
      <w:proofErr w:type="spellStart"/>
      <w:r>
        <w:rPr>
          <w:rFonts w:ascii="Times New Roman" w:eastAsia="Times New Roman" w:hAnsi="Times New Roman" w:cs="Times New Roman"/>
          <w:sz w:val="24"/>
          <w:szCs w:val="24"/>
          <w:highlight w:val="white"/>
        </w:rPr>
        <w:t>Hongchuan</w:t>
      </w:r>
      <w:proofErr w:type="spellEnd"/>
      <w:r>
        <w:rPr>
          <w:rFonts w:ascii="Times New Roman" w:eastAsia="Times New Roman" w:hAnsi="Times New Roman" w:cs="Times New Roman"/>
          <w:sz w:val="24"/>
          <w:szCs w:val="24"/>
          <w:highlight w:val="white"/>
        </w:rPr>
        <w:t xml:space="preserve"> Jiang, </w:t>
      </w:r>
      <w:proofErr w:type="spellStart"/>
      <w:r>
        <w:rPr>
          <w:rFonts w:ascii="Times New Roman" w:eastAsia="Times New Roman" w:hAnsi="Times New Roman" w:cs="Times New Roman"/>
          <w:sz w:val="24"/>
          <w:szCs w:val="24"/>
          <w:highlight w:val="white"/>
        </w:rPr>
        <w:t>Zuowei</w:t>
      </w:r>
      <w:proofErr w:type="spellEnd"/>
      <w:r>
        <w:rPr>
          <w:rFonts w:ascii="Times New Roman" w:eastAsia="Times New Roman" w:hAnsi="Times New Roman" w:cs="Times New Roman"/>
          <w:sz w:val="24"/>
          <w:szCs w:val="24"/>
          <w:highlight w:val="white"/>
        </w:rPr>
        <w:t xml:space="preserve"> Zhao, </w:t>
      </w:r>
      <w:proofErr w:type="spellStart"/>
      <w:r>
        <w:rPr>
          <w:rFonts w:ascii="Times New Roman" w:eastAsia="Times New Roman" w:hAnsi="Times New Roman" w:cs="Times New Roman"/>
          <w:sz w:val="24"/>
          <w:szCs w:val="24"/>
          <w:highlight w:val="white"/>
        </w:rPr>
        <w:t>Xingsong</w:t>
      </w:r>
      <w:proofErr w:type="spellEnd"/>
      <w:r>
        <w:rPr>
          <w:rFonts w:ascii="Times New Roman" w:eastAsia="Times New Roman" w:hAnsi="Times New Roman" w:cs="Times New Roman"/>
          <w:sz w:val="24"/>
          <w:szCs w:val="24"/>
          <w:highlight w:val="white"/>
        </w:rPr>
        <w:t xml:space="preserve"> Tian, </w:t>
      </w:r>
      <w:proofErr w:type="spellStart"/>
      <w:r>
        <w:rPr>
          <w:rFonts w:ascii="Times New Roman" w:eastAsia="Times New Roman" w:hAnsi="Times New Roman" w:cs="Times New Roman"/>
          <w:sz w:val="24"/>
          <w:szCs w:val="24"/>
          <w:highlight w:val="white"/>
        </w:rPr>
        <w:t>Zhongwei</w:t>
      </w:r>
      <w:proofErr w:type="spellEnd"/>
      <w:r>
        <w:rPr>
          <w:rFonts w:ascii="Times New Roman" w:eastAsia="Times New Roman" w:hAnsi="Times New Roman" w:cs="Times New Roman"/>
          <w:sz w:val="24"/>
          <w:szCs w:val="24"/>
          <w:highlight w:val="white"/>
        </w:rPr>
        <w:t xml:space="preserve"> Cao, </w:t>
      </w:r>
      <w:proofErr w:type="spellStart"/>
      <w:r>
        <w:rPr>
          <w:rFonts w:ascii="Times New Roman" w:eastAsia="Times New Roman" w:hAnsi="Times New Roman" w:cs="Times New Roman"/>
          <w:sz w:val="24"/>
          <w:szCs w:val="24"/>
          <w:highlight w:val="white"/>
        </w:rPr>
        <w:t>Kejin</w:t>
      </w:r>
      <w:proofErr w:type="spellEnd"/>
      <w:r>
        <w:rPr>
          <w:rFonts w:ascii="Times New Roman" w:eastAsia="Times New Roman" w:hAnsi="Times New Roman" w:cs="Times New Roman"/>
          <w:sz w:val="24"/>
          <w:szCs w:val="24"/>
          <w:highlight w:val="white"/>
        </w:rPr>
        <w:t xml:space="preserve"> Wu, </w:t>
      </w:r>
      <w:proofErr w:type="spellStart"/>
      <w:r>
        <w:rPr>
          <w:rFonts w:ascii="Times New Roman" w:eastAsia="Times New Roman" w:hAnsi="Times New Roman" w:cs="Times New Roman"/>
          <w:sz w:val="24"/>
          <w:szCs w:val="24"/>
          <w:highlight w:val="white"/>
        </w:rPr>
        <w:t>Ailin</w:t>
      </w:r>
      <w:proofErr w:type="spellEnd"/>
      <w:r>
        <w:rPr>
          <w:rFonts w:ascii="Times New Roman" w:eastAsia="Times New Roman" w:hAnsi="Times New Roman" w:cs="Times New Roman"/>
          <w:sz w:val="24"/>
          <w:szCs w:val="24"/>
          <w:highlight w:val="white"/>
        </w:rPr>
        <w:t xml:space="preserve"> Song, Feng </w:t>
      </w:r>
      <w:proofErr w:type="spellStart"/>
      <w:r>
        <w:rPr>
          <w:rFonts w:ascii="Times New Roman" w:eastAsia="Times New Roman" w:hAnsi="Times New Roman" w:cs="Times New Roman"/>
          <w:sz w:val="24"/>
          <w:szCs w:val="24"/>
          <w:highlight w:val="white"/>
        </w:rPr>
        <w:t>Jin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Zhimin</w:t>
      </w:r>
      <w:proofErr w:type="spellEnd"/>
      <w:r>
        <w:rPr>
          <w:rFonts w:ascii="Times New Roman" w:eastAsia="Times New Roman" w:hAnsi="Times New Roman" w:cs="Times New Roman"/>
          <w:sz w:val="24"/>
          <w:szCs w:val="24"/>
          <w:highlight w:val="white"/>
        </w:rPr>
        <w:t xml:space="preserve"> Fan, </w:t>
      </w:r>
      <w:proofErr w:type="spellStart"/>
      <w:r>
        <w:rPr>
          <w:rFonts w:ascii="Times New Roman" w:eastAsia="Times New Roman" w:hAnsi="Times New Roman" w:cs="Times New Roman"/>
          <w:sz w:val="24"/>
          <w:szCs w:val="24"/>
          <w:highlight w:val="white"/>
        </w:rPr>
        <w:t>Zhenzhen</w:t>
      </w:r>
      <w:proofErr w:type="spellEnd"/>
      <w:r>
        <w:rPr>
          <w:rFonts w:ascii="Times New Roman" w:eastAsia="Times New Roman" w:hAnsi="Times New Roman" w:cs="Times New Roman"/>
          <w:sz w:val="24"/>
          <w:szCs w:val="24"/>
          <w:highlight w:val="white"/>
        </w:rPr>
        <w:t xml:space="preserve"> Liu, Axillar</w:t>
      </w:r>
      <w:r>
        <w:rPr>
          <w:rFonts w:ascii="Times New Roman" w:eastAsia="Times New Roman" w:hAnsi="Times New Roman" w:cs="Times New Roman"/>
          <w:sz w:val="24"/>
          <w:szCs w:val="24"/>
          <w:highlight w:val="white"/>
        </w:rPr>
        <w:t>y lymph node dissection in triple-negative or HER2-positive breast cancer patients with clinical N2 achieving pathological complete response after neoadjuvant therapy: Is it necessary?, The Breast, Volume 73, 2024, 103671, ISSN 0960-9776, https://doi.org/1</w:t>
      </w:r>
      <w:r>
        <w:rPr>
          <w:rFonts w:ascii="Times New Roman" w:eastAsia="Times New Roman" w:hAnsi="Times New Roman" w:cs="Times New Roman"/>
          <w:sz w:val="24"/>
          <w:szCs w:val="24"/>
          <w:highlight w:val="white"/>
        </w:rPr>
        <w:t>0.1016/j.breast.2024.103671.</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Radhakrishnan, N., Krishna, J. K., Augustine, P., &amp; </w:t>
      </w:r>
      <w:proofErr w:type="spellStart"/>
      <w:r>
        <w:rPr>
          <w:rFonts w:ascii="Times New Roman" w:eastAsia="Times New Roman" w:hAnsi="Times New Roman" w:cs="Times New Roman"/>
          <w:sz w:val="24"/>
          <w:szCs w:val="24"/>
          <w:highlight w:val="white"/>
        </w:rPr>
        <w:t>Bhargavan</w:t>
      </w:r>
      <w:proofErr w:type="spellEnd"/>
      <w:r>
        <w:rPr>
          <w:rFonts w:ascii="Times New Roman" w:eastAsia="Times New Roman" w:hAnsi="Times New Roman" w:cs="Times New Roman"/>
          <w:sz w:val="24"/>
          <w:szCs w:val="24"/>
          <w:highlight w:val="white"/>
        </w:rPr>
        <w:t xml:space="preserve">, R. (2021). Sentinel node biopsy in post‐neoadjuvant chemotherapy breast cancer patients using preoperative breast tattooing—A novel technique. The Breast Journal, 27(3), 284–286. </w:t>
      </w:r>
      <w:hyperlink r:id="rId12">
        <w:r>
          <w:rPr>
            <w:rFonts w:ascii="Times New Roman" w:eastAsia="Times New Roman" w:hAnsi="Times New Roman" w:cs="Times New Roman"/>
            <w:sz w:val="24"/>
            <w:szCs w:val="24"/>
            <w:highlight w:val="white"/>
            <w:u w:val="single"/>
          </w:rPr>
          <w:t>https://doi.org/10.1111/tbj.14167</w:t>
        </w:r>
      </w:hyperlink>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 N </w:t>
      </w:r>
      <w:proofErr w:type="spellStart"/>
      <w:r>
        <w:rPr>
          <w:rFonts w:ascii="Times New Roman" w:eastAsia="Times New Roman" w:hAnsi="Times New Roman" w:cs="Times New Roman"/>
          <w:sz w:val="24"/>
          <w:szCs w:val="24"/>
          <w:highlight w:val="white"/>
        </w:rPr>
        <w:t>Somashekhar</w:t>
      </w:r>
      <w:proofErr w:type="spellEnd"/>
      <w:r>
        <w:rPr>
          <w:rFonts w:ascii="Times New Roman" w:eastAsia="Times New Roman" w:hAnsi="Times New Roman" w:cs="Times New Roman"/>
          <w:sz w:val="24"/>
          <w:szCs w:val="24"/>
          <w:highlight w:val="white"/>
        </w:rPr>
        <w:t xml:space="preserve">, Abhishek G, Role </w:t>
      </w:r>
      <w:proofErr w:type="gramStart"/>
      <w:r>
        <w:rPr>
          <w:rFonts w:ascii="Times New Roman" w:eastAsia="Times New Roman" w:hAnsi="Times New Roman" w:cs="Times New Roman"/>
          <w:sz w:val="24"/>
          <w:szCs w:val="24"/>
          <w:highlight w:val="white"/>
        </w:rPr>
        <w:t>Of</w:t>
      </w:r>
      <w:proofErr w:type="gramEnd"/>
      <w:r>
        <w:rPr>
          <w:rFonts w:ascii="Times New Roman" w:eastAsia="Times New Roman" w:hAnsi="Times New Roman" w:cs="Times New Roman"/>
          <w:sz w:val="24"/>
          <w:szCs w:val="24"/>
          <w:highlight w:val="white"/>
        </w:rPr>
        <w:t xml:space="preserve"> Sentinel Lymph Node Biopsy In Patients Treated With Neoadjuvant Chemotherapy For Breast Cancer And Its Implications Toward Axillary Dissection – A</w:t>
      </w:r>
      <w:r>
        <w:rPr>
          <w:rFonts w:ascii="Times New Roman" w:eastAsia="Times New Roman" w:hAnsi="Times New Roman" w:cs="Times New Roman"/>
          <w:sz w:val="24"/>
          <w:szCs w:val="24"/>
          <w:highlight w:val="white"/>
        </w:rPr>
        <w:t xml:space="preserve"> Prospective Study, International Journal of Life Sciences, Biotechnology and Pharma Research Vol. 14, No. 2, February 2025, DOI: 10.69605/ijlbpr_14.2.2025.115</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Arjunan</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Ramamani</w:t>
      </w:r>
      <w:proofErr w:type="spellEnd"/>
      <w:r>
        <w:rPr>
          <w:rFonts w:ascii="Times New Roman" w:eastAsia="Times New Roman" w:hAnsi="Times New Roman" w:cs="Times New Roman"/>
          <w:sz w:val="24"/>
          <w:szCs w:val="24"/>
          <w:highlight w:val="white"/>
        </w:rPr>
        <w:t xml:space="preserve"> TA, Ramachandra C, </w:t>
      </w:r>
      <w:proofErr w:type="spellStart"/>
      <w:r>
        <w:rPr>
          <w:rFonts w:ascii="Times New Roman" w:eastAsia="Times New Roman" w:hAnsi="Times New Roman" w:cs="Times New Roman"/>
          <w:sz w:val="24"/>
          <w:szCs w:val="24"/>
          <w:highlight w:val="white"/>
        </w:rPr>
        <w:t>Swamyvelu</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Chunduri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Althaf</w:t>
      </w:r>
      <w:proofErr w:type="spellEnd"/>
      <w:r>
        <w:rPr>
          <w:rFonts w:ascii="Times New Roman" w:eastAsia="Times New Roman" w:hAnsi="Times New Roman" w:cs="Times New Roman"/>
          <w:sz w:val="24"/>
          <w:szCs w:val="24"/>
          <w:highlight w:val="white"/>
        </w:rPr>
        <w:t xml:space="preserve"> S, Usha A, Namrata R. Sen</w:t>
      </w:r>
      <w:r>
        <w:rPr>
          <w:rFonts w:ascii="Times New Roman" w:eastAsia="Times New Roman" w:hAnsi="Times New Roman" w:cs="Times New Roman"/>
          <w:sz w:val="24"/>
          <w:szCs w:val="24"/>
          <w:highlight w:val="white"/>
        </w:rPr>
        <w:t xml:space="preserve">tinel Lymph Node Biopsy in Locally Advanced Breast Cancer After Neoadjuvant Chemotherapy-an Indian Perspective.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2020 Jun;11(2):242-247.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10.1007/s13193-020-01035-4.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Jan 11. PMID: 32523270; PMCID: PMC7260325.</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Shreya, Khush</w:t>
      </w:r>
      <w:r>
        <w:rPr>
          <w:rFonts w:ascii="Times New Roman" w:eastAsia="Times New Roman" w:hAnsi="Times New Roman" w:cs="Times New Roman"/>
          <w:sz w:val="24"/>
          <w:szCs w:val="24"/>
          <w:highlight w:val="white"/>
        </w:rPr>
        <w:t xml:space="preserve">boo Rani, Krishna </w:t>
      </w:r>
      <w:proofErr w:type="spellStart"/>
      <w:r>
        <w:rPr>
          <w:rFonts w:ascii="Times New Roman" w:eastAsia="Times New Roman" w:hAnsi="Times New Roman" w:cs="Times New Roman"/>
          <w:sz w:val="24"/>
          <w:szCs w:val="24"/>
          <w:highlight w:val="white"/>
        </w:rPr>
        <w:t>Murari</w:t>
      </w:r>
      <w:proofErr w:type="spellEnd"/>
      <w:r>
        <w:rPr>
          <w:rFonts w:ascii="Times New Roman" w:eastAsia="Times New Roman" w:hAnsi="Times New Roman" w:cs="Times New Roman"/>
          <w:sz w:val="24"/>
          <w:szCs w:val="24"/>
          <w:highlight w:val="white"/>
        </w:rPr>
        <w:t xml:space="preserve">, Zenith Harsh </w:t>
      </w:r>
      <w:proofErr w:type="spellStart"/>
      <w:r>
        <w:rPr>
          <w:rFonts w:ascii="Times New Roman" w:eastAsia="Times New Roman" w:hAnsi="Times New Roman" w:cs="Times New Roman"/>
          <w:sz w:val="24"/>
          <w:szCs w:val="24"/>
          <w:highlight w:val="white"/>
        </w:rPr>
        <w:t>Kerketta</w:t>
      </w:r>
      <w:proofErr w:type="spellEnd"/>
      <w:r>
        <w:rPr>
          <w:rFonts w:ascii="Times New Roman" w:eastAsia="Times New Roman" w:hAnsi="Times New Roman" w:cs="Times New Roman"/>
          <w:sz w:val="24"/>
          <w:szCs w:val="24"/>
          <w:highlight w:val="white"/>
        </w:rPr>
        <w:t xml:space="preserve">, Venkatesh N, Ankita Mandal, </w:t>
      </w:r>
      <w:proofErr w:type="spellStart"/>
      <w:r>
        <w:rPr>
          <w:rFonts w:ascii="Times New Roman" w:eastAsia="Times New Roman" w:hAnsi="Times New Roman" w:cs="Times New Roman"/>
          <w:sz w:val="24"/>
          <w:szCs w:val="24"/>
          <w:highlight w:val="white"/>
        </w:rPr>
        <w:t>Neyaz</w:t>
      </w:r>
      <w:proofErr w:type="spellEnd"/>
      <w:r>
        <w:rPr>
          <w:rFonts w:ascii="Times New Roman" w:eastAsia="Times New Roman" w:hAnsi="Times New Roman" w:cs="Times New Roman"/>
          <w:sz w:val="24"/>
          <w:szCs w:val="24"/>
          <w:highlight w:val="white"/>
        </w:rPr>
        <w:t xml:space="preserve"> Ahmad, Rahul Rai, </w:t>
      </w:r>
      <w:proofErr w:type="spellStart"/>
      <w:r>
        <w:rPr>
          <w:rFonts w:ascii="Times New Roman" w:eastAsia="Times New Roman" w:hAnsi="Times New Roman" w:cs="Times New Roman"/>
          <w:sz w:val="24"/>
          <w:szCs w:val="24"/>
          <w:highlight w:val="white"/>
        </w:rPr>
        <w:t>Balamurali</w:t>
      </w:r>
      <w:proofErr w:type="spellEnd"/>
      <w:r>
        <w:rPr>
          <w:rFonts w:ascii="Times New Roman" w:eastAsia="Times New Roman" w:hAnsi="Times New Roman" w:cs="Times New Roman"/>
          <w:sz w:val="24"/>
          <w:szCs w:val="24"/>
          <w:highlight w:val="white"/>
        </w:rPr>
        <w:t xml:space="preserve"> B, ACCURACY OF SENTINEL LYMPH NODE BIOPSY AFTER NEOADJUVANT CHEMOTHERAPY IN LOCALLY ADVANCED BREAST CANCER: A PROSPECTIVE STUDY EVALUATING CLINI</w:t>
      </w:r>
      <w:r>
        <w:rPr>
          <w:rFonts w:ascii="Times New Roman" w:eastAsia="Times New Roman" w:hAnsi="Times New Roman" w:cs="Times New Roman"/>
          <w:sz w:val="24"/>
          <w:szCs w:val="24"/>
          <w:highlight w:val="white"/>
        </w:rPr>
        <w:t xml:space="preserve">CAL, RADIOLOGICAL, AND PATHOLOGICAL </w:t>
      </w:r>
      <w:r>
        <w:rPr>
          <w:rFonts w:ascii="Times New Roman" w:eastAsia="Times New Roman" w:hAnsi="Times New Roman" w:cs="Times New Roman"/>
          <w:sz w:val="24"/>
          <w:szCs w:val="24"/>
          <w:highlight w:val="white"/>
        </w:rPr>
        <w:lastRenderedPageBreak/>
        <w:t xml:space="preserve">CORRELATION, Int J </w:t>
      </w:r>
      <w:proofErr w:type="spellStart"/>
      <w:r>
        <w:rPr>
          <w:rFonts w:ascii="Times New Roman" w:eastAsia="Times New Roman" w:hAnsi="Times New Roman" w:cs="Times New Roman"/>
          <w:sz w:val="24"/>
          <w:szCs w:val="24"/>
          <w:highlight w:val="white"/>
        </w:rPr>
        <w:t>Acad</w:t>
      </w:r>
      <w:proofErr w:type="spellEnd"/>
      <w:r>
        <w:rPr>
          <w:rFonts w:ascii="Times New Roman" w:eastAsia="Times New Roman" w:hAnsi="Times New Roman" w:cs="Times New Roman"/>
          <w:sz w:val="24"/>
          <w:szCs w:val="24"/>
          <w:highlight w:val="white"/>
        </w:rPr>
        <w:t xml:space="preserve"> Med Pharm 2025; 7 (4); 711-714, DOI: 10.47009/jamp.2025.7.4.133</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Alors</w:t>
      </w:r>
      <w:proofErr w:type="spellEnd"/>
      <w:r>
        <w:rPr>
          <w:rFonts w:ascii="Times New Roman" w:eastAsia="Times New Roman" w:hAnsi="Times New Roman" w:cs="Times New Roman"/>
          <w:sz w:val="24"/>
          <w:szCs w:val="24"/>
          <w:highlight w:val="white"/>
        </w:rPr>
        <w:t>-Ruiz J, Sanz-</w:t>
      </w:r>
      <w:proofErr w:type="spellStart"/>
      <w:r>
        <w:rPr>
          <w:rFonts w:ascii="Times New Roman" w:eastAsia="Times New Roman" w:hAnsi="Times New Roman" w:cs="Times New Roman"/>
          <w:sz w:val="24"/>
          <w:szCs w:val="24"/>
          <w:highlight w:val="white"/>
        </w:rPr>
        <w:t>Viedma</w:t>
      </w:r>
      <w:proofErr w:type="spellEnd"/>
      <w:r>
        <w:rPr>
          <w:rFonts w:ascii="Times New Roman" w:eastAsia="Times New Roman" w:hAnsi="Times New Roman" w:cs="Times New Roman"/>
          <w:sz w:val="24"/>
          <w:szCs w:val="24"/>
          <w:highlight w:val="white"/>
        </w:rPr>
        <w:t xml:space="preserve"> S, Fernández-Garcia FJ, </w:t>
      </w:r>
      <w:proofErr w:type="spellStart"/>
      <w:r>
        <w:rPr>
          <w:rFonts w:ascii="Times New Roman" w:eastAsia="Times New Roman" w:hAnsi="Times New Roman" w:cs="Times New Roman"/>
          <w:sz w:val="24"/>
          <w:szCs w:val="24"/>
          <w:highlight w:val="white"/>
        </w:rPr>
        <w:t>Sendra-Portero</w:t>
      </w:r>
      <w:proofErr w:type="spellEnd"/>
      <w:r>
        <w:rPr>
          <w:rFonts w:ascii="Times New Roman" w:eastAsia="Times New Roman" w:hAnsi="Times New Roman" w:cs="Times New Roman"/>
          <w:sz w:val="24"/>
          <w:szCs w:val="24"/>
          <w:highlight w:val="white"/>
        </w:rPr>
        <w:t xml:space="preserve"> F. Sentinel Lymph Node Biopsy After Neoadjuvant Chemotherapy in cN0 Breast Cancer: Impact of HER2-Positive Status on Survival. Eur J Breast Health. 2024 Apr 1;20(2):94-101.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10.4274/ejbh.</w:t>
      </w:r>
      <w:r>
        <w:rPr>
          <w:rFonts w:ascii="Times New Roman" w:eastAsia="Times New Roman" w:hAnsi="Times New Roman" w:cs="Times New Roman"/>
          <w:sz w:val="24"/>
          <w:szCs w:val="24"/>
          <w:highlight w:val="white"/>
        </w:rPr>
        <w:t>galenos.2024.2023-11-3. PMID: 38571688; PMCID: PMC10985574.</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Sulthana</w:t>
      </w:r>
      <w:proofErr w:type="spellEnd"/>
      <w:r>
        <w:rPr>
          <w:rFonts w:ascii="Times New Roman" w:eastAsia="Times New Roman" w:hAnsi="Times New Roman" w:cs="Times New Roman"/>
          <w:sz w:val="24"/>
          <w:szCs w:val="24"/>
          <w:highlight w:val="white"/>
        </w:rPr>
        <w:t xml:space="preserve"> R, Singh A. Is Sentinel Lymph Node Biopsy a Viable Alternative to Axillary Lymph Node Dissection in Breast Carcinoma Patients Who Have Received Neo-Adjuvant Chemotherapy? </w:t>
      </w:r>
      <w:proofErr w:type="spellStart"/>
      <w:r>
        <w:rPr>
          <w:rFonts w:ascii="Times New Roman" w:eastAsia="Times New Roman" w:hAnsi="Times New Roman" w:cs="Times New Roman"/>
          <w:sz w:val="24"/>
          <w:szCs w:val="24"/>
          <w:highlight w:val="white"/>
        </w:rPr>
        <w:t>Cureus</w:t>
      </w:r>
      <w:proofErr w:type="spellEnd"/>
      <w:r>
        <w:rPr>
          <w:rFonts w:ascii="Times New Roman" w:eastAsia="Times New Roman" w:hAnsi="Times New Roman" w:cs="Times New Roman"/>
          <w:sz w:val="24"/>
          <w:szCs w:val="24"/>
          <w:highlight w:val="white"/>
        </w:rPr>
        <w:t>. 2024 Jan</w:t>
      </w:r>
      <w:r>
        <w:rPr>
          <w:rFonts w:ascii="Times New Roman" w:eastAsia="Times New Roman" w:hAnsi="Times New Roman" w:cs="Times New Roman"/>
          <w:sz w:val="24"/>
          <w:szCs w:val="24"/>
          <w:highlight w:val="white"/>
        </w:rPr>
        <w:t xml:space="preserve"> 21;16(1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52698.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10.7759/cureus.52698. PMID: 38384601; PMCID: PMC10879841.</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Bhargavan</w:t>
      </w:r>
      <w:proofErr w:type="spellEnd"/>
      <w:r>
        <w:rPr>
          <w:rFonts w:ascii="Times New Roman" w:eastAsia="Times New Roman" w:hAnsi="Times New Roman" w:cs="Times New Roman"/>
          <w:sz w:val="24"/>
          <w:szCs w:val="24"/>
          <w:highlight w:val="white"/>
        </w:rPr>
        <w:t xml:space="preserve"> R, Augustine P, Cherian K, Krishna JKM, Radhakrishnan N. Sentinel Node Biopsy in Post-neoadjuvant Chemotherapy Breast Cancer Patients Using Pre-</w:t>
      </w:r>
      <w:proofErr w:type="gramStart"/>
      <w:r>
        <w:rPr>
          <w:rFonts w:ascii="Times New Roman" w:eastAsia="Times New Roman" w:hAnsi="Times New Roman" w:cs="Times New Roman"/>
          <w:sz w:val="24"/>
          <w:szCs w:val="24"/>
          <w:highlight w:val="white"/>
        </w:rPr>
        <w:t>chemotherapy</w:t>
      </w:r>
      <w:proofErr w:type="gramEnd"/>
      <w:r>
        <w:rPr>
          <w:rFonts w:ascii="Times New Roman" w:eastAsia="Times New Roman" w:hAnsi="Times New Roman" w:cs="Times New Roman"/>
          <w:sz w:val="24"/>
          <w:szCs w:val="24"/>
          <w:highlight w:val="white"/>
        </w:rPr>
        <w:t xml:space="preserve"> Breast T</w:t>
      </w:r>
      <w:r>
        <w:rPr>
          <w:rFonts w:ascii="Times New Roman" w:eastAsia="Times New Roman" w:hAnsi="Times New Roman" w:cs="Times New Roman"/>
          <w:sz w:val="24"/>
          <w:szCs w:val="24"/>
          <w:highlight w:val="white"/>
        </w:rPr>
        <w:t xml:space="preserve">attooing. Indian J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Oncol. 2024 Dec;15(4):857-863.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10.1007/s13193-024-01986-y.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Jul 1. PMID: 39555364; PMCID: PMC11564484.</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Zahwe</w:t>
      </w:r>
      <w:proofErr w:type="spellEnd"/>
      <w:r>
        <w:rPr>
          <w:rFonts w:ascii="Times New Roman" w:eastAsia="Times New Roman" w:hAnsi="Times New Roman" w:cs="Times New Roman"/>
          <w:sz w:val="24"/>
          <w:szCs w:val="24"/>
          <w:highlight w:val="white"/>
        </w:rPr>
        <w:t xml:space="preserve"> M, El </w:t>
      </w:r>
      <w:proofErr w:type="spellStart"/>
      <w:r>
        <w:rPr>
          <w:rFonts w:ascii="Times New Roman" w:eastAsia="Times New Roman" w:hAnsi="Times New Roman" w:cs="Times New Roman"/>
          <w:sz w:val="24"/>
          <w:szCs w:val="24"/>
          <w:highlight w:val="white"/>
        </w:rPr>
        <w:t>Sammak</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Ataya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Jabbour</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Bsat</w:t>
      </w:r>
      <w:proofErr w:type="spellEnd"/>
      <w:r>
        <w:rPr>
          <w:rFonts w:ascii="Times New Roman" w:eastAsia="Times New Roman" w:hAnsi="Times New Roman" w:cs="Times New Roman"/>
          <w:sz w:val="24"/>
          <w:szCs w:val="24"/>
          <w:highlight w:val="white"/>
        </w:rPr>
        <w:t xml:space="preserve"> A, Hafez B, </w:t>
      </w:r>
      <w:proofErr w:type="spellStart"/>
      <w:r>
        <w:rPr>
          <w:rFonts w:ascii="Times New Roman" w:eastAsia="Times New Roman" w:hAnsi="Times New Roman" w:cs="Times New Roman"/>
          <w:sz w:val="24"/>
          <w:szCs w:val="24"/>
          <w:highlight w:val="white"/>
        </w:rPr>
        <w:t>Atallah</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Kheil</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Maktabi</w:t>
      </w:r>
      <w:proofErr w:type="spellEnd"/>
      <w:r>
        <w:rPr>
          <w:rFonts w:ascii="Times New Roman" w:eastAsia="Times New Roman" w:hAnsi="Times New Roman" w:cs="Times New Roman"/>
          <w:sz w:val="24"/>
          <w:szCs w:val="24"/>
          <w:highlight w:val="white"/>
        </w:rPr>
        <w:t xml:space="preserve"> MA, Hassan B, </w:t>
      </w:r>
      <w:proofErr w:type="spellStart"/>
      <w:r>
        <w:rPr>
          <w:rFonts w:ascii="Times New Roman" w:eastAsia="Times New Roman" w:hAnsi="Times New Roman" w:cs="Times New Roman"/>
          <w:sz w:val="24"/>
          <w:szCs w:val="24"/>
          <w:highlight w:val="white"/>
        </w:rPr>
        <w:t>Panossian</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A</w:t>
      </w:r>
      <w:r>
        <w:rPr>
          <w:rFonts w:ascii="Times New Roman" w:eastAsia="Times New Roman" w:hAnsi="Times New Roman" w:cs="Times New Roman"/>
          <w:sz w:val="24"/>
          <w:szCs w:val="24"/>
          <w:highlight w:val="white"/>
        </w:rPr>
        <w:t>ssi</w:t>
      </w:r>
      <w:proofErr w:type="spellEnd"/>
      <w:r>
        <w:rPr>
          <w:rFonts w:ascii="Times New Roman" w:eastAsia="Times New Roman" w:hAnsi="Times New Roman" w:cs="Times New Roman"/>
          <w:sz w:val="24"/>
          <w:szCs w:val="24"/>
          <w:highlight w:val="white"/>
        </w:rPr>
        <w:t xml:space="preserve"> H, Abbas J, </w:t>
      </w:r>
      <w:proofErr w:type="spellStart"/>
      <w:r>
        <w:rPr>
          <w:rFonts w:ascii="Times New Roman" w:eastAsia="Times New Roman" w:hAnsi="Times New Roman" w:cs="Times New Roman"/>
          <w:sz w:val="24"/>
          <w:szCs w:val="24"/>
          <w:highlight w:val="white"/>
        </w:rPr>
        <w:t>Sbaity</w:t>
      </w:r>
      <w:proofErr w:type="spellEnd"/>
      <w:r>
        <w:rPr>
          <w:rFonts w:ascii="Times New Roman" w:eastAsia="Times New Roman" w:hAnsi="Times New Roman" w:cs="Times New Roman"/>
          <w:sz w:val="24"/>
          <w:szCs w:val="24"/>
          <w:highlight w:val="white"/>
        </w:rPr>
        <w:t xml:space="preserve"> E. Performance and oncologic safety of sentinel lymph node biopsy after neoadjuvant chemotherapy: Results from a tertiary care </w:t>
      </w:r>
      <w:proofErr w:type="spellStart"/>
      <w:r>
        <w:rPr>
          <w:rFonts w:ascii="Times New Roman" w:eastAsia="Times New Roman" w:hAnsi="Times New Roman" w:cs="Times New Roman"/>
          <w:sz w:val="24"/>
          <w:szCs w:val="24"/>
          <w:highlight w:val="white"/>
        </w:rPr>
        <w:t>center</w:t>
      </w:r>
      <w:proofErr w:type="spellEnd"/>
      <w:r>
        <w:rPr>
          <w:rFonts w:ascii="Times New Roman" w:eastAsia="Times New Roman" w:hAnsi="Times New Roman" w:cs="Times New Roman"/>
          <w:sz w:val="24"/>
          <w:szCs w:val="24"/>
          <w:highlight w:val="white"/>
        </w:rPr>
        <w:t xml:space="preserve"> in Lebanon. Cancer Med. 2024 Jan;13(1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6868.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10.1002/cam4.6868.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Dec 22. PMID: 38133</w:t>
      </w:r>
      <w:r>
        <w:rPr>
          <w:rFonts w:ascii="Times New Roman" w:eastAsia="Times New Roman" w:hAnsi="Times New Roman" w:cs="Times New Roman"/>
          <w:sz w:val="24"/>
          <w:szCs w:val="24"/>
          <w:highlight w:val="white"/>
        </w:rPr>
        <w:t>150; PMCID: PMC10807658.</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Tinterri</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Sagona</w:t>
      </w:r>
      <w:proofErr w:type="spellEnd"/>
      <w:r>
        <w:rPr>
          <w:rFonts w:ascii="Times New Roman" w:eastAsia="Times New Roman" w:hAnsi="Times New Roman" w:cs="Times New Roman"/>
          <w:sz w:val="24"/>
          <w:szCs w:val="24"/>
          <w:highlight w:val="white"/>
        </w:rPr>
        <w:t xml:space="preserve"> A, Barbieri E, Di Maria Grimaldi S, </w:t>
      </w:r>
      <w:proofErr w:type="spellStart"/>
      <w:r>
        <w:rPr>
          <w:rFonts w:ascii="Times New Roman" w:eastAsia="Times New Roman" w:hAnsi="Times New Roman" w:cs="Times New Roman"/>
          <w:sz w:val="24"/>
          <w:szCs w:val="24"/>
          <w:highlight w:val="white"/>
        </w:rPr>
        <w:t>Caraceni</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Ambrogi</w:t>
      </w:r>
      <w:proofErr w:type="spellEnd"/>
      <w:r>
        <w:rPr>
          <w:rFonts w:ascii="Times New Roman" w:eastAsia="Times New Roman" w:hAnsi="Times New Roman" w:cs="Times New Roman"/>
          <w:sz w:val="24"/>
          <w:szCs w:val="24"/>
          <w:highlight w:val="white"/>
        </w:rPr>
        <w:t xml:space="preserve"> G, Jacobs F, Biondi E, </w:t>
      </w:r>
      <w:proofErr w:type="spellStart"/>
      <w:r>
        <w:rPr>
          <w:rFonts w:ascii="Times New Roman" w:eastAsia="Times New Roman" w:hAnsi="Times New Roman" w:cs="Times New Roman"/>
          <w:sz w:val="24"/>
          <w:szCs w:val="24"/>
          <w:highlight w:val="white"/>
        </w:rPr>
        <w:t>Scardina</w:t>
      </w:r>
      <w:proofErr w:type="spellEnd"/>
      <w:r>
        <w:rPr>
          <w:rFonts w:ascii="Times New Roman" w:eastAsia="Times New Roman" w:hAnsi="Times New Roman" w:cs="Times New Roman"/>
          <w:sz w:val="24"/>
          <w:szCs w:val="24"/>
          <w:highlight w:val="white"/>
        </w:rPr>
        <w:t xml:space="preserve"> L, Gentile D. Sentinel Lymph Node Biopsy in Breast Cancer Patients Undergoing Neo-Adjuvant Chemotherapy: Clinical Experience</w:t>
      </w:r>
      <w:r>
        <w:rPr>
          <w:rFonts w:ascii="Times New Roman" w:eastAsia="Times New Roman" w:hAnsi="Times New Roman" w:cs="Times New Roman"/>
          <w:sz w:val="24"/>
          <w:szCs w:val="24"/>
          <w:highlight w:val="white"/>
        </w:rPr>
        <w:t xml:space="preserve"> with Node-Negative and Node-Positive Disease Prior to Systemic Therapy. Cancers (Basel). 2023 Mar 11;15(6):1719.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10.3390/cancers15061719. PMID: 36980605; PMCID: PMC10046076.</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Sanchez AM, </w:t>
      </w:r>
      <w:proofErr w:type="spellStart"/>
      <w:r>
        <w:rPr>
          <w:rFonts w:ascii="Times New Roman" w:eastAsia="Times New Roman" w:hAnsi="Times New Roman" w:cs="Times New Roman"/>
          <w:sz w:val="24"/>
          <w:szCs w:val="24"/>
          <w:highlight w:val="white"/>
        </w:rPr>
        <w:t>Terribile</w:t>
      </w:r>
      <w:proofErr w:type="spellEnd"/>
      <w:r>
        <w:rPr>
          <w:rFonts w:ascii="Times New Roman" w:eastAsia="Times New Roman" w:hAnsi="Times New Roman" w:cs="Times New Roman"/>
          <w:sz w:val="24"/>
          <w:szCs w:val="24"/>
          <w:highlight w:val="white"/>
        </w:rPr>
        <w:t xml:space="preserve"> D, Franco A, </w:t>
      </w:r>
      <w:proofErr w:type="spellStart"/>
      <w:r>
        <w:rPr>
          <w:rFonts w:ascii="Times New Roman" w:eastAsia="Times New Roman" w:hAnsi="Times New Roman" w:cs="Times New Roman"/>
          <w:sz w:val="24"/>
          <w:szCs w:val="24"/>
          <w:highlight w:val="white"/>
        </w:rPr>
        <w:t>Martullo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Orlandi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Magno</w:t>
      </w:r>
      <w:proofErr w:type="spellEnd"/>
      <w:r>
        <w:rPr>
          <w:rFonts w:ascii="Times New Roman" w:eastAsia="Times New Roman" w:hAnsi="Times New Roman" w:cs="Times New Roman"/>
          <w:sz w:val="24"/>
          <w:szCs w:val="24"/>
          <w:highlight w:val="white"/>
        </w:rPr>
        <w:t xml:space="preserve"> S, Di Leone </w:t>
      </w:r>
      <w:r>
        <w:rPr>
          <w:rFonts w:ascii="Times New Roman" w:eastAsia="Times New Roman" w:hAnsi="Times New Roman" w:cs="Times New Roman"/>
          <w:sz w:val="24"/>
          <w:szCs w:val="24"/>
          <w:highlight w:val="white"/>
        </w:rPr>
        <w:t xml:space="preserve">A, </w:t>
      </w:r>
      <w:proofErr w:type="spellStart"/>
      <w:r>
        <w:rPr>
          <w:rFonts w:ascii="Times New Roman" w:eastAsia="Times New Roman" w:hAnsi="Times New Roman" w:cs="Times New Roman"/>
          <w:sz w:val="24"/>
          <w:szCs w:val="24"/>
          <w:highlight w:val="white"/>
        </w:rPr>
        <w:t>Moschella</w:t>
      </w:r>
      <w:proofErr w:type="spellEnd"/>
      <w:r>
        <w:rPr>
          <w:rFonts w:ascii="Times New Roman" w:eastAsia="Times New Roman" w:hAnsi="Times New Roman" w:cs="Times New Roman"/>
          <w:sz w:val="24"/>
          <w:szCs w:val="24"/>
          <w:highlight w:val="white"/>
        </w:rPr>
        <w:t xml:space="preserve"> F, Natale M, </w:t>
      </w:r>
      <w:proofErr w:type="spellStart"/>
      <w:r>
        <w:rPr>
          <w:rFonts w:ascii="Times New Roman" w:eastAsia="Times New Roman" w:hAnsi="Times New Roman" w:cs="Times New Roman"/>
          <w:sz w:val="24"/>
          <w:szCs w:val="24"/>
          <w:highlight w:val="white"/>
        </w:rPr>
        <w:t>D'Archi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Scardina</w:t>
      </w:r>
      <w:proofErr w:type="spellEnd"/>
      <w:r>
        <w:rPr>
          <w:rFonts w:ascii="Times New Roman" w:eastAsia="Times New Roman" w:hAnsi="Times New Roman" w:cs="Times New Roman"/>
          <w:sz w:val="24"/>
          <w:szCs w:val="24"/>
          <w:highlight w:val="white"/>
        </w:rPr>
        <w:t xml:space="preserve"> L, Mason EJ, De </w:t>
      </w:r>
      <w:proofErr w:type="spellStart"/>
      <w:r>
        <w:rPr>
          <w:rFonts w:ascii="Times New Roman" w:eastAsia="Times New Roman" w:hAnsi="Times New Roman" w:cs="Times New Roman"/>
          <w:sz w:val="24"/>
          <w:szCs w:val="24"/>
          <w:highlight w:val="white"/>
        </w:rPr>
        <w:t>Lauretis</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Marazzi</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Masetti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Franceschini</w:t>
      </w:r>
      <w:proofErr w:type="spellEnd"/>
      <w:r>
        <w:rPr>
          <w:rFonts w:ascii="Times New Roman" w:eastAsia="Times New Roman" w:hAnsi="Times New Roman" w:cs="Times New Roman"/>
          <w:sz w:val="24"/>
          <w:szCs w:val="24"/>
          <w:highlight w:val="white"/>
        </w:rPr>
        <w:t xml:space="preserve"> G. Sentinel Node Biopsy after Neoadjuvant Chemotherapy for Breast Cancer: Preliminary Experience with Clinically Node Negative Patients after Syste</w:t>
      </w:r>
      <w:r>
        <w:rPr>
          <w:rFonts w:ascii="Times New Roman" w:eastAsia="Times New Roman" w:hAnsi="Times New Roman" w:cs="Times New Roman"/>
          <w:sz w:val="24"/>
          <w:szCs w:val="24"/>
          <w:highlight w:val="white"/>
        </w:rPr>
        <w:t xml:space="preserve">mic Treatment. J </w:t>
      </w:r>
      <w:proofErr w:type="spellStart"/>
      <w:r>
        <w:rPr>
          <w:rFonts w:ascii="Times New Roman" w:eastAsia="Times New Roman" w:hAnsi="Times New Roman" w:cs="Times New Roman"/>
          <w:sz w:val="24"/>
          <w:szCs w:val="24"/>
          <w:highlight w:val="white"/>
        </w:rPr>
        <w:t>Pers</w:t>
      </w:r>
      <w:proofErr w:type="spellEnd"/>
      <w:r>
        <w:rPr>
          <w:rFonts w:ascii="Times New Roman" w:eastAsia="Times New Roman" w:hAnsi="Times New Roman" w:cs="Times New Roman"/>
          <w:sz w:val="24"/>
          <w:szCs w:val="24"/>
          <w:highlight w:val="white"/>
        </w:rPr>
        <w:t xml:space="preserve"> Med. 2021 Mar 2;11(3):172.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10.3390/jpm11030172. PMID: 33801435; PMCID: PMC7998155.</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Ergenç</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Akmercan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Şen</w:t>
      </w:r>
      <w:proofErr w:type="spellEnd"/>
      <w:r>
        <w:rPr>
          <w:rFonts w:ascii="Times New Roman" w:eastAsia="Times New Roman" w:hAnsi="Times New Roman" w:cs="Times New Roman"/>
          <w:sz w:val="24"/>
          <w:szCs w:val="24"/>
          <w:highlight w:val="white"/>
        </w:rPr>
        <w:t xml:space="preserve">, L.S. </w:t>
      </w:r>
      <w:r>
        <w:rPr>
          <w:rFonts w:ascii="Times New Roman" w:eastAsia="Times New Roman" w:hAnsi="Times New Roman" w:cs="Times New Roman"/>
          <w:i/>
          <w:iCs/>
          <w:sz w:val="24"/>
          <w:szCs w:val="24"/>
          <w:highlight w:val="white"/>
        </w:rPr>
        <w:t>et al.</w:t>
      </w:r>
      <w:r>
        <w:rPr>
          <w:rFonts w:ascii="Times New Roman" w:eastAsia="Times New Roman" w:hAnsi="Times New Roman" w:cs="Times New Roman"/>
          <w:sz w:val="24"/>
          <w:szCs w:val="24"/>
          <w:highlight w:val="white"/>
        </w:rPr>
        <w:t xml:space="preserve"> Sentinel lymph node biopsy with blue dye after neoadjuvant chemotherapy in initially node negative and </w:t>
      </w:r>
      <w:r>
        <w:rPr>
          <w:rFonts w:ascii="Times New Roman" w:eastAsia="Times New Roman" w:hAnsi="Times New Roman" w:cs="Times New Roman"/>
          <w:sz w:val="24"/>
          <w:szCs w:val="24"/>
          <w:highlight w:val="white"/>
        </w:rPr>
        <w:t xml:space="preserve">positive breast cancer. </w:t>
      </w:r>
      <w:r>
        <w:rPr>
          <w:rFonts w:ascii="Times New Roman" w:eastAsia="Times New Roman" w:hAnsi="Times New Roman" w:cs="Times New Roman"/>
          <w:i/>
          <w:iCs/>
          <w:sz w:val="24"/>
          <w:szCs w:val="24"/>
          <w:highlight w:val="white"/>
        </w:rPr>
        <w:t xml:space="preserve">World J </w:t>
      </w:r>
      <w:proofErr w:type="spellStart"/>
      <w:r>
        <w:rPr>
          <w:rFonts w:ascii="Times New Roman" w:eastAsia="Times New Roman" w:hAnsi="Times New Roman" w:cs="Times New Roman"/>
          <w:i/>
          <w:iCs/>
          <w:sz w:val="24"/>
          <w:szCs w:val="24"/>
          <w:highlight w:val="white"/>
        </w:rPr>
        <w:t>Surg</w:t>
      </w:r>
      <w:proofErr w:type="spellEnd"/>
      <w:r>
        <w:rPr>
          <w:rFonts w:ascii="Times New Roman" w:eastAsia="Times New Roman" w:hAnsi="Times New Roman" w:cs="Times New Roman"/>
          <w:i/>
          <w:iCs/>
          <w:sz w:val="24"/>
          <w:szCs w:val="24"/>
          <w:highlight w:val="white"/>
        </w:rPr>
        <w:t xml:space="preserve"> </w:t>
      </w:r>
      <w:proofErr w:type="spellStart"/>
      <w:r>
        <w:rPr>
          <w:rFonts w:ascii="Times New Roman" w:eastAsia="Times New Roman" w:hAnsi="Times New Roman" w:cs="Times New Roman"/>
          <w:i/>
          <w:iCs/>
          <w:sz w:val="24"/>
          <w:szCs w:val="24"/>
          <w:highlight w:val="white"/>
        </w:rPr>
        <w:t>Onc</w:t>
      </w:r>
      <w:proofErr w:type="spellEnd"/>
      <w:r>
        <w:rPr>
          <w:rFonts w:ascii="Times New Roman" w:eastAsia="Times New Roman" w:hAnsi="Times New Roman" w:cs="Times New Roman"/>
          <w:sz w:val="24"/>
          <w:szCs w:val="24"/>
          <w:highlight w:val="white"/>
        </w:rPr>
        <w:t xml:space="preserve"> 23, 422 (2025). </w:t>
      </w:r>
      <w:hyperlink r:id="rId13">
        <w:r>
          <w:rPr>
            <w:rFonts w:ascii="Times New Roman" w:eastAsia="Times New Roman" w:hAnsi="Times New Roman" w:cs="Times New Roman"/>
            <w:sz w:val="24"/>
            <w:szCs w:val="24"/>
            <w:highlight w:val="white"/>
            <w:u w:val="single"/>
          </w:rPr>
          <w:t>https://doi.org/10.1186/s12957-025-04082-9</w:t>
        </w:r>
      </w:hyperlink>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Zahwe</w:t>
      </w:r>
      <w:proofErr w:type="spellEnd"/>
      <w:r>
        <w:rPr>
          <w:rFonts w:ascii="Times New Roman" w:eastAsia="Times New Roman" w:hAnsi="Times New Roman" w:cs="Times New Roman"/>
          <w:sz w:val="24"/>
          <w:szCs w:val="24"/>
          <w:highlight w:val="white"/>
        </w:rPr>
        <w:t xml:space="preserve">, Mariam PharmD, </w:t>
      </w:r>
      <w:proofErr w:type="spellStart"/>
      <w:r>
        <w:rPr>
          <w:rFonts w:ascii="Times New Roman" w:eastAsia="Times New Roman" w:hAnsi="Times New Roman" w:cs="Times New Roman"/>
          <w:sz w:val="24"/>
          <w:szCs w:val="24"/>
          <w:highlight w:val="white"/>
        </w:rPr>
        <w:t>PhDa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Ghzaiel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Abir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BSa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Najia</w:t>
      </w:r>
      <w:proofErr w:type="spellEnd"/>
      <w:r>
        <w:rPr>
          <w:rFonts w:ascii="Times New Roman" w:eastAsia="Times New Roman" w:hAnsi="Times New Roman" w:cs="Times New Roman"/>
          <w:sz w:val="24"/>
          <w:szCs w:val="24"/>
          <w:highlight w:val="white"/>
        </w:rPr>
        <w:t xml:space="preserve">, Ahmad BS, </w:t>
      </w:r>
      <w:proofErr w:type="spellStart"/>
      <w:r>
        <w:rPr>
          <w:rFonts w:ascii="Times New Roman" w:eastAsia="Times New Roman" w:hAnsi="Times New Roman" w:cs="Times New Roman"/>
          <w:sz w:val="24"/>
          <w:szCs w:val="24"/>
          <w:highlight w:val="white"/>
        </w:rPr>
        <w:t>MPHa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Soueid</w:t>
      </w:r>
      <w:proofErr w:type="spellEnd"/>
      <w:r>
        <w:rPr>
          <w:rFonts w:ascii="Times New Roman" w:eastAsia="Times New Roman" w:hAnsi="Times New Roman" w:cs="Times New Roman"/>
          <w:sz w:val="24"/>
          <w:szCs w:val="24"/>
          <w:highlight w:val="white"/>
        </w:rPr>
        <w:t xml:space="preserve">, Lara </w:t>
      </w:r>
      <w:proofErr w:type="spellStart"/>
      <w:r>
        <w:rPr>
          <w:rFonts w:ascii="Times New Roman" w:eastAsia="Times New Roman" w:hAnsi="Times New Roman" w:cs="Times New Roman"/>
          <w:sz w:val="24"/>
          <w:szCs w:val="24"/>
          <w:highlight w:val="white"/>
        </w:rPr>
        <w:t>BSa</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Asm</w:t>
      </w:r>
      <w:r>
        <w:rPr>
          <w:rFonts w:ascii="Times New Roman" w:eastAsia="Times New Roman" w:hAnsi="Times New Roman" w:cs="Times New Roman"/>
          <w:sz w:val="24"/>
          <w:szCs w:val="24"/>
          <w:highlight w:val="white"/>
        </w:rPr>
        <w:t>ar</w:t>
      </w:r>
      <w:proofErr w:type="spellEnd"/>
      <w:r>
        <w:rPr>
          <w:rFonts w:ascii="Times New Roman" w:eastAsia="Times New Roman" w:hAnsi="Times New Roman" w:cs="Times New Roman"/>
          <w:sz w:val="24"/>
          <w:szCs w:val="24"/>
          <w:highlight w:val="white"/>
        </w:rPr>
        <w:t xml:space="preserve">, Khalil </w:t>
      </w:r>
      <w:proofErr w:type="spellStart"/>
      <w:r>
        <w:rPr>
          <w:rFonts w:ascii="Times New Roman" w:eastAsia="Times New Roman" w:hAnsi="Times New Roman" w:cs="Times New Roman"/>
          <w:sz w:val="24"/>
          <w:szCs w:val="24"/>
          <w:highlight w:val="white"/>
        </w:rPr>
        <w:t>PhDb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Ghezzawi</w:t>
      </w:r>
      <w:proofErr w:type="spellEnd"/>
      <w:r>
        <w:rPr>
          <w:rFonts w:ascii="Times New Roman" w:eastAsia="Times New Roman" w:hAnsi="Times New Roman" w:cs="Times New Roman"/>
          <w:sz w:val="24"/>
          <w:szCs w:val="24"/>
          <w:highlight w:val="white"/>
        </w:rPr>
        <w:t xml:space="preserve">, Malak </w:t>
      </w:r>
      <w:proofErr w:type="spellStart"/>
      <w:r>
        <w:rPr>
          <w:rFonts w:ascii="Times New Roman" w:eastAsia="Times New Roman" w:hAnsi="Times New Roman" w:cs="Times New Roman"/>
          <w:sz w:val="24"/>
          <w:szCs w:val="24"/>
          <w:highlight w:val="white"/>
        </w:rPr>
        <w:t>MDc</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Iskandarani</w:t>
      </w:r>
      <w:proofErr w:type="spellEnd"/>
      <w:r>
        <w:rPr>
          <w:rFonts w:ascii="Times New Roman" w:eastAsia="Times New Roman" w:hAnsi="Times New Roman" w:cs="Times New Roman"/>
          <w:sz w:val="24"/>
          <w:szCs w:val="24"/>
          <w:highlight w:val="white"/>
        </w:rPr>
        <w:t xml:space="preserve">, Sarah </w:t>
      </w:r>
      <w:proofErr w:type="spellStart"/>
      <w:r>
        <w:rPr>
          <w:rFonts w:ascii="Times New Roman" w:eastAsia="Times New Roman" w:hAnsi="Times New Roman" w:cs="Times New Roman"/>
          <w:sz w:val="24"/>
          <w:szCs w:val="24"/>
          <w:highlight w:val="white"/>
        </w:rPr>
        <w:t>MDd</w:t>
      </w:r>
      <w:proofErr w:type="spellEnd"/>
      <w:r>
        <w:rPr>
          <w:rFonts w:ascii="Times New Roman" w:eastAsia="Times New Roman" w:hAnsi="Times New Roman" w:cs="Times New Roman"/>
          <w:sz w:val="24"/>
          <w:szCs w:val="24"/>
          <w:highlight w:val="white"/>
        </w:rPr>
        <w:t xml:space="preserve">; Diab, </w:t>
      </w:r>
      <w:proofErr w:type="spellStart"/>
      <w:r>
        <w:rPr>
          <w:rFonts w:ascii="Times New Roman" w:eastAsia="Times New Roman" w:hAnsi="Times New Roman" w:cs="Times New Roman"/>
          <w:sz w:val="24"/>
          <w:szCs w:val="24"/>
          <w:highlight w:val="white"/>
        </w:rPr>
        <w:t>Marwa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MDe</w:t>
      </w:r>
      <w:proofErr w:type="spellEnd"/>
      <w:r>
        <w:rPr>
          <w:rFonts w:ascii="Times New Roman" w:eastAsia="Times New Roman" w:hAnsi="Times New Roman" w:cs="Times New Roman"/>
          <w:sz w:val="24"/>
          <w:szCs w:val="24"/>
          <w:highlight w:val="white"/>
        </w:rPr>
        <w:t xml:space="preserve">; El </w:t>
      </w:r>
      <w:proofErr w:type="spellStart"/>
      <w:r>
        <w:rPr>
          <w:rFonts w:ascii="Times New Roman" w:eastAsia="Times New Roman" w:hAnsi="Times New Roman" w:cs="Times New Roman"/>
          <w:sz w:val="24"/>
          <w:szCs w:val="24"/>
          <w:highlight w:val="white"/>
        </w:rPr>
        <w:t>Jibbawi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Miryam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BSf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Hoteit</w:t>
      </w:r>
      <w:proofErr w:type="spellEnd"/>
      <w:r>
        <w:rPr>
          <w:rFonts w:ascii="Times New Roman" w:eastAsia="Times New Roman" w:hAnsi="Times New Roman" w:cs="Times New Roman"/>
          <w:sz w:val="24"/>
          <w:szCs w:val="24"/>
          <w:highlight w:val="white"/>
        </w:rPr>
        <w:t xml:space="preserve">, Reem </w:t>
      </w:r>
      <w:proofErr w:type="spellStart"/>
      <w:r>
        <w:rPr>
          <w:rFonts w:ascii="Times New Roman" w:eastAsia="Times New Roman" w:hAnsi="Times New Roman" w:cs="Times New Roman"/>
          <w:sz w:val="24"/>
          <w:szCs w:val="24"/>
          <w:highlight w:val="white"/>
        </w:rPr>
        <w:t>MSa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Sbaity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Eman</w:t>
      </w:r>
      <w:proofErr w:type="spellEnd"/>
      <w:r>
        <w:rPr>
          <w:rFonts w:ascii="Times New Roman" w:eastAsia="Times New Roman" w:hAnsi="Times New Roman" w:cs="Times New Roman"/>
          <w:sz w:val="24"/>
          <w:szCs w:val="24"/>
          <w:highlight w:val="white"/>
        </w:rPr>
        <w:t xml:space="preserve"> MD, FEBS, </w:t>
      </w:r>
      <w:proofErr w:type="spellStart"/>
      <w:proofErr w:type="gramStart"/>
      <w:r>
        <w:rPr>
          <w:rFonts w:ascii="Times New Roman" w:eastAsia="Times New Roman" w:hAnsi="Times New Roman" w:cs="Times New Roman"/>
          <w:sz w:val="24"/>
          <w:szCs w:val="24"/>
          <w:highlight w:val="white"/>
        </w:rPr>
        <w:t>MScc</w:t>
      </w:r>
      <w:proofErr w:type="spellEnd"/>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Performance of sentinel lymph node biopsy after neoadjuvant chemotherapy in clinically node-positive </w:t>
      </w:r>
      <w:r>
        <w:rPr>
          <w:rFonts w:ascii="Times New Roman" w:eastAsia="Times New Roman" w:hAnsi="Times New Roman" w:cs="Times New Roman"/>
          <w:sz w:val="24"/>
          <w:szCs w:val="24"/>
          <w:highlight w:val="white"/>
        </w:rPr>
        <w:t>breast cancer patients: systematic review and meta-analysis. International Journal of Surgery 111(4</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3040-3050, April 2025. | DOI: 10.1097/JS9.0000000000002275 </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Boughey</w:t>
      </w:r>
      <w:proofErr w:type="spellEnd"/>
      <w:r>
        <w:rPr>
          <w:rFonts w:ascii="Times New Roman" w:eastAsia="Times New Roman" w:hAnsi="Times New Roman" w:cs="Times New Roman"/>
          <w:sz w:val="24"/>
          <w:szCs w:val="24"/>
          <w:highlight w:val="white"/>
        </w:rPr>
        <w:t xml:space="preserve"> JC, Suman VJ, </w:t>
      </w:r>
      <w:proofErr w:type="spellStart"/>
      <w:r>
        <w:rPr>
          <w:rFonts w:ascii="Times New Roman" w:eastAsia="Times New Roman" w:hAnsi="Times New Roman" w:cs="Times New Roman"/>
          <w:sz w:val="24"/>
          <w:szCs w:val="24"/>
          <w:highlight w:val="white"/>
        </w:rPr>
        <w:t>Mittendorf</w:t>
      </w:r>
      <w:proofErr w:type="spellEnd"/>
      <w:r>
        <w:rPr>
          <w:rFonts w:ascii="Times New Roman" w:eastAsia="Times New Roman" w:hAnsi="Times New Roman" w:cs="Times New Roman"/>
          <w:sz w:val="24"/>
          <w:szCs w:val="24"/>
          <w:highlight w:val="white"/>
        </w:rPr>
        <w:t xml:space="preserve"> EA, </w:t>
      </w:r>
      <w:proofErr w:type="spellStart"/>
      <w:r>
        <w:rPr>
          <w:rFonts w:ascii="Times New Roman" w:eastAsia="Times New Roman" w:hAnsi="Times New Roman" w:cs="Times New Roman"/>
          <w:sz w:val="24"/>
          <w:szCs w:val="24"/>
          <w:highlight w:val="white"/>
        </w:rPr>
        <w:t>Ahrendt</w:t>
      </w:r>
      <w:proofErr w:type="spellEnd"/>
      <w:r>
        <w:rPr>
          <w:rFonts w:ascii="Times New Roman" w:eastAsia="Times New Roman" w:hAnsi="Times New Roman" w:cs="Times New Roman"/>
          <w:sz w:val="24"/>
          <w:szCs w:val="24"/>
          <w:highlight w:val="white"/>
        </w:rPr>
        <w:t xml:space="preserve"> GM, Wilke LG, </w:t>
      </w:r>
      <w:proofErr w:type="spellStart"/>
      <w:r>
        <w:rPr>
          <w:rFonts w:ascii="Times New Roman" w:eastAsia="Times New Roman" w:hAnsi="Times New Roman" w:cs="Times New Roman"/>
          <w:sz w:val="24"/>
          <w:szCs w:val="24"/>
          <w:highlight w:val="white"/>
        </w:rPr>
        <w:t>Taback</w:t>
      </w:r>
      <w:proofErr w:type="spellEnd"/>
      <w:r>
        <w:rPr>
          <w:rFonts w:ascii="Times New Roman" w:eastAsia="Times New Roman" w:hAnsi="Times New Roman" w:cs="Times New Roman"/>
          <w:sz w:val="24"/>
          <w:szCs w:val="24"/>
          <w:highlight w:val="white"/>
        </w:rPr>
        <w:t xml:space="preserve"> B, Leitch AM, </w:t>
      </w:r>
      <w:proofErr w:type="spellStart"/>
      <w:r>
        <w:rPr>
          <w:rFonts w:ascii="Times New Roman" w:eastAsia="Times New Roman" w:hAnsi="Times New Roman" w:cs="Times New Roman"/>
          <w:sz w:val="24"/>
          <w:szCs w:val="24"/>
          <w:highlight w:val="white"/>
        </w:rPr>
        <w:t>Flippo</w:t>
      </w:r>
      <w:proofErr w:type="spellEnd"/>
      <w:r>
        <w:rPr>
          <w:rFonts w:ascii="Times New Roman" w:eastAsia="Times New Roman" w:hAnsi="Times New Roman" w:cs="Times New Roman"/>
          <w:sz w:val="24"/>
          <w:szCs w:val="24"/>
          <w:highlight w:val="white"/>
        </w:rPr>
        <w:t>-Morton</w:t>
      </w:r>
      <w:r>
        <w:rPr>
          <w:rFonts w:ascii="Times New Roman" w:eastAsia="Times New Roman" w:hAnsi="Times New Roman" w:cs="Times New Roman"/>
          <w:sz w:val="24"/>
          <w:szCs w:val="24"/>
          <w:highlight w:val="white"/>
        </w:rPr>
        <w:t xml:space="preserve"> TS, </w:t>
      </w:r>
      <w:proofErr w:type="spellStart"/>
      <w:r>
        <w:rPr>
          <w:rFonts w:ascii="Times New Roman" w:eastAsia="Times New Roman" w:hAnsi="Times New Roman" w:cs="Times New Roman"/>
          <w:sz w:val="24"/>
          <w:szCs w:val="24"/>
          <w:highlight w:val="white"/>
        </w:rPr>
        <w:t>Kuerer</w:t>
      </w:r>
      <w:proofErr w:type="spellEnd"/>
      <w:r>
        <w:rPr>
          <w:rFonts w:ascii="Times New Roman" w:eastAsia="Times New Roman" w:hAnsi="Times New Roman" w:cs="Times New Roman"/>
          <w:sz w:val="24"/>
          <w:szCs w:val="24"/>
          <w:highlight w:val="white"/>
        </w:rPr>
        <w:t xml:space="preserve"> HM, Bowling M, Hunt KK; Alliance for Clinical Trials </w:t>
      </w:r>
      <w:r>
        <w:rPr>
          <w:rFonts w:ascii="Times New Roman" w:eastAsia="Times New Roman" w:hAnsi="Times New Roman" w:cs="Times New Roman"/>
          <w:sz w:val="24"/>
          <w:szCs w:val="24"/>
          <w:highlight w:val="white"/>
        </w:rPr>
        <w:lastRenderedPageBreak/>
        <w:t>in Oncology. Factors affecting sentinel lymph node identification rate after neoadjuvant chemotherapy for breast cancer patients enrolled in ACOSOG Z1071 (Alliance). Ann Surg. 2015 Mar;261(3)</w:t>
      </w:r>
      <w:r>
        <w:rPr>
          <w:rFonts w:ascii="Times New Roman" w:eastAsia="Times New Roman" w:hAnsi="Times New Roman" w:cs="Times New Roman"/>
          <w:sz w:val="24"/>
          <w:szCs w:val="24"/>
          <w:highlight w:val="white"/>
        </w:rPr>
        <w:t xml:space="preserve">:547-52.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10.1097/SLA.0000000000000551. PMID: 25664534; PMCID: PMC4324533.</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Lin Z, Lei C, Yang L. Modern Image-Guided Surgery: A Narrative Review of Medical Image Processing and Visualization. Sensors (Basel). 2023 Dec 16;23(24):9872.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10.3390/s2324</w:t>
      </w:r>
      <w:r>
        <w:rPr>
          <w:rFonts w:ascii="Times New Roman" w:eastAsia="Times New Roman" w:hAnsi="Times New Roman" w:cs="Times New Roman"/>
          <w:sz w:val="24"/>
          <w:szCs w:val="24"/>
          <w:highlight w:val="white"/>
        </w:rPr>
        <w:t>9872. PMID: 38139718; PMCID: PMC10748263.</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Kataria</w:t>
      </w:r>
      <w:proofErr w:type="spellEnd"/>
      <w:r>
        <w:rPr>
          <w:rFonts w:ascii="Times New Roman" w:eastAsia="Times New Roman" w:hAnsi="Times New Roman" w:cs="Times New Roman"/>
          <w:sz w:val="24"/>
          <w:szCs w:val="24"/>
          <w:highlight w:val="white"/>
        </w:rPr>
        <w:t xml:space="preserve"> K, Srivastava A, </w:t>
      </w:r>
      <w:proofErr w:type="spellStart"/>
      <w:r>
        <w:rPr>
          <w:rFonts w:ascii="Times New Roman" w:eastAsia="Times New Roman" w:hAnsi="Times New Roman" w:cs="Times New Roman"/>
          <w:sz w:val="24"/>
          <w:szCs w:val="24"/>
          <w:highlight w:val="white"/>
        </w:rPr>
        <w:t>Qaiser</w:t>
      </w:r>
      <w:proofErr w:type="spellEnd"/>
      <w:r>
        <w:rPr>
          <w:rFonts w:ascii="Times New Roman" w:eastAsia="Times New Roman" w:hAnsi="Times New Roman" w:cs="Times New Roman"/>
          <w:sz w:val="24"/>
          <w:szCs w:val="24"/>
          <w:highlight w:val="white"/>
        </w:rPr>
        <w:t xml:space="preserve"> D. What Is a False Negative Sentinel Node Biopsy: Definition, Reasons and Ways to Minimize It? Indian J Surg. 2016 Oct;78(5):396-401.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10.1007/s12262-016-1531-9.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Jul 28</w:t>
      </w:r>
      <w:r>
        <w:rPr>
          <w:rFonts w:ascii="Times New Roman" w:eastAsia="Times New Roman" w:hAnsi="Times New Roman" w:cs="Times New Roman"/>
          <w:sz w:val="24"/>
          <w:szCs w:val="24"/>
          <w:highlight w:val="white"/>
        </w:rPr>
        <w:t>. PMID: 27994336; PMCID: PMC5127992.</w:t>
      </w:r>
    </w:p>
    <w:p w:rsidR="005E2F68" w:rsidRDefault="00835BD3">
      <w:pPr>
        <w:numPr>
          <w:ilvl w:val="0"/>
          <w:numId w:val="7"/>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Schwartz, G.F., </w:t>
      </w:r>
      <w:proofErr w:type="spellStart"/>
      <w:r>
        <w:rPr>
          <w:rFonts w:ascii="Times New Roman" w:eastAsia="Times New Roman" w:hAnsi="Times New Roman" w:cs="Times New Roman"/>
          <w:sz w:val="24"/>
          <w:szCs w:val="24"/>
          <w:highlight w:val="white"/>
        </w:rPr>
        <w:t>Tannebaum</w:t>
      </w:r>
      <w:proofErr w:type="spellEnd"/>
      <w:r>
        <w:rPr>
          <w:rFonts w:ascii="Times New Roman" w:eastAsia="Times New Roman" w:hAnsi="Times New Roman" w:cs="Times New Roman"/>
          <w:sz w:val="24"/>
          <w:szCs w:val="24"/>
          <w:highlight w:val="white"/>
        </w:rPr>
        <w:t xml:space="preserve">, J.E., Jernigan, A.M. and Palazzo, J.P. (2010), Axillary sentinel lymph node biopsy after neoadjuvant chemotherapy for carcinoma of the breast. Cancer, 116: 1243-1251. </w:t>
      </w:r>
      <w:hyperlink r:id="rId14">
        <w:r>
          <w:rPr>
            <w:rFonts w:ascii="Times New Roman" w:eastAsia="Times New Roman" w:hAnsi="Times New Roman" w:cs="Times New Roman"/>
            <w:sz w:val="24"/>
            <w:szCs w:val="24"/>
            <w:highlight w:val="white"/>
          </w:rPr>
          <w:t>https://doi.org/10.1002/cncr.24887</w:t>
        </w:r>
      </w:hyperlink>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Vasigh</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Karoobi</w:t>
      </w:r>
      <w:proofErr w:type="spellEnd"/>
      <w:r>
        <w:rPr>
          <w:rFonts w:ascii="Times New Roman" w:eastAsia="Times New Roman" w:hAnsi="Times New Roman" w:cs="Times New Roman"/>
          <w:sz w:val="24"/>
          <w:szCs w:val="24"/>
          <w:highlight w:val="white"/>
        </w:rPr>
        <w:t xml:space="preserve"> M, Williams AD, </w:t>
      </w:r>
      <w:proofErr w:type="spellStart"/>
      <w:r>
        <w:rPr>
          <w:rFonts w:ascii="Times New Roman" w:eastAsia="Times New Roman" w:hAnsi="Times New Roman" w:cs="Times New Roman"/>
          <w:sz w:val="24"/>
          <w:szCs w:val="24"/>
          <w:highlight w:val="white"/>
        </w:rPr>
        <w:t>Abreha</w:t>
      </w:r>
      <w:proofErr w:type="spellEnd"/>
      <w:r>
        <w:rPr>
          <w:rFonts w:ascii="Times New Roman" w:eastAsia="Times New Roman" w:hAnsi="Times New Roman" w:cs="Times New Roman"/>
          <w:sz w:val="24"/>
          <w:szCs w:val="24"/>
          <w:highlight w:val="white"/>
        </w:rPr>
        <w:t xml:space="preserve"> FM, </w:t>
      </w:r>
      <w:proofErr w:type="spellStart"/>
      <w:r>
        <w:rPr>
          <w:rFonts w:ascii="Times New Roman" w:eastAsia="Times New Roman" w:hAnsi="Times New Roman" w:cs="Times New Roman"/>
          <w:sz w:val="24"/>
          <w:szCs w:val="24"/>
          <w:highlight w:val="white"/>
        </w:rPr>
        <w:t>Bleicher</w:t>
      </w:r>
      <w:proofErr w:type="spellEnd"/>
      <w:r>
        <w:rPr>
          <w:rFonts w:ascii="Times New Roman" w:eastAsia="Times New Roman" w:hAnsi="Times New Roman" w:cs="Times New Roman"/>
          <w:sz w:val="24"/>
          <w:szCs w:val="24"/>
          <w:highlight w:val="white"/>
        </w:rPr>
        <w:t xml:space="preserve"> RJ, Yazd SMM, Shamsi T, </w:t>
      </w:r>
      <w:proofErr w:type="spellStart"/>
      <w:r>
        <w:rPr>
          <w:rFonts w:ascii="Times New Roman" w:eastAsia="Times New Roman" w:hAnsi="Times New Roman" w:cs="Times New Roman"/>
          <w:sz w:val="24"/>
          <w:szCs w:val="24"/>
          <w:highlight w:val="white"/>
        </w:rPr>
        <w:t>Omranipour</w:t>
      </w:r>
      <w:proofErr w:type="spellEnd"/>
      <w:r>
        <w:rPr>
          <w:rFonts w:ascii="Times New Roman" w:eastAsia="Times New Roman" w:hAnsi="Times New Roman" w:cs="Times New Roman"/>
          <w:sz w:val="24"/>
          <w:szCs w:val="24"/>
          <w:highlight w:val="white"/>
        </w:rPr>
        <w:t xml:space="preserve"> R, Elahi A, Farhat D, Habibi M. Neoadjuvant Endocrine Therapy Compared to Neoadjuvant Chemotherapy in N</w:t>
      </w:r>
      <w:r>
        <w:rPr>
          <w:rFonts w:ascii="Times New Roman" w:eastAsia="Times New Roman" w:hAnsi="Times New Roman" w:cs="Times New Roman"/>
          <w:sz w:val="24"/>
          <w:szCs w:val="24"/>
          <w:highlight w:val="white"/>
        </w:rPr>
        <w:t xml:space="preserve">ode-Positive HR+, HER2- Breast Cancer (Nodal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and the Rate of ALND): A Systematic Review and Meta-Analysis. Breast J. 2024 Aug </w:t>
      </w:r>
      <w:proofErr w:type="gramStart"/>
      <w:r>
        <w:rPr>
          <w:rFonts w:ascii="Times New Roman" w:eastAsia="Times New Roman" w:hAnsi="Times New Roman" w:cs="Times New Roman"/>
          <w:sz w:val="24"/>
          <w:szCs w:val="24"/>
          <w:highlight w:val="white"/>
        </w:rPr>
        <w:t>2;2024:8866756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10.1155/2024/8866756. PMID: 39742366; PMCID: PMC11315960.</w:t>
      </w:r>
    </w:p>
    <w:p w:rsidR="005E2F68" w:rsidRDefault="00835BD3">
      <w:pPr>
        <w:numPr>
          <w:ilvl w:val="0"/>
          <w:numId w:val="7"/>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Omranipour</w:t>
      </w:r>
      <w:proofErr w:type="spellEnd"/>
      <w:r>
        <w:rPr>
          <w:rFonts w:ascii="Times New Roman" w:eastAsia="Times New Roman" w:hAnsi="Times New Roman" w:cs="Times New Roman"/>
          <w:sz w:val="24"/>
          <w:szCs w:val="24"/>
          <w:highlight w:val="white"/>
        </w:rPr>
        <w:t xml:space="preserve"> R, Jalili R, </w:t>
      </w:r>
      <w:proofErr w:type="spellStart"/>
      <w:r>
        <w:rPr>
          <w:rFonts w:ascii="Times New Roman" w:eastAsia="Times New Roman" w:hAnsi="Times New Roman" w:cs="Times New Roman"/>
          <w:sz w:val="24"/>
          <w:szCs w:val="24"/>
          <w:highlight w:val="white"/>
        </w:rPr>
        <w:t>Yazdankhahkenary</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Ass</w:t>
      </w:r>
      <w:r>
        <w:rPr>
          <w:rFonts w:ascii="Times New Roman" w:eastAsia="Times New Roman" w:hAnsi="Times New Roman" w:cs="Times New Roman"/>
          <w:sz w:val="24"/>
          <w:szCs w:val="24"/>
          <w:highlight w:val="white"/>
        </w:rPr>
        <w:t>arian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Mirzania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Eslami</w:t>
      </w:r>
      <w:proofErr w:type="spellEnd"/>
      <w:r>
        <w:rPr>
          <w:rFonts w:ascii="Times New Roman" w:eastAsia="Times New Roman" w:hAnsi="Times New Roman" w:cs="Times New Roman"/>
          <w:sz w:val="24"/>
          <w:szCs w:val="24"/>
          <w:highlight w:val="white"/>
        </w:rPr>
        <w:t xml:space="preserve"> B. Evaluation of Pathologic Complete Response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to Neoadjuvant Chemotherapy in Iranian Breast Cancer Patients with </w:t>
      </w:r>
      <w:proofErr w:type="spellStart"/>
      <w:r>
        <w:rPr>
          <w:rFonts w:ascii="Times New Roman" w:eastAsia="Times New Roman" w:hAnsi="Times New Roman" w:cs="Times New Roman"/>
          <w:sz w:val="24"/>
          <w:szCs w:val="24"/>
          <w:highlight w:val="white"/>
        </w:rPr>
        <w:t>Estrogen</w:t>
      </w:r>
      <w:proofErr w:type="spellEnd"/>
      <w:r>
        <w:rPr>
          <w:rFonts w:ascii="Times New Roman" w:eastAsia="Times New Roman" w:hAnsi="Times New Roman" w:cs="Times New Roman"/>
          <w:sz w:val="24"/>
          <w:szCs w:val="24"/>
          <w:highlight w:val="white"/>
        </w:rPr>
        <w:t xml:space="preserve"> Receptor Positive and HER2 Negative and impact of predicting variables on </w:t>
      </w:r>
      <w:proofErr w:type="spellStart"/>
      <w:r>
        <w:rPr>
          <w:rFonts w:ascii="Times New Roman" w:eastAsia="Times New Roman" w:hAnsi="Times New Roman" w:cs="Times New Roman"/>
          <w:sz w:val="24"/>
          <w:szCs w:val="24"/>
          <w:highlight w:val="white"/>
        </w:rPr>
        <w:t>pCR</w:t>
      </w:r>
      <w:proofErr w:type="spellEnd"/>
      <w:r>
        <w:rPr>
          <w:rFonts w:ascii="Times New Roman" w:eastAsia="Times New Roman" w:hAnsi="Times New Roman" w:cs="Times New Roman"/>
          <w:sz w:val="24"/>
          <w:szCs w:val="24"/>
          <w:highlight w:val="white"/>
        </w:rPr>
        <w:t xml:space="preserve">. Eur J Breast Health. </w:t>
      </w:r>
      <w:r>
        <w:rPr>
          <w:rFonts w:ascii="Times New Roman" w:eastAsia="Times New Roman" w:hAnsi="Times New Roman" w:cs="Times New Roman"/>
          <w:sz w:val="24"/>
          <w:szCs w:val="24"/>
          <w:highlight w:val="white"/>
        </w:rPr>
        <w:t xml:space="preserve">2020 Jul 1;16(3):213-218.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10.5152/ejbh.2020.5487. PMID: 32656523; PMCID: PMC7337920.</w:t>
      </w:r>
    </w:p>
    <w:sectPr w:rsidR="005E2F68">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D3" w:rsidRDefault="00835BD3" w:rsidP="00EE479D">
      <w:pPr>
        <w:spacing w:line="240" w:lineRule="auto"/>
      </w:pPr>
      <w:r>
        <w:separator/>
      </w:r>
    </w:p>
  </w:endnote>
  <w:endnote w:type="continuationSeparator" w:id="0">
    <w:p w:rsidR="00835BD3" w:rsidRDefault="00835BD3" w:rsidP="00EE4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5CCE11-56FB-4823-8F23-65976363AEEC}"/>
  </w:font>
  <w:font w:name="Cambria">
    <w:panose1 w:val="02040503050406030204"/>
    <w:charset w:val="00"/>
    <w:family w:val="roman"/>
    <w:pitch w:val="variable"/>
    <w:sig w:usb0="E00006FF" w:usb1="420024FF" w:usb2="02000000" w:usb3="00000000" w:csb0="0000019F" w:csb1="00000000"/>
    <w:embedRegular r:id="rId2" w:fontKey="{C507A12A-2DF9-416C-888A-41DBAE58C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D3" w:rsidRDefault="00835BD3" w:rsidP="00EE479D">
      <w:pPr>
        <w:spacing w:line="240" w:lineRule="auto"/>
      </w:pPr>
      <w:r>
        <w:separator/>
      </w:r>
    </w:p>
  </w:footnote>
  <w:footnote w:type="continuationSeparator" w:id="0">
    <w:p w:rsidR="00835BD3" w:rsidRDefault="00835BD3" w:rsidP="00EE4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79D" w:rsidRDefault="00EE47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763E5"/>
    <w:multiLevelType w:val="multilevel"/>
    <w:tmpl w:val="1BBE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469FE"/>
    <w:multiLevelType w:val="multilevel"/>
    <w:tmpl w:val="09820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8D7004"/>
    <w:multiLevelType w:val="multilevel"/>
    <w:tmpl w:val="2E4EB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BC7F59"/>
    <w:multiLevelType w:val="multilevel"/>
    <w:tmpl w:val="B8AAE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272B1E"/>
    <w:multiLevelType w:val="multilevel"/>
    <w:tmpl w:val="9232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A573F4"/>
    <w:multiLevelType w:val="multilevel"/>
    <w:tmpl w:val="2B221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693338B"/>
    <w:multiLevelType w:val="multilevel"/>
    <w:tmpl w:val="53FA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ABE266E"/>
    <w:multiLevelType w:val="multilevel"/>
    <w:tmpl w:val="EE864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F68"/>
    <w:rsid w:val="00024A54"/>
    <w:rsid w:val="00417446"/>
    <w:rsid w:val="00563F87"/>
    <w:rsid w:val="005E2F68"/>
    <w:rsid w:val="00835BD3"/>
    <w:rsid w:val="00B05696"/>
    <w:rsid w:val="00EE47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03128EC-9767-46DD-BA55-FFC4493A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17446"/>
    <w:rPr>
      <w:color w:val="0000FF" w:themeColor="hyperlink"/>
      <w:u w:val="single"/>
    </w:rPr>
  </w:style>
  <w:style w:type="character" w:styleId="UnresolvedMention">
    <w:name w:val="Unresolved Mention"/>
    <w:basedOn w:val="DefaultParagraphFont"/>
    <w:uiPriority w:val="99"/>
    <w:semiHidden/>
    <w:unhideWhenUsed/>
    <w:rsid w:val="00417446"/>
    <w:rPr>
      <w:color w:val="605E5C"/>
      <w:shd w:val="clear" w:color="auto" w:fill="E1DFDD"/>
    </w:rPr>
  </w:style>
  <w:style w:type="paragraph" w:styleId="Header">
    <w:name w:val="header"/>
    <w:basedOn w:val="Normal"/>
    <w:link w:val="HeaderChar"/>
    <w:uiPriority w:val="99"/>
    <w:unhideWhenUsed/>
    <w:rsid w:val="00EE479D"/>
    <w:pPr>
      <w:tabs>
        <w:tab w:val="center" w:pos="4680"/>
        <w:tab w:val="right" w:pos="9360"/>
      </w:tabs>
      <w:spacing w:line="240" w:lineRule="auto"/>
    </w:pPr>
  </w:style>
  <w:style w:type="character" w:customStyle="1" w:styleId="HeaderChar">
    <w:name w:val="Header Char"/>
    <w:basedOn w:val="DefaultParagraphFont"/>
    <w:link w:val="Header"/>
    <w:uiPriority w:val="99"/>
    <w:rsid w:val="00EE479D"/>
  </w:style>
  <w:style w:type="paragraph" w:styleId="Footer">
    <w:name w:val="footer"/>
    <w:basedOn w:val="Normal"/>
    <w:link w:val="FooterChar"/>
    <w:uiPriority w:val="99"/>
    <w:unhideWhenUsed/>
    <w:rsid w:val="00EE479D"/>
    <w:pPr>
      <w:tabs>
        <w:tab w:val="center" w:pos="4680"/>
        <w:tab w:val="right" w:pos="9360"/>
      </w:tabs>
      <w:spacing w:line="240" w:lineRule="auto"/>
    </w:pPr>
  </w:style>
  <w:style w:type="character" w:customStyle="1" w:styleId="FooterChar">
    <w:name w:val="Footer Char"/>
    <w:basedOn w:val="DefaultParagraphFont"/>
    <w:link w:val="Footer"/>
    <w:uiPriority w:val="99"/>
    <w:rsid w:val="00EE4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8203/2349-2902.isj20200309" TargetMode="External"/><Relationship Id="rId13" Type="http://schemas.openxmlformats.org/officeDocument/2006/relationships/hyperlink" Target="https://doi.org/10.1186/s12957-025-04082-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111/tbj.1416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40880-017-0208-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3390/curroncol3010063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3390/cancers16193354" TargetMode="External"/><Relationship Id="rId14" Type="http://schemas.openxmlformats.org/officeDocument/2006/relationships/hyperlink" Target="https://doi.org/10.1002/cncr.2488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5429</Words>
  <Characters>30951</Characters>
  <Application>Microsoft Office Word</Application>
  <DocSecurity>0</DocSecurity>
  <Lines>257</Lines>
  <Paragraphs>72</Paragraphs>
  <ScaleCrop>false</ScaleCrop>
  <Company/>
  <LinksUpToDate>false</LinksUpToDate>
  <CharactersWithSpaces>36308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2026-02-11T13:19:00Z</dcterms:created>
  <dcterms:modified xsi:type="dcterms:W3CDTF">2026-02-12T11:30:00Z</dcterms:modified>
</cp:coreProperties>
</file>