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307E5" w14:textId="2C32BDA3" w:rsidR="00791B6B" w:rsidRPr="00791B6B" w:rsidRDefault="00791B6B" w:rsidP="00791B6B">
      <w:pPr>
        <w:rPr>
          <w:rFonts w:ascii="Times New Roman" w:hAnsi="Times New Roman" w:cs="Times New Roman"/>
          <w:b/>
          <w:sz w:val="24"/>
          <w:szCs w:val="24"/>
          <w:u w:val="single"/>
        </w:rPr>
      </w:pPr>
      <w:r w:rsidRPr="00791B6B">
        <w:rPr>
          <w:rFonts w:ascii="Times New Roman" w:hAnsi="Times New Roman" w:cs="Times New Roman"/>
          <w:b/>
          <w:sz w:val="24"/>
          <w:szCs w:val="24"/>
          <w:u w:val="single"/>
        </w:rPr>
        <w:t>Review Article</w:t>
      </w:r>
    </w:p>
    <w:p w14:paraId="68553791" w14:textId="4F0A2966" w:rsidR="00CB6838" w:rsidRPr="00791B6B" w:rsidRDefault="00A24B05" w:rsidP="004A5EC1">
      <w:pPr>
        <w:jc w:val="center"/>
        <w:rPr>
          <w:rFonts w:ascii="Times New Roman" w:hAnsi="Times New Roman" w:cs="Times New Roman"/>
          <w:b/>
          <w:sz w:val="24"/>
          <w:szCs w:val="24"/>
        </w:rPr>
      </w:pPr>
      <w:r w:rsidRPr="00791B6B">
        <w:rPr>
          <w:rFonts w:ascii="Times New Roman" w:hAnsi="Times New Roman" w:cs="Times New Roman"/>
          <w:b/>
          <w:sz w:val="24"/>
          <w:szCs w:val="24"/>
        </w:rPr>
        <w:t>TARGETED AND IMMUNOTHERAPEUTIC APPROACHES IN CANCER: EVOLVING EVIDENCE AND CLINICAL IMPLICATIONS</w:t>
      </w:r>
    </w:p>
    <w:p w14:paraId="737F4359" w14:textId="77777777" w:rsidR="00791B6B" w:rsidRPr="00791B6B" w:rsidRDefault="00791B6B" w:rsidP="004A5EC1">
      <w:pPr>
        <w:jc w:val="center"/>
        <w:rPr>
          <w:rFonts w:ascii="Times New Roman" w:hAnsi="Times New Roman" w:cs="Times New Roman"/>
          <w:b/>
          <w:sz w:val="24"/>
          <w:szCs w:val="24"/>
        </w:rPr>
      </w:pPr>
    </w:p>
    <w:p w14:paraId="66B440CA" w14:textId="77777777" w:rsidR="00020375" w:rsidRPr="00791B6B" w:rsidRDefault="00020375" w:rsidP="004A5EC1">
      <w:pPr>
        <w:jc w:val="both"/>
        <w:rPr>
          <w:rFonts w:ascii="Times New Roman" w:hAnsi="Times New Roman" w:cs="Times New Roman"/>
          <w:b/>
          <w:sz w:val="24"/>
          <w:szCs w:val="24"/>
        </w:rPr>
      </w:pPr>
      <w:bookmarkStart w:id="0" w:name="_GoBack"/>
      <w:bookmarkEnd w:id="0"/>
    </w:p>
    <w:p w14:paraId="2C267B06" w14:textId="77777777" w:rsidR="00020375" w:rsidRPr="00791B6B" w:rsidRDefault="00020375" w:rsidP="004A5EC1">
      <w:pPr>
        <w:jc w:val="both"/>
        <w:rPr>
          <w:rFonts w:ascii="Times New Roman" w:hAnsi="Times New Roman" w:cs="Times New Roman"/>
          <w:b/>
          <w:sz w:val="24"/>
          <w:szCs w:val="24"/>
        </w:rPr>
      </w:pPr>
      <w:r w:rsidRPr="00791B6B">
        <w:rPr>
          <w:rFonts w:ascii="Times New Roman" w:hAnsi="Times New Roman" w:cs="Times New Roman"/>
          <w:b/>
          <w:sz w:val="24"/>
          <w:szCs w:val="24"/>
        </w:rPr>
        <w:t>ABSTRACT:</w:t>
      </w:r>
    </w:p>
    <w:p w14:paraId="5B4A4F66" w14:textId="77777777" w:rsidR="000A7436" w:rsidRPr="00791B6B" w:rsidRDefault="000A7436"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Cancer treatment has undergone a profound transformation over the past two decades, evolving from non-specific cytotoxic chemotherapy toward precision-based targeted therapies and immunotherapeutic strategies. Advances in molecular oncology have enabled the identification of oncogenic drivers, aberrant signaling pathways, and immune regulatory mechanisms that govern tumor initiation, progression, and therapeutic resistance. Targeted therapies selectively inhibit key molecular alterations such as receptor tyrosine kinases, intracellular kinases, and cell-cycle regulators, resulting in improved efficacy and reduced systemic toxicity compared with conventional chemotherapy. Concurrently, immunotherapy has revolutionized cancer management by restoring antitumor immune surveillance through immune checkpoint inhibition, adoptive cell therapies, cancer vaccines, and cytokine-based approaches.</w:t>
      </w:r>
    </w:p>
    <w:p w14:paraId="4CD4DB10" w14:textId="77777777" w:rsidR="000A7436" w:rsidRPr="00791B6B" w:rsidRDefault="000A7436"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significant clinical success, both targeted therapy and immunotherapy face important challenges, including intrinsic and acquired resistance, limited durability of responses, immune evasion, and treatment-related toxicities. Tumor heterogeneity, adaptive signaling rewiring, and immunosuppressive features of the tumor microenvironment contribute substantially to therapeutic failure. Recent evidence highlights the critical role of the tumor microenvironment, immune cell infiltration, metabolic reprogramming, and immune checkpoint pathways in shaping treatment outcomes. Biomarkers such as tumor mutational burden, mismatch repair deficiency, PD-L1 expression, and gene expression signatures have emerged as valuable tools for patient stratification and therapeutic decision-making, although their predictive accuracy remains imperfect.</w:t>
      </w:r>
    </w:p>
    <w:p w14:paraId="1CE4DAF1" w14:textId="77777777" w:rsidR="000A7436" w:rsidRPr="00791B6B" w:rsidRDefault="000A7436"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This review comprehensively examines the molecular basis and clinical applications of targeted therapies and immunotherapeutic approaches across multiple cancer types. It discusses key mechanisms of action, landmark clinical trials, and approved agents, while critically addressing </w:t>
      </w:r>
      <w:r w:rsidRPr="00791B6B">
        <w:rPr>
          <w:rFonts w:ascii="Times New Roman" w:hAnsi="Times New Roman" w:cs="Times New Roman"/>
          <w:sz w:val="24"/>
          <w:szCs w:val="24"/>
        </w:rPr>
        <w:lastRenderedPageBreak/>
        <w:t>resistance mechanisms and immune-related adverse events. Special emphasis is placed on rational combination strategies integrating targeted agents with immunotherapy to enhance antitumor efficacy, overcome resistance, and improve long-term clinical outcomes. Combination regimens targeting oncogenic signaling pathways alongside immune modulation have demonstrated promising results in several malignancies, underscoring the importance of treatment personalization.</w:t>
      </w:r>
    </w:p>
    <w:p w14:paraId="12B01922" w14:textId="77777777" w:rsidR="000A7436" w:rsidRPr="00791B6B" w:rsidRDefault="000A7436"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addition, this review explores emerging therapeutic strategies, novel biomarkers, and future directions in cancer treatment, including next-generation immune checkpoint inhibitors, cellular therapies, and precision-guided combination regimens. A deeper understanding of tumor biology and immune interactions will be essential for optimizing therapeutic outcomes. Overall, the integration of targeted therapy and immunotherapy represents a paradigm shift in oncology, offering the potential for more durable, effective, and individualized cancer treatment.</w:t>
      </w:r>
    </w:p>
    <w:p w14:paraId="08C0EF11" w14:textId="77777777" w:rsidR="00020375" w:rsidRPr="00791B6B" w:rsidRDefault="00020375"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KEY WORDS:</w:t>
      </w:r>
    </w:p>
    <w:p w14:paraId="6CA01E1D" w14:textId="77777777" w:rsidR="00020375" w:rsidRPr="00791B6B" w:rsidRDefault="00020375"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Targeted </w:t>
      </w:r>
      <w:proofErr w:type="gramStart"/>
      <w:r w:rsidRPr="00791B6B">
        <w:rPr>
          <w:rFonts w:ascii="Times New Roman" w:hAnsi="Times New Roman" w:cs="Times New Roman"/>
          <w:sz w:val="24"/>
          <w:szCs w:val="24"/>
        </w:rPr>
        <w:t>therapy;  Immunotherapy</w:t>
      </w:r>
      <w:proofErr w:type="gramEnd"/>
      <w:r w:rsidRPr="00791B6B">
        <w:rPr>
          <w:rFonts w:ascii="Times New Roman" w:hAnsi="Times New Roman" w:cs="Times New Roman"/>
          <w:sz w:val="24"/>
          <w:szCs w:val="24"/>
        </w:rPr>
        <w:t>;  Immune checkpoint inhibitors;  Precision oncology;  Cancer treatment;  Molecular targeted agents.</w:t>
      </w:r>
    </w:p>
    <w:p w14:paraId="55B02E8D" w14:textId="77777777" w:rsidR="00020375" w:rsidRPr="00791B6B" w:rsidRDefault="00020375"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INTRODUCTION:</w:t>
      </w:r>
    </w:p>
    <w:p w14:paraId="62F6C657"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Cancer remains a leading cause of morbidity and mortality worldwide despite substantial advances in prevention, early detection, and therapeutic interventions. The disease encompasses a heterogeneous group of disorders characterized by uncontrolled cellular proliferation, genomic instability, metabolic reprogramming, immune evasion, and metastatic potential [1]. Traditional treatment modalities such as surgery, radiotherapy, and cytotoxic chemotherapy have contributed significantly to improved survival in many malignancies; however, these approaches are often limited by non-specific toxicity, narrow therapeutic indices, and the eventual development of resistance [2].</w:t>
      </w:r>
    </w:p>
    <w:p w14:paraId="3023DFC2"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The limitations of conventional therapies have driven the evolution of oncology toward more precise, mechanism-based treatment strategies. Advances in molecular biology, genomics, and bioinformatics have enabled detailed characterization of the genetic and epigenetic alterations that underpin </w:t>
      </w:r>
      <w:r w:rsidR="00910879" w:rsidRPr="00791B6B">
        <w:rPr>
          <w:rFonts w:ascii="Times New Roman" w:hAnsi="Times New Roman" w:cs="Times New Roman"/>
          <w:sz w:val="24"/>
          <w:szCs w:val="24"/>
        </w:rPr>
        <w:t>tumor genesis</w:t>
      </w:r>
      <w:r w:rsidRPr="00791B6B">
        <w:rPr>
          <w:rFonts w:ascii="Times New Roman" w:hAnsi="Times New Roman" w:cs="Times New Roman"/>
          <w:sz w:val="24"/>
          <w:szCs w:val="24"/>
        </w:rPr>
        <w:t xml:space="preserve">. Simultaneously, breakthroughs in tumor immunology have </w:t>
      </w:r>
      <w:r w:rsidRPr="00791B6B">
        <w:rPr>
          <w:rFonts w:ascii="Times New Roman" w:hAnsi="Times New Roman" w:cs="Times New Roman"/>
          <w:sz w:val="24"/>
          <w:szCs w:val="24"/>
        </w:rPr>
        <w:lastRenderedPageBreak/>
        <w:t>reshaped understanding of the dynamic interactions between cancer cells and the host immune system [3]. Together, these scientific developments have laid the foundation for targeted therapy and immunotherapy, which now represent central pillars of modern cancer management.</w:t>
      </w:r>
    </w:p>
    <w:p w14:paraId="6B4BDB62"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Targeted therapies are designed to selectively inhibit molecular pathways that are essential for tumor cell survival and proliferation. These pathways often involve oncogenic driver mutations or aberrantly activated signaling cascades that distinguish cancer cells from normal tissues [4]. By focusing on tumor-specific vulnerabilities, targeted agents aim to maximize therapeutic efficacy while minimizing systemic toxicity. In parallel, immunotherapeutic approaches seek to harness the patient’s own immune system to recognize and eliminate malignant cells by reversing tumor-induced immune suppression [5].</w:t>
      </w:r>
    </w:p>
    <w:p w14:paraId="582C2A7F"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clinical success of both targeted therapy and immunotherapy has transformed treatment paradigms across multiple cancer types, including melanoma, lung cancer, breast cancer, renal cell carcinoma, and hematologic malignancies [6–8]. Importantly, accumulating evidence suggests that these approaches are biologically interconnected rather than mutually exclusive. Targeted therapies can modulate the tumor microenvironment and influence immune responses, while immunotherapy outcomes may depend on tumor-specific molecular features [9]. As a result, combination strategies integrating targeted agents and immunotherapies have emerged as a promising avenue to improve response rates and durability of benefit [10].</w:t>
      </w:r>
    </w:p>
    <w:p w14:paraId="3167398E"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This review critically examines the evolving evidence supporting targeted and immunotherapeutic approaches in cancer. It explores their biological rationale, major therapeutic classes, mechanisms of resistance, biomarker-driven patient selection, and clinical implications, with a focus on how these strategies are reshaping contemporary oncology practice.</w:t>
      </w:r>
    </w:p>
    <w:p w14:paraId="6017DA3F" w14:textId="77777777" w:rsidR="004A5EC1" w:rsidRPr="00791B6B" w:rsidRDefault="00AD1CDF" w:rsidP="00C11D1A">
      <w:pPr>
        <w:spacing w:line="360" w:lineRule="auto"/>
        <w:rPr>
          <w:rFonts w:ascii="Times New Roman" w:hAnsi="Times New Roman" w:cs="Times New Roman"/>
          <w:b/>
          <w:sz w:val="24"/>
          <w:szCs w:val="24"/>
        </w:rPr>
      </w:pPr>
      <w:r w:rsidRPr="00791B6B">
        <w:rPr>
          <w:rFonts w:ascii="Times New Roman" w:hAnsi="Times New Roman" w:cs="Times New Roman"/>
          <w:b/>
          <w:sz w:val="24"/>
          <w:szCs w:val="24"/>
        </w:rPr>
        <w:t xml:space="preserve"> Table No. 1: </w:t>
      </w:r>
      <w:r w:rsidR="004A5EC1" w:rsidRPr="00791B6B">
        <w:rPr>
          <w:rFonts w:ascii="Times New Roman" w:hAnsi="Times New Roman" w:cs="Times New Roman"/>
          <w:b/>
          <w:sz w:val="24"/>
          <w:szCs w:val="24"/>
        </w:rPr>
        <w:t xml:space="preserve">Comparison of Conventional </w:t>
      </w:r>
      <w:r w:rsidR="00C71388" w:rsidRPr="00791B6B">
        <w:rPr>
          <w:rFonts w:ascii="Times New Roman" w:hAnsi="Times New Roman" w:cs="Times New Roman"/>
          <w:b/>
          <w:sz w:val="24"/>
          <w:szCs w:val="24"/>
        </w:rPr>
        <w:t>therapy with targeted and immunotherapy:</w:t>
      </w:r>
    </w:p>
    <w:tbl>
      <w:tblPr>
        <w:tblStyle w:val="TableGrid"/>
        <w:tblW w:w="0" w:type="auto"/>
        <w:tblLook w:val="04A0" w:firstRow="1" w:lastRow="0" w:firstColumn="1" w:lastColumn="0" w:noHBand="0" w:noVBand="1"/>
      </w:tblPr>
      <w:tblGrid>
        <w:gridCol w:w="2082"/>
        <w:gridCol w:w="2345"/>
        <w:gridCol w:w="2113"/>
        <w:gridCol w:w="2612"/>
      </w:tblGrid>
      <w:tr w:rsidR="00DC13AF" w:rsidRPr="00791B6B" w14:paraId="22693AA9" w14:textId="77777777" w:rsidTr="00DC13AF">
        <w:trPr>
          <w:trHeight w:val="1154"/>
        </w:trPr>
        <w:tc>
          <w:tcPr>
            <w:tcW w:w="2082" w:type="dxa"/>
          </w:tcPr>
          <w:p w14:paraId="0E1C7EAD"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Feature</w:t>
            </w:r>
          </w:p>
        </w:tc>
        <w:tc>
          <w:tcPr>
            <w:tcW w:w="2345" w:type="dxa"/>
          </w:tcPr>
          <w:p w14:paraId="763479E0"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Conventional chemotherapy</w:t>
            </w:r>
          </w:p>
        </w:tc>
        <w:tc>
          <w:tcPr>
            <w:tcW w:w="2113" w:type="dxa"/>
          </w:tcPr>
          <w:p w14:paraId="56348E12"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Targeted therapy</w:t>
            </w:r>
          </w:p>
        </w:tc>
        <w:tc>
          <w:tcPr>
            <w:tcW w:w="2612" w:type="dxa"/>
          </w:tcPr>
          <w:p w14:paraId="393B2095"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Immunotherapy</w:t>
            </w:r>
          </w:p>
          <w:p w14:paraId="2C5DB804" w14:textId="77777777" w:rsidR="00DC13AF" w:rsidRPr="00791B6B" w:rsidRDefault="00DC13AF" w:rsidP="00C11D1A">
            <w:pPr>
              <w:spacing w:line="360" w:lineRule="auto"/>
              <w:jc w:val="both"/>
              <w:rPr>
                <w:rFonts w:ascii="Times New Roman" w:hAnsi="Times New Roman" w:cs="Times New Roman"/>
                <w:b/>
                <w:sz w:val="24"/>
                <w:szCs w:val="24"/>
              </w:rPr>
            </w:pPr>
          </w:p>
        </w:tc>
      </w:tr>
      <w:tr w:rsidR="00DC13AF" w:rsidRPr="00791B6B" w14:paraId="7B6DB848" w14:textId="77777777" w:rsidTr="00DC13AF">
        <w:trPr>
          <w:trHeight w:val="568"/>
        </w:trPr>
        <w:tc>
          <w:tcPr>
            <w:tcW w:w="2082" w:type="dxa"/>
          </w:tcPr>
          <w:p w14:paraId="39FC2AA1"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Mechanism</w:t>
            </w:r>
          </w:p>
        </w:tc>
        <w:tc>
          <w:tcPr>
            <w:tcW w:w="2345" w:type="dxa"/>
          </w:tcPr>
          <w:p w14:paraId="19FC3609"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Non-specific cytotoxic effect on rapidly dividing cells</w:t>
            </w:r>
          </w:p>
        </w:tc>
        <w:tc>
          <w:tcPr>
            <w:tcW w:w="2113" w:type="dxa"/>
          </w:tcPr>
          <w:p w14:paraId="7BB1BF0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Inhibits specific molecular targets</w:t>
            </w:r>
            <w:r w:rsidR="00AD1CDF" w:rsidRPr="00791B6B">
              <w:rPr>
                <w:rFonts w:ascii="Times New Roman" w:hAnsi="Times New Roman" w:cs="Times New Roman"/>
                <w:sz w:val="24"/>
                <w:szCs w:val="24"/>
              </w:rPr>
              <w:t xml:space="preserve"> involved in tumor </w:t>
            </w:r>
            <w:r w:rsidR="00AD1CDF" w:rsidRPr="00791B6B">
              <w:rPr>
                <w:rFonts w:ascii="Times New Roman" w:hAnsi="Times New Roman" w:cs="Times New Roman"/>
                <w:sz w:val="24"/>
                <w:szCs w:val="24"/>
              </w:rPr>
              <w:lastRenderedPageBreak/>
              <w:t>growth</w:t>
            </w:r>
          </w:p>
        </w:tc>
        <w:tc>
          <w:tcPr>
            <w:tcW w:w="2612" w:type="dxa"/>
          </w:tcPr>
          <w:p w14:paraId="6CFB3002"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Activates immune response</w:t>
            </w:r>
          </w:p>
        </w:tc>
      </w:tr>
      <w:tr w:rsidR="00DC13AF" w:rsidRPr="00791B6B" w14:paraId="119F98CB" w14:textId="77777777" w:rsidTr="00DC13AF">
        <w:trPr>
          <w:trHeight w:val="568"/>
        </w:trPr>
        <w:tc>
          <w:tcPr>
            <w:tcW w:w="2082" w:type="dxa"/>
          </w:tcPr>
          <w:p w14:paraId="3B43903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Selectivity</w:t>
            </w:r>
          </w:p>
        </w:tc>
        <w:tc>
          <w:tcPr>
            <w:tcW w:w="2345" w:type="dxa"/>
          </w:tcPr>
          <w:p w14:paraId="2A00D478"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Low</w:t>
            </w:r>
          </w:p>
        </w:tc>
        <w:tc>
          <w:tcPr>
            <w:tcW w:w="2113" w:type="dxa"/>
          </w:tcPr>
          <w:p w14:paraId="7CE3B96F"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High</w:t>
            </w:r>
          </w:p>
        </w:tc>
        <w:tc>
          <w:tcPr>
            <w:tcW w:w="2612" w:type="dxa"/>
          </w:tcPr>
          <w:p w14:paraId="474DE038"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mediated tumor specificity</w:t>
            </w:r>
          </w:p>
        </w:tc>
      </w:tr>
      <w:tr w:rsidR="00DC13AF" w:rsidRPr="00791B6B" w14:paraId="7C7B1940" w14:textId="77777777" w:rsidTr="00DC13AF">
        <w:trPr>
          <w:trHeight w:val="568"/>
        </w:trPr>
        <w:tc>
          <w:tcPr>
            <w:tcW w:w="2082" w:type="dxa"/>
          </w:tcPr>
          <w:p w14:paraId="32B54C0F"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Toxicity</w:t>
            </w:r>
          </w:p>
        </w:tc>
        <w:tc>
          <w:tcPr>
            <w:tcW w:w="2345" w:type="dxa"/>
          </w:tcPr>
          <w:p w14:paraId="7033AAA5"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High systemic toxicity</w:t>
            </w:r>
          </w:p>
        </w:tc>
        <w:tc>
          <w:tcPr>
            <w:tcW w:w="2113" w:type="dxa"/>
          </w:tcPr>
          <w:p w14:paraId="09267BE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Moderate</w:t>
            </w:r>
            <w:r w:rsidR="00AD1CDF" w:rsidRPr="00791B6B">
              <w:rPr>
                <w:rFonts w:ascii="Times New Roman" w:hAnsi="Times New Roman" w:cs="Times New Roman"/>
                <w:sz w:val="24"/>
                <w:szCs w:val="24"/>
              </w:rPr>
              <w:t xml:space="preserve">, target dependent toxicity </w:t>
            </w:r>
          </w:p>
        </w:tc>
        <w:tc>
          <w:tcPr>
            <w:tcW w:w="2612" w:type="dxa"/>
          </w:tcPr>
          <w:p w14:paraId="246CC981"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related</w:t>
            </w:r>
            <w:r w:rsidR="00AD1CDF" w:rsidRPr="00791B6B">
              <w:rPr>
                <w:rFonts w:ascii="Times New Roman" w:hAnsi="Times New Roman" w:cs="Times New Roman"/>
                <w:sz w:val="24"/>
                <w:szCs w:val="24"/>
              </w:rPr>
              <w:t xml:space="preserve"> adverse events</w:t>
            </w:r>
          </w:p>
        </w:tc>
      </w:tr>
      <w:tr w:rsidR="00DC13AF" w:rsidRPr="00791B6B" w14:paraId="1C0510E1" w14:textId="77777777" w:rsidTr="00DC13AF">
        <w:trPr>
          <w:trHeight w:val="585"/>
        </w:trPr>
        <w:tc>
          <w:tcPr>
            <w:tcW w:w="2082" w:type="dxa"/>
          </w:tcPr>
          <w:p w14:paraId="19849FB8"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Resistance</w:t>
            </w:r>
          </w:p>
        </w:tc>
        <w:tc>
          <w:tcPr>
            <w:tcW w:w="2345" w:type="dxa"/>
          </w:tcPr>
          <w:p w14:paraId="0FF005E0"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Common</w:t>
            </w:r>
          </w:p>
        </w:tc>
        <w:tc>
          <w:tcPr>
            <w:tcW w:w="2113" w:type="dxa"/>
          </w:tcPr>
          <w:p w14:paraId="061E266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Common</w:t>
            </w:r>
          </w:p>
        </w:tc>
        <w:tc>
          <w:tcPr>
            <w:tcW w:w="2612" w:type="dxa"/>
          </w:tcPr>
          <w:p w14:paraId="4DB46149"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Adaptive or acquired immune resistance</w:t>
            </w:r>
          </w:p>
        </w:tc>
      </w:tr>
      <w:tr w:rsidR="00DC13AF" w:rsidRPr="00791B6B" w14:paraId="46AE864B" w14:textId="77777777" w:rsidTr="00DC13AF">
        <w:trPr>
          <w:trHeight w:val="568"/>
        </w:trPr>
        <w:tc>
          <w:tcPr>
            <w:tcW w:w="2082" w:type="dxa"/>
          </w:tcPr>
          <w:p w14:paraId="096535A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Durability</w:t>
            </w:r>
          </w:p>
        </w:tc>
        <w:tc>
          <w:tcPr>
            <w:tcW w:w="2345" w:type="dxa"/>
          </w:tcPr>
          <w:p w14:paraId="0AC8C83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Limited</w:t>
            </w:r>
          </w:p>
        </w:tc>
        <w:tc>
          <w:tcPr>
            <w:tcW w:w="2113" w:type="dxa"/>
          </w:tcPr>
          <w:p w14:paraId="53B60A26"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Moderate</w:t>
            </w:r>
          </w:p>
        </w:tc>
        <w:tc>
          <w:tcPr>
            <w:tcW w:w="2612" w:type="dxa"/>
          </w:tcPr>
          <w:p w14:paraId="09B02CA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Often long standing</w:t>
            </w:r>
          </w:p>
        </w:tc>
      </w:tr>
    </w:tbl>
    <w:p w14:paraId="3062D3D9" w14:textId="77777777" w:rsidR="004A5EC1" w:rsidRPr="00791B6B" w:rsidRDefault="004A5EC1" w:rsidP="00C11D1A">
      <w:pPr>
        <w:spacing w:line="360" w:lineRule="auto"/>
        <w:jc w:val="both"/>
        <w:rPr>
          <w:rFonts w:ascii="Times New Roman" w:hAnsi="Times New Roman" w:cs="Times New Roman"/>
          <w:sz w:val="24"/>
          <w:szCs w:val="24"/>
        </w:rPr>
      </w:pPr>
    </w:p>
    <w:p w14:paraId="5A65F52F" w14:textId="77777777" w:rsidR="00020375" w:rsidRPr="00791B6B" w:rsidRDefault="00FA351E"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MECHANISMS OF TARGETED THERAPY</w:t>
      </w:r>
      <w:r w:rsidR="00020375" w:rsidRPr="00791B6B">
        <w:rPr>
          <w:rFonts w:ascii="Times New Roman" w:hAnsi="Times New Roman" w:cs="Times New Roman"/>
          <w:b/>
          <w:sz w:val="24"/>
          <w:szCs w:val="24"/>
        </w:rPr>
        <w:t>:</w:t>
      </w:r>
    </w:p>
    <w:p w14:paraId="147C059C" w14:textId="77777777" w:rsidR="00FA351E" w:rsidRPr="00791B6B" w:rsidRDefault="00FA351E"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Molecular Basis and Targets</w:t>
      </w:r>
    </w:p>
    <w:p w14:paraId="74EFFCF9" w14:textId="77777777" w:rsidR="00FA351E" w:rsidRPr="00791B6B" w:rsidRDefault="00FA351E"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Targeted therapies selectively inhibit molecules essential for cancer cell survival, proliferation, angiogenesis, or metastatic spread. These include:</w:t>
      </w:r>
    </w:p>
    <w:p w14:paraId="35C8CB5A"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Receptor tyrosine kinases (RTKs):</w:t>
      </w:r>
      <w:r w:rsidRPr="00791B6B">
        <w:rPr>
          <w:rFonts w:ascii="Times New Roman" w:hAnsi="Times New Roman" w:cs="Times New Roman"/>
          <w:sz w:val="24"/>
          <w:szCs w:val="24"/>
        </w:rPr>
        <w:t xml:space="preserve"> EGFR, VEGFR, HER2</w:t>
      </w:r>
    </w:p>
    <w:p w14:paraId="732E0EF0"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Signal transduction intermediates</w:t>
      </w:r>
      <w:r w:rsidRPr="00791B6B">
        <w:rPr>
          <w:rFonts w:ascii="Times New Roman" w:hAnsi="Times New Roman" w:cs="Times New Roman"/>
          <w:sz w:val="24"/>
          <w:szCs w:val="24"/>
        </w:rPr>
        <w:t>: BRAF, MEK, PI3K</w:t>
      </w:r>
    </w:p>
    <w:p w14:paraId="490005D2"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Hormone receptors:</w:t>
      </w:r>
      <w:r w:rsidRPr="00791B6B">
        <w:rPr>
          <w:rFonts w:ascii="Times New Roman" w:hAnsi="Times New Roman" w:cs="Times New Roman"/>
          <w:sz w:val="24"/>
          <w:szCs w:val="24"/>
        </w:rPr>
        <w:t xml:space="preserve"> estrogen and androgen receptors</w:t>
      </w:r>
    </w:p>
    <w:p w14:paraId="20EC3437"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Cell cycle regulators:</w:t>
      </w:r>
      <w:r w:rsidRPr="00791B6B">
        <w:rPr>
          <w:rFonts w:ascii="Times New Roman" w:hAnsi="Times New Roman" w:cs="Times New Roman"/>
          <w:sz w:val="24"/>
          <w:szCs w:val="24"/>
        </w:rPr>
        <w:t xml:space="preserve"> CDK4/6</w:t>
      </w:r>
    </w:p>
    <w:p w14:paraId="209BDD2D" w14:textId="77777777" w:rsidR="004154E2" w:rsidRPr="00791B6B" w:rsidRDefault="00FA351E"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By disrupting these oncogenic pathways, targeted agents minimize off-target effects and improve tolerability compared with conventional chemotherapy. </w:t>
      </w:r>
      <w:r w:rsidR="004154E2" w:rsidRPr="00791B6B">
        <w:rPr>
          <w:rFonts w:ascii="Times New Roman" w:hAnsi="Times New Roman" w:cs="Times New Roman"/>
          <w:sz w:val="24"/>
          <w:szCs w:val="24"/>
        </w:rPr>
        <w:t>Many cancers are driven by activating mutations or overexpression of receptor tyrosine kinases such as EGFR, HER2, and VEGFR, which initiate downstream signaling cascades promoting uncontrolled cell growth [6–9]. Inhibition of these receptors or their downstream mediators, including BRAF, MEK, PI3K, and CDK4/6, has led to substantial improvements in clinical outcomes [10–12].</w:t>
      </w:r>
    </w:p>
    <w:p w14:paraId="1680CDDC" w14:textId="77777777" w:rsidR="00FA351E" w:rsidRPr="00791B6B" w:rsidRDefault="004154E2"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Unlike conventional chemotherapy, targeted agents are designed to exploit tumor-specific vulnerabilities, thereby reducing off-target toxicity and improving tolerability. The clinical success of imatinib in chronic myeloid leukemia established proof-of-concept for molecularly </w:t>
      </w:r>
      <w:r w:rsidRPr="00791B6B">
        <w:rPr>
          <w:rFonts w:ascii="Times New Roman" w:hAnsi="Times New Roman" w:cs="Times New Roman"/>
          <w:sz w:val="24"/>
          <w:szCs w:val="24"/>
        </w:rPr>
        <w:lastRenderedPageBreak/>
        <w:t>targeted therapy and paved the way for the development of numerous kinase inhibitors across solid and hematological malignancies [6].</w:t>
      </w:r>
    </w:p>
    <w:p w14:paraId="66662179" w14:textId="77777777" w:rsidR="00C71388" w:rsidRPr="00791B6B" w:rsidRDefault="002942DE"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 xml:space="preserve">Table No.2: </w:t>
      </w:r>
      <w:r w:rsidR="00C71388" w:rsidRPr="00791B6B">
        <w:rPr>
          <w:rFonts w:ascii="Times New Roman" w:hAnsi="Times New Roman" w:cs="Times New Roman"/>
          <w:b/>
          <w:sz w:val="24"/>
          <w:szCs w:val="24"/>
        </w:rPr>
        <w:t>Common targeted therapies, their</w:t>
      </w:r>
      <w:r w:rsidRPr="00791B6B">
        <w:rPr>
          <w:rFonts w:ascii="Times New Roman" w:hAnsi="Times New Roman" w:cs="Times New Roman"/>
          <w:b/>
          <w:sz w:val="24"/>
          <w:szCs w:val="24"/>
        </w:rPr>
        <w:t xml:space="preserve"> molecular targets</w:t>
      </w:r>
      <w:r w:rsidR="00C71388" w:rsidRPr="00791B6B">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2394"/>
        <w:gridCol w:w="2394"/>
        <w:gridCol w:w="2394"/>
        <w:gridCol w:w="2394"/>
      </w:tblGrid>
      <w:tr w:rsidR="00DC13AF" w:rsidRPr="00791B6B" w14:paraId="24F611BD" w14:textId="77777777" w:rsidTr="00DC13AF">
        <w:tc>
          <w:tcPr>
            <w:tcW w:w="2394" w:type="dxa"/>
          </w:tcPr>
          <w:p w14:paraId="771F13C4"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Drug class</w:t>
            </w:r>
          </w:p>
        </w:tc>
        <w:tc>
          <w:tcPr>
            <w:tcW w:w="2394" w:type="dxa"/>
          </w:tcPr>
          <w:p w14:paraId="7E464D38"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Molecular targets</w:t>
            </w:r>
          </w:p>
        </w:tc>
        <w:tc>
          <w:tcPr>
            <w:tcW w:w="2394" w:type="dxa"/>
          </w:tcPr>
          <w:p w14:paraId="6A0D69D5"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Cancer types</w:t>
            </w:r>
          </w:p>
        </w:tc>
        <w:tc>
          <w:tcPr>
            <w:tcW w:w="2394" w:type="dxa"/>
          </w:tcPr>
          <w:p w14:paraId="1FA20066" w14:textId="77777777" w:rsidR="00DC13AF" w:rsidRPr="00791B6B" w:rsidRDefault="00167CDD"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Example agents</w:t>
            </w:r>
          </w:p>
        </w:tc>
      </w:tr>
      <w:tr w:rsidR="00DC13AF" w:rsidRPr="00791B6B" w14:paraId="7009754D" w14:textId="77777777" w:rsidTr="00DC13AF">
        <w:tc>
          <w:tcPr>
            <w:tcW w:w="2394" w:type="dxa"/>
          </w:tcPr>
          <w:p w14:paraId="0F133A7B"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TKIs</w:t>
            </w:r>
          </w:p>
        </w:tc>
        <w:tc>
          <w:tcPr>
            <w:tcW w:w="2394" w:type="dxa"/>
          </w:tcPr>
          <w:p w14:paraId="6FB74AB6" w14:textId="77777777" w:rsidR="00DC13AF" w:rsidRPr="00791B6B" w:rsidRDefault="00167CDD" w:rsidP="00C11D1A">
            <w:pPr>
              <w:spacing w:line="360" w:lineRule="auto"/>
              <w:rPr>
                <w:rFonts w:ascii="Times New Roman" w:hAnsi="Times New Roman" w:cs="Times New Roman"/>
                <w:sz w:val="24"/>
                <w:szCs w:val="24"/>
              </w:rPr>
            </w:pPr>
            <w:r w:rsidRPr="00791B6B">
              <w:rPr>
                <w:rFonts w:ascii="Times New Roman" w:hAnsi="Times New Roman" w:cs="Times New Roman"/>
                <w:sz w:val="24"/>
                <w:szCs w:val="24"/>
              </w:rPr>
              <w:t>EGFR, ALK, BRAF</w:t>
            </w:r>
          </w:p>
        </w:tc>
        <w:tc>
          <w:tcPr>
            <w:tcW w:w="2394" w:type="dxa"/>
          </w:tcPr>
          <w:p w14:paraId="65BA13A3" w14:textId="77777777" w:rsidR="00DC13AF" w:rsidRPr="00791B6B" w:rsidRDefault="00167CDD" w:rsidP="00C11D1A">
            <w:pPr>
              <w:spacing w:line="360" w:lineRule="auto"/>
              <w:rPr>
                <w:rFonts w:ascii="Times New Roman" w:hAnsi="Times New Roman" w:cs="Times New Roman"/>
                <w:sz w:val="24"/>
                <w:szCs w:val="24"/>
              </w:rPr>
            </w:pPr>
            <w:r w:rsidRPr="00791B6B">
              <w:rPr>
                <w:rFonts w:ascii="Times New Roman" w:hAnsi="Times New Roman" w:cs="Times New Roman"/>
                <w:sz w:val="24"/>
                <w:szCs w:val="24"/>
              </w:rPr>
              <w:t>Lung, Melanoma</w:t>
            </w:r>
          </w:p>
        </w:tc>
        <w:tc>
          <w:tcPr>
            <w:tcW w:w="2394" w:type="dxa"/>
          </w:tcPr>
          <w:p w14:paraId="2E90473B" w14:textId="77777777" w:rsidR="00DC13AF" w:rsidRPr="00791B6B" w:rsidRDefault="00167CDD" w:rsidP="00C11D1A">
            <w:pPr>
              <w:spacing w:line="360" w:lineRule="auto"/>
              <w:rPr>
                <w:rFonts w:ascii="Times New Roman" w:hAnsi="Times New Roman" w:cs="Times New Roman"/>
                <w:sz w:val="24"/>
                <w:szCs w:val="24"/>
              </w:rPr>
            </w:pPr>
            <w:r w:rsidRPr="00791B6B">
              <w:rPr>
                <w:rFonts w:ascii="Times New Roman" w:hAnsi="Times New Roman" w:cs="Times New Roman"/>
                <w:sz w:val="24"/>
                <w:szCs w:val="24"/>
              </w:rPr>
              <w:t>Erlotinib, crizotinib</w:t>
            </w:r>
          </w:p>
        </w:tc>
      </w:tr>
      <w:tr w:rsidR="00DC13AF" w:rsidRPr="00791B6B" w14:paraId="01216BCB" w14:textId="77777777" w:rsidTr="00DC13AF">
        <w:tc>
          <w:tcPr>
            <w:tcW w:w="2394" w:type="dxa"/>
          </w:tcPr>
          <w:p w14:paraId="35E60721"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Monoclonal antibodies</w:t>
            </w:r>
          </w:p>
        </w:tc>
        <w:tc>
          <w:tcPr>
            <w:tcW w:w="2394" w:type="dxa"/>
          </w:tcPr>
          <w:p w14:paraId="54AC5614"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HER2, VEGF</w:t>
            </w:r>
          </w:p>
        </w:tc>
        <w:tc>
          <w:tcPr>
            <w:tcW w:w="2394" w:type="dxa"/>
          </w:tcPr>
          <w:p w14:paraId="726F15FA"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Breast, CRC</w:t>
            </w:r>
          </w:p>
        </w:tc>
        <w:tc>
          <w:tcPr>
            <w:tcW w:w="2394" w:type="dxa"/>
          </w:tcPr>
          <w:p w14:paraId="2AAB1A6C"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Trastuzumab, Bevacizumab</w:t>
            </w:r>
          </w:p>
        </w:tc>
      </w:tr>
      <w:tr w:rsidR="00DC13AF" w:rsidRPr="00791B6B" w14:paraId="0CCBA5BD" w14:textId="77777777" w:rsidTr="00DC13AF">
        <w:tc>
          <w:tcPr>
            <w:tcW w:w="2394" w:type="dxa"/>
          </w:tcPr>
          <w:p w14:paraId="7A30F3F4"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CDK Inhibitors</w:t>
            </w:r>
          </w:p>
        </w:tc>
        <w:tc>
          <w:tcPr>
            <w:tcW w:w="2394" w:type="dxa"/>
          </w:tcPr>
          <w:p w14:paraId="430BD419"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CDK4/6</w:t>
            </w:r>
          </w:p>
        </w:tc>
        <w:tc>
          <w:tcPr>
            <w:tcW w:w="2394" w:type="dxa"/>
          </w:tcPr>
          <w:p w14:paraId="37D49D39"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Breast cancer</w:t>
            </w:r>
          </w:p>
        </w:tc>
        <w:tc>
          <w:tcPr>
            <w:tcW w:w="2394" w:type="dxa"/>
          </w:tcPr>
          <w:p w14:paraId="72A05AE3" w14:textId="77777777" w:rsidR="00DC13AF" w:rsidRPr="00791B6B" w:rsidRDefault="00167CDD"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Palbociclib</w:t>
            </w:r>
          </w:p>
        </w:tc>
      </w:tr>
    </w:tbl>
    <w:p w14:paraId="7BA1ED18" w14:textId="77777777" w:rsidR="00C4265C" w:rsidRPr="00791B6B" w:rsidRDefault="00C4265C" w:rsidP="00C11D1A">
      <w:pPr>
        <w:spacing w:line="360" w:lineRule="auto"/>
        <w:jc w:val="both"/>
        <w:rPr>
          <w:rFonts w:ascii="Times New Roman" w:hAnsi="Times New Roman" w:cs="Times New Roman"/>
          <w:b/>
          <w:noProof/>
          <w:sz w:val="24"/>
          <w:szCs w:val="24"/>
        </w:rPr>
      </w:pPr>
      <w:r w:rsidRPr="00791B6B">
        <w:rPr>
          <w:rFonts w:ascii="Times New Roman" w:hAnsi="Times New Roman" w:cs="Times New Roman"/>
          <w:b/>
          <w:sz w:val="24"/>
          <w:szCs w:val="24"/>
        </w:rPr>
        <w:t>Tyrosine Kinase Inhibitors:</w:t>
      </w:r>
    </w:p>
    <w:p w14:paraId="0E119CB8"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Tyrosine kinases play a central role in regulating cellular processes such as proliferation, differentiation, migration, and survival. Dysregulation of these enzymes through mutations, amplifications, or chromosomal rearrangements contributes to oncogenesis in numerous malignancies [8]. Tyrosine kinase inhibitors (TKIs) act by competitively inhibiting ATP-binding sites, thereby preventing downstream signal transduction.</w:t>
      </w:r>
    </w:p>
    <w:p w14:paraId="54B60101"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clinical success of TKIs was first demonstrated in chronic myeloid leukemia with inhibitors targeting the BCR–ABL fusion protein, leading to unprecedented improvements in survival [6]. This success validated the concept that targeting a dominant oncogenic driver could profoundly alter disease course. Subsequently, TKIs targeting EGFR, ALK, and ROS1 have demonstrated significant efficacy in molecularly selected patients with non-small cell lung cancer [9–11]. Similarly, BRAF and MEK inhibitors have improved outcomes in melanoma harboring BRAF V600 mutations [10].</w:t>
      </w:r>
    </w:p>
    <w:p w14:paraId="65516C1C"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high initial response rates, resistance to TKIs frequently develops due to secondary mutations, activation of bypass signaling pathways, or phenotypic transformation [29]. These challenges have prompted the development of next-generation inhibitors and rational combination strategies to overcome resistance mechanisms [56].</w:t>
      </w:r>
    </w:p>
    <w:p w14:paraId="7FAD6BD3" w14:textId="77777777" w:rsidR="00C4265C" w:rsidRPr="00791B6B" w:rsidRDefault="00C4265C"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Monoclonal Antibodies:</w:t>
      </w:r>
    </w:p>
    <w:p w14:paraId="3B0E6EF2"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Monoclonal antibodies constitute another major class of targeted therapeutics. These agents are designed to recognize specific extracellular antigens expressed on tumor cells or within the </w:t>
      </w:r>
      <w:r w:rsidRPr="00791B6B">
        <w:rPr>
          <w:rFonts w:ascii="Times New Roman" w:hAnsi="Times New Roman" w:cs="Times New Roman"/>
          <w:sz w:val="24"/>
          <w:szCs w:val="24"/>
        </w:rPr>
        <w:lastRenderedPageBreak/>
        <w:t>tumor microenvironment. Their mechanisms of action include blockade of ligand–receptor interactions, induction of antibody-dependent cellular cytotoxicity, complement activation, and delivery of cytotoxic conjugates [7].</w:t>
      </w:r>
    </w:p>
    <w:p w14:paraId="33C305F8"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Antibodies targeting HER2 have dramatically improved outcomes in HER2-positive breast cancer, while agents directed against VEGF have demonstrated benefit in colorectal, lung, and renal cell carcinomas [7,13]. In addition to direct antitumor effects, monoclonal antibodies can modulate immune responses, further blurring the distinction between targeted therapy and immunotherapy [45].</w:t>
      </w:r>
    </w:p>
    <w:p w14:paraId="5BC8BC94" w14:textId="77777777" w:rsidR="00C4265C" w:rsidRPr="00791B6B" w:rsidRDefault="00C4265C"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Cell cycle and Intracellular signaling Inhibitors:</w:t>
      </w:r>
    </w:p>
    <w:p w14:paraId="3EF77087" w14:textId="77777777" w:rsidR="00C4265C" w:rsidRPr="00791B6B" w:rsidRDefault="00CF6706"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Loss of normal cell cycle regulation is a fundamental feature observed across multiple cancer types</w:t>
      </w:r>
      <w:r w:rsidR="00C4265C" w:rsidRPr="00791B6B">
        <w:rPr>
          <w:rFonts w:ascii="Times New Roman" w:hAnsi="Times New Roman" w:cs="Times New Roman"/>
          <w:sz w:val="24"/>
          <w:szCs w:val="24"/>
        </w:rPr>
        <w:t>. Cyclin-dependent kinase (CDK) inhibitors, particularly those targeting CDK4 and CDK6, arrest tumor cells in the G1 phase of the cell cycle and have demonstrated substantial benefit in hormone receptor–positive breast cancer [12]. Inhibitors targeting intracellular signaling pathways such as PI3K, AKT, and mTOR have further expanded therapeutic options for patients with advanced malignancies [15].</w:t>
      </w:r>
    </w:p>
    <w:p w14:paraId="35A4C110" w14:textId="77777777" w:rsidR="002942DE"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Although targeted therapies have significantly improved clinical outcomes, their effectiveness is often limited by tumor heterogeneity and adaptive resistance. These limitations highlight the need for integrated treatment approaches that address both tumor-intrinsic and immune-mediated mechanisms of disease progression.</w:t>
      </w:r>
    </w:p>
    <w:p w14:paraId="0C8F4A5F" w14:textId="77777777" w:rsidR="00910879" w:rsidRPr="00791B6B" w:rsidRDefault="00910879" w:rsidP="004A5EC1">
      <w:pPr>
        <w:spacing w:line="360" w:lineRule="auto"/>
        <w:jc w:val="both"/>
        <w:rPr>
          <w:rFonts w:ascii="Times New Roman" w:hAnsi="Times New Roman" w:cs="Times New Roman"/>
          <w:sz w:val="24"/>
          <w:szCs w:val="24"/>
        </w:rPr>
      </w:pPr>
      <w:r w:rsidRPr="00791B6B">
        <w:rPr>
          <w:rFonts w:ascii="Times New Roman" w:hAnsi="Times New Roman" w:cs="Times New Roman"/>
          <w:noProof/>
          <w:sz w:val="24"/>
          <w:szCs w:val="24"/>
        </w:rPr>
        <w:lastRenderedPageBreak/>
        <w:drawing>
          <wp:inline distT="0" distB="0" distL="0" distR="0" wp14:anchorId="032E2610" wp14:editId="52816F24">
            <wp:extent cx="5557520" cy="2638213"/>
            <wp:effectExtent l="19050" t="19050" r="2413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451" b="16451"/>
                    <a:stretch/>
                  </pic:blipFill>
                  <pic:spPr bwMode="auto">
                    <a:xfrm>
                      <a:off x="0" y="0"/>
                      <a:ext cx="5557520" cy="2638213"/>
                    </a:xfrm>
                    <a:prstGeom prst="rect">
                      <a:avLst/>
                    </a:prstGeom>
                    <a:noFill/>
                    <a:ln>
                      <a:solidFill>
                        <a:schemeClr val="tx1"/>
                      </a:solidFill>
                    </a:ln>
                  </pic:spPr>
                </pic:pic>
              </a:graphicData>
            </a:graphic>
          </wp:inline>
        </w:drawing>
      </w:r>
    </w:p>
    <w:p w14:paraId="7024E3E5" w14:textId="77777777" w:rsidR="002942DE" w:rsidRPr="00791B6B" w:rsidRDefault="002942DE" w:rsidP="002942DE">
      <w:pPr>
        <w:spacing w:line="360" w:lineRule="auto"/>
        <w:rPr>
          <w:rFonts w:ascii="Times New Roman" w:hAnsi="Times New Roman" w:cs="Times New Roman"/>
          <w:b/>
          <w:sz w:val="24"/>
          <w:szCs w:val="24"/>
        </w:rPr>
      </w:pPr>
      <w:r w:rsidRPr="00791B6B">
        <w:rPr>
          <w:rFonts w:ascii="Times New Roman" w:hAnsi="Times New Roman" w:cs="Times New Roman"/>
          <w:b/>
          <w:sz w:val="24"/>
          <w:szCs w:val="24"/>
        </w:rPr>
        <w:t>Figure 1: Mechanism of action of targeted therapies disrupting oncogenic signaling pathways.</w:t>
      </w:r>
    </w:p>
    <w:p w14:paraId="5247A9AC" w14:textId="77777777" w:rsidR="002942DE" w:rsidRPr="00791B6B" w:rsidRDefault="002942DE" w:rsidP="002942DE">
      <w:pPr>
        <w:spacing w:line="360" w:lineRule="auto"/>
        <w:rPr>
          <w:rFonts w:ascii="Times New Roman" w:hAnsi="Times New Roman" w:cs="Times New Roman"/>
          <w:b/>
          <w:sz w:val="24"/>
          <w:szCs w:val="24"/>
        </w:rPr>
      </w:pPr>
    </w:p>
    <w:p w14:paraId="22451177" w14:textId="77777777" w:rsidR="00EF161B"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IMMUNOTHERAPEUTIC APPROACHES IN CANCER:</w:t>
      </w:r>
    </w:p>
    <w:p w14:paraId="4EBBBDDF" w14:textId="77777777" w:rsidR="009D0AC9"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Immune Surveillance and Tumor Immune Evasion</w:t>
      </w:r>
      <w:r w:rsidR="00FB0AE0" w:rsidRPr="00791B6B">
        <w:rPr>
          <w:rFonts w:ascii="Times New Roman" w:hAnsi="Times New Roman" w:cs="Times New Roman"/>
          <w:b/>
          <w:sz w:val="24"/>
          <w:szCs w:val="24"/>
        </w:rPr>
        <w:t>:</w:t>
      </w:r>
    </w:p>
    <w:p w14:paraId="13700455" w14:textId="77777777" w:rsidR="009D0AC9" w:rsidRPr="00791B6B" w:rsidRDefault="009D0AC9"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immune system plays a crucial role in recognizing and eliminating malignant cells through a process known as cancer immune surveillance. However, tumor cells can acquire mechanisms that allow them to evade immune detection and destruction, leading to tumor progression and metastasis [3,4,47]. These mechanisms include downregulation of tumor antigens, impairment of antigen presentation machinery, secretion of immunosuppressive cytokines, and activation of inhibitory immune checkpoint pathways [27,29].</w:t>
      </w:r>
    </w:p>
    <w:p w14:paraId="4B62EF12" w14:textId="77777777" w:rsidR="009D0AC9" w:rsidRPr="00791B6B" w:rsidRDefault="009D0AC9"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concept of cancer immunoediting describes the dynamic interaction between the immune system and tumor cells, encompassing phases of elimination, equilibrium, and escape. During the escape phase, tumors exploit immune regulatory pathways to suppress effective antitumor responses, thereby enabling disease progression [47,60].</w:t>
      </w:r>
    </w:p>
    <w:p w14:paraId="2D7A563D" w14:textId="77777777" w:rsidR="00167CDD" w:rsidRPr="00791B6B" w:rsidRDefault="002942DE" w:rsidP="002942DE">
      <w:pPr>
        <w:spacing w:line="360" w:lineRule="auto"/>
        <w:rPr>
          <w:rFonts w:ascii="Times New Roman" w:hAnsi="Times New Roman" w:cs="Times New Roman"/>
          <w:b/>
          <w:sz w:val="24"/>
          <w:szCs w:val="24"/>
        </w:rPr>
      </w:pPr>
      <w:r w:rsidRPr="00791B6B">
        <w:rPr>
          <w:rFonts w:ascii="Times New Roman" w:hAnsi="Times New Roman" w:cs="Times New Roman"/>
          <w:b/>
          <w:sz w:val="24"/>
          <w:szCs w:val="24"/>
        </w:rPr>
        <w:t>Table 3: C</w:t>
      </w:r>
      <w:r w:rsidR="00293FF7" w:rsidRPr="00791B6B">
        <w:rPr>
          <w:rFonts w:ascii="Times New Roman" w:hAnsi="Times New Roman" w:cs="Times New Roman"/>
          <w:b/>
          <w:sz w:val="24"/>
          <w:szCs w:val="24"/>
        </w:rPr>
        <w:t xml:space="preserve">lassification of immunotherapeutic approaches in cancer:               </w:t>
      </w:r>
    </w:p>
    <w:tbl>
      <w:tblPr>
        <w:tblStyle w:val="TableGrid"/>
        <w:tblW w:w="0" w:type="auto"/>
        <w:tblLook w:val="04A0" w:firstRow="1" w:lastRow="0" w:firstColumn="1" w:lastColumn="0" w:noHBand="0" w:noVBand="1"/>
      </w:tblPr>
      <w:tblGrid>
        <w:gridCol w:w="2394"/>
        <w:gridCol w:w="2394"/>
        <w:gridCol w:w="2394"/>
        <w:gridCol w:w="2394"/>
      </w:tblGrid>
      <w:tr w:rsidR="00167CDD" w:rsidRPr="00791B6B" w14:paraId="49E39B38" w14:textId="77777777" w:rsidTr="00167CDD">
        <w:tc>
          <w:tcPr>
            <w:tcW w:w="2394" w:type="dxa"/>
          </w:tcPr>
          <w:p w14:paraId="494B2DB0"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lastRenderedPageBreak/>
              <w:t xml:space="preserve">Type </w:t>
            </w:r>
          </w:p>
        </w:tc>
        <w:tc>
          <w:tcPr>
            <w:tcW w:w="2394" w:type="dxa"/>
          </w:tcPr>
          <w:p w14:paraId="6424965F"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Target/mechanism</w:t>
            </w:r>
          </w:p>
        </w:tc>
        <w:tc>
          <w:tcPr>
            <w:tcW w:w="2394" w:type="dxa"/>
          </w:tcPr>
          <w:p w14:paraId="6AA9A7C1"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Examples</w:t>
            </w:r>
          </w:p>
        </w:tc>
        <w:tc>
          <w:tcPr>
            <w:tcW w:w="2394" w:type="dxa"/>
          </w:tcPr>
          <w:p w14:paraId="099590E0"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Approved Indications</w:t>
            </w:r>
          </w:p>
        </w:tc>
      </w:tr>
      <w:tr w:rsidR="00167CDD" w:rsidRPr="00791B6B" w14:paraId="767D11DF" w14:textId="77777777" w:rsidTr="00167CDD">
        <w:tc>
          <w:tcPr>
            <w:tcW w:w="2394" w:type="dxa"/>
          </w:tcPr>
          <w:p w14:paraId="3BC695E0" w14:textId="77777777" w:rsidR="00167CDD" w:rsidRPr="00791B6B" w:rsidRDefault="00167CDD" w:rsidP="00167CDD">
            <w:pPr>
              <w:spacing w:line="360" w:lineRule="auto"/>
              <w:rPr>
                <w:rFonts w:ascii="Times New Roman" w:hAnsi="Times New Roman" w:cs="Times New Roman"/>
                <w:sz w:val="24"/>
                <w:szCs w:val="24"/>
              </w:rPr>
            </w:pPr>
            <w:r w:rsidRPr="00791B6B">
              <w:rPr>
                <w:rFonts w:ascii="Times New Roman" w:hAnsi="Times New Roman" w:cs="Times New Roman"/>
                <w:sz w:val="24"/>
                <w:szCs w:val="24"/>
              </w:rPr>
              <w:t>Check point inhibitors</w:t>
            </w:r>
          </w:p>
        </w:tc>
        <w:tc>
          <w:tcPr>
            <w:tcW w:w="2394" w:type="dxa"/>
          </w:tcPr>
          <w:p w14:paraId="4C7086BE" w14:textId="77777777" w:rsidR="00167CDD" w:rsidRPr="00791B6B" w:rsidRDefault="00167CDD" w:rsidP="00167CDD">
            <w:pPr>
              <w:spacing w:line="360" w:lineRule="auto"/>
              <w:rPr>
                <w:rFonts w:ascii="Times New Roman" w:hAnsi="Times New Roman" w:cs="Times New Roman"/>
                <w:sz w:val="24"/>
                <w:szCs w:val="24"/>
              </w:rPr>
            </w:pPr>
            <w:r w:rsidRPr="00791B6B">
              <w:rPr>
                <w:rFonts w:ascii="Times New Roman" w:hAnsi="Times New Roman" w:cs="Times New Roman"/>
                <w:sz w:val="24"/>
                <w:szCs w:val="24"/>
              </w:rPr>
              <w:t>PD-1/PD-L1, CTLA-4</w:t>
            </w:r>
          </w:p>
        </w:tc>
        <w:tc>
          <w:tcPr>
            <w:tcW w:w="2394" w:type="dxa"/>
          </w:tcPr>
          <w:p w14:paraId="13EE1519"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Nivolumab, Pembrolizumab</w:t>
            </w:r>
          </w:p>
        </w:tc>
        <w:tc>
          <w:tcPr>
            <w:tcW w:w="2394" w:type="dxa"/>
          </w:tcPr>
          <w:p w14:paraId="2FAC0D0A"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Melanoma, Lung</w:t>
            </w:r>
          </w:p>
        </w:tc>
      </w:tr>
      <w:tr w:rsidR="00167CDD" w:rsidRPr="00791B6B" w14:paraId="735B742D" w14:textId="77777777" w:rsidTr="00167CDD">
        <w:tc>
          <w:tcPr>
            <w:tcW w:w="2394" w:type="dxa"/>
          </w:tcPr>
          <w:p w14:paraId="37237EAA"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CAR-T Therapy</w:t>
            </w:r>
          </w:p>
        </w:tc>
        <w:tc>
          <w:tcPr>
            <w:tcW w:w="2394" w:type="dxa"/>
          </w:tcPr>
          <w:p w14:paraId="67BF13E6"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CD19, BCMA</w:t>
            </w:r>
          </w:p>
        </w:tc>
        <w:tc>
          <w:tcPr>
            <w:tcW w:w="2394" w:type="dxa"/>
          </w:tcPr>
          <w:p w14:paraId="286B5E16" w14:textId="77777777" w:rsidR="00167CDD" w:rsidRPr="00791B6B" w:rsidRDefault="00167CDD" w:rsidP="004A5EC1">
            <w:p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Tisagenlecleucel</w:t>
            </w:r>
            <w:proofErr w:type="spellEnd"/>
          </w:p>
        </w:tc>
        <w:tc>
          <w:tcPr>
            <w:tcW w:w="2394" w:type="dxa"/>
          </w:tcPr>
          <w:p w14:paraId="3A052B50"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Leukemia, Lymphoma</w:t>
            </w:r>
          </w:p>
        </w:tc>
      </w:tr>
      <w:tr w:rsidR="00167CDD" w:rsidRPr="00791B6B" w14:paraId="1FBC18AE" w14:textId="77777777" w:rsidTr="00167CDD">
        <w:tc>
          <w:tcPr>
            <w:tcW w:w="2394" w:type="dxa"/>
          </w:tcPr>
          <w:p w14:paraId="1684D391"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Cancer vaccines</w:t>
            </w:r>
          </w:p>
        </w:tc>
        <w:tc>
          <w:tcPr>
            <w:tcW w:w="2394" w:type="dxa"/>
          </w:tcPr>
          <w:p w14:paraId="00B526D7"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Tumor antigens</w:t>
            </w:r>
          </w:p>
        </w:tc>
        <w:tc>
          <w:tcPr>
            <w:tcW w:w="2394" w:type="dxa"/>
          </w:tcPr>
          <w:p w14:paraId="409FAC52" w14:textId="77777777" w:rsidR="00167CDD" w:rsidRPr="00791B6B" w:rsidRDefault="00167CDD" w:rsidP="004A5EC1">
            <w:p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Sipuleucel</w:t>
            </w:r>
            <w:proofErr w:type="spellEnd"/>
            <w:r w:rsidRPr="00791B6B">
              <w:rPr>
                <w:rFonts w:ascii="Times New Roman" w:hAnsi="Times New Roman" w:cs="Times New Roman"/>
                <w:sz w:val="24"/>
                <w:szCs w:val="24"/>
              </w:rPr>
              <w:t>-T</w:t>
            </w:r>
          </w:p>
        </w:tc>
        <w:tc>
          <w:tcPr>
            <w:tcW w:w="2394" w:type="dxa"/>
          </w:tcPr>
          <w:p w14:paraId="48A291B1"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Prostate cancer</w:t>
            </w:r>
          </w:p>
        </w:tc>
      </w:tr>
      <w:tr w:rsidR="00167CDD" w:rsidRPr="00791B6B" w14:paraId="781C8EAA" w14:textId="77777777" w:rsidTr="00167CDD">
        <w:tc>
          <w:tcPr>
            <w:tcW w:w="2394" w:type="dxa"/>
          </w:tcPr>
          <w:p w14:paraId="0E0B9BD6"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Oncolytic virus</w:t>
            </w:r>
          </w:p>
        </w:tc>
        <w:tc>
          <w:tcPr>
            <w:tcW w:w="2394" w:type="dxa"/>
          </w:tcPr>
          <w:p w14:paraId="6E66254D" w14:textId="77777777" w:rsidR="00167CDD" w:rsidRPr="00791B6B" w:rsidRDefault="00843FB7" w:rsidP="00843FB7">
            <w:pPr>
              <w:spacing w:line="360" w:lineRule="auto"/>
              <w:rPr>
                <w:rFonts w:ascii="Times New Roman" w:hAnsi="Times New Roman" w:cs="Times New Roman"/>
                <w:sz w:val="24"/>
                <w:szCs w:val="24"/>
              </w:rPr>
            </w:pPr>
            <w:r w:rsidRPr="00791B6B">
              <w:rPr>
                <w:rFonts w:ascii="Times New Roman" w:hAnsi="Times New Roman" w:cs="Times New Roman"/>
                <w:sz w:val="24"/>
                <w:szCs w:val="24"/>
              </w:rPr>
              <w:t>Tumor lysis + Immunity</w:t>
            </w:r>
          </w:p>
        </w:tc>
        <w:tc>
          <w:tcPr>
            <w:tcW w:w="2394" w:type="dxa"/>
          </w:tcPr>
          <w:p w14:paraId="5FB1DC87"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T-VEC</w:t>
            </w:r>
          </w:p>
        </w:tc>
        <w:tc>
          <w:tcPr>
            <w:tcW w:w="2394" w:type="dxa"/>
          </w:tcPr>
          <w:p w14:paraId="45661410"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Melanoma</w:t>
            </w:r>
          </w:p>
        </w:tc>
      </w:tr>
    </w:tbl>
    <w:p w14:paraId="7A99FC53" w14:textId="77777777" w:rsidR="00293FF7" w:rsidRPr="00791B6B" w:rsidRDefault="00293FF7" w:rsidP="004A5EC1">
      <w:pPr>
        <w:spacing w:line="360" w:lineRule="auto"/>
        <w:jc w:val="both"/>
        <w:rPr>
          <w:rFonts w:ascii="Times New Roman" w:hAnsi="Times New Roman" w:cs="Times New Roman"/>
          <w:sz w:val="24"/>
          <w:szCs w:val="24"/>
        </w:rPr>
      </w:pPr>
    </w:p>
    <w:p w14:paraId="00720400" w14:textId="77777777" w:rsidR="009D0AC9"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Immune Checkpoint Inhibitors</w:t>
      </w:r>
      <w:r w:rsidR="00FB0AE0" w:rsidRPr="00791B6B">
        <w:rPr>
          <w:rFonts w:ascii="Times New Roman" w:hAnsi="Times New Roman" w:cs="Times New Roman"/>
          <w:b/>
          <w:sz w:val="24"/>
          <w:szCs w:val="24"/>
        </w:rPr>
        <w:t>:</w:t>
      </w:r>
    </w:p>
    <w:p w14:paraId="3110339E"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checkpoints are inhibitory signaling pathways that regulate T-cell activation and prevent autoimmunity. Tumors frequently exploit these checkpoints to suppress antitumor immunity. The most extensively studied immune checkpoints include cytotoxic T-lymphocyte–associated protein 4 (CTLA-4) and programmed cell death protein 1 (PD-1) and its ligand PD-L1 [3,4].</w:t>
      </w:r>
    </w:p>
    <w:p w14:paraId="5598F00B"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Checkpoint inhibitors targeting CTLA-4 (ipilimumab), PD-1 (nivolumab, pembrolizumab), and PD-L1 (atezolizumab) have demonstrated durable clinical responses across a broad spectrum of malignancies, including melanoma, non-small cell lung cancer, renal cell carcinoma, gastric cancer, colorectal cancer with microsatellite instability, and hepatocellular carcinoma [13–18,36–38]. Unlike cytotoxic chemotherapy, immune checkpoint inhibitors can produce long-lasting tumor control due to the establishment of immunological memory [41,48].</w:t>
      </w:r>
    </w:p>
    <w:p w14:paraId="673DAB73" w14:textId="77777777" w:rsidR="0073771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these successes, only a subset of patients responds to immune checkpoint blockade, highlighting the need for predictive biomarkers and combination strategies to enhance efficacy [31–34].</w:t>
      </w:r>
    </w:p>
    <w:p w14:paraId="43E74E04" w14:textId="77777777" w:rsidR="00FD38E7" w:rsidRPr="00791B6B" w:rsidRDefault="00FD38E7" w:rsidP="004A5EC1">
      <w:pPr>
        <w:spacing w:line="360" w:lineRule="auto"/>
        <w:jc w:val="both"/>
        <w:rPr>
          <w:rFonts w:ascii="Times New Roman" w:hAnsi="Times New Roman" w:cs="Times New Roman"/>
          <w:sz w:val="24"/>
          <w:szCs w:val="24"/>
        </w:rPr>
      </w:pPr>
      <w:r w:rsidRPr="00791B6B">
        <w:rPr>
          <w:rFonts w:ascii="Times New Roman" w:hAnsi="Times New Roman" w:cs="Times New Roman"/>
          <w:noProof/>
          <w:sz w:val="24"/>
          <w:szCs w:val="24"/>
        </w:rPr>
        <w:lastRenderedPageBreak/>
        <w:drawing>
          <wp:inline distT="0" distB="0" distL="0" distR="0" wp14:anchorId="1893293B" wp14:editId="21EABC51">
            <wp:extent cx="5435600" cy="2651760"/>
            <wp:effectExtent l="19050" t="19050" r="127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348"/>
                    <a:stretch/>
                  </pic:blipFill>
                  <pic:spPr bwMode="auto">
                    <a:xfrm>
                      <a:off x="0" y="0"/>
                      <a:ext cx="5435600" cy="26517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A8D73B" w14:textId="77777777" w:rsidR="002942DE" w:rsidRPr="00791B6B" w:rsidRDefault="002942DE" w:rsidP="002942DE">
      <w:pPr>
        <w:spacing w:line="360" w:lineRule="auto"/>
        <w:rPr>
          <w:rFonts w:ascii="Times New Roman" w:hAnsi="Times New Roman" w:cs="Times New Roman"/>
          <w:b/>
          <w:sz w:val="24"/>
          <w:szCs w:val="24"/>
        </w:rPr>
      </w:pPr>
      <w:r w:rsidRPr="00791B6B">
        <w:rPr>
          <w:rFonts w:ascii="Times New Roman" w:hAnsi="Times New Roman" w:cs="Times New Roman"/>
          <w:b/>
          <w:sz w:val="24"/>
          <w:szCs w:val="24"/>
        </w:rPr>
        <w:t>Figure 2: Mechanism of immune checkpoint inhibition restoring antitumor immunity.</w:t>
      </w:r>
    </w:p>
    <w:p w14:paraId="3755BBDD" w14:textId="77777777" w:rsidR="002942DE" w:rsidRPr="00791B6B" w:rsidRDefault="002942DE" w:rsidP="002942DE">
      <w:pPr>
        <w:spacing w:line="360" w:lineRule="auto"/>
        <w:rPr>
          <w:rFonts w:ascii="Times New Roman" w:hAnsi="Times New Roman" w:cs="Times New Roman"/>
          <w:b/>
          <w:sz w:val="24"/>
          <w:szCs w:val="24"/>
        </w:rPr>
      </w:pPr>
    </w:p>
    <w:p w14:paraId="6F14E76C" w14:textId="77777777" w:rsidR="000C7E3C"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Adoptive Cell Therapies and CAR-T Cells:</w:t>
      </w:r>
    </w:p>
    <w:p w14:paraId="0FFF07C8"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Adoptive cell therapy (ACT) represents another major immunotherapeutic modality involving the ex vivo expansion or genetic modification of immune cells prior to reinfusion into the patient. Chimeric antigen receptor (CAR) T-cell therapy has shown remarkable efficacy in hematological malignancies such as acute lymphoblastic leukemia and aggressive B-cell lymphomas [19–21].</w:t>
      </w:r>
    </w:p>
    <w:p w14:paraId="45DA4CB6"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CAR-T cells are genetically engineered to express synthetic receptors that recognize tumor-specific antigens independent of major histocompatibility complex (MHC) presentation, enabling potent cytotoxic activity against malignant cells [19]. However, the application of CAR-T therapy in solid tumors remains challenging due to antigen heterogeneity, limited tumor infiltration, and immunosuppressive tumor microenvironments [51,58].</w:t>
      </w:r>
    </w:p>
    <w:p w14:paraId="62BDBFC7" w14:textId="77777777" w:rsidR="00FD38E7"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Tumor-infiltrating lymphocyte (TIL) therapy has also demonstrated clinical benefit in melanoma, underscoring the therapeutic potential of harnessing naturally occurring tumor-reactive immune cells [22].</w:t>
      </w:r>
    </w:p>
    <w:p w14:paraId="24731115"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Cancer Vaccines and Emerging Immunotherapies:</w:t>
      </w:r>
    </w:p>
    <w:p w14:paraId="6D6319A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Therapeutic cancer vaccines aim to stimulate immune responses against tumor-associated or tumor-specific antigens. Although early vaccine strategies produced limited clinical benefit, advances in antigen selection, delivery platforms, and immune adjuvants have renewed interest in this approach [49].</w:t>
      </w:r>
    </w:p>
    <w:p w14:paraId="0DDC49BB"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Other emerging immunotherapeutic strategies include bispecific antibodies, oncolytic viruses, and innate immune modulators. These approaches seek to broaden the scope of immunotherapy beyond checkpoint inhibition and cellular therapies, potentially benefiting patients who do not respond to existing treatments [48,50].</w:t>
      </w:r>
    </w:p>
    <w:p w14:paraId="57053C9C" w14:textId="77777777" w:rsidR="00C4265C" w:rsidRPr="00791B6B" w:rsidRDefault="00C4265C"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COMBINATION OF TARGETED THERAPY AND IMMUNOTHERAPY:</w:t>
      </w:r>
    </w:p>
    <w:p w14:paraId="7EF316EB"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rationale for combining targeted therapy with immunotherapy is supported by evidence that oncogenic signaling pathways influence tumor immunogenicity and the immune microenvironment. Targeted agents can enhance antigen presentation, reduce immunosuppressive cell populations, and increase T-cell infiltration into tumors, thereby sensitizing tumors to immune checkpoint blockade [23,25,59].</w:t>
      </w:r>
    </w:p>
    <w:p w14:paraId="4EC324F0"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Clinical trials evaluating combinations of immune checkpoint inhibitors with VEGF inhibitors, BRAF/MEK inhibitors, or tyrosine kinase inhibitors have demonstrated improved response rates and progression-free survival in cancers such as melanoma, renal cell carcinoma, and hepatocellular carcinoma [26,38,42]. However, combination strategies are associated with increased toxicity, underscoring the need for careful patient selection and optimized dosing strategies [39,40].</w:t>
      </w:r>
    </w:p>
    <w:p w14:paraId="2F6CF6DC"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Beyond clinical efficacy, combination approaches also modulate multiple dimensions of tumor biology, including angiogenesis, metabolic adaptation, and immune evasion pathways. Inhibition of VEGF signaling has been shown to normalize abnormal tumor vasculature, reduce hypoxia, and improve immune cell trafficking within the tumor microenvironment, thereby enhancing the activity of immune checkpoint inhibitors [27,38,45]. Similarly, blockade of oncogenic signaling pathways such as PI3K/AKT/mTOR and MAPK not only suppresses tumor proliferation but also reverses immune exclusion and restores antigen presentation machinery [25,48,52].</w:t>
      </w:r>
    </w:p>
    <w:p w14:paraId="02473070"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Emerging evidence suggests that the timing and sequencing of targeted therapy and immunotherapy play a critical role in determining therapeutic outcomes. Preclinical and clinical studies indicate that short-term targeted therapy priming may enhance immunogenic cell death and promote durable immune memory when followed by immune checkpoint blockade [24,49,55]. However, prolonged exposure to certain targeted agents may induce immune suppression or T-cell exhaustion, highlighting the need for rational scheduling strategies [29,54].</w:t>
      </w:r>
    </w:p>
    <w:p w14:paraId="0019FC5A"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Biomarker-driven patient selection remains essential for optimizing combination regimens. Tumor mutational burden, mismatch repair deficiency, PD-L1 expression, and immune gene expression signatures have been associated with improved responses to combination therapy, although their predictive value varies across tumor types [32–35,58]. In addition, dynamic biomarkers reflecting changes in the tumor microenvironment during treatment may offer superior guidance for therapeutic decision-making [36,57].</w:t>
      </w:r>
    </w:p>
    <w:p w14:paraId="7FF2BCFE"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promising advances, combination therapy poses challenges related to overlapping toxicities, immune-related adverse events, and increased treatment costs. Immune-mediated toxicities affecting the skin, gastrointestinal tract, endocrine organs, and liver have been reported at higher frequencies with combination regimens, necessitating vigilant monitoring and multidisciplinary management [41,42]. Ongoing clinical trials are focused on identifying optimal dose intensities, novel combinations, and next-generation agents with improved safety profiles [46,50,60].</w:t>
      </w:r>
    </w:p>
    <w:p w14:paraId="1E496B3C"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Overall, the integration of targeted therapy with immunotherapy represents a pivotal strategy to overcome therapeutic resistance and enhance long-term disease control. Continued translational research and well-designed clinical trials are essential to refine combination approaches and translate mechanistic insights into personalized cancer treatment paradigms [43,47,56].</w:t>
      </w:r>
    </w:p>
    <w:p w14:paraId="01A39539" w14:textId="77777777" w:rsidR="00EF161B"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TUMOR MICROENVIRONMENT AND BIOMARKERS:</w:t>
      </w:r>
    </w:p>
    <w:p w14:paraId="7BA05690"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Tumor Microenvironment and Immune Modulation</w:t>
      </w:r>
    </w:p>
    <w:p w14:paraId="5125CE9E"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sz w:val="24"/>
          <w:szCs w:val="24"/>
        </w:rPr>
        <w:t xml:space="preserve">The tumor microenvironment (TME) is a complex ecosystem composed of cancer cells, stromal cells, immune cells, and extracellular matrix components. Immunosuppressive cell populations </w:t>
      </w:r>
      <w:r w:rsidRPr="00791B6B">
        <w:rPr>
          <w:rFonts w:ascii="Times New Roman" w:hAnsi="Times New Roman" w:cs="Times New Roman"/>
          <w:sz w:val="24"/>
          <w:szCs w:val="24"/>
        </w:rPr>
        <w:lastRenderedPageBreak/>
        <w:t>such as regulatory T cells, myeloid-derived suppressor cells, and tumor-associated macrophages contribute to immune evasion and resistance to therapy [27,60].</w:t>
      </w:r>
    </w:p>
    <w:p w14:paraId="327475F7"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Oncogenic signaling pathways within tumor cells can actively shape the immune landscape of the TME. For instance, aberrant activation of β-catenin signaling has been associated with immune exclusion and resistance to immune checkpoint blockade [28]. Targeted therapies that modulate these pathways may reprogram the TME to enhance immune responsiveness [25,45].</w:t>
      </w:r>
    </w:p>
    <w:p w14:paraId="38DE5428" w14:textId="77777777" w:rsidR="00CA0798" w:rsidRPr="00791B6B" w:rsidRDefault="00CA0798" w:rsidP="004A5EC1">
      <w:pPr>
        <w:spacing w:line="360" w:lineRule="auto"/>
        <w:jc w:val="both"/>
        <w:rPr>
          <w:rFonts w:ascii="Times New Roman" w:hAnsi="Times New Roman" w:cs="Times New Roman"/>
          <w:sz w:val="24"/>
          <w:szCs w:val="24"/>
        </w:rPr>
      </w:pPr>
      <w:r w:rsidRPr="00791B6B">
        <w:rPr>
          <w:rFonts w:ascii="Times New Roman" w:hAnsi="Times New Roman" w:cs="Times New Roman"/>
          <w:noProof/>
          <w:sz w:val="24"/>
          <w:szCs w:val="24"/>
        </w:rPr>
        <w:drawing>
          <wp:inline distT="0" distB="0" distL="0" distR="0" wp14:anchorId="76372CB4" wp14:editId="45472B85">
            <wp:extent cx="5750560" cy="3108960"/>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b="8748"/>
                    <a:stretch/>
                  </pic:blipFill>
                  <pic:spPr bwMode="auto">
                    <a:xfrm>
                      <a:off x="0" y="0"/>
                      <a:ext cx="5765405" cy="31169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4F4AB0" w14:textId="77777777" w:rsidR="005E04BC" w:rsidRPr="00791B6B" w:rsidRDefault="005E04BC" w:rsidP="005E04BC">
      <w:pPr>
        <w:spacing w:line="360" w:lineRule="auto"/>
        <w:rPr>
          <w:rFonts w:ascii="Times New Roman" w:hAnsi="Times New Roman" w:cs="Times New Roman"/>
          <w:b/>
          <w:sz w:val="24"/>
          <w:szCs w:val="24"/>
        </w:rPr>
      </w:pPr>
      <w:r w:rsidRPr="00791B6B">
        <w:rPr>
          <w:rFonts w:ascii="Times New Roman" w:hAnsi="Times New Roman" w:cs="Times New Roman"/>
          <w:b/>
          <w:sz w:val="24"/>
          <w:szCs w:val="24"/>
        </w:rPr>
        <w:t>Figure 3: Tumor microenvironment and its impact on immune evasion.</w:t>
      </w:r>
    </w:p>
    <w:p w14:paraId="30F118B5" w14:textId="77777777" w:rsidR="005E04BC" w:rsidRPr="00791B6B" w:rsidRDefault="005E04BC" w:rsidP="005E04BC">
      <w:pPr>
        <w:spacing w:line="360" w:lineRule="auto"/>
        <w:rPr>
          <w:rFonts w:ascii="Times New Roman" w:hAnsi="Times New Roman" w:cs="Times New Roman"/>
          <w:b/>
          <w:sz w:val="24"/>
          <w:szCs w:val="24"/>
        </w:rPr>
      </w:pPr>
    </w:p>
    <w:p w14:paraId="2C4D9845" w14:textId="77777777" w:rsidR="00EF161B"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Biomarkers for patient selection</w:t>
      </w:r>
    </w:p>
    <w:p w14:paraId="37D7519B"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identification of predictive biomarkers is essential for optimizing the clinical use of targeted therapy and immunotherapy. PD-L1 expression, although imperfect, has been used to predict response to PD-1/PD-L1 inhibitors in several tumor types [31,34]. Tumor mutational burden (TMB) has emerged as an additional biomarker, with higher mutational loads associated with increased neoantigen formation and improved immunotherapy response [31,32].</w:t>
      </w:r>
    </w:p>
    <w:p w14:paraId="5A62662C"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Mismatch repair deficiency and microsatellite instability represent robust predictive biomarkers for immune checkpoint inhibitor efficacy, particularly in colorectal and other gastrointestinal cancers [33]. Advances in genomic profiling and molecular diagnostics continue to refine patient stratification and support personalized treatment approaches [38,52].</w:t>
      </w:r>
    </w:p>
    <w:p w14:paraId="0BF68F0A" w14:textId="77777777" w:rsidR="000C7E3C"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MECHANISMS:</w:t>
      </w:r>
    </w:p>
    <w:p w14:paraId="0CDA1913"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Resistance remains a major obstacle to both targeted therapy and immunotherapy. In targeted therapy, resistance often arises through secondary mutations, pathway reactivation, or activation of compensatory signaling networks [29,56]. In immunotherapy, resistance mechanisms include loss of antigen presentation, defects in interferon signaling, and immune exclusion from the tumor microenvironment [28–30].</w:t>
      </w:r>
    </w:p>
    <w:p w14:paraId="2600A85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Understanding resistance biology has informed the development of next-generation agents and rational combination strategies designed to overcome therapeutic failure [52,53].</w:t>
      </w:r>
    </w:p>
    <w:p w14:paraId="02472BE3"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to Targeted Therapy</w:t>
      </w:r>
    </w:p>
    <w:p w14:paraId="7F6B56DD"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Although targeted therapies often produce rapid tumor regression, resistance frequently develops through secondary mutations, pathway reactivation, or activation of compensatory signaling networks [23,56]. For example, secondary mutations in EGFR or BCR-ABL can render tumors resistant to tyrosine kinase inhibitors, necessitating next-generation inhibitors or combination regimens [6,8,56].</w:t>
      </w:r>
    </w:p>
    <w:p w14:paraId="53F04D5A" w14:textId="77777777" w:rsidR="00EF161B"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Tumor heterogeneity further complicates targeted therapy by enabling the selection of resistant subclones under therapeutic pressure [24].</w:t>
      </w:r>
    </w:p>
    <w:p w14:paraId="44D46A35"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addition to secondary mutations, resistance to targeted therapy is frequently mediated by activation of parallel or downstream signaling pathways that bypass the inhibited target. For instance, activation of the PI3K/AKT/mTOR axis or upregulation of alternative receptor tyrosine kinases such as MET and HER3 can sustain tumor survival despite effective inhibition of the primary oncogenic driver [25,48,60]. Such adaptive rewiring of signaling networks underscores the dynamic nature of tumor cell plasticity under therapeutic pressure.</w:t>
      </w:r>
    </w:p>
    <w:p w14:paraId="23FB5E67"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 xml:space="preserve">Epigenetic alterations have also emerged as important contributors to resistance, influencing gene expression without changes in the underlying DNA sequence. Alterations in chromatin remodeling, DNA methylation, and histone modification can promote drug tolerance states, allowing cancer cells to reflectively evade targeted agents and re-establish tumor growth [24,52,56]. These reversible drug-tolerant </w:t>
      </w:r>
      <w:proofErr w:type="spellStart"/>
      <w:r w:rsidRPr="00791B6B">
        <w:rPr>
          <w:rFonts w:ascii="Times New Roman" w:hAnsi="Times New Roman" w:cs="Times New Roman"/>
          <w:sz w:val="24"/>
          <w:szCs w:val="24"/>
        </w:rPr>
        <w:t>persister</w:t>
      </w:r>
      <w:proofErr w:type="spellEnd"/>
      <w:r w:rsidRPr="00791B6B">
        <w:rPr>
          <w:rFonts w:ascii="Times New Roman" w:hAnsi="Times New Roman" w:cs="Times New Roman"/>
          <w:sz w:val="24"/>
          <w:szCs w:val="24"/>
        </w:rPr>
        <w:t xml:space="preserve"> cells represent a major obstacle to long-term disease control.</w:t>
      </w:r>
    </w:p>
    <w:p w14:paraId="7D616583"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tumor microenvironment further plays a pivotal role in mediating resistance to targeted therapy. Stromal cells, cancer-associated fibroblasts, and immune cells can secrete growth factors and cytokines that activate compensatory survival pathways in tumor cells, thereby reducing drug sensitivity [27,45,57]. Hypoxia within the tumor microenvironment has also been shown to alter drug penetration and promote selection of more aggressive, therapy-resistant phenotypes [38,53].</w:t>
      </w:r>
    </w:p>
    <w:p w14:paraId="1C805977"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Clinical evidence increasingly supports the use of combination strategies to delay or overcome resistance to targeted therapy. Dual inhibition of oncogenic pathways, such as combined BRAF and MEK inhibition, has demonstrated improved durability of response and reduced emergence of resistance compared to monotherapy [9,10,46]. Similarly, integration of targeted agents with immunotherapy has shown promise in counteracting resistance by enhancing tumor immunogenicity and immune-mediated tumor clearance [23,26,59].</w:t>
      </w:r>
    </w:p>
    <w:p w14:paraId="02F4DBE9"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Collectively, these findings highlight that resistance to targeted therapy is multifactorial, involving genetic, epigenetic, and microenvironmental mechanisms. </w:t>
      </w:r>
    </w:p>
    <w:p w14:paraId="06A53D89"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to Immunotherapy</w:t>
      </w:r>
    </w:p>
    <w:p w14:paraId="0C36539E"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Resistance to immunotherapy can be classified as primary, adaptive, or acquired. Primary resistance may arise from lack of tumor immunogenicity or impaired antigen presentation, while acquired resistance can result from mutations affecting interferon signaling or antigen processing pathways [29,30,52].</w:t>
      </w:r>
    </w:p>
    <w:p w14:paraId="1B328A44"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immunosuppressive tumor microenvironment also plays a key role in limiting immunotherapy efficacy. Overcoming resistance requires novel therapeutic targets, combination approaches, and improved biomarker-driven strategies [24,53].</w:t>
      </w:r>
    </w:p>
    <w:p w14:paraId="7CEF0DEC"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Emerging evidence indicates that tumor-intrinsic signaling alterations substantially contribute to immune escape. Loss-of-function mutations in components of the antigen presentation machinery, including β2-microglobulin and major histocompatibility complex (MHC) class I molecules, can prevent effective recognition of tumor cells by cytotoxic T lymphocytes, thereby conferring resistance to immune checkpoint inhibitors [30,31,52]. Additionally, defects in interferon-γ signaling pathways impair downstream immune activation and reduce sensitivity to T-cell-mediated cytotoxicity [29,56].</w:t>
      </w:r>
    </w:p>
    <w:p w14:paraId="79F60B05"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metabolic landscape of the tumor microenvironment further influences immunotherapy outcomes. Tumor-driven hypoxia, increased lactate production, and nutrient competition can suppress effector T-cell function while promoting the expansion of regulatory T cells and myeloid-derived suppressor cells [27,53,60]. These immunosuppressive conditions limit immune cell infiltration and reduce the durability of therapeutic responses, particularly in “cold” tumors characterized by low baseline immune activity [24,45].</w:t>
      </w:r>
    </w:p>
    <w:p w14:paraId="6F11BB6B"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Epigenetic reprogramming has also been implicated in resistance to immunotherapy. Alterations in chromatin remodeling and DNA methylation can silence genes involved in antigen processing and immune recognition, thereby diminishing tumor immunogenicity [58,59]. Such epigenetic changes may occur dynamically under therapeutic pressure, emphasizing the need for combinatorial strategies that incorporate epigenetic modulators alongside immunotherapeutic agents [52,53].</w:t>
      </w:r>
    </w:p>
    <w:p w14:paraId="164FFAC6"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To address these resistance mechanisms, current research focuses on rational combination approaches integrating immune checkpoint blockade with targeted therapies, cancer vaccines, oncolytic viruses, and adoptive cell-based therapies [23,46,54]. Biomarker-guided patient stratification using tumor mutational burden, microsatellite instability, and immune gene expression signatures has shown promise in optimizing treatment selection and improving clinical outcomes [32–35,57]. Collectively, overcoming resistance to immunotherapy will require a comprehensive understanding of tumor biology, immune dynamics, and therapeutic interactions to enable personalized and durable cancer treatment strategies [55,60].</w:t>
      </w:r>
    </w:p>
    <w:p w14:paraId="15543DFF" w14:textId="77777777" w:rsidR="00C169B1" w:rsidRPr="00791B6B"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CLINICAL IM</w:t>
      </w:r>
      <w:r w:rsidR="00FB0AE0" w:rsidRPr="00791B6B">
        <w:rPr>
          <w:rFonts w:ascii="Times New Roman" w:hAnsi="Times New Roman" w:cs="Times New Roman"/>
          <w:b/>
          <w:sz w:val="24"/>
          <w:szCs w:val="24"/>
        </w:rPr>
        <w:t>PLICATIONS AND COMBINATION STRATEGIES</w:t>
      </w:r>
      <w:r w:rsidRPr="00791B6B">
        <w:rPr>
          <w:rFonts w:ascii="Times New Roman" w:hAnsi="Times New Roman" w:cs="Times New Roman"/>
          <w:b/>
          <w:sz w:val="24"/>
          <w:szCs w:val="24"/>
        </w:rPr>
        <w:t>:</w:t>
      </w:r>
    </w:p>
    <w:p w14:paraId="5BDB1EBA"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Rationale for combining Targeted Therapy and Immunotherapy:</w:t>
      </w:r>
    </w:p>
    <w:p w14:paraId="00369D2A"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While targeted therapies and immunotherapeutic approaches have independently transformed cancer treatment, each modality has inherent limitations. Targeted therapies often produce rapid tumor regression but are frequently associated with acquired resistance, whereas immunotherapy can generate durable responses but benefits only a subset of patients [23,29]. These complementary strengths and weaknesses provide a strong biological rationale for combining both strategies to achieve improved and sustained antitumor effects.</w:t>
      </w:r>
    </w:p>
    <w:p w14:paraId="4A3814B2"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Targeted therapies can modulate tumor biology in ways that enhance immune recognition. Inhibition of oncogenic signaling pathways has been shown to increase tumor antigen expression, improve antigen presentation, and promote infiltration of immune effector cells into the tumor microenvironment [45,59]. Additionally, targeted agents can reduce immunosuppressive cytokine signaling and normalize tumor vasculature, thereby facilitating immune cell access to tumor sites [26].</w:t>
      </w:r>
    </w:p>
    <w:p w14:paraId="647ED298"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Conversely, immunotherapy may enhance the durability of responses to targeted agents by eliminating residual tumor cells and preventing clonal escape. This bidirectional interaction underscores the potential of combination regimens to overcome resistance mechanisms that limit the efficacy of monotherapy approaches [35].</w:t>
      </w:r>
    </w:p>
    <w:p w14:paraId="706208F4"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Clinical evidence supporting combination Approaches:</w:t>
      </w:r>
    </w:p>
    <w:p w14:paraId="7BFE5C84"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Clinical trials evaluating combinations of targeted therapy and immunotherapy have demonstrated encouraging results in several malignancies. In renal cell carcinoma, the combination of immune checkpoint inhibitors with anti-angiogenic agents has resulted in superior progression-free and overall survival compared with standard targeted therapy alone [26,46]. Similar benefits have been observed in hepatocellular carcinoma and non-small cell lung cancer, where anti-VEGF or kinase inhibitors combined with checkpoint blockade improved response rates and survival outcomes [38,42].</w:t>
      </w:r>
    </w:p>
    <w:p w14:paraId="6830391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melanoma, combining BRAF and MEK inhibitors with immune checkpoint inhibitors has shown enhanced antitumor activity; however, early studies revealed increased toxicity, highlighting the importance of optimizing treatment sequencing and dosing strategies [10,43]. These findings emphasize that while combination therapy holds significant promise, careful clinical evaluation is essential to balance efficacy and safety.</w:t>
      </w:r>
    </w:p>
    <w:p w14:paraId="1D0B6BBF" w14:textId="77777777" w:rsidR="00FB0AE0" w:rsidRPr="00791B6B" w:rsidRDefault="008B503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lastRenderedPageBreak/>
        <w:t>Toxicity and safety considerations:</w:t>
      </w:r>
    </w:p>
    <w:p w14:paraId="5A3134EF"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Combination strategies frequently increase the risk of adverse events due to overlapping or synergistic toxicities. Targeted therapies are typically associated with predictable, mechanism-based side effects such as dermatologic reactions, hypertension, and metabolic disturbances, whereas immunotherapy can cause immune-related adverse events affecting multiple organ systems [39].</w:t>
      </w:r>
    </w:p>
    <w:p w14:paraId="2CC897A8"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Immune-related toxicities may involve the skin, gastrointestinal tract, liver, endocrine organs, and lungs, and can range from mild to life-threatening. Early recognition and prompt management using immunosuppressive therapies such as corticosteroids are critical for preventing severe complications [40]. As combination regimens become more prevalent, multidisciplinary collaboration and standardized toxicity management protocols are increasingly important in clinical practice.</w:t>
      </w:r>
    </w:p>
    <w:p w14:paraId="266ED1EA" w14:textId="77777777" w:rsidR="008B503D" w:rsidRPr="00791B6B" w:rsidRDefault="008B503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Implications for Personalized Care:</w:t>
      </w:r>
    </w:p>
    <w:p w14:paraId="0477B53C"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integration of targeted therapy and immunotherapy has accelerated the shift toward personalized oncology. Molecular profiling, immune phenotyping, and biomarker-driven patient selection are now central to treatment decision-making [54,55]. Personalized approaches allow clinicians to identify patients most likely to benefit from specific therapies while minimizing unnecessary toxicity.</w:t>
      </w:r>
    </w:p>
    <w:p w14:paraId="7F706D40"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Advances in genomic sequencing, transcriptomic analysis, and computational modeling are expected to further refine treatment selection and optimize combination strategies. As understanding of tumor biology and immune regulation deepens, individualized therapeutic regimens tailored to each patient’s molecular and immunologic profile will become increasingly feasible [41].</w:t>
      </w:r>
    </w:p>
    <w:p w14:paraId="094CCFE7" w14:textId="77777777" w:rsidR="00C169B1" w:rsidRPr="00791B6B"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CONCLUSION:</w:t>
      </w:r>
    </w:p>
    <w:p w14:paraId="62D07F26"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Targeted and immunotherapeutic approaches have fundamentally reshaped the landscape of cancer treatment by shifting the focus from non-specific cytotoxic therapy to precision-based and immune-mediated strategies. Targeted therapies exploit tumor-specific molecular vulnerabilities, while immunotherapy harnesses the host immune system to generate durable antitumor </w:t>
      </w:r>
      <w:r w:rsidRPr="00791B6B">
        <w:rPr>
          <w:rFonts w:ascii="Times New Roman" w:hAnsi="Times New Roman" w:cs="Times New Roman"/>
          <w:sz w:val="24"/>
          <w:szCs w:val="24"/>
        </w:rPr>
        <w:lastRenderedPageBreak/>
        <w:t>responses. Together, these approaches have significantly improved outcomes across a wide range of malignancies.</w:t>
      </w:r>
    </w:p>
    <w:p w14:paraId="73AAB16A"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their success, challenges such as resistance, toxicity, and variable patient response remain. Continued advances in molecular profiling, biomarker development, and rational combination strategies are essential to address these limitations. The evolving integration of targeted therapy and immunotherapy represents a critical step toward truly personalized cancer care.</w:t>
      </w:r>
    </w:p>
    <w:p w14:paraId="76651CD3" w14:textId="77777777" w:rsidR="00C11D1A" w:rsidRPr="00791B6B" w:rsidRDefault="00C11D1A"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Furthermore, the expanding understanding of tumor biology, immune evasion mechanisms, and host–tumor interactions continues to refine therapeutic decision-making in oncology. Advances in high-throughput genomic and proteomic technologies have enabled the identification of predictive biomarkers that guide patient selection and optimize treatment efficacy. These developments support a shift away from a “one-size-fits-all” approach toward more individualized treatment paradigms.</w:t>
      </w:r>
    </w:p>
    <w:p w14:paraId="200FCB75" w14:textId="77777777" w:rsidR="00C11D1A" w:rsidRPr="00791B6B" w:rsidRDefault="00C11D1A"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emergence of rational combination regimens, integrating targeted agents with immunotherapeutic strategies, has shown promise in overcoming intrinsic and acquired resistance while enhancing antitumor immune responses. However, careful consideration of treatment sequencing, toxicity management, and long-term outcomes remains essential to maximize clinical benefit. Ongoing clinical trials and real-world evidence will play a critical role in defining optimal combinations and therapeutic windows.</w:t>
      </w:r>
    </w:p>
    <w:p w14:paraId="18FD0446" w14:textId="77777777" w:rsidR="00C11D1A" w:rsidRPr="00791B6B" w:rsidRDefault="00C11D1A"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conclusion, the continued convergence of targeted therapy and immunotherapy represents a transformative advancement in cancer care. Sustained research efforts focusing on biomarker discovery, resistance mechanisms, and novel therapeutic targets are crucial to further improve survival outcomes and quality of life for patients. As these strategies continue to evolve, they hold significant potential to establish precision oncology as the standard of care across diverse cancer types.</w:t>
      </w:r>
    </w:p>
    <w:p w14:paraId="3D99B0D2" w14:textId="77777777" w:rsidR="008B503D"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conclusion, the convergence of molecular oncology and tumor immunology has opened new avenues for cancer treatment. As evidence continues to evolve, targeted and immunotherapeutic approaches will remain central to advancing clinical outcomes and improving the quality of life for patients with cancer.</w:t>
      </w:r>
    </w:p>
    <w:p w14:paraId="1861706C" w14:textId="77777777" w:rsidR="00791B6B" w:rsidRDefault="00791B6B" w:rsidP="004A5EC1">
      <w:pPr>
        <w:spacing w:line="360" w:lineRule="auto"/>
        <w:jc w:val="both"/>
        <w:rPr>
          <w:rFonts w:ascii="Times New Roman" w:hAnsi="Times New Roman" w:cs="Times New Roman"/>
          <w:sz w:val="24"/>
          <w:szCs w:val="24"/>
        </w:rPr>
      </w:pPr>
    </w:p>
    <w:p w14:paraId="2038F54A" w14:textId="77777777" w:rsidR="00791B6B" w:rsidRPr="00791B6B" w:rsidRDefault="00791B6B" w:rsidP="00791B6B">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FUTURE DIRECTIONS</w:t>
      </w:r>
    </w:p>
    <w:p w14:paraId="4426D1A7" w14:textId="77777777" w:rsidR="00791B6B" w:rsidRPr="00791B6B" w:rsidRDefault="00791B6B" w:rsidP="00791B6B">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Emerging Trends and future perspectives:</w:t>
      </w:r>
    </w:p>
    <w:p w14:paraId="2045CF3C"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future of cancer therapy lies in continued integration of targeted and immunotherapeutic approaches with emerging technologies. Novel immune checkpoints, next-generation targeted inhibitors, and advanced cellular therapies are under active investigation and may expand the range of treatable malignancies [48,50].</w:t>
      </w:r>
    </w:p>
    <w:p w14:paraId="312BE2ED"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Beyond expanding the spectrum of treatable malignancies, precision oncology is increasingly centered on individualized treatment strategies driven by molecular profiling and immune characterization. Comprehensive genomic sequencing, transcriptomic analysis, and immune phenotyping are enabling more accurate stratification of patients, thereby facilitating tailored therapeutic interventions and improving clinical outcomes [41,42,54].</w:t>
      </w:r>
    </w:p>
    <w:p w14:paraId="7BAD656D"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Personalized cancer vaccines, developed using patient-specific neoantigens, have demonstrated the potential to induce robust and durable antitumor immune responses by enhancing immune specificity and minimizing off-target effects [49,55]. In parallel, adoptive cell therapies, including engineered T-cell receptor and chimeric antigen receptor (CAR)-based approaches, are being refined to improve efficacy, persistence, and safety across both hematologic and solid malignancies [46,57].</w:t>
      </w:r>
    </w:p>
    <w:p w14:paraId="461903CE"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Additionally, growing evidence highlights the role of the tumor microenvironment, host microbiome, and metabolic reprogramming in modulating therapeutic response. Targeting these factors may further enhance the effectiveness of immunotherapy and targeted agents while mitigating resistance mechanisms [45,52]. Advances in artificial intelligence and machine learning are also being increasingly applied to integrate multidimensional datasets, enabling the identification of predictive biomarkers, optimization of treatment sequencing, and real-time adaptation of therapeutic strategies [44,58].</w:t>
      </w:r>
    </w:p>
    <w:p w14:paraId="48B3BD64"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Collectively, these emerging approaches underscore a paradigm shift toward fully personalized cancer care. Continued translational research, biomarker-driven clinical trials, and interdisciplinary collaboration will be essential to translate these innovations into routine clinical </w:t>
      </w:r>
      <w:r w:rsidRPr="00791B6B">
        <w:rPr>
          <w:rFonts w:ascii="Times New Roman" w:hAnsi="Times New Roman" w:cs="Times New Roman"/>
          <w:sz w:val="24"/>
          <w:szCs w:val="24"/>
        </w:rPr>
        <w:lastRenderedPageBreak/>
        <w:t>practice and extend the benefits of targeted therapy and immunotherapy to a broader patient population [50,59,60].</w:t>
      </w:r>
    </w:p>
    <w:p w14:paraId="32759113"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Personalized cancer vaccines, designed using patient-specific neoantigens, represent a promising strategy to enhance immune specificity and efficacy [49]. Additionally, modulation of the tumor microbiome and metabolic pathways has emerged as a potential means of improving immunotherapy response [52]. Advances in artificial intelligence and machine learning are also being leveraged to identify predictive biomarkers and optimize treatment sequencing [44].</w:t>
      </w:r>
    </w:p>
    <w:p w14:paraId="634B6762"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Ongoing research efforts aim to overcome resistance, reduce toxicity, and extend the benefits of immunotherapy and targeted therapy to a broader patient population. Rational trial design and real-world evidence will play a crucial role in translating these innovations into routine clinical practice.</w:t>
      </w:r>
    </w:p>
    <w:p w14:paraId="11C702F7" w14:textId="77777777" w:rsidR="00791B6B" w:rsidRPr="00791B6B" w:rsidRDefault="00791B6B" w:rsidP="00791B6B">
      <w:pPr>
        <w:rPr>
          <w:rFonts w:ascii="Arial" w:eastAsia="Times New Roman" w:hAnsi="Arial" w:cs="Arial"/>
          <w:b/>
          <w:bCs/>
          <w:lang w:val="en-GB" w:eastAsia="en-GB"/>
        </w:rPr>
      </w:pPr>
      <w:r w:rsidRPr="00791B6B">
        <w:rPr>
          <w:rFonts w:ascii="Arial" w:eastAsia="Times New Roman" w:hAnsi="Arial" w:cs="Arial"/>
          <w:b/>
          <w:bCs/>
          <w:lang w:val="en-GB" w:eastAsia="en-GB"/>
        </w:rPr>
        <w:t>COMPETING INTERESTS DISCLAIMER:</w:t>
      </w:r>
    </w:p>
    <w:p w14:paraId="1AC966A5" w14:textId="77777777" w:rsidR="00791B6B" w:rsidRPr="00791B6B" w:rsidRDefault="00791B6B" w:rsidP="00791B6B">
      <w:pPr>
        <w:rPr>
          <w:rFonts w:ascii="Calibri" w:eastAsia="Times New Roman" w:hAnsi="Calibri" w:cs="Times New Roman"/>
          <w:lang w:val="en-GB" w:eastAsia="en-GB"/>
        </w:rPr>
      </w:pPr>
      <w:r w:rsidRPr="00791B6B">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6320D940" w14:textId="77777777" w:rsidR="00791B6B" w:rsidRPr="00791B6B" w:rsidRDefault="00791B6B" w:rsidP="004A5EC1">
      <w:pPr>
        <w:spacing w:line="360" w:lineRule="auto"/>
        <w:jc w:val="both"/>
        <w:rPr>
          <w:rFonts w:ascii="Times New Roman" w:hAnsi="Times New Roman" w:cs="Times New Roman"/>
          <w:sz w:val="24"/>
          <w:szCs w:val="24"/>
        </w:rPr>
      </w:pPr>
    </w:p>
    <w:p w14:paraId="4C213564" w14:textId="77777777" w:rsidR="00C169B1" w:rsidRPr="00791B6B"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REFERENCES:</w:t>
      </w:r>
    </w:p>
    <w:p w14:paraId="310A13A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Hanahan D, Weinberg RA. Hallmarks of cancer: the next generation. Cell. 2011;144(5):646–674.</w:t>
      </w:r>
    </w:p>
    <w:p w14:paraId="6AA0845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Mellman I, Coukos G, Dranoff G. Cancer immunotherapy comes of age. Nature. 2011;480(7378):480–489.</w:t>
      </w:r>
    </w:p>
    <w:p w14:paraId="2B030BC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Pardoll</w:t>
      </w:r>
      <w:proofErr w:type="spellEnd"/>
      <w:r w:rsidRPr="00791B6B">
        <w:rPr>
          <w:rFonts w:ascii="Times New Roman" w:hAnsi="Times New Roman" w:cs="Times New Roman"/>
          <w:sz w:val="24"/>
          <w:szCs w:val="24"/>
        </w:rPr>
        <w:t xml:space="preserve"> DM. The blockade of immune checkpoints in cancer immunotherapy. Nat Rev Cancer. 2012;12(4):252–264.</w:t>
      </w:r>
    </w:p>
    <w:p w14:paraId="2EE78DE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Chen DS, Mellman I. Oncology meets immunology: the cancer-immunity cycle. Immunity. 2013;39(1):1–10.</w:t>
      </w:r>
    </w:p>
    <w:p w14:paraId="043BFB7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Sharma P, Allison JP. The future of immune checkpoint therapy. Science. 2015;348(6230):56–61.</w:t>
      </w:r>
    </w:p>
    <w:p w14:paraId="0C2AB33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Druker BJ, et al. Efficacy and safety of a specific inhibitor of the BCR-ABL tyrosine kinase in chronic myeloid leukemia. N Engl J Med. 2001;344(14):1031–1037.</w:t>
      </w:r>
    </w:p>
    <w:p w14:paraId="5D29F4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Slamon DJ, et al. Use of chemotherapy plus a monoclonal antibody against HER2 for metastatic breast cancer. N Engl J Med. 2001;344(11):783–792.</w:t>
      </w:r>
    </w:p>
    <w:p w14:paraId="2D89998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Lynch TJ, et al. Activating mutations in the epidermal growth factor receptor underlying responsiveness to gefitinib. N Engl J Med. 2004;350(21):2129–2139.</w:t>
      </w:r>
    </w:p>
    <w:p w14:paraId="12D46DF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Chapman PB, et al. Improved survival with vemurafenib in melanoma with BRAF V600E mutation. N Engl J Med. 2011;364(26):2507–2516.</w:t>
      </w:r>
    </w:p>
    <w:p w14:paraId="7A8BA253"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Flaherty KT, et al. Combined BRAF and MEK inhibition in </w:t>
      </w:r>
      <w:r w:rsidR="00AF0ECE" w:rsidRPr="00791B6B">
        <w:rPr>
          <w:rFonts w:ascii="Times New Roman" w:hAnsi="Times New Roman" w:cs="Times New Roman"/>
          <w:sz w:val="24"/>
          <w:szCs w:val="24"/>
        </w:rPr>
        <w:t xml:space="preserve">      </w:t>
      </w:r>
      <w:r w:rsidRPr="00791B6B">
        <w:rPr>
          <w:rFonts w:ascii="Times New Roman" w:hAnsi="Times New Roman" w:cs="Times New Roman"/>
          <w:sz w:val="24"/>
          <w:szCs w:val="24"/>
        </w:rPr>
        <w:t>melanoma. N Engl J Med. 2012;367(18):1694–1703.</w:t>
      </w:r>
    </w:p>
    <w:p w14:paraId="59DF45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Shaw AT, et al. Crizotinib versus chemotherapy in advanced ALK-positive lung cancer. N Engl J Med. 2013;368(25):2385–2394.</w:t>
      </w:r>
    </w:p>
    <w:p w14:paraId="656DFFC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Finn RS, et al. Palbociclib and letrozole in advanced breast cancer. N Engl J Med. 2016;375(20):1925–1936.</w:t>
      </w:r>
    </w:p>
    <w:p w14:paraId="47FB529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Hodi FS, et al. Improved survival with ipilimumab in patients with metastatic melanoma. N Engl J Med. 2010;363(8):711–723.</w:t>
      </w:r>
    </w:p>
    <w:p w14:paraId="0F9CFD2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Topalian SL, et al. Safety, activity, and immune correlates of anti-PD-1 antibody in cancer. N Engl J Med. 2012;366(26):2443–2454.</w:t>
      </w:r>
    </w:p>
    <w:p w14:paraId="14A933F0"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Brahmer JR, et al. Nivolumab versus docetaxel in advanced squamous-cell lung cancer. N Engl J Med. 2015;373(2):123–135.</w:t>
      </w:r>
    </w:p>
    <w:p w14:paraId="3A3A4572"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Herbst RS, et al. Pembrolizumab versus docetaxel for previously treated NSCLC. N Engl J Med. 2016;375(19):1823–1833.</w:t>
      </w:r>
    </w:p>
    <w:p w14:paraId="6886F64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Motzer RJ, et al. Nivolumab versus everolimus in advanced renal-cell carcinoma. N Engl J Med. 2015;373(19):1803–1813.</w:t>
      </w:r>
    </w:p>
    <w:p w14:paraId="1CA3407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Larkin J, et al. Combined nivolumab and ipilimumab or monotherapy in melanoma. N Engl J Med. 2015;373(1):23–34.</w:t>
      </w:r>
    </w:p>
    <w:p w14:paraId="3DEDB974"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June CH, et al. CAR T cell immunotherapy for human cancer. Science. 2018;359(6382):1361–1365.</w:t>
      </w:r>
    </w:p>
    <w:p w14:paraId="63F059E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Maude SL, et al. </w:t>
      </w:r>
      <w:proofErr w:type="spellStart"/>
      <w:r w:rsidRPr="00791B6B">
        <w:rPr>
          <w:rFonts w:ascii="Times New Roman" w:hAnsi="Times New Roman" w:cs="Times New Roman"/>
          <w:sz w:val="24"/>
          <w:szCs w:val="24"/>
        </w:rPr>
        <w:t>Tisagenlecleucel</w:t>
      </w:r>
      <w:proofErr w:type="spellEnd"/>
      <w:r w:rsidRPr="00791B6B">
        <w:rPr>
          <w:rFonts w:ascii="Times New Roman" w:hAnsi="Times New Roman" w:cs="Times New Roman"/>
          <w:sz w:val="24"/>
          <w:szCs w:val="24"/>
        </w:rPr>
        <w:t xml:space="preserve"> in children and young adults with B-cell ALL. N Engl J Med. 2018;378(5):439–448.</w:t>
      </w:r>
    </w:p>
    <w:p w14:paraId="16B5C6B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Neelapu</w:t>
      </w:r>
      <w:proofErr w:type="spellEnd"/>
      <w:r w:rsidRPr="00791B6B">
        <w:rPr>
          <w:rFonts w:ascii="Times New Roman" w:hAnsi="Times New Roman" w:cs="Times New Roman"/>
          <w:sz w:val="24"/>
          <w:szCs w:val="24"/>
        </w:rPr>
        <w:t xml:space="preserve"> SS, et al. </w:t>
      </w:r>
      <w:proofErr w:type="spellStart"/>
      <w:r w:rsidRPr="00791B6B">
        <w:rPr>
          <w:rFonts w:ascii="Times New Roman" w:hAnsi="Times New Roman" w:cs="Times New Roman"/>
          <w:sz w:val="24"/>
          <w:szCs w:val="24"/>
        </w:rPr>
        <w:t>Axicabtagene</w:t>
      </w:r>
      <w:proofErr w:type="spellEnd"/>
      <w:r w:rsidRPr="00791B6B">
        <w:rPr>
          <w:rFonts w:ascii="Times New Roman" w:hAnsi="Times New Roman" w:cs="Times New Roman"/>
          <w:sz w:val="24"/>
          <w:szCs w:val="24"/>
        </w:rPr>
        <w:t xml:space="preserve"> </w:t>
      </w:r>
      <w:proofErr w:type="spellStart"/>
      <w:r w:rsidRPr="00791B6B">
        <w:rPr>
          <w:rFonts w:ascii="Times New Roman" w:hAnsi="Times New Roman" w:cs="Times New Roman"/>
          <w:sz w:val="24"/>
          <w:szCs w:val="24"/>
        </w:rPr>
        <w:t>ciloleucel</w:t>
      </w:r>
      <w:proofErr w:type="spellEnd"/>
      <w:r w:rsidRPr="00791B6B">
        <w:rPr>
          <w:rFonts w:ascii="Times New Roman" w:hAnsi="Times New Roman" w:cs="Times New Roman"/>
          <w:sz w:val="24"/>
          <w:szCs w:val="24"/>
        </w:rPr>
        <w:t xml:space="preserve"> CAR T-cell therapy in refractory lymphoma. N Engl J Med. 2017;377(26):2531–2544.</w:t>
      </w:r>
    </w:p>
    <w:p w14:paraId="56942A9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Rosenberg SA, et al. Adoptive cell transfer: a clinical path to effective cancer immunotherapy. Nat Rev Cancer. 2008;8(4):299–308.</w:t>
      </w:r>
    </w:p>
    <w:p w14:paraId="0D340A0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Gotwals P, et al. Prospects for combining targeted and conventional cancer therapy with immunotherapy. Nat Rev Cancer. 2017;17(5):286–301.</w:t>
      </w:r>
    </w:p>
    <w:p w14:paraId="20726AF8"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O’Donnell JS, et al. Resistance to cancer immunotherapy. Nat Rev Clin Oncol. 2019;16(3):151–167.</w:t>
      </w:r>
    </w:p>
    <w:p w14:paraId="607E623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Ribas A, et al. Oncogene-targeted therapy and immune checkpoint blockade. Clin Cancer Res. 2014;20(17):4253–4261.</w:t>
      </w:r>
    </w:p>
    <w:p w14:paraId="6B89D1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McDermott DF, et al. Atezolizumab plus bevacizumab vs sunitinib in RCC. Lancet. 2018;391(10124):1053–1064.</w:t>
      </w:r>
    </w:p>
    <w:p w14:paraId="212ADAA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Gajewski TF, et al. Immune resistance in the tumor microenvironment. Nat Immunol. 2013;14(10):1014–1022.</w:t>
      </w:r>
    </w:p>
    <w:p w14:paraId="0414208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Spranger S, et al. Tumor-intrinsic β-catenin signaling prevents anti-tumor immunity. Nature. 2015;523(7559):231–235.</w:t>
      </w:r>
    </w:p>
    <w:p w14:paraId="133184D0"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Sharma P, et al. Primary, adaptive, and acquired resistance to cancer immunotherapy. Cell. 2017;168(4):707–723.</w:t>
      </w:r>
    </w:p>
    <w:p w14:paraId="6DC0CCE4"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Zaretsky JM, et al. Mutations associated with resistance to PD-1 blockade. N Engl J Med. 2016;375(9):819–829.</w:t>
      </w:r>
    </w:p>
    <w:p w14:paraId="188142E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Rizvi NA, et al. Mutational landscape determines sensitivity to PD-1 blockade. Science. 2015;348(6230):124–128.</w:t>
      </w:r>
    </w:p>
    <w:p w14:paraId="31F0B6B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Goodman AM, et al. Tumor mutational burden as an independent predictor. Mol Cancer Ther. 2017;16(11):2598–2608.</w:t>
      </w:r>
    </w:p>
    <w:p w14:paraId="7A9D7A2A"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Le DT, et al. Mismatch repair deficiency predicts response to PD-1 blockade. Science. 2017;357(6349):409–413.</w:t>
      </w:r>
    </w:p>
    <w:p w14:paraId="0664A39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Hegde PS, et al. Predictive biomarkers for immune checkpoint inhibitors. Nat Rev Clin Oncol. 2016;13(6):337–350.</w:t>
      </w:r>
    </w:p>
    <w:p w14:paraId="5DE53F02"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Emens LA, et al. Immunotherapy in breast cancer. Nat Rev Clin Oncol. 2017;14(5):273–290.</w:t>
      </w:r>
    </w:p>
    <w:p w14:paraId="3EAF176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Fuchs CS, et al. Pembrolizumab monotherapy in gastric cancer. Lancet. 2018;391(10125):1817–1828.</w:t>
      </w:r>
    </w:p>
    <w:p w14:paraId="5E22996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Overman MJ, et al. Nivolumab in MSI-H metastatic colorectal cancer. Lancet Oncol. 2017;18(9):1182–1191.</w:t>
      </w:r>
    </w:p>
    <w:p w14:paraId="7064A27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Finn RS, et al. Atezolizumab plus bevacizumab in hepatocellular carcinoma. N Engl J Med. 2020;382(20):1894–1905.</w:t>
      </w:r>
    </w:p>
    <w:p w14:paraId="5FBAA8F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Postow</w:t>
      </w:r>
      <w:proofErr w:type="spellEnd"/>
      <w:r w:rsidRPr="00791B6B">
        <w:rPr>
          <w:rFonts w:ascii="Times New Roman" w:hAnsi="Times New Roman" w:cs="Times New Roman"/>
          <w:sz w:val="24"/>
          <w:szCs w:val="24"/>
        </w:rPr>
        <w:t xml:space="preserve"> MA, et al. Immune-related adverse events. N Engl J Med. 2018;378(2):158–168.</w:t>
      </w:r>
    </w:p>
    <w:p w14:paraId="16F0186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Weber JS, et al. Management of immune-related toxicities. J Clin Oncol. 2015;33(36):4046–4056.</w:t>
      </w:r>
    </w:p>
    <w:p w14:paraId="13E585C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Wolchok</w:t>
      </w:r>
      <w:proofErr w:type="spellEnd"/>
      <w:r w:rsidRPr="00791B6B">
        <w:rPr>
          <w:rFonts w:ascii="Times New Roman" w:hAnsi="Times New Roman" w:cs="Times New Roman"/>
          <w:sz w:val="24"/>
          <w:szCs w:val="24"/>
        </w:rPr>
        <w:t xml:space="preserve"> JD, et al. Emerging concepts in cancer immunotherapy. Cell. 2021;184(1):15–31.</w:t>
      </w:r>
    </w:p>
    <w:p w14:paraId="674B0DD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Llovet JM, et al. Targeted therapies and immunotherapy in HCC. Nat Rev Gastroenterol Hepatol. 2021;18(5):299–312.</w:t>
      </w:r>
    </w:p>
    <w:p w14:paraId="455FFC4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Smyth MJ, et al. Combination cancer immunotherapies. Nat Rev Clin Oncol. 2016;13(3):143–158.</w:t>
      </w:r>
    </w:p>
    <w:p w14:paraId="0E5E089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Ribas</w:t>
      </w:r>
      <w:proofErr w:type="spellEnd"/>
      <w:r w:rsidRPr="00791B6B">
        <w:rPr>
          <w:rFonts w:ascii="Times New Roman" w:hAnsi="Times New Roman" w:cs="Times New Roman"/>
          <w:sz w:val="24"/>
          <w:szCs w:val="24"/>
        </w:rPr>
        <w:t xml:space="preserve"> A, </w:t>
      </w:r>
      <w:proofErr w:type="spellStart"/>
      <w:r w:rsidRPr="00791B6B">
        <w:rPr>
          <w:rFonts w:ascii="Times New Roman" w:hAnsi="Times New Roman" w:cs="Times New Roman"/>
          <w:sz w:val="24"/>
          <w:szCs w:val="24"/>
        </w:rPr>
        <w:t>Wolchok</w:t>
      </w:r>
      <w:proofErr w:type="spellEnd"/>
      <w:r w:rsidRPr="00791B6B">
        <w:rPr>
          <w:rFonts w:ascii="Times New Roman" w:hAnsi="Times New Roman" w:cs="Times New Roman"/>
          <w:sz w:val="24"/>
          <w:szCs w:val="24"/>
        </w:rPr>
        <w:t xml:space="preserve"> JD. Cancer immunotherapy using checkpoint blockade. Science. 2018;359(6382):1350–1355.</w:t>
      </w:r>
    </w:p>
    <w:p w14:paraId="487C1F55"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Galluzzi L, et al. Immunological effects of conventional and targeted anticancer therapies. Nat Rev Immunol. 2018;18(9):545–561.</w:t>
      </w:r>
    </w:p>
    <w:p w14:paraId="5CCAEC9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Hellmann MD, et al. Nivolumab plus ipilimumab in lung cancer. N Engl J Med. 2019;381(21):2020–2031.</w:t>
      </w:r>
    </w:p>
    <w:p w14:paraId="6FE398E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Schreiber RD, et al. Cancer immunoediting: integrating immunity’s roles. Science. 2011;331(6024):1565–1570.</w:t>
      </w:r>
    </w:p>
    <w:p w14:paraId="096E92C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Sanmamed</w:t>
      </w:r>
      <w:proofErr w:type="spellEnd"/>
      <w:r w:rsidRPr="00791B6B">
        <w:rPr>
          <w:rFonts w:ascii="Times New Roman" w:hAnsi="Times New Roman" w:cs="Times New Roman"/>
          <w:sz w:val="24"/>
          <w:szCs w:val="24"/>
        </w:rPr>
        <w:t xml:space="preserve"> MF, Chen L. A paradigm shift in cancer immunotherapy. Cell. 2018;175(2):313–326.</w:t>
      </w:r>
    </w:p>
    <w:p w14:paraId="72022F5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van der Burg SH, et al. Therapeutic vaccines in cancer. Nat Rev Cancer. 2016;16(4):219–232.</w:t>
      </w:r>
    </w:p>
    <w:p w14:paraId="58DFF6C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Tang J, et al. The clinical landscape of immunotherapy combinations. Nat Rev Drug </w:t>
      </w:r>
      <w:proofErr w:type="spellStart"/>
      <w:r w:rsidRPr="00791B6B">
        <w:rPr>
          <w:rFonts w:ascii="Times New Roman" w:hAnsi="Times New Roman" w:cs="Times New Roman"/>
          <w:sz w:val="24"/>
          <w:szCs w:val="24"/>
        </w:rPr>
        <w:t>Discov</w:t>
      </w:r>
      <w:proofErr w:type="spellEnd"/>
      <w:r w:rsidRPr="00791B6B">
        <w:rPr>
          <w:rFonts w:ascii="Times New Roman" w:hAnsi="Times New Roman" w:cs="Times New Roman"/>
          <w:sz w:val="24"/>
          <w:szCs w:val="24"/>
        </w:rPr>
        <w:t>. 2021;20(9):663–684.</w:t>
      </w:r>
    </w:p>
    <w:p w14:paraId="230AEAAA"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Kalos M, et al. CAR-T cell therapy challenges. Nat Rev Clin Oncol. 2019;16(11):695–712.</w:t>
      </w:r>
    </w:p>
    <w:p w14:paraId="74D9425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Jhunjhunwala S, et al. Cancer immunotherapy resistance. Nat Rev Cancer. 2021;21(10):713–729.</w:t>
      </w:r>
    </w:p>
    <w:p w14:paraId="4DD2E17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Luke JJ, et al. Biology of immunotherapy resistance. Nat Rev Clin Oncol. 2017;14(11):683–700.</w:t>
      </w:r>
    </w:p>
    <w:p w14:paraId="2E21692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Bagchi S, et al. Biomarkers in immuno-oncology. Trends Mol Med. 2021;27(11):1036–1048.</w:t>
      </w:r>
    </w:p>
    <w:p w14:paraId="52CCCB5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 xml:space="preserve">Klempner SJ, et al. Tumor mutational burden as a biomarker. Cancer Treat Rev. </w:t>
      </w:r>
      <w:proofErr w:type="gramStart"/>
      <w:r w:rsidRPr="00791B6B">
        <w:rPr>
          <w:rFonts w:ascii="Times New Roman" w:hAnsi="Times New Roman" w:cs="Times New Roman"/>
          <w:sz w:val="24"/>
          <w:szCs w:val="24"/>
        </w:rPr>
        <w:t>2020;84:101966</w:t>
      </w:r>
      <w:proofErr w:type="gramEnd"/>
      <w:r w:rsidRPr="00791B6B">
        <w:rPr>
          <w:rFonts w:ascii="Times New Roman" w:hAnsi="Times New Roman" w:cs="Times New Roman"/>
          <w:sz w:val="24"/>
          <w:szCs w:val="24"/>
        </w:rPr>
        <w:t>.</w:t>
      </w:r>
    </w:p>
    <w:p w14:paraId="15A1F3A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Liu J, et al. Mechanisms of resistance to targeted therapy. Signal </w:t>
      </w:r>
      <w:proofErr w:type="spellStart"/>
      <w:r w:rsidRPr="00791B6B">
        <w:rPr>
          <w:rFonts w:ascii="Times New Roman" w:hAnsi="Times New Roman" w:cs="Times New Roman"/>
          <w:sz w:val="24"/>
          <w:szCs w:val="24"/>
        </w:rPr>
        <w:t>Transduct</w:t>
      </w:r>
      <w:proofErr w:type="spellEnd"/>
      <w:r w:rsidRPr="00791B6B">
        <w:rPr>
          <w:rFonts w:ascii="Times New Roman" w:hAnsi="Times New Roman" w:cs="Times New Roman"/>
          <w:sz w:val="24"/>
          <w:szCs w:val="24"/>
        </w:rPr>
        <w:t xml:space="preserve"> Target </w:t>
      </w:r>
      <w:proofErr w:type="spellStart"/>
      <w:r w:rsidRPr="00791B6B">
        <w:rPr>
          <w:rFonts w:ascii="Times New Roman" w:hAnsi="Times New Roman" w:cs="Times New Roman"/>
          <w:sz w:val="24"/>
          <w:szCs w:val="24"/>
        </w:rPr>
        <w:t>Ther</w:t>
      </w:r>
      <w:proofErr w:type="spellEnd"/>
      <w:r w:rsidRPr="00791B6B">
        <w:rPr>
          <w:rFonts w:ascii="Times New Roman" w:hAnsi="Times New Roman" w:cs="Times New Roman"/>
          <w:sz w:val="24"/>
          <w:szCs w:val="24"/>
        </w:rPr>
        <w:t xml:space="preserve">. </w:t>
      </w:r>
      <w:proofErr w:type="gramStart"/>
      <w:r w:rsidRPr="00791B6B">
        <w:rPr>
          <w:rFonts w:ascii="Times New Roman" w:hAnsi="Times New Roman" w:cs="Times New Roman"/>
          <w:sz w:val="24"/>
          <w:szCs w:val="24"/>
        </w:rPr>
        <w:t>2021;6:92</w:t>
      </w:r>
      <w:proofErr w:type="gramEnd"/>
      <w:r w:rsidRPr="00791B6B">
        <w:rPr>
          <w:rFonts w:ascii="Times New Roman" w:hAnsi="Times New Roman" w:cs="Times New Roman"/>
          <w:sz w:val="24"/>
          <w:szCs w:val="24"/>
        </w:rPr>
        <w:t>.</w:t>
      </w:r>
    </w:p>
    <w:p w14:paraId="010DB4E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Sharma A, et al. Tumor microenvironment and immunotherapy. Front Immunol. </w:t>
      </w:r>
      <w:proofErr w:type="gramStart"/>
      <w:r w:rsidRPr="00791B6B">
        <w:rPr>
          <w:rFonts w:ascii="Times New Roman" w:hAnsi="Times New Roman" w:cs="Times New Roman"/>
          <w:sz w:val="24"/>
          <w:szCs w:val="24"/>
        </w:rPr>
        <w:t>2017;8:1391</w:t>
      </w:r>
      <w:proofErr w:type="gramEnd"/>
      <w:r w:rsidRPr="00791B6B">
        <w:rPr>
          <w:rFonts w:ascii="Times New Roman" w:hAnsi="Times New Roman" w:cs="Times New Roman"/>
          <w:sz w:val="24"/>
          <w:szCs w:val="24"/>
        </w:rPr>
        <w:t>.</w:t>
      </w:r>
    </w:p>
    <w:p w14:paraId="05E1A3D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Kruger S, et al. Immune resistance in solid tumors. </w:t>
      </w:r>
      <w:proofErr w:type="spellStart"/>
      <w:r w:rsidRPr="00791B6B">
        <w:rPr>
          <w:rFonts w:ascii="Times New Roman" w:hAnsi="Times New Roman" w:cs="Times New Roman"/>
          <w:sz w:val="24"/>
          <w:szCs w:val="24"/>
        </w:rPr>
        <w:t>Oncoimmunology</w:t>
      </w:r>
      <w:proofErr w:type="spellEnd"/>
      <w:r w:rsidRPr="00791B6B">
        <w:rPr>
          <w:rFonts w:ascii="Times New Roman" w:hAnsi="Times New Roman" w:cs="Times New Roman"/>
          <w:sz w:val="24"/>
          <w:szCs w:val="24"/>
        </w:rPr>
        <w:t>. 2019;8(2</w:t>
      </w:r>
      <w:proofErr w:type="gramStart"/>
      <w:r w:rsidRPr="00791B6B">
        <w:rPr>
          <w:rFonts w:ascii="Times New Roman" w:hAnsi="Times New Roman" w:cs="Times New Roman"/>
          <w:sz w:val="24"/>
          <w:szCs w:val="24"/>
        </w:rPr>
        <w:t>):e</w:t>
      </w:r>
      <w:proofErr w:type="gramEnd"/>
      <w:r w:rsidRPr="00791B6B">
        <w:rPr>
          <w:rFonts w:ascii="Times New Roman" w:hAnsi="Times New Roman" w:cs="Times New Roman"/>
          <w:sz w:val="24"/>
          <w:szCs w:val="24"/>
        </w:rPr>
        <w:t>1497253.</w:t>
      </w:r>
    </w:p>
    <w:p w14:paraId="3C5813A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Vanneman M, Dranoff G. Combining immunotherapy and targeted therapies. Nat Rev Cancer. 2012;12(4):237–251.</w:t>
      </w:r>
    </w:p>
    <w:p w14:paraId="19F5CB42"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Binnewies</w:t>
      </w:r>
      <w:proofErr w:type="spellEnd"/>
      <w:r w:rsidRPr="00791B6B">
        <w:rPr>
          <w:rFonts w:ascii="Times New Roman" w:hAnsi="Times New Roman" w:cs="Times New Roman"/>
          <w:sz w:val="24"/>
          <w:szCs w:val="24"/>
        </w:rPr>
        <w:t xml:space="preserve"> M, et al. Understanding the tumor immune microenvironment. Nat Med. 2018;24(5):541–550.</w:t>
      </w:r>
    </w:p>
    <w:p w14:paraId="05836D4F" w14:textId="77777777" w:rsidR="00C169B1" w:rsidRPr="00791B6B" w:rsidRDefault="00C169B1" w:rsidP="00AF0ECE">
      <w:pPr>
        <w:spacing w:line="360" w:lineRule="auto"/>
        <w:jc w:val="both"/>
        <w:rPr>
          <w:rFonts w:ascii="Times New Roman" w:hAnsi="Times New Roman" w:cs="Times New Roman"/>
          <w:sz w:val="24"/>
          <w:szCs w:val="24"/>
        </w:rPr>
      </w:pPr>
    </w:p>
    <w:p w14:paraId="1E052A5F" w14:textId="77777777" w:rsidR="00EF76B3" w:rsidRPr="00791B6B" w:rsidRDefault="00EF76B3" w:rsidP="00AF0ECE">
      <w:pPr>
        <w:spacing w:line="360" w:lineRule="auto"/>
        <w:jc w:val="both"/>
        <w:rPr>
          <w:rFonts w:ascii="Times New Roman" w:hAnsi="Times New Roman" w:cs="Times New Roman"/>
          <w:b/>
          <w:sz w:val="24"/>
          <w:szCs w:val="24"/>
        </w:rPr>
      </w:pPr>
    </w:p>
    <w:p w14:paraId="47373A9B" w14:textId="77777777" w:rsidR="00EF76B3" w:rsidRPr="00791B6B" w:rsidRDefault="00EF76B3" w:rsidP="00AF0ECE">
      <w:pPr>
        <w:spacing w:line="360" w:lineRule="auto"/>
        <w:jc w:val="both"/>
        <w:rPr>
          <w:rFonts w:ascii="Times New Roman" w:hAnsi="Times New Roman" w:cs="Times New Roman"/>
          <w:b/>
          <w:sz w:val="24"/>
          <w:szCs w:val="24"/>
        </w:rPr>
      </w:pPr>
    </w:p>
    <w:p w14:paraId="2CD019B6" w14:textId="77777777" w:rsidR="00EF76B3" w:rsidRPr="00791B6B" w:rsidRDefault="00EF76B3" w:rsidP="00AF0ECE">
      <w:pPr>
        <w:spacing w:line="360" w:lineRule="auto"/>
        <w:jc w:val="both"/>
        <w:rPr>
          <w:rFonts w:ascii="Times New Roman" w:hAnsi="Times New Roman" w:cs="Times New Roman"/>
          <w:b/>
          <w:sz w:val="24"/>
          <w:szCs w:val="24"/>
        </w:rPr>
      </w:pPr>
    </w:p>
    <w:p w14:paraId="467726F2" w14:textId="77777777" w:rsidR="00EF76B3" w:rsidRPr="00791B6B" w:rsidRDefault="00EF76B3" w:rsidP="00AF0ECE">
      <w:pPr>
        <w:spacing w:line="360" w:lineRule="auto"/>
        <w:jc w:val="both"/>
        <w:rPr>
          <w:rFonts w:ascii="Times New Roman" w:hAnsi="Times New Roman" w:cs="Times New Roman"/>
          <w:b/>
          <w:sz w:val="24"/>
          <w:szCs w:val="24"/>
        </w:rPr>
      </w:pPr>
    </w:p>
    <w:p w14:paraId="641DE4DC" w14:textId="77777777" w:rsidR="00EF76B3" w:rsidRPr="00791B6B" w:rsidRDefault="00EF76B3" w:rsidP="004A5EC1">
      <w:pPr>
        <w:spacing w:line="360" w:lineRule="auto"/>
        <w:jc w:val="both"/>
        <w:rPr>
          <w:rFonts w:ascii="Times New Roman" w:hAnsi="Times New Roman" w:cs="Times New Roman"/>
          <w:b/>
          <w:sz w:val="24"/>
          <w:szCs w:val="24"/>
        </w:rPr>
      </w:pPr>
    </w:p>
    <w:p w14:paraId="69E1A8AE" w14:textId="77777777" w:rsidR="00020375" w:rsidRPr="00791B6B" w:rsidRDefault="00020375" w:rsidP="004A5EC1">
      <w:pPr>
        <w:spacing w:line="360" w:lineRule="auto"/>
        <w:jc w:val="both"/>
        <w:rPr>
          <w:rFonts w:ascii="Times New Roman" w:hAnsi="Times New Roman" w:cs="Times New Roman"/>
          <w:sz w:val="24"/>
          <w:szCs w:val="24"/>
        </w:rPr>
      </w:pPr>
    </w:p>
    <w:p w14:paraId="11111679" w14:textId="77777777" w:rsidR="00020375" w:rsidRPr="00791B6B" w:rsidRDefault="00020375" w:rsidP="004A5EC1">
      <w:pPr>
        <w:spacing w:line="360" w:lineRule="auto"/>
        <w:jc w:val="both"/>
        <w:rPr>
          <w:rFonts w:ascii="Times New Roman" w:hAnsi="Times New Roman" w:cs="Times New Roman"/>
          <w:sz w:val="24"/>
          <w:szCs w:val="24"/>
        </w:rPr>
      </w:pPr>
    </w:p>
    <w:p w14:paraId="5797CBB7" w14:textId="77777777" w:rsidR="00020375" w:rsidRPr="00791B6B" w:rsidRDefault="00020375" w:rsidP="004A5EC1">
      <w:pPr>
        <w:spacing w:line="360" w:lineRule="auto"/>
        <w:jc w:val="both"/>
        <w:rPr>
          <w:rFonts w:ascii="Times New Roman" w:hAnsi="Times New Roman" w:cs="Times New Roman"/>
          <w:sz w:val="24"/>
          <w:szCs w:val="24"/>
        </w:rPr>
      </w:pPr>
    </w:p>
    <w:p w14:paraId="756F0850" w14:textId="77777777" w:rsidR="00020375" w:rsidRPr="00791B6B" w:rsidRDefault="00020375" w:rsidP="004A5EC1">
      <w:pPr>
        <w:spacing w:line="360" w:lineRule="auto"/>
        <w:jc w:val="both"/>
        <w:rPr>
          <w:rFonts w:ascii="Times New Roman" w:hAnsi="Times New Roman" w:cs="Times New Roman"/>
          <w:sz w:val="24"/>
          <w:szCs w:val="24"/>
        </w:rPr>
      </w:pPr>
    </w:p>
    <w:p w14:paraId="3F9EE74A" w14:textId="77777777" w:rsidR="00020375" w:rsidRPr="00791B6B" w:rsidRDefault="00020375" w:rsidP="004A5EC1">
      <w:pPr>
        <w:spacing w:line="360" w:lineRule="auto"/>
        <w:jc w:val="both"/>
        <w:rPr>
          <w:rFonts w:ascii="Times New Roman" w:hAnsi="Times New Roman" w:cs="Times New Roman"/>
          <w:sz w:val="24"/>
          <w:szCs w:val="24"/>
        </w:rPr>
      </w:pPr>
    </w:p>
    <w:p w14:paraId="4E1BD008" w14:textId="77777777" w:rsidR="00020375" w:rsidRPr="00791B6B" w:rsidRDefault="00020375" w:rsidP="004A5EC1">
      <w:pPr>
        <w:spacing w:line="360" w:lineRule="auto"/>
        <w:jc w:val="both"/>
        <w:rPr>
          <w:rFonts w:ascii="Times New Roman" w:hAnsi="Times New Roman" w:cs="Times New Roman"/>
          <w:sz w:val="24"/>
          <w:szCs w:val="24"/>
        </w:rPr>
      </w:pPr>
    </w:p>
    <w:p w14:paraId="1C08AE0E" w14:textId="77777777" w:rsidR="00020375" w:rsidRPr="00791B6B" w:rsidRDefault="00020375" w:rsidP="004A5EC1">
      <w:pPr>
        <w:spacing w:line="360" w:lineRule="auto"/>
        <w:jc w:val="both"/>
        <w:rPr>
          <w:rFonts w:ascii="Times New Roman" w:hAnsi="Times New Roman" w:cs="Times New Roman"/>
          <w:sz w:val="24"/>
          <w:szCs w:val="24"/>
        </w:rPr>
      </w:pPr>
    </w:p>
    <w:p w14:paraId="140A1F30" w14:textId="77777777" w:rsidR="00020375" w:rsidRPr="00791B6B" w:rsidRDefault="00020375" w:rsidP="004A5EC1">
      <w:pPr>
        <w:spacing w:line="360" w:lineRule="auto"/>
        <w:jc w:val="both"/>
        <w:rPr>
          <w:rFonts w:ascii="Times New Roman" w:hAnsi="Times New Roman" w:cs="Times New Roman"/>
          <w:sz w:val="24"/>
          <w:szCs w:val="24"/>
        </w:rPr>
      </w:pPr>
    </w:p>
    <w:p w14:paraId="635B2E94" w14:textId="77777777" w:rsidR="00020375" w:rsidRPr="00791B6B" w:rsidRDefault="00020375" w:rsidP="004A5EC1">
      <w:pPr>
        <w:spacing w:line="360" w:lineRule="auto"/>
        <w:jc w:val="both"/>
        <w:rPr>
          <w:rFonts w:ascii="Times New Roman" w:hAnsi="Times New Roman" w:cs="Times New Roman"/>
          <w:sz w:val="24"/>
          <w:szCs w:val="24"/>
        </w:rPr>
      </w:pPr>
    </w:p>
    <w:p w14:paraId="3C16E22C" w14:textId="77777777" w:rsidR="00020375" w:rsidRPr="00791B6B" w:rsidRDefault="00020375" w:rsidP="004A5EC1">
      <w:pPr>
        <w:spacing w:line="360" w:lineRule="auto"/>
        <w:jc w:val="both"/>
        <w:rPr>
          <w:rFonts w:ascii="Times New Roman" w:hAnsi="Times New Roman" w:cs="Times New Roman"/>
          <w:sz w:val="24"/>
          <w:szCs w:val="24"/>
        </w:rPr>
      </w:pPr>
    </w:p>
    <w:p w14:paraId="54EF75DE" w14:textId="77777777" w:rsidR="00020375" w:rsidRPr="00791B6B" w:rsidRDefault="00020375" w:rsidP="004A5EC1">
      <w:pPr>
        <w:spacing w:line="360" w:lineRule="auto"/>
        <w:jc w:val="both"/>
        <w:rPr>
          <w:rFonts w:ascii="Times New Roman" w:hAnsi="Times New Roman" w:cs="Times New Roman"/>
          <w:sz w:val="24"/>
          <w:szCs w:val="24"/>
        </w:rPr>
      </w:pPr>
    </w:p>
    <w:p w14:paraId="0189B539" w14:textId="77777777" w:rsidR="00020375" w:rsidRPr="00791B6B" w:rsidRDefault="00020375" w:rsidP="004A5EC1">
      <w:pPr>
        <w:spacing w:line="360" w:lineRule="auto"/>
        <w:jc w:val="both"/>
        <w:rPr>
          <w:rFonts w:ascii="Times New Roman" w:hAnsi="Times New Roman" w:cs="Times New Roman"/>
          <w:sz w:val="24"/>
          <w:szCs w:val="24"/>
        </w:rPr>
      </w:pPr>
    </w:p>
    <w:p w14:paraId="1AF9EA95" w14:textId="77777777" w:rsidR="00020375" w:rsidRPr="00791B6B" w:rsidRDefault="00020375" w:rsidP="004A5EC1">
      <w:pPr>
        <w:spacing w:line="360" w:lineRule="auto"/>
        <w:jc w:val="both"/>
        <w:rPr>
          <w:rFonts w:ascii="Times New Roman" w:hAnsi="Times New Roman" w:cs="Times New Roman"/>
          <w:b/>
          <w:sz w:val="24"/>
          <w:szCs w:val="24"/>
        </w:rPr>
      </w:pPr>
    </w:p>
    <w:p w14:paraId="00A90351" w14:textId="77777777" w:rsidR="00A24B05" w:rsidRPr="00791B6B" w:rsidRDefault="00A24B05" w:rsidP="004A5EC1">
      <w:pPr>
        <w:spacing w:line="360" w:lineRule="auto"/>
        <w:jc w:val="both"/>
        <w:rPr>
          <w:rFonts w:ascii="Times New Roman" w:hAnsi="Times New Roman" w:cs="Times New Roman"/>
          <w:sz w:val="24"/>
          <w:szCs w:val="24"/>
        </w:rPr>
      </w:pPr>
    </w:p>
    <w:p w14:paraId="6EF0E758" w14:textId="77777777" w:rsidR="00A24B05" w:rsidRPr="00791B6B" w:rsidRDefault="00A24B05" w:rsidP="004A5EC1">
      <w:pPr>
        <w:jc w:val="both"/>
        <w:rPr>
          <w:rFonts w:ascii="Times New Roman" w:hAnsi="Times New Roman" w:cs="Times New Roman"/>
          <w:sz w:val="24"/>
          <w:szCs w:val="24"/>
        </w:rPr>
      </w:pPr>
    </w:p>
    <w:sectPr w:rsidR="00A24B05" w:rsidRPr="00791B6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F25C4" w14:textId="77777777" w:rsidR="0044435A" w:rsidRDefault="0044435A" w:rsidP="00E0257A">
      <w:pPr>
        <w:spacing w:after="0" w:line="240" w:lineRule="auto"/>
      </w:pPr>
      <w:r>
        <w:separator/>
      </w:r>
    </w:p>
  </w:endnote>
  <w:endnote w:type="continuationSeparator" w:id="0">
    <w:p w14:paraId="0528A79F" w14:textId="77777777" w:rsidR="0044435A" w:rsidRDefault="0044435A" w:rsidP="00E0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B210" w14:textId="77777777" w:rsidR="00E0257A" w:rsidRDefault="00E0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DFDB" w14:textId="77777777" w:rsidR="00E0257A" w:rsidRDefault="00E0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7F48" w14:textId="77777777" w:rsidR="00E0257A" w:rsidRDefault="00E0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61F14" w14:textId="77777777" w:rsidR="0044435A" w:rsidRDefault="0044435A" w:rsidP="00E0257A">
      <w:pPr>
        <w:spacing w:after="0" w:line="240" w:lineRule="auto"/>
      </w:pPr>
      <w:r>
        <w:separator/>
      </w:r>
    </w:p>
  </w:footnote>
  <w:footnote w:type="continuationSeparator" w:id="0">
    <w:p w14:paraId="7F280328" w14:textId="77777777" w:rsidR="0044435A" w:rsidRDefault="0044435A" w:rsidP="00E0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19ECB" w14:textId="6370419B" w:rsidR="00E0257A" w:rsidRDefault="00E0257A">
    <w:pPr>
      <w:pStyle w:val="Header"/>
    </w:pPr>
    <w:r>
      <w:rPr>
        <w:noProof/>
      </w:rPr>
      <w:pict w14:anchorId="5DD8D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07795" w14:textId="5C38E67F" w:rsidR="00E0257A" w:rsidRDefault="00E0257A">
    <w:pPr>
      <w:pStyle w:val="Header"/>
    </w:pPr>
    <w:r>
      <w:rPr>
        <w:noProof/>
      </w:rPr>
      <w:pict w14:anchorId="0E75E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B218" w14:textId="678E2015" w:rsidR="00E0257A" w:rsidRDefault="00E0257A">
    <w:pPr>
      <w:pStyle w:val="Header"/>
    </w:pPr>
    <w:r>
      <w:rPr>
        <w:noProof/>
      </w:rPr>
      <w:pict w14:anchorId="0B5F7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9298F"/>
    <w:multiLevelType w:val="hybridMultilevel"/>
    <w:tmpl w:val="0FEAE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90A5A"/>
    <w:multiLevelType w:val="hybridMultilevel"/>
    <w:tmpl w:val="8F623746"/>
    <w:lvl w:ilvl="0" w:tplc="0409000F">
      <w:start w:val="1"/>
      <w:numFmt w:val="decimal"/>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9222FA0"/>
    <w:multiLevelType w:val="hybridMultilevel"/>
    <w:tmpl w:val="729A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A7411"/>
    <w:multiLevelType w:val="hybridMultilevel"/>
    <w:tmpl w:val="EE6651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B05"/>
    <w:rsid w:val="00020375"/>
    <w:rsid w:val="00052A45"/>
    <w:rsid w:val="000A7436"/>
    <w:rsid w:val="000C7E3C"/>
    <w:rsid w:val="00167CDD"/>
    <w:rsid w:val="00293FF7"/>
    <w:rsid w:val="002942DE"/>
    <w:rsid w:val="00295919"/>
    <w:rsid w:val="0032502D"/>
    <w:rsid w:val="003653B5"/>
    <w:rsid w:val="003E2031"/>
    <w:rsid w:val="004154E2"/>
    <w:rsid w:val="0044435A"/>
    <w:rsid w:val="0047010F"/>
    <w:rsid w:val="004A5EC1"/>
    <w:rsid w:val="004F4815"/>
    <w:rsid w:val="005E04BC"/>
    <w:rsid w:val="005E1415"/>
    <w:rsid w:val="00687340"/>
    <w:rsid w:val="00737713"/>
    <w:rsid w:val="00746798"/>
    <w:rsid w:val="00791B6B"/>
    <w:rsid w:val="00843FB7"/>
    <w:rsid w:val="008B503D"/>
    <w:rsid w:val="00904BA0"/>
    <w:rsid w:val="00910879"/>
    <w:rsid w:val="00967911"/>
    <w:rsid w:val="009D0AC9"/>
    <w:rsid w:val="00A24B05"/>
    <w:rsid w:val="00A846CE"/>
    <w:rsid w:val="00AD1CDF"/>
    <w:rsid w:val="00AF0ECE"/>
    <w:rsid w:val="00BC644F"/>
    <w:rsid w:val="00C11D1A"/>
    <w:rsid w:val="00C169B1"/>
    <w:rsid w:val="00C4265C"/>
    <w:rsid w:val="00C71388"/>
    <w:rsid w:val="00CA0798"/>
    <w:rsid w:val="00CB6838"/>
    <w:rsid w:val="00CF6706"/>
    <w:rsid w:val="00DC13AF"/>
    <w:rsid w:val="00E0257A"/>
    <w:rsid w:val="00E94F6F"/>
    <w:rsid w:val="00EE2FF8"/>
    <w:rsid w:val="00EF161B"/>
    <w:rsid w:val="00EF76B3"/>
    <w:rsid w:val="00F2624D"/>
    <w:rsid w:val="00F5741A"/>
    <w:rsid w:val="00FA351E"/>
    <w:rsid w:val="00FB0AE0"/>
    <w:rsid w:val="00FC419B"/>
    <w:rsid w:val="00FD3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37DB9"/>
  <w15:docId w15:val="{3BD27C46-9D6A-4165-96B5-F3CBABD7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51E"/>
    <w:pPr>
      <w:ind w:left="720"/>
      <w:contextualSpacing/>
    </w:pPr>
  </w:style>
  <w:style w:type="paragraph" w:styleId="BalloonText">
    <w:name w:val="Balloon Text"/>
    <w:basedOn w:val="Normal"/>
    <w:link w:val="BalloonTextChar"/>
    <w:uiPriority w:val="99"/>
    <w:semiHidden/>
    <w:unhideWhenUsed/>
    <w:rsid w:val="004A5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C1"/>
    <w:rPr>
      <w:rFonts w:ascii="Tahoma" w:hAnsi="Tahoma" w:cs="Tahoma"/>
      <w:sz w:val="16"/>
      <w:szCs w:val="16"/>
    </w:rPr>
  </w:style>
  <w:style w:type="table" w:styleId="TableGrid">
    <w:name w:val="Table Grid"/>
    <w:basedOn w:val="TableNormal"/>
    <w:uiPriority w:val="39"/>
    <w:rsid w:val="00DC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B6B"/>
    <w:rPr>
      <w:color w:val="0000FF" w:themeColor="hyperlink"/>
      <w:u w:val="single"/>
    </w:rPr>
  </w:style>
  <w:style w:type="character" w:styleId="UnresolvedMention">
    <w:name w:val="Unresolved Mention"/>
    <w:basedOn w:val="DefaultParagraphFont"/>
    <w:uiPriority w:val="99"/>
    <w:semiHidden/>
    <w:unhideWhenUsed/>
    <w:rsid w:val="00791B6B"/>
    <w:rPr>
      <w:color w:val="605E5C"/>
      <w:shd w:val="clear" w:color="auto" w:fill="E1DFDD"/>
    </w:rPr>
  </w:style>
  <w:style w:type="paragraph" w:styleId="Header">
    <w:name w:val="header"/>
    <w:basedOn w:val="Normal"/>
    <w:link w:val="HeaderChar"/>
    <w:uiPriority w:val="99"/>
    <w:unhideWhenUsed/>
    <w:rsid w:val="00E02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57A"/>
  </w:style>
  <w:style w:type="paragraph" w:styleId="Footer">
    <w:name w:val="footer"/>
    <w:basedOn w:val="Normal"/>
    <w:link w:val="FooterChar"/>
    <w:uiPriority w:val="99"/>
    <w:unhideWhenUsed/>
    <w:rsid w:val="00E02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6572</Words>
  <Characters>37465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SDI 1084</cp:lastModifiedBy>
  <cp:revision>4</cp:revision>
  <dcterms:created xsi:type="dcterms:W3CDTF">2026-02-05T14:45:00Z</dcterms:created>
  <dcterms:modified xsi:type="dcterms:W3CDTF">2026-02-07T11:41:00Z</dcterms:modified>
</cp:coreProperties>
</file>