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D9751" w14:textId="288FBDF5" w:rsidR="00754C9A" w:rsidRDefault="00D459C1" w:rsidP="00441B6F">
      <w:pPr>
        <w:pStyle w:val="Title"/>
        <w:spacing w:after="0"/>
        <w:jc w:val="both"/>
        <w:rPr>
          <w:rFonts w:ascii="Arial" w:hAnsi="Arial" w:cs="Arial"/>
          <w:sz w:val="28"/>
          <w:szCs w:val="16"/>
          <w:u w:val="single"/>
        </w:rPr>
      </w:pPr>
      <w:r w:rsidRPr="00D459C1">
        <w:rPr>
          <w:rFonts w:ascii="Arial" w:hAnsi="Arial" w:cs="Arial"/>
          <w:sz w:val="28"/>
          <w:szCs w:val="16"/>
          <w:u w:val="single"/>
        </w:rPr>
        <w:t>Original Research Article</w:t>
      </w:r>
    </w:p>
    <w:p w14:paraId="1FF39705" w14:textId="77777777" w:rsidR="00D459C1" w:rsidRPr="00D459C1" w:rsidRDefault="00D459C1" w:rsidP="00441B6F">
      <w:pPr>
        <w:pStyle w:val="Title"/>
        <w:spacing w:after="0"/>
        <w:jc w:val="both"/>
        <w:rPr>
          <w:rFonts w:ascii="Arial" w:hAnsi="Arial" w:cs="Arial"/>
          <w:sz w:val="28"/>
          <w:szCs w:val="16"/>
          <w:u w:val="single"/>
        </w:rPr>
      </w:pPr>
    </w:p>
    <w:p w14:paraId="4152C336" w14:textId="77777777" w:rsidR="008E78B4" w:rsidRPr="008E78B4" w:rsidRDefault="008E78B4" w:rsidP="008E78B4">
      <w:pPr>
        <w:pStyle w:val="Author"/>
        <w:spacing w:line="240" w:lineRule="auto"/>
        <w:rPr>
          <w:rFonts w:ascii="Arial" w:hAnsi="Arial" w:cs="Arial"/>
          <w:bCs/>
          <w:iCs/>
          <w:kern w:val="28"/>
          <w:sz w:val="36"/>
        </w:rPr>
      </w:pPr>
      <w:r w:rsidRPr="008E78B4">
        <w:rPr>
          <w:rFonts w:ascii="Arial" w:hAnsi="Arial" w:cs="Arial"/>
          <w:bCs/>
          <w:iCs/>
          <w:kern w:val="28"/>
          <w:sz w:val="36"/>
          <w:lang w:val="en-GB"/>
        </w:rPr>
        <w:t>Diagnostic Practices and Adequacy of Antimalarial Prescriptions for Uncomplicated Malaria in Buea, Cameroon</w:t>
      </w:r>
    </w:p>
    <w:p w14:paraId="1F17BEB8" w14:textId="77777777" w:rsidR="00A258C3" w:rsidRPr="00790ADA" w:rsidRDefault="00A258C3" w:rsidP="00441B6F">
      <w:pPr>
        <w:pStyle w:val="Author"/>
        <w:spacing w:line="240" w:lineRule="auto"/>
        <w:jc w:val="both"/>
        <w:rPr>
          <w:rFonts w:ascii="Arial" w:hAnsi="Arial" w:cs="Arial"/>
          <w:sz w:val="36"/>
        </w:rPr>
      </w:pPr>
    </w:p>
    <w:p w14:paraId="78C73C71" w14:textId="77777777" w:rsidR="00790ADA" w:rsidRDefault="00790ADA" w:rsidP="00441B6F">
      <w:pPr>
        <w:pStyle w:val="Affiliation"/>
        <w:spacing w:after="0" w:line="240" w:lineRule="auto"/>
        <w:jc w:val="both"/>
        <w:rPr>
          <w:rFonts w:ascii="Arial" w:hAnsi="Arial" w:cs="Arial"/>
        </w:rPr>
      </w:pPr>
    </w:p>
    <w:p w14:paraId="0E66C632" w14:textId="77777777" w:rsidR="002C57D2" w:rsidRPr="00FB3A86" w:rsidRDefault="002C57D2" w:rsidP="00441B6F">
      <w:pPr>
        <w:pStyle w:val="Affiliation"/>
        <w:spacing w:after="0" w:line="240" w:lineRule="auto"/>
        <w:jc w:val="both"/>
        <w:rPr>
          <w:rFonts w:ascii="Arial" w:hAnsi="Arial" w:cs="Arial"/>
        </w:rPr>
      </w:pPr>
    </w:p>
    <w:p w14:paraId="17CE2B7B" w14:textId="77777777" w:rsidR="00B01FCD" w:rsidRPr="00FB3A86" w:rsidRDefault="004F27CA" w:rsidP="00441B6F">
      <w:pPr>
        <w:pStyle w:val="Copyright"/>
        <w:spacing w:after="0" w:line="240" w:lineRule="auto"/>
        <w:jc w:val="both"/>
        <w:rPr>
          <w:rFonts w:ascii="Arial" w:hAnsi="Arial" w:cs="Arial"/>
        </w:rPr>
        <w:sectPr w:rsidR="00B01FCD" w:rsidRPr="00FB3A86" w:rsidSect="001A5F5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EE8930D" wp14:editId="4B5E29F8">
                <wp:extent cx="5303520" cy="635"/>
                <wp:effectExtent l="13335" t="12700" r="17145" b="15875"/>
                <wp:docPr id="25801641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CE0E2F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B66D3D1" w14:textId="593EE6C2"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2D8D35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6B8DE9F" w14:textId="77777777" w:rsidTr="00207220">
        <w:trPr>
          <w:trHeight w:val="1266"/>
        </w:trPr>
        <w:tc>
          <w:tcPr>
            <w:tcW w:w="9576" w:type="dxa"/>
            <w:shd w:val="clear" w:color="auto" w:fill="F2F2F2"/>
          </w:tcPr>
          <w:p w14:paraId="233179D8" w14:textId="77777777" w:rsidR="00207220" w:rsidRPr="00207220" w:rsidRDefault="00207220" w:rsidP="00207220">
            <w:pPr>
              <w:pStyle w:val="Body"/>
              <w:rPr>
                <w:rFonts w:ascii="Arial" w:eastAsia="Calibri" w:hAnsi="Arial" w:cs="Arial"/>
                <w:szCs w:val="22"/>
              </w:rPr>
            </w:pPr>
            <w:r w:rsidRPr="00207220">
              <w:rPr>
                <w:rFonts w:ascii="Arial" w:eastAsia="Calibri" w:hAnsi="Arial" w:cs="Arial"/>
                <w:b/>
                <w:bCs/>
                <w:szCs w:val="22"/>
              </w:rPr>
              <w:t>Background</w:t>
            </w:r>
            <w:r w:rsidRPr="00207220">
              <w:rPr>
                <w:rFonts w:ascii="Arial" w:eastAsia="Calibri" w:hAnsi="Arial" w:cs="Arial"/>
                <w:szCs w:val="22"/>
              </w:rPr>
              <w:t>: In Cameroon, artemisinin-based combination therapy (ACT) and parasitological confirmation before treatment are the national standards for managing uncomplicated malaria. However, effective implementation at the point of care is critical for patient outcomes and preventing drug resistance. This study evaluated the real-world clinical diagnostic approaches and the adequacy of antimalarial prescriptions for simple malaria in the Buea Health District (BHD).</w:t>
            </w:r>
          </w:p>
          <w:p w14:paraId="3C1C0BE4" w14:textId="77777777" w:rsidR="00207220" w:rsidRPr="00207220" w:rsidRDefault="00207220" w:rsidP="00207220">
            <w:pPr>
              <w:pStyle w:val="Body"/>
              <w:rPr>
                <w:rFonts w:ascii="Arial" w:eastAsia="Calibri" w:hAnsi="Arial" w:cs="Arial"/>
                <w:szCs w:val="22"/>
              </w:rPr>
            </w:pPr>
            <w:r w:rsidRPr="00207220">
              <w:rPr>
                <w:rFonts w:ascii="Arial" w:eastAsia="Calibri" w:hAnsi="Arial" w:cs="Arial"/>
                <w:b/>
                <w:bCs/>
                <w:szCs w:val="22"/>
              </w:rPr>
              <w:t>Methods:</w:t>
            </w:r>
            <w:r w:rsidRPr="00207220">
              <w:rPr>
                <w:rFonts w:ascii="Arial" w:eastAsia="Calibri" w:hAnsi="Arial" w:cs="Arial"/>
                <w:szCs w:val="22"/>
              </w:rPr>
              <w:t xml:space="preserve"> A cross-sectional study was conducted from February to April 2017 in 31 public and private health facilities in the BHD. Data were collected from 251 patients presenting with fever or a history of fever who were diagnosed with simple malaria. Variables included patient demographics, symptoms, diagnostic test results (RDT/microscopy), and details of the prescribed antimalarial. Prescription adequacy was assessed against national guidelines.</w:t>
            </w:r>
          </w:p>
          <w:p w14:paraId="1B00FB0E" w14:textId="77777777" w:rsidR="00207220" w:rsidRPr="00207220" w:rsidRDefault="00207220" w:rsidP="00207220">
            <w:pPr>
              <w:pStyle w:val="Body"/>
              <w:rPr>
                <w:rFonts w:ascii="Arial" w:eastAsia="Calibri" w:hAnsi="Arial" w:cs="Arial"/>
                <w:szCs w:val="22"/>
              </w:rPr>
            </w:pPr>
            <w:r w:rsidRPr="00207220">
              <w:rPr>
                <w:rFonts w:ascii="Arial" w:eastAsia="Calibri" w:hAnsi="Arial" w:cs="Arial"/>
                <w:b/>
                <w:bCs/>
                <w:szCs w:val="22"/>
              </w:rPr>
              <w:t>Results:</w:t>
            </w:r>
            <w:r w:rsidRPr="00207220">
              <w:rPr>
                <w:rFonts w:ascii="Arial" w:eastAsia="Calibri" w:hAnsi="Arial" w:cs="Arial"/>
                <w:szCs w:val="22"/>
              </w:rPr>
              <w:t xml:space="preserve"> The majority of patients were female (56.6%) with a mean age of 18.8 years. Fever (81.3%) and headache (86.1%) were the most common symptoms. Most patients (93.2%) underwent a parasitological test, with microscopy being the most frequent. Overall, 46.2% had a positive thick blood smear and 22.3% a positive RDT. Artemisinin-based combination therapy was prescribed in 93.1% of cases, with Artemether-Lumefantrine (AL) being the most common (53.4%), followed by Artesunate-Amodiaquine (ASAQ) (36.8%). However, a significant portion of ACT treatments (35.5%) were initiated </w:t>
            </w:r>
            <w:r w:rsidRPr="00207220">
              <w:rPr>
                <w:rFonts w:ascii="Arial" w:eastAsia="Calibri" w:hAnsi="Arial" w:cs="Arial"/>
                <w:i/>
                <w:iCs/>
                <w:szCs w:val="22"/>
              </w:rPr>
              <w:t>before</w:t>
            </w:r>
            <w:r w:rsidRPr="00207220">
              <w:rPr>
                <w:rFonts w:ascii="Arial" w:eastAsia="Calibri" w:hAnsi="Arial" w:cs="Arial"/>
                <w:szCs w:val="22"/>
              </w:rPr>
              <w:t xml:space="preserve"> laboratory confirmation. Documentation of prescription details was high for galenic form and duration (93.2%) but lower for posology (84.1%). Crucially, only 42.6% of all malaria cases were managed in full adherence to national guidelines.</w:t>
            </w:r>
          </w:p>
          <w:p w14:paraId="0FABF7AB" w14:textId="77777777" w:rsidR="00207220" w:rsidRPr="00207220" w:rsidRDefault="00207220" w:rsidP="00207220">
            <w:pPr>
              <w:pStyle w:val="Body"/>
              <w:rPr>
                <w:rFonts w:ascii="Arial" w:eastAsia="Calibri" w:hAnsi="Arial" w:cs="Arial"/>
                <w:szCs w:val="22"/>
              </w:rPr>
            </w:pPr>
            <w:r w:rsidRPr="00207220">
              <w:rPr>
                <w:rFonts w:ascii="Arial" w:eastAsia="Calibri" w:hAnsi="Arial" w:cs="Arial"/>
                <w:b/>
                <w:bCs/>
                <w:szCs w:val="22"/>
              </w:rPr>
              <w:t>Conclusion:</w:t>
            </w:r>
            <w:r w:rsidRPr="00207220">
              <w:rPr>
                <w:rFonts w:ascii="Arial" w:eastAsia="Calibri" w:hAnsi="Arial" w:cs="Arial"/>
                <w:szCs w:val="22"/>
              </w:rPr>
              <w:t xml:space="preserve"> While diagnostic testing and ACT use for simple malaria are high in the BHD, a substantial gap remains between practice and policy. The prevalent use of presumptive treatment and the suboptimal overall adherence to guidelines highlight the need for targeted interventions, including continued prescriber training and strengthened supply chain management, to optimize malaria case management and preserve ACT efficacy.</w:t>
            </w:r>
          </w:p>
          <w:p w14:paraId="53491BB5" w14:textId="77777777" w:rsidR="00505F06" w:rsidRPr="00BA1B01" w:rsidRDefault="00505F06" w:rsidP="00441B6F">
            <w:pPr>
              <w:pStyle w:val="Body"/>
              <w:spacing w:after="0"/>
              <w:rPr>
                <w:rFonts w:ascii="Arial" w:eastAsia="Calibri" w:hAnsi="Arial" w:cs="Arial"/>
                <w:szCs w:val="22"/>
              </w:rPr>
            </w:pPr>
          </w:p>
        </w:tc>
      </w:tr>
    </w:tbl>
    <w:p w14:paraId="6D415ADE" w14:textId="77777777" w:rsidR="00636EB2" w:rsidRDefault="00636EB2" w:rsidP="00441B6F">
      <w:pPr>
        <w:pStyle w:val="Body"/>
        <w:spacing w:after="0"/>
        <w:rPr>
          <w:rFonts w:ascii="Arial" w:hAnsi="Arial" w:cs="Arial"/>
          <w:i/>
        </w:rPr>
      </w:pPr>
    </w:p>
    <w:p w14:paraId="7F47E012" w14:textId="77777777" w:rsidR="00A24E7E" w:rsidRDefault="00A24E7E" w:rsidP="00207220">
      <w:pPr>
        <w:pStyle w:val="Body"/>
        <w:rPr>
          <w:rFonts w:ascii="Arial" w:hAnsi="Arial" w:cs="Arial"/>
          <w:i/>
        </w:rPr>
      </w:pPr>
      <w:r>
        <w:rPr>
          <w:rFonts w:ascii="Arial" w:hAnsi="Arial" w:cs="Arial"/>
          <w:i/>
        </w:rPr>
        <w:t xml:space="preserve">Keywords: </w:t>
      </w:r>
      <w:r w:rsidR="00207220" w:rsidRPr="00207220">
        <w:rPr>
          <w:rFonts w:ascii="Arial" w:hAnsi="Arial" w:cs="Arial"/>
          <w:i/>
        </w:rPr>
        <w:t>Malaria, uncomplicated, diagnostic tests, drug prescriptions, artemisinin-based combination therapy, Cameroon.</w:t>
      </w:r>
    </w:p>
    <w:p w14:paraId="036C0243" w14:textId="77777777" w:rsidR="00790ADA" w:rsidRDefault="00790ADA" w:rsidP="00441B6F">
      <w:pPr>
        <w:pStyle w:val="Body"/>
        <w:spacing w:after="0"/>
        <w:rPr>
          <w:rFonts w:ascii="Arial" w:hAnsi="Arial" w:cs="Arial"/>
          <w:i/>
        </w:rPr>
      </w:pPr>
    </w:p>
    <w:p w14:paraId="3EED48D7" w14:textId="77777777" w:rsidR="0024282C" w:rsidRDefault="0024282C" w:rsidP="00441B6F">
      <w:pPr>
        <w:pStyle w:val="Body"/>
        <w:spacing w:after="0"/>
        <w:rPr>
          <w:rFonts w:ascii="Arial" w:hAnsi="Arial" w:cs="Arial"/>
          <w:i/>
          <w:sz w:val="18"/>
        </w:rPr>
      </w:pPr>
    </w:p>
    <w:p w14:paraId="30102EDB" w14:textId="77777777" w:rsidR="00505F06" w:rsidRPr="00A24E7E" w:rsidRDefault="00505F06" w:rsidP="00441B6F">
      <w:pPr>
        <w:pStyle w:val="Body"/>
        <w:spacing w:after="0"/>
        <w:rPr>
          <w:rFonts w:ascii="Arial" w:hAnsi="Arial" w:cs="Arial"/>
          <w:i/>
        </w:rPr>
      </w:pPr>
    </w:p>
    <w:p w14:paraId="77E25DB9" w14:textId="7734693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2327E10" w14:textId="77777777" w:rsidR="00505F06" w:rsidRDefault="00505F06" w:rsidP="00441B6F">
      <w:pPr>
        <w:pStyle w:val="Body"/>
        <w:spacing w:after="0"/>
        <w:rPr>
          <w:rFonts w:ascii="Arial" w:hAnsi="Arial" w:cs="Arial"/>
        </w:rPr>
      </w:pPr>
    </w:p>
    <w:p w14:paraId="261B0F65" w14:textId="77777777" w:rsidR="00207220" w:rsidRPr="00207220" w:rsidRDefault="00207220" w:rsidP="00207220">
      <w:pPr>
        <w:pStyle w:val="Body"/>
        <w:rPr>
          <w:rFonts w:ascii="Arial" w:hAnsi="Arial" w:cs="Arial"/>
        </w:rPr>
      </w:pPr>
      <w:r w:rsidRPr="00207220">
        <w:rPr>
          <w:rFonts w:ascii="Arial" w:hAnsi="Arial" w:cs="Arial"/>
        </w:rPr>
        <w:t>Malaria remains a leading cause of morbidity and mortality in sub-Saharan Africa, disproportionately affecting vulnerable populations such as children under five and pregnant women, and imposing a significant economic burden on households and health systems (World Health Organization [WHO], 2023). In Cameroon, the disease is hyperendemic, accounting for a substantial proportion of outpatient visits and hospital admissions, which often leads to catastrophic health expenditures for families (</w:t>
      </w:r>
      <w:proofErr w:type="spellStart"/>
      <w:r w:rsidRPr="00207220">
        <w:rPr>
          <w:rFonts w:ascii="Arial" w:hAnsi="Arial" w:cs="Arial"/>
        </w:rPr>
        <w:t>Nsai</w:t>
      </w:r>
      <w:proofErr w:type="spellEnd"/>
      <w:r w:rsidRPr="00207220">
        <w:rPr>
          <w:rFonts w:ascii="Arial" w:hAnsi="Arial" w:cs="Arial"/>
        </w:rPr>
        <w:t xml:space="preserve"> </w:t>
      </w:r>
      <w:r w:rsidRPr="00207220">
        <w:rPr>
          <w:rFonts w:ascii="Arial" w:hAnsi="Arial" w:cs="Arial"/>
          <w:i/>
        </w:rPr>
        <w:t>et al.</w:t>
      </w:r>
      <w:r w:rsidRPr="00207220">
        <w:rPr>
          <w:rFonts w:ascii="Arial" w:hAnsi="Arial" w:cs="Arial"/>
        </w:rPr>
        <w:t>, 2021; PMI, 2024). The clinical trajectory for patients is frequently complicated by delayed care, misdiagnosis, and inappropriate treatment, underscoring the critical need for optimized case management at the point of service (</w:t>
      </w:r>
      <w:proofErr w:type="spellStart"/>
      <w:r w:rsidRPr="00207220">
        <w:rPr>
          <w:rFonts w:ascii="Arial" w:hAnsi="Arial" w:cs="Arial"/>
        </w:rPr>
        <w:t>Okebe</w:t>
      </w:r>
      <w:proofErr w:type="spellEnd"/>
      <w:r w:rsidRPr="00207220">
        <w:rPr>
          <w:rFonts w:ascii="Arial" w:hAnsi="Arial" w:cs="Arial"/>
        </w:rPr>
        <w:t xml:space="preserve"> </w:t>
      </w:r>
      <w:r w:rsidRPr="00207220">
        <w:rPr>
          <w:rFonts w:ascii="Arial" w:hAnsi="Arial" w:cs="Arial"/>
          <w:i/>
        </w:rPr>
        <w:t>et al.</w:t>
      </w:r>
      <w:r w:rsidRPr="00207220">
        <w:rPr>
          <w:rFonts w:ascii="Arial" w:hAnsi="Arial" w:cs="Arial"/>
        </w:rPr>
        <w:t>, 2022).</w:t>
      </w:r>
    </w:p>
    <w:p w14:paraId="772A5886" w14:textId="77777777" w:rsidR="00207220" w:rsidRPr="00207220" w:rsidRDefault="00207220" w:rsidP="00207220">
      <w:pPr>
        <w:pStyle w:val="Body"/>
        <w:rPr>
          <w:rFonts w:ascii="Arial" w:hAnsi="Arial" w:cs="Arial"/>
        </w:rPr>
      </w:pPr>
      <w:r w:rsidRPr="00207220">
        <w:rPr>
          <w:rFonts w:ascii="Arial" w:hAnsi="Arial" w:cs="Arial"/>
        </w:rPr>
        <w:t xml:space="preserve">The global strategy for effective malaria control hinges on two pillars: prompt, accurate diagnosis and the administration of highly effective treatment. In response to widespread resistance to monotherapies, Cameroon adopted Artemisinin-based Combination Therapy (ACT) as the first-line treatment for uncomplicated malaria, in line with WHO recommendations (WHO, 2015). The national policy specifically prioritizes Artesunate-Amodiaquine (ASAQ) and Artemether-Lumefantrine (AL). Concurrently, the paradigm has shifted from presumptive treatment based on clinical symptoms to the mandatory parasitological confirmation of all suspected cases using either rapid diagnostic tests (RDTs) or microscopy (WHO, 2015, 2023). This "test-and-treat" approach is fundamental to ensuring that patients receive correct and timely therapy, prevents the misuse of antimalarials for non-malarial fevers, and safeguards the efficacy of ACTs by reducing unnecessary drug pressure (Boyce </w:t>
      </w:r>
      <w:r w:rsidRPr="00207220">
        <w:rPr>
          <w:rFonts w:ascii="Arial" w:hAnsi="Arial" w:cs="Arial"/>
          <w:i/>
        </w:rPr>
        <w:t>et al.</w:t>
      </w:r>
      <w:r w:rsidRPr="00207220">
        <w:rPr>
          <w:rFonts w:ascii="Arial" w:hAnsi="Arial" w:cs="Arial"/>
        </w:rPr>
        <w:t>, 2022).</w:t>
      </w:r>
    </w:p>
    <w:p w14:paraId="2E930DC8" w14:textId="77777777" w:rsidR="00207220" w:rsidRPr="00207220" w:rsidRDefault="00207220" w:rsidP="00207220">
      <w:pPr>
        <w:pStyle w:val="Body"/>
        <w:rPr>
          <w:rFonts w:ascii="Arial" w:hAnsi="Arial" w:cs="Arial"/>
        </w:rPr>
      </w:pPr>
      <w:r w:rsidRPr="00207220">
        <w:rPr>
          <w:rFonts w:ascii="Arial" w:hAnsi="Arial" w:cs="Arial"/>
        </w:rPr>
        <w:t>However, a persistent chasm exists between national policy and clinical practice. Studies across Cameroon have documented ongoing challenges, including stock-outs of RDTs and ACTs, prescriber reliance on clinical judgment over test results, and the use of non-recommended antimalarials, including injectables for simple cases (Antonio-</w:t>
      </w:r>
      <w:proofErr w:type="spellStart"/>
      <w:r w:rsidRPr="00207220">
        <w:rPr>
          <w:rFonts w:ascii="Arial" w:hAnsi="Arial" w:cs="Arial"/>
        </w:rPr>
        <w:t>Nkondjio</w:t>
      </w:r>
      <w:proofErr w:type="spellEnd"/>
      <w:r w:rsidRPr="00207220">
        <w:rPr>
          <w:rFonts w:ascii="Arial" w:hAnsi="Arial" w:cs="Arial"/>
        </w:rPr>
        <w:t xml:space="preserve"> </w:t>
      </w:r>
      <w:r w:rsidRPr="00207220">
        <w:rPr>
          <w:rFonts w:ascii="Arial" w:hAnsi="Arial" w:cs="Arial"/>
          <w:i/>
        </w:rPr>
        <w:t>et al.</w:t>
      </w:r>
      <w:r w:rsidRPr="00207220">
        <w:rPr>
          <w:rFonts w:ascii="Arial" w:hAnsi="Arial" w:cs="Arial"/>
        </w:rPr>
        <w:t xml:space="preserve">, 2019; Mangham-Jefferies </w:t>
      </w:r>
      <w:r w:rsidRPr="00207220">
        <w:rPr>
          <w:rFonts w:ascii="Arial" w:hAnsi="Arial" w:cs="Arial"/>
          <w:i/>
        </w:rPr>
        <w:t>et al.</w:t>
      </w:r>
      <w:r w:rsidRPr="00207220">
        <w:rPr>
          <w:rFonts w:ascii="Arial" w:hAnsi="Arial" w:cs="Arial"/>
        </w:rPr>
        <w:t>, 2014). A recent study within the Buea Health District specifically highlighted prescriber-related factors, such as knowledge gaps and diagnostic decision-making processes, that influence case management (</w:t>
      </w:r>
      <w:proofErr w:type="spellStart"/>
      <w:r w:rsidRPr="00207220">
        <w:rPr>
          <w:rFonts w:ascii="Arial" w:hAnsi="Arial" w:cs="Arial"/>
        </w:rPr>
        <w:t>Nnoko</w:t>
      </w:r>
      <w:proofErr w:type="spellEnd"/>
      <w:r w:rsidRPr="00207220">
        <w:rPr>
          <w:rFonts w:ascii="Arial" w:hAnsi="Arial" w:cs="Arial"/>
        </w:rPr>
        <w:t xml:space="preserve"> </w:t>
      </w:r>
      <w:r w:rsidRPr="00207220">
        <w:rPr>
          <w:rFonts w:ascii="Arial" w:hAnsi="Arial" w:cs="Arial"/>
          <w:i/>
        </w:rPr>
        <w:t>et al.</w:t>
      </w:r>
      <w:r w:rsidRPr="00207220">
        <w:rPr>
          <w:rFonts w:ascii="Arial" w:hAnsi="Arial" w:cs="Arial"/>
        </w:rPr>
        <w:t xml:space="preserve">, 2025). For the patient, these system and provider-level failures can result in out-of-pocket costs for ineffective drugs, delayed appropriate care, exposure to adverse drug events, and ultimately, poorer health outcomes. The quality of the patient's journey—from the initial diagnostic test to the clarity of prescription instructions—is a crucial determinant of treatment adherence and clinical recovery (Biswas </w:t>
      </w:r>
      <w:r w:rsidRPr="00207220">
        <w:rPr>
          <w:rFonts w:ascii="Arial" w:hAnsi="Arial" w:cs="Arial"/>
          <w:i/>
        </w:rPr>
        <w:t>et al.</w:t>
      </w:r>
      <w:r w:rsidRPr="00207220">
        <w:rPr>
          <w:rFonts w:ascii="Arial" w:hAnsi="Arial" w:cs="Arial"/>
        </w:rPr>
        <w:t>, 2021). This is especially urgent in the context of emerging artemisinin resistance in Africa (</w:t>
      </w:r>
      <w:proofErr w:type="spellStart"/>
      <w:r w:rsidRPr="00207220">
        <w:rPr>
          <w:rFonts w:ascii="Arial" w:hAnsi="Arial" w:cs="Arial"/>
        </w:rPr>
        <w:t>Balikagala</w:t>
      </w:r>
      <w:proofErr w:type="spellEnd"/>
      <w:r w:rsidRPr="00207220">
        <w:rPr>
          <w:rFonts w:ascii="Arial" w:hAnsi="Arial" w:cs="Arial"/>
        </w:rPr>
        <w:t xml:space="preserve"> </w:t>
      </w:r>
      <w:r w:rsidRPr="00207220">
        <w:rPr>
          <w:rFonts w:ascii="Arial" w:hAnsi="Arial" w:cs="Arial"/>
          <w:i/>
        </w:rPr>
        <w:t>et al.</w:t>
      </w:r>
      <w:r w:rsidRPr="00207220">
        <w:rPr>
          <w:rFonts w:ascii="Arial" w:hAnsi="Arial" w:cs="Arial"/>
        </w:rPr>
        <w:t>, 2021).</w:t>
      </w:r>
    </w:p>
    <w:p w14:paraId="5A848A4C" w14:textId="77777777" w:rsidR="00207220" w:rsidRPr="00207220" w:rsidRDefault="00207220" w:rsidP="00207220">
      <w:pPr>
        <w:pStyle w:val="Body"/>
        <w:rPr>
          <w:rFonts w:ascii="Arial" w:hAnsi="Arial" w:cs="Arial"/>
        </w:rPr>
      </w:pPr>
      <w:r w:rsidRPr="00207220">
        <w:rPr>
          <w:rFonts w:ascii="Arial" w:hAnsi="Arial" w:cs="Arial"/>
        </w:rPr>
        <w:t xml:space="preserve">While the study by </w:t>
      </w:r>
      <w:proofErr w:type="spellStart"/>
      <w:r w:rsidRPr="00207220">
        <w:rPr>
          <w:rFonts w:ascii="Arial" w:hAnsi="Arial" w:cs="Arial"/>
        </w:rPr>
        <w:t>Nnoko</w:t>
      </w:r>
      <w:proofErr w:type="spellEnd"/>
      <w:r w:rsidRPr="00207220">
        <w:rPr>
          <w:rFonts w:ascii="Arial" w:hAnsi="Arial" w:cs="Arial"/>
        </w:rPr>
        <w:t xml:space="preserve"> </w:t>
      </w:r>
      <w:r w:rsidRPr="00207220">
        <w:rPr>
          <w:rFonts w:ascii="Arial" w:hAnsi="Arial" w:cs="Arial"/>
          <w:i/>
        </w:rPr>
        <w:t>et al.</w:t>
      </w:r>
      <w:r w:rsidRPr="00207220">
        <w:rPr>
          <w:rFonts w:ascii="Arial" w:hAnsi="Arial" w:cs="Arial"/>
        </w:rPr>
        <w:t xml:space="preserve"> (2025) provided valuable insights from the prescriber's perspective in the Buea Health District, a complementary, patient-centered analysis is needed to complete the picture. Understanding the actual diagnostic and treatment experiences of febrile patients is essential to identify the real-world bottlenecks that impede effective care.</w:t>
      </w:r>
    </w:p>
    <w:p w14:paraId="29BA5AE1" w14:textId="77777777" w:rsidR="00207220" w:rsidRPr="00207220" w:rsidRDefault="00207220" w:rsidP="00207220">
      <w:pPr>
        <w:pStyle w:val="Body"/>
        <w:rPr>
          <w:rFonts w:ascii="Arial" w:hAnsi="Arial" w:cs="Arial"/>
        </w:rPr>
      </w:pPr>
      <w:r w:rsidRPr="00207220">
        <w:rPr>
          <w:rFonts w:ascii="Arial" w:hAnsi="Arial" w:cs="Arial"/>
        </w:rPr>
        <w:t>Therefore, this study aimed to evaluate the management of simple malaria in the Buea Health District from the patient's vantage point. It specifically assessed the clinical diagnostic pathways patients underwent and the adequacy of the antimalarial prescriptions they received, benchmarking these practices against national guidelines to identify critical gaps and inform targeted quality improvement interventions.</w:t>
      </w:r>
    </w:p>
    <w:p w14:paraId="6D3D3856" w14:textId="77777777" w:rsidR="00790ADA" w:rsidRPr="00FB3A86" w:rsidRDefault="00790ADA" w:rsidP="00441B6F">
      <w:pPr>
        <w:pStyle w:val="Body"/>
        <w:spacing w:after="0"/>
        <w:rPr>
          <w:rFonts w:ascii="Arial" w:hAnsi="Arial" w:cs="Arial"/>
        </w:rPr>
      </w:pPr>
    </w:p>
    <w:p w14:paraId="60A729D6" w14:textId="7228DF0E" w:rsidR="007F7B32" w:rsidRDefault="00902823" w:rsidP="00441B6F">
      <w:pPr>
        <w:pStyle w:val="AbstHead"/>
        <w:spacing w:after="0"/>
        <w:jc w:val="both"/>
        <w:rPr>
          <w:rFonts w:ascii="Arial" w:hAnsi="Arial" w:cs="Arial"/>
        </w:rPr>
      </w:pPr>
      <w:r>
        <w:rPr>
          <w:rFonts w:ascii="Arial" w:hAnsi="Arial" w:cs="Arial"/>
        </w:rPr>
        <w:lastRenderedPageBreak/>
        <w:t>2. material and method</w:t>
      </w:r>
      <w:r w:rsidR="00000F8F">
        <w:rPr>
          <w:rFonts w:ascii="Arial" w:hAnsi="Arial" w:cs="Arial"/>
        </w:rPr>
        <w:t xml:space="preserve">s </w:t>
      </w:r>
    </w:p>
    <w:p w14:paraId="07FCD47B" w14:textId="77777777" w:rsidR="00790ADA" w:rsidRPr="00FB3A86" w:rsidRDefault="00790ADA" w:rsidP="00441B6F">
      <w:pPr>
        <w:pStyle w:val="AbstHead"/>
        <w:spacing w:after="0"/>
        <w:jc w:val="both"/>
        <w:rPr>
          <w:rFonts w:ascii="Arial" w:hAnsi="Arial" w:cs="Arial"/>
        </w:rPr>
      </w:pPr>
    </w:p>
    <w:p w14:paraId="09702F14" w14:textId="77777777" w:rsidR="00207220" w:rsidRPr="00207220" w:rsidRDefault="00207220" w:rsidP="00207220">
      <w:pPr>
        <w:pStyle w:val="Body"/>
        <w:rPr>
          <w:rFonts w:ascii="Arial" w:hAnsi="Arial" w:cs="Arial"/>
          <w:b/>
          <w:bCs/>
          <w:sz w:val="22"/>
          <w:szCs w:val="22"/>
        </w:rPr>
      </w:pPr>
      <w:r w:rsidRPr="00207220">
        <w:rPr>
          <w:rFonts w:ascii="Arial" w:hAnsi="Arial" w:cs="Arial"/>
          <w:b/>
          <w:bCs/>
          <w:sz w:val="22"/>
          <w:szCs w:val="22"/>
        </w:rPr>
        <w:t>2.1 Study Design and Setting</w:t>
      </w:r>
    </w:p>
    <w:p w14:paraId="2FCAD52E" w14:textId="77777777" w:rsidR="00207220" w:rsidRPr="00207220" w:rsidRDefault="00207220" w:rsidP="00207220">
      <w:pPr>
        <w:pStyle w:val="Body"/>
        <w:rPr>
          <w:rFonts w:ascii="Arial" w:hAnsi="Arial" w:cs="Arial"/>
        </w:rPr>
      </w:pPr>
      <w:r w:rsidRPr="00207220">
        <w:rPr>
          <w:rFonts w:ascii="Arial" w:hAnsi="Arial" w:cs="Arial"/>
        </w:rPr>
        <w:t>A cross-sectional, health facility-based study was conducted between February and April 20</w:t>
      </w:r>
      <w:r w:rsidR="004F27CA">
        <w:rPr>
          <w:rFonts w:ascii="Arial" w:hAnsi="Arial" w:cs="Arial"/>
        </w:rPr>
        <w:t>22</w:t>
      </w:r>
      <w:r w:rsidRPr="00207220">
        <w:rPr>
          <w:rFonts w:ascii="Arial" w:hAnsi="Arial" w:cs="Arial"/>
        </w:rPr>
        <w:t xml:space="preserve"> in the Buea Health District (BHD) of the South-West Region of Cameroon. The study was carried out in 31 health facilities (15 public and 16 private) to capture a representative snapshot of care across the district's diverse healthcare providers.</w:t>
      </w:r>
    </w:p>
    <w:p w14:paraId="1361010F" w14:textId="77777777" w:rsidR="00207220" w:rsidRPr="00207220" w:rsidRDefault="00207220" w:rsidP="00207220">
      <w:pPr>
        <w:pStyle w:val="Body"/>
        <w:rPr>
          <w:rFonts w:ascii="Arial" w:hAnsi="Arial" w:cs="Arial"/>
          <w:sz w:val="22"/>
          <w:szCs w:val="22"/>
        </w:rPr>
      </w:pPr>
      <w:r w:rsidRPr="00207220">
        <w:rPr>
          <w:rFonts w:ascii="Arial" w:hAnsi="Arial" w:cs="Arial"/>
          <w:b/>
          <w:bCs/>
          <w:sz w:val="22"/>
          <w:szCs w:val="22"/>
        </w:rPr>
        <w:t>2.2 Study Population and Sampling</w:t>
      </w:r>
    </w:p>
    <w:p w14:paraId="0B724A89" w14:textId="77777777" w:rsidR="00207220" w:rsidRPr="00207220" w:rsidRDefault="00207220" w:rsidP="00207220">
      <w:pPr>
        <w:pStyle w:val="Body"/>
        <w:rPr>
          <w:rFonts w:ascii="Arial" w:hAnsi="Arial" w:cs="Arial"/>
        </w:rPr>
      </w:pPr>
      <w:r w:rsidRPr="00207220">
        <w:rPr>
          <w:rFonts w:ascii="Arial" w:hAnsi="Arial" w:cs="Arial"/>
        </w:rPr>
        <w:t>The study focused on two key groups:</w:t>
      </w:r>
      <w:r>
        <w:rPr>
          <w:rFonts w:ascii="Arial" w:hAnsi="Arial" w:cs="Arial"/>
        </w:rPr>
        <w:t xml:space="preserve"> </w:t>
      </w:r>
      <w:r w:rsidRPr="00207220">
        <w:rPr>
          <w:rFonts w:ascii="Arial" w:hAnsi="Arial" w:cs="Arial"/>
        </w:rPr>
        <w:t xml:space="preserve">The primary population consisted of patients presenting at participating health facilities with fever or a history of fever in the previous 48 hours, who received a presumptive or confirmed diagnosis of simple malaria. Inclusion criteria required residency in the endemic area for over six months. Patients were consecutively recruited. The sample size was calculated using the Cochran formula with a 95% confidence level (Z=1.96), an expected malaria prevalence of 30% (P=0.30) (Apinjoh </w:t>
      </w:r>
      <w:r w:rsidRPr="00207220">
        <w:rPr>
          <w:rFonts w:ascii="Arial" w:hAnsi="Arial" w:cs="Arial"/>
          <w:i/>
        </w:rPr>
        <w:t>et al.</w:t>
      </w:r>
      <w:r w:rsidRPr="00207220">
        <w:rPr>
          <w:rFonts w:ascii="Arial" w:hAnsi="Arial" w:cs="Arial"/>
        </w:rPr>
        <w:t>, 2007), and a 5% margin of error (d=0.05), yielding a minimum target of 323 patients. The final analysis included 251 patients who met all criteria.</w:t>
      </w:r>
    </w:p>
    <w:p w14:paraId="3AA21215" w14:textId="77777777" w:rsidR="00207220" w:rsidRPr="00207220" w:rsidRDefault="00207220" w:rsidP="00207220">
      <w:pPr>
        <w:pStyle w:val="Body"/>
        <w:rPr>
          <w:rFonts w:ascii="Arial" w:hAnsi="Arial" w:cs="Arial"/>
        </w:rPr>
      </w:pPr>
      <w:r w:rsidRPr="00207220">
        <w:rPr>
          <w:rFonts w:ascii="Arial" w:hAnsi="Arial" w:cs="Arial"/>
        </w:rPr>
        <w:t xml:space="preserve">To provide context for the patient data, all consenting physicians, nurses, and midwives actively consulting in the selected facilities were enrolled (n=63), as previously reported by </w:t>
      </w:r>
      <w:proofErr w:type="spellStart"/>
      <w:r w:rsidRPr="00207220">
        <w:rPr>
          <w:rFonts w:ascii="Arial" w:hAnsi="Arial" w:cs="Arial"/>
        </w:rPr>
        <w:t>Nnoko</w:t>
      </w:r>
      <w:proofErr w:type="spellEnd"/>
      <w:r w:rsidRPr="00207220">
        <w:rPr>
          <w:rFonts w:ascii="Arial" w:hAnsi="Arial" w:cs="Arial"/>
        </w:rPr>
        <w:t xml:space="preserve"> </w:t>
      </w:r>
      <w:r w:rsidRPr="00207220">
        <w:rPr>
          <w:rFonts w:ascii="Arial" w:hAnsi="Arial" w:cs="Arial"/>
          <w:i/>
        </w:rPr>
        <w:t>et al.</w:t>
      </w:r>
      <w:r w:rsidRPr="00207220">
        <w:rPr>
          <w:rFonts w:ascii="Arial" w:hAnsi="Arial" w:cs="Arial"/>
        </w:rPr>
        <w:t xml:space="preserve"> (2025).</w:t>
      </w:r>
    </w:p>
    <w:p w14:paraId="769C7ED3" w14:textId="77777777" w:rsidR="00207220" w:rsidRPr="00207220" w:rsidRDefault="00207220" w:rsidP="00207220">
      <w:pPr>
        <w:pStyle w:val="Body"/>
        <w:rPr>
          <w:rFonts w:ascii="Arial" w:hAnsi="Arial" w:cs="Arial"/>
          <w:b/>
          <w:bCs/>
          <w:sz w:val="22"/>
          <w:szCs w:val="22"/>
        </w:rPr>
      </w:pPr>
      <w:r w:rsidRPr="00207220">
        <w:rPr>
          <w:rFonts w:ascii="Arial" w:hAnsi="Arial" w:cs="Arial"/>
          <w:b/>
          <w:bCs/>
          <w:sz w:val="22"/>
          <w:szCs w:val="22"/>
        </w:rPr>
        <w:t>2.3 Data Collection</w:t>
      </w:r>
    </w:p>
    <w:p w14:paraId="6CBA64A1" w14:textId="77777777" w:rsidR="00207220" w:rsidRPr="00207220" w:rsidRDefault="00207220" w:rsidP="00207220">
      <w:pPr>
        <w:pStyle w:val="Body"/>
        <w:rPr>
          <w:rFonts w:ascii="Arial" w:hAnsi="Arial" w:cs="Arial"/>
        </w:rPr>
      </w:pPr>
      <w:r w:rsidRPr="00207220">
        <w:rPr>
          <w:rFonts w:ascii="Arial" w:hAnsi="Arial" w:cs="Arial"/>
        </w:rPr>
        <w:t>Data were collected using pre-tested, structured questionnaires. For the patient-focused analysis, data were extracted from clinical records and through interaction with patients or their guardians. Key variables collected included: Socio-demographic characteristics (age, sex), presenting signs and symptoms documented at consultation, type of diagnostic test requested (if any) and its result (RDT or microscopy), comprehensive details of the prescribed antimalarial (drug name, galenic form, dosage, posology, and treatment duration), and timing of treatment relative to diagnostic testing.</w:t>
      </w:r>
    </w:p>
    <w:p w14:paraId="45B3579E" w14:textId="77777777" w:rsidR="00207220" w:rsidRPr="00207220" w:rsidRDefault="00207220" w:rsidP="00207220">
      <w:pPr>
        <w:pStyle w:val="Body"/>
        <w:rPr>
          <w:rFonts w:ascii="Arial" w:hAnsi="Arial" w:cs="Arial"/>
          <w:b/>
          <w:bCs/>
          <w:sz w:val="22"/>
          <w:szCs w:val="22"/>
        </w:rPr>
      </w:pPr>
      <w:r w:rsidRPr="00207220">
        <w:rPr>
          <w:rFonts w:ascii="Arial" w:hAnsi="Arial" w:cs="Arial"/>
          <w:b/>
          <w:bCs/>
          <w:sz w:val="22"/>
          <w:szCs w:val="22"/>
        </w:rPr>
        <w:t>2.4 Data Analysis</w:t>
      </w:r>
    </w:p>
    <w:p w14:paraId="0C352E3B" w14:textId="77777777" w:rsidR="00207220" w:rsidRPr="00207220" w:rsidRDefault="00207220" w:rsidP="00207220">
      <w:pPr>
        <w:pStyle w:val="Body"/>
        <w:rPr>
          <w:rFonts w:ascii="Arial" w:hAnsi="Arial" w:cs="Arial"/>
        </w:rPr>
      </w:pPr>
      <w:r w:rsidRPr="00207220">
        <w:rPr>
          <w:rFonts w:ascii="Arial" w:hAnsi="Arial" w:cs="Arial"/>
        </w:rPr>
        <w:t xml:space="preserve">Data were entered into Microsoft Excel 2013 and analyzed using SPSS software. Descriptive statistics (frequencies, percentages, means, and standard deviations) were used to summarize patient demographics, diagnostic pathways, and treatment profiles. The analysis focused on patient-centered outcome measures: (1) the proportion of febrile patients who underwent parasitological testing (testing rate), (2) the proportion of test-positive patients treated with a recommended ACT (ACT prescription rate), and (3) the overall adequacy of the prescription, determined by comparing the drug, dosage, form, and treatment duration against the Cameroonian National Malaria Control </w:t>
      </w:r>
      <w:proofErr w:type="spellStart"/>
      <w:r w:rsidRPr="00207220">
        <w:rPr>
          <w:rFonts w:ascii="Arial" w:hAnsi="Arial" w:cs="Arial"/>
        </w:rPr>
        <w:t>Programme</w:t>
      </w:r>
      <w:proofErr w:type="spellEnd"/>
      <w:r w:rsidRPr="00207220">
        <w:rPr>
          <w:rFonts w:ascii="Arial" w:hAnsi="Arial" w:cs="Arial"/>
        </w:rPr>
        <w:t xml:space="preserve"> guidelines.</w:t>
      </w:r>
    </w:p>
    <w:p w14:paraId="6F3B3B23" w14:textId="77777777" w:rsidR="00207220" w:rsidRPr="00207220" w:rsidRDefault="00207220" w:rsidP="00207220">
      <w:pPr>
        <w:pStyle w:val="Body"/>
        <w:rPr>
          <w:rFonts w:ascii="Arial" w:hAnsi="Arial" w:cs="Arial"/>
          <w:b/>
          <w:bCs/>
          <w:sz w:val="22"/>
          <w:szCs w:val="22"/>
        </w:rPr>
      </w:pPr>
      <w:r w:rsidRPr="00207220">
        <w:rPr>
          <w:rFonts w:ascii="Arial" w:hAnsi="Arial" w:cs="Arial"/>
          <w:b/>
          <w:bCs/>
          <w:sz w:val="22"/>
          <w:szCs w:val="22"/>
        </w:rPr>
        <w:t>2.5 Ethical Considerations</w:t>
      </w:r>
    </w:p>
    <w:p w14:paraId="4E58A646" w14:textId="77777777" w:rsidR="00790ADA" w:rsidRDefault="00207220" w:rsidP="00207220">
      <w:pPr>
        <w:pStyle w:val="Body"/>
        <w:rPr>
          <w:rFonts w:ascii="Arial" w:hAnsi="Arial" w:cs="Arial"/>
        </w:rPr>
      </w:pPr>
      <w:r w:rsidRPr="00207220">
        <w:rPr>
          <w:rFonts w:ascii="Arial" w:hAnsi="Arial" w:cs="Arial"/>
        </w:rPr>
        <w:t>Ethical approval was obtained from the Institutional Review Board of the University of Douala. Administrative authorization was secured from the Regional Delegation of Public Health. Written informed consent was obtained from all prescribers and from patients or the guardians of minors prior to enrolment. All data were anonymized to ensure participant confidentiality.</w:t>
      </w:r>
    </w:p>
    <w:p w14:paraId="39EFAF4F"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3B254869" w14:textId="77777777" w:rsidR="00790ADA" w:rsidRPr="00FB3A86" w:rsidRDefault="00790ADA" w:rsidP="00441B6F">
      <w:pPr>
        <w:pStyle w:val="Head1"/>
        <w:spacing w:after="0"/>
        <w:jc w:val="both"/>
        <w:rPr>
          <w:rFonts w:ascii="Arial" w:hAnsi="Arial" w:cs="Arial"/>
        </w:rPr>
      </w:pPr>
    </w:p>
    <w:p w14:paraId="2057AE67" w14:textId="77777777" w:rsidR="0029469D" w:rsidRPr="0029469D" w:rsidRDefault="0029469D" w:rsidP="0029469D">
      <w:pPr>
        <w:pStyle w:val="Body"/>
        <w:rPr>
          <w:rFonts w:ascii="Arial" w:hAnsi="Arial" w:cs="Arial"/>
          <w:b/>
          <w:sz w:val="22"/>
          <w:szCs w:val="22"/>
        </w:rPr>
      </w:pPr>
      <w:r w:rsidRPr="0029469D">
        <w:rPr>
          <w:rFonts w:ascii="Arial" w:hAnsi="Arial" w:cs="Arial"/>
          <w:b/>
          <w:sz w:val="22"/>
          <w:szCs w:val="22"/>
        </w:rPr>
        <w:t>3.1 Characteristics of patients</w:t>
      </w:r>
    </w:p>
    <w:p w14:paraId="5ECA591E" w14:textId="77777777" w:rsidR="0029469D" w:rsidRPr="0029469D" w:rsidRDefault="0029469D" w:rsidP="0029469D">
      <w:pPr>
        <w:pStyle w:val="Body"/>
        <w:rPr>
          <w:rFonts w:ascii="Arial" w:hAnsi="Arial" w:cs="Arial"/>
          <w:lang w:val="en-GB"/>
        </w:rPr>
      </w:pPr>
      <w:r w:rsidRPr="0029469D">
        <w:rPr>
          <w:rFonts w:ascii="Arial" w:hAnsi="Arial" w:cs="Arial"/>
          <w:lang w:val="en-GB"/>
        </w:rPr>
        <w:t>The Figure reveals a gender disparity in patient demographics across healthcare sectors in Buea District. In both the public and private sectors, female patients outnumber males, with the private sector showing the most pronounced imbalance with Female constituting 64.2% against 35.8% male (Figure 1). The public sector is more balanced but still female-dominant at 54.5% (Figure 1). Overall, when combining both sectors, females represent 56.6% of the total patient population (Figure 1).</w:t>
      </w:r>
    </w:p>
    <w:p w14:paraId="13C9BA7A" w14:textId="77777777" w:rsidR="0029469D" w:rsidRPr="0029469D" w:rsidRDefault="0029469D" w:rsidP="0029469D">
      <w:pPr>
        <w:pStyle w:val="Body"/>
        <w:spacing w:after="0"/>
        <w:rPr>
          <w:rFonts w:ascii="Arial" w:hAnsi="Arial" w:cs="Arial"/>
          <w:lang w:val="en-GB"/>
        </w:rPr>
      </w:pPr>
      <w:r>
        <w:rPr>
          <w:rFonts w:ascii="Arial" w:hAnsi="Arial" w:cs="Arial"/>
          <w:lang w:val="en-GB"/>
        </w:rPr>
        <w:t xml:space="preserve">          </w:t>
      </w:r>
      <w:r w:rsidRPr="0029469D">
        <w:rPr>
          <w:rFonts w:ascii="Arial" w:hAnsi="Arial" w:cs="Arial"/>
          <w:noProof/>
          <w:lang w:val="en-GB"/>
        </w:rPr>
        <w:drawing>
          <wp:inline distT="0" distB="0" distL="0" distR="0" wp14:anchorId="767CFD89" wp14:editId="341766EF">
            <wp:extent cx="4330700" cy="2735121"/>
            <wp:effectExtent l="0" t="0" r="0" b="8255"/>
            <wp:docPr id="13817618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41514" cy="2741950"/>
                    </a:xfrm>
                    <a:prstGeom prst="rect">
                      <a:avLst/>
                    </a:prstGeom>
                    <a:noFill/>
                  </pic:spPr>
                </pic:pic>
              </a:graphicData>
            </a:graphic>
          </wp:inline>
        </w:drawing>
      </w:r>
    </w:p>
    <w:p w14:paraId="3D03A759" w14:textId="77777777" w:rsidR="0029469D" w:rsidRPr="0029469D" w:rsidRDefault="0029469D" w:rsidP="0029469D">
      <w:pPr>
        <w:pStyle w:val="Body"/>
        <w:rPr>
          <w:rFonts w:ascii="Arial" w:hAnsi="Arial" w:cs="Arial"/>
          <w:b/>
          <w:bCs/>
          <w:lang w:val="en-GB"/>
        </w:rPr>
      </w:pPr>
      <w:r w:rsidRPr="0029469D">
        <w:rPr>
          <w:rFonts w:ascii="Arial" w:hAnsi="Arial" w:cs="Arial"/>
          <w:b/>
          <w:bCs/>
          <w:lang w:val="en-GB"/>
        </w:rPr>
        <w:t xml:space="preserve">Figure </w:t>
      </w:r>
      <w:r w:rsidRPr="0029469D">
        <w:rPr>
          <w:rFonts w:ascii="Arial" w:hAnsi="Arial" w:cs="Arial"/>
          <w:b/>
          <w:bCs/>
          <w:lang w:val="en-GB"/>
        </w:rPr>
        <w:fldChar w:fldCharType="begin"/>
      </w:r>
      <w:r w:rsidRPr="0029469D">
        <w:rPr>
          <w:rFonts w:ascii="Arial" w:hAnsi="Arial" w:cs="Arial"/>
          <w:b/>
          <w:bCs/>
          <w:lang w:val="en-GB"/>
        </w:rPr>
        <w:instrText xml:space="preserve"> SEQ Figure \* ARABIC </w:instrText>
      </w:r>
      <w:r w:rsidRPr="0029469D">
        <w:rPr>
          <w:rFonts w:ascii="Arial" w:hAnsi="Arial" w:cs="Arial"/>
          <w:b/>
          <w:bCs/>
          <w:lang w:val="en-GB"/>
        </w:rPr>
        <w:fldChar w:fldCharType="separate"/>
      </w:r>
      <w:r w:rsidRPr="0029469D">
        <w:rPr>
          <w:rFonts w:ascii="Arial" w:hAnsi="Arial" w:cs="Arial"/>
          <w:b/>
          <w:bCs/>
          <w:lang w:val="en-GB"/>
        </w:rPr>
        <w:t>1</w:t>
      </w:r>
      <w:r w:rsidRPr="0029469D">
        <w:rPr>
          <w:rFonts w:ascii="Arial" w:hAnsi="Arial" w:cs="Arial"/>
        </w:rPr>
        <w:fldChar w:fldCharType="end"/>
      </w:r>
      <w:r w:rsidRPr="0029469D">
        <w:rPr>
          <w:rFonts w:ascii="Arial" w:hAnsi="Arial" w:cs="Arial"/>
          <w:b/>
          <w:bCs/>
          <w:lang w:val="en-GB"/>
        </w:rPr>
        <w:t>: Demographic characteristic of malaria patient in the Buea Health District</w:t>
      </w:r>
    </w:p>
    <w:p w14:paraId="5037D0AE" w14:textId="77777777" w:rsidR="0029469D" w:rsidRPr="004614E6" w:rsidRDefault="004614E6" w:rsidP="0029469D">
      <w:pPr>
        <w:pStyle w:val="Body"/>
        <w:rPr>
          <w:rFonts w:ascii="Arial" w:hAnsi="Arial" w:cs="Arial"/>
          <w:b/>
          <w:sz w:val="22"/>
          <w:szCs w:val="22"/>
        </w:rPr>
      </w:pPr>
      <w:r w:rsidRPr="004614E6">
        <w:rPr>
          <w:rFonts w:ascii="Arial" w:hAnsi="Arial" w:cs="Arial"/>
          <w:b/>
          <w:sz w:val="22"/>
          <w:szCs w:val="22"/>
        </w:rPr>
        <w:t xml:space="preserve">3.2 </w:t>
      </w:r>
      <w:r w:rsidR="0029469D" w:rsidRPr="004614E6">
        <w:rPr>
          <w:rFonts w:ascii="Arial" w:hAnsi="Arial" w:cs="Arial"/>
          <w:b/>
          <w:sz w:val="22"/>
          <w:szCs w:val="22"/>
        </w:rPr>
        <w:t>Symptoms or signs presented by patients</w:t>
      </w:r>
    </w:p>
    <w:p w14:paraId="084D8AC4" w14:textId="77777777" w:rsidR="0029469D" w:rsidRPr="0029469D" w:rsidRDefault="0029469D" w:rsidP="0029469D">
      <w:pPr>
        <w:pStyle w:val="Body"/>
        <w:rPr>
          <w:rFonts w:ascii="Arial" w:hAnsi="Arial" w:cs="Arial"/>
          <w:lang w:val="en-GB"/>
        </w:rPr>
      </w:pPr>
      <w:r w:rsidRPr="0029469D">
        <w:rPr>
          <w:rFonts w:ascii="Arial" w:hAnsi="Arial" w:cs="Arial"/>
          <w:lang w:val="en-GB"/>
        </w:rPr>
        <w:t xml:space="preserve">In the Buea Health District, malaria patients predominantly presented with fever (81.3%) and headache (86.1%), confirming these as hallmark symptoms across both public and private health facilities (Table 1). Joint pain was moderately common (42.2%), while gastrointestinal symptoms like vomiting (9.6%), anorexia (15.5%), and diarrhoea (19.1%) appeared with lower frequency (Table 1). Notably, symptoms such as nausea (2.8%), asthenia (1.2%), and dizziness (1.2%) were rare, and insomnia and </w:t>
      </w:r>
      <w:proofErr w:type="spellStart"/>
      <w:r w:rsidRPr="0029469D">
        <w:rPr>
          <w:rFonts w:ascii="Arial" w:hAnsi="Arial" w:cs="Arial"/>
          <w:lang w:val="en-GB"/>
        </w:rPr>
        <w:t>dyspnea</w:t>
      </w:r>
      <w:proofErr w:type="spellEnd"/>
      <w:r w:rsidRPr="0029469D">
        <w:rPr>
          <w:rFonts w:ascii="Arial" w:hAnsi="Arial" w:cs="Arial"/>
          <w:lang w:val="en-GB"/>
        </w:rPr>
        <w:t xml:space="preserve"> were entirely absent (Table 1). The private sector showed slightly higher proportions for vomiting, anorexia, and diarrhoea (Table 1). Overall, the symptom profile aligns with classical malaria presentations, with some variability that may reflect co-infections or individual health-seeking behaviours.</w:t>
      </w:r>
    </w:p>
    <w:p w14:paraId="21D135BB" w14:textId="77777777" w:rsidR="0029469D" w:rsidRPr="0029469D" w:rsidRDefault="0029469D" w:rsidP="0029469D">
      <w:pPr>
        <w:pStyle w:val="Body"/>
        <w:spacing w:after="0"/>
        <w:rPr>
          <w:rFonts w:ascii="Arial" w:hAnsi="Arial" w:cs="Arial"/>
          <w:b/>
          <w:bCs/>
          <w:lang w:val="en-GB"/>
        </w:rPr>
      </w:pPr>
      <w:r w:rsidRPr="0029469D">
        <w:rPr>
          <w:rFonts w:ascii="Arial" w:hAnsi="Arial" w:cs="Arial"/>
          <w:b/>
          <w:bCs/>
          <w:lang w:val="en-GB"/>
        </w:rPr>
        <w:t xml:space="preserve">Table </w:t>
      </w:r>
      <w:r w:rsidRPr="0029469D">
        <w:rPr>
          <w:rFonts w:ascii="Arial" w:hAnsi="Arial" w:cs="Arial"/>
          <w:b/>
          <w:bCs/>
          <w:lang w:val="en-GB"/>
        </w:rPr>
        <w:fldChar w:fldCharType="begin"/>
      </w:r>
      <w:r w:rsidRPr="0029469D">
        <w:rPr>
          <w:rFonts w:ascii="Arial" w:hAnsi="Arial" w:cs="Arial"/>
          <w:b/>
          <w:bCs/>
          <w:lang w:val="en-GB"/>
        </w:rPr>
        <w:instrText xml:space="preserve"> SEQ Table \* ARABIC </w:instrText>
      </w:r>
      <w:r w:rsidRPr="0029469D">
        <w:rPr>
          <w:rFonts w:ascii="Arial" w:hAnsi="Arial" w:cs="Arial"/>
          <w:b/>
          <w:bCs/>
          <w:lang w:val="en-GB"/>
        </w:rPr>
        <w:fldChar w:fldCharType="separate"/>
      </w:r>
      <w:r w:rsidRPr="0029469D">
        <w:rPr>
          <w:rFonts w:ascii="Arial" w:hAnsi="Arial" w:cs="Arial"/>
          <w:b/>
          <w:bCs/>
          <w:lang w:val="en-GB"/>
        </w:rPr>
        <w:t>1</w:t>
      </w:r>
      <w:r w:rsidRPr="0029469D">
        <w:rPr>
          <w:rFonts w:ascii="Arial" w:hAnsi="Arial" w:cs="Arial"/>
        </w:rPr>
        <w:fldChar w:fldCharType="end"/>
      </w:r>
      <w:r w:rsidRPr="0029469D">
        <w:rPr>
          <w:rFonts w:ascii="Arial" w:hAnsi="Arial" w:cs="Arial"/>
          <w:b/>
          <w:bCs/>
          <w:lang w:val="en-GB"/>
        </w:rPr>
        <w:t>: Sign and Symptoms of patients at the Buea health district</w:t>
      </w:r>
    </w:p>
    <w:tbl>
      <w:tblPr>
        <w:tblStyle w:val="ListTable6Colorful"/>
        <w:tblW w:w="8647" w:type="dxa"/>
        <w:jc w:val="center"/>
        <w:tblLook w:val="04A0" w:firstRow="1" w:lastRow="0" w:firstColumn="1" w:lastColumn="0" w:noHBand="0" w:noVBand="1"/>
      </w:tblPr>
      <w:tblGrid>
        <w:gridCol w:w="1985"/>
        <w:gridCol w:w="2410"/>
        <w:gridCol w:w="2409"/>
        <w:gridCol w:w="1843"/>
      </w:tblGrid>
      <w:tr w:rsidR="0029469D" w:rsidRPr="0029469D" w14:paraId="2EDB94AC" w14:textId="77777777" w:rsidTr="00985B73">
        <w:trPr>
          <w:cnfStyle w:val="100000000000" w:firstRow="1" w:lastRow="0" w:firstColumn="0" w:lastColumn="0" w:oddVBand="0" w:evenVBand="0" w:oddHBand="0"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985" w:type="dxa"/>
            <w:noWrap/>
            <w:hideMark/>
          </w:tcPr>
          <w:p w14:paraId="72070712" w14:textId="77777777" w:rsidR="0029469D" w:rsidRPr="0029469D" w:rsidRDefault="0029469D" w:rsidP="0029469D">
            <w:pPr>
              <w:pStyle w:val="Body"/>
              <w:rPr>
                <w:rFonts w:ascii="Arial" w:hAnsi="Arial" w:cs="Arial"/>
                <w:lang w:val="en-GB"/>
              </w:rPr>
            </w:pPr>
            <w:r w:rsidRPr="0029469D">
              <w:rPr>
                <w:rFonts w:ascii="Arial" w:hAnsi="Arial" w:cs="Arial"/>
                <w:lang w:val="en-GB"/>
              </w:rPr>
              <w:t>Symptom</w:t>
            </w:r>
          </w:p>
        </w:tc>
        <w:tc>
          <w:tcPr>
            <w:tcW w:w="2410" w:type="dxa"/>
            <w:noWrap/>
            <w:hideMark/>
          </w:tcPr>
          <w:p w14:paraId="12A729F7" w14:textId="77777777" w:rsidR="0029469D" w:rsidRPr="0029469D" w:rsidRDefault="0029469D" w:rsidP="0029469D">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29469D">
              <w:rPr>
                <w:rFonts w:ascii="Arial" w:hAnsi="Arial" w:cs="Arial"/>
                <w:lang w:val="en-GB"/>
              </w:rPr>
              <w:t>Public Health (n = 198)</w:t>
            </w:r>
          </w:p>
        </w:tc>
        <w:tc>
          <w:tcPr>
            <w:tcW w:w="2409" w:type="dxa"/>
            <w:noWrap/>
            <w:hideMark/>
          </w:tcPr>
          <w:p w14:paraId="320195EA" w14:textId="77777777" w:rsidR="0029469D" w:rsidRPr="0029469D" w:rsidRDefault="0029469D" w:rsidP="0029469D">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29469D">
              <w:rPr>
                <w:rFonts w:ascii="Arial" w:hAnsi="Arial" w:cs="Arial"/>
                <w:lang w:val="en-GB"/>
              </w:rPr>
              <w:t>Private Health (n = 53)</w:t>
            </w:r>
          </w:p>
        </w:tc>
        <w:tc>
          <w:tcPr>
            <w:tcW w:w="1843" w:type="dxa"/>
            <w:noWrap/>
            <w:hideMark/>
          </w:tcPr>
          <w:p w14:paraId="01E0F9CB" w14:textId="77777777" w:rsidR="0029469D" w:rsidRPr="0029469D" w:rsidRDefault="0029469D" w:rsidP="0029469D">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29469D">
              <w:rPr>
                <w:rFonts w:ascii="Arial" w:hAnsi="Arial" w:cs="Arial"/>
                <w:lang w:val="en-GB"/>
              </w:rPr>
              <w:t>Total (n = 251)</w:t>
            </w:r>
          </w:p>
        </w:tc>
      </w:tr>
      <w:tr w:rsidR="0029469D" w:rsidRPr="0029469D" w14:paraId="5E25C976" w14:textId="77777777" w:rsidTr="00985B7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noWrap/>
            <w:hideMark/>
          </w:tcPr>
          <w:p w14:paraId="38E35F9B" w14:textId="77777777" w:rsidR="0029469D" w:rsidRPr="0029469D" w:rsidRDefault="0029469D" w:rsidP="0029469D">
            <w:pPr>
              <w:pStyle w:val="Body"/>
              <w:rPr>
                <w:rFonts w:ascii="Arial" w:hAnsi="Arial" w:cs="Arial"/>
                <w:b w:val="0"/>
                <w:lang w:val="en-GB"/>
              </w:rPr>
            </w:pPr>
            <w:r w:rsidRPr="0029469D">
              <w:rPr>
                <w:rFonts w:ascii="Arial" w:hAnsi="Arial" w:cs="Arial"/>
                <w:b w:val="0"/>
                <w:lang w:val="en-GB"/>
              </w:rPr>
              <w:t>Fever</w:t>
            </w:r>
          </w:p>
        </w:tc>
        <w:tc>
          <w:tcPr>
            <w:tcW w:w="2410" w:type="dxa"/>
            <w:shd w:val="clear" w:color="auto" w:fill="auto"/>
            <w:noWrap/>
            <w:hideMark/>
          </w:tcPr>
          <w:p w14:paraId="05D794FB" w14:textId="77777777" w:rsidR="0029469D" w:rsidRPr="0029469D" w:rsidRDefault="0029469D" w:rsidP="0029469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29469D">
              <w:rPr>
                <w:rFonts w:ascii="Arial" w:hAnsi="Arial" w:cs="Arial"/>
                <w:lang w:val="en-GB"/>
              </w:rPr>
              <w:t>161 (81.3%)</w:t>
            </w:r>
          </w:p>
        </w:tc>
        <w:tc>
          <w:tcPr>
            <w:tcW w:w="2409" w:type="dxa"/>
            <w:shd w:val="clear" w:color="auto" w:fill="auto"/>
            <w:noWrap/>
            <w:hideMark/>
          </w:tcPr>
          <w:p w14:paraId="3A7B023A" w14:textId="77777777" w:rsidR="0029469D" w:rsidRPr="0029469D" w:rsidRDefault="0029469D" w:rsidP="0029469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29469D">
              <w:rPr>
                <w:rFonts w:ascii="Arial" w:hAnsi="Arial" w:cs="Arial"/>
                <w:lang w:val="en-GB"/>
              </w:rPr>
              <w:t>44 (83.0%)</w:t>
            </w:r>
          </w:p>
        </w:tc>
        <w:tc>
          <w:tcPr>
            <w:tcW w:w="1843" w:type="dxa"/>
            <w:shd w:val="clear" w:color="auto" w:fill="auto"/>
            <w:noWrap/>
            <w:hideMark/>
          </w:tcPr>
          <w:p w14:paraId="1C1148E2" w14:textId="77777777" w:rsidR="0029469D" w:rsidRPr="0029469D" w:rsidRDefault="0029469D" w:rsidP="0029469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29469D">
              <w:rPr>
                <w:rFonts w:ascii="Arial" w:hAnsi="Arial" w:cs="Arial"/>
                <w:lang w:val="en-GB"/>
              </w:rPr>
              <w:t>204 (81.3%)</w:t>
            </w:r>
          </w:p>
        </w:tc>
      </w:tr>
      <w:tr w:rsidR="0029469D" w:rsidRPr="0029469D" w14:paraId="65D8DB2F" w14:textId="77777777" w:rsidTr="00985B73">
        <w:trPr>
          <w:trHeight w:val="290"/>
          <w:jc w:val="center"/>
        </w:trPr>
        <w:tc>
          <w:tcPr>
            <w:cnfStyle w:val="001000000000" w:firstRow="0" w:lastRow="0" w:firstColumn="1" w:lastColumn="0" w:oddVBand="0" w:evenVBand="0" w:oddHBand="0" w:evenHBand="0" w:firstRowFirstColumn="0" w:firstRowLastColumn="0" w:lastRowFirstColumn="0" w:lastRowLastColumn="0"/>
            <w:tcW w:w="1985" w:type="dxa"/>
            <w:noWrap/>
            <w:hideMark/>
          </w:tcPr>
          <w:p w14:paraId="6AAE9905" w14:textId="77777777" w:rsidR="0029469D" w:rsidRPr="0029469D" w:rsidRDefault="0029469D" w:rsidP="0029469D">
            <w:pPr>
              <w:pStyle w:val="Body"/>
              <w:rPr>
                <w:rFonts w:ascii="Arial" w:hAnsi="Arial" w:cs="Arial"/>
                <w:b w:val="0"/>
                <w:lang w:val="en-GB"/>
              </w:rPr>
            </w:pPr>
            <w:r w:rsidRPr="0029469D">
              <w:rPr>
                <w:rFonts w:ascii="Arial" w:hAnsi="Arial" w:cs="Arial"/>
                <w:b w:val="0"/>
                <w:lang w:val="en-GB"/>
              </w:rPr>
              <w:t>Headache</w:t>
            </w:r>
          </w:p>
        </w:tc>
        <w:tc>
          <w:tcPr>
            <w:tcW w:w="2410" w:type="dxa"/>
            <w:noWrap/>
            <w:hideMark/>
          </w:tcPr>
          <w:p w14:paraId="473136E6" w14:textId="77777777" w:rsidR="0029469D" w:rsidRPr="0029469D" w:rsidRDefault="0029469D" w:rsidP="0029469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29469D">
              <w:rPr>
                <w:rFonts w:ascii="Arial" w:hAnsi="Arial" w:cs="Arial"/>
                <w:lang w:val="en-GB"/>
              </w:rPr>
              <w:t>171 (86.4%)</w:t>
            </w:r>
          </w:p>
        </w:tc>
        <w:tc>
          <w:tcPr>
            <w:tcW w:w="2409" w:type="dxa"/>
            <w:noWrap/>
            <w:hideMark/>
          </w:tcPr>
          <w:p w14:paraId="4613E67A" w14:textId="77777777" w:rsidR="0029469D" w:rsidRPr="0029469D" w:rsidRDefault="0029469D" w:rsidP="0029469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29469D">
              <w:rPr>
                <w:rFonts w:ascii="Arial" w:hAnsi="Arial" w:cs="Arial"/>
                <w:lang w:val="en-GB"/>
              </w:rPr>
              <w:t>45 (84.9%)</w:t>
            </w:r>
          </w:p>
        </w:tc>
        <w:tc>
          <w:tcPr>
            <w:tcW w:w="1843" w:type="dxa"/>
            <w:noWrap/>
            <w:hideMark/>
          </w:tcPr>
          <w:p w14:paraId="047DB6C2" w14:textId="77777777" w:rsidR="0029469D" w:rsidRPr="0029469D" w:rsidRDefault="0029469D" w:rsidP="0029469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29469D">
              <w:rPr>
                <w:rFonts w:ascii="Arial" w:hAnsi="Arial" w:cs="Arial"/>
                <w:lang w:val="en-GB"/>
              </w:rPr>
              <w:t>216 (86.1%)</w:t>
            </w:r>
          </w:p>
        </w:tc>
      </w:tr>
      <w:tr w:rsidR="0029469D" w:rsidRPr="0029469D" w14:paraId="3BA999D8" w14:textId="77777777" w:rsidTr="00985B7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noWrap/>
            <w:hideMark/>
          </w:tcPr>
          <w:p w14:paraId="4B5D8871" w14:textId="77777777" w:rsidR="0029469D" w:rsidRPr="0029469D" w:rsidRDefault="0029469D" w:rsidP="0029469D">
            <w:pPr>
              <w:pStyle w:val="Body"/>
              <w:rPr>
                <w:rFonts w:ascii="Arial" w:hAnsi="Arial" w:cs="Arial"/>
                <w:b w:val="0"/>
                <w:lang w:val="en-GB"/>
              </w:rPr>
            </w:pPr>
            <w:r w:rsidRPr="0029469D">
              <w:rPr>
                <w:rFonts w:ascii="Arial" w:hAnsi="Arial" w:cs="Arial"/>
                <w:b w:val="0"/>
                <w:lang w:val="en-GB"/>
              </w:rPr>
              <w:t>Joint pain</w:t>
            </w:r>
          </w:p>
        </w:tc>
        <w:tc>
          <w:tcPr>
            <w:tcW w:w="2410" w:type="dxa"/>
            <w:shd w:val="clear" w:color="auto" w:fill="auto"/>
            <w:noWrap/>
            <w:hideMark/>
          </w:tcPr>
          <w:p w14:paraId="5E48463E" w14:textId="77777777" w:rsidR="0029469D" w:rsidRPr="0029469D" w:rsidRDefault="0029469D" w:rsidP="0029469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29469D">
              <w:rPr>
                <w:rFonts w:ascii="Arial" w:hAnsi="Arial" w:cs="Arial"/>
                <w:lang w:val="en-GB"/>
              </w:rPr>
              <w:t>86 (43.4%)</w:t>
            </w:r>
          </w:p>
        </w:tc>
        <w:tc>
          <w:tcPr>
            <w:tcW w:w="2409" w:type="dxa"/>
            <w:shd w:val="clear" w:color="auto" w:fill="auto"/>
            <w:noWrap/>
            <w:hideMark/>
          </w:tcPr>
          <w:p w14:paraId="15BBA7A5" w14:textId="77777777" w:rsidR="0029469D" w:rsidRPr="0029469D" w:rsidRDefault="0029469D" w:rsidP="0029469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29469D">
              <w:rPr>
                <w:rFonts w:ascii="Arial" w:hAnsi="Arial" w:cs="Arial"/>
                <w:lang w:val="en-GB"/>
              </w:rPr>
              <w:t>20 (37.7%)</w:t>
            </w:r>
          </w:p>
        </w:tc>
        <w:tc>
          <w:tcPr>
            <w:tcW w:w="1843" w:type="dxa"/>
            <w:shd w:val="clear" w:color="auto" w:fill="auto"/>
            <w:noWrap/>
            <w:hideMark/>
          </w:tcPr>
          <w:p w14:paraId="5B1B26BA" w14:textId="77777777" w:rsidR="0029469D" w:rsidRPr="0029469D" w:rsidRDefault="0029469D" w:rsidP="0029469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29469D">
              <w:rPr>
                <w:rFonts w:ascii="Arial" w:hAnsi="Arial" w:cs="Arial"/>
                <w:lang w:val="en-GB"/>
              </w:rPr>
              <w:t>106 (42.2%)</w:t>
            </w:r>
          </w:p>
        </w:tc>
      </w:tr>
      <w:tr w:rsidR="0029469D" w:rsidRPr="0029469D" w14:paraId="4BA82216" w14:textId="77777777" w:rsidTr="00985B73">
        <w:trPr>
          <w:trHeight w:val="290"/>
          <w:jc w:val="center"/>
        </w:trPr>
        <w:tc>
          <w:tcPr>
            <w:cnfStyle w:val="001000000000" w:firstRow="0" w:lastRow="0" w:firstColumn="1" w:lastColumn="0" w:oddVBand="0" w:evenVBand="0" w:oddHBand="0" w:evenHBand="0" w:firstRowFirstColumn="0" w:firstRowLastColumn="0" w:lastRowFirstColumn="0" w:lastRowLastColumn="0"/>
            <w:tcW w:w="1985" w:type="dxa"/>
            <w:noWrap/>
            <w:hideMark/>
          </w:tcPr>
          <w:p w14:paraId="747FB900" w14:textId="77777777" w:rsidR="0029469D" w:rsidRPr="0029469D" w:rsidRDefault="0029469D" w:rsidP="0029469D">
            <w:pPr>
              <w:pStyle w:val="Body"/>
              <w:rPr>
                <w:rFonts w:ascii="Arial" w:hAnsi="Arial" w:cs="Arial"/>
                <w:b w:val="0"/>
                <w:lang w:val="en-GB"/>
              </w:rPr>
            </w:pPr>
            <w:r w:rsidRPr="0029469D">
              <w:rPr>
                <w:rFonts w:ascii="Arial" w:hAnsi="Arial" w:cs="Arial"/>
                <w:b w:val="0"/>
                <w:lang w:val="en-GB"/>
              </w:rPr>
              <w:lastRenderedPageBreak/>
              <w:t>Nausea</w:t>
            </w:r>
          </w:p>
        </w:tc>
        <w:tc>
          <w:tcPr>
            <w:tcW w:w="2410" w:type="dxa"/>
            <w:noWrap/>
            <w:hideMark/>
          </w:tcPr>
          <w:p w14:paraId="62E9246B" w14:textId="77777777" w:rsidR="0029469D" w:rsidRPr="0029469D" w:rsidRDefault="0029469D" w:rsidP="0029469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29469D">
              <w:rPr>
                <w:rFonts w:ascii="Arial" w:hAnsi="Arial" w:cs="Arial"/>
                <w:lang w:val="en-GB"/>
              </w:rPr>
              <w:t>6 (3.0%)</w:t>
            </w:r>
          </w:p>
        </w:tc>
        <w:tc>
          <w:tcPr>
            <w:tcW w:w="2409" w:type="dxa"/>
            <w:noWrap/>
            <w:hideMark/>
          </w:tcPr>
          <w:p w14:paraId="2526FA9C" w14:textId="77777777" w:rsidR="0029469D" w:rsidRPr="0029469D" w:rsidRDefault="0029469D" w:rsidP="0029469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29469D">
              <w:rPr>
                <w:rFonts w:ascii="Arial" w:hAnsi="Arial" w:cs="Arial"/>
                <w:lang w:val="en-GB"/>
              </w:rPr>
              <w:t>1 (1.9%)</w:t>
            </w:r>
          </w:p>
        </w:tc>
        <w:tc>
          <w:tcPr>
            <w:tcW w:w="1843" w:type="dxa"/>
            <w:noWrap/>
            <w:hideMark/>
          </w:tcPr>
          <w:p w14:paraId="6368EF10" w14:textId="77777777" w:rsidR="0029469D" w:rsidRPr="0029469D" w:rsidRDefault="0029469D" w:rsidP="0029469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29469D">
              <w:rPr>
                <w:rFonts w:ascii="Arial" w:hAnsi="Arial" w:cs="Arial"/>
                <w:lang w:val="en-GB"/>
              </w:rPr>
              <w:t>7 (2.8%)</w:t>
            </w:r>
          </w:p>
        </w:tc>
      </w:tr>
      <w:tr w:rsidR="0029469D" w:rsidRPr="0029469D" w14:paraId="2C73B46A" w14:textId="77777777" w:rsidTr="00985B7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noWrap/>
            <w:hideMark/>
          </w:tcPr>
          <w:p w14:paraId="0C3087B4" w14:textId="77777777" w:rsidR="0029469D" w:rsidRPr="0029469D" w:rsidRDefault="0029469D" w:rsidP="0029469D">
            <w:pPr>
              <w:pStyle w:val="Body"/>
              <w:rPr>
                <w:rFonts w:ascii="Arial" w:hAnsi="Arial" w:cs="Arial"/>
                <w:b w:val="0"/>
                <w:lang w:val="en-GB"/>
              </w:rPr>
            </w:pPr>
            <w:r w:rsidRPr="0029469D">
              <w:rPr>
                <w:rFonts w:ascii="Arial" w:hAnsi="Arial" w:cs="Arial"/>
                <w:b w:val="0"/>
                <w:lang w:val="en-GB"/>
              </w:rPr>
              <w:t>Vomiting</w:t>
            </w:r>
          </w:p>
        </w:tc>
        <w:tc>
          <w:tcPr>
            <w:tcW w:w="2410" w:type="dxa"/>
            <w:shd w:val="clear" w:color="auto" w:fill="auto"/>
            <w:noWrap/>
            <w:hideMark/>
          </w:tcPr>
          <w:p w14:paraId="3CD2B279" w14:textId="77777777" w:rsidR="0029469D" w:rsidRPr="0029469D" w:rsidRDefault="0029469D" w:rsidP="0029469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29469D">
              <w:rPr>
                <w:rFonts w:ascii="Arial" w:hAnsi="Arial" w:cs="Arial"/>
                <w:lang w:val="en-GB"/>
              </w:rPr>
              <w:t>18 (9.1%)</w:t>
            </w:r>
          </w:p>
        </w:tc>
        <w:tc>
          <w:tcPr>
            <w:tcW w:w="2409" w:type="dxa"/>
            <w:shd w:val="clear" w:color="auto" w:fill="auto"/>
            <w:noWrap/>
            <w:hideMark/>
          </w:tcPr>
          <w:p w14:paraId="7A159AA1" w14:textId="77777777" w:rsidR="0029469D" w:rsidRPr="0029469D" w:rsidRDefault="0029469D" w:rsidP="0029469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29469D">
              <w:rPr>
                <w:rFonts w:ascii="Arial" w:hAnsi="Arial" w:cs="Arial"/>
                <w:lang w:val="en-GB"/>
              </w:rPr>
              <w:t>6 (11.3%)</w:t>
            </w:r>
          </w:p>
        </w:tc>
        <w:tc>
          <w:tcPr>
            <w:tcW w:w="1843" w:type="dxa"/>
            <w:shd w:val="clear" w:color="auto" w:fill="auto"/>
            <w:noWrap/>
            <w:hideMark/>
          </w:tcPr>
          <w:p w14:paraId="29DA080D" w14:textId="77777777" w:rsidR="0029469D" w:rsidRPr="0029469D" w:rsidRDefault="0029469D" w:rsidP="0029469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29469D">
              <w:rPr>
                <w:rFonts w:ascii="Arial" w:hAnsi="Arial" w:cs="Arial"/>
                <w:lang w:val="en-GB"/>
              </w:rPr>
              <w:t>24 (9.6%)</w:t>
            </w:r>
          </w:p>
        </w:tc>
      </w:tr>
      <w:tr w:rsidR="0029469D" w:rsidRPr="0029469D" w14:paraId="246DC266" w14:textId="77777777" w:rsidTr="00985B73">
        <w:trPr>
          <w:trHeight w:val="290"/>
          <w:jc w:val="center"/>
        </w:trPr>
        <w:tc>
          <w:tcPr>
            <w:cnfStyle w:val="001000000000" w:firstRow="0" w:lastRow="0" w:firstColumn="1" w:lastColumn="0" w:oddVBand="0" w:evenVBand="0" w:oddHBand="0" w:evenHBand="0" w:firstRowFirstColumn="0" w:firstRowLastColumn="0" w:lastRowFirstColumn="0" w:lastRowLastColumn="0"/>
            <w:tcW w:w="1985" w:type="dxa"/>
            <w:noWrap/>
            <w:hideMark/>
          </w:tcPr>
          <w:p w14:paraId="6DDD0A3E" w14:textId="77777777" w:rsidR="0029469D" w:rsidRPr="0029469D" w:rsidRDefault="0029469D" w:rsidP="0029469D">
            <w:pPr>
              <w:pStyle w:val="Body"/>
              <w:rPr>
                <w:rFonts w:ascii="Arial" w:hAnsi="Arial" w:cs="Arial"/>
                <w:b w:val="0"/>
                <w:lang w:val="en-GB"/>
              </w:rPr>
            </w:pPr>
            <w:r w:rsidRPr="0029469D">
              <w:rPr>
                <w:rFonts w:ascii="Arial" w:hAnsi="Arial" w:cs="Arial"/>
                <w:b w:val="0"/>
                <w:lang w:val="en-GB"/>
              </w:rPr>
              <w:t>Asthenia</w:t>
            </w:r>
          </w:p>
        </w:tc>
        <w:tc>
          <w:tcPr>
            <w:tcW w:w="2410" w:type="dxa"/>
            <w:noWrap/>
            <w:hideMark/>
          </w:tcPr>
          <w:p w14:paraId="53DECE27" w14:textId="77777777" w:rsidR="0029469D" w:rsidRPr="0029469D" w:rsidRDefault="0029469D" w:rsidP="0029469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29469D">
              <w:rPr>
                <w:rFonts w:ascii="Arial" w:hAnsi="Arial" w:cs="Arial"/>
                <w:lang w:val="en-GB"/>
              </w:rPr>
              <w:t>3 (1.5%)</w:t>
            </w:r>
          </w:p>
        </w:tc>
        <w:tc>
          <w:tcPr>
            <w:tcW w:w="2409" w:type="dxa"/>
            <w:noWrap/>
            <w:hideMark/>
          </w:tcPr>
          <w:p w14:paraId="2597A215" w14:textId="77777777" w:rsidR="0029469D" w:rsidRPr="0029469D" w:rsidRDefault="0029469D" w:rsidP="0029469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29469D">
              <w:rPr>
                <w:rFonts w:ascii="Arial" w:hAnsi="Arial" w:cs="Arial"/>
                <w:lang w:val="en-GB"/>
              </w:rPr>
              <w:t>0 (0.0%)</w:t>
            </w:r>
          </w:p>
        </w:tc>
        <w:tc>
          <w:tcPr>
            <w:tcW w:w="1843" w:type="dxa"/>
            <w:noWrap/>
            <w:hideMark/>
          </w:tcPr>
          <w:p w14:paraId="4531D965" w14:textId="77777777" w:rsidR="0029469D" w:rsidRPr="0029469D" w:rsidRDefault="0029469D" w:rsidP="0029469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29469D">
              <w:rPr>
                <w:rFonts w:ascii="Arial" w:hAnsi="Arial" w:cs="Arial"/>
                <w:lang w:val="en-GB"/>
              </w:rPr>
              <w:t>3 (1.2%)</w:t>
            </w:r>
          </w:p>
        </w:tc>
      </w:tr>
      <w:tr w:rsidR="0029469D" w:rsidRPr="0029469D" w14:paraId="0EABC48E" w14:textId="77777777" w:rsidTr="00985B7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noWrap/>
            <w:hideMark/>
          </w:tcPr>
          <w:p w14:paraId="21C77A34" w14:textId="77777777" w:rsidR="0029469D" w:rsidRPr="0029469D" w:rsidRDefault="0029469D" w:rsidP="0029469D">
            <w:pPr>
              <w:pStyle w:val="Body"/>
              <w:rPr>
                <w:rFonts w:ascii="Arial" w:hAnsi="Arial" w:cs="Arial"/>
                <w:b w:val="0"/>
                <w:lang w:val="en-GB"/>
              </w:rPr>
            </w:pPr>
            <w:r w:rsidRPr="0029469D">
              <w:rPr>
                <w:rFonts w:ascii="Arial" w:hAnsi="Arial" w:cs="Arial"/>
                <w:b w:val="0"/>
                <w:lang w:val="en-GB"/>
              </w:rPr>
              <w:t>Anorexia</w:t>
            </w:r>
          </w:p>
        </w:tc>
        <w:tc>
          <w:tcPr>
            <w:tcW w:w="2410" w:type="dxa"/>
            <w:shd w:val="clear" w:color="auto" w:fill="auto"/>
            <w:noWrap/>
            <w:hideMark/>
          </w:tcPr>
          <w:p w14:paraId="7CA7EABD" w14:textId="77777777" w:rsidR="0029469D" w:rsidRPr="0029469D" w:rsidRDefault="0029469D" w:rsidP="0029469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29469D">
              <w:rPr>
                <w:rFonts w:ascii="Arial" w:hAnsi="Arial" w:cs="Arial"/>
                <w:lang w:val="en-GB"/>
              </w:rPr>
              <w:t>28 (14.1%)</w:t>
            </w:r>
          </w:p>
        </w:tc>
        <w:tc>
          <w:tcPr>
            <w:tcW w:w="2409" w:type="dxa"/>
            <w:shd w:val="clear" w:color="auto" w:fill="auto"/>
            <w:noWrap/>
            <w:hideMark/>
          </w:tcPr>
          <w:p w14:paraId="50E54A4C" w14:textId="77777777" w:rsidR="0029469D" w:rsidRPr="0029469D" w:rsidRDefault="0029469D" w:rsidP="0029469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29469D">
              <w:rPr>
                <w:rFonts w:ascii="Arial" w:hAnsi="Arial" w:cs="Arial"/>
                <w:lang w:val="en-GB"/>
              </w:rPr>
              <w:t>11 (20.8%)</w:t>
            </w:r>
          </w:p>
        </w:tc>
        <w:tc>
          <w:tcPr>
            <w:tcW w:w="1843" w:type="dxa"/>
            <w:shd w:val="clear" w:color="auto" w:fill="auto"/>
            <w:noWrap/>
            <w:hideMark/>
          </w:tcPr>
          <w:p w14:paraId="07602658" w14:textId="77777777" w:rsidR="0029469D" w:rsidRPr="0029469D" w:rsidRDefault="0029469D" w:rsidP="0029469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29469D">
              <w:rPr>
                <w:rFonts w:ascii="Arial" w:hAnsi="Arial" w:cs="Arial"/>
                <w:lang w:val="en-GB"/>
              </w:rPr>
              <w:t>39 (15.5%)</w:t>
            </w:r>
          </w:p>
        </w:tc>
      </w:tr>
      <w:tr w:rsidR="0029469D" w:rsidRPr="0029469D" w14:paraId="33F798B0" w14:textId="77777777" w:rsidTr="00985B73">
        <w:trPr>
          <w:trHeight w:val="290"/>
          <w:jc w:val="center"/>
        </w:trPr>
        <w:tc>
          <w:tcPr>
            <w:cnfStyle w:val="001000000000" w:firstRow="0" w:lastRow="0" w:firstColumn="1" w:lastColumn="0" w:oddVBand="0" w:evenVBand="0" w:oddHBand="0" w:evenHBand="0" w:firstRowFirstColumn="0" w:firstRowLastColumn="0" w:lastRowFirstColumn="0" w:lastRowLastColumn="0"/>
            <w:tcW w:w="1985" w:type="dxa"/>
            <w:noWrap/>
            <w:hideMark/>
          </w:tcPr>
          <w:p w14:paraId="6EA0331B" w14:textId="77777777" w:rsidR="0029469D" w:rsidRPr="0029469D" w:rsidRDefault="0029469D" w:rsidP="0029469D">
            <w:pPr>
              <w:pStyle w:val="Body"/>
              <w:rPr>
                <w:rFonts w:ascii="Arial" w:hAnsi="Arial" w:cs="Arial"/>
                <w:b w:val="0"/>
                <w:lang w:val="en-GB"/>
              </w:rPr>
            </w:pPr>
            <w:proofErr w:type="spellStart"/>
            <w:r w:rsidRPr="0029469D">
              <w:rPr>
                <w:rFonts w:ascii="Arial" w:hAnsi="Arial" w:cs="Arial"/>
                <w:b w:val="0"/>
                <w:lang w:val="en-GB"/>
              </w:rPr>
              <w:t>Diarrhea</w:t>
            </w:r>
            <w:proofErr w:type="spellEnd"/>
          </w:p>
        </w:tc>
        <w:tc>
          <w:tcPr>
            <w:tcW w:w="2410" w:type="dxa"/>
            <w:noWrap/>
            <w:hideMark/>
          </w:tcPr>
          <w:p w14:paraId="12D58381" w14:textId="77777777" w:rsidR="0029469D" w:rsidRPr="0029469D" w:rsidRDefault="0029469D" w:rsidP="0029469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29469D">
              <w:rPr>
                <w:rFonts w:ascii="Arial" w:hAnsi="Arial" w:cs="Arial"/>
                <w:lang w:val="en-GB"/>
              </w:rPr>
              <w:t>36 (18.2%)</w:t>
            </w:r>
          </w:p>
        </w:tc>
        <w:tc>
          <w:tcPr>
            <w:tcW w:w="2409" w:type="dxa"/>
            <w:noWrap/>
            <w:hideMark/>
          </w:tcPr>
          <w:p w14:paraId="2422A689" w14:textId="77777777" w:rsidR="0029469D" w:rsidRPr="0029469D" w:rsidRDefault="0029469D" w:rsidP="0029469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29469D">
              <w:rPr>
                <w:rFonts w:ascii="Arial" w:hAnsi="Arial" w:cs="Arial"/>
                <w:lang w:val="en-GB"/>
              </w:rPr>
              <w:t>12 (22.6%)</w:t>
            </w:r>
          </w:p>
        </w:tc>
        <w:tc>
          <w:tcPr>
            <w:tcW w:w="1843" w:type="dxa"/>
            <w:noWrap/>
            <w:hideMark/>
          </w:tcPr>
          <w:p w14:paraId="605B91DC" w14:textId="77777777" w:rsidR="0029469D" w:rsidRPr="0029469D" w:rsidRDefault="0029469D" w:rsidP="0029469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29469D">
              <w:rPr>
                <w:rFonts w:ascii="Arial" w:hAnsi="Arial" w:cs="Arial"/>
                <w:lang w:val="en-GB"/>
              </w:rPr>
              <w:t>48 (19.1%)</w:t>
            </w:r>
          </w:p>
        </w:tc>
      </w:tr>
      <w:tr w:rsidR="0029469D" w:rsidRPr="0029469D" w14:paraId="4053F129" w14:textId="77777777" w:rsidTr="00985B7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noWrap/>
            <w:hideMark/>
          </w:tcPr>
          <w:p w14:paraId="3CA963C4" w14:textId="77777777" w:rsidR="0029469D" w:rsidRPr="0029469D" w:rsidRDefault="0029469D" w:rsidP="0029469D">
            <w:pPr>
              <w:pStyle w:val="Body"/>
              <w:rPr>
                <w:rFonts w:ascii="Arial" w:hAnsi="Arial" w:cs="Arial"/>
                <w:b w:val="0"/>
                <w:lang w:val="en-GB"/>
              </w:rPr>
            </w:pPr>
            <w:r w:rsidRPr="0029469D">
              <w:rPr>
                <w:rFonts w:ascii="Arial" w:hAnsi="Arial" w:cs="Arial"/>
                <w:b w:val="0"/>
                <w:lang w:val="en-GB"/>
              </w:rPr>
              <w:t>Cough</w:t>
            </w:r>
          </w:p>
        </w:tc>
        <w:tc>
          <w:tcPr>
            <w:tcW w:w="2410" w:type="dxa"/>
            <w:shd w:val="clear" w:color="auto" w:fill="auto"/>
            <w:noWrap/>
            <w:hideMark/>
          </w:tcPr>
          <w:p w14:paraId="49652926" w14:textId="77777777" w:rsidR="0029469D" w:rsidRPr="0029469D" w:rsidRDefault="0029469D" w:rsidP="0029469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29469D">
              <w:rPr>
                <w:rFonts w:ascii="Arial" w:hAnsi="Arial" w:cs="Arial"/>
                <w:lang w:val="en-GB"/>
              </w:rPr>
              <w:t>31 (15.7%)</w:t>
            </w:r>
          </w:p>
        </w:tc>
        <w:tc>
          <w:tcPr>
            <w:tcW w:w="2409" w:type="dxa"/>
            <w:shd w:val="clear" w:color="auto" w:fill="auto"/>
            <w:noWrap/>
            <w:hideMark/>
          </w:tcPr>
          <w:p w14:paraId="48E87391" w14:textId="77777777" w:rsidR="0029469D" w:rsidRPr="0029469D" w:rsidRDefault="0029469D" w:rsidP="0029469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29469D">
              <w:rPr>
                <w:rFonts w:ascii="Arial" w:hAnsi="Arial" w:cs="Arial"/>
                <w:lang w:val="en-GB"/>
              </w:rPr>
              <w:t>8 (15.1%)</w:t>
            </w:r>
          </w:p>
        </w:tc>
        <w:tc>
          <w:tcPr>
            <w:tcW w:w="1843" w:type="dxa"/>
            <w:shd w:val="clear" w:color="auto" w:fill="auto"/>
            <w:noWrap/>
            <w:hideMark/>
          </w:tcPr>
          <w:p w14:paraId="18A65692" w14:textId="77777777" w:rsidR="0029469D" w:rsidRPr="0029469D" w:rsidRDefault="0029469D" w:rsidP="0029469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29469D">
              <w:rPr>
                <w:rFonts w:ascii="Arial" w:hAnsi="Arial" w:cs="Arial"/>
                <w:lang w:val="en-GB"/>
              </w:rPr>
              <w:t>39 (15.5%)</w:t>
            </w:r>
          </w:p>
        </w:tc>
      </w:tr>
      <w:tr w:rsidR="0029469D" w:rsidRPr="0029469D" w14:paraId="1B3481BA" w14:textId="77777777" w:rsidTr="00985B73">
        <w:trPr>
          <w:trHeight w:val="290"/>
          <w:jc w:val="center"/>
        </w:trPr>
        <w:tc>
          <w:tcPr>
            <w:cnfStyle w:val="001000000000" w:firstRow="0" w:lastRow="0" w:firstColumn="1" w:lastColumn="0" w:oddVBand="0" w:evenVBand="0" w:oddHBand="0" w:evenHBand="0" w:firstRowFirstColumn="0" w:firstRowLastColumn="0" w:lastRowFirstColumn="0" w:lastRowLastColumn="0"/>
            <w:tcW w:w="1985" w:type="dxa"/>
            <w:noWrap/>
            <w:hideMark/>
          </w:tcPr>
          <w:p w14:paraId="6F578EBA" w14:textId="77777777" w:rsidR="0029469D" w:rsidRPr="0029469D" w:rsidRDefault="0029469D" w:rsidP="0029469D">
            <w:pPr>
              <w:pStyle w:val="Body"/>
              <w:rPr>
                <w:rFonts w:ascii="Arial" w:hAnsi="Arial" w:cs="Arial"/>
                <w:b w:val="0"/>
                <w:lang w:val="en-GB"/>
              </w:rPr>
            </w:pPr>
            <w:r w:rsidRPr="0029469D">
              <w:rPr>
                <w:rFonts w:ascii="Arial" w:hAnsi="Arial" w:cs="Arial"/>
                <w:b w:val="0"/>
                <w:lang w:val="en-GB"/>
              </w:rPr>
              <w:t>Catarrh</w:t>
            </w:r>
          </w:p>
        </w:tc>
        <w:tc>
          <w:tcPr>
            <w:tcW w:w="2410" w:type="dxa"/>
            <w:noWrap/>
            <w:hideMark/>
          </w:tcPr>
          <w:p w14:paraId="0D0B77CD" w14:textId="77777777" w:rsidR="0029469D" w:rsidRPr="0029469D" w:rsidRDefault="0029469D" w:rsidP="0029469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29469D">
              <w:rPr>
                <w:rFonts w:ascii="Arial" w:hAnsi="Arial" w:cs="Arial"/>
                <w:lang w:val="en-GB"/>
              </w:rPr>
              <w:t>8 (4.0%)</w:t>
            </w:r>
          </w:p>
        </w:tc>
        <w:tc>
          <w:tcPr>
            <w:tcW w:w="2409" w:type="dxa"/>
            <w:noWrap/>
            <w:hideMark/>
          </w:tcPr>
          <w:p w14:paraId="0BFF9B43" w14:textId="77777777" w:rsidR="0029469D" w:rsidRPr="0029469D" w:rsidRDefault="0029469D" w:rsidP="0029469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29469D">
              <w:rPr>
                <w:rFonts w:ascii="Arial" w:hAnsi="Arial" w:cs="Arial"/>
                <w:lang w:val="en-GB"/>
              </w:rPr>
              <w:t>2 (3.8%)</w:t>
            </w:r>
          </w:p>
        </w:tc>
        <w:tc>
          <w:tcPr>
            <w:tcW w:w="1843" w:type="dxa"/>
            <w:noWrap/>
            <w:hideMark/>
          </w:tcPr>
          <w:p w14:paraId="67F41E1F" w14:textId="77777777" w:rsidR="0029469D" w:rsidRPr="0029469D" w:rsidRDefault="0029469D" w:rsidP="0029469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29469D">
              <w:rPr>
                <w:rFonts w:ascii="Arial" w:hAnsi="Arial" w:cs="Arial"/>
                <w:lang w:val="en-GB"/>
              </w:rPr>
              <w:t>10 (4.0%)</w:t>
            </w:r>
          </w:p>
        </w:tc>
      </w:tr>
      <w:tr w:rsidR="0029469D" w:rsidRPr="0029469D" w14:paraId="61607C55" w14:textId="77777777" w:rsidTr="00985B7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noWrap/>
            <w:hideMark/>
          </w:tcPr>
          <w:p w14:paraId="486176B7" w14:textId="77777777" w:rsidR="0029469D" w:rsidRPr="0029469D" w:rsidRDefault="0029469D" w:rsidP="0029469D">
            <w:pPr>
              <w:pStyle w:val="Body"/>
              <w:rPr>
                <w:rFonts w:ascii="Arial" w:hAnsi="Arial" w:cs="Arial"/>
                <w:b w:val="0"/>
                <w:lang w:val="en-GB"/>
              </w:rPr>
            </w:pPr>
            <w:r w:rsidRPr="0029469D">
              <w:rPr>
                <w:rFonts w:ascii="Arial" w:hAnsi="Arial" w:cs="Arial"/>
                <w:b w:val="0"/>
                <w:lang w:val="en-GB"/>
              </w:rPr>
              <w:t>Odynophagia</w:t>
            </w:r>
          </w:p>
        </w:tc>
        <w:tc>
          <w:tcPr>
            <w:tcW w:w="2410" w:type="dxa"/>
            <w:shd w:val="clear" w:color="auto" w:fill="auto"/>
            <w:noWrap/>
            <w:hideMark/>
          </w:tcPr>
          <w:p w14:paraId="5E142285" w14:textId="77777777" w:rsidR="0029469D" w:rsidRPr="0029469D" w:rsidRDefault="0029469D" w:rsidP="0029469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29469D">
              <w:rPr>
                <w:rFonts w:ascii="Arial" w:hAnsi="Arial" w:cs="Arial"/>
                <w:lang w:val="en-GB"/>
              </w:rPr>
              <w:t>7 (3.5%)</w:t>
            </w:r>
          </w:p>
        </w:tc>
        <w:tc>
          <w:tcPr>
            <w:tcW w:w="2409" w:type="dxa"/>
            <w:shd w:val="clear" w:color="auto" w:fill="auto"/>
            <w:noWrap/>
            <w:hideMark/>
          </w:tcPr>
          <w:p w14:paraId="457D3291" w14:textId="77777777" w:rsidR="0029469D" w:rsidRPr="0029469D" w:rsidRDefault="0029469D" w:rsidP="0029469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29469D">
              <w:rPr>
                <w:rFonts w:ascii="Arial" w:hAnsi="Arial" w:cs="Arial"/>
                <w:lang w:val="en-GB"/>
              </w:rPr>
              <w:t>1 (1.9%)</w:t>
            </w:r>
          </w:p>
        </w:tc>
        <w:tc>
          <w:tcPr>
            <w:tcW w:w="1843" w:type="dxa"/>
            <w:shd w:val="clear" w:color="auto" w:fill="auto"/>
            <w:noWrap/>
            <w:hideMark/>
          </w:tcPr>
          <w:p w14:paraId="6F09ADE1" w14:textId="77777777" w:rsidR="0029469D" w:rsidRPr="0029469D" w:rsidRDefault="0029469D" w:rsidP="0029469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29469D">
              <w:rPr>
                <w:rFonts w:ascii="Arial" w:hAnsi="Arial" w:cs="Arial"/>
                <w:lang w:val="en-GB"/>
              </w:rPr>
              <w:t>8 (3.2%)</w:t>
            </w:r>
          </w:p>
        </w:tc>
      </w:tr>
      <w:tr w:rsidR="0029469D" w:rsidRPr="0029469D" w14:paraId="5D2A20B7" w14:textId="77777777" w:rsidTr="00985B73">
        <w:trPr>
          <w:trHeight w:val="290"/>
          <w:jc w:val="center"/>
        </w:trPr>
        <w:tc>
          <w:tcPr>
            <w:cnfStyle w:val="001000000000" w:firstRow="0" w:lastRow="0" w:firstColumn="1" w:lastColumn="0" w:oddVBand="0" w:evenVBand="0" w:oddHBand="0" w:evenHBand="0" w:firstRowFirstColumn="0" w:firstRowLastColumn="0" w:lastRowFirstColumn="0" w:lastRowLastColumn="0"/>
            <w:tcW w:w="1985" w:type="dxa"/>
            <w:noWrap/>
            <w:hideMark/>
          </w:tcPr>
          <w:p w14:paraId="4D8EC2C9" w14:textId="77777777" w:rsidR="0029469D" w:rsidRPr="0029469D" w:rsidRDefault="0029469D" w:rsidP="0029469D">
            <w:pPr>
              <w:pStyle w:val="Body"/>
              <w:rPr>
                <w:rFonts w:ascii="Arial" w:hAnsi="Arial" w:cs="Arial"/>
                <w:b w:val="0"/>
                <w:lang w:val="en-GB"/>
              </w:rPr>
            </w:pPr>
            <w:r w:rsidRPr="0029469D">
              <w:rPr>
                <w:rFonts w:ascii="Arial" w:hAnsi="Arial" w:cs="Arial"/>
                <w:b w:val="0"/>
                <w:lang w:val="en-GB"/>
              </w:rPr>
              <w:t>Abdominal pain</w:t>
            </w:r>
          </w:p>
        </w:tc>
        <w:tc>
          <w:tcPr>
            <w:tcW w:w="2410" w:type="dxa"/>
            <w:noWrap/>
            <w:hideMark/>
          </w:tcPr>
          <w:p w14:paraId="78D38729" w14:textId="77777777" w:rsidR="0029469D" w:rsidRPr="0029469D" w:rsidRDefault="0029469D" w:rsidP="0029469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29469D">
              <w:rPr>
                <w:rFonts w:ascii="Arial" w:hAnsi="Arial" w:cs="Arial"/>
                <w:lang w:val="en-GB"/>
              </w:rPr>
              <w:t>26 (13.1%)</w:t>
            </w:r>
          </w:p>
        </w:tc>
        <w:tc>
          <w:tcPr>
            <w:tcW w:w="2409" w:type="dxa"/>
            <w:noWrap/>
            <w:hideMark/>
          </w:tcPr>
          <w:p w14:paraId="65F5308B" w14:textId="77777777" w:rsidR="0029469D" w:rsidRPr="0029469D" w:rsidRDefault="0029469D" w:rsidP="0029469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29469D">
              <w:rPr>
                <w:rFonts w:ascii="Arial" w:hAnsi="Arial" w:cs="Arial"/>
                <w:lang w:val="en-GB"/>
              </w:rPr>
              <w:t>7 (13.2%)</w:t>
            </w:r>
          </w:p>
        </w:tc>
        <w:tc>
          <w:tcPr>
            <w:tcW w:w="1843" w:type="dxa"/>
            <w:noWrap/>
            <w:hideMark/>
          </w:tcPr>
          <w:p w14:paraId="0A54400E" w14:textId="77777777" w:rsidR="0029469D" w:rsidRPr="0029469D" w:rsidRDefault="0029469D" w:rsidP="0029469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29469D">
              <w:rPr>
                <w:rFonts w:ascii="Arial" w:hAnsi="Arial" w:cs="Arial"/>
                <w:lang w:val="en-GB"/>
              </w:rPr>
              <w:t>33 (13.1%)</w:t>
            </w:r>
          </w:p>
        </w:tc>
      </w:tr>
      <w:tr w:rsidR="0029469D" w:rsidRPr="0029469D" w14:paraId="2BD7A427" w14:textId="77777777" w:rsidTr="00985B7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noWrap/>
            <w:hideMark/>
          </w:tcPr>
          <w:p w14:paraId="3435FF32" w14:textId="77777777" w:rsidR="0029469D" w:rsidRPr="0029469D" w:rsidRDefault="0029469D" w:rsidP="0029469D">
            <w:pPr>
              <w:pStyle w:val="Body"/>
              <w:rPr>
                <w:rFonts w:ascii="Arial" w:hAnsi="Arial" w:cs="Arial"/>
                <w:b w:val="0"/>
                <w:lang w:val="en-GB"/>
              </w:rPr>
            </w:pPr>
            <w:r w:rsidRPr="0029469D">
              <w:rPr>
                <w:rFonts w:ascii="Arial" w:hAnsi="Arial" w:cs="Arial"/>
                <w:b w:val="0"/>
                <w:lang w:val="en-GB"/>
              </w:rPr>
              <w:t>Dizziness</w:t>
            </w:r>
          </w:p>
        </w:tc>
        <w:tc>
          <w:tcPr>
            <w:tcW w:w="2410" w:type="dxa"/>
            <w:shd w:val="clear" w:color="auto" w:fill="auto"/>
            <w:noWrap/>
            <w:hideMark/>
          </w:tcPr>
          <w:p w14:paraId="168BFE87" w14:textId="77777777" w:rsidR="0029469D" w:rsidRPr="0029469D" w:rsidRDefault="0029469D" w:rsidP="0029469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29469D">
              <w:rPr>
                <w:rFonts w:ascii="Arial" w:hAnsi="Arial" w:cs="Arial"/>
                <w:lang w:val="en-GB"/>
              </w:rPr>
              <w:t>3 (1.5%)</w:t>
            </w:r>
          </w:p>
        </w:tc>
        <w:tc>
          <w:tcPr>
            <w:tcW w:w="2409" w:type="dxa"/>
            <w:shd w:val="clear" w:color="auto" w:fill="auto"/>
            <w:noWrap/>
            <w:hideMark/>
          </w:tcPr>
          <w:p w14:paraId="13B040F6" w14:textId="77777777" w:rsidR="0029469D" w:rsidRPr="0029469D" w:rsidRDefault="0029469D" w:rsidP="0029469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29469D">
              <w:rPr>
                <w:rFonts w:ascii="Arial" w:hAnsi="Arial" w:cs="Arial"/>
                <w:lang w:val="en-GB"/>
              </w:rPr>
              <w:t>0 (0.0%)</w:t>
            </w:r>
          </w:p>
        </w:tc>
        <w:tc>
          <w:tcPr>
            <w:tcW w:w="1843" w:type="dxa"/>
            <w:shd w:val="clear" w:color="auto" w:fill="auto"/>
            <w:noWrap/>
            <w:hideMark/>
          </w:tcPr>
          <w:p w14:paraId="6BB8CE85" w14:textId="77777777" w:rsidR="0029469D" w:rsidRPr="0029469D" w:rsidRDefault="0029469D" w:rsidP="0029469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29469D">
              <w:rPr>
                <w:rFonts w:ascii="Arial" w:hAnsi="Arial" w:cs="Arial"/>
                <w:lang w:val="en-GB"/>
              </w:rPr>
              <w:t>3 (1.2%)</w:t>
            </w:r>
          </w:p>
        </w:tc>
      </w:tr>
      <w:tr w:rsidR="0029469D" w:rsidRPr="0029469D" w14:paraId="19E47FEC" w14:textId="77777777" w:rsidTr="00985B73">
        <w:trPr>
          <w:trHeight w:val="290"/>
          <w:jc w:val="center"/>
        </w:trPr>
        <w:tc>
          <w:tcPr>
            <w:cnfStyle w:val="001000000000" w:firstRow="0" w:lastRow="0" w:firstColumn="1" w:lastColumn="0" w:oddVBand="0" w:evenVBand="0" w:oddHBand="0" w:evenHBand="0" w:firstRowFirstColumn="0" w:firstRowLastColumn="0" w:lastRowFirstColumn="0" w:lastRowLastColumn="0"/>
            <w:tcW w:w="1985" w:type="dxa"/>
            <w:noWrap/>
            <w:hideMark/>
          </w:tcPr>
          <w:p w14:paraId="0AC12BEF" w14:textId="77777777" w:rsidR="0029469D" w:rsidRPr="0029469D" w:rsidRDefault="0029469D" w:rsidP="0029469D">
            <w:pPr>
              <w:pStyle w:val="Body"/>
              <w:rPr>
                <w:rFonts w:ascii="Arial" w:hAnsi="Arial" w:cs="Arial"/>
                <w:b w:val="0"/>
                <w:lang w:val="en-GB"/>
              </w:rPr>
            </w:pPr>
            <w:r w:rsidRPr="0029469D">
              <w:rPr>
                <w:rFonts w:ascii="Arial" w:hAnsi="Arial" w:cs="Arial"/>
                <w:b w:val="0"/>
                <w:lang w:val="en-GB"/>
              </w:rPr>
              <w:t>Insomnia</w:t>
            </w:r>
          </w:p>
        </w:tc>
        <w:tc>
          <w:tcPr>
            <w:tcW w:w="2410" w:type="dxa"/>
            <w:noWrap/>
            <w:hideMark/>
          </w:tcPr>
          <w:p w14:paraId="2FBF3968" w14:textId="77777777" w:rsidR="0029469D" w:rsidRPr="0029469D" w:rsidRDefault="0029469D" w:rsidP="0029469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29469D">
              <w:rPr>
                <w:rFonts w:ascii="Arial" w:hAnsi="Arial" w:cs="Arial"/>
                <w:lang w:val="en-GB"/>
              </w:rPr>
              <w:t>0 (0.0%)</w:t>
            </w:r>
          </w:p>
        </w:tc>
        <w:tc>
          <w:tcPr>
            <w:tcW w:w="2409" w:type="dxa"/>
            <w:noWrap/>
            <w:hideMark/>
          </w:tcPr>
          <w:p w14:paraId="560A0C7E" w14:textId="77777777" w:rsidR="0029469D" w:rsidRPr="0029469D" w:rsidRDefault="0029469D" w:rsidP="0029469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29469D">
              <w:rPr>
                <w:rFonts w:ascii="Arial" w:hAnsi="Arial" w:cs="Arial"/>
                <w:lang w:val="en-GB"/>
              </w:rPr>
              <w:t>0 (0.0%)</w:t>
            </w:r>
          </w:p>
        </w:tc>
        <w:tc>
          <w:tcPr>
            <w:tcW w:w="1843" w:type="dxa"/>
            <w:noWrap/>
            <w:hideMark/>
          </w:tcPr>
          <w:p w14:paraId="5A8E2313" w14:textId="77777777" w:rsidR="0029469D" w:rsidRPr="0029469D" w:rsidRDefault="0029469D" w:rsidP="0029469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29469D">
              <w:rPr>
                <w:rFonts w:ascii="Arial" w:hAnsi="Arial" w:cs="Arial"/>
                <w:lang w:val="en-GB"/>
              </w:rPr>
              <w:t>0 (0.0%)</w:t>
            </w:r>
          </w:p>
        </w:tc>
      </w:tr>
      <w:tr w:rsidR="0029469D" w:rsidRPr="0029469D" w14:paraId="55212819" w14:textId="77777777" w:rsidTr="00985B7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noWrap/>
            <w:hideMark/>
          </w:tcPr>
          <w:p w14:paraId="6E0C496A" w14:textId="77777777" w:rsidR="0029469D" w:rsidRPr="0029469D" w:rsidRDefault="0029469D" w:rsidP="0029469D">
            <w:pPr>
              <w:pStyle w:val="Body"/>
              <w:rPr>
                <w:rFonts w:ascii="Arial" w:hAnsi="Arial" w:cs="Arial"/>
                <w:b w:val="0"/>
                <w:lang w:val="en-GB"/>
              </w:rPr>
            </w:pPr>
            <w:proofErr w:type="spellStart"/>
            <w:r w:rsidRPr="0029469D">
              <w:rPr>
                <w:rFonts w:ascii="Arial" w:hAnsi="Arial" w:cs="Arial"/>
                <w:b w:val="0"/>
                <w:lang w:val="en-GB"/>
              </w:rPr>
              <w:t>Dyspnea</w:t>
            </w:r>
            <w:proofErr w:type="spellEnd"/>
          </w:p>
        </w:tc>
        <w:tc>
          <w:tcPr>
            <w:tcW w:w="2410" w:type="dxa"/>
            <w:shd w:val="clear" w:color="auto" w:fill="auto"/>
            <w:noWrap/>
            <w:hideMark/>
          </w:tcPr>
          <w:p w14:paraId="686948B0" w14:textId="77777777" w:rsidR="0029469D" w:rsidRPr="0029469D" w:rsidRDefault="0029469D" w:rsidP="0029469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29469D">
              <w:rPr>
                <w:rFonts w:ascii="Arial" w:hAnsi="Arial" w:cs="Arial"/>
                <w:lang w:val="en-GB"/>
              </w:rPr>
              <w:t>0 (0.0%)</w:t>
            </w:r>
          </w:p>
        </w:tc>
        <w:tc>
          <w:tcPr>
            <w:tcW w:w="2409" w:type="dxa"/>
            <w:shd w:val="clear" w:color="auto" w:fill="auto"/>
            <w:noWrap/>
            <w:hideMark/>
          </w:tcPr>
          <w:p w14:paraId="2A167868" w14:textId="77777777" w:rsidR="0029469D" w:rsidRPr="0029469D" w:rsidRDefault="0029469D" w:rsidP="0029469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29469D">
              <w:rPr>
                <w:rFonts w:ascii="Arial" w:hAnsi="Arial" w:cs="Arial"/>
                <w:lang w:val="en-GB"/>
              </w:rPr>
              <w:t>0 (0.0%)</w:t>
            </w:r>
          </w:p>
        </w:tc>
        <w:tc>
          <w:tcPr>
            <w:tcW w:w="1843" w:type="dxa"/>
            <w:shd w:val="clear" w:color="auto" w:fill="auto"/>
            <w:noWrap/>
            <w:hideMark/>
          </w:tcPr>
          <w:p w14:paraId="3B15F9E9" w14:textId="77777777" w:rsidR="0029469D" w:rsidRPr="0029469D" w:rsidRDefault="0029469D" w:rsidP="0029469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29469D">
              <w:rPr>
                <w:rFonts w:ascii="Arial" w:hAnsi="Arial" w:cs="Arial"/>
                <w:lang w:val="en-GB"/>
              </w:rPr>
              <w:t>0 (0.0%)</w:t>
            </w:r>
          </w:p>
        </w:tc>
      </w:tr>
      <w:tr w:rsidR="0029469D" w:rsidRPr="0029469D" w14:paraId="73370465" w14:textId="77777777" w:rsidTr="00985B73">
        <w:trPr>
          <w:trHeight w:val="290"/>
          <w:jc w:val="center"/>
        </w:trPr>
        <w:tc>
          <w:tcPr>
            <w:cnfStyle w:val="001000000000" w:firstRow="0" w:lastRow="0" w:firstColumn="1" w:lastColumn="0" w:oddVBand="0" w:evenVBand="0" w:oddHBand="0" w:evenHBand="0" w:firstRowFirstColumn="0" w:firstRowLastColumn="0" w:lastRowFirstColumn="0" w:lastRowLastColumn="0"/>
            <w:tcW w:w="1985" w:type="dxa"/>
            <w:noWrap/>
            <w:hideMark/>
          </w:tcPr>
          <w:p w14:paraId="740C39B8" w14:textId="77777777" w:rsidR="0029469D" w:rsidRPr="0029469D" w:rsidRDefault="0029469D" w:rsidP="0029469D">
            <w:pPr>
              <w:pStyle w:val="Body"/>
              <w:rPr>
                <w:rFonts w:ascii="Arial" w:hAnsi="Arial" w:cs="Arial"/>
                <w:b w:val="0"/>
                <w:lang w:val="en-GB"/>
              </w:rPr>
            </w:pPr>
            <w:r w:rsidRPr="0029469D">
              <w:rPr>
                <w:rFonts w:ascii="Arial" w:hAnsi="Arial" w:cs="Arial"/>
                <w:b w:val="0"/>
                <w:lang w:val="en-GB"/>
              </w:rPr>
              <w:t>Chills</w:t>
            </w:r>
          </w:p>
        </w:tc>
        <w:tc>
          <w:tcPr>
            <w:tcW w:w="2410" w:type="dxa"/>
            <w:noWrap/>
            <w:hideMark/>
          </w:tcPr>
          <w:p w14:paraId="140F449A" w14:textId="77777777" w:rsidR="0029469D" w:rsidRPr="0029469D" w:rsidRDefault="0029469D" w:rsidP="0029469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29469D">
              <w:rPr>
                <w:rFonts w:ascii="Arial" w:hAnsi="Arial" w:cs="Arial"/>
                <w:lang w:val="en-GB"/>
              </w:rPr>
              <w:t>5 (2.5%)</w:t>
            </w:r>
          </w:p>
        </w:tc>
        <w:tc>
          <w:tcPr>
            <w:tcW w:w="2409" w:type="dxa"/>
            <w:noWrap/>
            <w:hideMark/>
          </w:tcPr>
          <w:p w14:paraId="28C78C0F" w14:textId="77777777" w:rsidR="0029469D" w:rsidRPr="0029469D" w:rsidRDefault="0029469D" w:rsidP="0029469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29469D">
              <w:rPr>
                <w:rFonts w:ascii="Arial" w:hAnsi="Arial" w:cs="Arial"/>
                <w:lang w:val="en-GB"/>
              </w:rPr>
              <w:t>0 (0.0%)</w:t>
            </w:r>
          </w:p>
        </w:tc>
        <w:tc>
          <w:tcPr>
            <w:tcW w:w="1843" w:type="dxa"/>
            <w:noWrap/>
            <w:hideMark/>
          </w:tcPr>
          <w:p w14:paraId="0A54D333" w14:textId="77777777" w:rsidR="0029469D" w:rsidRPr="0029469D" w:rsidRDefault="0029469D" w:rsidP="0029469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29469D">
              <w:rPr>
                <w:rFonts w:ascii="Arial" w:hAnsi="Arial" w:cs="Arial"/>
                <w:lang w:val="en-GB"/>
              </w:rPr>
              <w:t>5 (2.0%)</w:t>
            </w:r>
          </w:p>
        </w:tc>
      </w:tr>
      <w:tr w:rsidR="0029469D" w:rsidRPr="0029469D" w14:paraId="61943699" w14:textId="77777777" w:rsidTr="00985B7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noWrap/>
            <w:hideMark/>
          </w:tcPr>
          <w:p w14:paraId="20B091BA" w14:textId="77777777" w:rsidR="0029469D" w:rsidRPr="0029469D" w:rsidRDefault="0029469D" w:rsidP="0029469D">
            <w:pPr>
              <w:pStyle w:val="Body"/>
              <w:rPr>
                <w:rFonts w:ascii="Arial" w:hAnsi="Arial" w:cs="Arial"/>
                <w:b w:val="0"/>
                <w:lang w:val="en-GB"/>
              </w:rPr>
            </w:pPr>
            <w:r w:rsidRPr="0029469D">
              <w:rPr>
                <w:rFonts w:ascii="Arial" w:hAnsi="Arial" w:cs="Arial"/>
                <w:b w:val="0"/>
                <w:lang w:val="en-GB"/>
              </w:rPr>
              <w:t>Sweat</w:t>
            </w:r>
          </w:p>
        </w:tc>
        <w:tc>
          <w:tcPr>
            <w:tcW w:w="2410" w:type="dxa"/>
            <w:shd w:val="clear" w:color="auto" w:fill="auto"/>
            <w:noWrap/>
            <w:hideMark/>
          </w:tcPr>
          <w:p w14:paraId="30D349F0" w14:textId="77777777" w:rsidR="0029469D" w:rsidRPr="0029469D" w:rsidRDefault="0029469D" w:rsidP="0029469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29469D">
              <w:rPr>
                <w:rFonts w:ascii="Arial" w:hAnsi="Arial" w:cs="Arial"/>
                <w:lang w:val="en-GB"/>
              </w:rPr>
              <w:t>1 (0.5%)</w:t>
            </w:r>
          </w:p>
        </w:tc>
        <w:tc>
          <w:tcPr>
            <w:tcW w:w="2409" w:type="dxa"/>
            <w:shd w:val="clear" w:color="auto" w:fill="auto"/>
            <w:noWrap/>
            <w:hideMark/>
          </w:tcPr>
          <w:p w14:paraId="34C84CF6" w14:textId="77777777" w:rsidR="0029469D" w:rsidRPr="0029469D" w:rsidRDefault="0029469D" w:rsidP="0029469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29469D">
              <w:rPr>
                <w:rFonts w:ascii="Arial" w:hAnsi="Arial" w:cs="Arial"/>
                <w:lang w:val="en-GB"/>
              </w:rPr>
              <w:t>0 (0.0%)</w:t>
            </w:r>
          </w:p>
        </w:tc>
        <w:tc>
          <w:tcPr>
            <w:tcW w:w="1843" w:type="dxa"/>
            <w:shd w:val="clear" w:color="auto" w:fill="auto"/>
            <w:noWrap/>
            <w:hideMark/>
          </w:tcPr>
          <w:p w14:paraId="033D4BDE" w14:textId="77777777" w:rsidR="0029469D" w:rsidRPr="0029469D" w:rsidRDefault="0029469D" w:rsidP="0029469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29469D">
              <w:rPr>
                <w:rFonts w:ascii="Arial" w:hAnsi="Arial" w:cs="Arial"/>
                <w:lang w:val="en-GB"/>
              </w:rPr>
              <w:t>1 (0.4%)</w:t>
            </w:r>
          </w:p>
        </w:tc>
      </w:tr>
      <w:tr w:rsidR="0029469D" w:rsidRPr="0029469D" w14:paraId="1D86D789" w14:textId="77777777" w:rsidTr="00985B73">
        <w:trPr>
          <w:trHeight w:val="290"/>
          <w:jc w:val="center"/>
        </w:trPr>
        <w:tc>
          <w:tcPr>
            <w:cnfStyle w:val="001000000000" w:firstRow="0" w:lastRow="0" w:firstColumn="1" w:lastColumn="0" w:oddVBand="0" w:evenVBand="0" w:oddHBand="0" w:evenHBand="0" w:firstRowFirstColumn="0" w:firstRowLastColumn="0" w:lastRowFirstColumn="0" w:lastRowLastColumn="0"/>
            <w:tcW w:w="1985" w:type="dxa"/>
            <w:noWrap/>
            <w:hideMark/>
          </w:tcPr>
          <w:p w14:paraId="0DFF7935" w14:textId="77777777" w:rsidR="0029469D" w:rsidRPr="0029469D" w:rsidRDefault="0029469D" w:rsidP="0029469D">
            <w:pPr>
              <w:pStyle w:val="Body"/>
              <w:rPr>
                <w:rFonts w:ascii="Arial" w:hAnsi="Arial" w:cs="Arial"/>
                <w:b w:val="0"/>
                <w:lang w:val="en-GB"/>
              </w:rPr>
            </w:pPr>
            <w:r w:rsidRPr="0029469D">
              <w:rPr>
                <w:rFonts w:ascii="Arial" w:hAnsi="Arial" w:cs="Arial"/>
                <w:b w:val="0"/>
                <w:lang w:val="en-GB"/>
              </w:rPr>
              <w:t>Chest pain</w:t>
            </w:r>
          </w:p>
        </w:tc>
        <w:tc>
          <w:tcPr>
            <w:tcW w:w="2410" w:type="dxa"/>
            <w:noWrap/>
            <w:hideMark/>
          </w:tcPr>
          <w:p w14:paraId="1CD9A6C5" w14:textId="77777777" w:rsidR="0029469D" w:rsidRPr="0029469D" w:rsidRDefault="0029469D" w:rsidP="0029469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29469D">
              <w:rPr>
                <w:rFonts w:ascii="Arial" w:hAnsi="Arial" w:cs="Arial"/>
                <w:lang w:val="en-GB"/>
              </w:rPr>
              <w:t>1 (0.5%)</w:t>
            </w:r>
          </w:p>
        </w:tc>
        <w:tc>
          <w:tcPr>
            <w:tcW w:w="2409" w:type="dxa"/>
            <w:noWrap/>
            <w:hideMark/>
          </w:tcPr>
          <w:p w14:paraId="64DF961A" w14:textId="77777777" w:rsidR="0029469D" w:rsidRPr="0029469D" w:rsidRDefault="0029469D" w:rsidP="0029469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29469D">
              <w:rPr>
                <w:rFonts w:ascii="Arial" w:hAnsi="Arial" w:cs="Arial"/>
                <w:lang w:val="en-GB"/>
              </w:rPr>
              <w:t>0 (0.0%)</w:t>
            </w:r>
          </w:p>
        </w:tc>
        <w:tc>
          <w:tcPr>
            <w:tcW w:w="1843" w:type="dxa"/>
            <w:noWrap/>
            <w:hideMark/>
          </w:tcPr>
          <w:p w14:paraId="708E48AC" w14:textId="77777777" w:rsidR="0029469D" w:rsidRPr="0029469D" w:rsidRDefault="0029469D" w:rsidP="0029469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29469D">
              <w:rPr>
                <w:rFonts w:ascii="Arial" w:hAnsi="Arial" w:cs="Arial"/>
                <w:lang w:val="en-GB"/>
              </w:rPr>
              <w:t>1 (0.4%)</w:t>
            </w:r>
          </w:p>
        </w:tc>
      </w:tr>
      <w:tr w:rsidR="0029469D" w:rsidRPr="0029469D" w14:paraId="60031A97" w14:textId="77777777" w:rsidTr="00985B7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noWrap/>
            <w:hideMark/>
          </w:tcPr>
          <w:p w14:paraId="59076FB8" w14:textId="77777777" w:rsidR="0029469D" w:rsidRPr="0029469D" w:rsidRDefault="0029469D" w:rsidP="0029469D">
            <w:pPr>
              <w:pStyle w:val="Body"/>
              <w:rPr>
                <w:rFonts w:ascii="Arial" w:hAnsi="Arial" w:cs="Arial"/>
                <w:b w:val="0"/>
                <w:lang w:val="en-GB"/>
              </w:rPr>
            </w:pPr>
            <w:r w:rsidRPr="0029469D">
              <w:rPr>
                <w:rFonts w:ascii="Arial" w:hAnsi="Arial" w:cs="Arial"/>
                <w:b w:val="0"/>
                <w:lang w:val="en-GB"/>
              </w:rPr>
              <w:t>*Others</w:t>
            </w:r>
          </w:p>
        </w:tc>
        <w:tc>
          <w:tcPr>
            <w:tcW w:w="2410" w:type="dxa"/>
            <w:shd w:val="clear" w:color="auto" w:fill="auto"/>
            <w:noWrap/>
            <w:hideMark/>
          </w:tcPr>
          <w:p w14:paraId="0D55D497" w14:textId="77777777" w:rsidR="0029469D" w:rsidRPr="0029469D" w:rsidRDefault="0029469D" w:rsidP="0029469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29469D">
              <w:rPr>
                <w:rFonts w:ascii="Arial" w:hAnsi="Arial" w:cs="Arial"/>
                <w:lang w:val="en-GB"/>
              </w:rPr>
              <w:t>6 (3.0%)</w:t>
            </w:r>
          </w:p>
        </w:tc>
        <w:tc>
          <w:tcPr>
            <w:tcW w:w="2409" w:type="dxa"/>
            <w:shd w:val="clear" w:color="auto" w:fill="auto"/>
            <w:noWrap/>
            <w:hideMark/>
          </w:tcPr>
          <w:p w14:paraId="30C96A2A" w14:textId="77777777" w:rsidR="0029469D" w:rsidRPr="0029469D" w:rsidRDefault="0029469D" w:rsidP="0029469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29469D">
              <w:rPr>
                <w:rFonts w:ascii="Arial" w:hAnsi="Arial" w:cs="Arial"/>
                <w:lang w:val="en-GB"/>
              </w:rPr>
              <w:t>4 (7.5%)</w:t>
            </w:r>
          </w:p>
        </w:tc>
        <w:tc>
          <w:tcPr>
            <w:tcW w:w="1843" w:type="dxa"/>
            <w:shd w:val="clear" w:color="auto" w:fill="auto"/>
            <w:noWrap/>
            <w:hideMark/>
          </w:tcPr>
          <w:p w14:paraId="39FAA7C6" w14:textId="77777777" w:rsidR="0029469D" w:rsidRPr="0029469D" w:rsidRDefault="0029469D" w:rsidP="0029469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29469D">
              <w:rPr>
                <w:rFonts w:ascii="Arial" w:hAnsi="Arial" w:cs="Arial"/>
                <w:lang w:val="en-GB"/>
              </w:rPr>
              <w:t>10 (4.0%)</w:t>
            </w:r>
          </w:p>
        </w:tc>
      </w:tr>
    </w:tbl>
    <w:p w14:paraId="721FED84" w14:textId="77777777" w:rsidR="00790ADA" w:rsidRDefault="00790ADA" w:rsidP="00441B6F">
      <w:pPr>
        <w:pStyle w:val="Body"/>
        <w:spacing w:after="0"/>
        <w:rPr>
          <w:rFonts w:ascii="Arial" w:hAnsi="Arial" w:cs="Arial"/>
        </w:rPr>
      </w:pPr>
    </w:p>
    <w:p w14:paraId="4DE7D8EA" w14:textId="77777777" w:rsidR="0029469D" w:rsidRPr="0029469D" w:rsidRDefault="0029469D" w:rsidP="0029469D">
      <w:pPr>
        <w:pStyle w:val="Body"/>
        <w:rPr>
          <w:rFonts w:ascii="Arial" w:hAnsi="Arial" w:cs="Arial"/>
          <w:lang w:val="en-GB"/>
        </w:rPr>
      </w:pPr>
      <w:r w:rsidRPr="0029469D">
        <w:rPr>
          <w:rFonts w:ascii="Arial" w:hAnsi="Arial" w:cs="Arial"/>
          <w:lang w:val="en-GB"/>
        </w:rPr>
        <w:t xml:space="preserve">In the Buea Health District, the clinical diagnosis of malaria overwhelmingly </w:t>
      </w:r>
      <w:proofErr w:type="spellStart"/>
      <w:r w:rsidRPr="0029469D">
        <w:rPr>
          <w:rFonts w:ascii="Arial" w:hAnsi="Arial" w:cs="Arial"/>
          <w:lang w:val="en-GB"/>
        </w:rPr>
        <w:t>centers</w:t>
      </w:r>
      <w:proofErr w:type="spellEnd"/>
      <w:r w:rsidRPr="0029469D">
        <w:rPr>
          <w:rFonts w:ascii="Arial" w:hAnsi="Arial" w:cs="Arial"/>
          <w:lang w:val="en-GB"/>
        </w:rPr>
        <w:t xml:space="preserve"> on simple malaria, which accounts for 70.5% of all cases, indicating it is the most commonly identified and likely the most straight forward to manage (Figure 2). A notable proportion of patients (28.7%) were diagnosed with simple malaria accompanied by other conditions (Figure 2). In contrast, diagnoses of clinical malaria and poorly treated malaria were rare each (0.4%), and suspected malaria was entirely absent from the dataset (Figure 2). This distribution highlights a diagnostic focus on uncomplicated malaria presentations, with limited recognition or documentation of atypical or mismanaged cases, which may reflect either effective early detection or gaps in diagnostic sensitivity. </w:t>
      </w:r>
    </w:p>
    <w:p w14:paraId="52795B81" w14:textId="77777777" w:rsidR="0029469D" w:rsidRPr="0029469D" w:rsidRDefault="0029469D" w:rsidP="0029469D">
      <w:pPr>
        <w:pStyle w:val="Body"/>
        <w:spacing w:after="0"/>
        <w:rPr>
          <w:rFonts w:ascii="Arial" w:hAnsi="Arial" w:cs="Arial"/>
          <w:lang w:val="en-GB"/>
        </w:rPr>
      </w:pPr>
      <w:r w:rsidRPr="0029469D">
        <w:rPr>
          <w:rFonts w:ascii="Arial" w:hAnsi="Arial" w:cs="Arial"/>
          <w:noProof/>
          <w:lang w:val="en-GB"/>
        </w:rPr>
        <w:lastRenderedPageBreak/>
        <w:drawing>
          <wp:inline distT="0" distB="0" distL="0" distR="0" wp14:anchorId="00D4A38A" wp14:editId="789287E5">
            <wp:extent cx="5082540" cy="2781300"/>
            <wp:effectExtent l="0" t="0" r="3810" b="0"/>
            <wp:docPr id="347796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82540" cy="2781300"/>
                    </a:xfrm>
                    <a:prstGeom prst="rect">
                      <a:avLst/>
                    </a:prstGeom>
                    <a:noFill/>
                  </pic:spPr>
                </pic:pic>
              </a:graphicData>
            </a:graphic>
          </wp:inline>
        </w:drawing>
      </w:r>
    </w:p>
    <w:p w14:paraId="14B83D2E" w14:textId="77777777" w:rsidR="0029469D" w:rsidRPr="0029469D" w:rsidRDefault="0029469D" w:rsidP="0029469D">
      <w:pPr>
        <w:pStyle w:val="Body"/>
        <w:rPr>
          <w:rFonts w:ascii="Arial" w:hAnsi="Arial" w:cs="Arial"/>
          <w:b/>
          <w:bCs/>
          <w:lang w:val="en-GB"/>
        </w:rPr>
      </w:pPr>
      <w:r w:rsidRPr="0029469D">
        <w:rPr>
          <w:rFonts w:ascii="Arial" w:hAnsi="Arial" w:cs="Arial"/>
          <w:b/>
          <w:bCs/>
          <w:lang w:val="en-GB"/>
        </w:rPr>
        <w:t xml:space="preserve">Figure </w:t>
      </w:r>
      <w:r w:rsidRPr="0029469D">
        <w:rPr>
          <w:rFonts w:ascii="Arial" w:hAnsi="Arial" w:cs="Arial"/>
          <w:b/>
          <w:bCs/>
          <w:lang w:val="en-GB"/>
        </w:rPr>
        <w:fldChar w:fldCharType="begin"/>
      </w:r>
      <w:r w:rsidRPr="0029469D">
        <w:rPr>
          <w:rFonts w:ascii="Arial" w:hAnsi="Arial" w:cs="Arial"/>
          <w:b/>
          <w:bCs/>
          <w:lang w:val="en-GB"/>
        </w:rPr>
        <w:instrText xml:space="preserve"> SEQ Figure \* ARABIC </w:instrText>
      </w:r>
      <w:r w:rsidRPr="0029469D">
        <w:rPr>
          <w:rFonts w:ascii="Arial" w:hAnsi="Arial" w:cs="Arial"/>
          <w:b/>
          <w:bCs/>
          <w:lang w:val="en-GB"/>
        </w:rPr>
        <w:fldChar w:fldCharType="separate"/>
      </w:r>
      <w:r w:rsidRPr="0029469D">
        <w:rPr>
          <w:rFonts w:ascii="Arial" w:hAnsi="Arial" w:cs="Arial"/>
          <w:b/>
          <w:bCs/>
          <w:lang w:val="en-GB"/>
        </w:rPr>
        <w:t>2</w:t>
      </w:r>
      <w:r w:rsidRPr="0029469D">
        <w:rPr>
          <w:rFonts w:ascii="Arial" w:hAnsi="Arial" w:cs="Arial"/>
        </w:rPr>
        <w:fldChar w:fldCharType="end"/>
      </w:r>
      <w:r w:rsidRPr="0029469D">
        <w:rPr>
          <w:rFonts w:ascii="Arial" w:hAnsi="Arial" w:cs="Arial"/>
          <w:b/>
          <w:bCs/>
          <w:lang w:val="en-GB"/>
        </w:rPr>
        <w:t>: Denomination of clinical diagnosis</w:t>
      </w:r>
    </w:p>
    <w:p w14:paraId="7B0FD4F7" w14:textId="77777777" w:rsidR="0029469D" w:rsidRPr="004614E6" w:rsidRDefault="004614E6" w:rsidP="0029469D">
      <w:pPr>
        <w:pStyle w:val="Body"/>
        <w:rPr>
          <w:rFonts w:ascii="Arial" w:hAnsi="Arial" w:cs="Arial"/>
          <w:b/>
          <w:sz w:val="22"/>
          <w:szCs w:val="22"/>
        </w:rPr>
      </w:pPr>
      <w:r w:rsidRPr="004614E6">
        <w:rPr>
          <w:rFonts w:ascii="Arial" w:hAnsi="Arial" w:cs="Arial"/>
          <w:b/>
          <w:sz w:val="22"/>
          <w:szCs w:val="22"/>
        </w:rPr>
        <w:t>3.3 Diagnosis</w:t>
      </w:r>
      <w:r w:rsidR="0029469D" w:rsidRPr="004614E6">
        <w:rPr>
          <w:rFonts w:ascii="Arial" w:hAnsi="Arial" w:cs="Arial"/>
          <w:b/>
          <w:sz w:val="22"/>
          <w:szCs w:val="22"/>
        </w:rPr>
        <w:t xml:space="preserve"> base on laboratory result</w:t>
      </w:r>
    </w:p>
    <w:p w14:paraId="2969FDF8" w14:textId="77777777" w:rsidR="0029469D" w:rsidRPr="0029469D" w:rsidRDefault="0029469D" w:rsidP="0029469D">
      <w:pPr>
        <w:pStyle w:val="Body"/>
        <w:rPr>
          <w:rFonts w:ascii="Arial" w:hAnsi="Arial" w:cs="Arial"/>
          <w:lang w:val="en-GB"/>
        </w:rPr>
      </w:pPr>
      <w:r w:rsidRPr="0029469D">
        <w:rPr>
          <w:rFonts w:ascii="Arial" w:hAnsi="Arial" w:cs="Arial"/>
          <w:lang w:val="en-GB"/>
        </w:rPr>
        <w:t xml:space="preserve">In the Buea Health District, clinical and biological laboratory results show high testing coverage across both public and private sectors, with 93.2% of patients undergoing diagnostic tests (Figure 3). Public health facilities (93.4%) slightly outperform private ones (92.5%) in test completion and in requesting tests (71.2% and 68.5% respectively) (Figure 3). Positive thick blood smear results dominate (46.2%) overall, especially in public facilities (48.7%), indicating a high burden of confirmed malaria cases (Figure 3). Rapid Diagnostic Tests (RDTs) also show notable positivity (22.3%), with public health again leading (23.7%) (Figure 3). Interestingly, negative results for both smear and RDT are minimal, reinforcing the clinical suspicion of malaria in most cases. </w:t>
      </w:r>
    </w:p>
    <w:p w14:paraId="6240DED8" w14:textId="77777777" w:rsidR="0029469D" w:rsidRPr="0029469D" w:rsidRDefault="0029469D" w:rsidP="0029469D">
      <w:pPr>
        <w:pStyle w:val="Body"/>
        <w:spacing w:after="0"/>
        <w:rPr>
          <w:rFonts w:ascii="Arial" w:hAnsi="Arial" w:cs="Arial"/>
          <w:lang w:val="en-GB"/>
        </w:rPr>
      </w:pPr>
      <w:r w:rsidRPr="0029469D">
        <w:rPr>
          <w:rFonts w:ascii="Arial" w:hAnsi="Arial" w:cs="Arial"/>
          <w:noProof/>
          <w:lang w:val="en-GB"/>
        </w:rPr>
        <w:lastRenderedPageBreak/>
        <w:drawing>
          <wp:inline distT="0" distB="0" distL="0" distR="0" wp14:anchorId="28746730" wp14:editId="14A7595B">
            <wp:extent cx="5257800" cy="3200353"/>
            <wp:effectExtent l="0" t="0" r="0" b="0"/>
            <wp:docPr id="7073444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9996" cy="3213863"/>
                    </a:xfrm>
                    <a:prstGeom prst="rect">
                      <a:avLst/>
                    </a:prstGeom>
                    <a:noFill/>
                  </pic:spPr>
                </pic:pic>
              </a:graphicData>
            </a:graphic>
          </wp:inline>
        </w:drawing>
      </w:r>
    </w:p>
    <w:p w14:paraId="6DB1F6CF" w14:textId="77777777" w:rsidR="0029469D" w:rsidRPr="0029469D" w:rsidRDefault="0029469D" w:rsidP="0029469D">
      <w:pPr>
        <w:pStyle w:val="Body"/>
        <w:rPr>
          <w:rFonts w:ascii="Arial" w:hAnsi="Arial" w:cs="Arial"/>
          <w:b/>
          <w:bCs/>
          <w:lang w:val="en-GB"/>
        </w:rPr>
      </w:pPr>
      <w:r w:rsidRPr="0029469D">
        <w:rPr>
          <w:rFonts w:ascii="Arial" w:hAnsi="Arial" w:cs="Arial"/>
          <w:b/>
          <w:bCs/>
          <w:lang w:val="en-GB"/>
        </w:rPr>
        <w:t xml:space="preserve">Figure </w:t>
      </w:r>
      <w:r w:rsidRPr="0029469D">
        <w:rPr>
          <w:rFonts w:ascii="Arial" w:hAnsi="Arial" w:cs="Arial"/>
          <w:b/>
          <w:bCs/>
          <w:lang w:val="en-GB"/>
        </w:rPr>
        <w:fldChar w:fldCharType="begin"/>
      </w:r>
      <w:r w:rsidRPr="0029469D">
        <w:rPr>
          <w:rFonts w:ascii="Arial" w:hAnsi="Arial" w:cs="Arial"/>
          <w:b/>
          <w:bCs/>
          <w:lang w:val="en-GB"/>
        </w:rPr>
        <w:instrText xml:space="preserve"> SEQ Figure \* ARABIC </w:instrText>
      </w:r>
      <w:r w:rsidRPr="0029469D">
        <w:rPr>
          <w:rFonts w:ascii="Arial" w:hAnsi="Arial" w:cs="Arial"/>
          <w:b/>
          <w:bCs/>
          <w:lang w:val="en-GB"/>
        </w:rPr>
        <w:fldChar w:fldCharType="separate"/>
      </w:r>
      <w:r w:rsidRPr="0029469D">
        <w:rPr>
          <w:rFonts w:ascii="Arial" w:hAnsi="Arial" w:cs="Arial"/>
          <w:b/>
          <w:bCs/>
          <w:lang w:val="en-GB"/>
        </w:rPr>
        <w:t>3</w:t>
      </w:r>
      <w:r w:rsidRPr="0029469D">
        <w:rPr>
          <w:rFonts w:ascii="Arial" w:hAnsi="Arial" w:cs="Arial"/>
        </w:rPr>
        <w:fldChar w:fldCharType="end"/>
      </w:r>
      <w:r w:rsidRPr="0029469D">
        <w:rPr>
          <w:rFonts w:ascii="Arial" w:hAnsi="Arial" w:cs="Arial"/>
          <w:b/>
          <w:bCs/>
          <w:lang w:val="en-GB"/>
        </w:rPr>
        <w:t>: Clinical and biological examination by health sectors in Buea health district</w:t>
      </w:r>
    </w:p>
    <w:p w14:paraId="5F564414" w14:textId="77777777" w:rsidR="0029469D" w:rsidRPr="004614E6" w:rsidRDefault="004614E6" w:rsidP="0029469D">
      <w:pPr>
        <w:pStyle w:val="Body"/>
        <w:rPr>
          <w:rFonts w:ascii="Arial" w:hAnsi="Arial" w:cs="Arial"/>
          <w:b/>
          <w:sz w:val="22"/>
          <w:szCs w:val="22"/>
        </w:rPr>
      </w:pPr>
      <w:r w:rsidRPr="004614E6">
        <w:rPr>
          <w:rFonts w:ascii="Arial" w:hAnsi="Arial" w:cs="Arial"/>
          <w:b/>
          <w:sz w:val="22"/>
          <w:szCs w:val="22"/>
        </w:rPr>
        <w:t xml:space="preserve">3.4 </w:t>
      </w:r>
      <w:r w:rsidR="0029469D" w:rsidRPr="004614E6">
        <w:rPr>
          <w:rFonts w:ascii="Arial" w:hAnsi="Arial" w:cs="Arial"/>
          <w:b/>
          <w:sz w:val="22"/>
          <w:szCs w:val="22"/>
        </w:rPr>
        <w:t>Antimalaria use in treatment of simple malaria</w:t>
      </w:r>
    </w:p>
    <w:p w14:paraId="0B7EAE3A" w14:textId="77777777" w:rsidR="0029469D" w:rsidRPr="0029469D" w:rsidRDefault="0029469D" w:rsidP="0029469D">
      <w:pPr>
        <w:pStyle w:val="Body"/>
        <w:rPr>
          <w:rFonts w:ascii="Arial" w:hAnsi="Arial" w:cs="Arial"/>
          <w:bCs/>
        </w:rPr>
      </w:pPr>
      <w:r w:rsidRPr="0029469D">
        <w:rPr>
          <w:rFonts w:ascii="Arial" w:hAnsi="Arial" w:cs="Arial"/>
          <w:bCs/>
        </w:rPr>
        <w:t>Figure 4 illustrates antimalarial treatment practices show a strong reliance on Artemisinin-based Combination Therapy (ACT), which was administered in 92.43% of cases. Notably, over half of these treatments (56.97%) were given after diagnostic results, while a significant portion (35.46%) were initiated before results (Figure 4).  Artemether/Lumefantrine (AL) was the most commonly used ACT regimen (21.91%), with slightly more cases treated before results (12.30%) than after (9.61%) (Figure 4). Other regimens like ASAQ and DHA/PQP were used sparingly, and monotherapies appeared in mixed combinations but at low frequencies</w:t>
      </w:r>
      <w:r>
        <w:rPr>
          <w:rFonts w:ascii="Arial" w:hAnsi="Arial" w:cs="Arial"/>
          <w:bCs/>
        </w:rPr>
        <w:t xml:space="preserve"> (Figure 4)</w:t>
      </w:r>
      <w:r w:rsidRPr="0029469D">
        <w:rPr>
          <w:rFonts w:ascii="Arial" w:hAnsi="Arial" w:cs="Arial"/>
          <w:bCs/>
        </w:rPr>
        <w:t xml:space="preserve">. </w:t>
      </w:r>
    </w:p>
    <w:p w14:paraId="15EE9D52" w14:textId="77777777" w:rsidR="0029469D" w:rsidRPr="0029469D" w:rsidRDefault="0029469D" w:rsidP="004614E6">
      <w:pPr>
        <w:pStyle w:val="Body"/>
        <w:spacing w:after="0"/>
        <w:rPr>
          <w:rFonts w:ascii="Arial" w:hAnsi="Arial" w:cs="Arial"/>
          <w:lang w:val="en-GB"/>
        </w:rPr>
      </w:pPr>
      <w:r w:rsidRPr="0029469D">
        <w:rPr>
          <w:rFonts w:ascii="Arial" w:hAnsi="Arial" w:cs="Arial"/>
          <w:noProof/>
          <w:lang w:val="en-GB"/>
        </w:rPr>
        <w:lastRenderedPageBreak/>
        <w:drawing>
          <wp:inline distT="0" distB="0" distL="0" distR="0" wp14:anchorId="731BC562" wp14:editId="0B702BD4">
            <wp:extent cx="5200650" cy="3099692"/>
            <wp:effectExtent l="0" t="0" r="0" b="5715"/>
            <wp:docPr id="13500260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10963" cy="3105839"/>
                    </a:xfrm>
                    <a:prstGeom prst="rect">
                      <a:avLst/>
                    </a:prstGeom>
                    <a:noFill/>
                  </pic:spPr>
                </pic:pic>
              </a:graphicData>
            </a:graphic>
          </wp:inline>
        </w:drawing>
      </w:r>
    </w:p>
    <w:p w14:paraId="7E1619BE" w14:textId="77777777" w:rsidR="0029469D" w:rsidRPr="0029469D" w:rsidRDefault="0029469D" w:rsidP="0029469D">
      <w:pPr>
        <w:pStyle w:val="Body"/>
        <w:rPr>
          <w:rFonts w:ascii="Arial" w:hAnsi="Arial" w:cs="Arial"/>
          <w:b/>
          <w:bCs/>
          <w:lang w:val="en-GB"/>
        </w:rPr>
      </w:pPr>
      <w:r w:rsidRPr="0029469D">
        <w:rPr>
          <w:rFonts w:ascii="Arial" w:hAnsi="Arial" w:cs="Arial"/>
          <w:b/>
          <w:bCs/>
          <w:lang w:val="en-GB"/>
        </w:rPr>
        <w:t xml:space="preserve">Figure </w:t>
      </w:r>
      <w:r w:rsidRPr="0029469D">
        <w:rPr>
          <w:rFonts w:ascii="Arial" w:hAnsi="Arial" w:cs="Arial"/>
          <w:b/>
          <w:bCs/>
          <w:lang w:val="en-GB"/>
        </w:rPr>
        <w:fldChar w:fldCharType="begin"/>
      </w:r>
      <w:r w:rsidRPr="0029469D">
        <w:rPr>
          <w:rFonts w:ascii="Arial" w:hAnsi="Arial" w:cs="Arial"/>
          <w:b/>
          <w:bCs/>
          <w:lang w:val="en-GB"/>
        </w:rPr>
        <w:instrText xml:space="preserve"> SEQ Figure \* ARABIC </w:instrText>
      </w:r>
      <w:r w:rsidRPr="0029469D">
        <w:rPr>
          <w:rFonts w:ascii="Arial" w:hAnsi="Arial" w:cs="Arial"/>
          <w:b/>
          <w:bCs/>
          <w:lang w:val="en-GB"/>
        </w:rPr>
        <w:fldChar w:fldCharType="separate"/>
      </w:r>
      <w:r w:rsidRPr="0029469D">
        <w:rPr>
          <w:rFonts w:ascii="Arial" w:hAnsi="Arial" w:cs="Arial"/>
          <w:b/>
          <w:bCs/>
          <w:lang w:val="en-GB"/>
        </w:rPr>
        <w:t>4</w:t>
      </w:r>
      <w:r w:rsidRPr="0029469D">
        <w:rPr>
          <w:rFonts w:ascii="Arial" w:hAnsi="Arial" w:cs="Arial"/>
        </w:rPr>
        <w:fldChar w:fldCharType="end"/>
      </w:r>
      <w:r w:rsidRPr="0029469D">
        <w:rPr>
          <w:rFonts w:ascii="Arial" w:hAnsi="Arial" w:cs="Arial"/>
          <w:b/>
          <w:bCs/>
          <w:lang w:val="en-GB"/>
        </w:rPr>
        <w:t>: Antimalaria use in treatment of simple malaria</w:t>
      </w:r>
    </w:p>
    <w:p w14:paraId="30E68EC0" w14:textId="77777777" w:rsidR="004614E6" w:rsidRPr="004614E6" w:rsidRDefault="004614E6" w:rsidP="004614E6">
      <w:pPr>
        <w:pStyle w:val="Body"/>
        <w:rPr>
          <w:rFonts w:ascii="Arial" w:hAnsi="Arial" w:cs="Arial"/>
          <w:b/>
          <w:sz w:val="22"/>
          <w:szCs w:val="22"/>
        </w:rPr>
      </w:pPr>
      <w:r w:rsidRPr="004614E6">
        <w:rPr>
          <w:rFonts w:ascii="Arial" w:hAnsi="Arial" w:cs="Arial"/>
          <w:b/>
          <w:sz w:val="22"/>
          <w:szCs w:val="22"/>
        </w:rPr>
        <w:t>3.5 Adequate prescription in function of antimalarial prescribe</w:t>
      </w:r>
    </w:p>
    <w:p w14:paraId="17FF37FD" w14:textId="77777777" w:rsidR="004614E6" w:rsidRPr="004614E6" w:rsidRDefault="004614E6" w:rsidP="004614E6">
      <w:pPr>
        <w:pStyle w:val="Body"/>
        <w:rPr>
          <w:rFonts w:ascii="Arial" w:hAnsi="Arial" w:cs="Arial"/>
          <w:lang w:val="en-GB"/>
        </w:rPr>
      </w:pPr>
      <w:r w:rsidRPr="004614E6">
        <w:rPr>
          <w:rFonts w:ascii="Arial" w:hAnsi="Arial" w:cs="Arial"/>
          <w:lang w:val="en-GB"/>
        </w:rPr>
        <w:t>Table 2 presents the distribution of Artemisinin-based Combination Therapy (ACT) prescriptions across five key treatment parameters. Overall, ACTs were prescribed in 93.2% of cases, with consistent documentation of galenic form, dosage, quantity, and treatment duration (Table 2). Among specific ACTs, artemether-lumefantrine (AL) was the most frequently prescribed (53.4%), followed by artesunate-amodiaquine (ASAQ) at 36.8%. Less commonly used combinations included DHA/PQP (5.6%), DHA/PQP/TMTP and ATR/PQP (0.9%) each, while AS/MQ was not prescribed at all (Table 2). Notably, posology was slightly less consistently recorded (84.1%) compared to other parameters (Table 2). A small proportion of prescriptions involved non-standard or adjunct formulations such as injectable artesunate (</w:t>
      </w:r>
      <w:proofErr w:type="spellStart"/>
      <w:r w:rsidRPr="004614E6">
        <w:rPr>
          <w:rFonts w:ascii="Arial" w:hAnsi="Arial" w:cs="Arial"/>
          <w:lang w:val="en-GB"/>
        </w:rPr>
        <w:t>ASiv</w:t>
      </w:r>
      <w:proofErr w:type="spellEnd"/>
      <w:r w:rsidRPr="004614E6">
        <w:rPr>
          <w:rFonts w:ascii="Arial" w:hAnsi="Arial" w:cs="Arial"/>
          <w:lang w:val="en-GB"/>
        </w:rPr>
        <w:t>), amodiaquine syrup (</w:t>
      </w:r>
      <w:proofErr w:type="spellStart"/>
      <w:r w:rsidRPr="004614E6">
        <w:rPr>
          <w:rFonts w:ascii="Arial" w:hAnsi="Arial" w:cs="Arial"/>
          <w:lang w:val="en-GB"/>
        </w:rPr>
        <w:t>AMim</w:t>
      </w:r>
      <w:proofErr w:type="spellEnd"/>
      <w:r w:rsidRPr="004614E6">
        <w:rPr>
          <w:rFonts w:ascii="Arial" w:hAnsi="Arial" w:cs="Arial"/>
          <w:lang w:val="en-GB"/>
        </w:rPr>
        <w:t xml:space="preserve">), or oral quinine (Oral Q), with treatment duration documented in 7.3% of these cases (Table 2). </w:t>
      </w:r>
    </w:p>
    <w:p w14:paraId="3513AF64" w14:textId="77777777" w:rsidR="004614E6" w:rsidRPr="004614E6" w:rsidRDefault="004614E6" w:rsidP="004614E6">
      <w:pPr>
        <w:pStyle w:val="Body"/>
        <w:spacing w:after="0"/>
        <w:rPr>
          <w:rFonts w:ascii="Arial" w:hAnsi="Arial" w:cs="Arial"/>
          <w:b/>
          <w:bCs/>
          <w:lang w:val="en-GB"/>
        </w:rPr>
      </w:pPr>
      <w:r w:rsidRPr="004614E6">
        <w:rPr>
          <w:rFonts w:ascii="Arial" w:hAnsi="Arial" w:cs="Arial"/>
          <w:b/>
          <w:bCs/>
          <w:lang w:val="en-GB"/>
        </w:rPr>
        <w:t xml:space="preserve">Table </w:t>
      </w:r>
      <w:r w:rsidRPr="004614E6">
        <w:rPr>
          <w:rFonts w:ascii="Arial" w:hAnsi="Arial" w:cs="Arial"/>
          <w:b/>
          <w:bCs/>
          <w:lang w:val="en-GB"/>
        </w:rPr>
        <w:fldChar w:fldCharType="begin"/>
      </w:r>
      <w:r w:rsidRPr="004614E6">
        <w:rPr>
          <w:rFonts w:ascii="Arial" w:hAnsi="Arial" w:cs="Arial"/>
          <w:b/>
          <w:bCs/>
          <w:lang w:val="en-GB"/>
        </w:rPr>
        <w:instrText xml:space="preserve"> SEQ Table \* ARABIC </w:instrText>
      </w:r>
      <w:r w:rsidRPr="004614E6">
        <w:rPr>
          <w:rFonts w:ascii="Arial" w:hAnsi="Arial" w:cs="Arial"/>
          <w:b/>
          <w:bCs/>
          <w:lang w:val="en-GB"/>
        </w:rPr>
        <w:fldChar w:fldCharType="separate"/>
      </w:r>
      <w:r w:rsidRPr="004614E6">
        <w:rPr>
          <w:rFonts w:ascii="Arial" w:hAnsi="Arial" w:cs="Arial"/>
          <w:b/>
          <w:bCs/>
          <w:lang w:val="en-GB"/>
        </w:rPr>
        <w:t>2</w:t>
      </w:r>
      <w:r w:rsidRPr="004614E6">
        <w:rPr>
          <w:rFonts w:ascii="Arial" w:hAnsi="Arial" w:cs="Arial"/>
        </w:rPr>
        <w:fldChar w:fldCharType="end"/>
      </w:r>
      <w:r w:rsidRPr="004614E6">
        <w:rPr>
          <w:rFonts w:ascii="Arial" w:hAnsi="Arial" w:cs="Arial"/>
          <w:b/>
          <w:bCs/>
          <w:lang w:val="en-GB"/>
        </w:rPr>
        <w:t>: Adequate prescription in respect to antimalarial prescribe</w:t>
      </w:r>
    </w:p>
    <w:tbl>
      <w:tblPr>
        <w:tblStyle w:val="ListTable6Colorful"/>
        <w:tblW w:w="8930" w:type="dxa"/>
        <w:tblLook w:val="04A0" w:firstRow="1" w:lastRow="0" w:firstColumn="1" w:lastColumn="0" w:noHBand="0" w:noVBand="1"/>
      </w:tblPr>
      <w:tblGrid>
        <w:gridCol w:w="2127"/>
        <w:gridCol w:w="1417"/>
        <w:gridCol w:w="1134"/>
        <w:gridCol w:w="1212"/>
        <w:gridCol w:w="1262"/>
        <w:gridCol w:w="1778"/>
      </w:tblGrid>
      <w:tr w:rsidR="004614E6" w:rsidRPr="004614E6" w14:paraId="50DE99EB" w14:textId="77777777" w:rsidTr="00985B73">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27" w:type="dxa"/>
            <w:noWrap/>
            <w:hideMark/>
          </w:tcPr>
          <w:p w14:paraId="4F3C57EF" w14:textId="77777777" w:rsidR="004614E6" w:rsidRPr="004614E6" w:rsidRDefault="004614E6" w:rsidP="004614E6">
            <w:pPr>
              <w:pStyle w:val="Body"/>
              <w:rPr>
                <w:rFonts w:ascii="Arial" w:hAnsi="Arial" w:cs="Arial"/>
                <w:lang w:val="en-GB"/>
              </w:rPr>
            </w:pPr>
            <w:r w:rsidRPr="004614E6">
              <w:rPr>
                <w:rFonts w:ascii="Arial" w:hAnsi="Arial" w:cs="Arial"/>
                <w:lang w:val="en-GB"/>
              </w:rPr>
              <w:t>Variables</w:t>
            </w:r>
          </w:p>
        </w:tc>
        <w:tc>
          <w:tcPr>
            <w:tcW w:w="1417" w:type="dxa"/>
            <w:noWrap/>
            <w:hideMark/>
          </w:tcPr>
          <w:p w14:paraId="59064609" w14:textId="77777777" w:rsidR="004614E6" w:rsidRPr="004614E6" w:rsidRDefault="004614E6" w:rsidP="004614E6">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4614E6">
              <w:rPr>
                <w:rFonts w:ascii="Arial" w:hAnsi="Arial" w:cs="Arial"/>
                <w:lang w:val="en-GB"/>
              </w:rPr>
              <w:t>Galenic Form (n, %)</w:t>
            </w:r>
          </w:p>
        </w:tc>
        <w:tc>
          <w:tcPr>
            <w:tcW w:w="1134" w:type="dxa"/>
            <w:noWrap/>
            <w:hideMark/>
          </w:tcPr>
          <w:p w14:paraId="60B9BBC8" w14:textId="77777777" w:rsidR="004614E6" w:rsidRPr="004614E6" w:rsidRDefault="004614E6" w:rsidP="004614E6">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4614E6">
              <w:rPr>
                <w:rFonts w:ascii="Arial" w:hAnsi="Arial" w:cs="Arial"/>
                <w:lang w:val="en-GB"/>
              </w:rPr>
              <w:t>Dosage (n, %)</w:t>
            </w:r>
          </w:p>
        </w:tc>
        <w:tc>
          <w:tcPr>
            <w:tcW w:w="1212" w:type="dxa"/>
            <w:noWrap/>
            <w:hideMark/>
          </w:tcPr>
          <w:p w14:paraId="5065D2CE" w14:textId="77777777" w:rsidR="004614E6" w:rsidRPr="004614E6" w:rsidRDefault="004614E6" w:rsidP="004614E6">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4614E6">
              <w:rPr>
                <w:rFonts w:ascii="Arial" w:hAnsi="Arial" w:cs="Arial"/>
                <w:lang w:val="en-GB"/>
              </w:rPr>
              <w:t>Quantity (n, %)</w:t>
            </w:r>
          </w:p>
        </w:tc>
        <w:tc>
          <w:tcPr>
            <w:tcW w:w="1262" w:type="dxa"/>
            <w:noWrap/>
            <w:hideMark/>
          </w:tcPr>
          <w:p w14:paraId="6D54F8EF" w14:textId="77777777" w:rsidR="004614E6" w:rsidRPr="004614E6" w:rsidRDefault="004614E6" w:rsidP="004614E6">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4614E6">
              <w:rPr>
                <w:rFonts w:ascii="Arial" w:hAnsi="Arial" w:cs="Arial"/>
                <w:lang w:val="en-GB"/>
              </w:rPr>
              <w:t>Posology (n, %)</w:t>
            </w:r>
          </w:p>
        </w:tc>
        <w:tc>
          <w:tcPr>
            <w:tcW w:w="1778" w:type="dxa"/>
            <w:noWrap/>
            <w:hideMark/>
          </w:tcPr>
          <w:p w14:paraId="6FDEC954" w14:textId="77777777" w:rsidR="004614E6" w:rsidRPr="004614E6" w:rsidRDefault="004614E6" w:rsidP="004614E6">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4614E6">
              <w:rPr>
                <w:rFonts w:ascii="Arial" w:hAnsi="Arial" w:cs="Arial"/>
                <w:lang w:val="en-GB"/>
              </w:rPr>
              <w:t>Treatment Duration (n, %)</w:t>
            </w:r>
          </w:p>
        </w:tc>
      </w:tr>
      <w:tr w:rsidR="004614E6" w:rsidRPr="004614E6" w14:paraId="73DD4580" w14:textId="77777777" w:rsidTr="00985B7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27" w:type="dxa"/>
            <w:shd w:val="clear" w:color="auto" w:fill="auto"/>
            <w:noWrap/>
            <w:hideMark/>
          </w:tcPr>
          <w:p w14:paraId="06C3B6B3" w14:textId="77777777" w:rsidR="004614E6" w:rsidRPr="004614E6" w:rsidRDefault="004614E6" w:rsidP="004614E6">
            <w:pPr>
              <w:pStyle w:val="Body"/>
              <w:rPr>
                <w:rFonts w:ascii="Arial" w:hAnsi="Arial" w:cs="Arial"/>
                <w:b w:val="0"/>
                <w:lang w:val="en-GB"/>
              </w:rPr>
            </w:pPr>
            <w:r w:rsidRPr="004614E6">
              <w:rPr>
                <w:rFonts w:ascii="Arial" w:hAnsi="Arial" w:cs="Arial"/>
                <w:b w:val="0"/>
                <w:lang w:val="en-GB"/>
              </w:rPr>
              <w:t>ACT Prescribe</w:t>
            </w:r>
          </w:p>
        </w:tc>
        <w:tc>
          <w:tcPr>
            <w:tcW w:w="1417" w:type="dxa"/>
            <w:shd w:val="clear" w:color="auto" w:fill="auto"/>
            <w:noWrap/>
            <w:hideMark/>
          </w:tcPr>
          <w:p w14:paraId="1D449AD7" w14:textId="77777777" w:rsidR="004614E6" w:rsidRPr="004614E6" w:rsidRDefault="004614E6" w:rsidP="004614E6">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4614E6">
              <w:rPr>
                <w:rFonts w:ascii="Arial" w:hAnsi="Arial" w:cs="Arial"/>
                <w:lang w:val="en-GB"/>
              </w:rPr>
              <w:t>234 (93.2)</w:t>
            </w:r>
          </w:p>
        </w:tc>
        <w:tc>
          <w:tcPr>
            <w:tcW w:w="1134" w:type="dxa"/>
            <w:shd w:val="clear" w:color="auto" w:fill="auto"/>
            <w:noWrap/>
            <w:hideMark/>
          </w:tcPr>
          <w:p w14:paraId="6BF4EB37" w14:textId="77777777" w:rsidR="004614E6" w:rsidRPr="004614E6" w:rsidRDefault="004614E6" w:rsidP="004614E6">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4614E6">
              <w:rPr>
                <w:rFonts w:ascii="Arial" w:hAnsi="Arial" w:cs="Arial"/>
                <w:lang w:val="en-GB"/>
              </w:rPr>
              <w:t>234 (93.2)</w:t>
            </w:r>
          </w:p>
        </w:tc>
        <w:tc>
          <w:tcPr>
            <w:tcW w:w="1212" w:type="dxa"/>
            <w:shd w:val="clear" w:color="auto" w:fill="auto"/>
            <w:noWrap/>
            <w:hideMark/>
          </w:tcPr>
          <w:p w14:paraId="2DF09744" w14:textId="77777777" w:rsidR="004614E6" w:rsidRPr="004614E6" w:rsidRDefault="004614E6" w:rsidP="004614E6">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4614E6">
              <w:rPr>
                <w:rFonts w:ascii="Arial" w:hAnsi="Arial" w:cs="Arial"/>
                <w:lang w:val="en-GB"/>
              </w:rPr>
              <w:t>234 (93.2)</w:t>
            </w:r>
          </w:p>
        </w:tc>
        <w:tc>
          <w:tcPr>
            <w:tcW w:w="1262" w:type="dxa"/>
            <w:shd w:val="clear" w:color="auto" w:fill="auto"/>
            <w:noWrap/>
            <w:hideMark/>
          </w:tcPr>
          <w:p w14:paraId="01E7CFF8" w14:textId="77777777" w:rsidR="004614E6" w:rsidRPr="004614E6" w:rsidRDefault="004614E6" w:rsidP="004614E6">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4614E6">
              <w:rPr>
                <w:rFonts w:ascii="Arial" w:hAnsi="Arial" w:cs="Arial"/>
                <w:lang w:val="en-GB"/>
              </w:rPr>
              <w:t>211 (84.1)</w:t>
            </w:r>
          </w:p>
        </w:tc>
        <w:tc>
          <w:tcPr>
            <w:tcW w:w="1778" w:type="dxa"/>
            <w:shd w:val="clear" w:color="auto" w:fill="auto"/>
            <w:noWrap/>
            <w:hideMark/>
          </w:tcPr>
          <w:p w14:paraId="3521FC6A" w14:textId="77777777" w:rsidR="004614E6" w:rsidRPr="004614E6" w:rsidRDefault="004614E6" w:rsidP="004614E6">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4614E6">
              <w:rPr>
                <w:rFonts w:ascii="Arial" w:hAnsi="Arial" w:cs="Arial"/>
                <w:lang w:val="en-GB"/>
              </w:rPr>
              <w:t>234 (93.2)</w:t>
            </w:r>
          </w:p>
        </w:tc>
      </w:tr>
      <w:tr w:rsidR="004614E6" w:rsidRPr="004614E6" w14:paraId="4FDF9AF4" w14:textId="77777777" w:rsidTr="00985B73">
        <w:trPr>
          <w:trHeight w:val="290"/>
        </w:trPr>
        <w:tc>
          <w:tcPr>
            <w:cnfStyle w:val="001000000000" w:firstRow="0" w:lastRow="0" w:firstColumn="1" w:lastColumn="0" w:oddVBand="0" w:evenVBand="0" w:oddHBand="0" w:evenHBand="0" w:firstRowFirstColumn="0" w:firstRowLastColumn="0" w:lastRowFirstColumn="0" w:lastRowLastColumn="0"/>
            <w:tcW w:w="2127" w:type="dxa"/>
            <w:noWrap/>
            <w:hideMark/>
          </w:tcPr>
          <w:p w14:paraId="0AC02BED" w14:textId="77777777" w:rsidR="004614E6" w:rsidRPr="004614E6" w:rsidRDefault="004614E6" w:rsidP="004614E6">
            <w:pPr>
              <w:pStyle w:val="Body"/>
              <w:rPr>
                <w:rFonts w:ascii="Arial" w:hAnsi="Arial" w:cs="Arial"/>
                <w:b w:val="0"/>
                <w:lang w:val="en-GB"/>
              </w:rPr>
            </w:pPr>
            <w:r w:rsidRPr="004614E6">
              <w:rPr>
                <w:rFonts w:ascii="Arial" w:hAnsi="Arial" w:cs="Arial"/>
                <w:b w:val="0"/>
                <w:lang w:val="en-GB"/>
              </w:rPr>
              <w:t>AL</w:t>
            </w:r>
          </w:p>
        </w:tc>
        <w:tc>
          <w:tcPr>
            <w:tcW w:w="1417" w:type="dxa"/>
            <w:noWrap/>
            <w:hideMark/>
          </w:tcPr>
          <w:p w14:paraId="0961D048" w14:textId="77777777" w:rsidR="004614E6" w:rsidRPr="004614E6" w:rsidRDefault="004614E6" w:rsidP="004614E6">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4614E6">
              <w:rPr>
                <w:rFonts w:ascii="Arial" w:hAnsi="Arial" w:cs="Arial"/>
                <w:lang w:val="en-GB"/>
              </w:rPr>
              <w:t>126 (53.4)</w:t>
            </w:r>
          </w:p>
        </w:tc>
        <w:tc>
          <w:tcPr>
            <w:tcW w:w="1134" w:type="dxa"/>
            <w:noWrap/>
            <w:hideMark/>
          </w:tcPr>
          <w:p w14:paraId="088021F1" w14:textId="77777777" w:rsidR="004614E6" w:rsidRPr="004614E6" w:rsidRDefault="004614E6" w:rsidP="004614E6">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4614E6">
              <w:rPr>
                <w:rFonts w:ascii="Arial" w:hAnsi="Arial" w:cs="Arial"/>
                <w:lang w:val="en-GB"/>
              </w:rPr>
              <w:t>126 (53.8)</w:t>
            </w:r>
          </w:p>
        </w:tc>
        <w:tc>
          <w:tcPr>
            <w:tcW w:w="1212" w:type="dxa"/>
            <w:noWrap/>
            <w:hideMark/>
          </w:tcPr>
          <w:p w14:paraId="36A2CE7A" w14:textId="77777777" w:rsidR="004614E6" w:rsidRPr="004614E6" w:rsidRDefault="004614E6" w:rsidP="004614E6">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4614E6">
              <w:rPr>
                <w:rFonts w:ascii="Arial" w:hAnsi="Arial" w:cs="Arial"/>
                <w:lang w:val="en-GB"/>
              </w:rPr>
              <w:t>126 (53.8)</w:t>
            </w:r>
          </w:p>
        </w:tc>
        <w:tc>
          <w:tcPr>
            <w:tcW w:w="1262" w:type="dxa"/>
            <w:noWrap/>
            <w:hideMark/>
          </w:tcPr>
          <w:p w14:paraId="1ED7F371" w14:textId="77777777" w:rsidR="004614E6" w:rsidRPr="004614E6" w:rsidRDefault="004614E6" w:rsidP="004614E6">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4614E6">
              <w:rPr>
                <w:rFonts w:ascii="Arial" w:hAnsi="Arial" w:cs="Arial"/>
                <w:lang w:val="en-GB"/>
              </w:rPr>
              <w:t>108 (51.2)</w:t>
            </w:r>
          </w:p>
        </w:tc>
        <w:tc>
          <w:tcPr>
            <w:tcW w:w="1778" w:type="dxa"/>
            <w:noWrap/>
            <w:hideMark/>
          </w:tcPr>
          <w:p w14:paraId="5DA2F6B6" w14:textId="77777777" w:rsidR="004614E6" w:rsidRPr="004614E6" w:rsidRDefault="004614E6" w:rsidP="004614E6">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4614E6">
              <w:rPr>
                <w:rFonts w:ascii="Arial" w:hAnsi="Arial" w:cs="Arial"/>
                <w:lang w:val="en-GB"/>
              </w:rPr>
              <w:t>126 (53.8)</w:t>
            </w:r>
          </w:p>
        </w:tc>
      </w:tr>
      <w:tr w:rsidR="004614E6" w:rsidRPr="004614E6" w14:paraId="0F59669E" w14:textId="77777777" w:rsidTr="00985B7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27" w:type="dxa"/>
            <w:shd w:val="clear" w:color="auto" w:fill="auto"/>
            <w:noWrap/>
            <w:hideMark/>
          </w:tcPr>
          <w:p w14:paraId="50485FA0" w14:textId="77777777" w:rsidR="004614E6" w:rsidRPr="004614E6" w:rsidRDefault="004614E6" w:rsidP="004614E6">
            <w:pPr>
              <w:pStyle w:val="Body"/>
              <w:rPr>
                <w:rFonts w:ascii="Arial" w:hAnsi="Arial" w:cs="Arial"/>
                <w:b w:val="0"/>
                <w:lang w:val="en-GB"/>
              </w:rPr>
            </w:pPr>
            <w:r w:rsidRPr="004614E6">
              <w:rPr>
                <w:rFonts w:ascii="Arial" w:hAnsi="Arial" w:cs="Arial"/>
                <w:b w:val="0"/>
                <w:lang w:val="en-GB"/>
              </w:rPr>
              <w:t>ASAQ</w:t>
            </w:r>
          </w:p>
        </w:tc>
        <w:tc>
          <w:tcPr>
            <w:tcW w:w="1417" w:type="dxa"/>
            <w:shd w:val="clear" w:color="auto" w:fill="auto"/>
            <w:noWrap/>
            <w:hideMark/>
          </w:tcPr>
          <w:p w14:paraId="038966EE" w14:textId="77777777" w:rsidR="004614E6" w:rsidRPr="004614E6" w:rsidRDefault="004614E6" w:rsidP="004614E6">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4614E6">
              <w:rPr>
                <w:rFonts w:ascii="Arial" w:hAnsi="Arial" w:cs="Arial"/>
                <w:lang w:val="en-GB"/>
              </w:rPr>
              <w:t>89 (36.8)</w:t>
            </w:r>
          </w:p>
        </w:tc>
        <w:tc>
          <w:tcPr>
            <w:tcW w:w="1134" w:type="dxa"/>
            <w:shd w:val="clear" w:color="auto" w:fill="auto"/>
            <w:noWrap/>
            <w:hideMark/>
          </w:tcPr>
          <w:p w14:paraId="493E57DB" w14:textId="77777777" w:rsidR="004614E6" w:rsidRPr="004614E6" w:rsidRDefault="004614E6" w:rsidP="004614E6">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4614E6">
              <w:rPr>
                <w:rFonts w:ascii="Arial" w:hAnsi="Arial" w:cs="Arial"/>
                <w:lang w:val="en-GB"/>
              </w:rPr>
              <w:t>89 (38.0)</w:t>
            </w:r>
          </w:p>
        </w:tc>
        <w:tc>
          <w:tcPr>
            <w:tcW w:w="1212" w:type="dxa"/>
            <w:shd w:val="clear" w:color="auto" w:fill="auto"/>
            <w:noWrap/>
            <w:hideMark/>
          </w:tcPr>
          <w:p w14:paraId="77BD4A84" w14:textId="77777777" w:rsidR="004614E6" w:rsidRPr="004614E6" w:rsidRDefault="004614E6" w:rsidP="004614E6">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4614E6">
              <w:rPr>
                <w:rFonts w:ascii="Arial" w:hAnsi="Arial" w:cs="Arial"/>
                <w:lang w:val="en-GB"/>
              </w:rPr>
              <w:t>89 (38.0)</w:t>
            </w:r>
          </w:p>
        </w:tc>
        <w:tc>
          <w:tcPr>
            <w:tcW w:w="1262" w:type="dxa"/>
            <w:shd w:val="clear" w:color="auto" w:fill="auto"/>
            <w:noWrap/>
            <w:hideMark/>
          </w:tcPr>
          <w:p w14:paraId="33E0A19D" w14:textId="77777777" w:rsidR="004614E6" w:rsidRPr="004614E6" w:rsidRDefault="004614E6" w:rsidP="004614E6">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4614E6">
              <w:rPr>
                <w:rFonts w:ascii="Arial" w:hAnsi="Arial" w:cs="Arial"/>
                <w:lang w:val="en-GB"/>
              </w:rPr>
              <w:t>86 (40.8)</w:t>
            </w:r>
          </w:p>
        </w:tc>
        <w:tc>
          <w:tcPr>
            <w:tcW w:w="1778" w:type="dxa"/>
            <w:shd w:val="clear" w:color="auto" w:fill="auto"/>
            <w:noWrap/>
            <w:hideMark/>
          </w:tcPr>
          <w:p w14:paraId="4BA4E105" w14:textId="77777777" w:rsidR="004614E6" w:rsidRPr="004614E6" w:rsidRDefault="004614E6" w:rsidP="004614E6">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4614E6">
              <w:rPr>
                <w:rFonts w:ascii="Arial" w:hAnsi="Arial" w:cs="Arial"/>
                <w:lang w:val="en-GB"/>
              </w:rPr>
              <w:t>89 (38.0)</w:t>
            </w:r>
          </w:p>
        </w:tc>
      </w:tr>
      <w:tr w:rsidR="004614E6" w:rsidRPr="004614E6" w14:paraId="47DB8454" w14:textId="77777777" w:rsidTr="00985B73">
        <w:trPr>
          <w:trHeight w:val="290"/>
        </w:trPr>
        <w:tc>
          <w:tcPr>
            <w:cnfStyle w:val="001000000000" w:firstRow="0" w:lastRow="0" w:firstColumn="1" w:lastColumn="0" w:oddVBand="0" w:evenVBand="0" w:oddHBand="0" w:evenHBand="0" w:firstRowFirstColumn="0" w:firstRowLastColumn="0" w:lastRowFirstColumn="0" w:lastRowLastColumn="0"/>
            <w:tcW w:w="2127" w:type="dxa"/>
            <w:noWrap/>
            <w:hideMark/>
          </w:tcPr>
          <w:p w14:paraId="73C28127" w14:textId="77777777" w:rsidR="004614E6" w:rsidRPr="004614E6" w:rsidRDefault="004614E6" w:rsidP="004614E6">
            <w:pPr>
              <w:pStyle w:val="Body"/>
              <w:rPr>
                <w:rFonts w:ascii="Arial" w:hAnsi="Arial" w:cs="Arial"/>
                <w:b w:val="0"/>
                <w:lang w:val="en-GB"/>
              </w:rPr>
            </w:pPr>
            <w:r w:rsidRPr="004614E6">
              <w:rPr>
                <w:rFonts w:ascii="Arial" w:hAnsi="Arial" w:cs="Arial"/>
                <w:b w:val="0"/>
                <w:lang w:val="en-GB"/>
              </w:rPr>
              <w:t>DHA/PQP</w:t>
            </w:r>
          </w:p>
        </w:tc>
        <w:tc>
          <w:tcPr>
            <w:tcW w:w="1417" w:type="dxa"/>
            <w:noWrap/>
            <w:hideMark/>
          </w:tcPr>
          <w:p w14:paraId="07E1B97F" w14:textId="77777777" w:rsidR="004614E6" w:rsidRPr="004614E6" w:rsidRDefault="004614E6" w:rsidP="004614E6">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4614E6">
              <w:rPr>
                <w:rFonts w:ascii="Arial" w:hAnsi="Arial" w:cs="Arial"/>
                <w:lang w:val="en-GB"/>
              </w:rPr>
              <w:t>13 (5.6)</w:t>
            </w:r>
          </w:p>
        </w:tc>
        <w:tc>
          <w:tcPr>
            <w:tcW w:w="1134" w:type="dxa"/>
            <w:noWrap/>
            <w:hideMark/>
          </w:tcPr>
          <w:p w14:paraId="7995E838" w14:textId="77777777" w:rsidR="004614E6" w:rsidRPr="004614E6" w:rsidRDefault="004614E6" w:rsidP="004614E6">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4614E6">
              <w:rPr>
                <w:rFonts w:ascii="Arial" w:hAnsi="Arial" w:cs="Arial"/>
                <w:lang w:val="en-GB"/>
              </w:rPr>
              <w:t>13 (5.6)</w:t>
            </w:r>
          </w:p>
        </w:tc>
        <w:tc>
          <w:tcPr>
            <w:tcW w:w="1212" w:type="dxa"/>
            <w:noWrap/>
            <w:hideMark/>
          </w:tcPr>
          <w:p w14:paraId="06FA9732" w14:textId="77777777" w:rsidR="004614E6" w:rsidRPr="004614E6" w:rsidRDefault="004614E6" w:rsidP="004614E6">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4614E6">
              <w:rPr>
                <w:rFonts w:ascii="Arial" w:hAnsi="Arial" w:cs="Arial"/>
                <w:lang w:val="en-GB"/>
              </w:rPr>
              <w:t>13 (5.6)</w:t>
            </w:r>
          </w:p>
        </w:tc>
        <w:tc>
          <w:tcPr>
            <w:tcW w:w="1262" w:type="dxa"/>
            <w:noWrap/>
            <w:hideMark/>
          </w:tcPr>
          <w:p w14:paraId="56870D8A" w14:textId="77777777" w:rsidR="004614E6" w:rsidRPr="004614E6" w:rsidRDefault="004614E6" w:rsidP="004614E6">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4614E6">
              <w:rPr>
                <w:rFonts w:ascii="Arial" w:hAnsi="Arial" w:cs="Arial"/>
                <w:lang w:val="en-GB"/>
              </w:rPr>
              <w:t>13 (6.2)</w:t>
            </w:r>
          </w:p>
        </w:tc>
        <w:tc>
          <w:tcPr>
            <w:tcW w:w="1778" w:type="dxa"/>
            <w:noWrap/>
            <w:hideMark/>
          </w:tcPr>
          <w:p w14:paraId="161F3FB3" w14:textId="77777777" w:rsidR="004614E6" w:rsidRPr="004614E6" w:rsidRDefault="004614E6" w:rsidP="004614E6">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4614E6">
              <w:rPr>
                <w:rFonts w:ascii="Arial" w:hAnsi="Arial" w:cs="Arial"/>
                <w:lang w:val="en-GB"/>
              </w:rPr>
              <w:t>13 (5.6)</w:t>
            </w:r>
          </w:p>
        </w:tc>
      </w:tr>
      <w:tr w:rsidR="004614E6" w:rsidRPr="004614E6" w14:paraId="55EA7675" w14:textId="77777777" w:rsidTr="00985B7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27" w:type="dxa"/>
            <w:shd w:val="clear" w:color="auto" w:fill="auto"/>
            <w:noWrap/>
            <w:hideMark/>
          </w:tcPr>
          <w:p w14:paraId="4B705D3C" w14:textId="77777777" w:rsidR="004614E6" w:rsidRPr="004614E6" w:rsidRDefault="004614E6" w:rsidP="004614E6">
            <w:pPr>
              <w:pStyle w:val="Body"/>
              <w:rPr>
                <w:rFonts w:ascii="Arial" w:hAnsi="Arial" w:cs="Arial"/>
                <w:b w:val="0"/>
                <w:lang w:val="en-GB"/>
              </w:rPr>
            </w:pPr>
            <w:r w:rsidRPr="004614E6">
              <w:rPr>
                <w:rFonts w:ascii="Arial" w:hAnsi="Arial" w:cs="Arial"/>
                <w:b w:val="0"/>
                <w:lang w:val="en-GB"/>
              </w:rPr>
              <w:t>DHA/PQP/TMTP</w:t>
            </w:r>
          </w:p>
        </w:tc>
        <w:tc>
          <w:tcPr>
            <w:tcW w:w="1417" w:type="dxa"/>
            <w:shd w:val="clear" w:color="auto" w:fill="auto"/>
            <w:noWrap/>
            <w:hideMark/>
          </w:tcPr>
          <w:p w14:paraId="30B5B505" w14:textId="77777777" w:rsidR="004614E6" w:rsidRPr="004614E6" w:rsidRDefault="004614E6" w:rsidP="004614E6">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4614E6">
              <w:rPr>
                <w:rFonts w:ascii="Arial" w:hAnsi="Arial" w:cs="Arial"/>
                <w:lang w:val="en-GB"/>
              </w:rPr>
              <w:t>2 (0.9)</w:t>
            </w:r>
          </w:p>
        </w:tc>
        <w:tc>
          <w:tcPr>
            <w:tcW w:w="1134" w:type="dxa"/>
            <w:shd w:val="clear" w:color="auto" w:fill="auto"/>
            <w:noWrap/>
            <w:hideMark/>
          </w:tcPr>
          <w:p w14:paraId="45EE3BB6" w14:textId="77777777" w:rsidR="004614E6" w:rsidRPr="004614E6" w:rsidRDefault="004614E6" w:rsidP="004614E6">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4614E6">
              <w:rPr>
                <w:rFonts w:ascii="Arial" w:hAnsi="Arial" w:cs="Arial"/>
                <w:lang w:val="en-GB"/>
              </w:rPr>
              <w:t>2 (0.9)</w:t>
            </w:r>
          </w:p>
        </w:tc>
        <w:tc>
          <w:tcPr>
            <w:tcW w:w="1212" w:type="dxa"/>
            <w:shd w:val="clear" w:color="auto" w:fill="auto"/>
            <w:noWrap/>
            <w:hideMark/>
          </w:tcPr>
          <w:p w14:paraId="5F75861D" w14:textId="77777777" w:rsidR="004614E6" w:rsidRPr="004614E6" w:rsidRDefault="004614E6" w:rsidP="004614E6">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4614E6">
              <w:rPr>
                <w:rFonts w:ascii="Arial" w:hAnsi="Arial" w:cs="Arial"/>
                <w:lang w:val="en-GB"/>
              </w:rPr>
              <w:t>2 (0.9)</w:t>
            </w:r>
          </w:p>
        </w:tc>
        <w:tc>
          <w:tcPr>
            <w:tcW w:w="1262" w:type="dxa"/>
            <w:shd w:val="clear" w:color="auto" w:fill="auto"/>
            <w:noWrap/>
            <w:hideMark/>
          </w:tcPr>
          <w:p w14:paraId="3AA6EDF0" w14:textId="77777777" w:rsidR="004614E6" w:rsidRPr="004614E6" w:rsidRDefault="004614E6" w:rsidP="004614E6">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4614E6">
              <w:rPr>
                <w:rFonts w:ascii="Arial" w:hAnsi="Arial" w:cs="Arial"/>
                <w:lang w:val="en-GB"/>
              </w:rPr>
              <w:t>2 (0.9)</w:t>
            </w:r>
          </w:p>
        </w:tc>
        <w:tc>
          <w:tcPr>
            <w:tcW w:w="1778" w:type="dxa"/>
            <w:shd w:val="clear" w:color="auto" w:fill="auto"/>
            <w:noWrap/>
            <w:hideMark/>
          </w:tcPr>
          <w:p w14:paraId="3102DD24" w14:textId="77777777" w:rsidR="004614E6" w:rsidRPr="004614E6" w:rsidRDefault="004614E6" w:rsidP="004614E6">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4614E6">
              <w:rPr>
                <w:rFonts w:ascii="Arial" w:hAnsi="Arial" w:cs="Arial"/>
                <w:lang w:val="en-GB"/>
              </w:rPr>
              <w:t>2 (0.9)</w:t>
            </w:r>
          </w:p>
        </w:tc>
      </w:tr>
      <w:tr w:rsidR="004614E6" w:rsidRPr="004614E6" w14:paraId="0D5A759B" w14:textId="77777777" w:rsidTr="00985B73">
        <w:trPr>
          <w:trHeight w:val="290"/>
        </w:trPr>
        <w:tc>
          <w:tcPr>
            <w:cnfStyle w:val="001000000000" w:firstRow="0" w:lastRow="0" w:firstColumn="1" w:lastColumn="0" w:oddVBand="0" w:evenVBand="0" w:oddHBand="0" w:evenHBand="0" w:firstRowFirstColumn="0" w:firstRowLastColumn="0" w:lastRowFirstColumn="0" w:lastRowLastColumn="0"/>
            <w:tcW w:w="2127" w:type="dxa"/>
            <w:noWrap/>
            <w:hideMark/>
          </w:tcPr>
          <w:p w14:paraId="1ECF522E" w14:textId="77777777" w:rsidR="004614E6" w:rsidRPr="004614E6" w:rsidRDefault="004614E6" w:rsidP="004614E6">
            <w:pPr>
              <w:pStyle w:val="Body"/>
              <w:rPr>
                <w:rFonts w:ascii="Arial" w:hAnsi="Arial" w:cs="Arial"/>
                <w:b w:val="0"/>
                <w:lang w:val="en-GB"/>
              </w:rPr>
            </w:pPr>
            <w:r w:rsidRPr="004614E6">
              <w:rPr>
                <w:rFonts w:ascii="Arial" w:hAnsi="Arial" w:cs="Arial"/>
                <w:b w:val="0"/>
                <w:lang w:val="en-GB"/>
              </w:rPr>
              <w:lastRenderedPageBreak/>
              <w:t>AS/MQ</w:t>
            </w:r>
          </w:p>
        </w:tc>
        <w:tc>
          <w:tcPr>
            <w:tcW w:w="1417" w:type="dxa"/>
            <w:noWrap/>
            <w:hideMark/>
          </w:tcPr>
          <w:p w14:paraId="129062DD" w14:textId="77777777" w:rsidR="004614E6" w:rsidRPr="004614E6" w:rsidRDefault="004614E6" w:rsidP="004614E6">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4614E6">
              <w:rPr>
                <w:rFonts w:ascii="Arial" w:hAnsi="Arial" w:cs="Arial"/>
                <w:lang w:val="en-GB"/>
              </w:rPr>
              <w:t>0</w:t>
            </w:r>
          </w:p>
        </w:tc>
        <w:tc>
          <w:tcPr>
            <w:tcW w:w="1134" w:type="dxa"/>
            <w:noWrap/>
            <w:hideMark/>
          </w:tcPr>
          <w:p w14:paraId="482D7BF2" w14:textId="77777777" w:rsidR="004614E6" w:rsidRPr="004614E6" w:rsidRDefault="004614E6" w:rsidP="004614E6">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4614E6">
              <w:rPr>
                <w:rFonts w:ascii="Arial" w:hAnsi="Arial" w:cs="Arial"/>
                <w:lang w:val="en-GB"/>
              </w:rPr>
              <w:t>0</w:t>
            </w:r>
          </w:p>
        </w:tc>
        <w:tc>
          <w:tcPr>
            <w:tcW w:w="1212" w:type="dxa"/>
            <w:noWrap/>
            <w:hideMark/>
          </w:tcPr>
          <w:p w14:paraId="13F8CD95" w14:textId="77777777" w:rsidR="004614E6" w:rsidRPr="004614E6" w:rsidRDefault="004614E6" w:rsidP="004614E6">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4614E6">
              <w:rPr>
                <w:rFonts w:ascii="Arial" w:hAnsi="Arial" w:cs="Arial"/>
                <w:lang w:val="en-GB"/>
              </w:rPr>
              <w:t>0</w:t>
            </w:r>
          </w:p>
        </w:tc>
        <w:tc>
          <w:tcPr>
            <w:tcW w:w="1262" w:type="dxa"/>
            <w:noWrap/>
            <w:hideMark/>
          </w:tcPr>
          <w:p w14:paraId="4AF3785D" w14:textId="77777777" w:rsidR="004614E6" w:rsidRPr="004614E6" w:rsidRDefault="004614E6" w:rsidP="004614E6">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4614E6">
              <w:rPr>
                <w:rFonts w:ascii="Arial" w:hAnsi="Arial" w:cs="Arial"/>
                <w:lang w:val="en-GB"/>
              </w:rPr>
              <w:t>0</w:t>
            </w:r>
          </w:p>
        </w:tc>
        <w:tc>
          <w:tcPr>
            <w:tcW w:w="1778" w:type="dxa"/>
            <w:noWrap/>
            <w:hideMark/>
          </w:tcPr>
          <w:p w14:paraId="795D5A34" w14:textId="77777777" w:rsidR="004614E6" w:rsidRPr="004614E6" w:rsidRDefault="004614E6" w:rsidP="004614E6">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4614E6">
              <w:rPr>
                <w:rFonts w:ascii="Arial" w:hAnsi="Arial" w:cs="Arial"/>
                <w:lang w:val="en-GB"/>
              </w:rPr>
              <w:t>0</w:t>
            </w:r>
          </w:p>
        </w:tc>
      </w:tr>
      <w:tr w:rsidR="004614E6" w:rsidRPr="004614E6" w14:paraId="6BEC0C37" w14:textId="77777777" w:rsidTr="00985B7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27" w:type="dxa"/>
            <w:shd w:val="clear" w:color="auto" w:fill="auto"/>
            <w:noWrap/>
            <w:hideMark/>
          </w:tcPr>
          <w:p w14:paraId="625E6065" w14:textId="77777777" w:rsidR="004614E6" w:rsidRPr="004614E6" w:rsidRDefault="004614E6" w:rsidP="004614E6">
            <w:pPr>
              <w:pStyle w:val="Body"/>
              <w:rPr>
                <w:rFonts w:ascii="Arial" w:hAnsi="Arial" w:cs="Arial"/>
                <w:b w:val="0"/>
                <w:lang w:val="en-GB"/>
              </w:rPr>
            </w:pPr>
            <w:r w:rsidRPr="004614E6">
              <w:rPr>
                <w:rFonts w:ascii="Arial" w:hAnsi="Arial" w:cs="Arial"/>
                <w:b w:val="0"/>
                <w:lang w:val="en-GB"/>
              </w:rPr>
              <w:t>ATR/PQP</w:t>
            </w:r>
          </w:p>
        </w:tc>
        <w:tc>
          <w:tcPr>
            <w:tcW w:w="1417" w:type="dxa"/>
            <w:shd w:val="clear" w:color="auto" w:fill="auto"/>
            <w:noWrap/>
            <w:hideMark/>
          </w:tcPr>
          <w:p w14:paraId="59A4FF85" w14:textId="77777777" w:rsidR="004614E6" w:rsidRPr="004614E6" w:rsidRDefault="004614E6" w:rsidP="004614E6">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4614E6">
              <w:rPr>
                <w:rFonts w:ascii="Arial" w:hAnsi="Arial" w:cs="Arial"/>
                <w:lang w:val="en-GB"/>
              </w:rPr>
              <w:t>2 (0.9)</w:t>
            </w:r>
          </w:p>
        </w:tc>
        <w:tc>
          <w:tcPr>
            <w:tcW w:w="1134" w:type="dxa"/>
            <w:shd w:val="clear" w:color="auto" w:fill="auto"/>
            <w:noWrap/>
            <w:hideMark/>
          </w:tcPr>
          <w:p w14:paraId="29EB82AF" w14:textId="77777777" w:rsidR="004614E6" w:rsidRPr="004614E6" w:rsidRDefault="004614E6" w:rsidP="004614E6">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4614E6">
              <w:rPr>
                <w:rFonts w:ascii="Arial" w:hAnsi="Arial" w:cs="Arial"/>
                <w:lang w:val="en-GB"/>
              </w:rPr>
              <w:t>2 (0.9)</w:t>
            </w:r>
          </w:p>
        </w:tc>
        <w:tc>
          <w:tcPr>
            <w:tcW w:w="1212" w:type="dxa"/>
            <w:shd w:val="clear" w:color="auto" w:fill="auto"/>
            <w:noWrap/>
            <w:hideMark/>
          </w:tcPr>
          <w:p w14:paraId="4B014698" w14:textId="77777777" w:rsidR="004614E6" w:rsidRPr="004614E6" w:rsidRDefault="004614E6" w:rsidP="004614E6">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4614E6">
              <w:rPr>
                <w:rFonts w:ascii="Arial" w:hAnsi="Arial" w:cs="Arial"/>
                <w:lang w:val="en-GB"/>
              </w:rPr>
              <w:t>2 (0.9)</w:t>
            </w:r>
          </w:p>
        </w:tc>
        <w:tc>
          <w:tcPr>
            <w:tcW w:w="1262" w:type="dxa"/>
            <w:shd w:val="clear" w:color="auto" w:fill="auto"/>
            <w:noWrap/>
            <w:hideMark/>
          </w:tcPr>
          <w:p w14:paraId="0AFE18F4" w14:textId="77777777" w:rsidR="004614E6" w:rsidRPr="004614E6" w:rsidRDefault="004614E6" w:rsidP="004614E6">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4614E6">
              <w:rPr>
                <w:rFonts w:ascii="Arial" w:hAnsi="Arial" w:cs="Arial"/>
                <w:lang w:val="en-GB"/>
              </w:rPr>
              <w:t>2 (0.9)</w:t>
            </w:r>
          </w:p>
        </w:tc>
        <w:tc>
          <w:tcPr>
            <w:tcW w:w="1778" w:type="dxa"/>
            <w:shd w:val="clear" w:color="auto" w:fill="auto"/>
            <w:noWrap/>
            <w:hideMark/>
          </w:tcPr>
          <w:p w14:paraId="510FF30D" w14:textId="77777777" w:rsidR="004614E6" w:rsidRPr="004614E6" w:rsidRDefault="004614E6" w:rsidP="004614E6">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4614E6">
              <w:rPr>
                <w:rFonts w:ascii="Arial" w:hAnsi="Arial" w:cs="Arial"/>
                <w:lang w:val="en-GB"/>
              </w:rPr>
              <w:t>2 (0.9)</w:t>
            </w:r>
          </w:p>
        </w:tc>
      </w:tr>
      <w:tr w:rsidR="004614E6" w:rsidRPr="004614E6" w14:paraId="189D6FA6" w14:textId="77777777" w:rsidTr="00985B73">
        <w:trPr>
          <w:trHeight w:val="290"/>
        </w:trPr>
        <w:tc>
          <w:tcPr>
            <w:cnfStyle w:val="001000000000" w:firstRow="0" w:lastRow="0" w:firstColumn="1" w:lastColumn="0" w:oddVBand="0" w:evenVBand="0" w:oddHBand="0" w:evenHBand="0" w:firstRowFirstColumn="0" w:firstRowLastColumn="0" w:lastRowFirstColumn="0" w:lastRowLastColumn="0"/>
            <w:tcW w:w="2127" w:type="dxa"/>
            <w:noWrap/>
            <w:hideMark/>
          </w:tcPr>
          <w:p w14:paraId="599D99A8" w14:textId="77777777" w:rsidR="004614E6" w:rsidRPr="004614E6" w:rsidRDefault="004614E6" w:rsidP="004614E6">
            <w:pPr>
              <w:pStyle w:val="Body"/>
              <w:rPr>
                <w:rFonts w:ascii="Arial" w:hAnsi="Arial" w:cs="Arial"/>
                <w:b w:val="0"/>
                <w:lang w:val="en-GB"/>
              </w:rPr>
            </w:pPr>
            <w:proofErr w:type="spellStart"/>
            <w:r w:rsidRPr="004614E6">
              <w:rPr>
                <w:rFonts w:ascii="Arial" w:hAnsi="Arial" w:cs="Arial"/>
                <w:b w:val="0"/>
                <w:lang w:val="en-GB"/>
              </w:rPr>
              <w:t>AL+AMim</w:t>
            </w:r>
            <w:proofErr w:type="spellEnd"/>
            <w:r w:rsidRPr="004614E6">
              <w:rPr>
                <w:rFonts w:ascii="Arial" w:hAnsi="Arial" w:cs="Arial"/>
                <w:b w:val="0"/>
                <w:lang w:val="en-GB"/>
              </w:rPr>
              <w:t xml:space="preserve">, </w:t>
            </w:r>
            <w:proofErr w:type="spellStart"/>
            <w:r w:rsidRPr="004614E6">
              <w:rPr>
                <w:rFonts w:ascii="Arial" w:hAnsi="Arial" w:cs="Arial"/>
                <w:b w:val="0"/>
                <w:lang w:val="en-GB"/>
              </w:rPr>
              <w:t>ASAQ+AMim</w:t>
            </w:r>
            <w:proofErr w:type="spellEnd"/>
          </w:p>
        </w:tc>
        <w:tc>
          <w:tcPr>
            <w:tcW w:w="1417" w:type="dxa"/>
            <w:noWrap/>
            <w:hideMark/>
          </w:tcPr>
          <w:p w14:paraId="0E1CAFA8" w14:textId="77777777" w:rsidR="004614E6" w:rsidRPr="004614E6" w:rsidRDefault="004614E6" w:rsidP="004614E6">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4614E6">
              <w:rPr>
                <w:rFonts w:ascii="Arial" w:hAnsi="Arial" w:cs="Arial"/>
                <w:lang w:val="en-GB"/>
              </w:rPr>
              <w:t>0</w:t>
            </w:r>
          </w:p>
        </w:tc>
        <w:tc>
          <w:tcPr>
            <w:tcW w:w="1134" w:type="dxa"/>
            <w:noWrap/>
            <w:hideMark/>
          </w:tcPr>
          <w:p w14:paraId="7D8B698A" w14:textId="77777777" w:rsidR="004614E6" w:rsidRPr="004614E6" w:rsidRDefault="004614E6" w:rsidP="004614E6">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4614E6">
              <w:rPr>
                <w:rFonts w:ascii="Arial" w:hAnsi="Arial" w:cs="Arial"/>
                <w:lang w:val="en-GB"/>
              </w:rPr>
              <w:t>0</w:t>
            </w:r>
          </w:p>
        </w:tc>
        <w:tc>
          <w:tcPr>
            <w:tcW w:w="1212" w:type="dxa"/>
            <w:noWrap/>
            <w:hideMark/>
          </w:tcPr>
          <w:p w14:paraId="685CC519" w14:textId="77777777" w:rsidR="004614E6" w:rsidRPr="004614E6" w:rsidRDefault="004614E6" w:rsidP="004614E6">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4614E6">
              <w:rPr>
                <w:rFonts w:ascii="Arial" w:hAnsi="Arial" w:cs="Arial"/>
                <w:lang w:val="en-GB"/>
              </w:rPr>
              <w:t>0</w:t>
            </w:r>
          </w:p>
        </w:tc>
        <w:tc>
          <w:tcPr>
            <w:tcW w:w="1262" w:type="dxa"/>
            <w:noWrap/>
            <w:hideMark/>
          </w:tcPr>
          <w:p w14:paraId="4A023490" w14:textId="77777777" w:rsidR="004614E6" w:rsidRPr="004614E6" w:rsidRDefault="004614E6" w:rsidP="004614E6">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4614E6">
              <w:rPr>
                <w:rFonts w:ascii="Arial" w:hAnsi="Arial" w:cs="Arial"/>
                <w:lang w:val="en-GB"/>
              </w:rPr>
              <w:t>0</w:t>
            </w:r>
          </w:p>
        </w:tc>
        <w:tc>
          <w:tcPr>
            <w:tcW w:w="1778" w:type="dxa"/>
            <w:noWrap/>
            <w:hideMark/>
          </w:tcPr>
          <w:p w14:paraId="51A7420B" w14:textId="77777777" w:rsidR="004614E6" w:rsidRPr="004614E6" w:rsidRDefault="004614E6" w:rsidP="004614E6">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4614E6">
              <w:rPr>
                <w:rFonts w:ascii="Arial" w:hAnsi="Arial" w:cs="Arial"/>
                <w:lang w:val="en-GB"/>
              </w:rPr>
              <w:t>2 (0.9)</w:t>
            </w:r>
          </w:p>
        </w:tc>
      </w:tr>
      <w:tr w:rsidR="004614E6" w:rsidRPr="004614E6" w14:paraId="520D7FFD" w14:textId="77777777" w:rsidTr="00985B7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27" w:type="dxa"/>
            <w:shd w:val="clear" w:color="auto" w:fill="auto"/>
            <w:noWrap/>
            <w:hideMark/>
          </w:tcPr>
          <w:p w14:paraId="6AD0EA00" w14:textId="77777777" w:rsidR="004614E6" w:rsidRPr="004614E6" w:rsidRDefault="004614E6" w:rsidP="004614E6">
            <w:pPr>
              <w:pStyle w:val="Body"/>
              <w:rPr>
                <w:rFonts w:ascii="Arial" w:hAnsi="Arial" w:cs="Arial"/>
                <w:b w:val="0"/>
                <w:lang w:val="en-GB"/>
              </w:rPr>
            </w:pPr>
            <w:proofErr w:type="spellStart"/>
            <w:r w:rsidRPr="004614E6">
              <w:rPr>
                <w:rFonts w:ascii="Arial" w:hAnsi="Arial" w:cs="Arial"/>
                <w:b w:val="0"/>
                <w:lang w:val="en-GB"/>
              </w:rPr>
              <w:t>ASiv</w:t>
            </w:r>
            <w:proofErr w:type="spellEnd"/>
            <w:r w:rsidRPr="004614E6">
              <w:rPr>
                <w:rFonts w:ascii="Arial" w:hAnsi="Arial" w:cs="Arial"/>
                <w:b w:val="0"/>
                <w:lang w:val="en-GB"/>
              </w:rPr>
              <w:t xml:space="preserve">, </w:t>
            </w:r>
            <w:proofErr w:type="spellStart"/>
            <w:r w:rsidRPr="004614E6">
              <w:rPr>
                <w:rFonts w:ascii="Arial" w:hAnsi="Arial" w:cs="Arial"/>
                <w:b w:val="0"/>
                <w:lang w:val="en-GB"/>
              </w:rPr>
              <w:t>AMim</w:t>
            </w:r>
            <w:proofErr w:type="spellEnd"/>
            <w:r w:rsidRPr="004614E6">
              <w:rPr>
                <w:rFonts w:ascii="Arial" w:hAnsi="Arial" w:cs="Arial"/>
                <w:b w:val="0"/>
                <w:lang w:val="en-GB"/>
              </w:rPr>
              <w:t xml:space="preserve"> or </w:t>
            </w:r>
            <w:proofErr w:type="spellStart"/>
            <w:r w:rsidRPr="004614E6">
              <w:rPr>
                <w:rFonts w:ascii="Arial" w:hAnsi="Arial" w:cs="Arial"/>
                <w:b w:val="0"/>
                <w:lang w:val="en-GB"/>
              </w:rPr>
              <w:t>sirop</w:t>
            </w:r>
            <w:proofErr w:type="spellEnd"/>
            <w:r w:rsidRPr="004614E6">
              <w:rPr>
                <w:rFonts w:ascii="Arial" w:hAnsi="Arial" w:cs="Arial"/>
                <w:b w:val="0"/>
                <w:lang w:val="en-GB"/>
              </w:rPr>
              <w:t>, Oral Q</w:t>
            </w:r>
          </w:p>
        </w:tc>
        <w:tc>
          <w:tcPr>
            <w:tcW w:w="1417" w:type="dxa"/>
            <w:shd w:val="clear" w:color="auto" w:fill="auto"/>
            <w:noWrap/>
            <w:hideMark/>
          </w:tcPr>
          <w:p w14:paraId="6BADF2C4" w14:textId="77777777" w:rsidR="004614E6" w:rsidRPr="004614E6" w:rsidRDefault="004614E6" w:rsidP="004614E6">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4614E6">
              <w:rPr>
                <w:rFonts w:ascii="Arial" w:hAnsi="Arial" w:cs="Arial"/>
                <w:lang w:val="en-GB"/>
              </w:rPr>
              <w:t>7 (3.0)</w:t>
            </w:r>
          </w:p>
        </w:tc>
        <w:tc>
          <w:tcPr>
            <w:tcW w:w="1134" w:type="dxa"/>
            <w:shd w:val="clear" w:color="auto" w:fill="auto"/>
            <w:noWrap/>
            <w:hideMark/>
          </w:tcPr>
          <w:p w14:paraId="0B473148" w14:textId="77777777" w:rsidR="004614E6" w:rsidRPr="004614E6" w:rsidRDefault="004614E6" w:rsidP="004614E6">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4614E6">
              <w:rPr>
                <w:rFonts w:ascii="Arial" w:hAnsi="Arial" w:cs="Arial"/>
                <w:lang w:val="en-GB"/>
              </w:rPr>
              <w:t>16 (6.8)</w:t>
            </w:r>
          </w:p>
        </w:tc>
        <w:tc>
          <w:tcPr>
            <w:tcW w:w="1212" w:type="dxa"/>
            <w:shd w:val="clear" w:color="auto" w:fill="auto"/>
            <w:noWrap/>
            <w:hideMark/>
          </w:tcPr>
          <w:p w14:paraId="453A562C" w14:textId="77777777" w:rsidR="004614E6" w:rsidRPr="004614E6" w:rsidRDefault="004614E6" w:rsidP="004614E6">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4614E6">
              <w:rPr>
                <w:rFonts w:ascii="Arial" w:hAnsi="Arial" w:cs="Arial"/>
                <w:lang w:val="en-GB"/>
              </w:rPr>
              <w:t>16 (6.8)</w:t>
            </w:r>
          </w:p>
        </w:tc>
        <w:tc>
          <w:tcPr>
            <w:tcW w:w="1262" w:type="dxa"/>
            <w:shd w:val="clear" w:color="auto" w:fill="auto"/>
            <w:noWrap/>
            <w:hideMark/>
          </w:tcPr>
          <w:p w14:paraId="6A08A69B" w14:textId="77777777" w:rsidR="004614E6" w:rsidRPr="004614E6" w:rsidRDefault="004614E6" w:rsidP="004614E6">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4614E6">
              <w:rPr>
                <w:rFonts w:ascii="Arial" w:hAnsi="Arial" w:cs="Arial"/>
                <w:lang w:val="en-GB"/>
              </w:rPr>
              <w:t>15 (7.1)</w:t>
            </w:r>
          </w:p>
        </w:tc>
        <w:tc>
          <w:tcPr>
            <w:tcW w:w="1778" w:type="dxa"/>
            <w:shd w:val="clear" w:color="auto" w:fill="auto"/>
            <w:noWrap/>
            <w:hideMark/>
          </w:tcPr>
          <w:p w14:paraId="68EC733B" w14:textId="77777777" w:rsidR="004614E6" w:rsidRPr="004614E6" w:rsidRDefault="004614E6" w:rsidP="004614E6">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4614E6">
              <w:rPr>
                <w:rFonts w:ascii="Arial" w:hAnsi="Arial" w:cs="Arial"/>
                <w:lang w:val="en-GB"/>
              </w:rPr>
              <w:t>17 (7.3)</w:t>
            </w:r>
          </w:p>
        </w:tc>
      </w:tr>
    </w:tbl>
    <w:p w14:paraId="6AF3F9C7" w14:textId="77777777" w:rsidR="004614E6" w:rsidRPr="004614E6" w:rsidRDefault="004614E6" w:rsidP="004614E6">
      <w:pPr>
        <w:pStyle w:val="Body"/>
        <w:rPr>
          <w:rFonts w:ascii="Arial" w:hAnsi="Arial" w:cs="Arial"/>
          <w:sz w:val="16"/>
          <w:szCs w:val="16"/>
        </w:rPr>
      </w:pPr>
      <w:r w:rsidRPr="004614E6">
        <w:rPr>
          <w:rFonts w:ascii="Arial" w:hAnsi="Arial" w:cs="Arial"/>
          <w:sz w:val="16"/>
          <w:szCs w:val="16"/>
        </w:rPr>
        <w:t xml:space="preserve">AL: artemether/lumefantrine, ASAQ: artesunate/amodiaquine, DHA/PQP: </w:t>
      </w:r>
      <w:proofErr w:type="spellStart"/>
      <w:r w:rsidRPr="004614E6">
        <w:rPr>
          <w:rFonts w:ascii="Arial" w:hAnsi="Arial" w:cs="Arial"/>
          <w:sz w:val="16"/>
          <w:szCs w:val="16"/>
        </w:rPr>
        <w:t>dihydroartemisinin</w:t>
      </w:r>
      <w:proofErr w:type="spellEnd"/>
      <w:r w:rsidRPr="004614E6">
        <w:rPr>
          <w:rFonts w:ascii="Arial" w:hAnsi="Arial" w:cs="Arial"/>
          <w:sz w:val="16"/>
          <w:szCs w:val="16"/>
        </w:rPr>
        <w:t>/piperaquine, ATR/PQP: arterolane/piperaquine, AS/MFQ: artesunate/mefloquine, AS/SP: artesunate/</w:t>
      </w:r>
      <w:proofErr w:type="spellStart"/>
      <w:r w:rsidRPr="004614E6">
        <w:rPr>
          <w:rFonts w:ascii="Arial" w:hAnsi="Arial" w:cs="Arial"/>
          <w:sz w:val="16"/>
          <w:szCs w:val="16"/>
        </w:rPr>
        <w:t>sulfadoxine</w:t>
      </w:r>
      <w:proofErr w:type="spellEnd"/>
      <w:r w:rsidRPr="004614E6">
        <w:rPr>
          <w:rFonts w:ascii="Arial" w:hAnsi="Arial" w:cs="Arial"/>
          <w:sz w:val="16"/>
          <w:szCs w:val="16"/>
        </w:rPr>
        <w:t xml:space="preserve">/pyrimethamine, </w:t>
      </w:r>
      <w:proofErr w:type="spellStart"/>
      <w:r w:rsidRPr="004614E6">
        <w:rPr>
          <w:rFonts w:ascii="Arial" w:hAnsi="Arial" w:cs="Arial"/>
          <w:sz w:val="16"/>
          <w:szCs w:val="16"/>
        </w:rPr>
        <w:t>ASiv</w:t>
      </w:r>
      <w:proofErr w:type="spellEnd"/>
      <w:r w:rsidRPr="004614E6">
        <w:rPr>
          <w:rFonts w:ascii="Arial" w:hAnsi="Arial" w:cs="Arial"/>
          <w:sz w:val="16"/>
          <w:szCs w:val="16"/>
        </w:rPr>
        <w:t>: Intravenous artesunate, AMim: Intramuscular artemether</w:t>
      </w:r>
    </w:p>
    <w:p w14:paraId="2CC24493" w14:textId="77777777" w:rsidR="004614E6" w:rsidRPr="004614E6" w:rsidRDefault="004614E6" w:rsidP="004614E6">
      <w:pPr>
        <w:pStyle w:val="Body"/>
        <w:rPr>
          <w:rFonts w:ascii="Arial" w:hAnsi="Arial" w:cs="Arial"/>
          <w:sz w:val="22"/>
          <w:szCs w:val="22"/>
          <w:lang w:val="en-GB"/>
        </w:rPr>
      </w:pPr>
      <w:r w:rsidRPr="004614E6">
        <w:rPr>
          <w:rFonts w:ascii="Arial" w:hAnsi="Arial" w:cs="Arial"/>
          <w:b/>
          <w:sz w:val="22"/>
          <w:szCs w:val="22"/>
        </w:rPr>
        <w:t>3.6 Rationalization of ACT: Global evaluation on prescription</w:t>
      </w:r>
    </w:p>
    <w:p w14:paraId="33CD89DA" w14:textId="77777777" w:rsidR="004614E6" w:rsidRPr="004614E6" w:rsidRDefault="004614E6" w:rsidP="004614E6">
      <w:pPr>
        <w:pStyle w:val="Body"/>
        <w:rPr>
          <w:rFonts w:ascii="Arial" w:hAnsi="Arial" w:cs="Arial"/>
        </w:rPr>
      </w:pPr>
      <w:r w:rsidRPr="004614E6">
        <w:rPr>
          <w:rFonts w:ascii="Arial" w:hAnsi="Arial" w:cs="Arial"/>
        </w:rPr>
        <w:t>Figure 5 reveals critical gaps in malaria diagnosis and treatment adequacy. Despite 95.1% of patients undergoing biological examination and 81.3% presenting with fever, and only 25.8% had a positive rapid diagnostic test (RDT). None of those with positive RDT or thick blood smear results were placed on treatment. However, among those treated, the quality of care was relatively high: 100% received adequate treatment duration and galenic form appropriate for age, 94.6% had correct posology, and 86% were correctly treated with ACT (Figure 5). Prescription rationalization stood at 42.6%</w:t>
      </w:r>
      <w:r>
        <w:rPr>
          <w:rFonts w:ascii="Arial" w:hAnsi="Arial" w:cs="Arial"/>
        </w:rPr>
        <w:t xml:space="preserve"> (Figure 5)</w:t>
      </w:r>
      <w:r w:rsidRPr="004614E6">
        <w:rPr>
          <w:rFonts w:ascii="Arial" w:hAnsi="Arial" w:cs="Arial"/>
        </w:rPr>
        <w:t xml:space="preserve">. </w:t>
      </w:r>
    </w:p>
    <w:p w14:paraId="6F2E50DA" w14:textId="77777777" w:rsidR="004614E6" w:rsidRPr="004614E6" w:rsidRDefault="004614E6" w:rsidP="004614E6">
      <w:pPr>
        <w:pStyle w:val="Body"/>
        <w:spacing w:after="0"/>
        <w:rPr>
          <w:rFonts w:ascii="Arial" w:hAnsi="Arial" w:cs="Arial"/>
          <w:b/>
          <w:bCs/>
          <w:lang w:val="en-GB"/>
        </w:rPr>
      </w:pPr>
      <w:r w:rsidRPr="004614E6">
        <w:rPr>
          <w:rFonts w:ascii="Arial" w:hAnsi="Arial" w:cs="Arial"/>
          <w:b/>
          <w:bCs/>
          <w:noProof/>
        </w:rPr>
        <w:drawing>
          <wp:inline distT="0" distB="0" distL="0" distR="0" wp14:anchorId="694E14CB" wp14:editId="73809319">
            <wp:extent cx="5073650" cy="2737718"/>
            <wp:effectExtent l="0" t="0" r="0" b="5715"/>
            <wp:docPr id="116420720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01495" cy="2752743"/>
                    </a:xfrm>
                    <a:prstGeom prst="rect">
                      <a:avLst/>
                    </a:prstGeom>
                    <a:noFill/>
                  </pic:spPr>
                </pic:pic>
              </a:graphicData>
            </a:graphic>
          </wp:inline>
        </w:drawing>
      </w:r>
    </w:p>
    <w:p w14:paraId="5EE0A12C" w14:textId="77777777" w:rsidR="004614E6" w:rsidRPr="004614E6" w:rsidRDefault="004614E6" w:rsidP="004614E6">
      <w:pPr>
        <w:pStyle w:val="Body"/>
        <w:rPr>
          <w:rFonts w:ascii="Arial" w:hAnsi="Arial" w:cs="Arial"/>
          <w:b/>
          <w:bCs/>
        </w:rPr>
      </w:pPr>
      <w:r w:rsidRPr="004614E6">
        <w:rPr>
          <w:rFonts w:ascii="Arial" w:hAnsi="Arial" w:cs="Arial"/>
          <w:b/>
          <w:bCs/>
          <w:lang w:val="en-GB"/>
        </w:rPr>
        <w:t xml:space="preserve">Figure </w:t>
      </w:r>
      <w:r w:rsidRPr="004614E6">
        <w:rPr>
          <w:rFonts w:ascii="Arial" w:hAnsi="Arial" w:cs="Arial"/>
          <w:b/>
          <w:bCs/>
          <w:lang w:val="en-GB"/>
        </w:rPr>
        <w:fldChar w:fldCharType="begin"/>
      </w:r>
      <w:r w:rsidRPr="004614E6">
        <w:rPr>
          <w:rFonts w:ascii="Arial" w:hAnsi="Arial" w:cs="Arial"/>
          <w:b/>
          <w:bCs/>
          <w:lang w:val="en-GB"/>
        </w:rPr>
        <w:instrText xml:space="preserve"> SEQ Figure \* ARABIC </w:instrText>
      </w:r>
      <w:r w:rsidRPr="004614E6">
        <w:rPr>
          <w:rFonts w:ascii="Arial" w:hAnsi="Arial" w:cs="Arial"/>
          <w:b/>
          <w:bCs/>
          <w:lang w:val="en-GB"/>
        </w:rPr>
        <w:fldChar w:fldCharType="separate"/>
      </w:r>
      <w:r w:rsidRPr="004614E6">
        <w:rPr>
          <w:rFonts w:ascii="Arial" w:hAnsi="Arial" w:cs="Arial"/>
          <w:b/>
          <w:bCs/>
          <w:lang w:val="en-GB"/>
        </w:rPr>
        <w:t>5</w:t>
      </w:r>
      <w:r w:rsidRPr="004614E6">
        <w:rPr>
          <w:rFonts w:ascii="Arial" w:hAnsi="Arial" w:cs="Arial"/>
          <w:b/>
          <w:bCs/>
        </w:rPr>
        <w:fldChar w:fldCharType="end"/>
      </w:r>
      <w:r w:rsidRPr="004614E6">
        <w:rPr>
          <w:rFonts w:ascii="Arial" w:hAnsi="Arial" w:cs="Arial"/>
          <w:b/>
          <w:bCs/>
          <w:lang w:val="en-GB"/>
        </w:rPr>
        <w:t>: The rationalize use of anti-malaria</w:t>
      </w:r>
    </w:p>
    <w:p w14:paraId="6A93F710" w14:textId="77777777" w:rsidR="004614E6" w:rsidRPr="004614E6" w:rsidRDefault="004614E6" w:rsidP="004614E6">
      <w:pPr>
        <w:pStyle w:val="Body"/>
        <w:rPr>
          <w:rFonts w:ascii="Arial" w:hAnsi="Arial" w:cs="Arial"/>
          <w:b/>
          <w:bCs/>
          <w:sz w:val="22"/>
          <w:szCs w:val="22"/>
          <w:lang w:val="en-GB"/>
        </w:rPr>
      </w:pPr>
      <w:r>
        <w:rPr>
          <w:rFonts w:ascii="Arial" w:hAnsi="Arial" w:cs="Arial"/>
          <w:b/>
          <w:bCs/>
          <w:sz w:val="22"/>
          <w:szCs w:val="22"/>
          <w:lang w:val="en-GB"/>
        </w:rPr>
        <w:t xml:space="preserve">4. </w:t>
      </w:r>
      <w:r w:rsidRPr="004614E6">
        <w:rPr>
          <w:rFonts w:ascii="Arial" w:hAnsi="Arial" w:cs="Arial"/>
          <w:b/>
          <w:bCs/>
          <w:sz w:val="22"/>
          <w:szCs w:val="22"/>
          <w:lang w:val="en-GB"/>
        </w:rPr>
        <w:t>DISCUSSION</w:t>
      </w:r>
    </w:p>
    <w:p w14:paraId="497A1819" w14:textId="77777777" w:rsidR="004614E6" w:rsidRPr="004614E6" w:rsidRDefault="004614E6" w:rsidP="004614E6">
      <w:pPr>
        <w:pStyle w:val="Body"/>
        <w:rPr>
          <w:rFonts w:ascii="Arial" w:hAnsi="Arial" w:cs="Arial"/>
          <w:lang w:val="en-GB"/>
        </w:rPr>
      </w:pPr>
      <w:r w:rsidRPr="004614E6">
        <w:rPr>
          <w:rFonts w:ascii="Arial" w:hAnsi="Arial" w:cs="Arial"/>
          <w:lang w:val="en-GB"/>
        </w:rPr>
        <w:t xml:space="preserve">The observed gender disparity in patient demographics in the Buea District, with females predominating in both public and private healthcare sectors, aligns with broader trends documented in healthcare utilization studies. Pineault </w:t>
      </w:r>
      <w:r w:rsidRPr="004614E6">
        <w:rPr>
          <w:rFonts w:ascii="Arial" w:hAnsi="Arial" w:cs="Arial"/>
          <w:i/>
          <w:lang w:val="en-GB"/>
        </w:rPr>
        <w:t>et al.</w:t>
      </w:r>
      <w:r w:rsidRPr="004614E6">
        <w:rPr>
          <w:rFonts w:ascii="Arial" w:hAnsi="Arial" w:cs="Arial"/>
          <w:lang w:val="en-GB"/>
        </w:rPr>
        <w:t xml:space="preserve"> (2017), </w:t>
      </w:r>
      <w:proofErr w:type="spellStart"/>
      <w:r w:rsidRPr="004614E6">
        <w:rPr>
          <w:rFonts w:ascii="Arial" w:hAnsi="Arial" w:cs="Arial"/>
          <w:lang w:val="en-GB"/>
        </w:rPr>
        <w:t>Chapnkem</w:t>
      </w:r>
      <w:proofErr w:type="spellEnd"/>
      <w:r w:rsidRPr="004614E6">
        <w:rPr>
          <w:rFonts w:ascii="Arial" w:hAnsi="Arial" w:cs="Arial"/>
          <w:lang w:val="en-GB"/>
        </w:rPr>
        <w:t xml:space="preserve">, (2019) and </w:t>
      </w:r>
      <w:proofErr w:type="spellStart"/>
      <w:r w:rsidRPr="004614E6">
        <w:rPr>
          <w:rFonts w:ascii="Arial" w:hAnsi="Arial" w:cs="Arial"/>
          <w:lang w:val="en-GB"/>
        </w:rPr>
        <w:t>Tessema</w:t>
      </w:r>
      <w:proofErr w:type="spellEnd"/>
      <w:r w:rsidRPr="004614E6">
        <w:rPr>
          <w:rFonts w:ascii="Arial" w:hAnsi="Arial" w:cs="Arial"/>
          <w:lang w:val="en-GB"/>
        </w:rPr>
        <w:t xml:space="preserve"> </w:t>
      </w:r>
      <w:r w:rsidRPr="004614E6">
        <w:rPr>
          <w:rFonts w:ascii="Arial" w:hAnsi="Arial" w:cs="Arial"/>
          <w:i/>
          <w:lang w:val="en-GB"/>
        </w:rPr>
        <w:t>et al.</w:t>
      </w:r>
      <w:r w:rsidRPr="004614E6">
        <w:rPr>
          <w:rFonts w:ascii="Arial" w:hAnsi="Arial" w:cs="Arial"/>
          <w:lang w:val="en-GB"/>
        </w:rPr>
        <w:t xml:space="preserve"> (2022) reported that females generally exhibit higher healthcare-seeking behaviour compared to males, a phenomenon reported across diverse settings including sub-Saharan Africa and other developing regions. This may be attributed to women's increased </w:t>
      </w:r>
      <w:r w:rsidRPr="004614E6">
        <w:rPr>
          <w:rFonts w:ascii="Arial" w:hAnsi="Arial" w:cs="Arial"/>
          <w:lang w:val="en-GB"/>
        </w:rPr>
        <w:lastRenderedPageBreak/>
        <w:t>health service needs related to reproductive and maternal health, as well as greater health awareness and preventive care utilization.</w:t>
      </w:r>
    </w:p>
    <w:p w14:paraId="6BFB5783" w14:textId="77777777" w:rsidR="004614E6" w:rsidRPr="004614E6" w:rsidRDefault="004614E6" w:rsidP="004614E6">
      <w:pPr>
        <w:pStyle w:val="Body"/>
        <w:rPr>
          <w:rFonts w:ascii="Arial" w:hAnsi="Arial" w:cs="Arial"/>
          <w:lang w:val="en-GB"/>
        </w:rPr>
      </w:pPr>
      <w:r w:rsidRPr="004614E6">
        <w:rPr>
          <w:rFonts w:ascii="Arial" w:hAnsi="Arial" w:cs="Arial"/>
          <w:lang w:val="en-GB"/>
        </w:rPr>
        <w:t xml:space="preserve">Moreover, the pronounced female dominance in the private sector may reflect socio-economic and cultural factors influencing healthcare preferences and access, where women might prioritize or have more urgent health needs met through private facilities (Tessema </w:t>
      </w:r>
      <w:r w:rsidRPr="004614E6">
        <w:rPr>
          <w:rFonts w:ascii="Arial" w:hAnsi="Arial" w:cs="Arial"/>
          <w:i/>
          <w:lang w:val="en-GB"/>
        </w:rPr>
        <w:t>et al.</w:t>
      </w:r>
      <w:r w:rsidRPr="004614E6">
        <w:rPr>
          <w:rFonts w:ascii="Arial" w:hAnsi="Arial" w:cs="Arial"/>
          <w:lang w:val="en-GB"/>
        </w:rPr>
        <w:t xml:space="preserve">, 2022). Despite women facing barriers such as cost and access, they still constitute a larger share of patients, which has implications for healthcare planning and resource allocation to ensure gender-sensitive service delivery. The overall female representation corroborates findings from studies of Pineault </w:t>
      </w:r>
      <w:r w:rsidRPr="004614E6">
        <w:rPr>
          <w:rFonts w:ascii="Arial" w:hAnsi="Arial" w:cs="Arial"/>
          <w:i/>
          <w:lang w:val="en-GB"/>
        </w:rPr>
        <w:t>et al.</w:t>
      </w:r>
      <w:r w:rsidRPr="004614E6">
        <w:rPr>
          <w:rFonts w:ascii="Arial" w:hAnsi="Arial" w:cs="Arial"/>
          <w:lang w:val="en-GB"/>
        </w:rPr>
        <w:t xml:space="preserve"> (2017) and Daher </w:t>
      </w:r>
      <w:r w:rsidRPr="004614E6">
        <w:rPr>
          <w:rFonts w:ascii="Arial" w:hAnsi="Arial" w:cs="Arial"/>
          <w:i/>
          <w:lang w:val="en-GB"/>
        </w:rPr>
        <w:t>et al.</w:t>
      </w:r>
      <w:r w:rsidRPr="004614E6">
        <w:rPr>
          <w:rFonts w:ascii="Arial" w:hAnsi="Arial" w:cs="Arial"/>
          <w:lang w:val="en-GB"/>
        </w:rPr>
        <w:t xml:space="preserve"> (2021) reporting consistent female predominance in patient populations, highlighting the importance of integrating gender considerations for equitable healthcare provision.</w:t>
      </w:r>
    </w:p>
    <w:p w14:paraId="24593407" w14:textId="77777777" w:rsidR="004614E6" w:rsidRPr="004614E6" w:rsidRDefault="004614E6" w:rsidP="004614E6">
      <w:pPr>
        <w:pStyle w:val="Body"/>
        <w:rPr>
          <w:rFonts w:ascii="Arial" w:hAnsi="Arial" w:cs="Arial"/>
          <w:lang w:val="en-GB"/>
        </w:rPr>
      </w:pPr>
      <w:r w:rsidRPr="004614E6">
        <w:rPr>
          <w:rFonts w:ascii="Arial" w:hAnsi="Arial" w:cs="Arial"/>
          <w:lang w:val="en-GB"/>
        </w:rPr>
        <w:t xml:space="preserve">The symptom profile of malaria patients in the Buea Health District, dominated by fever and headache, is consistent with classical presentations of Plasmodium falciparum infection, which remains the most prevalent species in Cameroon and sub-Saharan Africa (PMI, 2024). These hallmark symptoms are widely documented as primary indicators of uncomplicated malaria and are often the basis for presumptive diagnosis in endemic regions (Tessema </w:t>
      </w:r>
      <w:r w:rsidRPr="004614E6">
        <w:rPr>
          <w:rFonts w:ascii="Arial" w:hAnsi="Arial" w:cs="Arial"/>
          <w:i/>
          <w:lang w:val="en-GB"/>
        </w:rPr>
        <w:t>et al.</w:t>
      </w:r>
      <w:r w:rsidRPr="004614E6">
        <w:rPr>
          <w:rFonts w:ascii="Arial" w:hAnsi="Arial" w:cs="Arial"/>
          <w:lang w:val="en-GB"/>
        </w:rPr>
        <w:t>, 2022).</w:t>
      </w:r>
    </w:p>
    <w:p w14:paraId="0D2DB8B4" w14:textId="77777777" w:rsidR="004614E6" w:rsidRPr="004614E6" w:rsidRDefault="004614E6" w:rsidP="004614E6">
      <w:pPr>
        <w:pStyle w:val="Body"/>
        <w:rPr>
          <w:rFonts w:ascii="Arial" w:hAnsi="Arial" w:cs="Arial"/>
          <w:lang w:val="en-GB"/>
        </w:rPr>
      </w:pPr>
      <w:r w:rsidRPr="004614E6">
        <w:rPr>
          <w:rFonts w:ascii="Arial" w:hAnsi="Arial" w:cs="Arial"/>
          <w:lang w:val="en-GB"/>
        </w:rPr>
        <w:t>The moderate occurrence of joint pain and the lower prevalence of gastrointestinal symptoms such as vomiting, anorexia, and diarrhoea reflect the variable clinical spectrum of malaria, which may be influenced by host immunity, age, and co-existing infections (</w:t>
      </w:r>
      <w:proofErr w:type="spellStart"/>
      <w:r w:rsidRPr="004614E6">
        <w:rPr>
          <w:rFonts w:ascii="Arial" w:hAnsi="Arial" w:cs="Arial"/>
          <w:lang w:val="en-GB"/>
        </w:rPr>
        <w:t>Dondorp</w:t>
      </w:r>
      <w:proofErr w:type="spellEnd"/>
      <w:r w:rsidRPr="004614E6">
        <w:rPr>
          <w:rFonts w:ascii="Arial" w:hAnsi="Arial" w:cs="Arial"/>
          <w:lang w:val="en-GB"/>
        </w:rPr>
        <w:t xml:space="preserve"> </w:t>
      </w:r>
      <w:r w:rsidRPr="004614E6">
        <w:rPr>
          <w:rFonts w:ascii="Arial" w:hAnsi="Arial" w:cs="Arial"/>
          <w:i/>
          <w:lang w:val="en-GB"/>
        </w:rPr>
        <w:t>et al.</w:t>
      </w:r>
      <w:r w:rsidRPr="004614E6">
        <w:rPr>
          <w:rFonts w:ascii="Arial" w:hAnsi="Arial" w:cs="Arial"/>
          <w:lang w:val="en-GB"/>
        </w:rPr>
        <w:t>, 2020). The slightly higher rates of gastrointestinal symptoms in private facilities may suggest differences in patient profiles, reporting practices, or health-seeking behaviour, as private clinics often attract individuals with more persistent or atypical symptoms (</w:t>
      </w:r>
      <w:proofErr w:type="spellStart"/>
      <w:r w:rsidRPr="004614E6">
        <w:rPr>
          <w:rFonts w:ascii="Arial" w:hAnsi="Arial" w:cs="Arial"/>
          <w:lang w:val="en-GB"/>
        </w:rPr>
        <w:t>Chapnkem</w:t>
      </w:r>
      <w:proofErr w:type="spellEnd"/>
      <w:r w:rsidRPr="004614E6">
        <w:rPr>
          <w:rFonts w:ascii="Arial" w:hAnsi="Arial" w:cs="Arial"/>
          <w:lang w:val="en-GB"/>
        </w:rPr>
        <w:t>, 2019). The rarity of symptoms like nausea, asthenia, and dizziness, and the complete absence of insomnia and dyspnoea, further supports the predominance of uncomplicated malaria cases in this setting. These findings reinforce the importance of symptom-based screening while highlighting the need for differential diagnosis to capture atypical or overlapping presentations.</w:t>
      </w:r>
    </w:p>
    <w:p w14:paraId="2E1381CC" w14:textId="77777777" w:rsidR="004614E6" w:rsidRPr="004614E6" w:rsidRDefault="004614E6" w:rsidP="004614E6">
      <w:pPr>
        <w:pStyle w:val="Body"/>
        <w:rPr>
          <w:rFonts w:ascii="Arial" w:hAnsi="Arial" w:cs="Arial"/>
          <w:lang w:val="en-GB"/>
        </w:rPr>
      </w:pPr>
      <w:r w:rsidRPr="004614E6">
        <w:rPr>
          <w:rFonts w:ascii="Arial" w:hAnsi="Arial" w:cs="Arial"/>
          <w:lang w:val="en-GB"/>
        </w:rPr>
        <w:t>The predominance of simple malaria diagnoses reflects a diagnostic landscape heavily oriented toward uncomplicated presentations, consistent with national patterns where Plasmodium falciparum remains the dominant species and uncomplicated malaria is most frequently encountered and managed (PMI, 2024). The additional 28.7% of cases involving simple malaria with comorbid conditions suggests a clinical overlap with other endemic illnesses, yet the rarity of clinical malaria and poorly treated malaria, and the complete absence of suspected malaria, may signal either successful early case detection or limitations in diagnostic sensitivity and documentation practices. This trend aligns with findings from the NIS, NMCP and ICF, (2023) which reported that less than 30% of febrile children nationally were tested for malaria, indicating a reliance on clinical judgment over parasitological confirmation in many settings.</w:t>
      </w:r>
    </w:p>
    <w:p w14:paraId="3D672FA0" w14:textId="77777777" w:rsidR="004614E6" w:rsidRPr="004614E6" w:rsidRDefault="004614E6" w:rsidP="004614E6">
      <w:pPr>
        <w:pStyle w:val="Body"/>
        <w:rPr>
          <w:rFonts w:ascii="Arial" w:hAnsi="Arial" w:cs="Arial"/>
          <w:lang w:val="en-GB"/>
        </w:rPr>
      </w:pPr>
      <w:r w:rsidRPr="004614E6">
        <w:rPr>
          <w:rFonts w:ascii="Arial" w:hAnsi="Arial" w:cs="Arial"/>
          <w:lang w:val="en-GB"/>
        </w:rPr>
        <w:t>Moreover, stratification data supported by WHO and PMI show that Buea falls within a medium-risk zone, where diagnostic emphasis may prioritize rapid management of uncomplicated cases to reduce morbidity, in line with the Health Sector Strategy (2016–2027) and PMI’s End Malaria Faster framework. However, the underrepresentation of atypical or mismanaged malaria cases may obscure the true burden of diagnostic challenges, especially given evidence of declining therapeutic efficacy and emerging resistance mutations in P. falciparum across Cameroon (Antonio-</w:t>
      </w:r>
      <w:proofErr w:type="spellStart"/>
      <w:r w:rsidRPr="004614E6">
        <w:rPr>
          <w:rFonts w:ascii="Arial" w:hAnsi="Arial" w:cs="Arial"/>
          <w:lang w:val="en-GB"/>
        </w:rPr>
        <w:t>Nkondjio</w:t>
      </w:r>
      <w:proofErr w:type="spellEnd"/>
      <w:r w:rsidRPr="004614E6">
        <w:rPr>
          <w:rFonts w:ascii="Arial" w:hAnsi="Arial" w:cs="Arial"/>
          <w:lang w:val="en-GB"/>
        </w:rPr>
        <w:t xml:space="preserve"> </w:t>
      </w:r>
      <w:r w:rsidRPr="004614E6">
        <w:rPr>
          <w:rFonts w:ascii="Arial" w:hAnsi="Arial" w:cs="Arial"/>
          <w:i/>
          <w:lang w:val="en-GB"/>
        </w:rPr>
        <w:t>et al.</w:t>
      </w:r>
      <w:r w:rsidRPr="004614E6">
        <w:rPr>
          <w:rFonts w:ascii="Arial" w:hAnsi="Arial" w:cs="Arial"/>
          <w:lang w:val="en-GB"/>
        </w:rPr>
        <w:t>, 2019). These findings underscore the need for enhanced diagnostic protocols and surveillance to capture the full spectrum of malaria presentations and improve case management fidelity.</w:t>
      </w:r>
    </w:p>
    <w:p w14:paraId="3A9ACFA9" w14:textId="77777777" w:rsidR="004614E6" w:rsidRPr="004614E6" w:rsidRDefault="004614E6" w:rsidP="004614E6">
      <w:pPr>
        <w:pStyle w:val="Body"/>
        <w:rPr>
          <w:rFonts w:ascii="Arial" w:hAnsi="Arial" w:cs="Arial"/>
          <w:lang w:val="en-GB"/>
        </w:rPr>
      </w:pPr>
      <w:r w:rsidRPr="004614E6">
        <w:rPr>
          <w:rFonts w:ascii="Arial" w:hAnsi="Arial" w:cs="Arial"/>
          <w:lang w:val="en-GB"/>
        </w:rPr>
        <w:lastRenderedPageBreak/>
        <w:t xml:space="preserve">The clinical and laboratory data from the Buea health district, reflect a robust malaria testing regime, with an overall patient testing coverage spanning both public and private healthcare sectors. Public facilities showed marginally better performance than private ones in test completion rates and in initiating diagnostic tests. This finding is similar with the findings of Jerene </w:t>
      </w:r>
      <w:r w:rsidRPr="004614E6">
        <w:rPr>
          <w:rFonts w:ascii="Arial" w:hAnsi="Arial" w:cs="Arial"/>
          <w:i/>
          <w:lang w:val="en-GB"/>
        </w:rPr>
        <w:t>et al.</w:t>
      </w:r>
      <w:r w:rsidRPr="004614E6">
        <w:rPr>
          <w:rFonts w:ascii="Arial" w:hAnsi="Arial" w:cs="Arial"/>
          <w:lang w:val="en-GB"/>
        </w:rPr>
        <w:t xml:space="preserve"> (2012) and Argaw </w:t>
      </w:r>
      <w:r w:rsidRPr="004614E6">
        <w:rPr>
          <w:rFonts w:ascii="Arial" w:hAnsi="Arial" w:cs="Arial"/>
          <w:i/>
          <w:lang w:val="en-GB"/>
        </w:rPr>
        <w:t>et al.</w:t>
      </w:r>
      <w:r w:rsidRPr="004614E6">
        <w:rPr>
          <w:rFonts w:ascii="Arial" w:hAnsi="Arial" w:cs="Arial"/>
          <w:lang w:val="en-GB"/>
        </w:rPr>
        <w:t xml:space="preserve"> (2015) who reported that malaria-endemic settings where public health systems typically ensure more consistent testing coverage. The dominance of positive thick blood smear results, particularly in public health </w:t>
      </w:r>
      <w:proofErr w:type="spellStart"/>
      <w:r w:rsidRPr="004614E6">
        <w:rPr>
          <w:rFonts w:ascii="Arial" w:hAnsi="Arial" w:cs="Arial"/>
          <w:lang w:val="en-GB"/>
        </w:rPr>
        <w:t>centers</w:t>
      </w:r>
      <w:proofErr w:type="spellEnd"/>
      <w:r w:rsidRPr="004614E6">
        <w:rPr>
          <w:rFonts w:ascii="Arial" w:hAnsi="Arial" w:cs="Arial"/>
          <w:lang w:val="en-GB"/>
        </w:rPr>
        <w:t>, signifies a substantial burden of confirmed malaria, consistent with high prevalence rates reported in Cameroon and comparable regions (</w:t>
      </w:r>
      <w:proofErr w:type="spellStart"/>
      <w:r w:rsidRPr="004614E6">
        <w:rPr>
          <w:rFonts w:ascii="Arial" w:hAnsi="Arial" w:cs="Arial"/>
          <w:lang w:val="en-GB"/>
        </w:rPr>
        <w:t>Karunamoorthi</w:t>
      </w:r>
      <w:proofErr w:type="spellEnd"/>
      <w:r w:rsidRPr="004614E6">
        <w:rPr>
          <w:rFonts w:ascii="Arial" w:hAnsi="Arial" w:cs="Arial"/>
          <w:lang w:val="en-GB"/>
        </w:rPr>
        <w:t xml:space="preserve">, 2009; </w:t>
      </w:r>
      <w:proofErr w:type="spellStart"/>
      <w:r w:rsidRPr="004614E6">
        <w:rPr>
          <w:rFonts w:ascii="Arial" w:hAnsi="Arial" w:cs="Arial"/>
          <w:lang w:val="en-GB"/>
        </w:rPr>
        <w:t>Missoup</w:t>
      </w:r>
      <w:proofErr w:type="spellEnd"/>
      <w:r w:rsidRPr="004614E6">
        <w:rPr>
          <w:rFonts w:ascii="Arial" w:hAnsi="Arial" w:cs="Arial"/>
          <w:lang w:val="en-GB"/>
        </w:rPr>
        <w:t xml:space="preserve"> </w:t>
      </w:r>
      <w:r w:rsidRPr="004614E6">
        <w:rPr>
          <w:rFonts w:ascii="Arial" w:hAnsi="Arial" w:cs="Arial"/>
          <w:i/>
          <w:lang w:val="en-GB"/>
        </w:rPr>
        <w:t>et al.</w:t>
      </w:r>
      <w:r w:rsidRPr="004614E6">
        <w:rPr>
          <w:rFonts w:ascii="Arial" w:hAnsi="Arial" w:cs="Arial"/>
          <w:lang w:val="en-GB"/>
        </w:rPr>
        <w:t>, 2025).</w:t>
      </w:r>
    </w:p>
    <w:p w14:paraId="601D6B9F" w14:textId="77777777" w:rsidR="004614E6" w:rsidRPr="004614E6" w:rsidRDefault="004614E6" w:rsidP="004614E6">
      <w:pPr>
        <w:pStyle w:val="Body"/>
        <w:rPr>
          <w:rFonts w:ascii="Arial" w:hAnsi="Arial" w:cs="Arial"/>
          <w:lang w:val="en-GB"/>
        </w:rPr>
      </w:pPr>
      <w:r w:rsidRPr="004614E6">
        <w:rPr>
          <w:rFonts w:ascii="Arial" w:hAnsi="Arial" w:cs="Arial"/>
          <w:lang w:val="en-GB"/>
        </w:rPr>
        <w:t xml:space="preserve">Rapid Diagnostic Tests (RDTs) also yielded significant positivity, with public facilities again leading, aligning with documented high accuracy and reliability of publicly procured RDTs in Cameroon, although variable by transmission intensity and facility (Hopkins </w:t>
      </w:r>
      <w:r w:rsidRPr="004614E6">
        <w:rPr>
          <w:rFonts w:ascii="Arial" w:hAnsi="Arial" w:cs="Arial"/>
          <w:i/>
          <w:lang w:val="en-GB"/>
        </w:rPr>
        <w:t>et al.</w:t>
      </w:r>
      <w:r w:rsidRPr="004614E6">
        <w:rPr>
          <w:rFonts w:ascii="Arial" w:hAnsi="Arial" w:cs="Arial"/>
          <w:lang w:val="en-GB"/>
        </w:rPr>
        <w:t xml:space="preserve">, 2017; Ali </w:t>
      </w:r>
      <w:r w:rsidRPr="004614E6">
        <w:rPr>
          <w:rFonts w:ascii="Arial" w:hAnsi="Arial" w:cs="Arial"/>
          <w:i/>
          <w:lang w:val="en-GB"/>
        </w:rPr>
        <w:t>et al.</w:t>
      </w:r>
      <w:r w:rsidRPr="004614E6">
        <w:rPr>
          <w:rFonts w:ascii="Arial" w:hAnsi="Arial" w:cs="Arial"/>
          <w:lang w:val="en-GB"/>
        </w:rPr>
        <w:t xml:space="preserve">, 2021). The minimal proportion of negative smear and RDT results strongly supports the clinical suspicion of malaria in suspected cases and underlines the effectiveness of diagnostic targeting, a critical factor in reducing over-treatment and improving case management (Ige </w:t>
      </w:r>
      <w:r w:rsidRPr="004614E6">
        <w:rPr>
          <w:rFonts w:ascii="Arial" w:hAnsi="Arial" w:cs="Arial"/>
          <w:i/>
          <w:lang w:val="en-GB"/>
        </w:rPr>
        <w:t>et al.</w:t>
      </w:r>
      <w:r w:rsidRPr="004614E6">
        <w:rPr>
          <w:rFonts w:ascii="Arial" w:hAnsi="Arial" w:cs="Arial"/>
          <w:lang w:val="en-GB"/>
        </w:rPr>
        <w:t xml:space="preserve">, 2014; Mortazavi </w:t>
      </w:r>
      <w:r w:rsidRPr="004614E6">
        <w:rPr>
          <w:rFonts w:ascii="Arial" w:hAnsi="Arial" w:cs="Arial"/>
          <w:i/>
          <w:lang w:val="en-GB"/>
        </w:rPr>
        <w:t>et al.</w:t>
      </w:r>
      <w:r w:rsidRPr="004614E6">
        <w:rPr>
          <w:rFonts w:ascii="Arial" w:hAnsi="Arial" w:cs="Arial"/>
          <w:lang w:val="en-GB"/>
        </w:rPr>
        <w:t>, 2025). This high diagnostic coverage and positivity emphasize the persistent malaria burden in the Buea Health District and underscore the crucial role of both thick smear microscopy and RDTs in malaria surveillance and control efforts.</w:t>
      </w:r>
    </w:p>
    <w:p w14:paraId="63B69BCF" w14:textId="77777777" w:rsidR="004614E6" w:rsidRPr="004614E6" w:rsidRDefault="004614E6" w:rsidP="004614E6">
      <w:pPr>
        <w:pStyle w:val="Body"/>
        <w:rPr>
          <w:rFonts w:ascii="Arial" w:hAnsi="Arial" w:cs="Arial"/>
          <w:lang w:val="en-GB"/>
        </w:rPr>
      </w:pPr>
      <w:r w:rsidRPr="004614E6">
        <w:rPr>
          <w:rFonts w:ascii="Arial" w:hAnsi="Arial" w:cs="Arial"/>
          <w:lang w:val="en-GB"/>
        </w:rPr>
        <w:t xml:space="preserve">Antimalarial treatment practices in the Buea Health District reveal a predominant reliance on Artemisinin-based Combination Therapy (ACT), administered in most of cases, which is aligned with World Health Organization (WHO) recommendations for the treatment of uncomplicated Plasmodium falciparum malaria (WHO, 2018). More than half of these treatments were given post-diagnostic confirmation, reflecting adherence to test-based case management, while a considerable amount was initiated before results, indicating some empirical treatment due to clinical urgency or suspicion. </w:t>
      </w:r>
    </w:p>
    <w:p w14:paraId="6F84475D" w14:textId="77777777" w:rsidR="00790ADA" w:rsidRPr="004614E6" w:rsidRDefault="004614E6" w:rsidP="004614E6">
      <w:pPr>
        <w:pStyle w:val="Body"/>
        <w:rPr>
          <w:rFonts w:ascii="Arial" w:hAnsi="Arial" w:cs="Arial"/>
          <w:lang w:val="en-GB"/>
        </w:rPr>
      </w:pPr>
      <w:r w:rsidRPr="004614E6">
        <w:rPr>
          <w:rFonts w:ascii="Arial" w:hAnsi="Arial" w:cs="Arial"/>
          <w:lang w:val="en-GB"/>
        </w:rPr>
        <w:t xml:space="preserve">Artemether-Lumefantrine (AL) was the most widely used ACT, with a slightly higher proportion treated prior to diagnostic confirmation than after, consistent with the </w:t>
      </w:r>
      <w:proofErr w:type="spellStart"/>
      <w:r w:rsidRPr="004614E6">
        <w:rPr>
          <w:rFonts w:ascii="Arial" w:hAnsi="Arial" w:cs="Arial"/>
          <w:lang w:val="en-GB"/>
        </w:rPr>
        <w:t>reults</w:t>
      </w:r>
      <w:proofErr w:type="spellEnd"/>
      <w:r w:rsidRPr="004614E6">
        <w:rPr>
          <w:rFonts w:ascii="Arial" w:hAnsi="Arial" w:cs="Arial"/>
          <w:lang w:val="en-GB"/>
        </w:rPr>
        <w:t xml:space="preserve"> of Teklemariam </w:t>
      </w:r>
      <w:r w:rsidRPr="004614E6">
        <w:rPr>
          <w:rFonts w:ascii="Arial" w:hAnsi="Arial" w:cs="Arial"/>
          <w:i/>
          <w:lang w:val="en-GB"/>
        </w:rPr>
        <w:t>et al.</w:t>
      </w:r>
      <w:r w:rsidRPr="004614E6">
        <w:rPr>
          <w:rFonts w:ascii="Arial" w:hAnsi="Arial" w:cs="Arial"/>
          <w:lang w:val="en-GB"/>
        </w:rPr>
        <w:t xml:space="preserve"> (2017) and Kamya </w:t>
      </w:r>
      <w:r w:rsidRPr="004614E6">
        <w:rPr>
          <w:rFonts w:ascii="Arial" w:hAnsi="Arial" w:cs="Arial"/>
          <w:i/>
          <w:lang w:val="en-GB"/>
        </w:rPr>
        <w:t>et al.</w:t>
      </w:r>
      <w:r w:rsidRPr="004614E6">
        <w:rPr>
          <w:rFonts w:ascii="Arial" w:hAnsi="Arial" w:cs="Arial"/>
          <w:lang w:val="en-GB"/>
        </w:rPr>
        <w:t xml:space="preserve"> (2025) who established efficacy, rapid parasite clearance, and extensive first-line use in sub-Saharan Africa. Other regimens like Artesunate-Amodiaquine (ASAQ) and </w:t>
      </w:r>
      <w:proofErr w:type="spellStart"/>
      <w:r w:rsidRPr="004614E6">
        <w:rPr>
          <w:rFonts w:ascii="Arial" w:hAnsi="Arial" w:cs="Arial"/>
          <w:lang w:val="en-GB"/>
        </w:rPr>
        <w:t>Dihydroartemisinin</w:t>
      </w:r>
      <w:proofErr w:type="spellEnd"/>
      <w:r w:rsidRPr="004614E6">
        <w:rPr>
          <w:rFonts w:ascii="Arial" w:hAnsi="Arial" w:cs="Arial"/>
          <w:lang w:val="en-GB"/>
        </w:rPr>
        <w:t xml:space="preserve">-Piperaquine (DHA/PQP) were used sparingly, in accordance with regional treatment preferences and availability (Zongo </w:t>
      </w:r>
      <w:r w:rsidRPr="004614E6">
        <w:rPr>
          <w:rFonts w:ascii="Arial" w:hAnsi="Arial" w:cs="Arial"/>
          <w:i/>
          <w:lang w:val="en-GB"/>
        </w:rPr>
        <w:t>et al.</w:t>
      </w:r>
      <w:r w:rsidRPr="004614E6">
        <w:rPr>
          <w:rFonts w:ascii="Arial" w:hAnsi="Arial" w:cs="Arial"/>
          <w:lang w:val="en-GB"/>
        </w:rPr>
        <w:t xml:space="preserve">, 2020). ACT prescriptions were thoroughly documented regarding galenic form, dosage, quantity, and treatment duration, although posology documentation lagged slightly, a common challenge in clinical settings (Zongo </w:t>
      </w:r>
      <w:r w:rsidRPr="004614E6">
        <w:rPr>
          <w:rFonts w:ascii="Arial" w:hAnsi="Arial" w:cs="Arial"/>
          <w:i/>
          <w:lang w:val="en-GB"/>
        </w:rPr>
        <w:t>et al.</w:t>
      </w:r>
      <w:r w:rsidRPr="004614E6">
        <w:rPr>
          <w:rFonts w:ascii="Arial" w:hAnsi="Arial" w:cs="Arial"/>
          <w:lang w:val="en-GB"/>
        </w:rPr>
        <w:t xml:space="preserve">, 2020). Adjunct therapies such as injectable artesunate, amodiaquine syrup, and oral quinine appeared infrequently, highlighting some deviations or supplementary treatments. However, among those treated, care quality was commendable: all received appropriate treatment duration and galenic form, had correct posology, and were treated with ACT, although prescription rationalization was less. These findings illustrate strong adherence to ACT treatment protocols in Buea but also underscore the urgent need to improve linkage between diagnosis and treatment to optimize malaria case management and reduce unnecessary drug use (Teklemariam </w:t>
      </w:r>
      <w:r w:rsidRPr="004614E6">
        <w:rPr>
          <w:rFonts w:ascii="Arial" w:hAnsi="Arial" w:cs="Arial"/>
          <w:i/>
          <w:lang w:val="en-GB"/>
        </w:rPr>
        <w:t>et al.</w:t>
      </w:r>
      <w:r w:rsidRPr="004614E6">
        <w:rPr>
          <w:rFonts w:ascii="Arial" w:hAnsi="Arial" w:cs="Arial"/>
          <w:lang w:val="en-GB"/>
        </w:rPr>
        <w:t>, 2017; Zongo </w:t>
      </w:r>
      <w:r w:rsidRPr="004614E6">
        <w:rPr>
          <w:rFonts w:ascii="Arial" w:hAnsi="Arial" w:cs="Arial"/>
          <w:i/>
          <w:lang w:val="en-GB"/>
        </w:rPr>
        <w:t>et al.</w:t>
      </w:r>
      <w:r w:rsidRPr="004614E6">
        <w:rPr>
          <w:rFonts w:ascii="Arial" w:hAnsi="Arial" w:cs="Arial"/>
          <w:lang w:val="en-GB"/>
        </w:rPr>
        <w:t>, 2020).</w:t>
      </w:r>
    </w:p>
    <w:p w14:paraId="40B29B98" w14:textId="77777777" w:rsidR="00B01FCD" w:rsidRDefault="004614E6"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1F07E3C6" w14:textId="77777777" w:rsidR="00790ADA" w:rsidRPr="00FB3A86" w:rsidRDefault="00790ADA" w:rsidP="00441B6F">
      <w:pPr>
        <w:pStyle w:val="ConcHead"/>
        <w:spacing w:after="0"/>
        <w:jc w:val="both"/>
        <w:rPr>
          <w:rFonts w:ascii="Arial" w:hAnsi="Arial" w:cs="Arial"/>
        </w:rPr>
      </w:pPr>
    </w:p>
    <w:p w14:paraId="0CB9D655" w14:textId="77777777" w:rsidR="00790ADA" w:rsidRPr="004614E6" w:rsidRDefault="004614E6" w:rsidP="004614E6">
      <w:pPr>
        <w:pStyle w:val="Body"/>
        <w:rPr>
          <w:rFonts w:ascii="Arial" w:hAnsi="Arial" w:cs="Arial"/>
          <w:lang w:val="en-GB"/>
        </w:rPr>
      </w:pPr>
      <w:r w:rsidRPr="004614E6">
        <w:rPr>
          <w:rFonts w:ascii="Arial" w:hAnsi="Arial" w:cs="Arial"/>
          <w:lang w:val="en-GB"/>
        </w:rPr>
        <w:t xml:space="preserve">Malaria case management in the Buea Health District shows strong diagnostic coverage and widespread use of recommended treatments, particularly artemisinin-based combination therapies. Clinical presentations were consistent with classical malaria symptoms, and laboratory testing was routinely implemented across both public and private sectors. However, gaps remain between diagnostic confirmation and treatment initiation, with some confirmed </w:t>
      </w:r>
      <w:r w:rsidRPr="004614E6">
        <w:rPr>
          <w:rFonts w:ascii="Arial" w:hAnsi="Arial" w:cs="Arial"/>
          <w:lang w:val="en-GB"/>
        </w:rPr>
        <w:lastRenderedPageBreak/>
        <w:t>cases not receiving therapy. While treatment quality was generally high among those treated, documentation inconsistencies and limited prescription rationalization suggest areas for improvement. These findings highlight the need for better alignment between diagnostic outcomes and therapeutic decisions to enhance malaria control and patient care effectiveness.</w:t>
      </w:r>
    </w:p>
    <w:p w14:paraId="2F808FEF" w14:textId="77777777" w:rsidR="005C784C" w:rsidRDefault="005C784C" w:rsidP="00441B6F">
      <w:pPr>
        <w:pStyle w:val="ReferHead"/>
        <w:spacing w:after="0"/>
        <w:jc w:val="both"/>
        <w:rPr>
          <w:rFonts w:ascii="Arial" w:hAnsi="Arial" w:cs="Arial"/>
          <w:b w:val="0"/>
          <w:caps w:val="0"/>
          <w:sz w:val="20"/>
        </w:rPr>
      </w:pPr>
    </w:p>
    <w:p w14:paraId="721E859C"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17F89DF2" w14:textId="77777777" w:rsidR="0041027F" w:rsidRDefault="0041027F" w:rsidP="00441B6F">
      <w:pPr>
        <w:pStyle w:val="ReferHead"/>
        <w:spacing w:after="0"/>
        <w:jc w:val="both"/>
        <w:rPr>
          <w:rFonts w:ascii="Arial" w:hAnsi="Arial" w:cs="Arial"/>
          <w:b w:val="0"/>
          <w:caps w:val="0"/>
          <w:sz w:val="20"/>
        </w:rPr>
      </w:pPr>
    </w:p>
    <w:p w14:paraId="37D01286" w14:textId="77777777" w:rsidR="000015EE" w:rsidRDefault="000015EE" w:rsidP="000015EE">
      <w:pPr>
        <w:pStyle w:val="ReferHead"/>
        <w:spacing w:after="0"/>
        <w:jc w:val="both"/>
        <w:rPr>
          <w:rFonts w:ascii="Arial" w:hAnsi="Arial" w:cs="Arial"/>
          <w:b w:val="0"/>
          <w:caps w:val="0"/>
        </w:rPr>
      </w:pPr>
      <w:r w:rsidRPr="000015EE">
        <w:rPr>
          <w:rFonts w:ascii="Arial" w:hAnsi="Arial" w:cs="Arial"/>
          <w:b w:val="0"/>
          <w:caps w:val="0"/>
        </w:rPr>
        <w:t>The study was conducted in strict adherence to ethical principles. Written informed consent (or assent for minors with guardian consent) was obtained from all participants after a detailed explanation of the study's purpose, procedures, benefits, and risks. All data collected were kept confidential; participant identifiers were removed and replaced with codes known only to the research team. The data were used solely for the purpose of this research and were securely stored and destroyed upon the study's completion.</w:t>
      </w:r>
    </w:p>
    <w:p w14:paraId="35D63904" w14:textId="77777777" w:rsidR="008D1D92" w:rsidRDefault="008D1D92" w:rsidP="000015EE">
      <w:pPr>
        <w:pStyle w:val="ReferHead"/>
        <w:spacing w:after="0"/>
        <w:jc w:val="both"/>
        <w:rPr>
          <w:rFonts w:ascii="Arial" w:hAnsi="Arial" w:cs="Arial"/>
          <w:b w:val="0"/>
          <w:caps w:val="0"/>
        </w:rPr>
      </w:pPr>
    </w:p>
    <w:p w14:paraId="68E66663" w14:textId="77777777" w:rsidR="008D1D92" w:rsidRDefault="008D1D92" w:rsidP="000015EE">
      <w:pPr>
        <w:pStyle w:val="ReferHead"/>
        <w:spacing w:after="0"/>
        <w:jc w:val="both"/>
        <w:rPr>
          <w:rFonts w:ascii="Arial" w:hAnsi="Arial" w:cs="Arial"/>
          <w:b w:val="0"/>
          <w:caps w:val="0"/>
        </w:rPr>
      </w:pPr>
    </w:p>
    <w:p w14:paraId="12ABF4AC" w14:textId="77777777" w:rsidR="008D1D92" w:rsidRDefault="008D1D92" w:rsidP="000015EE">
      <w:pPr>
        <w:pStyle w:val="ReferHead"/>
        <w:spacing w:after="0"/>
        <w:jc w:val="both"/>
        <w:rPr>
          <w:rFonts w:ascii="Arial" w:hAnsi="Arial" w:cs="Arial"/>
          <w:b w:val="0"/>
          <w:caps w:val="0"/>
        </w:rPr>
      </w:pPr>
    </w:p>
    <w:p w14:paraId="1C847F76" w14:textId="77777777" w:rsidR="008D1D92" w:rsidRPr="008D1D92" w:rsidRDefault="008D1D92" w:rsidP="008D1D92">
      <w:pPr>
        <w:spacing w:after="200" w:line="276" w:lineRule="auto"/>
        <w:rPr>
          <w:rFonts w:ascii="Arial" w:eastAsiaTheme="minorEastAsia" w:hAnsi="Arial" w:cs="Arial"/>
          <w:sz w:val="22"/>
          <w:szCs w:val="22"/>
          <w:lang w:val="en-GB" w:eastAsia="en-GB"/>
        </w:rPr>
      </w:pPr>
      <w:r w:rsidRPr="008D1D92">
        <w:rPr>
          <w:rFonts w:ascii="Arial" w:eastAsiaTheme="minorEastAsia" w:hAnsi="Arial" w:cs="Arial"/>
          <w:sz w:val="22"/>
          <w:szCs w:val="22"/>
          <w:lang w:val="en-GB" w:eastAsia="en-GB"/>
        </w:rPr>
        <w:t>COMPETING INTERESTS DISCLAIMER:</w:t>
      </w:r>
    </w:p>
    <w:p w14:paraId="221A9B99" w14:textId="77777777" w:rsidR="008D1D92" w:rsidRPr="008D1D92" w:rsidRDefault="008D1D92" w:rsidP="008D1D92">
      <w:pPr>
        <w:spacing w:after="200" w:line="276" w:lineRule="auto"/>
        <w:rPr>
          <w:rFonts w:asciiTheme="minorHAnsi" w:eastAsiaTheme="minorEastAsia" w:hAnsiTheme="minorHAnsi" w:cstheme="minorBidi"/>
          <w:sz w:val="22"/>
          <w:szCs w:val="22"/>
          <w:lang w:val="en-GB" w:eastAsia="en-GB"/>
        </w:rPr>
      </w:pPr>
      <w:r w:rsidRPr="008D1D92">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7886681F" w14:textId="77777777" w:rsidR="008D1D92" w:rsidRPr="000015EE" w:rsidRDefault="008D1D92" w:rsidP="000015EE">
      <w:pPr>
        <w:pStyle w:val="ReferHead"/>
        <w:spacing w:after="0"/>
        <w:jc w:val="both"/>
        <w:rPr>
          <w:rFonts w:ascii="Arial" w:hAnsi="Arial" w:cs="Arial"/>
          <w:b w:val="0"/>
        </w:rPr>
      </w:pPr>
    </w:p>
    <w:p w14:paraId="44636EB4" w14:textId="77777777" w:rsidR="00860000" w:rsidRDefault="00860000" w:rsidP="00441B6F">
      <w:pPr>
        <w:pStyle w:val="ReferHead"/>
        <w:spacing w:after="0"/>
        <w:jc w:val="both"/>
        <w:rPr>
          <w:rFonts w:ascii="Arial" w:hAnsi="Arial" w:cs="Arial"/>
        </w:rPr>
      </w:pPr>
    </w:p>
    <w:p w14:paraId="359AC8E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E1B2EA0" w14:textId="77777777" w:rsidR="00284C4C" w:rsidRPr="00284C4C" w:rsidRDefault="00284C4C" w:rsidP="00441B6F">
      <w:pPr>
        <w:pStyle w:val="Body"/>
        <w:spacing w:after="0"/>
        <w:rPr>
          <w:rFonts w:ascii="Arial" w:hAnsi="Arial" w:cs="Arial"/>
          <w:i/>
          <w:u w:val="single"/>
        </w:rPr>
      </w:pPr>
    </w:p>
    <w:p w14:paraId="43D873A3" w14:textId="77777777" w:rsidR="000015EE" w:rsidRPr="00272FF1" w:rsidRDefault="000015EE" w:rsidP="00272FF1">
      <w:pPr>
        <w:pStyle w:val="Body"/>
        <w:rPr>
          <w:rFonts w:ascii="Arial" w:hAnsi="Arial" w:cs="Arial"/>
          <w:lang w:val="en-GB"/>
        </w:rPr>
      </w:pPr>
      <w:r w:rsidRPr="00272FF1">
        <w:rPr>
          <w:rFonts w:ascii="Arial" w:hAnsi="Arial" w:cs="Arial"/>
          <w:lang w:val="en-GB"/>
        </w:rPr>
        <w:t xml:space="preserve">Ali I.M., </w:t>
      </w:r>
      <w:proofErr w:type="spellStart"/>
      <w:r w:rsidRPr="00272FF1">
        <w:rPr>
          <w:rFonts w:ascii="Arial" w:hAnsi="Arial" w:cs="Arial"/>
          <w:lang w:val="en-GB"/>
        </w:rPr>
        <w:t>Nji</w:t>
      </w:r>
      <w:proofErr w:type="spellEnd"/>
      <w:r w:rsidRPr="00272FF1">
        <w:rPr>
          <w:rFonts w:ascii="Arial" w:hAnsi="Arial" w:cs="Arial"/>
          <w:lang w:val="en-GB"/>
        </w:rPr>
        <w:t xml:space="preserve"> A.M., </w:t>
      </w:r>
      <w:proofErr w:type="spellStart"/>
      <w:r w:rsidRPr="00272FF1">
        <w:rPr>
          <w:rFonts w:ascii="Arial" w:hAnsi="Arial" w:cs="Arial"/>
          <w:lang w:val="en-GB"/>
        </w:rPr>
        <w:t>Bonkum</w:t>
      </w:r>
      <w:proofErr w:type="spellEnd"/>
      <w:r w:rsidRPr="00272FF1">
        <w:rPr>
          <w:rFonts w:ascii="Arial" w:hAnsi="Arial" w:cs="Arial"/>
          <w:lang w:val="en-GB"/>
        </w:rPr>
        <w:t xml:space="preserve"> J.C., </w:t>
      </w:r>
      <w:proofErr w:type="spellStart"/>
      <w:r w:rsidRPr="00272FF1">
        <w:rPr>
          <w:rFonts w:ascii="Arial" w:hAnsi="Arial" w:cs="Arial"/>
          <w:lang w:val="en-GB"/>
        </w:rPr>
        <w:t>Moyeh</w:t>
      </w:r>
      <w:proofErr w:type="spellEnd"/>
      <w:r w:rsidRPr="00272FF1">
        <w:rPr>
          <w:rFonts w:ascii="Arial" w:hAnsi="Arial" w:cs="Arial"/>
          <w:lang w:val="en-GB"/>
        </w:rPr>
        <w:t xml:space="preserve"> M.N., Carole G.K., </w:t>
      </w:r>
      <w:proofErr w:type="spellStart"/>
      <w:r w:rsidRPr="00272FF1">
        <w:rPr>
          <w:rFonts w:ascii="Arial" w:hAnsi="Arial" w:cs="Arial"/>
          <w:lang w:val="en-GB"/>
        </w:rPr>
        <w:t>Efon</w:t>
      </w:r>
      <w:proofErr w:type="spellEnd"/>
      <w:r w:rsidRPr="00272FF1">
        <w:rPr>
          <w:rFonts w:ascii="Arial" w:hAnsi="Arial" w:cs="Arial"/>
          <w:lang w:val="en-GB"/>
        </w:rPr>
        <w:t xml:space="preserve">, A., Dabou S., </w:t>
      </w:r>
      <w:proofErr w:type="spellStart"/>
      <w:r w:rsidRPr="00272FF1">
        <w:rPr>
          <w:rFonts w:ascii="Arial" w:hAnsi="Arial" w:cs="Arial"/>
          <w:lang w:val="en-GB"/>
        </w:rPr>
        <w:t>Tchuenkam</w:t>
      </w:r>
      <w:proofErr w:type="spellEnd"/>
      <w:r w:rsidRPr="00272FF1">
        <w:rPr>
          <w:rFonts w:ascii="Arial" w:hAnsi="Arial" w:cs="Arial"/>
          <w:lang w:val="en-GB"/>
        </w:rPr>
        <w:t xml:space="preserve"> V.P.K., </w:t>
      </w:r>
      <w:proofErr w:type="spellStart"/>
      <w:r w:rsidRPr="00272FF1">
        <w:rPr>
          <w:rFonts w:ascii="Arial" w:hAnsi="Arial" w:cs="Arial"/>
          <w:lang w:val="en-GB"/>
        </w:rPr>
        <w:t>Tah</w:t>
      </w:r>
      <w:proofErr w:type="spellEnd"/>
      <w:r w:rsidRPr="00272FF1">
        <w:rPr>
          <w:rFonts w:ascii="Arial" w:hAnsi="Arial" w:cs="Arial"/>
          <w:lang w:val="en-GB"/>
        </w:rPr>
        <w:t xml:space="preserve"> C., Kengne J.-P.C., </w:t>
      </w:r>
      <w:proofErr w:type="spellStart"/>
      <w:r w:rsidRPr="00272FF1">
        <w:rPr>
          <w:rFonts w:ascii="Arial" w:hAnsi="Arial" w:cs="Arial"/>
          <w:lang w:val="en-GB"/>
        </w:rPr>
        <w:t>Achu</w:t>
      </w:r>
      <w:proofErr w:type="spellEnd"/>
      <w:r w:rsidRPr="00272FF1">
        <w:rPr>
          <w:rFonts w:ascii="Arial" w:hAnsi="Arial" w:cs="Arial"/>
          <w:lang w:val="en-GB"/>
        </w:rPr>
        <w:t xml:space="preserve"> D.F., </w:t>
      </w:r>
      <w:proofErr w:type="spellStart"/>
      <w:r w:rsidRPr="00272FF1">
        <w:rPr>
          <w:rFonts w:ascii="Arial" w:hAnsi="Arial" w:cs="Arial"/>
          <w:lang w:val="en-GB"/>
        </w:rPr>
        <w:t>Bigoga</w:t>
      </w:r>
      <w:proofErr w:type="spellEnd"/>
      <w:r w:rsidRPr="00272FF1">
        <w:rPr>
          <w:rFonts w:ascii="Arial" w:hAnsi="Arial" w:cs="Arial"/>
          <w:lang w:val="en-GB"/>
        </w:rPr>
        <w:t xml:space="preserve"> J.D., </w:t>
      </w:r>
      <w:proofErr w:type="spellStart"/>
      <w:r w:rsidRPr="00272FF1">
        <w:rPr>
          <w:rFonts w:ascii="Arial" w:hAnsi="Arial" w:cs="Arial"/>
          <w:lang w:val="en-GB"/>
        </w:rPr>
        <w:t>Mbacham</w:t>
      </w:r>
      <w:proofErr w:type="spellEnd"/>
      <w:r w:rsidRPr="00272FF1">
        <w:rPr>
          <w:rFonts w:ascii="Arial" w:hAnsi="Arial" w:cs="Arial"/>
          <w:lang w:val="en-GB"/>
        </w:rPr>
        <w:t xml:space="preserve"> W.F. (2021). Diagnostic Accuracy of </w:t>
      </w:r>
      <w:proofErr w:type="spellStart"/>
      <w:r w:rsidRPr="00272FF1">
        <w:rPr>
          <w:rFonts w:ascii="Arial" w:hAnsi="Arial" w:cs="Arial"/>
          <w:lang w:val="en-GB"/>
        </w:rPr>
        <w:t>CareStart</w:t>
      </w:r>
      <w:proofErr w:type="spellEnd"/>
      <w:r w:rsidRPr="00272FF1">
        <w:rPr>
          <w:rFonts w:ascii="Arial" w:hAnsi="Arial" w:cs="Arial"/>
          <w:lang w:val="en-GB"/>
        </w:rPr>
        <w:t xml:space="preserve">™ Malaria HRP2 and SD </w:t>
      </w:r>
      <w:proofErr w:type="spellStart"/>
      <w:r w:rsidRPr="00272FF1">
        <w:rPr>
          <w:rFonts w:ascii="Arial" w:hAnsi="Arial" w:cs="Arial"/>
          <w:lang w:val="en-GB"/>
        </w:rPr>
        <w:t>Bioline</w:t>
      </w:r>
      <w:proofErr w:type="spellEnd"/>
      <w:r w:rsidRPr="00272FF1">
        <w:rPr>
          <w:rFonts w:ascii="Arial" w:hAnsi="Arial" w:cs="Arial"/>
          <w:lang w:val="en-GB"/>
        </w:rPr>
        <w:t xml:space="preserve"> </w:t>
      </w:r>
      <w:proofErr w:type="spellStart"/>
      <w:r w:rsidRPr="00272FF1">
        <w:rPr>
          <w:rFonts w:ascii="Arial" w:hAnsi="Arial" w:cs="Arial"/>
          <w:lang w:val="en-GB"/>
        </w:rPr>
        <w:t>Pf</w:t>
      </w:r>
      <w:proofErr w:type="spellEnd"/>
      <w:r w:rsidRPr="00272FF1">
        <w:rPr>
          <w:rFonts w:ascii="Arial" w:hAnsi="Arial" w:cs="Arial"/>
          <w:lang w:val="en-GB"/>
        </w:rPr>
        <w:t xml:space="preserve">/PAN for Malaria in Febrile Outpatients in Varying Malaria Transmission Settings in Cameroon. Diagnostics, 11:1556. </w:t>
      </w:r>
      <w:hyperlink r:id="rId19" w:history="1">
        <w:r w:rsidRPr="00272FF1">
          <w:rPr>
            <w:rStyle w:val="Hyperlink"/>
            <w:rFonts w:ascii="Arial" w:hAnsi="Arial" w:cs="Arial"/>
            <w:lang w:val="en-GB"/>
          </w:rPr>
          <w:t>https://doi.org/10.3390/diagnostics11091556</w:t>
        </w:r>
      </w:hyperlink>
    </w:p>
    <w:p w14:paraId="61D900F1" w14:textId="77777777" w:rsidR="000015EE" w:rsidRPr="004F27CA" w:rsidRDefault="000015EE" w:rsidP="00272FF1">
      <w:pPr>
        <w:pStyle w:val="Body"/>
        <w:rPr>
          <w:rFonts w:ascii="Arial" w:hAnsi="Arial" w:cs="Arial"/>
          <w:lang w:val="fr-FR"/>
        </w:rPr>
      </w:pPr>
      <w:r w:rsidRPr="00272FF1">
        <w:rPr>
          <w:rFonts w:ascii="Arial" w:hAnsi="Arial" w:cs="Arial"/>
          <w:lang w:val="en-GB"/>
        </w:rPr>
        <w:t xml:space="preserve">Antonio-Nkondjio, C., Ndo, C., </w:t>
      </w:r>
      <w:proofErr w:type="spellStart"/>
      <w:r w:rsidRPr="00272FF1">
        <w:rPr>
          <w:rFonts w:ascii="Arial" w:hAnsi="Arial" w:cs="Arial"/>
          <w:lang w:val="en-GB"/>
        </w:rPr>
        <w:t>Njiokou</w:t>
      </w:r>
      <w:proofErr w:type="spellEnd"/>
      <w:r w:rsidRPr="00272FF1">
        <w:rPr>
          <w:rFonts w:ascii="Arial" w:hAnsi="Arial" w:cs="Arial"/>
          <w:lang w:val="en-GB"/>
        </w:rPr>
        <w:t xml:space="preserve">, F., </w:t>
      </w:r>
      <w:proofErr w:type="spellStart"/>
      <w:r w:rsidRPr="00272FF1">
        <w:rPr>
          <w:rFonts w:ascii="Arial" w:hAnsi="Arial" w:cs="Arial"/>
          <w:lang w:val="en-GB"/>
        </w:rPr>
        <w:t>Bigoga</w:t>
      </w:r>
      <w:proofErr w:type="spellEnd"/>
      <w:r w:rsidRPr="00272FF1">
        <w:rPr>
          <w:rFonts w:ascii="Arial" w:hAnsi="Arial" w:cs="Arial"/>
          <w:lang w:val="en-GB"/>
        </w:rPr>
        <w:t xml:space="preserve"> J.D., </w:t>
      </w:r>
      <w:proofErr w:type="spellStart"/>
      <w:r w:rsidRPr="00272FF1">
        <w:rPr>
          <w:rFonts w:ascii="Arial" w:hAnsi="Arial" w:cs="Arial"/>
          <w:lang w:val="en-GB"/>
        </w:rPr>
        <w:t>Awono</w:t>
      </w:r>
      <w:r w:rsidRPr="00272FF1">
        <w:rPr>
          <w:rFonts w:ascii="Arial" w:hAnsi="Arial" w:cs="Arial"/>
          <w:lang w:val="en-GB"/>
        </w:rPr>
        <w:noBreakHyphen/>
        <w:t>Ambene</w:t>
      </w:r>
      <w:proofErr w:type="spellEnd"/>
      <w:r w:rsidRPr="00272FF1">
        <w:rPr>
          <w:rFonts w:ascii="Arial" w:hAnsi="Arial" w:cs="Arial"/>
          <w:lang w:val="en-GB"/>
        </w:rPr>
        <w:t xml:space="preserve"> P., </w:t>
      </w:r>
      <w:proofErr w:type="spellStart"/>
      <w:r w:rsidRPr="00272FF1">
        <w:rPr>
          <w:rFonts w:ascii="Arial" w:hAnsi="Arial" w:cs="Arial"/>
          <w:lang w:val="en-GB"/>
        </w:rPr>
        <w:t>Etang</w:t>
      </w:r>
      <w:proofErr w:type="spellEnd"/>
      <w:r w:rsidRPr="00272FF1">
        <w:rPr>
          <w:rFonts w:ascii="Arial" w:hAnsi="Arial" w:cs="Arial"/>
          <w:lang w:val="en-GB"/>
        </w:rPr>
        <w:t xml:space="preserve"> J., </w:t>
      </w:r>
      <w:proofErr w:type="spellStart"/>
      <w:r w:rsidRPr="00272FF1">
        <w:rPr>
          <w:rFonts w:ascii="Arial" w:hAnsi="Arial" w:cs="Arial"/>
          <w:lang w:val="en-GB"/>
        </w:rPr>
        <w:t>Ekobo</w:t>
      </w:r>
      <w:proofErr w:type="spellEnd"/>
      <w:r w:rsidRPr="00272FF1">
        <w:rPr>
          <w:rFonts w:ascii="Arial" w:hAnsi="Arial" w:cs="Arial"/>
          <w:lang w:val="en-GB"/>
        </w:rPr>
        <w:t xml:space="preserve"> A.S., </w:t>
      </w:r>
      <w:proofErr w:type="spellStart"/>
      <w:r w:rsidRPr="00272FF1">
        <w:rPr>
          <w:rFonts w:ascii="Arial" w:hAnsi="Arial" w:cs="Arial"/>
          <w:lang w:val="en-GB"/>
        </w:rPr>
        <w:t>Wondji</w:t>
      </w:r>
      <w:proofErr w:type="spellEnd"/>
      <w:r w:rsidRPr="00272FF1">
        <w:rPr>
          <w:rFonts w:ascii="Arial" w:hAnsi="Arial" w:cs="Arial"/>
          <w:lang w:val="en-GB"/>
        </w:rPr>
        <w:t xml:space="preserve"> C.S. (2019). Review of malaria situation in Cameroon: technical viewpoint on challenges and prospects for disease elimination. </w:t>
      </w:r>
      <w:r w:rsidRPr="004F27CA">
        <w:rPr>
          <w:rFonts w:ascii="Arial" w:hAnsi="Arial" w:cs="Arial"/>
          <w:i/>
          <w:iCs/>
          <w:lang w:val="fr-FR"/>
        </w:rPr>
        <w:t xml:space="preserve">Parasites </w:t>
      </w:r>
      <w:proofErr w:type="spellStart"/>
      <w:r w:rsidRPr="004F27CA">
        <w:rPr>
          <w:rFonts w:ascii="Arial" w:hAnsi="Arial" w:cs="Arial"/>
          <w:i/>
          <w:iCs/>
          <w:lang w:val="fr-FR"/>
        </w:rPr>
        <w:t>Vectors</w:t>
      </w:r>
      <w:proofErr w:type="spellEnd"/>
      <w:r w:rsidRPr="004F27CA">
        <w:rPr>
          <w:rFonts w:ascii="Arial" w:hAnsi="Arial" w:cs="Arial"/>
          <w:lang w:val="fr-FR"/>
        </w:rPr>
        <w:t> </w:t>
      </w:r>
      <w:r w:rsidRPr="004F27CA">
        <w:rPr>
          <w:rFonts w:ascii="Arial" w:hAnsi="Arial" w:cs="Arial"/>
          <w:b/>
          <w:bCs/>
          <w:lang w:val="fr-FR"/>
        </w:rPr>
        <w:t>12</w:t>
      </w:r>
      <w:r w:rsidRPr="004F27CA">
        <w:rPr>
          <w:rFonts w:ascii="Arial" w:hAnsi="Arial" w:cs="Arial"/>
          <w:lang w:val="fr-FR"/>
        </w:rPr>
        <w:t xml:space="preserve">, 501 (2019). </w:t>
      </w:r>
      <w:hyperlink r:id="rId20" w:history="1">
        <w:r w:rsidRPr="004F27CA">
          <w:rPr>
            <w:rStyle w:val="Hyperlink"/>
            <w:rFonts w:ascii="Arial" w:hAnsi="Arial" w:cs="Arial"/>
            <w:lang w:val="fr-FR"/>
          </w:rPr>
          <w:t>https://doi.org/10.1186/s13071-019-3753-8</w:t>
        </w:r>
      </w:hyperlink>
    </w:p>
    <w:p w14:paraId="5D05F763" w14:textId="77777777" w:rsidR="000015EE" w:rsidRPr="00272FF1" w:rsidRDefault="000015EE" w:rsidP="00272FF1">
      <w:pPr>
        <w:pStyle w:val="Body"/>
        <w:rPr>
          <w:rFonts w:ascii="Arial" w:hAnsi="Arial" w:cs="Arial"/>
        </w:rPr>
      </w:pPr>
      <w:proofErr w:type="spellStart"/>
      <w:r w:rsidRPr="004F27CA">
        <w:rPr>
          <w:rFonts w:ascii="Arial" w:hAnsi="Arial" w:cs="Arial"/>
          <w:lang w:val="fr-FR"/>
        </w:rPr>
        <w:t>Apinjoh</w:t>
      </w:r>
      <w:proofErr w:type="spellEnd"/>
      <w:r w:rsidRPr="004F27CA">
        <w:rPr>
          <w:rFonts w:ascii="Arial" w:hAnsi="Arial" w:cs="Arial"/>
          <w:lang w:val="fr-FR"/>
        </w:rPr>
        <w:t xml:space="preserve">, T. O., </w:t>
      </w:r>
      <w:proofErr w:type="spellStart"/>
      <w:r w:rsidRPr="004F27CA">
        <w:rPr>
          <w:rFonts w:ascii="Arial" w:hAnsi="Arial" w:cs="Arial"/>
          <w:lang w:val="fr-FR"/>
        </w:rPr>
        <w:t>Mbunwe</w:t>
      </w:r>
      <w:proofErr w:type="spellEnd"/>
      <w:r w:rsidRPr="004F27CA">
        <w:rPr>
          <w:rFonts w:ascii="Arial" w:hAnsi="Arial" w:cs="Arial"/>
          <w:lang w:val="fr-FR"/>
        </w:rPr>
        <w:t xml:space="preserve">, E., </w:t>
      </w:r>
      <w:proofErr w:type="spellStart"/>
      <w:r w:rsidRPr="004F27CA">
        <w:rPr>
          <w:rFonts w:ascii="Arial" w:hAnsi="Arial" w:cs="Arial"/>
          <w:lang w:val="fr-FR"/>
        </w:rPr>
        <w:t>Yafi</w:t>
      </w:r>
      <w:proofErr w:type="spellEnd"/>
      <w:r w:rsidRPr="004F27CA">
        <w:rPr>
          <w:rFonts w:ascii="Arial" w:hAnsi="Arial" w:cs="Arial"/>
          <w:lang w:val="fr-FR"/>
        </w:rPr>
        <w:t xml:space="preserve">, C., </w:t>
      </w:r>
      <w:proofErr w:type="spellStart"/>
      <w:r w:rsidRPr="004F27CA">
        <w:rPr>
          <w:rFonts w:ascii="Arial" w:hAnsi="Arial" w:cs="Arial"/>
          <w:lang w:val="fr-FR"/>
        </w:rPr>
        <w:t>Besingi</w:t>
      </w:r>
      <w:proofErr w:type="spellEnd"/>
      <w:r w:rsidRPr="004F27CA">
        <w:rPr>
          <w:rFonts w:ascii="Arial" w:hAnsi="Arial" w:cs="Arial"/>
          <w:lang w:val="fr-FR"/>
        </w:rPr>
        <w:t xml:space="preserve">, R., </w:t>
      </w:r>
      <w:proofErr w:type="spellStart"/>
      <w:r w:rsidRPr="004F27CA">
        <w:rPr>
          <w:rFonts w:ascii="Arial" w:hAnsi="Arial" w:cs="Arial"/>
          <w:lang w:val="fr-FR"/>
        </w:rPr>
        <w:t>Awah</w:t>
      </w:r>
      <w:proofErr w:type="spellEnd"/>
      <w:r w:rsidRPr="004F27CA">
        <w:rPr>
          <w:rFonts w:ascii="Arial" w:hAnsi="Arial" w:cs="Arial"/>
          <w:lang w:val="fr-FR"/>
        </w:rPr>
        <w:t xml:space="preserve">, N., </w:t>
      </w:r>
      <w:proofErr w:type="spellStart"/>
      <w:r w:rsidRPr="004F27CA">
        <w:rPr>
          <w:rFonts w:ascii="Arial" w:hAnsi="Arial" w:cs="Arial"/>
          <w:lang w:val="fr-FR"/>
        </w:rPr>
        <w:t>Anchang-Kimbi</w:t>
      </w:r>
      <w:proofErr w:type="spellEnd"/>
      <w:r w:rsidRPr="004F27CA">
        <w:rPr>
          <w:rFonts w:ascii="Arial" w:hAnsi="Arial" w:cs="Arial"/>
          <w:lang w:val="fr-FR"/>
        </w:rPr>
        <w:t xml:space="preserve">, J., &amp; </w:t>
      </w:r>
      <w:proofErr w:type="spellStart"/>
      <w:r w:rsidRPr="004F27CA">
        <w:rPr>
          <w:rFonts w:ascii="Arial" w:hAnsi="Arial" w:cs="Arial"/>
          <w:lang w:val="fr-FR"/>
        </w:rPr>
        <w:t>Achidi</w:t>
      </w:r>
      <w:proofErr w:type="spellEnd"/>
      <w:r w:rsidRPr="004F27CA">
        <w:rPr>
          <w:rFonts w:ascii="Arial" w:hAnsi="Arial" w:cs="Arial"/>
          <w:lang w:val="fr-FR"/>
        </w:rPr>
        <w:t xml:space="preserve">, E. A. (2008). </w:t>
      </w:r>
      <w:r w:rsidRPr="00272FF1">
        <w:rPr>
          <w:rFonts w:ascii="Arial" w:hAnsi="Arial" w:cs="Arial"/>
          <w:i/>
          <w:iCs/>
        </w:rPr>
        <w:t xml:space="preserve">Febrile status, malaria </w:t>
      </w:r>
      <w:proofErr w:type="spellStart"/>
      <w:r w:rsidRPr="00272FF1">
        <w:rPr>
          <w:rFonts w:ascii="Arial" w:hAnsi="Arial" w:cs="Arial"/>
          <w:i/>
          <w:iCs/>
        </w:rPr>
        <w:t>parasitaemia</w:t>
      </w:r>
      <w:proofErr w:type="spellEnd"/>
      <w:r w:rsidRPr="00272FF1">
        <w:rPr>
          <w:rFonts w:ascii="Arial" w:hAnsi="Arial" w:cs="Arial"/>
          <w:i/>
          <w:iCs/>
        </w:rPr>
        <w:t xml:space="preserve"> and gastrointestinal helminthiasis in school children resident at different altitudes in south-western Cameroon.</w:t>
      </w:r>
      <w:r w:rsidRPr="00272FF1">
        <w:rPr>
          <w:rFonts w:ascii="Arial" w:hAnsi="Arial" w:cs="Arial"/>
        </w:rPr>
        <w:t xml:space="preserve"> </w:t>
      </w:r>
      <w:r w:rsidRPr="00272FF1">
        <w:rPr>
          <w:rFonts w:ascii="Arial" w:hAnsi="Arial" w:cs="Arial"/>
          <w:i/>
          <w:iCs/>
        </w:rPr>
        <w:t>Annals of Tropical Medicine &amp; Parasitology, 102</w:t>
      </w:r>
      <w:r w:rsidRPr="00272FF1">
        <w:rPr>
          <w:rFonts w:ascii="Arial" w:hAnsi="Arial" w:cs="Arial"/>
        </w:rPr>
        <w:t xml:space="preserve">(2), 103–118. </w:t>
      </w:r>
      <w:hyperlink r:id="rId21" w:history="1">
        <w:r w:rsidRPr="00272FF1">
          <w:rPr>
            <w:rStyle w:val="Hyperlink"/>
            <w:rFonts w:ascii="Arial" w:hAnsi="Arial" w:cs="Arial"/>
          </w:rPr>
          <w:t>https://doi.org/10.1179/136485908X252287</w:t>
        </w:r>
      </w:hyperlink>
      <w:r w:rsidRPr="00272FF1">
        <w:rPr>
          <w:rFonts w:ascii="Arial" w:hAnsi="Arial" w:cs="Arial"/>
        </w:rPr>
        <w:t xml:space="preserve"> </w:t>
      </w:r>
    </w:p>
    <w:p w14:paraId="48F08900" w14:textId="77777777" w:rsidR="000015EE" w:rsidRPr="00272FF1" w:rsidRDefault="000015EE" w:rsidP="00272FF1">
      <w:pPr>
        <w:pStyle w:val="Body"/>
        <w:rPr>
          <w:rFonts w:ascii="Arial" w:hAnsi="Arial" w:cs="Arial"/>
          <w:lang w:val="en-GB"/>
        </w:rPr>
      </w:pPr>
      <w:r w:rsidRPr="00272FF1">
        <w:rPr>
          <w:rFonts w:ascii="Arial" w:hAnsi="Arial" w:cs="Arial"/>
          <w:lang w:val="en-GB"/>
        </w:rPr>
        <w:t xml:space="preserve">Argaw MD (2015). Knowledge and practice on malaria diagnosis and treatment among healthcare providers working in private health facilities in Ethiopia: A cross-sectional facility-based survey. Malaria World Journal, 6(10): 1-8. </w:t>
      </w:r>
      <w:hyperlink r:id="rId22" w:history="1">
        <w:r w:rsidRPr="00272FF1">
          <w:rPr>
            <w:rStyle w:val="Hyperlink"/>
            <w:rFonts w:ascii="Arial" w:hAnsi="Arial" w:cs="Arial"/>
            <w:lang w:val="en-GB"/>
          </w:rPr>
          <w:t>https://doi.org/10.5281/zenodo.10870388</w:t>
        </w:r>
      </w:hyperlink>
    </w:p>
    <w:p w14:paraId="4EC49E64" w14:textId="77777777" w:rsidR="000015EE" w:rsidRPr="00272FF1" w:rsidRDefault="000015EE" w:rsidP="00272FF1">
      <w:pPr>
        <w:pStyle w:val="Body"/>
        <w:rPr>
          <w:rFonts w:ascii="Arial" w:hAnsi="Arial" w:cs="Arial"/>
        </w:rPr>
      </w:pPr>
      <w:proofErr w:type="spellStart"/>
      <w:r w:rsidRPr="00272FF1">
        <w:rPr>
          <w:rFonts w:ascii="Arial" w:hAnsi="Arial" w:cs="Arial"/>
        </w:rPr>
        <w:lastRenderedPageBreak/>
        <w:t>Balikagala</w:t>
      </w:r>
      <w:proofErr w:type="spellEnd"/>
      <w:r w:rsidRPr="00272FF1">
        <w:rPr>
          <w:rFonts w:ascii="Arial" w:hAnsi="Arial" w:cs="Arial"/>
        </w:rPr>
        <w:t xml:space="preserve">, B., Fukuda, N., Ikeda, M., </w:t>
      </w:r>
      <w:proofErr w:type="spellStart"/>
      <w:r w:rsidRPr="00272FF1">
        <w:rPr>
          <w:rFonts w:ascii="Arial" w:hAnsi="Arial" w:cs="Arial"/>
        </w:rPr>
        <w:t>Katuro</w:t>
      </w:r>
      <w:proofErr w:type="spellEnd"/>
      <w:r w:rsidRPr="00272FF1">
        <w:rPr>
          <w:rFonts w:ascii="Arial" w:hAnsi="Arial" w:cs="Arial"/>
        </w:rPr>
        <w:t xml:space="preserve">, O. T., Tachibana, S. I., Yamauchi, M., … &amp; Mita, T. (2021). </w:t>
      </w:r>
      <w:r w:rsidRPr="00272FF1">
        <w:rPr>
          <w:rFonts w:ascii="Arial" w:hAnsi="Arial" w:cs="Arial"/>
          <w:i/>
          <w:iCs/>
        </w:rPr>
        <w:t>Evidence of artemisinin-resistant malaria in Africa.</w:t>
      </w:r>
      <w:r w:rsidRPr="00272FF1">
        <w:rPr>
          <w:rFonts w:ascii="Arial" w:hAnsi="Arial" w:cs="Arial"/>
        </w:rPr>
        <w:t xml:space="preserve"> </w:t>
      </w:r>
      <w:r w:rsidRPr="00272FF1">
        <w:rPr>
          <w:rFonts w:ascii="Arial" w:hAnsi="Arial" w:cs="Arial"/>
          <w:i/>
          <w:iCs/>
        </w:rPr>
        <w:t>New England Journal of Medicine, 385</w:t>
      </w:r>
      <w:r w:rsidRPr="00272FF1">
        <w:rPr>
          <w:rFonts w:ascii="Arial" w:hAnsi="Arial" w:cs="Arial"/>
        </w:rPr>
        <w:t xml:space="preserve">(13), 1163–1171. </w:t>
      </w:r>
      <w:hyperlink r:id="rId23" w:history="1">
        <w:r w:rsidRPr="00272FF1">
          <w:rPr>
            <w:rStyle w:val="Hyperlink"/>
            <w:rFonts w:ascii="Arial" w:hAnsi="Arial" w:cs="Arial"/>
          </w:rPr>
          <w:t>https://doi.org/10.1056/NEJMoa2101746</w:t>
        </w:r>
      </w:hyperlink>
      <w:r w:rsidRPr="00272FF1">
        <w:rPr>
          <w:rFonts w:ascii="Arial" w:hAnsi="Arial" w:cs="Arial"/>
        </w:rPr>
        <w:t xml:space="preserve"> </w:t>
      </w:r>
    </w:p>
    <w:p w14:paraId="67FD308D" w14:textId="77777777" w:rsidR="000015EE" w:rsidRPr="00272FF1" w:rsidRDefault="000015EE" w:rsidP="00272FF1">
      <w:pPr>
        <w:pStyle w:val="Body"/>
        <w:rPr>
          <w:rFonts w:ascii="Arial" w:hAnsi="Arial" w:cs="Arial"/>
        </w:rPr>
      </w:pPr>
      <w:r w:rsidRPr="00272FF1">
        <w:rPr>
          <w:rFonts w:ascii="Arial" w:hAnsi="Arial" w:cs="Arial"/>
        </w:rPr>
        <w:t xml:space="preserve">Biswas, S., Banerjee, S., &amp; Kaur, P. (2021). </w:t>
      </w:r>
      <w:r w:rsidRPr="00272FF1">
        <w:rPr>
          <w:rFonts w:ascii="Arial" w:hAnsi="Arial" w:cs="Arial"/>
          <w:i/>
          <w:iCs/>
        </w:rPr>
        <w:t>Determinants of patient adherence to antimalarial medicines: A systematic review of evidence from sub-Saharan Africa.</w:t>
      </w:r>
      <w:r w:rsidRPr="00272FF1">
        <w:rPr>
          <w:rFonts w:ascii="Arial" w:hAnsi="Arial" w:cs="Arial"/>
        </w:rPr>
        <w:t xml:space="preserve"> </w:t>
      </w:r>
      <w:r w:rsidRPr="00272FF1">
        <w:rPr>
          <w:rFonts w:ascii="Arial" w:hAnsi="Arial" w:cs="Arial"/>
          <w:i/>
          <w:iCs/>
        </w:rPr>
        <w:t>Journal of Multidisciplinary Healthcare, 14</w:t>
      </w:r>
      <w:r w:rsidRPr="00272FF1">
        <w:rPr>
          <w:rFonts w:ascii="Arial" w:hAnsi="Arial" w:cs="Arial"/>
        </w:rPr>
        <w:t xml:space="preserve">, 99–115. </w:t>
      </w:r>
      <w:hyperlink r:id="rId24" w:history="1">
        <w:r w:rsidRPr="00272FF1">
          <w:rPr>
            <w:rStyle w:val="Hyperlink"/>
            <w:rFonts w:ascii="Arial" w:hAnsi="Arial" w:cs="Arial"/>
          </w:rPr>
          <w:t>https://doi.org/10.2147/JMDH.S291944</w:t>
        </w:r>
      </w:hyperlink>
      <w:r w:rsidRPr="00272FF1">
        <w:rPr>
          <w:rFonts w:ascii="Arial" w:hAnsi="Arial" w:cs="Arial"/>
        </w:rPr>
        <w:t xml:space="preserve"> </w:t>
      </w:r>
    </w:p>
    <w:p w14:paraId="773C8356" w14:textId="77777777" w:rsidR="000015EE" w:rsidRPr="00272FF1" w:rsidRDefault="000015EE" w:rsidP="00272FF1">
      <w:pPr>
        <w:pStyle w:val="Body"/>
        <w:rPr>
          <w:rFonts w:ascii="Arial" w:hAnsi="Arial" w:cs="Arial"/>
        </w:rPr>
      </w:pPr>
      <w:r w:rsidRPr="00272FF1">
        <w:rPr>
          <w:rFonts w:ascii="Arial" w:hAnsi="Arial" w:cs="Arial"/>
        </w:rPr>
        <w:t xml:space="preserve">Boyce, M. R., &amp; O’Meara, W. P. (2017). </w:t>
      </w:r>
      <w:r w:rsidRPr="00272FF1">
        <w:rPr>
          <w:rFonts w:ascii="Arial" w:hAnsi="Arial" w:cs="Arial"/>
          <w:i/>
          <w:iCs/>
        </w:rPr>
        <w:t>Use of malaria RDTs in various health contexts across sub-Saharan Africa: a systematic review.</w:t>
      </w:r>
      <w:r w:rsidRPr="00272FF1">
        <w:rPr>
          <w:rFonts w:ascii="Arial" w:hAnsi="Arial" w:cs="Arial"/>
        </w:rPr>
        <w:t xml:space="preserve"> </w:t>
      </w:r>
      <w:r w:rsidRPr="00272FF1">
        <w:rPr>
          <w:rFonts w:ascii="Arial" w:hAnsi="Arial" w:cs="Arial"/>
          <w:i/>
          <w:iCs/>
        </w:rPr>
        <w:t>BMC Public Health, 17</w:t>
      </w:r>
      <w:r w:rsidRPr="00272FF1">
        <w:rPr>
          <w:rFonts w:ascii="Arial" w:hAnsi="Arial" w:cs="Arial"/>
        </w:rPr>
        <w:t xml:space="preserve">, 470. </w:t>
      </w:r>
      <w:hyperlink r:id="rId25" w:history="1">
        <w:r w:rsidRPr="00272FF1">
          <w:rPr>
            <w:rStyle w:val="Hyperlink"/>
            <w:rFonts w:ascii="Arial" w:hAnsi="Arial" w:cs="Arial"/>
          </w:rPr>
          <w:t>https://doi.org/10.1186/s12889-017-4398-1</w:t>
        </w:r>
      </w:hyperlink>
      <w:r w:rsidRPr="00272FF1">
        <w:rPr>
          <w:rFonts w:ascii="Arial" w:hAnsi="Arial" w:cs="Arial"/>
        </w:rPr>
        <w:t xml:space="preserve">   </w:t>
      </w:r>
    </w:p>
    <w:p w14:paraId="67876C95" w14:textId="77777777" w:rsidR="000015EE" w:rsidRPr="00272FF1" w:rsidRDefault="000015EE" w:rsidP="00272FF1">
      <w:pPr>
        <w:pStyle w:val="Body"/>
        <w:rPr>
          <w:rFonts w:ascii="Arial" w:hAnsi="Arial" w:cs="Arial"/>
          <w:lang w:val="en-GB"/>
        </w:rPr>
      </w:pPr>
      <w:proofErr w:type="spellStart"/>
      <w:r w:rsidRPr="00272FF1">
        <w:rPr>
          <w:rFonts w:ascii="Arial" w:hAnsi="Arial" w:cs="Arial"/>
          <w:lang w:val="en-GB"/>
        </w:rPr>
        <w:t>Chapnkem</w:t>
      </w:r>
      <w:proofErr w:type="spellEnd"/>
      <w:r w:rsidRPr="00272FF1">
        <w:rPr>
          <w:rFonts w:ascii="Arial" w:hAnsi="Arial" w:cs="Arial"/>
          <w:lang w:val="en-GB"/>
        </w:rPr>
        <w:t xml:space="preserve"> W.C. (2019). Perceptions of Access to Healthcare in Cameroon by Women of Childbearing Age. PhD thesis. Walden University</w:t>
      </w:r>
    </w:p>
    <w:p w14:paraId="515D7129" w14:textId="77777777" w:rsidR="000015EE" w:rsidRPr="00272FF1" w:rsidRDefault="000015EE" w:rsidP="00272FF1">
      <w:pPr>
        <w:pStyle w:val="Body"/>
        <w:rPr>
          <w:rFonts w:ascii="Arial" w:hAnsi="Arial" w:cs="Arial"/>
          <w:lang w:val="en-GB"/>
        </w:rPr>
      </w:pPr>
      <w:r w:rsidRPr="00272FF1">
        <w:rPr>
          <w:rFonts w:ascii="Arial" w:hAnsi="Arial" w:cs="Arial"/>
          <w:lang w:val="en-GB"/>
        </w:rPr>
        <w:t xml:space="preserve">Hopkins H., Bruxvoort K.J., Cairns M.E., Chandler C.I.R., </w:t>
      </w:r>
      <w:proofErr w:type="spellStart"/>
      <w:r w:rsidRPr="00272FF1">
        <w:rPr>
          <w:rFonts w:ascii="Arial" w:hAnsi="Arial" w:cs="Arial"/>
          <w:lang w:val="en-GB"/>
        </w:rPr>
        <w:t>Leurent</w:t>
      </w:r>
      <w:proofErr w:type="spellEnd"/>
      <w:r w:rsidRPr="00272FF1">
        <w:rPr>
          <w:rFonts w:ascii="Arial" w:hAnsi="Arial" w:cs="Arial"/>
          <w:lang w:val="en-GB"/>
        </w:rPr>
        <w:t xml:space="preserve"> B., Evelyn K Ansah E.K., Baiden F., Kimberly A Baltzell </w:t>
      </w:r>
      <w:r w:rsidRPr="00272FF1">
        <w:rPr>
          <w:rFonts w:ascii="Arial" w:hAnsi="Arial" w:cs="Arial"/>
          <w:i/>
          <w:lang w:val="en-GB"/>
        </w:rPr>
        <w:t>et al.</w:t>
      </w:r>
      <w:r w:rsidRPr="00272FF1">
        <w:rPr>
          <w:rFonts w:ascii="Arial" w:hAnsi="Arial" w:cs="Arial"/>
          <w:lang w:val="en-GB"/>
        </w:rPr>
        <w:t xml:space="preserve"> (2017). Impact of introduction of rapid diagnostic tests for malaria on antibiotic prescribing: analysis of observational and randomised studies in public and private healthcare settings. BMJ, </w:t>
      </w:r>
      <w:proofErr w:type="gramStart"/>
      <w:r w:rsidRPr="00272FF1">
        <w:rPr>
          <w:rFonts w:ascii="Arial" w:hAnsi="Arial" w:cs="Arial"/>
          <w:lang w:val="en-GB"/>
        </w:rPr>
        <w:t>356:j</w:t>
      </w:r>
      <w:proofErr w:type="gramEnd"/>
      <w:r w:rsidRPr="00272FF1">
        <w:rPr>
          <w:rFonts w:ascii="Arial" w:hAnsi="Arial" w:cs="Arial"/>
          <w:lang w:val="en-GB"/>
        </w:rPr>
        <w:t xml:space="preserve">1054 </w:t>
      </w:r>
      <w:hyperlink r:id="rId26" w:history="1">
        <w:r w:rsidRPr="00272FF1">
          <w:rPr>
            <w:rStyle w:val="Hyperlink"/>
            <w:rFonts w:ascii="Arial" w:hAnsi="Arial" w:cs="Arial"/>
            <w:lang w:val="en-GB"/>
          </w:rPr>
          <w:t>http://dx.doi.org/10.1136/bmj.j1054</w:t>
        </w:r>
      </w:hyperlink>
      <w:r w:rsidRPr="00272FF1">
        <w:rPr>
          <w:rFonts w:ascii="Arial" w:hAnsi="Arial" w:cs="Arial"/>
          <w:lang w:val="en-GB"/>
        </w:rPr>
        <w:t xml:space="preserve"> </w:t>
      </w:r>
    </w:p>
    <w:p w14:paraId="08CB145B" w14:textId="77777777" w:rsidR="000015EE" w:rsidRPr="00272FF1" w:rsidRDefault="000015EE" w:rsidP="00272FF1">
      <w:pPr>
        <w:pStyle w:val="Body"/>
        <w:rPr>
          <w:rFonts w:ascii="Arial" w:hAnsi="Arial" w:cs="Arial"/>
          <w:lang w:val="en-GB"/>
        </w:rPr>
      </w:pPr>
      <w:r w:rsidRPr="00272FF1">
        <w:rPr>
          <w:rFonts w:ascii="Arial" w:hAnsi="Arial" w:cs="Arial"/>
          <w:lang w:val="en-GB"/>
        </w:rPr>
        <w:t xml:space="preserve">Jerene D., Fentie G., Teka M., Girma S., </w:t>
      </w:r>
      <w:proofErr w:type="spellStart"/>
      <w:r w:rsidRPr="00272FF1">
        <w:rPr>
          <w:rFonts w:ascii="Arial" w:hAnsi="Arial" w:cs="Arial"/>
          <w:lang w:val="en-GB"/>
        </w:rPr>
        <w:t>Chibsa</w:t>
      </w:r>
      <w:proofErr w:type="spellEnd"/>
      <w:r w:rsidRPr="00272FF1">
        <w:rPr>
          <w:rFonts w:ascii="Arial" w:hAnsi="Arial" w:cs="Arial"/>
          <w:lang w:val="en-GB"/>
        </w:rPr>
        <w:t xml:space="preserve"> S., Teka H., </w:t>
      </w:r>
      <w:proofErr w:type="spellStart"/>
      <w:r w:rsidRPr="00272FF1">
        <w:rPr>
          <w:rFonts w:ascii="Arial" w:hAnsi="Arial" w:cs="Arial"/>
          <w:lang w:val="en-GB"/>
        </w:rPr>
        <w:t>Reithinger</w:t>
      </w:r>
      <w:proofErr w:type="spellEnd"/>
      <w:r w:rsidRPr="00272FF1">
        <w:rPr>
          <w:rFonts w:ascii="Arial" w:hAnsi="Arial" w:cs="Arial"/>
          <w:lang w:val="en-GB"/>
        </w:rPr>
        <w:t xml:space="preserve"> R. (2012). The role of private health facilities in the provision of malaria case management and prevention services in four zones of Oromia Regional State, Ethiopia. International Health, 4(1):70–73. </w:t>
      </w:r>
      <w:hyperlink r:id="rId27" w:history="1">
        <w:r w:rsidRPr="00272FF1">
          <w:rPr>
            <w:rStyle w:val="Hyperlink"/>
            <w:rFonts w:ascii="Arial" w:hAnsi="Arial" w:cs="Arial"/>
            <w:lang w:val="en-GB"/>
          </w:rPr>
          <w:t>https://doi.org/10.1016/j.inhe.2011.11.001</w:t>
        </w:r>
      </w:hyperlink>
    </w:p>
    <w:p w14:paraId="71D88E18" w14:textId="77777777" w:rsidR="000015EE" w:rsidRPr="00272FF1" w:rsidRDefault="000015EE" w:rsidP="00272FF1">
      <w:pPr>
        <w:pStyle w:val="Body"/>
        <w:rPr>
          <w:rFonts w:ascii="Arial" w:hAnsi="Arial" w:cs="Arial"/>
          <w:lang w:val="en-GB"/>
        </w:rPr>
      </w:pPr>
      <w:r w:rsidRPr="00272FF1">
        <w:rPr>
          <w:rFonts w:ascii="Arial" w:hAnsi="Arial" w:cs="Arial"/>
          <w:lang w:val="en-GB"/>
        </w:rPr>
        <w:t xml:space="preserve">Kamya M.R., Nankabirwa J.I., Ebong C., Asua V., Kiggundu M., Orena S., </w:t>
      </w:r>
      <w:proofErr w:type="spellStart"/>
      <w:r w:rsidRPr="00272FF1">
        <w:rPr>
          <w:rFonts w:ascii="Arial" w:hAnsi="Arial" w:cs="Arial"/>
          <w:lang w:val="en-GB"/>
        </w:rPr>
        <w:t>Okitwi</w:t>
      </w:r>
      <w:proofErr w:type="spellEnd"/>
      <w:r w:rsidRPr="00272FF1">
        <w:rPr>
          <w:rFonts w:ascii="Arial" w:hAnsi="Arial" w:cs="Arial"/>
          <w:lang w:val="en-GB"/>
        </w:rPr>
        <w:t xml:space="preserve"> M., Tukwasibwe S., Agaba B., </w:t>
      </w:r>
      <w:proofErr w:type="spellStart"/>
      <w:r w:rsidRPr="00272FF1">
        <w:rPr>
          <w:rFonts w:ascii="Arial" w:hAnsi="Arial" w:cs="Arial"/>
          <w:lang w:val="en-GB"/>
        </w:rPr>
        <w:t>Kyabayinze</w:t>
      </w:r>
      <w:proofErr w:type="spellEnd"/>
      <w:r w:rsidRPr="00272FF1">
        <w:rPr>
          <w:rFonts w:ascii="Arial" w:hAnsi="Arial" w:cs="Arial"/>
          <w:lang w:val="en-GB"/>
        </w:rPr>
        <w:t xml:space="preserve"> D </w:t>
      </w:r>
      <w:r w:rsidRPr="00272FF1">
        <w:rPr>
          <w:rFonts w:ascii="Arial" w:hAnsi="Arial" w:cs="Arial"/>
          <w:i/>
          <w:lang w:val="en-GB"/>
        </w:rPr>
        <w:t>et al.</w:t>
      </w:r>
      <w:r w:rsidRPr="00272FF1">
        <w:rPr>
          <w:rFonts w:ascii="Arial" w:hAnsi="Arial" w:cs="Arial"/>
          <w:lang w:val="en-GB"/>
        </w:rPr>
        <w:t xml:space="preserve"> (2025). Efficacies of artemether–lumefantrine, artesunate–amodiaquine, </w:t>
      </w:r>
      <w:proofErr w:type="spellStart"/>
      <w:r w:rsidRPr="00272FF1">
        <w:rPr>
          <w:rFonts w:ascii="Arial" w:hAnsi="Arial" w:cs="Arial"/>
          <w:lang w:val="en-GB"/>
        </w:rPr>
        <w:t>dihydroartemisinin</w:t>
      </w:r>
      <w:proofErr w:type="spellEnd"/>
      <w:r w:rsidRPr="00272FF1">
        <w:rPr>
          <w:rFonts w:ascii="Arial" w:hAnsi="Arial" w:cs="Arial"/>
          <w:lang w:val="en-GB"/>
        </w:rPr>
        <w:t>–piperaquine, and artesunate–pyronaridine for the treatment of uncomplicated </w:t>
      </w:r>
      <w:r w:rsidRPr="00272FF1">
        <w:rPr>
          <w:rFonts w:ascii="Arial" w:hAnsi="Arial" w:cs="Arial"/>
          <w:i/>
          <w:iCs/>
          <w:lang w:val="en-GB"/>
        </w:rPr>
        <w:t>Plasmodium falciparum</w:t>
      </w:r>
      <w:r w:rsidRPr="00272FF1">
        <w:rPr>
          <w:rFonts w:ascii="Arial" w:hAnsi="Arial" w:cs="Arial"/>
          <w:lang w:val="en-GB"/>
        </w:rPr>
        <w:t xml:space="preserve"> malaria in children aged 6 months to 10 years in Uganda: a randomised, open-label, phase 4 clinical trial. The Lancet Infectious Diseases, 19.   </w:t>
      </w:r>
      <w:hyperlink r:id="rId28" w:history="1">
        <w:r w:rsidRPr="00272FF1">
          <w:rPr>
            <w:rStyle w:val="Hyperlink"/>
            <w:rFonts w:ascii="Arial" w:hAnsi="Arial" w:cs="Arial"/>
            <w:lang w:val="en-GB"/>
          </w:rPr>
          <w:t>https://doi.org/10.1016/S1473-3099(25)00407-4</w:t>
        </w:r>
      </w:hyperlink>
      <w:r w:rsidRPr="00272FF1">
        <w:rPr>
          <w:rFonts w:ascii="Arial" w:hAnsi="Arial" w:cs="Arial"/>
          <w:lang w:val="en-GB"/>
        </w:rPr>
        <w:t xml:space="preserve">  </w:t>
      </w:r>
    </w:p>
    <w:p w14:paraId="1BD020E9" w14:textId="77777777" w:rsidR="000015EE" w:rsidRPr="00272FF1" w:rsidRDefault="000015EE" w:rsidP="00272FF1">
      <w:pPr>
        <w:pStyle w:val="Body"/>
        <w:rPr>
          <w:rFonts w:ascii="Arial" w:hAnsi="Arial" w:cs="Arial"/>
          <w:lang w:val="en-GB"/>
        </w:rPr>
      </w:pPr>
      <w:proofErr w:type="spellStart"/>
      <w:r w:rsidRPr="00272FF1">
        <w:rPr>
          <w:rFonts w:ascii="Arial" w:hAnsi="Arial" w:cs="Arial"/>
          <w:lang w:val="en-GB"/>
        </w:rPr>
        <w:t>Karunamoorthia</w:t>
      </w:r>
      <w:proofErr w:type="spellEnd"/>
      <w:r w:rsidRPr="00272FF1">
        <w:rPr>
          <w:rFonts w:ascii="Arial" w:hAnsi="Arial" w:cs="Arial"/>
          <w:lang w:val="en-GB"/>
        </w:rPr>
        <w:t xml:space="preserve"> K. &amp; Bekele M. (2009). Prevalence of malaria from peripheral blood smears examination: A1-year retrospective study from the </w:t>
      </w:r>
      <w:proofErr w:type="spellStart"/>
      <w:r w:rsidRPr="00272FF1">
        <w:rPr>
          <w:rFonts w:ascii="Arial" w:hAnsi="Arial" w:cs="Arial"/>
          <w:lang w:val="en-GB"/>
        </w:rPr>
        <w:t>Serbo</w:t>
      </w:r>
      <w:proofErr w:type="spellEnd"/>
      <w:r w:rsidRPr="00272FF1">
        <w:rPr>
          <w:rFonts w:ascii="Arial" w:hAnsi="Arial" w:cs="Arial"/>
          <w:lang w:val="en-GB"/>
        </w:rPr>
        <w:t xml:space="preserve"> Health </w:t>
      </w:r>
      <w:proofErr w:type="spellStart"/>
      <w:r w:rsidRPr="00272FF1">
        <w:rPr>
          <w:rFonts w:ascii="Arial" w:hAnsi="Arial" w:cs="Arial"/>
          <w:lang w:val="en-GB"/>
        </w:rPr>
        <w:t>Center</w:t>
      </w:r>
      <w:proofErr w:type="spellEnd"/>
      <w:r w:rsidRPr="00272FF1">
        <w:rPr>
          <w:rFonts w:ascii="Arial" w:hAnsi="Arial" w:cs="Arial"/>
          <w:lang w:val="en-GB"/>
        </w:rPr>
        <w:t xml:space="preserve">, </w:t>
      </w:r>
      <w:proofErr w:type="spellStart"/>
      <w:r w:rsidRPr="00272FF1">
        <w:rPr>
          <w:rFonts w:ascii="Arial" w:hAnsi="Arial" w:cs="Arial"/>
          <w:lang w:val="en-GB"/>
        </w:rPr>
        <w:t>Kersa</w:t>
      </w:r>
      <w:proofErr w:type="spellEnd"/>
      <w:r w:rsidRPr="00272FF1">
        <w:rPr>
          <w:rFonts w:ascii="Arial" w:hAnsi="Arial" w:cs="Arial"/>
          <w:lang w:val="en-GB"/>
        </w:rPr>
        <w:t xml:space="preserve"> Woreda, Ethiopia. Journal of Infection and Public Health, 2:171—176</w:t>
      </w:r>
    </w:p>
    <w:p w14:paraId="1A8B5D98" w14:textId="77777777" w:rsidR="000015EE" w:rsidRPr="00272FF1" w:rsidRDefault="000015EE" w:rsidP="00272FF1">
      <w:pPr>
        <w:pStyle w:val="Body"/>
        <w:rPr>
          <w:rFonts w:ascii="Arial" w:hAnsi="Arial" w:cs="Arial"/>
        </w:rPr>
      </w:pPr>
      <w:r w:rsidRPr="00272FF1">
        <w:rPr>
          <w:rFonts w:ascii="Arial" w:hAnsi="Arial" w:cs="Arial"/>
        </w:rPr>
        <w:t xml:space="preserve">Mangham-Jefferies, L., Hanson, K., </w:t>
      </w:r>
      <w:proofErr w:type="spellStart"/>
      <w:r w:rsidRPr="00272FF1">
        <w:rPr>
          <w:rFonts w:ascii="Arial" w:hAnsi="Arial" w:cs="Arial"/>
        </w:rPr>
        <w:t>Mbacham</w:t>
      </w:r>
      <w:proofErr w:type="spellEnd"/>
      <w:r w:rsidRPr="00272FF1">
        <w:rPr>
          <w:rFonts w:ascii="Arial" w:hAnsi="Arial" w:cs="Arial"/>
        </w:rPr>
        <w:t xml:space="preserve">, W., </w:t>
      </w:r>
      <w:proofErr w:type="spellStart"/>
      <w:r w:rsidRPr="00272FF1">
        <w:rPr>
          <w:rFonts w:ascii="Arial" w:hAnsi="Arial" w:cs="Arial"/>
        </w:rPr>
        <w:t>Onwujekwe</w:t>
      </w:r>
      <w:proofErr w:type="spellEnd"/>
      <w:r w:rsidRPr="00272FF1">
        <w:rPr>
          <w:rFonts w:ascii="Arial" w:hAnsi="Arial" w:cs="Arial"/>
        </w:rPr>
        <w:t xml:space="preserve">, O., &amp; Wiseman, V. (2014). </w:t>
      </w:r>
      <w:r w:rsidRPr="00272FF1">
        <w:rPr>
          <w:rFonts w:ascii="Arial" w:hAnsi="Arial" w:cs="Arial"/>
          <w:i/>
          <w:iCs/>
        </w:rPr>
        <w:t>Mind the gap: knowledge and practice of providers treating uncomplicated malaria at public and mission health facilities, pharmacies and drug stores in Cameroon and Nigeria.</w:t>
      </w:r>
      <w:r w:rsidRPr="00272FF1">
        <w:rPr>
          <w:rFonts w:ascii="Arial" w:hAnsi="Arial" w:cs="Arial"/>
        </w:rPr>
        <w:t xml:space="preserve"> </w:t>
      </w:r>
      <w:r w:rsidRPr="00272FF1">
        <w:rPr>
          <w:rFonts w:ascii="Arial" w:hAnsi="Arial" w:cs="Arial"/>
          <w:i/>
          <w:iCs/>
        </w:rPr>
        <w:t>Health Policy and Planning, 30</w:t>
      </w:r>
      <w:r w:rsidRPr="00272FF1">
        <w:rPr>
          <w:rFonts w:ascii="Arial" w:hAnsi="Arial" w:cs="Arial"/>
        </w:rPr>
        <w:t xml:space="preserve">(9), 1129–1141. </w:t>
      </w:r>
      <w:hyperlink r:id="rId29" w:history="1">
        <w:r w:rsidRPr="00272FF1">
          <w:rPr>
            <w:rStyle w:val="Hyperlink"/>
            <w:rFonts w:ascii="Arial" w:hAnsi="Arial" w:cs="Arial"/>
          </w:rPr>
          <w:t>https://doi.org/10.1093/heapol/czu118</w:t>
        </w:r>
      </w:hyperlink>
      <w:r w:rsidRPr="00272FF1">
        <w:rPr>
          <w:rFonts w:ascii="Arial" w:hAnsi="Arial" w:cs="Arial"/>
        </w:rPr>
        <w:t xml:space="preserve"> </w:t>
      </w:r>
    </w:p>
    <w:p w14:paraId="6F92469D" w14:textId="77777777" w:rsidR="000015EE" w:rsidRPr="00272FF1" w:rsidRDefault="000015EE" w:rsidP="00272FF1">
      <w:pPr>
        <w:pStyle w:val="Body"/>
        <w:rPr>
          <w:rFonts w:ascii="Arial" w:hAnsi="Arial" w:cs="Arial"/>
          <w:lang w:val="en-GB"/>
        </w:rPr>
      </w:pPr>
      <w:r w:rsidRPr="00272FF1">
        <w:rPr>
          <w:rFonts w:ascii="Arial" w:hAnsi="Arial" w:cs="Arial"/>
          <w:lang w:val="en-GB"/>
        </w:rPr>
        <w:t xml:space="preserve">Marilyne Daher M., Al Rifai M., </w:t>
      </w:r>
      <w:proofErr w:type="spellStart"/>
      <w:r w:rsidRPr="00272FF1">
        <w:rPr>
          <w:rFonts w:ascii="Arial" w:hAnsi="Arial" w:cs="Arial"/>
          <w:lang w:val="en-GB"/>
        </w:rPr>
        <w:t>Kherallah</w:t>
      </w:r>
      <w:proofErr w:type="spellEnd"/>
      <w:r w:rsidRPr="00272FF1">
        <w:rPr>
          <w:rFonts w:ascii="Arial" w:hAnsi="Arial" w:cs="Arial"/>
          <w:lang w:val="en-GB"/>
        </w:rPr>
        <w:t xml:space="preserve"> R.Y., Rodriguez F., </w:t>
      </w:r>
      <w:proofErr w:type="spellStart"/>
      <w:r w:rsidRPr="00272FF1">
        <w:rPr>
          <w:rFonts w:ascii="Arial" w:hAnsi="Arial" w:cs="Arial"/>
          <w:lang w:val="en-GB"/>
        </w:rPr>
        <w:t>Mahtta</w:t>
      </w:r>
      <w:proofErr w:type="spellEnd"/>
      <w:r w:rsidRPr="00272FF1">
        <w:rPr>
          <w:rFonts w:ascii="Arial" w:hAnsi="Arial" w:cs="Arial"/>
          <w:lang w:val="en-GB"/>
        </w:rPr>
        <w:t xml:space="preserve"> D., Michos E.D., Khan S.U., Petersen L.A., Virani S.S. (2021). Gender disparities in difficulty accessing healthcare and cost-related medication non-adherence: The CDC behavioural risk factor surveillance system (BRFSS) survey. Preventive Medicine, 153:106779. </w:t>
      </w:r>
      <w:hyperlink r:id="rId30" w:tgtFrame="_blank" w:tooltip="Persistent link using digital object identifier" w:history="1">
        <w:r w:rsidRPr="00272FF1">
          <w:rPr>
            <w:rStyle w:val="Hyperlink"/>
            <w:rFonts w:ascii="Arial" w:hAnsi="Arial" w:cs="Arial"/>
            <w:lang w:val="en-GB"/>
          </w:rPr>
          <w:t>https://doi.org/10.1016/j.ypmed.2021.106779</w:t>
        </w:r>
      </w:hyperlink>
      <w:r w:rsidRPr="00272FF1">
        <w:rPr>
          <w:rFonts w:ascii="Arial" w:hAnsi="Arial" w:cs="Arial"/>
          <w:lang w:val="en-GB"/>
        </w:rPr>
        <w:t xml:space="preserve"> </w:t>
      </w:r>
    </w:p>
    <w:p w14:paraId="59ABF04A" w14:textId="77777777" w:rsidR="000015EE" w:rsidRPr="00272FF1" w:rsidRDefault="000015EE" w:rsidP="00272FF1">
      <w:pPr>
        <w:pStyle w:val="Body"/>
        <w:rPr>
          <w:rFonts w:ascii="Arial" w:hAnsi="Arial" w:cs="Arial"/>
          <w:lang w:val="en-GB"/>
        </w:rPr>
      </w:pPr>
      <w:proofErr w:type="spellStart"/>
      <w:r w:rsidRPr="00272FF1">
        <w:rPr>
          <w:rFonts w:ascii="Arial" w:hAnsi="Arial" w:cs="Arial"/>
          <w:lang w:val="en-GB"/>
        </w:rPr>
        <w:t>Missoup</w:t>
      </w:r>
      <w:proofErr w:type="spellEnd"/>
      <w:r w:rsidRPr="00272FF1">
        <w:rPr>
          <w:rFonts w:ascii="Arial" w:hAnsi="Arial" w:cs="Arial"/>
          <w:lang w:val="en-GB"/>
        </w:rPr>
        <w:t xml:space="preserve"> V.O., Suh P.F., </w:t>
      </w:r>
      <w:proofErr w:type="spellStart"/>
      <w:r w:rsidRPr="00272FF1">
        <w:rPr>
          <w:rFonts w:ascii="Arial" w:hAnsi="Arial" w:cs="Arial"/>
          <w:lang w:val="en-GB"/>
        </w:rPr>
        <w:t>Ndjebakal</w:t>
      </w:r>
      <w:proofErr w:type="spellEnd"/>
      <w:r w:rsidRPr="00272FF1">
        <w:rPr>
          <w:rFonts w:ascii="Arial" w:hAnsi="Arial" w:cs="Arial"/>
          <w:lang w:val="en-GB"/>
        </w:rPr>
        <w:t xml:space="preserve"> C.N., </w:t>
      </w:r>
      <w:proofErr w:type="spellStart"/>
      <w:r w:rsidRPr="00272FF1">
        <w:rPr>
          <w:rFonts w:ascii="Arial" w:hAnsi="Arial" w:cs="Arial"/>
          <w:lang w:val="en-GB"/>
        </w:rPr>
        <w:t>Tagne</w:t>
      </w:r>
      <w:proofErr w:type="spellEnd"/>
      <w:r w:rsidRPr="00272FF1">
        <w:rPr>
          <w:rFonts w:ascii="Arial" w:hAnsi="Arial" w:cs="Arial"/>
          <w:lang w:val="en-GB"/>
        </w:rPr>
        <w:t xml:space="preserve"> D., </w:t>
      </w:r>
      <w:proofErr w:type="spellStart"/>
      <w:r w:rsidRPr="00272FF1">
        <w:rPr>
          <w:rFonts w:ascii="Arial" w:hAnsi="Arial" w:cs="Arial"/>
          <w:lang w:val="en-GB"/>
        </w:rPr>
        <w:t>Poumachu</w:t>
      </w:r>
      <w:proofErr w:type="spellEnd"/>
      <w:r w:rsidRPr="00272FF1">
        <w:rPr>
          <w:rFonts w:ascii="Arial" w:hAnsi="Arial" w:cs="Arial"/>
          <w:lang w:val="en-GB"/>
        </w:rPr>
        <w:t xml:space="preserve"> Y., Joko S., </w:t>
      </w:r>
      <w:proofErr w:type="spellStart"/>
      <w:r w:rsidRPr="00272FF1">
        <w:rPr>
          <w:rFonts w:ascii="Arial" w:hAnsi="Arial" w:cs="Arial"/>
          <w:lang w:val="en-GB"/>
        </w:rPr>
        <w:t>Djilla</w:t>
      </w:r>
      <w:proofErr w:type="spellEnd"/>
      <w:r w:rsidRPr="00272FF1">
        <w:rPr>
          <w:rFonts w:ascii="Arial" w:hAnsi="Arial" w:cs="Arial"/>
          <w:lang w:val="en-GB"/>
        </w:rPr>
        <w:t xml:space="preserve"> A.K., </w:t>
      </w:r>
      <w:proofErr w:type="spellStart"/>
      <w:r w:rsidRPr="00272FF1">
        <w:rPr>
          <w:rFonts w:ascii="Arial" w:hAnsi="Arial" w:cs="Arial"/>
          <w:lang w:val="en-GB"/>
        </w:rPr>
        <w:t>Njiokou</w:t>
      </w:r>
      <w:proofErr w:type="spellEnd"/>
      <w:r w:rsidRPr="00272FF1">
        <w:rPr>
          <w:rFonts w:ascii="Arial" w:hAnsi="Arial" w:cs="Arial"/>
          <w:lang w:val="en-GB"/>
        </w:rPr>
        <w:t xml:space="preserve"> F., </w:t>
      </w:r>
      <w:proofErr w:type="spellStart"/>
      <w:r w:rsidRPr="00272FF1">
        <w:rPr>
          <w:rFonts w:ascii="Arial" w:hAnsi="Arial" w:cs="Arial"/>
          <w:lang w:val="en-GB"/>
        </w:rPr>
        <w:t>Mbacham</w:t>
      </w:r>
      <w:proofErr w:type="spellEnd"/>
      <w:r w:rsidRPr="00272FF1">
        <w:rPr>
          <w:rFonts w:ascii="Arial" w:hAnsi="Arial" w:cs="Arial"/>
          <w:lang w:val="en-GB"/>
        </w:rPr>
        <w:t xml:space="preserve"> W., </w:t>
      </w:r>
      <w:proofErr w:type="spellStart"/>
      <w:r w:rsidRPr="00272FF1">
        <w:rPr>
          <w:rFonts w:ascii="Arial" w:hAnsi="Arial" w:cs="Arial"/>
          <w:lang w:val="en-GB"/>
        </w:rPr>
        <w:t>Wondji</w:t>
      </w:r>
      <w:proofErr w:type="spellEnd"/>
      <w:r w:rsidRPr="00272FF1">
        <w:rPr>
          <w:rFonts w:ascii="Arial" w:hAnsi="Arial" w:cs="Arial"/>
          <w:lang w:val="en-GB"/>
        </w:rPr>
        <w:t xml:space="preserve"> C. &amp; Ndo C. (2025). Malaria infection prevalence and diagnostic performance of the Abbott </w:t>
      </w:r>
      <w:proofErr w:type="spellStart"/>
      <w:r w:rsidRPr="00272FF1">
        <w:rPr>
          <w:rFonts w:ascii="Arial" w:hAnsi="Arial" w:cs="Arial"/>
          <w:lang w:val="en-GB"/>
        </w:rPr>
        <w:t>Bioline</w:t>
      </w:r>
      <w:proofErr w:type="spellEnd"/>
      <w:r w:rsidRPr="00272FF1">
        <w:rPr>
          <w:rFonts w:ascii="Arial" w:hAnsi="Arial" w:cs="Arial"/>
          <w:lang w:val="en-GB"/>
        </w:rPr>
        <w:t xml:space="preserve"> Malaria Ag </w:t>
      </w:r>
      <w:proofErr w:type="spellStart"/>
      <w:r w:rsidRPr="00272FF1">
        <w:rPr>
          <w:rFonts w:ascii="Arial" w:hAnsi="Arial" w:cs="Arial"/>
          <w:lang w:val="en-GB"/>
        </w:rPr>
        <w:t>P.f</w:t>
      </w:r>
      <w:proofErr w:type="spellEnd"/>
      <w:r w:rsidRPr="00272FF1">
        <w:rPr>
          <w:rFonts w:ascii="Arial" w:hAnsi="Arial" w:cs="Arial"/>
          <w:lang w:val="en-GB"/>
        </w:rPr>
        <w:t xml:space="preserve">/Pan rapid test in rural populations of Central Cameroon. Scientific Reports, 15:27930. </w:t>
      </w:r>
      <w:hyperlink r:id="rId31" w:history="1">
        <w:r w:rsidRPr="00272FF1">
          <w:rPr>
            <w:rStyle w:val="Hyperlink"/>
            <w:rFonts w:ascii="Arial" w:hAnsi="Arial" w:cs="Arial"/>
            <w:lang w:val="en-GB"/>
          </w:rPr>
          <w:t>https://doi.org/10.1038/s41598-025-13688-8</w:t>
        </w:r>
      </w:hyperlink>
    </w:p>
    <w:p w14:paraId="342E3F72" w14:textId="77777777" w:rsidR="000015EE" w:rsidRPr="00272FF1" w:rsidRDefault="000015EE" w:rsidP="00272FF1">
      <w:pPr>
        <w:pStyle w:val="Body"/>
        <w:rPr>
          <w:rFonts w:ascii="Arial" w:hAnsi="Arial" w:cs="Arial"/>
          <w:lang w:val="en-GB"/>
        </w:rPr>
      </w:pPr>
      <w:r w:rsidRPr="00272FF1">
        <w:rPr>
          <w:rFonts w:ascii="Arial" w:hAnsi="Arial" w:cs="Arial"/>
          <w:lang w:val="en-GB"/>
        </w:rPr>
        <w:lastRenderedPageBreak/>
        <w:t xml:space="preserve">Mortazavi SE, </w:t>
      </w:r>
      <w:proofErr w:type="spellStart"/>
      <w:r w:rsidRPr="00272FF1">
        <w:rPr>
          <w:rFonts w:ascii="Arial" w:hAnsi="Arial" w:cs="Arial"/>
          <w:lang w:val="en-GB"/>
        </w:rPr>
        <w:t>Lugaajju</w:t>
      </w:r>
      <w:proofErr w:type="spellEnd"/>
      <w:r w:rsidRPr="00272FF1">
        <w:rPr>
          <w:rFonts w:ascii="Arial" w:hAnsi="Arial" w:cs="Arial"/>
          <w:lang w:val="en-GB"/>
        </w:rPr>
        <w:t xml:space="preserve"> A, Ivarsson A-C, Karlsson </w:t>
      </w:r>
      <w:proofErr w:type="spellStart"/>
      <w:r w:rsidRPr="00272FF1">
        <w:rPr>
          <w:rFonts w:ascii="Arial" w:hAnsi="Arial" w:cs="Arial"/>
          <w:lang w:val="en-GB"/>
        </w:rPr>
        <w:t>Söbirk</w:t>
      </w:r>
      <w:proofErr w:type="spellEnd"/>
      <w:r w:rsidRPr="00272FF1">
        <w:rPr>
          <w:rFonts w:ascii="Arial" w:hAnsi="Arial" w:cs="Arial"/>
          <w:lang w:val="en-GB"/>
        </w:rPr>
        <w:t xml:space="preserve"> S, </w:t>
      </w:r>
      <w:proofErr w:type="spellStart"/>
      <w:r w:rsidRPr="00272FF1">
        <w:rPr>
          <w:rFonts w:ascii="Arial" w:hAnsi="Arial" w:cs="Arial"/>
          <w:lang w:val="en-GB"/>
        </w:rPr>
        <w:t>Norrgren</w:t>
      </w:r>
      <w:proofErr w:type="spellEnd"/>
      <w:r w:rsidRPr="00272FF1">
        <w:rPr>
          <w:rFonts w:ascii="Arial" w:hAnsi="Arial" w:cs="Arial"/>
          <w:lang w:val="en-GB"/>
        </w:rPr>
        <w:t xml:space="preserve"> H and Persson KEM (2025) High rate of false positive malaria rapid diagnostic tests in a district hospital in Uganda. Front. Malar. 3:1545825. </w:t>
      </w:r>
      <w:hyperlink r:id="rId32" w:history="1">
        <w:r w:rsidRPr="00272FF1">
          <w:rPr>
            <w:rStyle w:val="Hyperlink"/>
            <w:rFonts w:ascii="Arial" w:hAnsi="Arial" w:cs="Arial"/>
            <w:lang w:val="en-GB"/>
          </w:rPr>
          <w:t>https://doi.org/10.3389/fmala.2025.1545825</w:t>
        </w:r>
      </w:hyperlink>
      <w:r w:rsidRPr="00272FF1">
        <w:rPr>
          <w:rFonts w:ascii="Arial" w:hAnsi="Arial" w:cs="Arial"/>
          <w:lang w:val="en-GB"/>
        </w:rPr>
        <w:t xml:space="preserve"> </w:t>
      </w:r>
    </w:p>
    <w:p w14:paraId="6D44B5DA" w14:textId="77777777" w:rsidR="000015EE" w:rsidRPr="00272FF1" w:rsidRDefault="000015EE" w:rsidP="00272FF1">
      <w:pPr>
        <w:pStyle w:val="Body"/>
        <w:rPr>
          <w:rFonts w:ascii="Arial" w:hAnsi="Arial" w:cs="Arial"/>
          <w:lang w:val="en-GB"/>
        </w:rPr>
      </w:pPr>
      <w:r w:rsidRPr="00272FF1">
        <w:rPr>
          <w:rFonts w:ascii="Arial" w:hAnsi="Arial" w:cs="Arial"/>
          <w:lang w:val="en-GB"/>
        </w:rPr>
        <w:t xml:space="preserve">National Institute of Statistics (NIS), National Malaria Control Programme (NMCP), and ICF. 2023. Cameroon Malaria Indicator Survey 2022. Key Indicators Report. </w:t>
      </w:r>
      <w:proofErr w:type="spellStart"/>
      <w:r w:rsidRPr="00272FF1">
        <w:rPr>
          <w:rFonts w:ascii="Arial" w:hAnsi="Arial" w:cs="Arial"/>
          <w:lang w:val="en-GB"/>
        </w:rPr>
        <w:t>Yaounde</w:t>
      </w:r>
      <w:proofErr w:type="spellEnd"/>
      <w:r w:rsidRPr="00272FF1">
        <w:rPr>
          <w:rFonts w:ascii="Arial" w:hAnsi="Arial" w:cs="Arial"/>
          <w:lang w:val="en-GB"/>
        </w:rPr>
        <w:t>, Cameroon, and Rockville, Maryland, USA: NIS, NMCP, and ICF.</w:t>
      </w:r>
    </w:p>
    <w:p w14:paraId="00016A4E" w14:textId="77777777" w:rsidR="000015EE" w:rsidRPr="00272FF1" w:rsidRDefault="000015EE" w:rsidP="00272FF1">
      <w:pPr>
        <w:pStyle w:val="Body"/>
        <w:rPr>
          <w:rFonts w:ascii="Arial" w:hAnsi="Arial" w:cs="Arial"/>
        </w:rPr>
      </w:pPr>
      <w:proofErr w:type="spellStart"/>
      <w:r w:rsidRPr="00272FF1">
        <w:rPr>
          <w:rFonts w:ascii="Arial" w:hAnsi="Arial" w:cs="Arial"/>
        </w:rPr>
        <w:t>Nnoko</w:t>
      </w:r>
      <w:proofErr w:type="spellEnd"/>
      <w:r w:rsidRPr="00272FF1">
        <w:rPr>
          <w:rFonts w:ascii="Arial" w:hAnsi="Arial" w:cs="Arial"/>
        </w:rPr>
        <w:t xml:space="preserve">, S. A., Bate, D. O., </w:t>
      </w:r>
      <w:proofErr w:type="spellStart"/>
      <w:r w:rsidRPr="00272FF1">
        <w:rPr>
          <w:rFonts w:ascii="Arial" w:hAnsi="Arial" w:cs="Arial"/>
        </w:rPr>
        <w:t>Abuuchiche</w:t>
      </w:r>
      <w:proofErr w:type="spellEnd"/>
      <w:r w:rsidRPr="00272FF1">
        <w:rPr>
          <w:rFonts w:ascii="Arial" w:hAnsi="Arial" w:cs="Arial"/>
        </w:rPr>
        <w:t xml:space="preserve">, F. B. I., Enow, N. B. E., </w:t>
      </w:r>
      <w:proofErr w:type="spellStart"/>
      <w:r w:rsidRPr="00272FF1">
        <w:rPr>
          <w:rFonts w:ascii="Arial" w:hAnsi="Arial" w:cs="Arial"/>
        </w:rPr>
        <w:t>Ntungwe</w:t>
      </w:r>
      <w:proofErr w:type="spellEnd"/>
      <w:r w:rsidRPr="00272FF1">
        <w:rPr>
          <w:rFonts w:ascii="Arial" w:hAnsi="Arial" w:cs="Arial"/>
        </w:rPr>
        <w:t xml:space="preserve">, E. S., &amp; </w:t>
      </w:r>
      <w:proofErr w:type="spellStart"/>
      <w:r w:rsidRPr="00272FF1">
        <w:rPr>
          <w:rFonts w:ascii="Arial" w:hAnsi="Arial" w:cs="Arial"/>
        </w:rPr>
        <w:t>Eboumbou</w:t>
      </w:r>
      <w:proofErr w:type="spellEnd"/>
      <w:r w:rsidRPr="00272FF1">
        <w:rPr>
          <w:rFonts w:ascii="Arial" w:hAnsi="Arial" w:cs="Arial"/>
        </w:rPr>
        <w:t xml:space="preserve">, M. C. (2025). </w:t>
      </w:r>
      <w:r w:rsidRPr="00272FF1">
        <w:rPr>
          <w:rFonts w:ascii="Arial" w:hAnsi="Arial" w:cs="Arial"/>
          <w:i/>
          <w:iCs/>
        </w:rPr>
        <w:t>Assessment of Prescribers’ Knowledge, Diagnostic Decision-Making, and Rational Antimalarial Drug Use in the Management of Uncomplicated Malaria in the Buea Health District, Cameroon.</w:t>
      </w:r>
      <w:r w:rsidRPr="00272FF1">
        <w:rPr>
          <w:rFonts w:ascii="Arial" w:hAnsi="Arial" w:cs="Arial"/>
        </w:rPr>
        <w:t xml:space="preserve"> </w:t>
      </w:r>
      <w:r w:rsidRPr="00272FF1">
        <w:rPr>
          <w:rFonts w:ascii="Arial" w:hAnsi="Arial" w:cs="Arial"/>
          <w:i/>
          <w:iCs/>
        </w:rPr>
        <w:t>Journal of Advances in Medical and Pharmaceutical Sciences, 27</w:t>
      </w:r>
      <w:r w:rsidRPr="00272FF1">
        <w:rPr>
          <w:rFonts w:ascii="Arial" w:hAnsi="Arial" w:cs="Arial"/>
        </w:rPr>
        <w:t xml:space="preserve">(11), 116–133. </w:t>
      </w:r>
      <w:hyperlink r:id="rId33" w:history="1">
        <w:r w:rsidRPr="00272FF1">
          <w:rPr>
            <w:rStyle w:val="Hyperlink"/>
            <w:rFonts w:ascii="Arial" w:hAnsi="Arial" w:cs="Arial"/>
          </w:rPr>
          <w:t>https://doi.org/10.9734/jamps/2025/v27i11832</w:t>
        </w:r>
      </w:hyperlink>
      <w:r w:rsidRPr="00272FF1">
        <w:rPr>
          <w:rFonts w:ascii="Arial" w:hAnsi="Arial" w:cs="Arial"/>
        </w:rPr>
        <w:t xml:space="preserve"> </w:t>
      </w:r>
    </w:p>
    <w:p w14:paraId="5157DA6C" w14:textId="77777777" w:rsidR="000015EE" w:rsidRPr="00272FF1" w:rsidRDefault="000015EE" w:rsidP="00272FF1">
      <w:pPr>
        <w:pStyle w:val="Body"/>
        <w:rPr>
          <w:rFonts w:ascii="Arial" w:hAnsi="Arial" w:cs="Arial"/>
        </w:rPr>
      </w:pPr>
      <w:r w:rsidRPr="00272FF1">
        <w:rPr>
          <w:rFonts w:ascii="Arial" w:hAnsi="Arial" w:cs="Arial"/>
        </w:rPr>
        <w:t xml:space="preserve">Nsai, S. F., </w:t>
      </w:r>
      <w:proofErr w:type="spellStart"/>
      <w:r w:rsidRPr="00272FF1">
        <w:rPr>
          <w:rFonts w:ascii="Arial" w:hAnsi="Arial" w:cs="Arial"/>
        </w:rPr>
        <w:t>Tchouaket</w:t>
      </w:r>
      <w:proofErr w:type="spellEnd"/>
      <w:r w:rsidRPr="00272FF1">
        <w:rPr>
          <w:rFonts w:ascii="Arial" w:hAnsi="Arial" w:cs="Arial"/>
        </w:rPr>
        <w:t xml:space="preserve">, E. N., &amp; Ama Moor, V. J. (2021). </w:t>
      </w:r>
      <w:r w:rsidRPr="00272FF1">
        <w:rPr>
          <w:rFonts w:ascii="Arial" w:hAnsi="Arial" w:cs="Arial"/>
          <w:i/>
          <w:iCs/>
        </w:rPr>
        <w:t>The economic burden of malaria in Cameroon: A systematic review.</w:t>
      </w:r>
      <w:r w:rsidRPr="00272FF1">
        <w:rPr>
          <w:rFonts w:ascii="Arial" w:hAnsi="Arial" w:cs="Arial"/>
        </w:rPr>
        <w:t xml:space="preserve"> </w:t>
      </w:r>
      <w:r w:rsidRPr="00272FF1">
        <w:rPr>
          <w:rFonts w:ascii="Arial" w:hAnsi="Arial" w:cs="Arial"/>
          <w:i/>
          <w:iCs/>
        </w:rPr>
        <w:t>PLOS ONE, 16</w:t>
      </w:r>
      <w:r w:rsidRPr="00272FF1">
        <w:rPr>
          <w:rFonts w:ascii="Arial" w:hAnsi="Arial" w:cs="Arial"/>
        </w:rPr>
        <w:t xml:space="preserve">(11), e0258749. </w:t>
      </w:r>
      <w:hyperlink r:id="rId34" w:history="1">
        <w:r w:rsidRPr="00272FF1">
          <w:rPr>
            <w:rStyle w:val="Hyperlink"/>
            <w:rFonts w:ascii="Arial" w:hAnsi="Arial" w:cs="Arial"/>
          </w:rPr>
          <w:t>https://doi.org/10.1371/journal.pone.0258749</w:t>
        </w:r>
      </w:hyperlink>
      <w:r w:rsidRPr="00272FF1">
        <w:rPr>
          <w:rFonts w:ascii="Arial" w:hAnsi="Arial" w:cs="Arial"/>
        </w:rPr>
        <w:t xml:space="preserve"> </w:t>
      </w:r>
    </w:p>
    <w:p w14:paraId="326341E5" w14:textId="77777777" w:rsidR="000015EE" w:rsidRPr="00272FF1" w:rsidRDefault="000015EE" w:rsidP="00272FF1">
      <w:pPr>
        <w:pStyle w:val="Body"/>
        <w:rPr>
          <w:rFonts w:ascii="Arial" w:hAnsi="Arial" w:cs="Arial"/>
        </w:rPr>
      </w:pPr>
      <w:proofErr w:type="spellStart"/>
      <w:r w:rsidRPr="00272FF1">
        <w:rPr>
          <w:rFonts w:ascii="Arial" w:hAnsi="Arial" w:cs="Arial"/>
        </w:rPr>
        <w:t>Okebe</w:t>
      </w:r>
      <w:proofErr w:type="spellEnd"/>
      <w:r w:rsidRPr="00272FF1">
        <w:rPr>
          <w:rFonts w:ascii="Arial" w:hAnsi="Arial" w:cs="Arial"/>
        </w:rPr>
        <w:t xml:space="preserve">, J., Mwesigwa, J., &amp; </w:t>
      </w:r>
      <w:proofErr w:type="spellStart"/>
      <w:r w:rsidRPr="00272FF1">
        <w:rPr>
          <w:rFonts w:ascii="Arial" w:hAnsi="Arial" w:cs="Arial"/>
        </w:rPr>
        <w:t>Mokuolu</w:t>
      </w:r>
      <w:proofErr w:type="spellEnd"/>
      <w:r w:rsidRPr="00272FF1">
        <w:rPr>
          <w:rFonts w:ascii="Arial" w:hAnsi="Arial" w:cs="Arial"/>
        </w:rPr>
        <w:t xml:space="preserve">, O. A. (2022). </w:t>
      </w:r>
      <w:r w:rsidRPr="00272FF1">
        <w:rPr>
          <w:rFonts w:ascii="Arial" w:hAnsi="Arial" w:cs="Arial"/>
          <w:i/>
          <w:iCs/>
        </w:rPr>
        <w:t>The socioeconomic burden of malaria in children: A systematic review and meta-analysis.</w:t>
      </w:r>
      <w:r w:rsidRPr="00272FF1">
        <w:rPr>
          <w:rFonts w:ascii="Arial" w:hAnsi="Arial" w:cs="Arial"/>
        </w:rPr>
        <w:t xml:space="preserve"> </w:t>
      </w:r>
      <w:r w:rsidRPr="00272FF1">
        <w:rPr>
          <w:rFonts w:ascii="Arial" w:hAnsi="Arial" w:cs="Arial"/>
          <w:i/>
          <w:iCs/>
        </w:rPr>
        <w:t>BMJ Global Health, 7</w:t>
      </w:r>
      <w:r w:rsidRPr="00272FF1">
        <w:rPr>
          <w:rFonts w:ascii="Arial" w:hAnsi="Arial" w:cs="Arial"/>
        </w:rPr>
        <w:t xml:space="preserve">(3), e007532. </w:t>
      </w:r>
      <w:hyperlink r:id="rId35" w:history="1">
        <w:r w:rsidRPr="00272FF1">
          <w:rPr>
            <w:rStyle w:val="Hyperlink"/>
            <w:rFonts w:ascii="Arial" w:hAnsi="Arial" w:cs="Arial"/>
          </w:rPr>
          <w:t>https://doi.org/10.1136/bmjgh-2021-007532</w:t>
        </w:r>
      </w:hyperlink>
      <w:r w:rsidRPr="00272FF1">
        <w:rPr>
          <w:rFonts w:ascii="Arial" w:hAnsi="Arial" w:cs="Arial"/>
        </w:rPr>
        <w:t xml:space="preserve"> </w:t>
      </w:r>
    </w:p>
    <w:p w14:paraId="24E3BBAB" w14:textId="77777777" w:rsidR="000015EE" w:rsidRPr="00272FF1" w:rsidRDefault="000015EE" w:rsidP="00272FF1">
      <w:pPr>
        <w:pStyle w:val="Body"/>
        <w:rPr>
          <w:rFonts w:ascii="Arial" w:hAnsi="Arial" w:cs="Arial"/>
          <w:lang w:val="en-GB"/>
        </w:rPr>
      </w:pPr>
      <w:r w:rsidRPr="004F27CA">
        <w:rPr>
          <w:rFonts w:ascii="Arial" w:hAnsi="Arial" w:cs="Arial"/>
        </w:rPr>
        <w:t xml:space="preserve">Pineault R., Da Silva R.B., Provost S., Fournier M., Alexandre Prud’homme A., Levesque J.F. (2017). </w:t>
      </w:r>
      <w:r w:rsidRPr="00272FF1">
        <w:rPr>
          <w:rFonts w:ascii="Arial" w:hAnsi="Arial" w:cs="Arial"/>
          <w:lang w:val="en-GB"/>
        </w:rPr>
        <w:t xml:space="preserve">Do Gender-Predominant Primary Health Care Organizations Have an Impact on Patient Experience of Care, Use of Services, and Unmet Needs? The Journal of Health Care Organization, Provision, and Financing Volume 54: 1 –9. </w:t>
      </w:r>
      <w:hyperlink r:id="rId36" w:history="1">
        <w:r w:rsidRPr="00272FF1">
          <w:rPr>
            <w:rStyle w:val="Hyperlink"/>
            <w:rFonts w:ascii="Arial" w:hAnsi="Arial" w:cs="Arial"/>
            <w:lang w:val="en-GB"/>
          </w:rPr>
          <w:t>https://doi.org/10.1177/0046958017709688</w:t>
        </w:r>
      </w:hyperlink>
      <w:r w:rsidRPr="00272FF1">
        <w:rPr>
          <w:rFonts w:ascii="Arial" w:hAnsi="Arial" w:cs="Arial"/>
          <w:lang w:val="en-GB"/>
        </w:rPr>
        <w:t xml:space="preserve"> </w:t>
      </w:r>
    </w:p>
    <w:p w14:paraId="4FA361EB" w14:textId="77777777" w:rsidR="000015EE" w:rsidRPr="00272FF1" w:rsidRDefault="000015EE" w:rsidP="00272FF1">
      <w:pPr>
        <w:pStyle w:val="Body"/>
        <w:rPr>
          <w:rFonts w:ascii="Arial" w:hAnsi="Arial" w:cs="Arial"/>
        </w:rPr>
      </w:pPr>
      <w:r w:rsidRPr="00272FF1">
        <w:rPr>
          <w:rFonts w:ascii="Arial" w:hAnsi="Arial" w:cs="Arial"/>
        </w:rPr>
        <w:t xml:space="preserve">PMI Cameroon Malaria Profile (2024). Available: </w:t>
      </w:r>
      <w:hyperlink r:id="rId37" w:history="1">
        <w:r w:rsidRPr="00272FF1">
          <w:rPr>
            <w:rStyle w:val="Hyperlink"/>
            <w:rFonts w:ascii="Arial" w:hAnsi="Arial" w:cs="Arial"/>
          </w:rPr>
          <w:t>https://mesamalaria.org/wp-content/uploads/2025/04/CAMEROON_Malaria_Profile_PMI_FY_2024.pdf Accessed 03/10/2025</w:t>
        </w:r>
      </w:hyperlink>
    </w:p>
    <w:p w14:paraId="49F04332" w14:textId="77777777" w:rsidR="000015EE" w:rsidRPr="00272FF1" w:rsidRDefault="000015EE" w:rsidP="00272FF1">
      <w:pPr>
        <w:pStyle w:val="Body"/>
        <w:rPr>
          <w:rFonts w:ascii="Arial" w:hAnsi="Arial" w:cs="Arial"/>
          <w:lang w:val="en-GB"/>
        </w:rPr>
      </w:pPr>
      <w:r w:rsidRPr="00272FF1">
        <w:rPr>
          <w:rFonts w:ascii="Arial" w:hAnsi="Arial" w:cs="Arial"/>
          <w:lang w:val="en-GB"/>
        </w:rPr>
        <w:t>Teklemariam M., Assefa A., Kassa M., Mohammed H., Mamo H. (2017). Therapeutic efficacy of artemether-lumefantrine against uncomplicated </w:t>
      </w:r>
      <w:r w:rsidRPr="00272FF1">
        <w:rPr>
          <w:rFonts w:ascii="Arial" w:hAnsi="Arial" w:cs="Arial"/>
          <w:i/>
          <w:iCs/>
          <w:lang w:val="en-GB"/>
        </w:rPr>
        <w:t>Plasmodium falciparum</w:t>
      </w:r>
      <w:r w:rsidRPr="00272FF1">
        <w:rPr>
          <w:rFonts w:ascii="Arial" w:hAnsi="Arial" w:cs="Arial"/>
          <w:lang w:val="en-GB"/>
        </w:rPr>
        <w:t xml:space="preserve"> malaria in a high-transmission area in northwest Ethiopia. </w:t>
      </w:r>
      <w:proofErr w:type="spellStart"/>
      <w:r w:rsidRPr="00272FF1">
        <w:rPr>
          <w:rFonts w:ascii="Arial" w:hAnsi="Arial" w:cs="Arial"/>
          <w:lang w:val="en-GB"/>
        </w:rPr>
        <w:t>PLoS</w:t>
      </w:r>
      <w:proofErr w:type="spellEnd"/>
      <w:r w:rsidRPr="00272FF1">
        <w:rPr>
          <w:rFonts w:ascii="Arial" w:hAnsi="Arial" w:cs="Arial"/>
          <w:lang w:val="en-GB"/>
        </w:rPr>
        <w:t xml:space="preserve"> ONE12(4): e0176004. </w:t>
      </w:r>
      <w:hyperlink r:id="rId38" w:history="1">
        <w:r w:rsidRPr="00272FF1">
          <w:rPr>
            <w:rStyle w:val="Hyperlink"/>
            <w:rFonts w:ascii="Arial" w:hAnsi="Arial" w:cs="Arial"/>
            <w:lang w:val="en-GB"/>
          </w:rPr>
          <w:t>https://doi.org/10.1371/journal.pone.0176004</w:t>
        </w:r>
      </w:hyperlink>
      <w:r w:rsidRPr="00272FF1">
        <w:rPr>
          <w:rFonts w:ascii="Arial" w:hAnsi="Arial" w:cs="Arial"/>
          <w:lang w:val="en-GB"/>
        </w:rPr>
        <w:t xml:space="preserve"> </w:t>
      </w:r>
    </w:p>
    <w:p w14:paraId="214EB24D" w14:textId="77777777" w:rsidR="000015EE" w:rsidRPr="00272FF1" w:rsidRDefault="000015EE" w:rsidP="00272FF1">
      <w:pPr>
        <w:pStyle w:val="Body"/>
        <w:rPr>
          <w:rFonts w:ascii="Arial" w:hAnsi="Arial" w:cs="Arial"/>
          <w:lang w:val="en-GB"/>
        </w:rPr>
      </w:pPr>
      <w:r w:rsidRPr="00272FF1">
        <w:rPr>
          <w:rFonts w:ascii="Arial" w:hAnsi="Arial" w:cs="Arial"/>
          <w:lang w:val="en-GB"/>
        </w:rPr>
        <w:t xml:space="preserve">Tessema ZT, Worku MG, </w:t>
      </w:r>
      <w:proofErr w:type="spellStart"/>
      <w:r w:rsidRPr="00272FF1">
        <w:rPr>
          <w:rFonts w:ascii="Arial" w:hAnsi="Arial" w:cs="Arial"/>
          <w:lang w:val="en-GB"/>
        </w:rPr>
        <w:t>Tesema</w:t>
      </w:r>
      <w:proofErr w:type="spellEnd"/>
      <w:r w:rsidRPr="00272FF1">
        <w:rPr>
          <w:rFonts w:ascii="Arial" w:hAnsi="Arial" w:cs="Arial"/>
          <w:lang w:val="en-GB"/>
        </w:rPr>
        <w:t xml:space="preserve"> GA, </w:t>
      </w:r>
      <w:proofErr w:type="spellStart"/>
      <w:r w:rsidRPr="00272FF1">
        <w:rPr>
          <w:rFonts w:ascii="Arial" w:hAnsi="Arial" w:cs="Arial"/>
          <w:lang w:val="en-GB"/>
        </w:rPr>
        <w:t>Alamneh</w:t>
      </w:r>
      <w:proofErr w:type="spellEnd"/>
      <w:r w:rsidRPr="00272FF1">
        <w:rPr>
          <w:rFonts w:ascii="Arial" w:hAnsi="Arial" w:cs="Arial"/>
          <w:lang w:val="en-GB"/>
        </w:rPr>
        <w:t xml:space="preserve"> T.S., </w:t>
      </w:r>
      <w:proofErr w:type="spellStart"/>
      <w:r w:rsidRPr="00272FF1">
        <w:rPr>
          <w:rFonts w:ascii="Arial" w:hAnsi="Arial" w:cs="Arial"/>
          <w:lang w:val="en-GB"/>
        </w:rPr>
        <w:t>Teshale</w:t>
      </w:r>
      <w:proofErr w:type="spellEnd"/>
      <w:r w:rsidRPr="00272FF1">
        <w:rPr>
          <w:rFonts w:ascii="Arial" w:hAnsi="Arial" w:cs="Arial"/>
          <w:lang w:val="en-GB"/>
        </w:rPr>
        <w:t xml:space="preserve"> A.B., </w:t>
      </w:r>
      <w:proofErr w:type="spellStart"/>
      <w:r w:rsidRPr="00272FF1">
        <w:rPr>
          <w:rFonts w:ascii="Arial" w:hAnsi="Arial" w:cs="Arial"/>
          <w:lang w:val="en-GB"/>
        </w:rPr>
        <w:t>Yeshaw</w:t>
      </w:r>
      <w:proofErr w:type="spellEnd"/>
      <w:r w:rsidRPr="00272FF1">
        <w:rPr>
          <w:rFonts w:ascii="Arial" w:hAnsi="Arial" w:cs="Arial"/>
          <w:lang w:val="en-GB"/>
        </w:rPr>
        <w:t xml:space="preserve"> Y., Alem A.Z., </w:t>
      </w:r>
      <w:proofErr w:type="spellStart"/>
      <w:r w:rsidRPr="00272FF1">
        <w:rPr>
          <w:rFonts w:ascii="Arial" w:hAnsi="Arial" w:cs="Arial"/>
          <w:lang w:val="en-GB"/>
        </w:rPr>
        <w:t>Ayalew</w:t>
      </w:r>
      <w:proofErr w:type="spellEnd"/>
      <w:r w:rsidRPr="00272FF1">
        <w:rPr>
          <w:rFonts w:ascii="Arial" w:hAnsi="Arial" w:cs="Arial"/>
          <w:lang w:val="en-GB"/>
        </w:rPr>
        <w:t xml:space="preserve"> H.G., </w:t>
      </w:r>
      <w:proofErr w:type="spellStart"/>
      <w:r w:rsidRPr="00272FF1">
        <w:rPr>
          <w:rFonts w:ascii="Arial" w:hAnsi="Arial" w:cs="Arial"/>
          <w:lang w:val="en-GB"/>
        </w:rPr>
        <w:t>Liyew</w:t>
      </w:r>
      <w:proofErr w:type="spellEnd"/>
      <w:r w:rsidRPr="00272FF1">
        <w:rPr>
          <w:rFonts w:ascii="Arial" w:hAnsi="Arial" w:cs="Arial"/>
          <w:lang w:val="en-GB"/>
        </w:rPr>
        <w:t xml:space="preserve"> A.M. (2022). Determinants of accessing healthcare in Sub- Saharan Africa: a mixed- effect analysis of recent Demographic and Health Surveys from 36 countries. BMJ Open, 12: e054397. </w:t>
      </w:r>
      <w:hyperlink r:id="rId39" w:history="1">
        <w:r w:rsidRPr="00272FF1">
          <w:rPr>
            <w:rStyle w:val="Hyperlink"/>
            <w:rFonts w:ascii="Arial" w:hAnsi="Arial" w:cs="Arial"/>
            <w:lang w:val="en-GB"/>
          </w:rPr>
          <w:t>https://doi.org/10.1136/bmjopen-2021-054397</w:t>
        </w:r>
      </w:hyperlink>
      <w:r w:rsidRPr="00272FF1">
        <w:rPr>
          <w:rFonts w:ascii="Arial" w:hAnsi="Arial" w:cs="Arial"/>
          <w:lang w:val="en-GB"/>
        </w:rPr>
        <w:t xml:space="preserve"> </w:t>
      </w:r>
    </w:p>
    <w:p w14:paraId="631B0558" w14:textId="77777777" w:rsidR="000015EE" w:rsidRPr="00272FF1" w:rsidRDefault="000015EE" w:rsidP="00272FF1">
      <w:pPr>
        <w:pStyle w:val="Body"/>
        <w:rPr>
          <w:rFonts w:ascii="Arial" w:hAnsi="Arial" w:cs="Arial"/>
        </w:rPr>
      </w:pPr>
      <w:r w:rsidRPr="00272FF1">
        <w:rPr>
          <w:rFonts w:ascii="Arial" w:hAnsi="Arial" w:cs="Arial"/>
          <w:lang w:val="en-GB"/>
        </w:rPr>
        <w:t>World Health Organization (2025). WHO guidelines for malaria, 13 August 2025. World Health Organization. </w:t>
      </w:r>
      <w:hyperlink r:id="rId40" w:history="1">
        <w:r w:rsidRPr="00272FF1">
          <w:rPr>
            <w:rStyle w:val="Hyperlink"/>
            <w:rFonts w:ascii="Arial" w:hAnsi="Arial" w:cs="Arial"/>
            <w:lang w:val="en-GB"/>
          </w:rPr>
          <w:t>http://dx.doi.org/https://doi.org/10.2471/B09514</w:t>
        </w:r>
      </w:hyperlink>
      <w:r w:rsidRPr="00272FF1">
        <w:rPr>
          <w:rFonts w:ascii="Arial" w:hAnsi="Arial" w:cs="Arial"/>
          <w:lang w:val="en-GB"/>
        </w:rPr>
        <w:t>. License: CC BY-NC-SA 3.0 IGO</w:t>
      </w:r>
    </w:p>
    <w:p w14:paraId="1EA8E4DA" w14:textId="77777777" w:rsidR="000015EE" w:rsidRPr="00272FF1" w:rsidRDefault="000015EE" w:rsidP="00272FF1">
      <w:pPr>
        <w:pStyle w:val="Body"/>
        <w:rPr>
          <w:rFonts w:ascii="Arial" w:hAnsi="Arial" w:cs="Arial"/>
        </w:rPr>
      </w:pPr>
      <w:r w:rsidRPr="00272FF1">
        <w:rPr>
          <w:rFonts w:ascii="Arial" w:hAnsi="Arial" w:cs="Arial"/>
        </w:rPr>
        <w:t xml:space="preserve">World Health Organization. (2015). </w:t>
      </w:r>
      <w:r w:rsidRPr="00272FF1">
        <w:rPr>
          <w:rFonts w:ascii="Arial" w:hAnsi="Arial" w:cs="Arial"/>
          <w:i/>
          <w:iCs/>
        </w:rPr>
        <w:t>Guidelines for the treatment of malaria (3rd ed.).</w:t>
      </w:r>
      <w:r w:rsidRPr="00272FF1">
        <w:rPr>
          <w:rFonts w:ascii="Arial" w:hAnsi="Arial" w:cs="Arial"/>
        </w:rPr>
        <w:t xml:space="preserve"> WHO Press. ISBN: 9789241549127. Available at: WHO publication</w:t>
      </w:r>
    </w:p>
    <w:p w14:paraId="5060378A" w14:textId="77777777" w:rsidR="000015EE" w:rsidRPr="00272FF1" w:rsidRDefault="000015EE" w:rsidP="00272FF1">
      <w:pPr>
        <w:pStyle w:val="Body"/>
        <w:rPr>
          <w:rFonts w:ascii="Arial" w:hAnsi="Arial" w:cs="Arial"/>
        </w:rPr>
      </w:pPr>
      <w:r w:rsidRPr="00272FF1">
        <w:rPr>
          <w:rFonts w:ascii="Arial" w:hAnsi="Arial" w:cs="Arial"/>
        </w:rPr>
        <w:t xml:space="preserve">World Health Organization. (2023). </w:t>
      </w:r>
      <w:r w:rsidRPr="00272FF1">
        <w:rPr>
          <w:rFonts w:ascii="Arial" w:hAnsi="Arial" w:cs="Arial"/>
          <w:i/>
          <w:iCs/>
        </w:rPr>
        <w:t>World malaria report 2023.</w:t>
      </w:r>
      <w:r w:rsidRPr="00272FF1">
        <w:rPr>
          <w:rFonts w:ascii="Arial" w:hAnsi="Arial" w:cs="Arial"/>
        </w:rPr>
        <w:t xml:space="preserve"> WHO Press. Available at: WHO malaria report 2023</w:t>
      </w:r>
    </w:p>
    <w:p w14:paraId="163F99C1" w14:textId="77777777" w:rsidR="003763C1" w:rsidRPr="00272FF1" w:rsidRDefault="000015EE" w:rsidP="00272FF1">
      <w:pPr>
        <w:pStyle w:val="Body"/>
        <w:spacing w:after="0"/>
        <w:rPr>
          <w:rFonts w:ascii="Arial" w:hAnsi="Arial" w:cs="Arial"/>
        </w:rPr>
      </w:pPr>
      <w:r w:rsidRPr="00272FF1">
        <w:rPr>
          <w:rFonts w:ascii="Arial" w:hAnsi="Arial" w:cs="Arial"/>
          <w:lang w:val="en-GB"/>
        </w:rPr>
        <w:lastRenderedPageBreak/>
        <w:t xml:space="preserve">Zongo I., </w:t>
      </w:r>
      <w:proofErr w:type="spellStart"/>
      <w:r w:rsidRPr="00272FF1">
        <w:rPr>
          <w:rFonts w:ascii="Arial" w:hAnsi="Arial" w:cs="Arial"/>
          <w:lang w:val="en-GB"/>
        </w:rPr>
        <w:t>Compaoré</w:t>
      </w:r>
      <w:proofErr w:type="spellEnd"/>
      <w:r w:rsidRPr="00272FF1">
        <w:rPr>
          <w:rFonts w:ascii="Arial" w:hAnsi="Arial" w:cs="Arial"/>
          <w:lang w:val="en-GB"/>
        </w:rPr>
        <w:t xml:space="preserve"> Y.D., </w:t>
      </w:r>
      <w:proofErr w:type="spellStart"/>
      <w:r w:rsidRPr="00272FF1">
        <w:rPr>
          <w:rFonts w:ascii="Arial" w:hAnsi="Arial" w:cs="Arial"/>
          <w:lang w:val="en-GB"/>
        </w:rPr>
        <w:t>Nikiéma</w:t>
      </w:r>
      <w:proofErr w:type="spellEnd"/>
      <w:r w:rsidRPr="00272FF1">
        <w:rPr>
          <w:rFonts w:ascii="Arial" w:hAnsi="Arial" w:cs="Arial"/>
          <w:lang w:val="en-GB"/>
        </w:rPr>
        <w:t xml:space="preserve"> F., Zongo M., Barry N., </w:t>
      </w:r>
      <w:proofErr w:type="spellStart"/>
      <w:r w:rsidRPr="00272FF1">
        <w:rPr>
          <w:rFonts w:ascii="Arial" w:hAnsi="Arial" w:cs="Arial"/>
          <w:lang w:val="en-GB"/>
        </w:rPr>
        <w:t>Somé</w:t>
      </w:r>
      <w:proofErr w:type="spellEnd"/>
      <w:r w:rsidRPr="00272FF1">
        <w:rPr>
          <w:rFonts w:ascii="Arial" w:hAnsi="Arial" w:cs="Arial"/>
          <w:lang w:val="en-GB"/>
        </w:rPr>
        <w:t xml:space="preserve"> F.A., </w:t>
      </w:r>
      <w:proofErr w:type="spellStart"/>
      <w:r w:rsidRPr="00272FF1">
        <w:rPr>
          <w:rFonts w:ascii="Arial" w:hAnsi="Arial" w:cs="Arial"/>
          <w:lang w:val="en-GB"/>
        </w:rPr>
        <w:t>Kaboré</w:t>
      </w:r>
      <w:proofErr w:type="spellEnd"/>
      <w:r w:rsidRPr="00272FF1">
        <w:rPr>
          <w:rFonts w:ascii="Arial" w:hAnsi="Arial" w:cs="Arial"/>
          <w:lang w:val="en-GB"/>
        </w:rPr>
        <w:t xml:space="preserve"> N., Ouédraogo J.B. (2020). Efficacy of artemether-lumefantrine and artesunate-amodiaquine as first line therapy of uncomplicated malaria in Burkina Faso, 11 years after policy change, Pan African Medical Journal, 35:68 https://doi.org/</w:t>
      </w:r>
      <w:hyperlink r:id="rId41" w:history="1">
        <w:r w:rsidRPr="00272FF1">
          <w:rPr>
            <w:rStyle w:val="Hyperlink"/>
            <w:rFonts w:ascii="Arial" w:hAnsi="Arial" w:cs="Arial"/>
            <w:lang w:val="en-GB"/>
          </w:rPr>
          <w:t>10.11604/pamj.2020.35.68.20849</w:t>
        </w:r>
      </w:hyperlink>
    </w:p>
    <w:p w14:paraId="20FA34D1" w14:textId="77777777" w:rsidR="003763C1" w:rsidRPr="00272FF1" w:rsidRDefault="003763C1" w:rsidP="00272FF1">
      <w:pPr>
        <w:pStyle w:val="Body"/>
        <w:spacing w:after="0"/>
        <w:rPr>
          <w:rFonts w:ascii="Arial" w:hAnsi="Arial" w:cs="Arial"/>
        </w:rPr>
      </w:pPr>
    </w:p>
    <w:p w14:paraId="39C8F624" w14:textId="77777777" w:rsidR="00441B6F" w:rsidRPr="00272FF1" w:rsidRDefault="00441B6F" w:rsidP="00272FF1">
      <w:pPr>
        <w:pStyle w:val="Body"/>
        <w:spacing w:after="0"/>
        <w:rPr>
          <w:rFonts w:ascii="Arial" w:hAnsi="Arial" w:cs="Arial"/>
        </w:rPr>
      </w:pPr>
      <w:r w:rsidRPr="00272FF1">
        <w:rPr>
          <w:rFonts w:ascii="Arial" w:hAnsi="Arial" w:cs="Arial"/>
          <w:b/>
        </w:rPr>
        <w:t xml:space="preserve">Reference to Web-resource or </w:t>
      </w:r>
      <w:r w:rsidRPr="00272FF1">
        <w:rPr>
          <w:rFonts w:ascii="Arial" w:hAnsi="Arial" w:cs="Arial"/>
          <w:b/>
          <w:bCs/>
        </w:rPr>
        <w:t>Electronic articles</w:t>
      </w:r>
      <w:r w:rsidRPr="00272FF1">
        <w:rPr>
          <w:rFonts w:ascii="Arial" w:hAnsi="Arial" w:cs="Arial"/>
        </w:rPr>
        <w:t xml:space="preserve">. </w:t>
      </w:r>
    </w:p>
    <w:p w14:paraId="6D97901A" w14:textId="77777777" w:rsidR="003763C1" w:rsidRPr="00272FF1" w:rsidRDefault="00287E68" w:rsidP="00272FF1">
      <w:pPr>
        <w:pStyle w:val="Body"/>
        <w:spacing w:after="0"/>
        <w:rPr>
          <w:rFonts w:ascii="Arial" w:hAnsi="Arial" w:cs="Arial"/>
        </w:rPr>
      </w:pPr>
      <w:r w:rsidRPr="00272FF1">
        <w:rPr>
          <w:rFonts w:ascii="Arial" w:hAnsi="Arial" w:cs="Arial"/>
        </w:rPr>
        <w:t xml:space="preserve">Hugo, J. T., &amp; Mondal, S. C. (2006). Parallels between tissue repair and embryo morphogenesis: A conceptual framework. Global Health, 16, 4. </w:t>
      </w:r>
      <w:hyperlink r:id="rId42" w:history="1">
        <w:r w:rsidRPr="00272FF1">
          <w:rPr>
            <w:rStyle w:val="Hyperlink"/>
            <w:rFonts w:ascii="Arial" w:hAnsi="Arial" w:cs="Arial"/>
          </w:rPr>
          <w:t>https://doi.org/10.1186/1744-8603-1-14</w:t>
        </w:r>
      </w:hyperlink>
    </w:p>
    <w:p w14:paraId="6A802B28" w14:textId="77777777" w:rsidR="00287E68" w:rsidRPr="00272FF1" w:rsidRDefault="00287E68" w:rsidP="00272FF1">
      <w:pPr>
        <w:pStyle w:val="Body"/>
        <w:spacing w:after="0"/>
        <w:rPr>
          <w:rFonts w:ascii="Arial" w:hAnsi="Arial" w:cs="Arial"/>
        </w:rPr>
      </w:pPr>
    </w:p>
    <w:p w14:paraId="52048528" w14:textId="77777777" w:rsidR="003763C1" w:rsidRPr="00272FF1" w:rsidRDefault="00D74CB0" w:rsidP="00272FF1">
      <w:pPr>
        <w:pStyle w:val="Body"/>
        <w:spacing w:after="0"/>
        <w:rPr>
          <w:rFonts w:ascii="Arial" w:hAnsi="Arial" w:cs="Arial"/>
        </w:rPr>
      </w:pPr>
      <w:r w:rsidRPr="00272FF1">
        <w:rPr>
          <w:rFonts w:ascii="Arial" w:hAnsi="Arial" w:cs="Arial"/>
        </w:rPr>
        <w:t xml:space="preserve">Anonymous. (2006). Parallels between tissue repair and embryo morphogenesis: A conceptual framework. Globalization and Health, 16(4). </w:t>
      </w:r>
      <w:hyperlink r:id="rId43" w:history="1">
        <w:r w:rsidRPr="00272FF1">
          <w:rPr>
            <w:rStyle w:val="Hyperlink"/>
            <w:rFonts w:ascii="Arial" w:hAnsi="Arial" w:cs="Arial"/>
          </w:rPr>
          <w:t>http://www.globalizationandhealth.com/content/1/1/14</w:t>
        </w:r>
      </w:hyperlink>
    </w:p>
    <w:p w14:paraId="12753164" w14:textId="77777777" w:rsidR="00D74CB0" w:rsidRPr="00272FF1" w:rsidRDefault="00D74CB0" w:rsidP="00272FF1">
      <w:pPr>
        <w:pStyle w:val="Body"/>
        <w:spacing w:after="0"/>
        <w:rPr>
          <w:rFonts w:ascii="Arial" w:hAnsi="Arial" w:cs="Arial"/>
        </w:rPr>
      </w:pPr>
    </w:p>
    <w:p w14:paraId="34F48559" w14:textId="77777777" w:rsidR="000D689F" w:rsidRDefault="000D689F" w:rsidP="00441B6F">
      <w:pPr>
        <w:pStyle w:val="Body"/>
        <w:spacing w:after="0"/>
      </w:pPr>
    </w:p>
    <w:p w14:paraId="23AC6DC4" w14:textId="77777777" w:rsidR="00272FF1" w:rsidRDefault="00272FF1" w:rsidP="000D689F">
      <w:pPr>
        <w:pStyle w:val="Body"/>
        <w:spacing w:after="0"/>
        <w:rPr>
          <w:rFonts w:ascii="Arial" w:hAnsi="Arial" w:cs="Arial"/>
          <w:b/>
        </w:rPr>
      </w:pPr>
    </w:p>
    <w:p w14:paraId="28FBC827" w14:textId="77777777" w:rsidR="00272FF1" w:rsidRDefault="00272FF1" w:rsidP="000D689F">
      <w:pPr>
        <w:pStyle w:val="Body"/>
        <w:spacing w:after="0"/>
        <w:rPr>
          <w:rFonts w:ascii="Arial" w:hAnsi="Arial" w:cs="Arial"/>
          <w:b/>
        </w:rPr>
      </w:pPr>
    </w:p>
    <w:p w14:paraId="5E3A52BD" w14:textId="77777777" w:rsidR="00272FF1" w:rsidRDefault="00272FF1" w:rsidP="000D689F">
      <w:pPr>
        <w:pStyle w:val="Body"/>
        <w:spacing w:after="0"/>
        <w:rPr>
          <w:rFonts w:ascii="Arial" w:hAnsi="Arial" w:cs="Arial"/>
          <w:b/>
        </w:rPr>
      </w:pPr>
    </w:p>
    <w:p w14:paraId="7E84FCF1" w14:textId="77777777" w:rsidR="00272FF1" w:rsidRDefault="00272FF1" w:rsidP="000D689F">
      <w:pPr>
        <w:pStyle w:val="Body"/>
        <w:spacing w:after="0"/>
        <w:rPr>
          <w:rFonts w:ascii="Arial" w:hAnsi="Arial" w:cs="Arial"/>
          <w:b/>
        </w:rPr>
      </w:pPr>
    </w:p>
    <w:sectPr w:rsidR="00272FF1" w:rsidSect="001A5F5E">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AC373" w14:textId="77777777" w:rsidR="00437240" w:rsidRDefault="00437240" w:rsidP="00C37E61">
      <w:r>
        <w:separator/>
      </w:r>
    </w:p>
  </w:endnote>
  <w:endnote w:type="continuationSeparator" w:id="0">
    <w:p w14:paraId="408AB773" w14:textId="77777777" w:rsidR="00437240" w:rsidRDefault="0043724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7E7A4" w14:textId="77777777" w:rsidR="001A5F5E" w:rsidRDefault="001A5F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4E52A" w14:textId="77777777" w:rsidR="001A5F5E" w:rsidRDefault="001A5F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1E4FB" w14:textId="0FEC529E" w:rsidR="00754C9A" w:rsidRPr="001A5F5E" w:rsidRDefault="00754C9A" w:rsidP="001A5F5E">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BC8D9" w14:textId="77777777" w:rsidR="00437240" w:rsidRDefault="00437240" w:rsidP="00C37E61">
      <w:r>
        <w:separator/>
      </w:r>
    </w:p>
  </w:footnote>
  <w:footnote w:type="continuationSeparator" w:id="0">
    <w:p w14:paraId="0019C206" w14:textId="77777777" w:rsidR="00437240" w:rsidRDefault="0043724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8BDAC" w14:textId="3AFF59A1" w:rsidR="001A5F5E" w:rsidRDefault="001A5F5E">
    <w:pPr>
      <w:pStyle w:val="Header"/>
    </w:pPr>
    <w:r>
      <w:rPr>
        <w:noProof/>
      </w:rPr>
      <w:pict w14:anchorId="20B781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66061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1AAB9" w14:textId="2DF7A11B" w:rsidR="001A5F5E" w:rsidRDefault="001A5F5E">
    <w:pPr>
      <w:pStyle w:val="Header"/>
    </w:pPr>
    <w:r>
      <w:rPr>
        <w:noProof/>
      </w:rPr>
      <w:pict w14:anchorId="0B4696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66061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F5637" w14:textId="7115DBD4" w:rsidR="00296529" w:rsidRPr="00296529" w:rsidRDefault="001A5F5E" w:rsidP="00296529">
    <w:pPr>
      <w:ind w:left="2160"/>
      <w:jc w:val="center"/>
      <w:rPr>
        <w:rFonts w:ascii="Times New Roman" w:eastAsia="Calibri" w:hAnsi="Times New Roman"/>
        <w:i/>
        <w:sz w:val="18"/>
        <w:szCs w:val="22"/>
      </w:rPr>
    </w:pPr>
    <w:r>
      <w:rPr>
        <w:noProof/>
      </w:rPr>
      <w:pict w14:anchorId="2808B5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660609"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F8B587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FCCC66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DE5730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679CFA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A20B8F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464165A"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15EE"/>
    <w:rsid w:val="00030174"/>
    <w:rsid w:val="0004579C"/>
    <w:rsid w:val="000575AA"/>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A5F5E"/>
    <w:rsid w:val="001B0427"/>
    <w:rsid w:val="001C0521"/>
    <w:rsid w:val="001D3A51"/>
    <w:rsid w:val="001D4C06"/>
    <w:rsid w:val="001E10D2"/>
    <w:rsid w:val="001E25B4"/>
    <w:rsid w:val="001E44FE"/>
    <w:rsid w:val="00200595"/>
    <w:rsid w:val="00204835"/>
    <w:rsid w:val="00207220"/>
    <w:rsid w:val="00231920"/>
    <w:rsid w:val="0023195C"/>
    <w:rsid w:val="0024282C"/>
    <w:rsid w:val="002460DC"/>
    <w:rsid w:val="00250985"/>
    <w:rsid w:val="002556F6"/>
    <w:rsid w:val="00271963"/>
    <w:rsid w:val="00272FF1"/>
    <w:rsid w:val="0028078F"/>
    <w:rsid w:val="00283105"/>
    <w:rsid w:val="00284C4C"/>
    <w:rsid w:val="00287E68"/>
    <w:rsid w:val="0029469D"/>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37240"/>
    <w:rsid w:val="00440F43"/>
    <w:rsid w:val="00441B6F"/>
    <w:rsid w:val="00446221"/>
    <w:rsid w:val="00450E62"/>
    <w:rsid w:val="004539DB"/>
    <w:rsid w:val="004614E6"/>
    <w:rsid w:val="00471A80"/>
    <w:rsid w:val="004D305E"/>
    <w:rsid w:val="004D4277"/>
    <w:rsid w:val="004F27CA"/>
    <w:rsid w:val="00502516"/>
    <w:rsid w:val="00505F06"/>
    <w:rsid w:val="00506828"/>
    <w:rsid w:val="0052334C"/>
    <w:rsid w:val="0053056E"/>
    <w:rsid w:val="00554FDA"/>
    <w:rsid w:val="005C576B"/>
    <w:rsid w:val="005C784C"/>
    <w:rsid w:val="005D17F6"/>
    <w:rsid w:val="005E5539"/>
    <w:rsid w:val="00602BF5"/>
    <w:rsid w:val="00617FDD"/>
    <w:rsid w:val="00633614"/>
    <w:rsid w:val="00633F68"/>
    <w:rsid w:val="00636EB2"/>
    <w:rsid w:val="006375B8"/>
    <w:rsid w:val="00650895"/>
    <w:rsid w:val="0066510A"/>
    <w:rsid w:val="00673F9F"/>
    <w:rsid w:val="00680453"/>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D1D92"/>
    <w:rsid w:val="008E13AE"/>
    <w:rsid w:val="008E1506"/>
    <w:rsid w:val="008E710C"/>
    <w:rsid w:val="008E78B4"/>
    <w:rsid w:val="008F69D6"/>
    <w:rsid w:val="00902823"/>
    <w:rsid w:val="00915CA6"/>
    <w:rsid w:val="00927834"/>
    <w:rsid w:val="009500A6"/>
    <w:rsid w:val="00957C18"/>
    <w:rsid w:val="009659BA"/>
    <w:rsid w:val="00971416"/>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F5530"/>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22F6F"/>
    <w:rsid w:val="00D459C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C77C4"/>
    <w:rsid w:val="00ED0288"/>
    <w:rsid w:val="00EE52CB"/>
    <w:rsid w:val="00EF31B5"/>
    <w:rsid w:val="00EF581D"/>
    <w:rsid w:val="00EF7FD8"/>
    <w:rsid w:val="00F06F59"/>
    <w:rsid w:val="00F17988"/>
    <w:rsid w:val="00F325DB"/>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4623E9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015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ListTable6Colorful">
    <w:name w:val="List Table 6 Colorful"/>
    <w:basedOn w:val="TableNormal"/>
    <w:uiPriority w:val="51"/>
    <w:rsid w:val="0029469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3Char">
    <w:name w:val="Heading 3 Char"/>
    <w:basedOn w:val="DefaultParagraphFont"/>
    <w:link w:val="Heading3"/>
    <w:semiHidden/>
    <w:rsid w:val="000015E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dx.doi.org/10.1136/bmj.j1054" TargetMode="External"/><Relationship Id="rId39" Type="http://schemas.openxmlformats.org/officeDocument/2006/relationships/hyperlink" Target="https://doi.org/10.1136/bmjopen-2021-054397" TargetMode="External"/><Relationship Id="rId21" Type="http://schemas.openxmlformats.org/officeDocument/2006/relationships/hyperlink" Target="https://doi.org/10.1179/136485908X252287" TargetMode="External"/><Relationship Id="rId34" Type="http://schemas.openxmlformats.org/officeDocument/2006/relationships/hyperlink" Target="https://doi.org/10.1371/journal.pone.0258749" TargetMode="External"/><Relationship Id="rId42" Type="http://schemas.openxmlformats.org/officeDocument/2006/relationships/hyperlink" Target="https://doi.org/10.1186/1744-8603-1-1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doi.org/10.1093/heapol/czu1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2147/JMDH.S291944" TargetMode="External"/><Relationship Id="rId32" Type="http://schemas.openxmlformats.org/officeDocument/2006/relationships/hyperlink" Target="https://doi.org/10.3389/fmala.2025.1545825" TargetMode="External"/><Relationship Id="rId37" Type="http://schemas.openxmlformats.org/officeDocument/2006/relationships/hyperlink" Target="https://mesamalaria.org/wp-content/uploads/2025/04/CAMEROON_Malaria_Profile_PMI_FY_2024.pdf%20Accessed%2003/10/2025" TargetMode="External"/><Relationship Id="rId40" Type="http://schemas.openxmlformats.org/officeDocument/2006/relationships/hyperlink" Target="http://dx.doi.org/https:/doi.org/10.2471/B09514"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1056/NEJMoa2101746" TargetMode="External"/><Relationship Id="rId28" Type="http://schemas.openxmlformats.org/officeDocument/2006/relationships/hyperlink" Target="https://doi.org/10.1016/S1473-3099(25)00407-4" TargetMode="External"/><Relationship Id="rId36" Type="http://schemas.openxmlformats.org/officeDocument/2006/relationships/hyperlink" Target="https://doi.org/10.1177/0046958017709688" TargetMode="External"/><Relationship Id="rId10" Type="http://schemas.openxmlformats.org/officeDocument/2006/relationships/footer" Target="footer1.xml"/><Relationship Id="rId19" Type="http://schemas.openxmlformats.org/officeDocument/2006/relationships/hyperlink" Target="https://doi.org/10.3390/diagnostics11091556" TargetMode="External"/><Relationship Id="rId31" Type="http://schemas.openxmlformats.org/officeDocument/2006/relationships/hyperlink" Target="https://doi.org/10.1038/s41598-025-13688-8"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5281/zenodo.10870388" TargetMode="External"/><Relationship Id="rId27" Type="http://schemas.openxmlformats.org/officeDocument/2006/relationships/hyperlink" Target="https://doi.org/10.1016/j.inhe.2011.11.001" TargetMode="External"/><Relationship Id="rId30" Type="http://schemas.openxmlformats.org/officeDocument/2006/relationships/hyperlink" Target="https://doi.org/10.1016/j.ypmed.2021.106779" TargetMode="External"/><Relationship Id="rId35" Type="http://schemas.openxmlformats.org/officeDocument/2006/relationships/hyperlink" Target="https://doi.org/10.1136/bmjgh-2021-007532" TargetMode="External"/><Relationship Id="rId43" Type="http://schemas.openxmlformats.org/officeDocument/2006/relationships/hyperlink" Target="http://www.globalizationandhealth.com/content/1/1/14"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doi.org/10.1186/s12889-017-4398-1" TargetMode="External"/><Relationship Id="rId33" Type="http://schemas.openxmlformats.org/officeDocument/2006/relationships/hyperlink" Target="https://doi.org/10.9734/jamps/2025/v27i11832" TargetMode="External"/><Relationship Id="rId38" Type="http://schemas.openxmlformats.org/officeDocument/2006/relationships/hyperlink" Target="https://doi.org/10.1371/journal.pone.0176004" TargetMode="External"/><Relationship Id="rId20" Type="http://schemas.openxmlformats.org/officeDocument/2006/relationships/hyperlink" Target="https://doi.org/10.1186/s13071-019-3753-8" TargetMode="External"/><Relationship Id="rId41" Type="http://schemas.openxmlformats.org/officeDocument/2006/relationships/hyperlink" Target="https://doi.org/10.11604/pamj.2020.35.68.2084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DA079-72A9-423F-A0AC-433DCBD66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TotalTime>
  <Pages>15</Pages>
  <Words>5461</Words>
  <Characters>31134</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36522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41</cp:revision>
  <cp:lastPrinted>1999-07-06T11:00:00Z</cp:lastPrinted>
  <dcterms:created xsi:type="dcterms:W3CDTF">2026-01-07T12:36:00Z</dcterms:created>
  <dcterms:modified xsi:type="dcterms:W3CDTF">2026-01-08T11:20:00Z</dcterms:modified>
</cp:coreProperties>
</file>