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6DF7" w:rsidRDefault="00597711">
      <w:pPr>
        <w:spacing w:line="360" w:lineRule="auto"/>
        <w:jc w:val="center"/>
        <w:rPr>
          <w:rFonts w:ascii="Times New Roman" w:eastAsia="Times New Roman" w:hAnsi="Times New Roman" w:cs="Times New Roman"/>
          <w:b/>
          <w:bCs/>
          <w:sz w:val="36"/>
          <w:szCs w:val="36"/>
          <w:highlight w:val="white"/>
        </w:rPr>
      </w:pPr>
      <w:r>
        <w:rPr>
          <w:rFonts w:ascii="Times New Roman" w:eastAsia="Times New Roman" w:hAnsi="Times New Roman" w:cs="Times New Roman"/>
          <w:b/>
          <w:bCs/>
          <w:sz w:val="36"/>
          <w:szCs w:val="36"/>
          <w:highlight w:val="white"/>
        </w:rPr>
        <w:t>Comparing Extended Half-Life and Standard Half-Life Replacement Therapies in Hemophilia: A Systematic Review and Meta-Analysis</w:t>
      </w:r>
    </w:p>
    <w:p w:rsidR="00E46DF7" w:rsidRDefault="00E46DF7">
      <w:pPr>
        <w:spacing w:line="360" w:lineRule="auto"/>
        <w:rPr>
          <w:rFonts w:ascii="Times New Roman" w:eastAsia="Times New Roman" w:hAnsi="Times New Roman" w:cs="Times New Roman"/>
          <w:b/>
          <w:bCs/>
          <w:sz w:val="32"/>
          <w:szCs w:val="32"/>
          <w:highlight w:val="white"/>
        </w:rPr>
      </w:pPr>
    </w:p>
    <w:p w:rsidR="008A033C" w:rsidRDefault="008A033C">
      <w:pPr>
        <w:spacing w:line="360" w:lineRule="auto"/>
        <w:rPr>
          <w:rFonts w:ascii="Times New Roman" w:eastAsia="Times New Roman" w:hAnsi="Times New Roman" w:cs="Times New Roman"/>
          <w:b/>
          <w:bCs/>
          <w:sz w:val="32"/>
          <w:szCs w:val="32"/>
          <w:highlight w:val="white"/>
        </w:rPr>
      </w:pPr>
    </w:p>
    <w:p w:rsidR="00E46DF7" w:rsidRDefault="00597711">
      <w:pPr>
        <w:spacing w:line="360" w:lineRule="auto"/>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Abstract</w:t>
      </w:r>
    </w:p>
    <w:p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Hemophilia is a congenital bleeding disorder that requires frequent factor replacement therapies to manage bleeding episodes. This systematic review and meta-analysis </w:t>
      </w:r>
      <w:proofErr w:type="gramStart"/>
      <w:r>
        <w:rPr>
          <w:rFonts w:ascii="Times New Roman" w:eastAsia="Times New Roman" w:hAnsi="Times New Roman" w:cs="Times New Roman"/>
          <w:sz w:val="24"/>
          <w:szCs w:val="24"/>
          <w:highlight w:val="white"/>
        </w:rPr>
        <w:t>c</w:t>
      </w:r>
      <w:r>
        <w:rPr>
          <w:rFonts w:ascii="Times New Roman" w:eastAsia="Times New Roman" w:hAnsi="Times New Roman" w:cs="Times New Roman"/>
          <w:sz w:val="24"/>
          <w:szCs w:val="24"/>
          <w:highlight w:val="white"/>
        </w:rPr>
        <w:t>ompares</w:t>
      </w:r>
      <w:proofErr w:type="gramEnd"/>
      <w:r>
        <w:rPr>
          <w:rFonts w:ascii="Times New Roman" w:eastAsia="Times New Roman" w:hAnsi="Times New Roman" w:cs="Times New Roman"/>
          <w:sz w:val="24"/>
          <w:szCs w:val="24"/>
          <w:highlight w:val="white"/>
        </w:rPr>
        <w:t xml:space="preserve"> the efficacy of extended half-life (EHL) and standard half-life (SHL) factor replacement therapies in patients with </w:t>
      </w:r>
      <w:proofErr w:type="spellStart"/>
      <w:r>
        <w:rPr>
          <w:rFonts w:ascii="Times New Roman" w:eastAsia="Times New Roman" w:hAnsi="Times New Roman" w:cs="Times New Roman"/>
          <w:sz w:val="24"/>
          <w:szCs w:val="24"/>
          <w:highlight w:val="white"/>
        </w:rPr>
        <w:t>haemophilia</w:t>
      </w:r>
      <w:proofErr w:type="spellEnd"/>
      <w:r>
        <w:rPr>
          <w:rFonts w:ascii="Times New Roman" w:eastAsia="Times New Roman" w:hAnsi="Times New Roman" w:cs="Times New Roman"/>
          <w:sz w:val="24"/>
          <w:szCs w:val="24"/>
          <w:highlight w:val="white"/>
        </w:rPr>
        <w:t xml:space="preserve"> A or B. Despite advances in hemophilia treatment, recurrent bleeding episodes, particularly joint bleeds, continue to si</w:t>
      </w:r>
      <w:r>
        <w:rPr>
          <w:rFonts w:ascii="Times New Roman" w:eastAsia="Times New Roman" w:hAnsi="Times New Roman" w:cs="Times New Roman"/>
          <w:sz w:val="24"/>
          <w:szCs w:val="24"/>
          <w:highlight w:val="white"/>
        </w:rPr>
        <w:t xml:space="preserve">gnificantly impact patients' health. While SHL therapies are effective, they require frequent infusions, leading to poor adherence and increased bleeding risks. EHL therapies, developed to extend factor persistence, have shown promise in reducing bleeding </w:t>
      </w:r>
      <w:r>
        <w:rPr>
          <w:rFonts w:ascii="Times New Roman" w:eastAsia="Times New Roman" w:hAnsi="Times New Roman" w:cs="Times New Roman"/>
          <w:sz w:val="24"/>
          <w:szCs w:val="24"/>
          <w:highlight w:val="white"/>
        </w:rPr>
        <w:t>events and infusions, improving patient adherence, and enhancing quality of life. In this review, data from six (6) studies involving 259 participants (all male) were synthesized, revealing a pooled Standardized Mean Difference (SMD) of -0.37 in annualized</w:t>
      </w:r>
      <w:r>
        <w:rPr>
          <w:rFonts w:ascii="Times New Roman" w:eastAsia="Times New Roman" w:hAnsi="Times New Roman" w:cs="Times New Roman"/>
          <w:sz w:val="24"/>
          <w:szCs w:val="24"/>
          <w:highlight w:val="white"/>
        </w:rPr>
        <w:t xml:space="preserve"> bleeding rate (ABR) favoring EHL therapies (95% CI: -0.69, -0.05). These results underscore EHL's potential in reducing bleeding episodes and infusion frequency. However, heterogeneity across studies suggests the need for further research on factors such </w:t>
      </w:r>
      <w:r>
        <w:rPr>
          <w:rFonts w:ascii="Times New Roman" w:eastAsia="Times New Roman" w:hAnsi="Times New Roman" w:cs="Times New Roman"/>
          <w:sz w:val="24"/>
          <w:szCs w:val="24"/>
          <w:highlight w:val="white"/>
        </w:rPr>
        <w:t>as patient demographics and treatment regimens. This study highlights the clinical advantages of EHL therapies and calls for greater global access to these treatments, particularly in regions where SHL remains the primary therapy. Future research should ex</w:t>
      </w:r>
      <w:r>
        <w:rPr>
          <w:rFonts w:ascii="Times New Roman" w:eastAsia="Times New Roman" w:hAnsi="Times New Roman" w:cs="Times New Roman"/>
          <w:sz w:val="24"/>
          <w:szCs w:val="24"/>
          <w:highlight w:val="white"/>
        </w:rPr>
        <w:t>plore randomized studies to enhance evidence and Policymakers should consider facilitating access to EHL therapies, particularly in resource-limited settings.</w:t>
      </w:r>
    </w:p>
    <w:p w:rsidR="00E46DF7" w:rsidRDefault="00597711">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Keywords</w:t>
      </w:r>
      <w:r>
        <w:rPr>
          <w:rFonts w:ascii="Times New Roman" w:eastAsia="Times New Roman" w:hAnsi="Times New Roman" w:cs="Times New Roman"/>
          <w:sz w:val="24"/>
          <w:szCs w:val="24"/>
          <w:highlight w:val="white"/>
        </w:rPr>
        <w:t xml:space="preserve">: Extended half-life, Standard half-life, Hemophilia, Bleeding rate, annualized bleeding </w:t>
      </w:r>
      <w:r>
        <w:rPr>
          <w:rFonts w:ascii="Times New Roman" w:eastAsia="Times New Roman" w:hAnsi="Times New Roman" w:cs="Times New Roman"/>
          <w:sz w:val="24"/>
          <w:szCs w:val="24"/>
          <w:highlight w:val="white"/>
        </w:rPr>
        <w:t>rate, Factor replacement, Joint bleeding</w:t>
      </w:r>
    </w:p>
    <w:p w:rsidR="00E46DF7" w:rsidRDefault="00E46DF7">
      <w:pPr>
        <w:spacing w:line="360" w:lineRule="auto"/>
        <w:jc w:val="both"/>
        <w:rPr>
          <w:rFonts w:ascii="Times New Roman" w:eastAsia="Times New Roman" w:hAnsi="Times New Roman" w:cs="Times New Roman"/>
          <w:sz w:val="24"/>
          <w:szCs w:val="24"/>
          <w:highlight w:val="white"/>
        </w:rPr>
      </w:pPr>
    </w:p>
    <w:p w:rsidR="00E46DF7" w:rsidRDefault="00597711">
      <w:pPr>
        <w:spacing w:before="240" w:after="240" w:line="360" w:lineRule="auto"/>
        <w:jc w:val="both"/>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lastRenderedPageBreak/>
        <w:t>Introduction</w:t>
      </w:r>
    </w:p>
    <w:p w:rsidR="00E46DF7" w:rsidRDefault="00597711">
      <w:pPr>
        <w:spacing w:before="240" w:after="240"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Haemophilia</w:t>
      </w:r>
      <w:proofErr w:type="spellEnd"/>
      <w:r>
        <w:rPr>
          <w:rFonts w:ascii="Times New Roman" w:eastAsia="Times New Roman" w:hAnsi="Times New Roman" w:cs="Times New Roman"/>
          <w:sz w:val="24"/>
          <w:szCs w:val="24"/>
          <w:highlight w:val="white"/>
        </w:rPr>
        <w:t xml:space="preserve"> is a serious congenital bleeding disorder caused by a deficiency of factor VIII (hemophilia A) or factor IX (hemophilia B) (Mehta &amp; </w:t>
      </w:r>
      <w:proofErr w:type="spellStart"/>
      <w:r>
        <w:rPr>
          <w:rFonts w:ascii="Times New Roman" w:eastAsia="Times New Roman" w:hAnsi="Times New Roman" w:cs="Times New Roman"/>
          <w:sz w:val="24"/>
          <w:szCs w:val="24"/>
          <w:highlight w:val="white"/>
        </w:rPr>
        <w:t>Reddivari</w:t>
      </w:r>
      <w:proofErr w:type="spellEnd"/>
      <w:r>
        <w:rPr>
          <w:rFonts w:ascii="Times New Roman" w:eastAsia="Times New Roman" w:hAnsi="Times New Roman" w:cs="Times New Roman"/>
          <w:sz w:val="24"/>
          <w:szCs w:val="24"/>
          <w:highlight w:val="white"/>
        </w:rPr>
        <w:t>, 2023). Despite significant advances in treatme</w:t>
      </w:r>
      <w:r>
        <w:rPr>
          <w:rFonts w:ascii="Times New Roman" w:eastAsia="Times New Roman" w:hAnsi="Times New Roman" w:cs="Times New Roman"/>
          <w:sz w:val="24"/>
          <w:szCs w:val="24"/>
          <w:highlight w:val="white"/>
        </w:rPr>
        <w:t xml:space="preserve">nt, patients with </w:t>
      </w:r>
      <w:proofErr w:type="spellStart"/>
      <w:r>
        <w:rPr>
          <w:rFonts w:ascii="Times New Roman" w:eastAsia="Times New Roman" w:hAnsi="Times New Roman" w:cs="Times New Roman"/>
          <w:sz w:val="24"/>
          <w:szCs w:val="24"/>
          <w:highlight w:val="white"/>
        </w:rPr>
        <w:t>haemophilia</w:t>
      </w:r>
      <w:proofErr w:type="spellEnd"/>
      <w:r>
        <w:rPr>
          <w:rFonts w:ascii="Times New Roman" w:eastAsia="Times New Roman" w:hAnsi="Times New Roman" w:cs="Times New Roman"/>
          <w:sz w:val="24"/>
          <w:szCs w:val="24"/>
          <w:highlight w:val="white"/>
        </w:rPr>
        <w:t xml:space="preserve"> continue to experience recurrent bleeding episodes, particularly joint bleeds, which contribute to long-term musculoskeletal damage, impaired quality of life, and increased morbidity (Gooding et al., 2021; Jena et al., 2025). </w:t>
      </w:r>
      <w:r>
        <w:rPr>
          <w:rFonts w:ascii="Times New Roman" w:eastAsia="Times New Roman" w:hAnsi="Times New Roman" w:cs="Times New Roman"/>
          <w:sz w:val="24"/>
          <w:szCs w:val="24"/>
          <w:highlight w:val="white"/>
        </w:rPr>
        <w:t>Historically, the standard of care for hemophilia has been prophylactic intravenous factor replacement therapy using standard half-life (SHL) concentrates (</w:t>
      </w:r>
      <w:proofErr w:type="spellStart"/>
      <w:r>
        <w:rPr>
          <w:rFonts w:ascii="Times New Roman" w:eastAsia="Times New Roman" w:hAnsi="Times New Roman" w:cs="Times New Roman"/>
          <w:sz w:val="24"/>
          <w:szCs w:val="24"/>
          <w:highlight w:val="white"/>
        </w:rPr>
        <w:t>Iurea</w:t>
      </w:r>
      <w:proofErr w:type="spellEnd"/>
      <w:r>
        <w:rPr>
          <w:rFonts w:ascii="Times New Roman" w:eastAsia="Times New Roman" w:hAnsi="Times New Roman" w:cs="Times New Roman"/>
          <w:sz w:val="24"/>
          <w:szCs w:val="24"/>
          <w:highlight w:val="white"/>
        </w:rPr>
        <w:t xml:space="preserve"> et al., 2024). While effective in reducing bleeding events, SHL therapies often require multip</w:t>
      </w:r>
      <w:r>
        <w:rPr>
          <w:rFonts w:ascii="Times New Roman" w:eastAsia="Times New Roman" w:hAnsi="Times New Roman" w:cs="Times New Roman"/>
          <w:sz w:val="24"/>
          <w:szCs w:val="24"/>
          <w:highlight w:val="white"/>
        </w:rPr>
        <w:t>le infusions per week, leaving patients vulnerable to breakthrough bleeds due to fluctuations in trough levels (</w:t>
      </w:r>
      <w:proofErr w:type="spellStart"/>
      <w:r>
        <w:rPr>
          <w:rFonts w:ascii="Times New Roman" w:eastAsia="Times New Roman" w:hAnsi="Times New Roman" w:cs="Times New Roman"/>
          <w:sz w:val="24"/>
          <w:szCs w:val="24"/>
          <w:highlight w:val="white"/>
        </w:rPr>
        <w:t>Aledort</w:t>
      </w:r>
      <w:proofErr w:type="spellEnd"/>
      <w:r>
        <w:rPr>
          <w:rFonts w:ascii="Times New Roman" w:eastAsia="Times New Roman" w:hAnsi="Times New Roman" w:cs="Times New Roman"/>
          <w:sz w:val="24"/>
          <w:szCs w:val="24"/>
          <w:highlight w:val="white"/>
        </w:rPr>
        <w:t xml:space="preserve"> et al., 2019).</w:t>
      </w:r>
    </w:p>
    <w:p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 response to these limitations, extended half-life (EHL) factor concentrates have been developed over the past decade. </w:t>
      </w:r>
      <w:r>
        <w:rPr>
          <w:rFonts w:ascii="Times New Roman" w:eastAsia="Times New Roman" w:hAnsi="Times New Roman" w:cs="Times New Roman"/>
          <w:sz w:val="24"/>
          <w:szCs w:val="24"/>
          <w:highlight w:val="white"/>
        </w:rPr>
        <w:t>EHL products, including recombinant factor VIII and IX, are engineered to have prolonged plasma persistence, thus reducing the frequency of infusions while maintaining effective prophylaxis (Chowdary, 2020). These therapies have been associated with reduce</w:t>
      </w:r>
      <w:r>
        <w:rPr>
          <w:rFonts w:ascii="Times New Roman" w:eastAsia="Times New Roman" w:hAnsi="Times New Roman" w:cs="Times New Roman"/>
          <w:sz w:val="24"/>
          <w:szCs w:val="24"/>
          <w:highlight w:val="white"/>
        </w:rPr>
        <w:t xml:space="preserve">d </w:t>
      </w:r>
      <w:proofErr w:type="spellStart"/>
      <w:r>
        <w:rPr>
          <w:rFonts w:ascii="Times New Roman" w:eastAsia="Times New Roman" w:hAnsi="Times New Roman" w:cs="Times New Roman"/>
          <w:sz w:val="24"/>
          <w:szCs w:val="24"/>
          <w:highlight w:val="white"/>
        </w:rPr>
        <w:t>annualised</w:t>
      </w:r>
      <w:proofErr w:type="spellEnd"/>
      <w:r>
        <w:rPr>
          <w:rFonts w:ascii="Times New Roman" w:eastAsia="Times New Roman" w:hAnsi="Times New Roman" w:cs="Times New Roman"/>
          <w:sz w:val="24"/>
          <w:szCs w:val="24"/>
          <w:highlight w:val="white"/>
        </w:rPr>
        <w:t xml:space="preserve"> bleeding rates (ABR) and fewer infusions compared to SHL products, improving adherence and quality of life for patients (</w:t>
      </w:r>
      <w:proofErr w:type="spellStart"/>
      <w:r>
        <w:rPr>
          <w:rFonts w:ascii="Times New Roman" w:eastAsia="Times New Roman" w:hAnsi="Times New Roman" w:cs="Times New Roman"/>
          <w:sz w:val="24"/>
          <w:szCs w:val="24"/>
          <w:highlight w:val="white"/>
        </w:rPr>
        <w:t>Abdelgawad</w:t>
      </w:r>
      <w:proofErr w:type="spellEnd"/>
      <w:r>
        <w:rPr>
          <w:rFonts w:ascii="Times New Roman" w:eastAsia="Times New Roman" w:hAnsi="Times New Roman" w:cs="Times New Roman"/>
          <w:sz w:val="24"/>
          <w:szCs w:val="24"/>
          <w:highlight w:val="white"/>
        </w:rPr>
        <w:t xml:space="preserve"> et al., 2024).</w:t>
      </w:r>
    </w:p>
    <w:p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growing body of evidence suggests that EHL factor therapies offer clinical benefits over SHL therapies, with lower ABR and fewer infusion requirements (</w:t>
      </w:r>
      <w:proofErr w:type="spellStart"/>
      <w:r>
        <w:rPr>
          <w:rFonts w:ascii="Times New Roman" w:eastAsia="Times New Roman" w:hAnsi="Times New Roman" w:cs="Times New Roman"/>
          <w:sz w:val="24"/>
          <w:szCs w:val="24"/>
          <w:highlight w:val="white"/>
        </w:rPr>
        <w:t>Lonardi</w:t>
      </w:r>
      <w:proofErr w:type="spellEnd"/>
      <w:r>
        <w:rPr>
          <w:rFonts w:ascii="Times New Roman" w:eastAsia="Times New Roman" w:hAnsi="Times New Roman" w:cs="Times New Roman"/>
          <w:sz w:val="24"/>
          <w:szCs w:val="24"/>
          <w:highlight w:val="white"/>
        </w:rPr>
        <w:t xml:space="preserve"> et al., 2025). However, the comparative evidence for EHL versus SHL therapies remains fragme</w:t>
      </w:r>
      <w:r>
        <w:rPr>
          <w:rFonts w:ascii="Times New Roman" w:eastAsia="Times New Roman" w:hAnsi="Times New Roman" w:cs="Times New Roman"/>
          <w:sz w:val="24"/>
          <w:szCs w:val="24"/>
          <w:highlight w:val="white"/>
        </w:rPr>
        <w:t xml:space="preserve">nted, and a comprehensive synthesis of this data is essential to clarify their relative efficacy in key outcomes, such as ABR, </w:t>
      </w:r>
      <w:proofErr w:type="spellStart"/>
      <w:r>
        <w:rPr>
          <w:rFonts w:ascii="Times New Roman" w:eastAsia="Times New Roman" w:hAnsi="Times New Roman" w:cs="Times New Roman"/>
          <w:sz w:val="24"/>
          <w:szCs w:val="24"/>
          <w:highlight w:val="white"/>
        </w:rPr>
        <w:t>annualised</w:t>
      </w:r>
      <w:proofErr w:type="spellEnd"/>
      <w:r>
        <w:rPr>
          <w:rFonts w:ascii="Times New Roman" w:eastAsia="Times New Roman" w:hAnsi="Times New Roman" w:cs="Times New Roman"/>
          <w:sz w:val="24"/>
          <w:szCs w:val="24"/>
          <w:highlight w:val="white"/>
        </w:rPr>
        <w:t xml:space="preserve"> joint bleeding rate (AJBR), proportion of patients achieving zero bleeds, factor consumption, health-related quality o</w:t>
      </w:r>
      <w:r>
        <w:rPr>
          <w:rFonts w:ascii="Times New Roman" w:eastAsia="Times New Roman" w:hAnsi="Times New Roman" w:cs="Times New Roman"/>
          <w:sz w:val="24"/>
          <w:szCs w:val="24"/>
          <w:highlight w:val="white"/>
        </w:rPr>
        <w:t>f life (</w:t>
      </w:r>
      <w:proofErr w:type="spellStart"/>
      <w:r>
        <w:rPr>
          <w:rFonts w:ascii="Times New Roman" w:eastAsia="Times New Roman" w:hAnsi="Times New Roman" w:cs="Times New Roman"/>
          <w:sz w:val="24"/>
          <w:szCs w:val="24"/>
          <w:highlight w:val="white"/>
        </w:rPr>
        <w:t>HRQoL</w:t>
      </w:r>
      <w:proofErr w:type="spellEnd"/>
      <w:r>
        <w:rPr>
          <w:rFonts w:ascii="Times New Roman" w:eastAsia="Times New Roman" w:hAnsi="Times New Roman" w:cs="Times New Roman"/>
          <w:sz w:val="24"/>
          <w:szCs w:val="24"/>
          <w:highlight w:val="white"/>
        </w:rPr>
        <w:t xml:space="preserve">), and safety outcomes. Despite advances in therapeutic modalities, including non-factor replacement therapies, this systematic review and meta-analysis will focus solely on comparing EHL and SHL therapies, a critical aspect of </w:t>
      </w:r>
      <w:proofErr w:type="spellStart"/>
      <w:r>
        <w:rPr>
          <w:rFonts w:ascii="Times New Roman" w:eastAsia="Times New Roman" w:hAnsi="Times New Roman" w:cs="Times New Roman"/>
          <w:sz w:val="24"/>
          <w:szCs w:val="24"/>
          <w:highlight w:val="white"/>
        </w:rPr>
        <w:t>haemophilia</w:t>
      </w:r>
      <w:proofErr w:type="spellEnd"/>
      <w:r>
        <w:rPr>
          <w:rFonts w:ascii="Times New Roman" w:eastAsia="Times New Roman" w:hAnsi="Times New Roman" w:cs="Times New Roman"/>
          <w:sz w:val="24"/>
          <w:szCs w:val="24"/>
          <w:highlight w:val="white"/>
        </w:rPr>
        <w:t xml:space="preserve"> tre</w:t>
      </w:r>
      <w:r>
        <w:rPr>
          <w:rFonts w:ascii="Times New Roman" w:eastAsia="Times New Roman" w:hAnsi="Times New Roman" w:cs="Times New Roman"/>
          <w:sz w:val="24"/>
          <w:szCs w:val="24"/>
          <w:highlight w:val="white"/>
        </w:rPr>
        <w:t>atment, given their widespread use and clinical relevance.</w:t>
      </w:r>
    </w:p>
    <w:p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This study aims to systematically review and </w:t>
      </w:r>
      <w:proofErr w:type="spellStart"/>
      <w:r>
        <w:rPr>
          <w:rFonts w:ascii="Times New Roman" w:eastAsia="Times New Roman" w:hAnsi="Times New Roman" w:cs="Times New Roman"/>
          <w:sz w:val="24"/>
          <w:szCs w:val="24"/>
          <w:highlight w:val="white"/>
        </w:rPr>
        <w:t>synthesise</w:t>
      </w:r>
      <w:proofErr w:type="spellEnd"/>
      <w:r>
        <w:rPr>
          <w:rFonts w:ascii="Times New Roman" w:eastAsia="Times New Roman" w:hAnsi="Times New Roman" w:cs="Times New Roman"/>
          <w:sz w:val="24"/>
          <w:szCs w:val="24"/>
          <w:highlight w:val="white"/>
        </w:rPr>
        <w:t xml:space="preserve"> the available evidence on the efficacy of EHL versus SHL factor replacement therapies, specifically in terms of ABR. Through a targeted </w:t>
      </w:r>
      <w:r>
        <w:rPr>
          <w:rFonts w:ascii="Times New Roman" w:eastAsia="Times New Roman" w:hAnsi="Times New Roman" w:cs="Times New Roman"/>
          <w:sz w:val="24"/>
          <w:szCs w:val="24"/>
          <w:highlight w:val="white"/>
        </w:rPr>
        <w:lastRenderedPageBreak/>
        <w:t>meta-</w:t>
      </w:r>
      <w:r>
        <w:rPr>
          <w:rFonts w:ascii="Times New Roman" w:eastAsia="Times New Roman" w:hAnsi="Times New Roman" w:cs="Times New Roman"/>
          <w:sz w:val="24"/>
          <w:szCs w:val="24"/>
          <w:highlight w:val="white"/>
        </w:rPr>
        <w:t>analysis and narrative synthesis, this work will provide valuable insights into the relative effectiveness of EHL and SHL therapies, focusing on the most commonly reported and relevant outcome measures, thereby informing clinical decision-making and optimi</w:t>
      </w:r>
      <w:r>
        <w:rPr>
          <w:rFonts w:ascii="Times New Roman" w:eastAsia="Times New Roman" w:hAnsi="Times New Roman" w:cs="Times New Roman"/>
          <w:sz w:val="24"/>
          <w:szCs w:val="24"/>
          <w:highlight w:val="white"/>
        </w:rPr>
        <w:t xml:space="preserve">zing treatment strategies for </w:t>
      </w:r>
      <w:proofErr w:type="spellStart"/>
      <w:r>
        <w:rPr>
          <w:rFonts w:ascii="Times New Roman" w:eastAsia="Times New Roman" w:hAnsi="Times New Roman" w:cs="Times New Roman"/>
          <w:sz w:val="24"/>
          <w:szCs w:val="24"/>
          <w:highlight w:val="white"/>
        </w:rPr>
        <w:t>haemophilia</w:t>
      </w:r>
      <w:proofErr w:type="spellEnd"/>
      <w:r>
        <w:rPr>
          <w:rFonts w:ascii="Times New Roman" w:eastAsia="Times New Roman" w:hAnsi="Times New Roman" w:cs="Times New Roman"/>
          <w:sz w:val="24"/>
          <w:szCs w:val="24"/>
          <w:highlight w:val="white"/>
        </w:rPr>
        <w:t>.</w:t>
      </w:r>
    </w:p>
    <w:p w:rsidR="00E46DF7" w:rsidRDefault="00597711">
      <w:pPr>
        <w:pStyle w:val="Heading3"/>
        <w:keepNext w:val="0"/>
        <w:keepLines w:val="0"/>
        <w:spacing w:before="280" w:line="360" w:lineRule="auto"/>
        <w:jc w:val="both"/>
        <w:rPr>
          <w:rFonts w:ascii="Times New Roman" w:eastAsia="Times New Roman" w:hAnsi="Times New Roman" w:cs="Times New Roman"/>
          <w:color w:val="000000"/>
          <w:sz w:val="24"/>
          <w:szCs w:val="24"/>
          <w:highlight w:val="white"/>
        </w:rPr>
      </w:pPr>
      <w:bookmarkStart w:id="0" w:name="_heading=h.onzvzl7eng7d" w:colFirst="0" w:colLast="0"/>
      <w:bookmarkEnd w:id="0"/>
      <w:r>
        <w:rPr>
          <w:rFonts w:ascii="Times New Roman" w:eastAsia="Times New Roman" w:hAnsi="Times New Roman" w:cs="Times New Roman"/>
          <w:b/>
          <w:bCs/>
          <w:color w:val="000000"/>
          <w:highlight w:val="white"/>
        </w:rPr>
        <w:t xml:space="preserve">Objective </w:t>
      </w:r>
    </w:p>
    <w:p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primary objective of this study is to compare the efficacy and safety of extended half-life (EHL) factor replacement versus standard half-life (SHL) factor replacement therapies in people with </w:t>
      </w:r>
      <w:proofErr w:type="spellStart"/>
      <w:r>
        <w:rPr>
          <w:rFonts w:ascii="Times New Roman" w:eastAsia="Times New Roman" w:hAnsi="Times New Roman" w:cs="Times New Roman"/>
          <w:sz w:val="24"/>
          <w:szCs w:val="24"/>
          <w:highlight w:val="white"/>
        </w:rPr>
        <w:t>haemo</w:t>
      </w:r>
      <w:r>
        <w:rPr>
          <w:rFonts w:ascii="Times New Roman" w:eastAsia="Times New Roman" w:hAnsi="Times New Roman" w:cs="Times New Roman"/>
          <w:sz w:val="24"/>
          <w:szCs w:val="24"/>
          <w:highlight w:val="white"/>
        </w:rPr>
        <w:t>philia</w:t>
      </w:r>
      <w:proofErr w:type="spellEnd"/>
      <w:r>
        <w:rPr>
          <w:rFonts w:ascii="Times New Roman" w:eastAsia="Times New Roman" w:hAnsi="Times New Roman" w:cs="Times New Roman"/>
          <w:sz w:val="24"/>
          <w:szCs w:val="24"/>
          <w:highlight w:val="white"/>
        </w:rPr>
        <w:t xml:space="preserve"> A or B. </w:t>
      </w:r>
    </w:p>
    <w:p w:rsidR="00E46DF7" w:rsidRDefault="00E46DF7">
      <w:pPr>
        <w:spacing w:before="240" w:after="240" w:line="360" w:lineRule="auto"/>
        <w:jc w:val="both"/>
        <w:rPr>
          <w:rFonts w:ascii="Times New Roman" w:eastAsia="Times New Roman" w:hAnsi="Times New Roman" w:cs="Times New Roman"/>
          <w:sz w:val="24"/>
          <w:szCs w:val="24"/>
          <w:highlight w:val="white"/>
        </w:rPr>
      </w:pPr>
    </w:p>
    <w:p w:rsidR="00E46DF7" w:rsidRDefault="00597711">
      <w:pPr>
        <w:spacing w:before="240" w:after="240" w:line="360" w:lineRule="auto"/>
        <w:jc w:val="both"/>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Methodology</w:t>
      </w:r>
    </w:p>
    <w:p w:rsidR="00E46DF7" w:rsidRDefault="00597711">
      <w:pPr>
        <w:spacing w:before="240" w:after="240" w:line="360" w:lineRule="auto"/>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Study Design</w:t>
      </w:r>
    </w:p>
    <w:p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study utilized a systematic review and meta-analysis design following PRISMA guidelines (Page et al., 2021), as it is particularly effective for mapping broad research questions.</w:t>
      </w:r>
    </w:p>
    <w:p w:rsidR="00E46DF7" w:rsidRDefault="00597711">
      <w:pPr>
        <w:pStyle w:val="Heading3"/>
        <w:keepNext w:val="0"/>
        <w:keepLines w:val="0"/>
        <w:spacing w:before="280" w:line="360" w:lineRule="auto"/>
        <w:jc w:val="both"/>
        <w:rPr>
          <w:rFonts w:ascii="Times New Roman" w:eastAsia="Times New Roman" w:hAnsi="Times New Roman" w:cs="Times New Roman"/>
          <w:b/>
          <w:bCs/>
          <w:color w:val="000000"/>
          <w:highlight w:val="white"/>
        </w:rPr>
      </w:pPr>
      <w:bookmarkStart w:id="1" w:name="_heading=h.e8hepy1alrlm" w:colFirst="0" w:colLast="0"/>
      <w:bookmarkEnd w:id="1"/>
      <w:r>
        <w:rPr>
          <w:rFonts w:ascii="Times New Roman" w:eastAsia="Times New Roman" w:hAnsi="Times New Roman" w:cs="Times New Roman"/>
          <w:b/>
          <w:bCs/>
          <w:color w:val="000000"/>
          <w:highlight w:val="white"/>
        </w:rPr>
        <w:t>Research Question</w:t>
      </w:r>
    </w:p>
    <w:p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research</w:t>
      </w:r>
      <w:r>
        <w:rPr>
          <w:rFonts w:ascii="Times New Roman" w:eastAsia="Times New Roman" w:hAnsi="Times New Roman" w:cs="Times New Roman"/>
          <w:sz w:val="24"/>
          <w:szCs w:val="24"/>
          <w:highlight w:val="white"/>
        </w:rPr>
        <w:t xml:space="preserve"> question guiding this work is: How do EHL versus SHL therapies differ in terms of annualized bleeding rate (ABR), with secondary consideration of </w:t>
      </w:r>
      <w:proofErr w:type="spellStart"/>
      <w:r>
        <w:rPr>
          <w:rFonts w:ascii="Times New Roman" w:eastAsia="Times New Roman" w:hAnsi="Times New Roman" w:cs="Times New Roman"/>
          <w:sz w:val="24"/>
          <w:szCs w:val="24"/>
          <w:highlight w:val="white"/>
        </w:rPr>
        <w:t>annualised</w:t>
      </w:r>
      <w:proofErr w:type="spellEnd"/>
      <w:r>
        <w:rPr>
          <w:rFonts w:ascii="Times New Roman" w:eastAsia="Times New Roman" w:hAnsi="Times New Roman" w:cs="Times New Roman"/>
          <w:sz w:val="24"/>
          <w:szCs w:val="24"/>
          <w:highlight w:val="white"/>
        </w:rPr>
        <w:t xml:space="preserve"> joint bleeding rate (AJBR), proportion of patients achieving zero bleeds, factor consumption, heal</w:t>
      </w:r>
      <w:r>
        <w:rPr>
          <w:rFonts w:ascii="Times New Roman" w:eastAsia="Times New Roman" w:hAnsi="Times New Roman" w:cs="Times New Roman"/>
          <w:sz w:val="24"/>
          <w:szCs w:val="24"/>
          <w:highlight w:val="white"/>
        </w:rPr>
        <w:t>th-related quality of life (</w:t>
      </w:r>
      <w:proofErr w:type="spellStart"/>
      <w:r>
        <w:rPr>
          <w:rFonts w:ascii="Times New Roman" w:eastAsia="Times New Roman" w:hAnsi="Times New Roman" w:cs="Times New Roman"/>
          <w:sz w:val="24"/>
          <w:szCs w:val="24"/>
          <w:highlight w:val="white"/>
        </w:rPr>
        <w:t>HRQoL</w:t>
      </w:r>
      <w:proofErr w:type="spellEnd"/>
      <w:r>
        <w:rPr>
          <w:rFonts w:ascii="Times New Roman" w:eastAsia="Times New Roman" w:hAnsi="Times New Roman" w:cs="Times New Roman"/>
          <w:sz w:val="24"/>
          <w:szCs w:val="24"/>
          <w:highlight w:val="white"/>
        </w:rPr>
        <w:t>), and safety outcomes? In formulating this question, the PICO framework was adopted (</w:t>
      </w:r>
      <w:proofErr w:type="spellStart"/>
      <w:r>
        <w:rPr>
          <w:rFonts w:ascii="Times New Roman" w:eastAsia="Times New Roman" w:hAnsi="Times New Roman" w:cs="Times New Roman"/>
          <w:sz w:val="24"/>
          <w:szCs w:val="24"/>
          <w:highlight w:val="white"/>
        </w:rPr>
        <w:t>Schardt</w:t>
      </w:r>
      <w:proofErr w:type="spellEnd"/>
      <w:r>
        <w:rPr>
          <w:rFonts w:ascii="Times New Roman" w:eastAsia="Times New Roman" w:hAnsi="Times New Roman" w:cs="Times New Roman"/>
          <w:sz w:val="24"/>
          <w:szCs w:val="24"/>
          <w:highlight w:val="white"/>
        </w:rPr>
        <w:t xml:space="preserve"> et al., 2007). The key elements were:</w:t>
      </w:r>
    </w:p>
    <w:p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 (Population): Individuals diagnosed with severe hemophilia A or B.</w:t>
      </w:r>
    </w:p>
    <w:p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 (Intervention): </w:t>
      </w:r>
      <w:r>
        <w:rPr>
          <w:rFonts w:ascii="Times New Roman" w:eastAsia="Times New Roman" w:hAnsi="Times New Roman" w:cs="Times New Roman"/>
          <w:sz w:val="24"/>
          <w:szCs w:val="24"/>
          <w:highlight w:val="white"/>
        </w:rPr>
        <w:t>Extended Half-Life (EHL) factor replacement therapies</w:t>
      </w:r>
    </w:p>
    <w:p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 (Comparator): Standard Half-Life (SHL) factor replacement therapies.</w:t>
      </w:r>
    </w:p>
    <w:p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O (Outcome): The primary outcome of interest is the Annualized Bleeding Rate (ABR), which reflects the number of bleeding episodes </w:t>
      </w:r>
      <w:r>
        <w:rPr>
          <w:rFonts w:ascii="Times New Roman" w:eastAsia="Times New Roman" w:hAnsi="Times New Roman" w:cs="Times New Roman"/>
          <w:sz w:val="24"/>
          <w:szCs w:val="24"/>
          <w:highlight w:val="white"/>
        </w:rPr>
        <w:t>over a year.</w:t>
      </w:r>
    </w:p>
    <w:p w:rsidR="00E46DF7" w:rsidRDefault="00597711">
      <w:pPr>
        <w:spacing w:before="240" w:after="240" w:line="360" w:lineRule="auto"/>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Information Sources and Search Strategy</w:t>
      </w:r>
    </w:p>
    <w:p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To address this question, a systematic literature search was conducted across PubMed, Google Scholar, and </w:t>
      </w:r>
      <w:hyperlink r:id="rId8">
        <w:r w:rsidR="00E46DF7">
          <w:rPr>
            <w:rFonts w:ascii="Times New Roman" w:eastAsia="Times New Roman" w:hAnsi="Times New Roman" w:cs="Times New Roman"/>
            <w:sz w:val="24"/>
            <w:szCs w:val="24"/>
            <w:highlight w:val="white"/>
            <w:u w:val="single"/>
          </w:rPr>
          <w:t>ClinicalTrials.gov</w:t>
        </w:r>
      </w:hyperlink>
      <w:r>
        <w:rPr>
          <w:rFonts w:ascii="Times New Roman" w:eastAsia="Times New Roman" w:hAnsi="Times New Roman" w:cs="Times New Roman"/>
          <w:sz w:val="24"/>
          <w:szCs w:val="24"/>
          <w:highlight w:val="white"/>
        </w:rPr>
        <w:t>. These databases were last search</w:t>
      </w:r>
      <w:r>
        <w:rPr>
          <w:rFonts w:ascii="Times New Roman" w:eastAsia="Times New Roman" w:hAnsi="Times New Roman" w:cs="Times New Roman"/>
          <w:sz w:val="24"/>
          <w:szCs w:val="24"/>
          <w:highlight w:val="white"/>
        </w:rPr>
        <w:t>ed on December 8, 2025, focusing on original research articles published between 2020 and the search date. The search strategy involved using a combination of key terms and Boolean operators “AND” and “OR” (</w:t>
      </w:r>
      <w:proofErr w:type="spellStart"/>
      <w:r>
        <w:rPr>
          <w:rFonts w:ascii="Times New Roman" w:eastAsia="Times New Roman" w:hAnsi="Times New Roman" w:cs="Times New Roman"/>
          <w:sz w:val="24"/>
          <w:szCs w:val="24"/>
          <w:highlight w:val="white"/>
        </w:rPr>
        <w:t>Alharbi</w:t>
      </w:r>
      <w:proofErr w:type="spellEnd"/>
      <w:r>
        <w:rPr>
          <w:rFonts w:ascii="Times New Roman" w:eastAsia="Times New Roman" w:hAnsi="Times New Roman" w:cs="Times New Roman"/>
          <w:sz w:val="24"/>
          <w:szCs w:val="24"/>
          <w:highlight w:val="white"/>
        </w:rPr>
        <w:t xml:space="preserve"> &amp; Stevenson, 2020</w:t>
      </w:r>
      <w:proofErr w:type="gramStart"/>
      <w:r>
        <w:rPr>
          <w:rFonts w:ascii="Times New Roman" w:eastAsia="Times New Roman" w:hAnsi="Times New Roman" w:cs="Times New Roman"/>
          <w:sz w:val="24"/>
          <w:szCs w:val="24"/>
          <w:highlight w:val="white"/>
        </w:rPr>
        <w:t>),  as</w:t>
      </w:r>
      <w:proofErr w:type="gramEnd"/>
      <w:r>
        <w:rPr>
          <w:rFonts w:ascii="Times New Roman" w:eastAsia="Times New Roman" w:hAnsi="Times New Roman" w:cs="Times New Roman"/>
          <w:sz w:val="24"/>
          <w:szCs w:val="24"/>
          <w:highlight w:val="white"/>
        </w:rPr>
        <w:t xml:space="preserve"> well as Medical S</w:t>
      </w:r>
      <w:r>
        <w:rPr>
          <w:rFonts w:ascii="Times New Roman" w:eastAsia="Times New Roman" w:hAnsi="Times New Roman" w:cs="Times New Roman"/>
          <w:sz w:val="24"/>
          <w:szCs w:val="24"/>
          <w:highlight w:val="white"/>
        </w:rPr>
        <w:t>ubject Headings (</w:t>
      </w:r>
      <w:proofErr w:type="spellStart"/>
      <w:r>
        <w:rPr>
          <w:rFonts w:ascii="Times New Roman" w:eastAsia="Times New Roman" w:hAnsi="Times New Roman" w:cs="Times New Roman"/>
          <w:sz w:val="24"/>
          <w:szCs w:val="24"/>
          <w:highlight w:val="white"/>
        </w:rPr>
        <w:t>MeSH</w:t>
      </w:r>
      <w:proofErr w:type="spellEnd"/>
      <w:r>
        <w:rPr>
          <w:rFonts w:ascii="Times New Roman" w:eastAsia="Times New Roman" w:hAnsi="Times New Roman" w:cs="Times New Roman"/>
          <w:sz w:val="24"/>
          <w:szCs w:val="24"/>
          <w:highlight w:val="white"/>
        </w:rPr>
        <w:t>) terms (for PubMed) (</w:t>
      </w:r>
      <w:proofErr w:type="spellStart"/>
      <w:r>
        <w:rPr>
          <w:rFonts w:ascii="Times New Roman" w:eastAsia="Times New Roman" w:hAnsi="Times New Roman" w:cs="Times New Roman"/>
          <w:sz w:val="24"/>
          <w:szCs w:val="24"/>
          <w:highlight w:val="white"/>
        </w:rPr>
        <w:t>DeMars</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Perruso</w:t>
      </w:r>
      <w:proofErr w:type="spellEnd"/>
      <w:r>
        <w:rPr>
          <w:rFonts w:ascii="Times New Roman" w:eastAsia="Times New Roman" w:hAnsi="Times New Roman" w:cs="Times New Roman"/>
          <w:sz w:val="24"/>
          <w:szCs w:val="24"/>
          <w:highlight w:val="white"/>
        </w:rPr>
        <w:t>, 2022). The full search strategy is as shown in Supplement file 1. Appropriate database filters such as 2020-2025 (in both PubMed and Google Scholar), free full text, studies published in English,</w:t>
      </w:r>
      <w:r>
        <w:rPr>
          <w:rFonts w:ascii="Times New Roman" w:eastAsia="Times New Roman" w:hAnsi="Times New Roman" w:cs="Times New Roman"/>
          <w:sz w:val="24"/>
          <w:szCs w:val="24"/>
          <w:highlight w:val="white"/>
        </w:rPr>
        <w:t xml:space="preserve"> studies involving human participants (in PubMed) were applied to limit search results to peer-reviewed articles, published from 2020 to the search date.</w:t>
      </w:r>
    </w:p>
    <w:p w:rsidR="00E46DF7" w:rsidRDefault="00597711">
      <w:pPr>
        <w:spacing w:before="240" w:after="240" w:line="360" w:lineRule="auto"/>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Eligibility Criteria</w:t>
      </w:r>
    </w:p>
    <w:p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To capture the most relevant studies, clear inclusion criteria were established. </w:t>
      </w:r>
      <w:r>
        <w:rPr>
          <w:rFonts w:ascii="Times New Roman" w:eastAsia="Times New Roman" w:hAnsi="Times New Roman" w:cs="Times New Roman"/>
          <w:sz w:val="24"/>
          <w:szCs w:val="24"/>
          <w:highlight w:val="white"/>
        </w:rPr>
        <w:t xml:space="preserve"> Publications written in English featuring patients with hemophilia A or B receiving EHL or SHL factor replacement therapies, report at least one of the pre-specified outcomes, and have a minimum follow-up period of six months. Studies without a comparator</w:t>
      </w:r>
      <w:r>
        <w:rPr>
          <w:rFonts w:ascii="Times New Roman" w:eastAsia="Times New Roman" w:hAnsi="Times New Roman" w:cs="Times New Roman"/>
          <w:sz w:val="24"/>
          <w:szCs w:val="24"/>
          <w:highlight w:val="white"/>
        </w:rPr>
        <w:t xml:space="preserve"> arm or lacking relevant clinical outcomes were excluded from the analysis.</w:t>
      </w:r>
    </w:p>
    <w:p w:rsidR="00E46DF7" w:rsidRDefault="00597711">
      <w:pPr>
        <w:spacing w:before="240" w:after="240" w:line="360" w:lineRule="auto"/>
        <w:jc w:val="both"/>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Search Yield and Study Selection</w:t>
      </w:r>
    </w:p>
    <w:p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 total, 841 records were identified from PubMed (n=324), Google Scholar (n=494), and </w:t>
      </w:r>
      <w:hyperlink r:id="rId9">
        <w:r w:rsidR="00E46DF7">
          <w:rPr>
            <w:rFonts w:ascii="Times New Roman" w:eastAsia="Times New Roman" w:hAnsi="Times New Roman" w:cs="Times New Roman"/>
            <w:sz w:val="24"/>
            <w:szCs w:val="24"/>
            <w:highlight w:val="white"/>
            <w:u w:val="single"/>
          </w:rPr>
          <w:t>ClinicalTrials.gov</w:t>
        </w:r>
      </w:hyperlink>
      <w:r>
        <w:rPr>
          <w:rFonts w:ascii="Times New Roman" w:eastAsia="Times New Roman" w:hAnsi="Times New Roman" w:cs="Times New Roman"/>
          <w:sz w:val="24"/>
          <w:szCs w:val="24"/>
          <w:highlight w:val="white"/>
        </w:rPr>
        <w:t xml:space="preserve"> (n=23). Following application of appropriate database filters, 241 records were excluded leaving 600 that were subjected to title and abstract screening within the database and 566 did not meet the inclusion criteria. Then the selected studies (34) wer</w:t>
      </w:r>
      <w:r>
        <w:rPr>
          <w:rFonts w:ascii="Times New Roman" w:eastAsia="Times New Roman" w:hAnsi="Times New Roman" w:cs="Times New Roman"/>
          <w:sz w:val="24"/>
          <w:szCs w:val="24"/>
          <w:highlight w:val="white"/>
        </w:rPr>
        <w:t>e downloaded into a reference manager (</w:t>
      </w:r>
      <w:proofErr w:type="spellStart"/>
      <w:r>
        <w:rPr>
          <w:rFonts w:ascii="Times New Roman" w:eastAsia="Times New Roman" w:hAnsi="Times New Roman" w:cs="Times New Roman"/>
          <w:sz w:val="24"/>
          <w:szCs w:val="24"/>
          <w:highlight w:val="white"/>
        </w:rPr>
        <w:t>zotero</w:t>
      </w:r>
      <w:proofErr w:type="spellEnd"/>
      <w:r>
        <w:rPr>
          <w:rFonts w:ascii="Times New Roman" w:eastAsia="Times New Roman" w:hAnsi="Times New Roman" w:cs="Times New Roman"/>
          <w:sz w:val="24"/>
          <w:szCs w:val="24"/>
          <w:highlight w:val="white"/>
        </w:rPr>
        <w:t>) and duplicates (8) were removed. 26 reports were then assessed for eligibility, of which 20 articles were removed (3 were review articles, 4 were non-human studies, 5 did not compare EHL and SHL, and 8 focused</w:t>
      </w:r>
      <w:r>
        <w:rPr>
          <w:rFonts w:ascii="Times New Roman" w:eastAsia="Times New Roman" w:hAnsi="Times New Roman" w:cs="Times New Roman"/>
          <w:sz w:val="24"/>
          <w:szCs w:val="24"/>
          <w:highlight w:val="white"/>
        </w:rPr>
        <w:t xml:space="preserve"> on unrelated outcomes). Ultimately, six (6) studies met all eligibility criteria and were included in the final analysis, providing the data necessary to </w:t>
      </w:r>
      <w:r>
        <w:rPr>
          <w:rFonts w:ascii="Times New Roman" w:eastAsia="Times New Roman" w:hAnsi="Times New Roman" w:cs="Times New Roman"/>
          <w:sz w:val="24"/>
          <w:szCs w:val="24"/>
          <w:highlight w:val="white"/>
        </w:rPr>
        <w:lastRenderedPageBreak/>
        <w:t>assess the efficacy of EHL versus SHL therapies in hemophilia. The PRISMA flow diagram detailing on t</w:t>
      </w:r>
      <w:r>
        <w:rPr>
          <w:rFonts w:ascii="Times New Roman" w:eastAsia="Times New Roman" w:hAnsi="Times New Roman" w:cs="Times New Roman"/>
          <w:sz w:val="24"/>
          <w:szCs w:val="24"/>
          <w:highlight w:val="white"/>
        </w:rPr>
        <w:t>he selection process for this study is shown in Figure 1.</w:t>
      </w:r>
    </w:p>
    <w:p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noProof/>
          <w:sz w:val="32"/>
          <w:szCs w:val="32"/>
          <w:highlight w:val="white"/>
        </w:rPr>
        <w:drawing>
          <wp:inline distT="114300" distB="114300" distL="114300" distR="114300">
            <wp:extent cx="5943600" cy="44069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943600" cy="4406900"/>
                    </a:xfrm>
                    <a:prstGeom prst="rect">
                      <a:avLst/>
                    </a:prstGeom>
                    <a:ln/>
                  </pic:spPr>
                </pic:pic>
              </a:graphicData>
            </a:graphic>
          </wp:inline>
        </w:drawing>
      </w:r>
      <w:r>
        <w:rPr>
          <w:rFonts w:ascii="Times New Roman" w:eastAsia="Times New Roman" w:hAnsi="Times New Roman" w:cs="Times New Roman"/>
          <w:b/>
          <w:bCs/>
          <w:sz w:val="24"/>
          <w:szCs w:val="24"/>
          <w:highlight w:val="white"/>
        </w:rPr>
        <w:t>Figure 1: Preferred Reporting Items for Systematic Reviews and Meta-Analysis (PRISMA) Flow Diagram</w:t>
      </w:r>
    </w:p>
    <w:p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8"/>
          <w:szCs w:val="28"/>
          <w:highlight w:val="white"/>
        </w:rPr>
        <w:t>Data Extraction</w:t>
      </w:r>
    </w:p>
    <w:p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Data extraction focused on study design, patient characteristics (age, hemophilia </w:t>
      </w:r>
      <w:r>
        <w:rPr>
          <w:rFonts w:ascii="Times New Roman" w:eastAsia="Times New Roman" w:hAnsi="Times New Roman" w:cs="Times New Roman"/>
          <w:sz w:val="24"/>
          <w:szCs w:val="24"/>
          <w:highlight w:val="white"/>
        </w:rPr>
        <w:t xml:space="preserve">type, inhibitor status), interventions (EHL vs SHL therapies), and outcome measures (ABR, AJBR, zero-bleed proportion, factor consumption, </w:t>
      </w:r>
      <w:proofErr w:type="spellStart"/>
      <w:r>
        <w:rPr>
          <w:rFonts w:ascii="Times New Roman" w:eastAsia="Times New Roman" w:hAnsi="Times New Roman" w:cs="Times New Roman"/>
          <w:sz w:val="24"/>
          <w:szCs w:val="24"/>
          <w:highlight w:val="white"/>
        </w:rPr>
        <w:t>HRQoL</w:t>
      </w:r>
      <w:proofErr w:type="spellEnd"/>
      <w:r>
        <w:rPr>
          <w:rFonts w:ascii="Times New Roman" w:eastAsia="Times New Roman" w:hAnsi="Times New Roman" w:cs="Times New Roman"/>
          <w:sz w:val="24"/>
          <w:szCs w:val="24"/>
          <w:highlight w:val="white"/>
        </w:rPr>
        <w:t>, safety outcomes). For the meta-analysis, data were pooled using a random-effects model to account for anticipa</w:t>
      </w:r>
      <w:r>
        <w:rPr>
          <w:rFonts w:ascii="Times New Roman" w:eastAsia="Times New Roman" w:hAnsi="Times New Roman" w:cs="Times New Roman"/>
          <w:sz w:val="24"/>
          <w:szCs w:val="24"/>
          <w:highlight w:val="white"/>
        </w:rPr>
        <w:t>ted heterogeneity. Continuous outcomes particularly ABR were pooled using mean differences.</w:t>
      </w:r>
    </w:p>
    <w:p w:rsidR="00E46DF7" w:rsidRDefault="00597711">
      <w:pPr>
        <w:spacing w:before="240" w:after="240" w:line="360" w:lineRule="auto"/>
        <w:jc w:val="both"/>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Quality Assessment</w:t>
      </w:r>
    </w:p>
    <w:p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The risk of bias in the included studies will be assessed using the appropriate tools: the ROBINS-I tool for non-</w:t>
      </w:r>
      <w:proofErr w:type="spellStart"/>
      <w:r>
        <w:rPr>
          <w:rFonts w:ascii="Times New Roman" w:eastAsia="Times New Roman" w:hAnsi="Times New Roman" w:cs="Times New Roman"/>
          <w:sz w:val="24"/>
          <w:szCs w:val="24"/>
          <w:highlight w:val="white"/>
        </w:rPr>
        <w:t>randomised</w:t>
      </w:r>
      <w:proofErr w:type="spellEnd"/>
      <w:r>
        <w:rPr>
          <w:rFonts w:ascii="Times New Roman" w:eastAsia="Times New Roman" w:hAnsi="Times New Roman" w:cs="Times New Roman"/>
          <w:sz w:val="24"/>
          <w:szCs w:val="24"/>
          <w:highlight w:val="white"/>
        </w:rPr>
        <w:t xml:space="preserve"> studies (Sterne et al</w:t>
      </w:r>
      <w:r>
        <w:rPr>
          <w:rFonts w:ascii="Times New Roman" w:eastAsia="Times New Roman" w:hAnsi="Times New Roman" w:cs="Times New Roman"/>
          <w:sz w:val="24"/>
          <w:szCs w:val="24"/>
          <w:highlight w:val="white"/>
        </w:rPr>
        <w:t xml:space="preserve">., 2016). </w:t>
      </w:r>
    </w:p>
    <w:p w:rsidR="00E46DF7" w:rsidRDefault="00597711">
      <w:pPr>
        <w:pStyle w:val="Heading3"/>
        <w:keepNext w:val="0"/>
        <w:keepLines w:val="0"/>
        <w:spacing w:before="280" w:line="360" w:lineRule="auto"/>
        <w:jc w:val="both"/>
        <w:rPr>
          <w:rFonts w:ascii="Times New Roman" w:eastAsia="Times New Roman" w:hAnsi="Times New Roman" w:cs="Times New Roman"/>
          <w:b/>
          <w:bCs/>
          <w:color w:val="000000"/>
          <w:highlight w:val="white"/>
        </w:rPr>
      </w:pPr>
      <w:bookmarkStart w:id="2" w:name="_heading=h.4p3uegxn2hsq" w:colFirst="0" w:colLast="0"/>
      <w:bookmarkEnd w:id="2"/>
      <w:r>
        <w:rPr>
          <w:rFonts w:ascii="Times New Roman" w:eastAsia="Times New Roman" w:hAnsi="Times New Roman" w:cs="Times New Roman"/>
          <w:b/>
          <w:bCs/>
          <w:color w:val="000000"/>
          <w:highlight w:val="white"/>
        </w:rPr>
        <w:t>Narrative Synthesis</w:t>
      </w:r>
    </w:p>
    <w:p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narrative synthesis was conducted to summarize the findings from the included studies. This synthesis involved a detailed examination of all reported outcomes, including Annualized Bleeding Rate (ABR), Annualized Joint </w:t>
      </w:r>
      <w:r>
        <w:rPr>
          <w:rFonts w:ascii="Times New Roman" w:eastAsia="Times New Roman" w:hAnsi="Times New Roman" w:cs="Times New Roman"/>
          <w:sz w:val="24"/>
          <w:szCs w:val="24"/>
          <w:highlight w:val="white"/>
        </w:rPr>
        <w:t>Bleeding Rate (AJBR), factor consumption, Health-Related Quality of Life (</w:t>
      </w:r>
      <w:proofErr w:type="spellStart"/>
      <w:r>
        <w:rPr>
          <w:rFonts w:ascii="Times New Roman" w:eastAsia="Times New Roman" w:hAnsi="Times New Roman" w:cs="Times New Roman"/>
          <w:sz w:val="24"/>
          <w:szCs w:val="24"/>
          <w:highlight w:val="white"/>
        </w:rPr>
        <w:t>HRQoL</w:t>
      </w:r>
      <w:proofErr w:type="spellEnd"/>
      <w:r>
        <w:rPr>
          <w:rFonts w:ascii="Times New Roman" w:eastAsia="Times New Roman" w:hAnsi="Times New Roman" w:cs="Times New Roman"/>
          <w:sz w:val="24"/>
          <w:szCs w:val="24"/>
          <w:highlight w:val="white"/>
        </w:rPr>
        <w:t>), and safety outcomes. The goal of this narrative synthesis was to provide a comprehensive overview of the evidence, offering a more nuanced understanding of the broader impact</w:t>
      </w:r>
      <w:r>
        <w:rPr>
          <w:rFonts w:ascii="Times New Roman" w:eastAsia="Times New Roman" w:hAnsi="Times New Roman" w:cs="Times New Roman"/>
          <w:sz w:val="24"/>
          <w:szCs w:val="24"/>
          <w:highlight w:val="white"/>
        </w:rPr>
        <w:t>s of Extended Half-Life (EHL) versus Standard Half-Life (SHL) therapies in patients with hemophilia. This approach allows for an exploration of different outcomes, and is particularly useful for identifying trends and variations across studies.</w:t>
      </w:r>
    </w:p>
    <w:p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narrati</w:t>
      </w:r>
      <w:r>
        <w:rPr>
          <w:rFonts w:ascii="Times New Roman" w:eastAsia="Times New Roman" w:hAnsi="Times New Roman" w:cs="Times New Roman"/>
          <w:sz w:val="24"/>
          <w:szCs w:val="24"/>
          <w:highlight w:val="white"/>
        </w:rPr>
        <w:t xml:space="preserve">ve synthesis included summary of the primary efficacy outcomes, such as ABR and AJBR, reported by each study as well as assessment of secondary outcomes, including factor consumption, </w:t>
      </w:r>
      <w:proofErr w:type="spellStart"/>
      <w:r>
        <w:rPr>
          <w:rFonts w:ascii="Times New Roman" w:eastAsia="Times New Roman" w:hAnsi="Times New Roman" w:cs="Times New Roman"/>
          <w:sz w:val="24"/>
          <w:szCs w:val="24"/>
          <w:highlight w:val="white"/>
        </w:rPr>
        <w:t>HRQoL</w:t>
      </w:r>
      <w:proofErr w:type="spellEnd"/>
      <w:r>
        <w:rPr>
          <w:rFonts w:ascii="Times New Roman" w:eastAsia="Times New Roman" w:hAnsi="Times New Roman" w:cs="Times New Roman"/>
          <w:sz w:val="24"/>
          <w:szCs w:val="24"/>
          <w:highlight w:val="white"/>
        </w:rPr>
        <w:t>, and safety data, where available.</w:t>
      </w:r>
    </w:p>
    <w:p w:rsidR="00E46DF7" w:rsidRDefault="00597711">
      <w:pPr>
        <w:spacing w:before="240" w:after="240" w:line="360" w:lineRule="auto"/>
        <w:jc w:val="both"/>
        <w:rPr>
          <w:rFonts w:ascii="Times New Roman" w:eastAsia="Times New Roman" w:hAnsi="Times New Roman" w:cs="Times New Roman"/>
          <w:b/>
          <w:bCs/>
          <w:sz w:val="30"/>
          <w:szCs w:val="30"/>
          <w:highlight w:val="white"/>
        </w:rPr>
      </w:pPr>
      <w:r>
        <w:rPr>
          <w:rFonts w:ascii="Times New Roman" w:eastAsia="Times New Roman" w:hAnsi="Times New Roman" w:cs="Times New Roman"/>
          <w:b/>
          <w:bCs/>
          <w:sz w:val="30"/>
          <w:szCs w:val="30"/>
          <w:highlight w:val="white"/>
        </w:rPr>
        <w:t>Statistical Analysis</w:t>
      </w:r>
    </w:p>
    <w:p w:rsidR="00E46DF7" w:rsidRDefault="00597711">
      <w:pPr>
        <w:pStyle w:val="Heading4"/>
        <w:keepNext w:val="0"/>
        <w:keepLines w:val="0"/>
        <w:spacing w:before="240" w:after="40" w:line="360" w:lineRule="auto"/>
        <w:jc w:val="both"/>
        <w:rPr>
          <w:rFonts w:ascii="Times New Roman" w:eastAsia="Times New Roman" w:hAnsi="Times New Roman" w:cs="Times New Roman"/>
          <w:color w:val="000000"/>
          <w:highlight w:val="white"/>
        </w:rPr>
      </w:pPr>
      <w:bookmarkStart w:id="3" w:name="_heading=h.lmblahubypk4" w:colFirst="0" w:colLast="0"/>
      <w:bookmarkEnd w:id="3"/>
      <w:r>
        <w:rPr>
          <w:rFonts w:ascii="Times New Roman" w:eastAsia="Times New Roman" w:hAnsi="Times New Roman" w:cs="Times New Roman"/>
          <w:b/>
          <w:bCs/>
          <w:color w:val="000000"/>
          <w:highlight w:val="white"/>
        </w:rPr>
        <w:t>Data Harmo</w:t>
      </w:r>
      <w:r>
        <w:rPr>
          <w:rFonts w:ascii="Times New Roman" w:eastAsia="Times New Roman" w:hAnsi="Times New Roman" w:cs="Times New Roman"/>
          <w:b/>
          <w:bCs/>
          <w:color w:val="000000"/>
          <w:highlight w:val="white"/>
        </w:rPr>
        <w:t>nization and Treatment of Missing Data:</w:t>
      </w:r>
      <w:r>
        <w:rPr>
          <w:rFonts w:ascii="Times New Roman" w:eastAsia="Times New Roman" w:hAnsi="Times New Roman" w:cs="Times New Roman"/>
          <w:color w:val="000000"/>
          <w:highlight w:val="white"/>
        </w:rPr>
        <w:t xml:space="preserve"> For most of the included studies, mean (M) and standard deviation (SD) values for Annualized Bleeding Rate (ABR) were reported directly. However, in cases where these values were missing, we estimated the mean and SD</w:t>
      </w:r>
      <w:r>
        <w:rPr>
          <w:rFonts w:ascii="Times New Roman" w:eastAsia="Times New Roman" w:hAnsi="Times New Roman" w:cs="Times New Roman"/>
          <w:color w:val="000000"/>
          <w:highlight w:val="white"/>
        </w:rPr>
        <w:t xml:space="preserve"> using the following steps, as confidence intervals (CIs) and the number of participants (n) were provided:</w:t>
      </w:r>
    </w:p>
    <w:p w:rsidR="00E46DF7" w:rsidRDefault="00597711">
      <w:pPr>
        <w:numPr>
          <w:ilvl w:val="0"/>
          <w:numId w:val="2"/>
        </w:numPr>
        <w:spacing w:before="240" w:line="360" w:lineRule="auto"/>
        <w:rPr>
          <w:rFonts w:ascii="Times New Roman" w:eastAsia="Times New Roman" w:hAnsi="Times New Roman" w:cs="Times New Roman"/>
          <w:sz w:val="24"/>
          <w:szCs w:val="24"/>
          <w:highlight w:val="white"/>
        </w:rPr>
      </w:pPr>
      <w:sdt>
        <w:sdtPr>
          <w:tag w:val="goog_rdk_0"/>
          <w:id w:val="1977285892"/>
        </w:sdtPr>
        <w:sdtEndPr/>
        <w:sdtContent>
          <w:r>
            <w:rPr>
              <w:rFonts w:ascii="Gungsuh" w:eastAsia="Gungsuh" w:hAnsi="Gungsuh" w:cs="Gungsuh"/>
              <w:sz w:val="24"/>
              <w:szCs w:val="24"/>
              <w:highlight w:val="white"/>
            </w:rPr>
            <w:t>Step 1: The Margin of Error (ME) was calculated as half the difference between the upper and lower bounds of the confidence interval:</w:t>
          </w:r>
          <w:r>
            <w:rPr>
              <w:rFonts w:ascii="Gungsuh" w:eastAsia="Gungsuh" w:hAnsi="Gungsuh" w:cs="Gungsuh"/>
              <w:sz w:val="24"/>
              <w:szCs w:val="24"/>
              <w:highlight w:val="white"/>
            </w:rPr>
            <w:br/>
            <w:t xml:space="preserve"> ME</w:t>
          </w:r>
          <w:proofErr w:type="gramStart"/>
          <w:r>
            <w:rPr>
              <w:rFonts w:ascii="Gungsuh" w:eastAsia="Gungsuh" w:hAnsi="Gungsuh" w:cs="Gungsuh"/>
              <w:sz w:val="24"/>
              <w:szCs w:val="24"/>
              <w:highlight w:val="white"/>
            </w:rPr>
            <w:t>=(</w:t>
          </w:r>
          <w:proofErr w:type="gramEnd"/>
          <w:r>
            <w:rPr>
              <w:rFonts w:ascii="Gungsuh" w:eastAsia="Gungsuh" w:hAnsi="Gungsuh" w:cs="Gungsuh"/>
              <w:sz w:val="24"/>
              <w:szCs w:val="24"/>
              <w:highlight w:val="white"/>
            </w:rPr>
            <w:t>Upper CI−</w:t>
          </w:r>
          <w:r>
            <w:rPr>
              <w:rFonts w:ascii="Gungsuh" w:eastAsia="Gungsuh" w:hAnsi="Gungsuh" w:cs="Gungsuh"/>
              <w:sz w:val="24"/>
              <w:szCs w:val="24"/>
              <w:highlight w:val="white"/>
            </w:rPr>
            <w:t>Lower CI)/2</w:t>
          </w:r>
        </w:sdtContent>
      </w:sdt>
    </w:p>
    <w:p w:rsidR="00E46DF7" w:rsidRDefault="00597711">
      <w:pPr>
        <w:numPr>
          <w:ilvl w:val="0"/>
          <w:numId w:val="2"/>
        </w:numPr>
        <w:spacing w:line="360" w:lineRule="auto"/>
        <w:rPr>
          <w:rFonts w:ascii="Times New Roman" w:eastAsia="Times New Roman" w:hAnsi="Times New Roman" w:cs="Times New Roman"/>
          <w:sz w:val="24"/>
          <w:szCs w:val="24"/>
          <w:highlight w:val="white"/>
        </w:rPr>
      </w:pPr>
      <w:sdt>
        <w:sdtPr>
          <w:tag w:val="goog_rdk_1"/>
          <w:id w:val="1493414849"/>
        </w:sdtPr>
        <w:sdtEndPr/>
        <w:sdtContent>
          <w:r>
            <w:rPr>
              <w:rFonts w:ascii="Gungsuh" w:eastAsia="Gungsuh" w:hAnsi="Gungsuh" w:cs="Gungsuh"/>
              <w:sz w:val="24"/>
              <w:szCs w:val="24"/>
              <w:highlight w:val="white"/>
            </w:rPr>
            <w:t>Step 2: The critical value was determined based on the sample size:</w:t>
          </w:r>
          <w:r>
            <w:rPr>
              <w:rFonts w:ascii="Gungsuh" w:eastAsia="Gungsuh" w:hAnsi="Gungsuh" w:cs="Gungsuh"/>
              <w:sz w:val="24"/>
              <w:szCs w:val="24"/>
              <w:highlight w:val="white"/>
            </w:rPr>
            <w:br/>
            <w:t xml:space="preserve">For sample sizes ≥ 30, the Z-score of 1.96 (for a 90% confidence </w:t>
          </w:r>
          <w:r>
            <w:rPr>
              <w:rFonts w:ascii="Gungsuh" w:eastAsia="Gungsuh" w:hAnsi="Gungsuh" w:cs="Gungsuh"/>
              <w:sz w:val="24"/>
              <w:szCs w:val="24"/>
              <w:highlight w:val="white"/>
            </w:rPr>
            <w:lastRenderedPageBreak/>
            <w:t>interval) was used.</w:t>
          </w:r>
          <w:r>
            <w:rPr>
              <w:rFonts w:ascii="Gungsuh" w:eastAsia="Gungsuh" w:hAnsi="Gungsuh" w:cs="Gungsuh"/>
              <w:sz w:val="24"/>
              <w:szCs w:val="24"/>
              <w:highlight w:val="white"/>
            </w:rPr>
            <w:br/>
            <w:t>For sample sizes &lt; 30, the t-distribution was used to determine the critical value.</w:t>
          </w:r>
        </w:sdtContent>
      </w:sdt>
    </w:p>
    <w:p w:rsidR="00E46DF7" w:rsidRDefault="00597711">
      <w:pPr>
        <w:numPr>
          <w:ilvl w:val="0"/>
          <w:numId w:val="2"/>
        </w:num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Ste</w:t>
      </w:r>
      <w:r>
        <w:rPr>
          <w:rFonts w:ascii="Times New Roman" w:eastAsia="Times New Roman" w:hAnsi="Times New Roman" w:cs="Times New Roman"/>
          <w:sz w:val="24"/>
          <w:szCs w:val="24"/>
          <w:highlight w:val="white"/>
        </w:rPr>
        <w:t>p 3: The Standard Error (SE) was calculated using the formula:</w:t>
      </w:r>
      <w:r>
        <w:rPr>
          <w:rFonts w:ascii="Times New Roman" w:eastAsia="Times New Roman" w:hAnsi="Times New Roman" w:cs="Times New Roman"/>
          <w:sz w:val="24"/>
          <w:szCs w:val="24"/>
          <w:highlight w:val="white"/>
        </w:rPr>
        <w:br/>
        <w:t xml:space="preserve"> SE=ME​/Critical Value</w:t>
      </w:r>
    </w:p>
    <w:p w:rsidR="00E46DF7" w:rsidRDefault="00597711">
      <w:pPr>
        <w:numPr>
          <w:ilvl w:val="0"/>
          <w:numId w:val="2"/>
        </w:numPr>
        <w:spacing w:after="240" w:line="360" w:lineRule="auto"/>
        <w:rPr>
          <w:rFonts w:ascii="Times New Roman" w:eastAsia="Times New Roman" w:hAnsi="Times New Roman" w:cs="Times New Roman"/>
          <w:sz w:val="24"/>
          <w:szCs w:val="24"/>
          <w:highlight w:val="white"/>
        </w:rPr>
      </w:pPr>
      <w:sdt>
        <w:sdtPr>
          <w:tag w:val="goog_rdk_2"/>
          <w:id w:val="1431609168"/>
        </w:sdtPr>
        <w:sdtEndPr/>
        <w:sdtContent>
          <w:r>
            <w:rPr>
              <w:rFonts w:ascii="Gungsuh" w:eastAsia="Gungsuh" w:hAnsi="Gungsuh" w:cs="Gungsuh"/>
              <w:sz w:val="24"/>
              <w:szCs w:val="24"/>
              <w:highlight w:val="white"/>
            </w:rPr>
            <w:t>Step 4: The Standard Deviation (SD) was determined by multiplying SE by the square root of the sample size (</w:t>
          </w:r>
          <w:proofErr w:type="spellStart"/>
          <w:r>
            <w:rPr>
              <w:rFonts w:ascii="Gungsuh" w:eastAsia="Gungsuh" w:hAnsi="Gungsuh" w:cs="Gungsuh"/>
              <w:sz w:val="24"/>
              <w:szCs w:val="24"/>
              <w:highlight w:val="white"/>
            </w:rPr>
            <w:t>nnn</w:t>
          </w:r>
          <w:proofErr w:type="spellEnd"/>
          <w:r>
            <w:rPr>
              <w:rFonts w:ascii="Gungsuh" w:eastAsia="Gungsuh" w:hAnsi="Gungsuh" w:cs="Gungsuh"/>
              <w:sz w:val="24"/>
              <w:szCs w:val="24"/>
              <w:highlight w:val="white"/>
            </w:rPr>
            <w:t>):</w:t>
          </w:r>
          <w:r>
            <w:rPr>
              <w:rFonts w:ascii="Gungsuh" w:eastAsia="Gungsuh" w:hAnsi="Gungsuh" w:cs="Gungsuh"/>
              <w:sz w:val="24"/>
              <w:szCs w:val="24"/>
              <w:highlight w:val="white"/>
            </w:rPr>
            <w:br/>
            <w:t xml:space="preserve"> SD=SE(√</w:t>
          </w:r>
          <w:proofErr w:type="gramStart"/>
          <w:r>
            <w:rPr>
              <w:rFonts w:ascii="Gungsuh" w:eastAsia="Gungsuh" w:hAnsi="Gungsuh" w:cs="Gungsuh"/>
              <w:sz w:val="24"/>
              <w:szCs w:val="24"/>
              <w:highlight w:val="white"/>
            </w:rPr>
            <w:t>n)​</w:t>
          </w:r>
          <w:proofErr w:type="gramEnd"/>
        </w:sdtContent>
      </w:sdt>
    </w:p>
    <w:p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For studies where SDs were not directly re</w:t>
      </w:r>
      <w:r>
        <w:rPr>
          <w:rFonts w:ascii="Times New Roman" w:eastAsia="Times New Roman" w:hAnsi="Times New Roman" w:cs="Times New Roman"/>
          <w:sz w:val="24"/>
          <w:szCs w:val="24"/>
          <w:highlight w:val="white"/>
        </w:rPr>
        <w:t>ported, this estimation process was followed to harmonize the data and ensure comparability across studies.</w:t>
      </w:r>
    </w:p>
    <w:p w:rsidR="00E46DF7" w:rsidRDefault="00597711">
      <w:pPr>
        <w:pStyle w:val="Heading4"/>
        <w:keepNext w:val="0"/>
        <w:keepLines w:val="0"/>
        <w:spacing w:before="240" w:after="40" w:line="360" w:lineRule="auto"/>
        <w:jc w:val="both"/>
        <w:rPr>
          <w:rFonts w:ascii="Times New Roman" w:eastAsia="Times New Roman" w:hAnsi="Times New Roman" w:cs="Times New Roman"/>
          <w:color w:val="000000"/>
          <w:highlight w:val="white"/>
        </w:rPr>
      </w:pPr>
      <w:bookmarkStart w:id="4" w:name="_heading=h.1wkkhheajg4w" w:colFirst="0" w:colLast="0"/>
      <w:bookmarkEnd w:id="4"/>
      <w:r>
        <w:rPr>
          <w:rFonts w:ascii="Times New Roman" w:eastAsia="Times New Roman" w:hAnsi="Times New Roman" w:cs="Times New Roman"/>
          <w:b/>
          <w:bCs/>
          <w:color w:val="000000"/>
          <w:highlight w:val="white"/>
        </w:rPr>
        <w:t>Statistical Models:</w:t>
      </w:r>
      <w:r>
        <w:rPr>
          <w:rFonts w:ascii="Times New Roman" w:eastAsia="Times New Roman" w:hAnsi="Times New Roman" w:cs="Times New Roman"/>
          <w:color w:val="000000"/>
          <w:highlight w:val="white"/>
        </w:rPr>
        <w:t xml:space="preserve"> To account for the heterogeneity across studies, both fixed-effect and random-effect models were used to pool the results. We co</w:t>
      </w:r>
      <w:r>
        <w:rPr>
          <w:rFonts w:ascii="Times New Roman" w:eastAsia="Times New Roman" w:hAnsi="Times New Roman" w:cs="Times New Roman"/>
          <w:color w:val="000000"/>
          <w:highlight w:val="white"/>
        </w:rPr>
        <w:t>mpared the results of these models to assess whether they differed significantly. Given the expected variability across studies, the random-effects model was chosen as the primary model for the meta-analysis.</w:t>
      </w:r>
    </w:p>
    <w:p w:rsidR="00E46DF7" w:rsidRDefault="00597711">
      <w:pPr>
        <w:pStyle w:val="Heading4"/>
        <w:keepNext w:val="0"/>
        <w:keepLines w:val="0"/>
        <w:spacing w:before="240" w:after="40" w:line="360" w:lineRule="auto"/>
        <w:jc w:val="both"/>
        <w:rPr>
          <w:rFonts w:ascii="Times New Roman" w:eastAsia="Times New Roman" w:hAnsi="Times New Roman" w:cs="Times New Roman"/>
          <w:color w:val="000000"/>
          <w:highlight w:val="white"/>
        </w:rPr>
      </w:pPr>
      <w:bookmarkStart w:id="5" w:name="_heading=h.adjby3ppiqul" w:colFirst="0" w:colLast="0"/>
      <w:bookmarkEnd w:id="5"/>
      <w:r>
        <w:rPr>
          <w:rFonts w:ascii="Times New Roman" w:eastAsia="Times New Roman" w:hAnsi="Times New Roman" w:cs="Times New Roman"/>
          <w:b/>
          <w:bCs/>
          <w:color w:val="000000"/>
          <w:highlight w:val="white"/>
        </w:rPr>
        <w:t xml:space="preserve">Sensitivity Analysis: </w:t>
      </w:r>
      <w:r>
        <w:rPr>
          <w:rFonts w:ascii="Times New Roman" w:eastAsia="Times New Roman" w:hAnsi="Times New Roman" w:cs="Times New Roman"/>
          <w:color w:val="000000"/>
          <w:highlight w:val="white"/>
        </w:rPr>
        <w:t>To test the robustness of</w:t>
      </w:r>
      <w:r>
        <w:rPr>
          <w:rFonts w:ascii="Times New Roman" w:eastAsia="Times New Roman" w:hAnsi="Times New Roman" w:cs="Times New Roman"/>
          <w:color w:val="000000"/>
          <w:highlight w:val="white"/>
        </w:rPr>
        <w:t xml:space="preserve"> the finding Sensitivity analyses were conducted by excluding one study at a time in the analysis to observe the effect on the overall pooled estimate. This specific type of sensitivity analysis was conducted to assess whether the exclusion of any single s</w:t>
      </w:r>
      <w:r>
        <w:rPr>
          <w:rFonts w:ascii="Times New Roman" w:eastAsia="Times New Roman" w:hAnsi="Times New Roman" w:cs="Times New Roman"/>
          <w:color w:val="000000"/>
          <w:highlight w:val="white"/>
        </w:rPr>
        <w:t>tudy would significantly alter the pooled results.</w:t>
      </w:r>
    </w:p>
    <w:p w:rsidR="00E46DF7" w:rsidRDefault="00597711">
      <w:pPr>
        <w:pStyle w:val="Heading4"/>
        <w:keepNext w:val="0"/>
        <w:keepLines w:val="0"/>
        <w:spacing w:before="240" w:after="40" w:line="360" w:lineRule="auto"/>
        <w:jc w:val="both"/>
        <w:rPr>
          <w:rFonts w:ascii="Times New Roman" w:eastAsia="Times New Roman" w:hAnsi="Times New Roman" w:cs="Times New Roman"/>
          <w:color w:val="000000"/>
          <w:highlight w:val="white"/>
        </w:rPr>
      </w:pPr>
      <w:bookmarkStart w:id="6" w:name="_heading=h.ay1rgt2qnksi" w:colFirst="0" w:colLast="0"/>
      <w:bookmarkEnd w:id="6"/>
      <w:r>
        <w:rPr>
          <w:rFonts w:ascii="Times New Roman" w:eastAsia="Times New Roman" w:hAnsi="Times New Roman" w:cs="Times New Roman"/>
          <w:b/>
          <w:bCs/>
          <w:color w:val="000000"/>
          <w:highlight w:val="white"/>
        </w:rPr>
        <w:t xml:space="preserve">Pooled Estimate: </w:t>
      </w:r>
      <w:r>
        <w:rPr>
          <w:rFonts w:ascii="Times New Roman" w:eastAsia="Times New Roman" w:hAnsi="Times New Roman" w:cs="Times New Roman"/>
          <w:color w:val="000000"/>
          <w:highlight w:val="white"/>
        </w:rPr>
        <w:t>The Standardized Mean Difference (SMD) was used as the primary statistical measure in this meta-analysis. The SMD standardizes the difference between the means of the EHL and SHL groups by</w:t>
      </w:r>
      <w:r>
        <w:rPr>
          <w:rFonts w:ascii="Times New Roman" w:eastAsia="Times New Roman" w:hAnsi="Times New Roman" w:cs="Times New Roman"/>
          <w:color w:val="000000"/>
          <w:highlight w:val="white"/>
        </w:rPr>
        <w:t xml:space="preserve"> dividing the mean difference by the pooled standard deviation (SD). This approach was selected because the ABR data from several studies were skewed, and SMD is a robust measure that can handle skewed distributions and given the substantial heterogeneity </w:t>
      </w:r>
      <w:r>
        <w:rPr>
          <w:rFonts w:ascii="Times New Roman" w:eastAsia="Times New Roman" w:hAnsi="Times New Roman" w:cs="Times New Roman"/>
          <w:color w:val="000000"/>
          <w:highlight w:val="white"/>
        </w:rPr>
        <w:t>(I² = 58%) across the studies, SMD was selected as it accounts for variability between studies and allows comparisons on a standardized scale, regardless of the differences in measurement techniques or units used across the studies.</w:t>
      </w:r>
      <w:r>
        <w:rPr>
          <w:rFonts w:ascii="Times New Roman" w:eastAsia="Times New Roman" w:hAnsi="Times New Roman" w:cs="Times New Roman"/>
          <w:color w:val="000000"/>
          <w:highlight w:val="white"/>
        </w:rPr>
        <w:br/>
      </w:r>
    </w:p>
    <w:p w:rsidR="00E46DF7" w:rsidRDefault="00E46DF7">
      <w:pPr>
        <w:spacing w:line="360" w:lineRule="auto"/>
        <w:rPr>
          <w:rFonts w:ascii="Times New Roman" w:eastAsia="Times New Roman" w:hAnsi="Times New Roman" w:cs="Times New Roman"/>
          <w:highlight w:val="white"/>
        </w:rPr>
      </w:pPr>
    </w:p>
    <w:p w:rsidR="00E46DF7" w:rsidRDefault="00597711">
      <w:pPr>
        <w:spacing w:before="240" w:after="240" w:line="360" w:lineRule="auto"/>
        <w:jc w:val="both"/>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lastRenderedPageBreak/>
        <w:t>Result</w:t>
      </w:r>
    </w:p>
    <w:p w:rsidR="00E46DF7" w:rsidRDefault="00597711">
      <w:pPr>
        <w:spacing w:before="240" w:after="240" w:line="360" w:lineRule="auto"/>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Characteristics of Included Studies and Quality Assessment</w:t>
      </w:r>
    </w:p>
    <w:p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studies included in this analysis employed various designs, such as retrospective cohorts, prospective cohorts, and randomized trials, to assess the efficacy of extended half-life (EHL) factor </w:t>
      </w:r>
      <w:r>
        <w:rPr>
          <w:rFonts w:ascii="Times New Roman" w:eastAsia="Times New Roman" w:hAnsi="Times New Roman" w:cs="Times New Roman"/>
          <w:sz w:val="24"/>
          <w:szCs w:val="24"/>
          <w:highlight w:val="white"/>
        </w:rPr>
        <w:t xml:space="preserve">replacement therapies compared to standard half-life (SHL) therapies in patients with </w:t>
      </w:r>
      <w:proofErr w:type="spellStart"/>
      <w:r>
        <w:rPr>
          <w:rFonts w:ascii="Times New Roman" w:eastAsia="Times New Roman" w:hAnsi="Times New Roman" w:cs="Times New Roman"/>
          <w:sz w:val="24"/>
          <w:szCs w:val="24"/>
          <w:highlight w:val="white"/>
        </w:rPr>
        <w:t>haemophilia</w:t>
      </w:r>
      <w:proofErr w:type="spellEnd"/>
      <w:r>
        <w:rPr>
          <w:rFonts w:ascii="Times New Roman" w:eastAsia="Times New Roman" w:hAnsi="Times New Roman" w:cs="Times New Roman"/>
          <w:sz w:val="24"/>
          <w:szCs w:val="24"/>
          <w:highlight w:val="white"/>
        </w:rPr>
        <w:t>. These studies were conducted across multiple countries, including Austria, China, Germany, Italy, and the UK, and involved a range of participants, predomina</w:t>
      </w:r>
      <w:r>
        <w:rPr>
          <w:rFonts w:ascii="Times New Roman" w:eastAsia="Times New Roman" w:hAnsi="Times New Roman" w:cs="Times New Roman"/>
          <w:sz w:val="24"/>
          <w:szCs w:val="24"/>
          <w:highlight w:val="white"/>
        </w:rPr>
        <w:t xml:space="preserve">ntly male patients with severe </w:t>
      </w:r>
      <w:proofErr w:type="spellStart"/>
      <w:r>
        <w:rPr>
          <w:rFonts w:ascii="Times New Roman" w:eastAsia="Times New Roman" w:hAnsi="Times New Roman" w:cs="Times New Roman"/>
          <w:sz w:val="24"/>
          <w:szCs w:val="24"/>
          <w:highlight w:val="white"/>
        </w:rPr>
        <w:t>haemophilia</w:t>
      </w:r>
      <w:proofErr w:type="spellEnd"/>
      <w:r>
        <w:rPr>
          <w:rFonts w:ascii="Times New Roman" w:eastAsia="Times New Roman" w:hAnsi="Times New Roman" w:cs="Times New Roman"/>
          <w:sz w:val="24"/>
          <w:szCs w:val="24"/>
          <w:highlight w:val="white"/>
        </w:rPr>
        <w:t xml:space="preserve"> A or B, and no inhibitors. The patient cohorts ranged from 15 to 131 participants, and participants’ ages varied widely, with medians ranging from 20 to 40 years. The primary outcomes measured in these studies inc</w:t>
      </w:r>
      <w:r>
        <w:rPr>
          <w:rFonts w:ascii="Times New Roman" w:eastAsia="Times New Roman" w:hAnsi="Times New Roman" w:cs="Times New Roman"/>
          <w:sz w:val="24"/>
          <w:szCs w:val="24"/>
          <w:highlight w:val="white"/>
        </w:rPr>
        <w:t>luded annualized bleeding rate (ABR), infusion frequency, factor consumption, and adherence. Overall, EHL therapies consistently demonstrated a significant reduction in ABR and infusion frequency, while maintaining or even reducing factor consumption.</w:t>
      </w:r>
    </w:p>
    <w:p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t</w:t>
      </w:r>
      <w:r>
        <w:rPr>
          <w:rFonts w:ascii="Times New Roman" w:eastAsia="Times New Roman" w:hAnsi="Times New Roman" w:cs="Times New Roman"/>
          <w:sz w:val="24"/>
          <w:szCs w:val="24"/>
          <w:highlight w:val="white"/>
        </w:rPr>
        <w:t>erms of quality, all the studies demonstrated a moderate to serious risk of bias, primarily due to confounding factors and participant selection. Studies such as Ay et al. (2021) and Wu et al. (2025) had serious confounding bias, as they did not adjust for</w:t>
      </w:r>
      <w:r>
        <w:rPr>
          <w:rFonts w:ascii="Times New Roman" w:eastAsia="Times New Roman" w:hAnsi="Times New Roman" w:cs="Times New Roman"/>
          <w:sz w:val="24"/>
          <w:szCs w:val="24"/>
          <w:highlight w:val="white"/>
        </w:rPr>
        <w:t xml:space="preserve"> potential confounders in their analyses. Additionally, biases in participant selection were common, with some studies including exclusions without proper mitigation measures. Measurement of outcomes and classification of interventions were largely accurat</w:t>
      </w:r>
      <w:r>
        <w:rPr>
          <w:rFonts w:ascii="Times New Roman" w:eastAsia="Times New Roman" w:hAnsi="Times New Roman" w:cs="Times New Roman"/>
          <w:sz w:val="24"/>
          <w:szCs w:val="24"/>
          <w:highlight w:val="white"/>
        </w:rPr>
        <w:t>e, with most studies showing low risk in these areas. Overall, while the studies demonstrated valuable clinical insights into EHL versus SHL therapies, they highlighted the need for cautious interpretation due to inherent risks.</w:t>
      </w:r>
    </w:p>
    <w:p w:rsidR="00E46DF7" w:rsidRDefault="00597711">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Table 1: Study Characterist</w:t>
      </w:r>
      <w:r>
        <w:rPr>
          <w:rFonts w:ascii="Times New Roman" w:eastAsia="Times New Roman" w:hAnsi="Times New Roman" w:cs="Times New Roman"/>
          <w:b/>
          <w:bCs/>
          <w:sz w:val="24"/>
          <w:szCs w:val="24"/>
          <w:highlight w:val="white"/>
        </w:rPr>
        <w:t>ics</w:t>
      </w:r>
    </w:p>
    <w:sdt>
      <w:sdtPr>
        <w:tag w:val="goog_rdk_3"/>
        <w:id w:val="-826140634"/>
        <w:lock w:val="contentLocked"/>
      </w:sdtPr>
      <w:sdtEndPr/>
      <w:sdtContent>
        <w:tbl>
          <w:tblPr>
            <w:tblStyle w:val="a3"/>
            <w:tblW w:w="92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0"/>
            <w:gridCol w:w="915"/>
            <w:gridCol w:w="1050"/>
            <w:gridCol w:w="1335"/>
            <w:gridCol w:w="1035"/>
            <w:gridCol w:w="1035"/>
            <w:gridCol w:w="1035"/>
            <w:gridCol w:w="2040"/>
          </w:tblGrid>
          <w:tr w:rsidR="00E46DF7">
            <w:tc>
              <w:tcPr>
                <w:tcW w:w="840" w:type="dxa"/>
                <w:tcMar>
                  <w:top w:w="100" w:type="dxa"/>
                  <w:left w:w="100" w:type="dxa"/>
                  <w:bottom w:w="100" w:type="dxa"/>
                  <w:right w:w="100" w:type="dxa"/>
                </w:tcMar>
              </w:tcPr>
              <w:p w:rsidR="00E46DF7" w:rsidRDefault="00597711">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Study ID </w:t>
                </w:r>
              </w:p>
            </w:tc>
            <w:tc>
              <w:tcPr>
                <w:tcW w:w="915" w:type="dxa"/>
                <w:tcMar>
                  <w:top w:w="100" w:type="dxa"/>
                  <w:left w:w="100" w:type="dxa"/>
                  <w:bottom w:w="100" w:type="dxa"/>
                  <w:right w:w="100" w:type="dxa"/>
                </w:tcMar>
              </w:tcPr>
              <w:p w:rsidR="00E46DF7" w:rsidRDefault="00597711">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Country</w:t>
                </w:r>
              </w:p>
            </w:tc>
            <w:tc>
              <w:tcPr>
                <w:tcW w:w="1050" w:type="dxa"/>
                <w:tcMar>
                  <w:top w:w="100" w:type="dxa"/>
                  <w:left w:w="100" w:type="dxa"/>
                  <w:bottom w:w="100" w:type="dxa"/>
                  <w:right w:w="100" w:type="dxa"/>
                </w:tcMar>
              </w:tcPr>
              <w:p w:rsidR="00E46DF7" w:rsidRDefault="00597711">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Study Design</w:t>
                </w:r>
              </w:p>
            </w:tc>
            <w:tc>
              <w:tcPr>
                <w:tcW w:w="1335" w:type="dxa"/>
                <w:tcMar>
                  <w:top w:w="100" w:type="dxa"/>
                  <w:left w:w="100" w:type="dxa"/>
                  <w:bottom w:w="100" w:type="dxa"/>
                  <w:right w:w="100" w:type="dxa"/>
                </w:tcMar>
              </w:tcPr>
              <w:p w:rsidR="00E46DF7" w:rsidRDefault="00597711">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Participants</w:t>
                </w:r>
              </w:p>
            </w:tc>
            <w:tc>
              <w:tcPr>
                <w:tcW w:w="1035" w:type="dxa"/>
                <w:tcMar>
                  <w:top w:w="100" w:type="dxa"/>
                  <w:left w:w="100" w:type="dxa"/>
                  <w:bottom w:w="100" w:type="dxa"/>
                  <w:right w:w="100" w:type="dxa"/>
                </w:tcMar>
              </w:tcPr>
              <w:p w:rsidR="00E46DF7" w:rsidRDefault="00597711">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Type of Hemophilia &amp; Inhibitor Status</w:t>
                </w:r>
              </w:p>
            </w:tc>
            <w:tc>
              <w:tcPr>
                <w:tcW w:w="1035" w:type="dxa"/>
                <w:tcMar>
                  <w:top w:w="100" w:type="dxa"/>
                  <w:left w:w="100" w:type="dxa"/>
                  <w:bottom w:w="100" w:type="dxa"/>
                  <w:right w:w="100" w:type="dxa"/>
                </w:tcMar>
              </w:tcPr>
              <w:p w:rsidR="00E46DF7" w:rsidRDefault="00597711">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Interventions </w:t>
                </w:r>
              </w:p>
            </w:tc>
            <w:tc>
              <w:tcPr>
                <w:tcW w:w="1035" w:type="dxa"/>
                <w:tcMar>
                  <w:top w:w="100" w:type="dxa"/>
                  <w:left w:w="100" w:type="dxa"/>
                  <w:bottom w:w="100" w:type="dxa"/>
                  <w:right w:w="100" w:type="dxa"/>
                </w:tcMar>
              </w:tcPr>
              <w:p w:rsidR="00E46DF7" w:rsidRDefault="00597711">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Comparators </w:t>
                </w:r>
              </w:p>
            </w:tc>
            <w:tc>
              <w:tcPr>
                <w:tcW w:w="2040" w:type="dxa"/>
                <w:tcMar>
                  <w:top w:w="100" w:type="dxa"/>
                  <w:left w:w="100" w:type="dxa"/>
                  <w:bottom w:w="100" w:type="dxa"/>
                  <w:right w:w="100" w:type="dxa"/>
                </w:tcMar>
              </w:tcPr>
              <w:p w:rsidR="00E46DF7" w:rsidRDefault="00597711">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Main Findings/Conclusion</w:t>
                </w:r>
              </w:p>
            </w:tc>
          </w:tr>
          <w:tr w:rsidR="00E46DF7">
            <w:tc>
              <w:tcPr>
                <w:tcW w:w="840" w:type="dxa"/>
                <w:tcMar>
                  <w:top w:w="100" w:type="dxa"/>
                  <w:left w:w="100" w:type="dxa"/>
                  <w:bottom w:w="100" w:type="dxa"/>
                  <w:right w:w="100" w:type="dxa"/>
                </w:tcMar>
              </w:tcPr>
              <w:p w:rsidR="00E46DF7" w:rsidRDefault="00597711">
                <w:pPr>
                  <w:spacing w:before="240" w:after="240"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 xml:space="preserve">Ay et al. (2021) </w:t>
                </w:r>
              </w:p>
            </w:tc>
            <w:tc>
              <w:tcPr>
                <w:tcW w:w="915" w:type="dxa"/>
                <w:tcMar>
                  <w:top w:w="100" w:type="dxa"/>
                  <w:left w:w="100" w:type="dxa"/>
                  <w:bottom w:w="100" w:type="dxa"/>
                  <w:right w:w="100" w:type="dxa"/>
                </w:tcMar>
              </w:tcPr>
              <w:p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Austria</w:t>
                </w:r>
              </w:p>
            </w:tc>
            <w:tc>
              <w:tcPr>
                <w:tcW w:w="1050" w:type="dxa"/>
                <w:tcMar>
                  <w:top w:w="100" w:type="dxa"/>
                  <w:left w:w="100" w:type="dxa"/>
                  <w:bottom w:w="100" w:type="dxa"/>
                  <w:right w:w="100" w:type="dxa"/>
                </w:tcMar>
              </w:tcPr>
              <w:p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Retrospective multi-centre Cohort </w:t>
                </w:r>
              </w:p>
            </w:tc>
            <w:tc>
              <w:tcPr>
                <w:tcW w:w="1335" w:type="dxa"/>
                <w:tcMar>
                  <w:top w:w="100" w:type="dxa"/>
                  <w:left w:w="100" w:type="dxa"/>
                  <w:bottom w:w="100" w:type="dxa"/>
                  <w:right w:w="100" w:type="dxa"/>
                </w:tcMar>
              </w:tcPr>
              <w:p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20 patients (all males), median age 32.5 years, IQR: </w:t>
                </w:r>
                <w:r>
                  <w:rPr>
                    <w:rFonts w:ascii="Times New Roman" w:eastAsia="Times New Roman" w:hAnsi="Times New Roman" w:cs="Times New Roman"/>
                    <w:sz w:val="24"/>
                    <w:szCs w:val="24"/>
                    <w:highlight w:val="white"/>
                  </w:rPr>
                  <w:t>25.3–42.6</w:t>
                </w:r>
              </w:p>
            </w:tc>
            <w:tc>
              <w:tcPr>
                <w:tcW w:w="1035" w:type="dxa"/>
                <w:tcMar>
                  <w:top w:w="100" w:type="dxa"/>
                  <w:left w:w="100" w:type="dxa"/>
                  <w:bottom w:w="100" w:type="dxa"/>
                  <w:right w:w="100" w:type="dxa"/>
                </w:tcMar>
              </w:tcPr>
              <w:p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Severe hemophilia A, no inhibitors</w:t>
                </w:r>
              </w:p>
            </w:tc>
            <w:tc>
              <w:tcPr>
                <w:tcW w:w="1035" w:type="dxa"/>
                <w:tcMar>
                  <w:top w:w="100" w:type="dxa"/>
                  <w:left w:w="100" w:type="dxa"/>
                  <w:bottom w:w="100" w:type="dxa"/>
                  <w:right w:w="100" w:type="dxa"/>
                </w:tcMar>
              </w:tcPr>
              <w:p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rFVIII-Fc (EHL) vs SHL FVIII</w:t>
                </w:r>
              </w:p>
            </w:tc>
            <w:tc>
              <w:tcPr>
                <w:tcW w:w="1035" w:type="dxa"/>
                <w:tcMar>
                  <w:top w:w="100" w:type="dxa"/>
                  <w:left w:w="100" w:type="dxa"/>
                  <w:bottom w:w="100" w:type="dxa"/>
                  <w:right w:w="100" w:type="dxa"/>
                </w:tcMar>
              </w:tcPr>
              <w:p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ABR, infusion frequency, factor consumption</w:t>
                </w:r>
              </w:p>
            </w:tc>
            <w:tc>
              <w:tcPr>
                <w:tcW w:w="2040" w:type="dxa"/>
                <w:tcMar>
                  <w:top w:w="100" w:type="dxa"/>
                  <w:left w:w="100" w:type="dxa"/>
                  <w:bottom w:w="100" w:type="dxa"/>
                  <w:right w:w="100" w:type="dxa"/>
                </w:tcMar>
              </w:tcPr>
              <w:p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rFVIII-Fc reduced ABR and infusion frequency, without significantly increasing factor consumption.</w:t>
                </w:r>
              </w:p>
            </w:tc>
          </w:tr>
          <w:tr w:rsidR="00E46DF7">
            <w:tc>
              <w:tcPr>
                <w:tcW w:w="840" w:type="dxa"/>
                <w:tcMar>
                  <w:top w:w="100" w:type="dxa"/>
                  <w:left w:w="100" w:type="dxa"/>
                  <w:bottom w:w="100" w:type="dxa"/>
                  <w:right w:w="100" w:type="dxa"/>
                </w:tcMar>
              </w:tcPr>
              <w:p w:rsidR="00E46DF7" w:rsidRDefault="00597711">
                <w:pPr>
                  <w:spacing w:before="240" w:after="240"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Wu et al. (2025) </w:t>
                </w:r>
              </w:p>
            </w:tc>
            <w:tc>
              <w:tcPr>
                <w:tcW w:w="915" w:type="dxa"/>
                <w:tcMar>
                  <w:top w:w="100" w:type="dxa"/>
                  <w:left w:w="100" w:type="dxa"/>
                  <w:bottom w:w="100" w:type="dxa"/>
                  <w:right w:w="100" w:type="dxa"/>
                </w:tcMar>
              </w:tcPr>
              <w:p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China</w:t>
                </w:r>
              </w:p>
            </w:tc>
            <w:tc>
              <w:tcPr>
                <w:tcW w:w="1050" w:type="dxa"/>
                <w:tcMar>
                  <w:top w:w="100" w:type="dxa"/>
                  <w:left w:w="100" w:type="dxa"/>
                  <w:bottom w:w="100" w:type="dxa"/>
                  <w:right w:w="100" w:type="dxa"/>
                </w:tcMar>
              </w:tcPr>
              <w:p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Phase 3b </w:t>
                </w:r>
                <w:r>
                  <w:rPr>
                    <w:rFonts w:ascii="Times New Roman" w:eastAsia="Times New Roman" w:hAnsi="Times New Roman" w:cs="Times New Roman"/>
                    <w:sz w:val="24"/>
                    <w:szCs w:val="24"/>
                    <w:highlight w:val="white"/>
                  </w:rPr>
                  <w:t>Multicenter Trial</w:t>
                </w:r>
              </w:p>
            </w:tc>
            <w:tc>
              <w:tcPr>
                <w:tcW w:w="1335" w:type="dxa"/>
                <w:tcMar>
                  <w:top w:w="100" w:type="dxa"/>
                  <w:left w:w="100" w:type="dxa"/>
                  <w:bottom w:w="100" w:type="dxa"/>
                  <w:right w:w="100" w:type="dxa"/>
                </w:tcMar>
              </w:tcPr>
              <w:p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36 patients (all male, adolescents, 23 adults), mean age 37 ± 10.5 years)</w:t>
                </w:r>
              </w:p>
            </w:tc>
            <w:tc>
              <w:tcPr>
                <w:tcW w:w="1035" w:type="dxa"/>
                <w:tcMar>
                  <w:top w:w="100" w:type="dxa"/>
                  <w:left w:w="100" w:type="dxa"/>
                  <w:bottom w:w="100" w:type="dxa"/>
                  <w:right w:w="100" w:type="dxa"/>
                </w:tcMar>
              </w:tcPr>
              <w:p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Severe hemophilia A, no inhibitors</w:t>
                </w:r>
              </w:p>
            </w:tc>
            <w:tc>
              <w:tcPr>
                <w:tcW w:w="1035" w:type="dxa"/>
                <w:tcMar>
                  <w:top w:w="100" w:type="dxa"/>
                  <w:left w:w="100" w:type="dxa"/>
                  <w:bottom w:w="100" w:type="dxa"/>
                  <w:right w:w="100" w:type="dxa"/>
                </w:tcMar>
              </w:tcPr>
              <w:p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N8-GP (EHL) vs SHL FVIII</w:t>
                </w:r>
              </w:p>
            </w:tc>
            <w:tc>
              <w:tcPr>
                <w:tcW w:w="1035" w:type="dxa"/>
                <w:tcMar>
                  <w:top w:w="100" w:type="dxa"/>
                  <w:left w:w="100" w:type="dxa"/>
                  <w:bottom w:w="100" w:type="dxa"/>
                  <w:right w:w="100" w:type="dxa"/>
                </w:tcMar>
              </w:tcPr>
              <w:p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ABR, bleeding treatment efficacy, factor consumption</w:t>
                </w:r>
              </w:p>
            </w:tc>
            <w:tc>
              <w:tcPr>
                <w:tcW w:w="2040" w:type="dxa"/>
                <w:tcMar>
                  <w:top w:w="100" w:type="dxa"/>
                  <w:left w:w="100" w:type="dxa"/>
                  <w:bottom w:w="100" w:type="dxa"/>
                  <w:right w:w="100" w:type="dxa"/>
                </w:tcMar>
              </w:tcPr>
              <w:p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N8-GP reduced ABR and bleeding events, requiring fe</w:t>
                </w:r>
                <w:r>
                  <w:rPr>
                    <w:rFonts w:ascii="Times New Roman" w:eastAsia="Times New Roman" w:hAnsi="Times New Roman" w:cs="Times New Roman"/>
                    <w:sz w:val="24"/>
                    <w:szCs w:val="24"/>
                    <w:highlight w:val="white"/>
                  </w:rPr>
                  <w:t>wer injections and less factor consumption compared to SHL.</w:t>
                </w:r>
              </w:p>
            </w:tc>
          </w:tr>
          <w:tr w:rsidR="00E46DF7">
            <w:tc>
              <w:tcPr>
                <w:tcW w:w="840" w:type="dxa"/>
                <w:tcMar>
                  <w:top w:w="100" w:type="dxa"/>
                  <w:left w:w="100" w:type="dxa"/>
                  <w:bottom w:w="100" w:type="dxa"/>
                  <w:right w:w="100" w:type="dxa"/>
                </w:tcMar>
              </w:tcPr>
              <w:p w:rsidR="00E46DF7" w:rsidRDefault="00597711">
                <w:pPr>
                  <w:spacing w:before="240" w:after="240"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Oldenburg et al. (2025a) </w:t>
                </w:r>
              </w:p>
            </w:tc>
            <w:tc>
              <w:tcPr>
                <w:tcW w:w="915" w:type="dxa"/>
                <w:tcMar>
                  <w:top w:w="100" w:type="dxa"/>
                  <w:left w:w="100" w:type="dxa"/>
                  <w:bottom w:w="100" w:type="dxa"/>
                  <w:right w:w="100" w:type="dxa"/>
                </w:tcMar>
              </w:tcPr>
              <w:p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Multiple European sites</w:t>
                </w:r>
              </w:p>
            </w:tc>
            <w:tc>
              <w:tcPr>
                <w:tcW w:w="1050" w:type="dxa"/>
                <w:tcMar>
                  <w:top w:w="100" w:type="dxa"/>
                  <w:left w:w="100" w:type="dxa"/>
                  <w:bottom w:w="100" w:type="dxa"/>
                  <w:right w:w="100" w:type="dxa"/>
                </w:tcMar>
              </w:tcPr>
              <w:p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Prospective Cohort</w:t>
                </w:r>
              </w:p>
            </w:tc>
            <w:tc>
              <w:tcPr>
                <w:tcW w:w="1335" w:type="dxa"/>
                <w:tcMar>
                  <w:top w:w="100" w:type="dxa"/>
                  <w:left w:w="100" w:type="dxa"/>
                  <w:bottom w:w="100" w:type="dxa"/>
                  <w:right w:w="100" w:type="dxa"/>
                </w:tcMar>
              </w:tcPr>
              <w:p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131 patients (all male), median age 20 years, IQR: 11.0–35.0)</w:t>
                </w:r>
              </w:p>
            </w:tc>
            <w:tc>
              <w:tcPr>
                <w:tcW w:w="1035" w:type="dxa"/>
                <w:tcMar>
                  <w:top w:w="100" w:type="dxa"/>
                  <w:left w:w="100" w:type="dxa"/>
                  <w:bottom w:w="100" w:type="dxa"/>
                  <w:right w:w="100" w:type="dxa"/>
                </w:tcMar>
              </w:tcPr>
              <w:p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Severe hemophilia A, no inhibitors</w:t>
                </w:r>
              </w:p>
            </w:tc>
            <w:tc>
              <w:tcPr>
                <w:tcW w:w="1035" w:type="dxa"/>
                <w:tcMar>
                  <w:top w:w="100" w:type="dxa"/>
                  <w:left w:w="100" w:type="dxa"/>
                  <w:bottom w:w="100" w:type="dxa"/>
                  <w:right w:w="100" w:type="dxa"/>
                </w:tcMar>
              </w:tcPr>
              <w:p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rFVIIIFc (EHL) vs SHL FVIII</w:t>
                </w:r>
              </w:p>
            </w:tc>
            <w:tc>
              <w:tcPr>
                <w:tcW w:w="1035" w:type="dxa"/>
                <w:tcMar>
                  <w:top w:w="100" w:type="dxa"/>
                  <w:left w:w="100" w:type="dxa"/>
                  <w:bottom w:w="100" w:type="dxa"/>
                  <w:right w:w="100" w:type="dxa"/>
                </w:tcMar>
              </w:tcPr>
              <w:p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ABR, AJBR, injection frequency, factor consumption</w:t>
                </w:r>
              </w:p>
            </w:tc>
            <w:tc>
              <w:tcPr>
                <w:tcW w:w="2040" w:type="dxa"/>
                <w:tcMar>
                  <w:top w:w="100" w:type="dxa"/>
                  <w:left w:w="100" w:type="dxa"/>
                  <w:bottom w:w="100" w:type="dxa"/>
                  <w:right w:w="100" w:type="dxa"/>
                </w:tcMar>
              </w:tcPr>
              <w:p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Switching to rFVIIIFc significantly reduced ABR and injection frequency, and factor consumption was maintained.</w:t>
                </w:r>
              </w:p>
            </w:tc>
          </w:tr>
          <w:tr w:rsidR="00E46DF7">
            <w:tc>
              <w:tcPr>
                <w:tcW w:w="840" w:type="dxa"/>
                <w:tcMar>
                  <w:top w:w="100" w:type="dxa"/>
                  <w:left w:w="100" w:type="dxa"/>
                  <w:bottom w:w="100" w:type="dxa"/>
                  <w:right w:w="100" w:type="dxa"/>
                </w:tcMar>
              </w:tcPr>
              <w:p w:rsidR="00E46DF7" w:rsidRDefault="00597711">
                <w:pPr>
                  <w:spacing w:before="240" w:after="240"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 xml:space="preserve">Goldmann et al. (2021) </w:t>
                </w:r>
              </w:p>
            </w:tc>
            <w:tc>
              <w:tcPr>
                <w:tcW w:w="915" w:type="dxa"/>
                <w:tcMar>
                  <w:top w:w="100" w:type="dxa"/>
                  <w:left w:w="100" w:type="dxa"/>
                  <w:bottom w:w="100" w:type="dxa"/>
                  <w:right w:w="100" w:type="dxa"/>
                </w:tcMar>
              </w:tcPr>
              <w:p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Germany</w:t>
                </w:r>
              </w:p>
            </w:tc>
            <w:tc>
              <w:tcPr>
                <w:tcW w:w="1050" w:type="dxa"/>
                <w:tcMar>
                  <w:top w:w="100" w:type="dxa"/>
                  <w:left w:w="100" w:type="dxa"/>
                  <w:bottom w:w="100" w:type="dxa"/>
                  <w:right w:w="100" w:type="dxa"/>
                </w:tcMar>
              </w:tcPr>
              <w:p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Retrospective Cohort </w:t>
                </w:r>
              </w:p>
            </w:tc>
            <w:tc>
              <w:tcPr>
                <w:tcW w:w="1335" w:type="dxa"/>
                <w:tcMar>
                  <w:top w:w="100" w:type="dxa"/>
                  <w:left w:w="100" w:type="dxa"/>
                  <w:bottom w:w="100" w:type="dxa"/>
                  <w:right w:w="100" w:type="dxa"/>
                </w:tcMar>
              </w:tcPr>
              <w:p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27 patients (all male), mean age 37 ± </w:t>
                </w:r>
                <w:r>
                  <w:rPr>
                    <w:rFonts w:ascii="Times New Roman" w:eastAsia="Times New Roman" w:hAnsi="Times New Roman" w:cs="Times New Roman"/>
                    <w:sz w:val="24"/>
                    <w:szCs w:val="24"/>
                    <w:highlight w:val="white"/>
                  </w:rPr>
                  <w:t>10.1 years</w:t>
                </w:r>
              </w:p>
            </w:tc>
            <w:tc>
              <w:tcPr>
                <w:tcW w:w="1035" w:type="dxa"/>
                <w:tcMar>
                  <w:top w:w="100" w:type="dxa"/>
                  <w:left w:w="100" w:type="dxa"/>
                  <w:bottom w:w="100" w:type="dxa"/>
                  <w:right w:w="100" w:type="dxa"/>
                </w:tcMar>
              </w:tcPr>
              <w:p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Severe hemophilia A, no inhibitors</w:t>
                </w:r>
              </w:p>
            </w:tc>
            <w:tc>
              <w:tcPr>
                <w:tcW w:w="1035" w:type="dxa"/>
                <w:tcMar>
                  <w:top w:w="100" w:type="dxa"/>
                  <w:left w:w="100" w:type="dxa"/>
                  <w:bottom w:w="100" w:type="dxa"/>
                  <w:right w:w="100" w:type="dxa"/>
                </w:tcMar>
              </w:tcPr>
              <w:p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rFVIIIFc (EHL) vs SHL FVIII</w:t>
                </w:r>
              </w:p>
            </w:tc>
            <w:tc>
              <w:tcPr>
                <w:tcW w:w="1035" w:type="dxa"/>
                <w:tcMar>
                  <w:top w:w="100" w:type="dxa"/>
                  <w:left w:w="100" w:type="dxa"/>
                  <w:bottom w:w="100" w:type="dxa"/>
                  <w:right w:w="100" w:type="dxa"/>
                </w:tcMar>
              </w:tcPr>
              <w:p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ABR, factor consumption, adherence</w:t>
                </w:r>
              </w:p>
            </w:tc>
            <w:tc>
              <w:tcPr>
                <w:tcW w:w="2040" w:type="dxa"/>
                <w:tcMar>
                  <w:top w:w="100" w:type="dxa"/>
                  <w:left w:w="100" w:type="dxa"/>
                  <w:bottom w:w="100" w:type="dxa"/>
                  <w:right w:w="100" w:type="dxa"/>
                </w:tcMar>
              </w:tcPr>
              <w:p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rFVIIIFc reduced ABR and infusion frequency, with improved adherence and lower factor consumption compared to SHL.</w:t>
                </w:r>
              </w:p>
            </w:tc>
          </w:tr>
          <w:tr w:rsidR="00E46DF7">
            <w:tc>
              <w:tcPr>
                <w:tcW w:w="840" w:type="dxa"/>
                <w:tcMar>
                  <w:top w:w="100" w:type="dxa"/>
                  <w:left w:w="100" w:type="dxa"/>
                  <w:bottom w:w="100" w:type="dxa"/>
                  <w:right w:w="100" w:type="dxa"/>
                </w:tcMar>
              </w:tcPr>
              <w:p w:rsidR="00E46DF7" w:rsidRDefault="00597711">
                <w:pPr>
                  <w:spacing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Coppola et al. (2024) </w:t>
                </w:r>
              </w:p>
            </w:tc>
            <w:tc>
              <w:tcPr>
                <w:tcW w:w="915" w:type="dxa"/>
                <w:tcMar>
                  <w:top w:w="100" w:type="dxa"/>
                  <w:left w:w="100" w:type="dxa"/>
                  <w:bottom w:w="100" w:type="dxa"/>
                  <w:right w:w="100" w:type="dxa"/>
                </w:tcMar>
              </w:tcPr>
              <w:p w:rsidR="00E46DF7" w:rsidRDefault="00597711">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Italy</w:t>
                </w:r>
              </w:p>
            </w:tc>
            <w:tc>
              <w:tcPr>
                <w:tcW w:w="1050" w:type="dxa"/>
                <w:tcMar>
                  <w:top w:w="100" w:type="dxa"/>
                  <w:left w:w="100" w:type="dxa"/>
                  <w:bottom w:w="100" w:type="dxa"/>
                  <w:right w:w="100" w:type="dxa"/>
                </w:tcMar>
              </w:tcPr>
              <w:p w:rsidR="00E46DF7" w:rsidRDefault="00597711">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Retrospective-Prospective Cohort</w:t>
                </w:r>
              </w:p>
            </w:tc>
            <w:tc>
              <w:tcPr>
                <w:tcW w:w="1335" w:type="dxa"/>
                <w:tcMar>
                  <w:top w:w="100" w:type="dxa"/>
                  <w:left w:w="100" w:type="dxa"/>
                  <w:bottom w:w="100" w:type="dxa"/>
                  <w:right w:w="100" w:type="dxa"/>
                </w:tcMar>
              </w:tcPr>
              <w:p w:rsidR="00E46DF7" w:rsidRDefault="00597711">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15 patients (all male), mean age 40.0 ± 12.6 years</w:t>
                </w:r>
              </w:p>
            </w:tc>
            <w:tc>
              <w:tcPr>
                <w:tcW w:w="1035" w:type="dxa"/>
                <w:tcMar>
                  <w:top w:w="100" w:type="dxa"/>
                  <w:left w:w="100" w:type="dxa"/>
                  <w:bottom w:w="100" w:type="dxa"/>
                  <w:right w:w="100" w:type="dxa"/>
                </w:tcMar>
              </w:tcPr>
              <w:p w:rsidR="00E46DF7" w:rsidRDefault="00597711">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Hemophilia B, no inhibitors</w:t>
                </w:r>
              </w:p>
              <w:p w:rsidR="00E46DF7" w:rsidRDefault="00E46DF7">
                <w:pPr>
                  <w:spacing w:before="240" w:after="240" w:line="360" w:lineRule="auto"/>
                  <w:rPr>
                    <w:rFonts w:ascii="Times New Roman" w:eastAsia="Times New Roman" w:hAnsi="Times New Roman" w:cs="Times New Roman"/>
                    <w:sz w:val="24"/>
                    <w:szCs w:val="24"/>
                    <w:highlight w:val="white"/>
                  </w:rPr>
                </w:pPr>
              </w:p>
            </w:tc>
            <w:tc>
              <w:tcPr>
                <w:tcW w:w="1035" w:type="dxa"/>
                <w:tcMar>
                  <w:top w:w="100" w:type="dxa"/>
                  <w:left w:w="100" w:type="dxa"/>
                  <w:bottom w:w="100" w:type="dxa"/>
                  <w:right w:w="100" w:type="dxa"/>
                </w:tcMar>
              </w:tcPr>
              <w:p w:rsidR="00E46DF7" w:rsidRDefault="00597711">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rIX-FP (EHL) vs SHL FIX</w:t>
                </w:r>
              </w:p>
            </w:tc>
            <w:tc>
              <w:tcPr>
                <w:tcW w:w="1035" w:type="dxa"/>
                <w:tcMar>
                  <w:top w:w="100" w:type="dxa"/>
                  <w:left w:w="100" w:type="dxa"/>
                  <w:bottom w:w="100" w:type="dxa"/>
                  <w:right w:w="100" w:type="dxa"/>
                </w:tcMar>
              </w:tcPr>
              <w:p w:rsidR="00E46DF7" w:rsidRDefault="00597711">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ABR, AJBR, joint health, adherence, FIX consumption</w:t>
                </w:r>
              </w:p>
            </w:tc>
            <w:tc>
              <w:tcPr>
                <w:tcW w:w="2040" w:type="dxa"/>
                <w:tcMar>
                  <w:top w:w="100" w:type="dxa"/>
                  <w:left w:w="100" w:type="dxa"/>
                  <w:bottom w:w="100" w:type="dxa"/>
                  <w:right w:w="100" w:type="dxa"/>
                </w:tcMar>
              </w:tcPr>
              <w:p w:rsidR="00E46DF7" w:rsidRDefault="00597711">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rIX-FP therapy reduced bleeding episodes and the frequency of </w:t>
                </w:r>
                <w:r>
                  <w:rPr>
                    <w:rFonts w:ascii="Times New Roman" w:eastAsia="Times New Roman" w:hAnsi="Times New Roman" w:cs="Times New Roman"/>
                    <w:sz w:val="24"/>
                    <w:szCs w:val="24"/>
                    <w:highlight w:val="white"/>
                  </w:rPr>
                  <w:t>infusions by about 60%, leading to better patient adherence and improved joint health.</w:t>
                </w:r>
              </w:p>
            </w:tc>
          </w:tr>
          <w:tr w:rsidR="00E46DF7">
            <w:tc>
              <w:tcPr>
                <w:tcW w:w="840" w:type="dxa"/>
                <w:tcMar>
                  <w:top w:w="100" w:type="dxa"/>
                  <w:left w:w="100" w:type="dxa"/>
                  <w:bottom w:w="100" w:type="dxa"/>
                  <w:right w:w="100" w:type="dxa"/>
                </w:tcMar>
              </w:tcPr>
              <w:p w:rsidR="00E46DF7" w:rsidRDefault="00597711">
                <w:pPr>
                  <w:spacing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Funding et al. (2023) </w:t>
                </w:r>
              </w:p>
            </w:tc>
            <w:tc>
              <w:tcPr>
                <w:tcW w:w="915" w:type="dxa"/>
                <w:tcMar>
                  <w:top w:w="100" w:type="dxa"/>
                  <w:left w:w="100" w:type="dxa"/>
                  <w:bottom w:w="100" w:type="dxa"/>
                  <w:right w:w="100" w:type="dxa"/>
                </w:tcMar>
              </w:tcPr>
              <w:p w:rsidR="00E46DF7" w:rsidRDefault="00597711">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Denmark, Germany, UK</w:t>
                </w:r>
              </w:p>
            </w:tc>
            <w:tc>
              <w:tcPr>
                <w:tcW w:w="1050" w:type="dxa"/>
                <w:tcMar>
                  <w:top w:w="100" w:type="dxa"/>
                  <w:left w:w="100" w:type="dxa"/>
                  <w:bottom w:w="100" w:type="dxa"/>
                  <w:right w:w="100" w:type="dxa"/>
                </w:tcMar>
              </w:tcPr>
              <w:p w:rsidR="00E46DF7" w:rsidRDefault="00597711">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Multicenter, Retrospective</w:t>
                </w:r>
              </w:p>
            </w:tc>
            <w:tc>
              <w:tcPr>
                <w:tcW w:w="1335" w:type="dxa"/>
                <w:tcMar>
                  <w:top w:w="100" w:type="dxa"/>
                  <w:left w:w="100" w:type="dxa"/>
                  <w:bottom w:w="100" w:type="dxa"/>
                  <w:right w:w="100" w:type="dxa"/>
                </w:tcMar>
              </w:tcPr>
              <w:p w:rsidR="00E46DF7" w:rsidRDefault="00597711">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30 patients (all male), mean age 33.5 ± 15.2 years</w:t>
                </w:r>
              </w:p>
            </w:tc>
            <w:tc>
              <w:tcPr>
                <w:tcW w:w="1035" w:type="dxa"/>
                <w:tcMar>
                  <w:top w:w="100" w:type="dxa"/>
                  <w:left w:w="100" w:type="dxa"/>
                  <w:bottom w:w="100" w:type="dxa"/>
                  <w:right w:w="100" w:type="dxa"/>
                </w:tcMar>
              </w:tcPr>
              <w:p w:rsidR="00E46DF7" w:rsidRDefault="00597711">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Hemophilia B, no inhibitors</w:t>
                </w:r>
              </w:p>
            </w:tc>
            <w:tc>
              <w:tcPr>
                <w:tcW w:w="1035" w:type="dxa"/>
                <w:tcMar>
                  <w:top w:w="100" w:type="dxa"/>
                  <w:left w:w="100" w:type="dxa"/>
                  <w:bottom w:w="100" w:type="dxa"/>
                  <w:right w:w="100" w:type="dxa"/>
                </w:tcMar>
              </w:tcPr>
              <w:p w:rsidR="00E46DF7" w:rsidRDefault="00597711">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rFIXFc (EHL) vs </w:t>
                </w:r>
                <w:r>
                  <w:rPr>
                    <w:rFonts w:ascii="Times New Roman" w:eastAsia="Times New Roman" w:hAnsi="Times New Roman" w:cs="Times New Roman"/>
                    <w:sz w:val="24"/>
                    <w:szCs w:val="24"/>
                    <w:highlight w:val="white"/>
                  </w:rPr>
                  <w:t>SHL FIX</w:t>
                </w:r>
              </w:p>
            </w:tc>
            <w:tc>
              <w:tcPr>
                <w:tcW w:w="1035" w:type="dxa"/>
                <w:tcMar>
                  <w:top w:w="100" w:type="dxa"/>
                  <w:left w:w="100" w:type="dxa"/>
                  <w:bottom w:w="100" w:type="dxa"/>
                  <w:right w:w="100" w:type="dxa"/>
                </w:tcMar>
              </w:tcPr>
              <w:p w:rsidR="00E46DF7" w:rsidRDefault="00597711">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ABR, factor consumption, injection frequency</w:t>
                </w:r>
              </w:p>
            </w:tc>
            <w:tc>
              <w:tcPr>
                <w:tcW w:w="2040" w:type="dxa"/>
                <w:tcMar>
                  <w:top w:w="100" w:type="dxa"/>
                  <w:left w:w="100" w:type="dxa"/>
                  <w:bottom w:w="100" w:type="dxa"/>
                  <w:right w:w="100" w:type="dxa"/>
                </w:tcMar>
              </w:tcPr>
              <w:p w:rsidR="00E46DF7" w:rsidRDefault="00597711">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rFIXFc therapy significantly reduced bleeding rates, factor consumption, and injection frequency, improving quality of life and </w:t>
                </w:r>
                <w:r>
                  <w:rPr>
                    <w:rFonts w:ascii="Times New Roman" w:eastAsia="Times New Roman" w:hAnsi="Times New Roman" w:cs="Times New Roman"/>
                    <w:sz w:val="24"/>
                    <w:szCs w:val="24"/>
                    <w:highlight w:val="white"/>
                  </w:rPr>
                  <w:lastRenderedPageBreak/>
                  <w:t>reducing treatment burden for patients switching from SHL FIX.</w:t>
                </w:r>
              </w:p>
            </w:tc>
          </w:tr>
        </w:tbl>
      </w:sdtContent>
    </w:sdt>
    <w:p w:rsidR="00E46DF7" w:rsidRDefault="00597711">
      <w:pPr>
        <w:spacing w:before="240" w:after="240" w:line="360" w:lineRule="auto"/>
        <w:jc w:val="both"/>
        <w:rPr>
          <w:rFonts w:ascii="Times New Roman" w:eastAsia="Times New Roman" w:hAnsi="Times New Roman" w:cs="Times New Roman"/>
          <w:b/>
          <w:bCs/>
          <w:i/>
          <w:iCs/>
          <w:sz w:val="16"/>
          <w:szCs w:val="16"/>
          <w:highlight w:val="white"/>
        </w:rPr>
      </w:pPr>
      <w:r>
        <w:rPr>
          <w:rFonts w:ascii="Times New Roman" w:eastAsia="Times New Roman" w:hAnsi="Times New Roman" w:cs="Times New Roman"/>
          <w:b/>
          <w:bCs/>
          <w:i/>
          <w:iCs/>
          <w:sz w:val="16"/>
          <w:szCs w:val="16"/>
          <w:highlight w:val="white"/>
        </w:rPr>
        <w:lastRenderedPageBreak/>
        <w:t>[ABR: Ann</w:t>
      </w:r>
      <w:r>
        <w:rPr>
          <w:rFonts w:ascii="Times New Roman" w:eastAsia="Times New Roman" w:hAnsi="Times New Roman" w:cs="Times New Roman"/>
          <w:b/>
          <w:bCs/>
          <w:i/>
          <w:iCs/>
          <w:sz w:val="16"/>
          <w:szCs w:val="16"/>
          <w:highlight w:val="white"/>
        </w:rPr>
        <w:t xml:space="preserve">ualized Bleeding Rate; EHL: Extended Half-Life; SHL: Standard Half-Life; </w:t>
      </w:r>
      <w:proofErr w:type="spellStart"/>
      <w:r>
        <w:rPr>
          <w:rFonts w:ascii="Times New Roman" w:eastAsia="Times New Roman" w:hAnsi="Times New Roman" w:cs="Times New Roman"/>
          <w:b/>
          <w:bCs/>
          <w:i/>
          <w:iCs/>
          <w:sz w:val="16"/>
          <w:szCs w:val="16"/>
          <w:highlight w:val="white"/>
        </w:rPr>
        <w:t>rFVIII</w:t>
      </w:r>
      <w:proofErr w:type="spellEnd"/>
      <w:r>
        <w:rPr>
          <w:rFonts w:ascii="Times New Roman" w:eastAsia="Times New Roman" w:hAnsi="Times New Roman" w:cs="Times New Roman"/>
          <w:b/>
          <w:bCs/>
          <w:i/>
          <w:iCs/>
          <w:sz w:val="16"/>
          <w:szCs w:val="16"/>
          <w:highlight w:val="white"/>
        </w:rPr>
        <w:t>-Fc: Recombinant Factor VIII Fc fusion protein; N8-GP: Recombinant Factor VIII (</w:t>
      </w:r>
      <w:proofErr w:type="spellStart"/>
      <w:r>
        <w:rPr>
          <w:rFonts w:ascii="Times New Roman" w:eastAsia="Times New Roman" w:hAnsi="Times New Roman" w:cs="Times New Roman"/>
          <w:b/>
          <w:bCs/>
          <w:i/>
          <w:iCs/>
          <w:sz w:val="16"/>
          <w:szCs w:val="16"/>
          <w:highlight w:val="white"/>
        </w:rPr>
        <w:t>turoctocog</w:t>
      </w:r>
      <w:proofErr w:type="spellEnd"/>
      <w:r>
        <w:rPr>
          <w:rFonts w:ascii="Times New Roman" w:eastAsia="Times New Roman" w:hAnsi="Times New Roman" w:cs="Times New Roman"/>
          <w:b/>
          <w:bCs/>
          <w:i/>
          <w:iCs/>
          <w:sz w:val="16"/>
          <w:szCs w:val="16"/>
          <w:highlight w:val="white"/>
        </w:rPr>
        <w:t xml:space="preserve"> alfa); </w:t>
      </w:r>
      <w:proofErr w:type="spellStart"/>
      <w:r>
        <w:rPr>
          <w:rFonts w:ascii="Times New Roman" w:eastAsia="Times New Roman" w:hAnsi="Times New Roman" w:cs="Times New Roman"/>
          <w:b/>
          <w:bCs/>
          <w:i/>
          <w:iCs/>
          <w:sz w:val="16"/>
          <w:szCs w:val="16"/>
          <w:highlight w:val="white"/>
        </w:rPr>
        <w:t>rFVIIIFc</w:t>
      </w:r>
      <w:proofErr w:type="spellEnd"/>
      <w:r>
        <w:rPr>
          <w:rFonts w:ascii="Times New Roman" w:eastAsia="Times New Roman" w:hAnsi="Times New Roman" w:cs="Times New Roman"/>
          <w:b/>
          <w:bCs/>
          <w:i/>
          <w:iCs/>
          <w:sz w:val="16"/>
          <w:szCs w:val="16"/>
          <w:highlight w:val="white"/>
        </w:rPr>
        <w:t xml:space="preserve">: Recombinant Factor </w:t>
      </w:r>
      <w:proofErr w:type="spellStart"/>
      <w:r>
        <w:rPr>
          <w:rFonts w:ascii="Times New Roman" w:eastAsia="Times New Roman" w:hAnsi="Times New Roman" w:cs="Times New Roman"/>
          <w:b/>
          <w:bCs/>
          <w:i/>
          <w:iCs/>
          <w:sz w:val="16"/>
          <w:szCs w:val="16"/>
          <w:highlight w:val="white"/>
        </w:rPr>
        <w:t>VIIIFc</w:t>
      </w:r>
      <w:proofErr w:type="spellEnd"/>
      <w:r>
        <w:rPr>
          <w:rFonts w:ascii="Times New Roman" w:eastAsia="Times New Roman" w:hAnsi="Times New Roman" w:cs="Times New Roman"/>
          <w:b/>
          <w:bCs/>
          <w:i/>
          <w:iCs/>
          <w:sz w:val="16"/>
          <w:szCs w:val="16"/>
          <w:highlight w:val="white"/>
        </w:rPr>
        <w:t>; AJBR: Annualized Joint Bleeding Rate; FIX:</w:t>
      </w:r>
      <w:r>
        <w:rPr>
          <w:rFonts w:ascii="Times New Roman" w:eastAsia="Times New Roman" w:hAnsi="Times New Roman" w:cs="Times New Roman"/>
          <w:b/>
          <w:bCs/>
          <w:i/>
          <w:iCs/>
          <w:sz w:val="16"/>
          <w:szCs w:val="16"/>
          <w:highlight w:val="white"/>
        </w:rPr>
        <w:t xml:space="preserve"> Factor IX; </w:t>
      </w:r>
      <w:proofErr w:type="spellStart"/>
      <w:r>
        <w:rPr>
          <w:rFonts w:ascii="Times New Roman" w:eastAsia="Times New Roman" w:hAnsi="Times New Roman" w:cs="Times New Roman"/>
          <w:b/>
          <w:bCs/>
          <w:i/>
          <w:iCs/>
          <w:sz w:val="16"/>
          <w:szCs w:val="16"/>
          <w:highlight w:val="white"/>
        </w:rPr>
        <w:t>rIX</w:t>
      </w:r>
      <w:proofErr w:type="spellEnd"/>
      <w:r>
        <w:rPr>
          <w:rFonts w:ascii="Times New Roman" w:eastAsia="Times New Roman" w:hAnsi="Times New Roman" w:cs="Times New Roman"/>
          <w:b/>
          <w:bCs/>
          <w:i/>
          <w:iCs/>
          <w:sz w:val="16"/>
          <w:szCs w:val="16"/>
          <w:highlight w:val="white"/>
        </w:rPr>
        <w:t xml:space="preserve">-FP: Recombinant Factor IX Fc fusion protein; </w:t>
      </w:r>
      <w:proofErr w:type="spellStart"/>
      <w:r>
        <w:rPr>
          <w:rFonts w:ascii="Times New Roman" w:eastAsia="Times New Roman" w:hAnsi="Times New Roman" w:cs="Times New Roman"/>
          <w:b/>
          <w:bCs/>
          <w:i/>
          <w:iCs/>
          <w:sz w:val="16"/>
          <w:szCs w:val="16"/>
          <w:highlight w:val="white"/>
        </w:rPr>
        <w:t>rFIXFc</w:t>
      </w:r>
      <w:proofErr w:type="spellEnd"/>
      <w:r>
        <w:rPr>
          <w:rFonts w:ascii="Times New Roman" w:eastAsia="Times New Roman" w:hAnsi="Times New Roman" w:cs="Times New Roman"/>
          <w:b/>
          <w:bCs/>
          <w:i/>
          <w:iCs/>
          <w:sz w:val="16"/>
          <w:szCs w:val="16"/>
          <w:highlight w:val="white"/>
        </w:rPr>
        <w:t>: Recombinant Factor IX Fc fusion protein]</w:t>
      </w:r>
    </w:p>
    <w:p w:rsidR="00E46DF7" w:rsidRDefault="00597711">
      <w:pPr>
        <w:pStyle w:val="Heading3"/>
        <w:keepNext w:val="0"/>
        <w:keepLines w:val="0"/>
        <w:spacing w:before="280" w:line="360" w:lineRule="auto"/>
        <w:rPr>
          <w:rFonts w:ascii="Times New Roman" w:eastAsia="Times New Roman" w:hAnsi="Times New Roman" w:cs="Times New Roman"/>
          <w:b/>
          <w:bCs/>
          <w:color w:val="000000"/>
          <w:highlight w:val="white"/>
        </w:rPr>
      </w:pPr>
      <w:bookmarkStart w:id="7" w:name="_heading=h.5li0njer8o54" w:colFirst="0" w:colLast="0"/>
      <w:bookmarkEnd w:id="7"/>
      <w:r>
        <w:rPr>
          <w:rFonts w:ascii="Times New Roman" w:eastAsia="Times New Roman" w:hAnsi="Times New Roman" w:cs="Times New Roman"/>
          <w:b/>
          <w:bCs/>
          <w:color w:val="000000"/>
          <w:highlight w:val="white"/>
        </w:rPr>
        <w:t>Narrative Synthesis</w:t>
      </w:r>
    </w:p>
    <w:p w:rsidR="00E46DF7" w:rsidRDefault="00E46DF7">
      <w:pPr>
        <w:spacing w:line="360" w:lineRule="auto"/>
        <w:rPr>
          <w:rFonts w:ascii="Times New Roman" w:eastAsia="Times New Roman" w:hAnsi="Times New Roman" w:cs="Times New Roman"/>
          <w:highlight w:val="white"/>
        </w:rPr>
      </w:pPr>
    </w:p>
    <w:p w:rsidR="00E46DF7" w:rsidRDefault="00597711">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this section, we synthesize findings from the included studies regarding the impact of EHL therapies on key clinical outco</w:t>
      </w:r>
      <w:r>
        <w:rPr>
          <w:rFonts w:ascii="Times New Roman" w:eastAsia="Times New Roman" w:hAnsi="Times New Roman" w:cs="Times New Roman"/>
          <w:sz w:val="24"/>
          <w:szCs w:val="24"/>
          <w:highlight w:val="white"/>
        </w:rPr>
        <w:t>mes, including annualized bleeding rate (ABR), injection frequency and factor consumption, joint bleeding rates and long-term joint health, patient adherence, quality of life, and safety profiles.</w:t>
      </w:r>
    </w:p>
    <w:p w:rsidR="00E46DF7" w:rsidRDefault="00597711">
      <w:pPr>
        <w:pStyle w:val="Heading3"/>
        <w:keepNext w:val="0"/>
        <w:keepLines w:val="0"/>
        <w:spacing w:before="280" w:line="360" w:lineRule="auto"/>
        <w:rPr>
          <w:rFonts w:ascii="Times New Roman" w:eastAsia="Times New Roman" w:hAnsi="Times New Roman" w:cs="Times New Roman"/>
          <w:b/>
          <w:bCs/>
          <w:color w:val="000000"/>
          <w:sz w:val="26"/>
          <w:szCs w:val="26"/>
          <w:highlight w:val="white"/>
        </w:rPr>
      </w:pPr>
      <w:bookmarkStart w:id="8" w:name="_heading=h.x8p2gnt3vae" w:colFirst="0" w:colLast="0"/>
      <w:bookmarkEnd w:id="8"/>
      <w:r>
        <w:rPr>
          <w:rFonts w:ascii="Times New Roman" w:eastAsia="Times New Roman" w:hAnsi="Times New Roman" w:cs="Times New Roman"/>
          <w:b/>
          <w:bCs/>
          <w:color w:val="000000"/>
          <w:sz w:val="26"/>
          <w:szCs w:val="26"/>
          <w:highlight w:val="white"/>
        </w:rPr>
        <w:t xml:space="preserve">Impact of Extended Half-Life Therapies on Annualized </w:t>
      </w:r>
      <w:r>
        <w:rPr>
          <w:rFonts w:ascii="Times New Roman" w:eastAsia="Times New Roman" w:hAnsi="Times New Roman" w:cs="Times New Roman"/>
          <w:b/>
          <w:bCs/>
          <w:color w:val="000000"/>
          <w:sz w:val="26"/>
          <w:szCs w:val="26"/>
          <w:highlight w:val="white"/>
        </w:rPr>
        <w:t>Bleeding Rate (ABR)</w:t>
      </w:r>
    </w:p>
    <w:p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significant theme emerging across all studies is the reduction in Annualized Bleeding Rate (ABR) following the switch from SHL to EHL therapies as shown in Table 2. For instance, </w:t>
      </w:r>
      <w:proofErr w:type="gramStart"/>
      <w:r>
        <w:rPr>
          <w:rFonts w:ascii="Times New Roman" w:eastAsia="Times New Roman" w:hAnsi="Times New Roman" w:cs="Times New Roman"/>
          <w:sz w:val="24"/>
          <w:szCs w:val="24"/>
          <w:highlight w:val="white"/>
        </w:rPr>
        <w:t>Ay</w:t>
      </w:r>
      <w:proofErr w:type="gramEnd"/>
      <w:r>
        <w:rPr>
          <w:rFonts w:ascii="Times New Roman" w:eastAsia="Times New Roman" w:hAnsi="Times New Roman" w:cs="Times New Roman"/>
          <w:sz w:val="24"/>
          <w:szCs w:val="24"/>
          <w:highlight w:val="white"/>
        </w:rPr>
        <w:t xml:space="preserve"> et al. (2021) observed a median decrease in ABR from 6.4 to 2.3 after sw</w:t>
      </w:r>
      <w:r>
        <w:rPr>
          <w:rFonts w:ascii="Times New Roman" w:eastAsia="Times New Roman" w:hAnsi="Times New Roman" w:cs="Times New Roman"/>
          <w:sz w:val="24"/>
          <w:szCs w:val="24"/>
          <w:highlight w:val="white"/>
        </w:rPr>
        <w:t>itching to EHL treatment (</w:t>
      </w:r>
      <w:proofErr w:type="spellStart"/>
      <w:r>
        <w:rPr>
          <w:rFonts w:ascii="Times New Roman" w:eastAsia="Times New Roman" w:hAnsi="Times New Roman" w:cs="Times New Roman"/>
          <w:sz w:val="24"/>
          <w:szCs w:val="24"/>
          <w:highlight w:val="white"/>
        </w:rPr>
        <w:t>rFVIII</w:t>
      </w:r>
      <w:proofErr w:type="spellEnd"/>
      <w:r>
        <w:rPr>
          <w:rFonts w:ascii="Times New Roman" w:eastAsia="Times New Roman" w:hAnsi="Times New Roman" w:cs="Times New Roman"/>
          <w:sz w:val="24"/>
          <w:szCs w:val="24"/>
          <w:highlight w:val="white"/>
        </w:rPr>
        <w:t>-Fc), emphasizing its efficacy in reducing bleeding episodes. Similarly, Wu et al. (2025) reported a decrease in ABR from 11.0 to 2.55 in their cohort, demonstrating substantial improvement in bleeding control with EHL thera</w:t>
      </w:r>
      <w:r>
        <w:rPr>
          <w:rFonts w:ascii="Times New Roman" w:eastAsia="Times New Roman" w:hAnsi="Times New Roman" w:cs="Times New Roman"/>
          <w:sz w:val="24"/>
          <w:szCs w:val="24"/>
          <w:highlight w:val="white"/>
        </w:rPr>
        <w:t xml:space="preserve">py. These findings align with Oldenburg et al. (2025a), where the mean ABR reduced from 3.7 to 1.8 upon transitioning to </w:t>
      </w:r>
      <w:proofErr w:type="spellStart"/>
      <w:r>
        <w:rPr>
          <w:rFonts w:ascii="Times New Roman" w:eastAsia="Times New Roman" w:hAnsi="Times New Roman" w:cs="Times New Roman"/>
          <w:sz w:val="24"/>
          <w:szCs w:val="24"/>
          <w:highlight w:val="white"/>
        </w:rPr>
        <w:t>rFVIIIFc</w:t>
      </w:r>
      <w:proofErr w:type="spell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Similarly</w:t>
      </w:r>
      <w:proofErr w:type="gramEnd"/>
      <w:r>
        <w:rPr>
          <w:rFonts w:ascii="Times New Roman" w:eastAsia="Times New Roman" w:hAnsi="Times New Roman" w:cs="Times New Roman"/>
          <w:sz w:val="24"/>
          <w:szCs w:val="24"/>
          <w:highlight w:val="white"/>
        </w:rPr>
        <w:t xml:space="preserve"> in Funding et al. (2023), the ABR decreased from 3.3 to 1.5 following switching from SHL FIX therapy to </w:t>
      </w:r>
      <w:proofErr w:type="spellStart"/>
      <w:r>
        <w:rPr>
          <w:rFonts w:ascii="Times New Roman" w:eastAsia="Times New Roman" w:hAnsi="Times New Roman" w:cs="Times New Roman"/>
          <w:sz w:val="24"/>
          <w:szCs w:val="24"/>
          <w:highlight w:val="white"/>
        </w:rPr>
        <w:t>rFIXFc</w:t>
      </w:r>
      <w:proofErr w:type="spellEnd"/>
      <w:r>
        <w:rPr>
          <w:rFonts w:ascii="Times New Roman" w:eastAsia="Times New Roman" w:hAnsi="Times New Roman" w:cs="Times New Roman"/>
          <w:sz w:val="24"/>
          <w:szCs w:val="24"/>
          <w:highlight w:val="white"/>
        </w:rPr>
        <w:t xml:space="preserve"> prop</w:t>
      </w:r>
      <w:r>
        <w:rPr>
          <w:rFonts w:ascii="Times New Roman" w:eastAsia="Times New Roman" w:hAnsi="Times New Roman" w:cs="Times New Roman"/>
          <w:sz w:val="24"/>
          <w:szCs w:val="24"/>
          <w:highlight w:val="white"/>
        </w:rPr>
        <w:t>hylaxis. These findings align with the general trend observed in multiple studies, highlighting that EHL products provide superior prophylactic protection against bleeds. The decreased bleeding episodes, especially spontaneous bleeds, are directly linked t</w:t>
      </w:r>
      <w:r>
        <w:rPr>
          <w:rFonts w:ascii="Times New Roman" w:eastAsia="Times New Roman" w:hAnsi="Times New Roman" w:cs="Times New Roman"/>
          <w:sz w:val="24"/>
          <w:szCs w:val="24"/>
          <w:highlight w:val="white"/>
        </w:rPr>
        <w:t>o the longer half-life and more stable trough levels associated with EHL therapies. This enhanced pharmacokinetic profile ensures higher factor levels for extended periods, reducing the risk of breakthrough bleeding and its associated complications.</w:t>
      </w:r>
    </w:p>
    <w:p w:rsidR="00E46DF7" w:rsidRDefault="00597711">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 xml:space="preserve">Table </w:t>
      </w:r>
      <w:r>
        <w:rPr>
          <w:rFonts w:ascii="Times New Roman" w:eastAsia="Times New Roman" w:hAnsi="Times New Roman" w:cs="Times New Roman"/>
          <w:b/>
          <w:bCs/>
          <w:sz w:val="24"/>
          <w:szCs w:val="24"/>
          <w:highlight w:val="white"/>
        </w:rPr>
        <w:t>2: Outcome measure (bleeding outcome during prophylaxis): annualized bleeding rate (ABR) Reported as the rate of bleeding events per year in each group</w:t>
      </w:r>
    </w:p>
    <w:tbl>
      <w:tblPr>
        <w:tblStyle w:val="a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E46DF7">
        <w:tc>
          <w:tcPr>
            <w:tcW w:w="2340" w:type="dxa"/>
            <w:tcMar>
              <w:top w:w="100" w:type="dxa"/>
              <w:left w:w="100" w:type="dxa"/>
              <w:bottom w:w="100" w:type="dxa"/>
              <w:right w:w="100" w:type="dxa"/>
            </w:tcMar>
          </w:tcPr>
          <w:p w:rsidR="00E46DF7" w:rsidRDefault="00597711">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Study ID </w:t>
            </w:r>
          </w:p>
        </w:tc>
        <w:tc>
          <w:tcPr>
            <w:tcW w:w="2340" w:type="dxa"/>
            <w:tcMar>
              <w:top w:w="100" w:type="dxa"/>
              <w:left w:w="100" w:type="dxa"/>
              <w:bottom w:w="100" w:type="dxa"/>
              <w:right w:w="100" w:type="dxa"/>
            </w:tcMar>
          </w:tcPr>
          <w:p w:rsidR="00E46DF7" w:rsidRDefault="00597711">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Number of participants examined</w:t>
            </w:r>
          </w:p>
        </w:tc>
        <w:tc>
          <w:tcPr>
            <w:tcW w:w="2340" w:type="dxa"/>
            <w:tcMar>
              <w:top w:w="100" w:type="dxa"/>
              <w:left w:w="100" w:type="dxa"/>
              <w:bottom w:w="100" w:type="dxa"/>
              <w:right w:w="100" w:type="dxa"/>
            </w:tcMar>
          </w:tcPr>
          <w:p w:rsidR="00E46DF7" w:rsidRDefault="00597711">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Mean (± SD) of ABR for EHL</w:t>
            </w:r>
          </w:p>
        </w:tc>
        <w:tc>
          <w:tcPr>
            <w:tcW w:w="2340" w:type="dxa"/>
            <w:tcMar>
              <w:top w:w="100" w:type="dxa"/>
              <w:left w:w="100" w:type="dxa"/>
              <w:bottom w:w="100" w:type="dxa"/>
              <w:right w:w="100" w:type="dxa"/>
            </w:tcMar>
          </w:tcPr>
          <w:p w:rsidR="00E46DF7" w:rsidRDefault="00597711">
            <w:pPr>
              <w:spacing w:before="240" w:after="240"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Mean (± SD) of ABR for SHL</w:t>
            </w:r>
          </w:p>
        </w:tc>
      </w:tr>
      <w:tr w:rsidR="00E46DF7">
        <w:tc>
          <w:tcPr>
            <w:tcW w:w="2340" w:type="dxa"/>
            <w:tcMar>
              <w:top w:w="100" w:type="dxa"/>
              <w:left w:w="100" w:type="dxa"/>
              <w:bottom w:w="100" w:type="dxa"/>
              <w:right w:w="100" w:type="dxa"/>
            </w:tcMar>
          </w:tcPr>
          <w:p w:rsidR="00E46DF7" w:rsidRDefault="00597711">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Ay et a</w:t>
            </w:r>
            <w:r>
              <w:rPr>
                <w:rFonts w:ascii="Times New Roman" w:eastAsia="Times New Roman" w:hAnsi="Times New Roman" w:cs="Times New Roman"/>
                <w:b/>
                <w:bCs/>
                <w:sz w:val="24"/>
                <w:szCs w:val="24"/>
                <w:highlight w:val="white"/>
              </w:rPr>
              <w:t xml:space="preserve">l. (2021) </w:t>
            </w:r>
          </w:p>
        </w:tc>
        <w:tc>
          <w:tcPr>
            <w:tcW w:w="2340" w:type="dxa"/>
            <w:tcMar>
              <w:top w:w="100" w:type="dxa"/>
              <w:left w:w="100" w:type="dxa"/>
              <w:bottom w:w="100" w:type="dxa"/>
              <w:right w:w="100" w:type="dxa"/>
            </w:tcMar>
          </w:tcPr>
          <w:p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w:t>
            </w:r>
          </w:p>
        </w:tc>
        <w:tc>
          <w:tcPr>
            <w:tcW w:w="2340" w:type="dxa"/>
            <w:tcMar>
              <w:top w:w="100" w:type="dxa"/>
              <w:left w:w="100" w:type="dxa"/>
              <w:bottom w:w="100" w:type="dxa"/>
              <w:right w:w="100" w:type="dxa"/>
            </w:tcMar>
          </w:tcPr>
          <w:p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 (6.2)</w:t>
            </w:r>
          </w:p>
        </w:tc>
        <w:tc>
          <w:tcPr>
            <w:tcW w:w="2340" w:type="dxa"/>
            <w:tcMar>
              <w:top w:w="100" w:type="dxa"/>
              <w:left w:w="100" w:type="dxa"/>
              <w:bottom w:w="100" w:type="dxa"/>
              <w:right w:w="100" w:type="dxa"/>
            </w:tcMar>
          </w:tcPr>
          <w:p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6.4 (12.2)</w:t>
            </w:r>
          </w:p>
        </w:tc>
      </w:tr>
      <w:tr w:rsidR="00E46DF7">
        <w:tc>
          <w:tcPr>
            <w:tcW w:w="2340" w:type="dxa"/>
            <w:tcMar>
              <w:top w:w="100" w:type="dxa"/>
              <w:left w:w="100" w:type="dxa"/>
              <w:bottom w:w="100" w:type="dxa"/>
              <w:right w:w="100" w:type="dxa"/>
            </w:tcMar>
          </w:tcPr>
          <w:p w:rsidR="00E46DF7" w:rsidRDefault="00597711">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Wu et al. (2025) </w:t>
            </w:r>
          </w:p>
        </w:tc>
        <w:tc>
          <w:tcPr>
            <w:tcW w:w="2340" w:type="dxa"/>
            <w:tcMar>
              <w:top w:w="100" w:type="dxa"/>
              <w:left w:w="100" w:type="dxa"/>
              <w:bottom w:w="100" w:type="dxa"/>
              <w:right w:w="100" w:type="dxa"/>
            </w:tcMar>
          </w:tcPr>
          <w:p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36</w:t>
            </w:r>
          </w:p>
        </w:tc>
        <w:tc>
          <w:tcPr>
            <w:tcW w:w="2340" w:type="dxa"/>
            <w:tcMar>
              <w:top w:w="100" w:type="dxa"/>
              <w:left w:w="100" w:type="dxa"/>
              <w:bottom w:w="100" w:type="dxa"/>
              <w:right w:w="100" w:type="dxa"/>
            </w:tcMar>
          </w:tcPr>
          <w:p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2.55 (6.11)</w:t>
            </w:r>
          </w:p>
        </w:tc>
        <w:tc>
          <w:tcPr>
            <w:tcW w:w="2340" w:type="dxa"/>
            <w:tcMar>
              <w:top w:w="100" w:type="dxa"/>
              <w:left w:w="100" w:type="dxa"/>
              <w:bottom w:w="100" w:type="dxa"/>
              <w:right w:w="100" w:type="dxa"/>
            </w:tcMar>
          </w:tcPr>
          <w:p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11.0 (11.1) </w:t>
            </w:r>
          </w:p>
        </w:tc>
      </w:tr>
      <w:tr w:rsidR="00E46DF7">
        <w:tc>
          <w:tcPr>
            <w:tcW w:w="2340" w:type="dxa"/>
            <w:tcMar>
              <w:top w:w="100" w:type="dxa"/>
              <w:left w:w="100" w:type="dxa"/>
              <w:bottom w:w="100" w:type="dxa"/>
              <w:right w:w="100" w:type="dxa"/>
            </w:tcMar>
          </w:tcPr>
          <w:p w:rsidR="00E46DF7" w:rsidRDefault="00597711">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Oldenburg et al. (2025a) </w:t>
            </w:r>
          </w:p>
        </w:tc>
        <w:tc>
          <w:tcPr>
            <w:tcW w:w="2340" w:type="dxa"/>
            <w:tcMar>
              <w:top w:w="100" w:type="dxa"/>
              <w:left w:w="100" w:type="dxa"/>
              <w:bottom w:w="100" w:type="dxa"/>
              <w:right w:w="100" w:type="dxa"/>
            </w:tcMar>
          </w:tcPr>
          <w:p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131</w:t>
            </w:r>
          </w:p>
        </w:tc>
        <w:tc>
          <w:tcPr>
            <w:tcW w:w="2340" w:type="dxa"/>
            <w:tcMar>
              <w:top w:w="100" w:type="dxa"/>
              <w:left w:w="100" w:type="dxa"/>
              <w:bottom w:w="100" w:type="dxa"/>
              <w:right w:w="100" w:type="dxa"/>
            </w:tcMar>
          </w:tcPr>
          <w:p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1.8 (6.42)</w:t>
            </w:r>
          </w:p>
        </w:tc>
        <w:tc>
          <w:tcPr>
            <w:tcW w:w="2340" w:type="dxa"/>
            <w:tcMar>
              <w:top w:w="100" w:type="dxa"/>
              <w:left w:w="100" w:type="dxa"/>
              <w:bottom w:w="100" w:type="dxa"/>
              <w:right w:w="100" w:type="dxa"/>
            </w:tcMar>
          </w:tcPr>
          <w:p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3.7 (8.7)</w:t>
            </w:r>
          </w:p>
        </w:tc>
      </w:tr>
      <w:tr w:rsidR="00E46DF7">
        <w:tc>
          <w:tcPr>
            <w:tcW w:w="2340" w:type="dxa"/>
            <w:tcMar>
              <w:top w:w="100" w:type="dxa"/>
              <w:left w:w="100" w:type="dxa"/>
              <w:bottom w:w="100" w:type="dxa"/>
              <w:right w:w="100" w:type="dxa"/>
            </w:tcMar>
          </w:tcPr>
          <w:p w:rsidR="00E46DF7" w:rsidRDefault="00597711">
            <w:pPr>
              <w:spacing w:before="240" w:after="240" w:line="360" w:lineRule="auto"/>
              <w:jc w:val="both"/>
              <w:rPr>
                <w:rFonts w:ascii="Times New Roman" w:eastAsia="Times New Roman" w:hAnsi="Times New Roman" w:cs="Times New Roman"/>
                <w:b/>
                <w:bCs/>
                <w:sz w:val="24"/>
                <w:szCs w:val="24"/>
                <w:highlight w:val="white"/>
              </w:rPr>
            </w:pPr>
            <w:proofErr w:type="spellStart"/>
            <w:r>
              <w:rPr>
                <w:rFonts w:ascii="Times New Roman" w:eastAsia="Times New Roman" w:hAnsi="Times New Roman" w:cs="Times New Roman"/>
                <w:b/>
                <w:bCs/>
                <w:sz w:val="24"/>
                <w:szCs w:val="24"/>
                <w:highlight w:val="white"/>
              </w:rPr>
              <w:t>Goldmann</w:t>
            </w:r>
            <w:proofErr w:type="spellEnd"/>
            <w:r>
              <w:rPr>
                <w:rFonts w:ascii="Times New Roman" w:eastAsia="Times New Roman" w:hAnsi="Times New Roman" w:cs="Times New Roman"/>
                <w:b/>
                <w:bCs/>
                <w:sz w:val="24"/>
                <w:szCs w:val="24"/>
                <w:highlight w:val="white"/>
              </w:rPr>
              <w:t xml:space="preserve"> et al. (2021) </w:t>
            </w:r>
          </w:p>
        </w:tc>
        <w:tc>
          <w:tcPr>
            <w:tcW w:w="2340" w:type="dxa"/>
            <w:tcMar>
              <w:top w:w="100" w:type="dxa"/>
              <w:left w:w="100" w:type="dxa"/>
              <w:bottom w:w="100" w:type="dxa"/>
              <w:right w:w="100" w:type="dxa"/>
            </w:tcMar>
          </w:tcPr>
          <w:p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27</w:t>
            </w:r>
          </w:p>
        </w:tc>
        <w:tc>
          <w:tcPr>
            <w:tcW w:w="2340" w:type="dxa"/>
            <w:tcMar>
              <w:top w:w="100" w:type="dxa"/>
              <w:left w:w="100" w:type="dxa"/>
              <w:bottom w:w="100" w:type="dxa"/>
              <w:right w:w="100" w:type="dxa"/>
            </w:tcMar>
          </w:tcPr>
          <w:p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1.7 (3.7)</w:t>
            </w:r>
          </w:p>
        </w:tc>
        <w:tc>
          <w:tcPr>
            <w:tcW w:w="2340" w:type="dxa"/>
            <w:tcMar>
              <w:top w:w="100" w:type="dxa"/>
              <w:left w:w="100" w:type="dxa"/>
              <w:bottom w:w="100" w:type="dxa"/>
              <w:right w:w="100" w:type="dxa"/>
            </w:tcMar>
          </w:tcPr>
          <w:p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 (3.1)</w:t>
            </w:r>
          </w:p>
        </w:tc>
      </w:tr>
      <w:tr w:rsidR="00E46DF7">
        <w:tc>
          <w:tcPr>
            <w:tcW w:w="2340" w:type="dxa"/>
            <w:tcMar>
              <w:top w:w="100" w:type="dxa"/>
              <w:left w:w="100" w:type="dxa"/>
              <w:bottom w:w="100" w:type="dxa"/>
              <w:right w:w="100" w:type="dxa"/>
            </w:tcMar>
          </w:tcPr>
          <w:p w:rsidR="00E46DF7" w:rsidRDefault="00597711">
            <w:pPr>
              <w:spacing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Coppola et al. (2024)</w:t>
            </w:r>
          </w:p>
        </w:tc>
        <w:tc>
          <w:tcPr>
            <w:tcW w:w="2340" w:type="dxa"/>
            <w:tcMar>
              <w:top w:w="100" w:type="dxa"/>
              <w:left w:w="100" w:type="dxa"/>
              <w:bottom w:w="100" w:type="dxa"/>
              <w:right w:w="100" w:type="dxa"/>
            </w:tcMar>
          </w:tcPr>
          <w:p w:rsidR="00E46DF7" w:rsidRDefault="00597711">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w:t>
            </w:r>
          </w:p>
        </w:tc>
        <w:tc>
          <w:tcPr>
            <w:tcW w:w="2340" w:type="dxa"/>
            <w:tcMar>
              <w:top w:w="100" w:type="dxa"/>
              <w:left w:w="100" w:type="dxa"/>
              <w:bottom w:w="100" w:type="dxa"/>
              <w:right w:w="100" w:type="dxa"/>
            </w:tcMar>
          </w:tcPr>
          <w:p w:rsidR="00E46DF7" w:rsidRDefault="00597711">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0.9 (0.7)</w:t>
            </w:r>
          </w:p>
        </w:tc>
        <w:tc>
          <w:tcPr>
            <w:tcW w:w="2340" w:type="dxa"/>
            <w:tcMar>
              <w:top w:w="100" w:type="dxa"/>
              <w:left w:w="100" w:type="dxa"/>
              <w:bottom w:w="100" w:type="dxa"/>
              <w:right w:w="100" w:type="dxa"/>
            </w:tcMar>
          </w:tcPr>
          <w:p w:rsidR="00E46DF7" w:rsidRDefault="00597711">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0.4 (0.4)</w:t>
            </w:r>
          </w:p>
        </w:tc>
      </w:tr>
      <w:tr w:rsidR="00E46DF7">
        <w:tc>
          <w:tcPr>
            <w:tcW w:w="2340" w:type="dxa"/>
            <w:tcMar>
              <w:top w:w="100" w:type="dxa"/>
              <w:left w:w="100" w:type="dxa"/>
              <w:bottom w:w="100" w:type="dxa"/>
              <w:right w:w="100" w:type="dxa"/>
            </w:tcMar>
          </w:tcPr>
          <w:p w:rsidR="00E46DF7" w:rsidRDefault="00597711">
            <w:pPr>
              <w:spacing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Funding et al. (2023) </w:t>
            </w:r>
          </w:p>
        </w:tc>
        <w:tc>
          <w:tcPr>
            <w:tcW w:w="2340" w:type="dxa"/>
            <w:tcMar>
              <w:top w:w="100" w:type="dxa"/>
              <w:left w:w="100" w:type="dxa"/>
              <w:bottom w:w="100" w:type="dxa"/>
              <w:right w:w="100" w:type="dxa"/>
            </w:tcMar>
          </w:tcPr>
          <w:p w:rsidR="00E46DF7" w:rsidRDefault="00597711">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30</w:t>
            </w:r>
          </w:p>
        </w:tc>
        <w:tc>
          <w:tcPr>
            <w:tcW w:w="2340" w:type="dxa"/>
            <w:tcMar>
              <w:top w:w="100" w:type="dxa"/>
              <w:left w:w="100" w:type="dxa"/>
              <w:bottom w:w="100" w:type="dxa"/>
              <w:right w:w="100" w:type="dxa"/>
            </w:tcMar>
          </w:tcPr>
          <w:p w:rsidR="00E46DF7" w:rsidRDefault="00597711">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1.5 (1.4)</w:t>
            </w:r>
          </w:p>
        </w:tc>
        <w:tc>
          <w:tcPr>
            <w:tcW w:w="2340" w:type="dxa"/>
            <w:tcMar>
              <w:top w:w="100" w:type="dxa"/>
              <w:left w:w="100" w:type="dxa"/>
              <w:bottom w:w="100" w:type="dxa"/>
              <w:right w:w="100" w:type="dxa"/>
            </w:tcMar>
          </w:tcPr>
          <w:p w:rsidR="00E46DF7" w:rsidRDefault="00597711">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3.3 (4.3)</w:t>
            </w:r>
          </w:p>
        </w:tc>
      </w:tr>
    </w:tbl>
    <w:p w:rsidR="00E46DF7" w:rsidRDefault="00E46DF7">
      <w:pPr>
        <w:spacing w:line="360" w:lineRule="auto"/>
        <w:rPr>
          <w:rFonts w:ascii="Times New Roman" w:eastAsia="Times New Roman" w:hAnsi="Times New Roman" w:cs="Times New Roman"/>
          <w:sz w:val="18"/>
          <w:szCs w:val="18"/>
          <w:highlight w:val="white"/>
        </w:rPr>
      </w:pPr>
    </w:p>
    <w:p w:rsidR="00E46DF7" w:rsidRDefault="00E46DF7">
      <w:pPr>
        <w:spacing w:line="360" w:lineRule="auto"/>
        <w:rPr>
          <w:rFonts w:ascii="Times New Roman" w:eastAsia="Times New Roman" w:hAnsi="Times New Roman" w:cs="Times New Roman"/>
          <w:sz w:val="18"/>
          <w:szCs w:val="18"/>
          <w:highlight w:val="white"/>
        </w:rPr>
      </w:pPr>
    </w:p>
    <w:p w:rsidR="00E46DF7" w:rsidRDefault="00597711">
      <w:pPr>
        <w:pStyle w:val="Heading3"/>
        <w:keepNext w:val="0"/>
        <w:keepLines w:val="0"/>
        <w:spacing w:before="280" w:line="360" w:lineRule="auto"/>
        <w:rPr>
          <w:rFonts w:ascii="Times New Roman" w:eastAsia="Times New Roman" w:hAnsi="Times New Roman" w:cs="Times New Roman"/>
          <w:b/>
          <w:bCs/>
          <w:color w:val="000000"/>
          <w:sz w:val="26"/>
          <w:szCs w:val="26"/>
          <w:highlight w:val="white"/>
        </w:rPr>
      </w:pPr>
      <w:bookmarkStart w:id="9" w:name="_heading=h.f2qyd4jfgbjp" w:colFirst="0" w:colLast="0"/>
      <w:bookmarkEnd w:id="9"/>
      <w:r>
        <w:rPr>
          <w:rFonts w:ascii="Times New Roman" w:eastAsia="Times New Roman" w:hAnsi="Times New Roman" w:cs="Times New Roman"/>
          <w:b/>
          <w:bCs/>
          <w:color w:val="000000"/>
          <w:sz w:val="26"/>
          <w:szCs w:val="26"/>
          <w:highlight w:val="white"/>
        </w:rPr>
        <w:t>Comparison of Injection Frequency and Factor Consumption Between SHL and EHL Therapies</w:t>
      </w:r>
    </w:p>
    <w:p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switch from SHL to EHL therapies is also associated with significant reductions in both injection frequency and factor consumption. A study by</w:t>
      </w: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Goldmann</w:t>
      </w:r>
      <w:proofErr w:type="spellEnd"/>
      <w:r>
        <w:rPr>
          <w:rFonts w:ascii="Times New Roman" w:eastAsia="Times New Roman" w:hAnsi="Times New Roman" w:cs="Times New Roman"/>
          <w:sz w:val="24"/>
          <w:szCs w:val="24"/>
          <w:highlight w:val="white"/>
        </w:rPr>
        <w:t xml:space="preserve"> et al. (2021) observed that the mean number of weekly injections decreased from 3.5 to 2.0 following the introduction of </w:t>
      </w:r>
      <w:proofErr w:type="spellStart"/>
      <w:r>
        <w:rPr>
          <w:rFonts w:ascii="Times New Roman" w:eastAsia="Times New Roman" w:hAnsi="Times New Roman" w:cs="Times New Roman"/>
          <w:sz w:val="24"/>
          <w:szCs w:val="24"/>
          <w:highlight w:val="white"/>
        </w:rPr>
        <w:t>rFVIII</w:t>
      </w:r>
      <w:proofErr w:type="spellEnd"/>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lastRenderedPageBreak/>
        <w:t>Fc, with a corresponding reduction in factor consumption. Ay et al. (2021) noted a decrease in the median number of in</w:t>
      </w:r>
      <w:r>
        <w:rPr>
          <w:rFonts w:ascii="Times New Roman" w:eastAsia="Times New Roman" w:hAnsi="Times New Roman" w:cs="Times New Roman"/>
          <w:sz w:val="24"/>
          <w:szCs w:val="24"/>
          <w:highlight w:val="white"/>
        </w:rPr>
        <w:t>fusions per week from 3.0 to 2.0 after transitioning to EHL and Wu et al. (2025) observed that EHL reduced the weekly infusion frequency from 3.1 to 2.3. Similarly, in the study by Funding et al. (2023), the weekly injection frequency was reduced by 1.0 in</w:t>
      </w:r>
      <w:r>
        <w:rPr>
          <w:rFonts w:ascii="Times New Roman" w:eastAsia="Times New Roman" w:hAnsi="Times New Roman" w:cs="Times New Roman"/>
          <w:sz w:val="24"/>
          <w:szCs w:val="24"/>
          <w:highlight w:val="white"/>
        </w:rPr>
        <w:t xml:space="preserve">jection per week after switching to </w:t>
      </w:r>
      <w:proofErr w:type="spellStart"/>
      <w:r>
        <w:rPr>
          <w:rFonts w:ascii="Times New Roman" w:eastAsia="Times New Roman" w:hAnsi="Times New Roman" w:cs="Times New Roman"/>
          <w:sz w:val="24"/>
          <w:szCs w:val="24"/>
          <w:highlight w:val="white"/>
        </w:rPr>
        <w:t>rFIXFc</w:t>
      </w:r>
      <w:proofErr w:type="spellEnd"/>
      <w:r>
        <w:rPr>
          <w:rFonts w:ascii="Times New Roman" w:eastAsia="Times New Roman" w:hAnsi="Times New Roman" w:cs="Times New Roman"/>
          <w:sz w:val="24"/>
          <w:szCs w:val="24"/>
          <w:highlight w:val="white"/>
        </w:rPr>
        <w:t xml:space="preserve">, with a mean reduction in factor consumption by 27.7 IU/kg/week. These findings underscore the practical advantage of EHL therapies, as patients experience fewer infusions and a more manageable treatment regimen, </w:t>
      </w:r>
      <w:r>
        <w:rPr>
          <w:rFonts w:ascii="Times New Roman" w:eastAsia="Times New Roman" w:hAnsi="Times New Roman" w:cs="Times New Roman"/>
          <w:sz w:val="24"/>
          <w:szCs w:val="24"/>
          <w:highlight w:val="white"/>
        </w:rPr>
        <w:t>without significantly increasing the total amount of factor consumed.</w:t>
      </w:r>
    </w:p>
    <w:p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These reductions in injection frequency are a major improvement in patient convenience and adherence, as regular infusions are one of the major burdens of standard hemophilia treatment r</w:t>
      </w:r>
      <w:r>
        <w:rPr>
          <w:rFonts w:ascii="Times New Roman" w:eastAsia="Times New Roman" w:hAnsi="Times New Roman" w:cs="Times New Roman"/>
          <w:sz w:val="24"/>
          <w:szCs w:val="24"/>
          <w:highlight w:val="white"/>
        </w:rPr>
        <w:t>egimens. The decrease in factor consumption, despite the longer dosing intervals, reflects the improved pharmacokinetic properties of EHL products, which allow for sustained therapeutic levels of the clotting factor with fewer doses (</w:t>
      </w:r>
      <w:proofErr w:type="spellStart"/>
      <w:r>
        <w:rPr>
          <w:rFonts w:ascii="Times New Roman" w:eastAsia="Times New Roman" w:hAnsi="Times New Roman" w:cs="Times New Roman"/>
          <w:sz w:val="24"/>
          <w:szCs w:val="24"/>
          <w:highlight w:val="white"/>
        </w:rPr>
        <w:t>Goldmann</w:t>
      </w:r>
      <w:proofErr w:type="spellEnd"/>
      <w:r>
        <w:rPr>
          <w:rFonts w:ascii="Times New Roman" w:eastAsia="Times New Roman" w:hAnsi="Times New Roman" w:cs="Times New Roman"/>
          <w:sz w:val="24"/>
          <w:szCs w:val="24"/>
          <w:highlight w:val="white"/>
        </w:rPr>
        <w:t xml:space="preserve"> et al., 2021;</w:t>
      </w:r>
      <w:r>
        <w:rPr>
          <w:rFonts w:ascii="Times New Roman" w:eastAsia="Times New Roman" w:hAnsi="Times New Roman" w:cs="Times New Roman"/>
          <w:sz w:val="24"/>
          <w:szCs w:val="24"/>
          <w:highlight w:val="white"/>
        </w:rPr>
        <w:t xml:space="preserve"> Coppola et al., 2024).</w:t>
      </w:r>
    </w:p>
    <w:p w:rsidR="00E46DF7" w:rsidRDefault="00597711">
      <w:pPr>
        <w:pStyle w:val="Heading3"/>
        <w:keepNext w:val="0"/>
        <w:keepLines w:val="0"/>
        <w:spacing w:before="280" w:line="360" w:lineRule="auto"/>
        <w:rPr>
          <w:rFonts w:ascii="Times New Roman" w:eastAsia="Times New Roman" w:hAnsi="Times New Roman" w:cs="Times New Roman"/>
          <w:b/>
          <w:bCs/>
          <w:color w:val="000000"/>
          <w:sz w:val="26"/>
          <w:szCs w:val="26"/>
          <w:highlight w:val="white"/>
        </w:rPr>
      </w:pPr>
      <w:bookmarkStart w:id="10" w:name="_heading=h.6s0u0quomhkg" w:colFirst="0" w:colLast="0"/>
      <w:bookmarkEnd w:id="10"/>
      <w:r>
        <w:rPr>
          <w:rFonts w:ascii="Times New Roman" w:eastAsia="Times New Roman" w:hAnsi="Times New Roman" w:cs="Times New Roman"/>
          <w:b/>
          <w:bCs/>
          <w:color w:val="000000"/>
          <w:sz w:val="26"/>
          <w:szCs w:val="26"/>
          <w:highlight w:val="white"/>
        </w:rPr>
        <w:t>Joint Bleeding Rates and Long-Term Joint Health Outcomes</w:t>
      </w:r>
    </w:p>
    <w:p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joint bleeding rate (</w:t>
      </w:r>
      <w:proofErr w:type="spellStart"/>
      <w:r>
        <w:rPr>
          <w:rFonts w:ascii="Times New Roman" w:eastAsia="Times New Roman" w:hAnsi="Times New Roman" w:cs="Times New Roman"/>
          <w:sz w:val="24"/>
          <w:szCs w:val="24"/>
          <w:highlight w:val="white"/>
        </w:rPr>
        <w:t>AjBR</w:t>
      </w:r>
      <w:proofErr w:type="spellEnd"/>
      <w:r>
        <w:rPr>
          <w:rFonts w:ascii="Times New Roman" w:eastAsia="Times New Roman" w:hAnsi="Times New Roman" w:cs="Times New Roman"/>
          <w:sz w:val="24"/>
          <w:szCs w:val="24"/>
          <w:highlight w:val="white"/>
        </w:rPr>
        <w:t xml:space="preserve">) is another important outcome where EHL therapies demonstrate an advantage over SHL therapies. In a study by Oldenburg et al. (2025a), the joint </w:t>
      </w:r>
      <w:r>
        <w:rPr>
          <w:rFonts w:ascii="Times New Roman" w:eastAsia="Times New Roman" w:hAnsi="Times New Roman" w:cs="Times New Roman"/>
          <w:sz w:val="24"/>
          <w:szCs w:val="24"/>
          <w:highlight w:val="white"/>
        </w:rPr>
        <w:t xml:space="preserve">bleeding rate decreased from 2.4 to 1.1 after the switch to </w:t>
      </w:r>
      <w:proofErr w:type="spellStart"/>
      <w:r>
        <w:rPr>
          <w:rFonts w:ascii="Times New Roman" w:eastAsia="Times New Roman" w:hAnsi="Times New Roman" w:cs="Times New Roman"/>
          <w:sz w:val="24"/>
          <w:szCs w:val="24"/>
          <w:highlight w:val="white"/>
        </w:rPr>
        <w:t>rFVIIIFc</w:t>
      </w:r>
      <w:proofErr w:type="spellEnd"/>
      <w:r>
        <w:rPr>
          <w:rFonts w:ascii="Times New Roman" w:eastAsia="Times New Roman" w:hAnsi="Times New Roman" w:cs="Times New Roman"/>
          <w:sz w:val="24"/>
          <w:szCs w:val="24"/>
          <w:highlight w:val="white"/>
        </w:rPr>
        <w:t>, reflecting improved joint health. This reduction is particularly significant as joint bleeds can lead to long-term joint damage and hemophilic arthropathy, which severely impacts patient</w:t>
      </w:r>
      <w:r>
        <w:rPr>
          <w:rFonts w:ascii="Times New Roman" w:eastAsia="Times New Roman" w:hAnsi="Times New Roman" w:cs="Times New Roman"/>
          <w:sz w:val="24"/>
          <w:szCs w:val="24"/>
          <w:highlight w:val="white"/>
        </w:rPr>
        <w:t xml:space="preserve">s' quality of life. A similar improvement was noted in Funding et al. (2023), where target joints—joints frequently affected by bleeding—were resolved in 83.3% of patients switching to </w:t>
      </w:r>
      <w:proofErr w:type="spellStart"/>
      <w:r>
        <w:rPr>
          <w:rFonts w:ascii="Times New Roman" w:eastAsia="Times New Roman" w:hAnsi="Times New Roman" w:cs="Times New Roman"/>
          <w:sz w:val="24"/>
          <w:szCs w:val="24"/>
          <w:highlight w:val="white"/>
        </w:rPr>
        <w:t>rFIXFc</w:t>
      </w:r>
      <w:proofErr w:type="spellEnd"/>
      <w:r>
        <w:rPr>
          <w:rFonts w:ascii="Times New Roman" w:eastAsia="Times New Roman" w:hAnsi="Times New Roman" w:cs="Times New Roman"/>
          <w:sz w:val="24"/>
          <w:szCs w:val="24"/>
          <w:highlight w:val="white"/>
        </w:rPr>
        <w:t>. Wu et al. (2025) also reported a decrease in joint bleeding epi</w:t>
      </w:r>
      <w:r>
        <w:rPr>
          <w:rFonts w:ascii="Times New Roman" w:eastAsia="Times New Roman" w:hAnsi="Times New Roman" w:cs="Times New Roman"/>
          <w:sz w:val="24"/>
          <w:szCs w:val="24"/>
          <w:highlight w:val="white"/>
        </w:rPr>
        <w:t>sodes with EHL prophylaxis as compared to SHL. These findings suggest that EHL therapies do not only reduce overall bleeding events but also contribute to better long-term joint health, a critical factor for patients with hemophilia who are at risk of debi</w:t>
      </w:r>
      <w:r>
        <w:rPr>
          <w:rFonts w:ascii="Times New Roman" w:eastAsia="Times New Roman" w:hAnsi="Times New Roman" w:cs="Times New Roman"/>
          <w:sz w:val="24"/>
          <w:szCs w:val="24"/>
          <w:highlight w:val="white"/>
        </w:rPr>
        <w:t xml:space="preserve">litating joint damage. The ability to control joint bleeds more effectively with EHL is thus an important consideration in therapy choice, especially for younger patients or those with existing joint damage.  </w:t>
      </w:r>
    </w:p>
    <w:p w:rsidR="00E46DF7" w:rsidRDefault="00597711">
      <w:pPr>
        <w:spacing w:before="240" w:after="240" w:line="360" w:lineRule="auto"/>
        <w:jc w:val="both"/>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Adherence and Patient Quality of Life: EHL vs.</w:t>
      </w:r>
      <w:r>
        <w:rPr>
          <w:rFonts w:ascii="Times New Roman" w:eastAsia="Times New Roman" w:hAnsi="Times New Roman" w:cs="Times New Roman"/>
          <w:b/>
          <w:bCs/>
          <w:sz w:val="26"/>
          <w:szCs w:val="26"/>
          <w:highlight w:val="white"/>
        </w:rPr>
        <w:t xml:space="preserve"> SHL</w:t>
      </w:r>
    </w:p>
    <w:p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The impact of EHL therapies on patient adherence is another significant theme. Studies report that the reduction in infusion frequency leads to improved treatment adherence and quality of life. </w:t>
      </w:r>
      <w:proofErr w:type="spellStart"/>
      <w:r>
        <w:rPr>
          <w:rFonts w:ascii="Times New Roman" w:eastAsia="Times New Roman" w:hAnsi="Times New Roman" w:cs="Times New Roman"/>
          <w:sz w:val="24"/>
          <w:szCs w:val="24"/>
          <w:highlight w:val="white"/>
        </w:rPr>
        <w:t>Goldmann</w:t>
      </w:r>
      <w:proofErr w:type="spellEnd"/>
      <w:r>
        <w:rPr>
          <w:rFonts w:ascii="Times New Roman" w:eastAsia="Times New Roman" w:hAnsi="Times New Roman" w:cs="Times New Roman"/>
          <w:sz w:val="24"/>
          <w:szCs w:val="24"/>
          <w:highlight w:val="white"/>
        </w:rPr>
        <w:t xml:space="preserve"> et al. (2021) found that the switch to </w:t>
      </w:r>
      <w:proofErr w:type="spellStart"/>
      <w:r>
        <w:rPr>
          <w:rFonts w:ascii="Times New Roman" w:eastAsia="Times New Roman" w:hAnsi="Times New Roman" w:cs="Times New Roman"/>
          <w:sz w:val="24"/>
          <w:szCs w:val="24"/>
          <w:highlight w:val="white"/>
        </w:rPr>
        <w:t>rFVIIIFc</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resulted in better treatment adherence, with patients more likely to stick to their prophylactic regimens due to the decreased burden of frequent infusions. Similarly, Wu et al. (2025) reported higher adherence rates following the switch to EHL (N8-GP), as</w:t>
      </w:r>
      <w:r>
        <w:rPr>
          <w:rFonts w:ascii="Times New Roman" w:eastAsia="Times New Roman" w:hAnsi="Times New Roman" w:cs="Times New Roman"/>
          <w:sz w:val="24"/>
          <w:szCs w:val="24"/>
          <w:highlight w:val="white"/>
        </w:rPr>
        <w:t xml:space="preserve"> it allowed for fewer infusions while maintaining effective bleeding control. These benefits align with findings from Ay et al. (2021), where patients on EHL reported improvements in quality of life as a result of the fewer infusions and better bleeding co</w:t>
      </w:r>
      <w:r>
        <w:rPr>
          <w:rFonts w:ascii="Times New Roman" w:eastAsia="Times New Roman" w:hAnsi="Times New Roman" w:cs="Times New Roman"/>
          <w:sz w:val="24"/>
          <w:szCs w:val="24"/>
          <w:highlight w:val="white"/>
        </w:rPr>
        <w:t>ntrol. Moreover, Funding et al. (2023) noted a reduction in the overall cost of treatment due to the decreased number of required infusions, further enhancing the attractiveness of EHL therapies from both a clinical and economic perspective. By improving p</w:t>
      </w:r>
      <w:r>
        <w:rPr>
          <w:rFonts w:ascii="Times New Roman" w:eastAsia="Times New Roman" w:hAnsi="Times New Roman" w:cs="Times New Roman"/>
          <w:sz w:val="24"/>
          <w:szCs w:val="24"/>
          <w:highlight w:val="white"/>
        </w:rPr>
        <w:t xml:space="preserve">atient adherence and reducing the psychological and physical burden of frequent infusions, EHL therapies contribute to a better overall treatment experience. </w:t>
      </w:r>
    </w:p>
    <w:p w:rsidR="00E46DF7" w:rsidRDefault="00597711">
      <w:pPr>
        <w:spacing w:before="240" w:after="240" w:line="360" w:lineRule="auto"/>
        <w:jc w:val="both"/>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Safety Profiles and Risk of Inhibitor Development in EHL vs. SHL Treatments</w:t>
      </w:r>
    </w:p>
    <w:p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 terms of safety, </w:t>
      </w:r>
      <w:r>
        <w:rPr>
          <w:rFonts w:ascii="Times New Roman" w:eastAsia="Times New Roman" w:hAnsi="Times New Roman" w:cs="Times New Roman"/>
          <w:sz w:val="24"/>
          <w:szCs w:val="24"/>
          <w:highlight w:val="white"/>
        </w:rPr>
        <w:t>all studies reported favorable safety profiles for EHL therapies, with no significant increase in adverse events compared to SHL therapies. Specifically, there were no reports of inhibitor development in patients who switched from SHL to EHL therapies. Thi</w:t>
      </w:r>
      <w:r>
        <w:rPr>
          <w:rFonts w:ascii="Times New Roman" w:eastAsia="Times New Roman" w:hAnsi="Times New Roman" w:cs="Times New Roman"/>
          <w:sz w:val="24"/>
          <w:szCs w:val="24"/>
          <w:highlight w:val="white"/>
        </w:rPr>
        <w:t>s suggests that the long-term use of EHL products does not carry an elevated risk of inhibitor formation, which is a major concern in hemophilia treatment.</w:t>
      </w:r>
    </w:p>
    <w:p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safety of EHL products is crucial, as inhibitors to clotting factors can complicate treatment, l</w:t>
      </w:r>
      <w:r>
        <w:rPr>
          <w:rFonts w:ascii="Times New Roman" w:eastAsia="Times New Roman" w:hAnsi="Times New Roman" w:cs="Times New Roman"/>
          <w:sz w:val="24"/>
          <w:szCs w:val="24"/>
          <w:highlight w:val="white"/>
        </w:rPr>
        <w:t>eading to resistance and the need for alternative therapies. The consistent safety outcomes reported across all studies strengthen the case for EHL therapies as a viable long-term treatment option for hemophilia patients.</w:t>
      </w:r>
    </w:p>
    <w:p w:rsidR="00E46DF7" w:rsidRDefault="00E46DF7">
      <w:pPr>
        <w:spacing w:before="240" w:after="240" w:line="360" w:lineRule="auto"/>
        <w:jc w:val="both"/>
        <w:rPr>
          <w:rFonts w:ascii="Times New Roman" w:eastAsia="Times New Roman" w:hAnsi="Times New Roman" w:cs="Times New Roman"/>
          <w:sz w:val="24"/>
          <w:szCs w:val="24"/>
          <w:highlight w:val="white"/>
        </w:rPr>
      </w:pPr>
    </w:p>
    <w:p w:rsidR="00E46DF7" w:rsidRDefault="00597711">
      <w:pPr>
        <w:spacing w:before="240" w:after="240" w:line="360" w:lineRule="auto"/>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Meta-analysis findings</w:t>
      </w:r>
    </w:p>
    <w:p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 the </w:t>
      </w:r>
      <w:r>
        <w:rPr>
          <w:rFonts w:ascii="Times New Roman" w:eastAsia="Times New Roman" w:hAnsi="Times New Roman" w:cs="Times New Roman"/>
          <w:sz w:val="24"/>
          <w:szCs w:val="24"/>
          <w:highlight w:val="white"/>
        </w:rPr>
        <w:t xml:space="preserve">quantitative synthesis of studies comparing extended half-life (EHL) and standard half-life (SHL) therapies in patients with hemophilia, the pooled standard mean difference (SMD) in </w:t>
      </w:r>
      <w:r>
        <w:rPr>
          <w:rFonts w:ascii="Times New Roman" w:eastAsia="Times New Roman" w:hAnsi="Times New Roman" w:cs="Times New Roman"/>
          <w:sz w:val="24"/>
          <w:szCs w:val="24"/>
          <w:highlight w:val="white"/>
        </w:rPr>
        <w:lastRenderedPageBreak/>
        <w:t>annualized bleeding rate (ABR) was -0.37 (95% CI: -0.69, -0.05), indicatin</w:t>
      </w:r>
      <w:r>
        <w:rPr>
          <w:rFonts w:ascii="Times New Roman" w:eastAsia="Times New Roman" w:hAnsi="Times New Roman" w:cs="Times New Roman"/>
          <w:sz w:val="24"/>
          <w:szCs w:val="24"/>
          <w:highlight w:val="white"/>
        </w:rPr>
        <w:t>g a reduction in bleeding episodes among individuals treated with EHL compared to SHL. The overall effect was statistically significant (Z = 2.24, P = 0.02). However, considerable heterogeneity was observed across the studies (Chi² = 12.00, df = 5, P = 0.0</w:t>
      </w:r>
      <w:r>
        <w:rPr>
          <w:rFonts w:ascii="Times New Roman" w:eastAsia="Times New Roman" w:hAnsi="Times New Roman" w:cs="Times New Roman"/>
          <w:sz w:val="24"/>
          <w:szCs w:val="24"/>
          <w:highlight w:val="white"/>
        </w:rPr>
        <w:t>3; I² = 58%), suggesting variability in treatment effects likely due to differences in study design and patient characteristics. Despite this, the consistent direction of the effect across studies strengthens the robustness of the pooled estimate. The fore</w:t>
      </w:r>
      <w:r>
        <w:rPr>
          <w:rFonts w:ascii="Times New Roman" w:eastAsia="Times New Roman" w:hAnsi="Times New Roman" w:cs="Times New Roman"/>
          <w:sz w:val="24"/>
          <w:szCs w:val="24"/>
          <w:highlight w:val="white"/>
        </w:rPr>
        <w:t>st plot summarizing individual study results and the pooled effect is presented in Figure 2.</w:t>
      </w:r>
    </w:p>
    <w:p w:rsidR="00E46DF7" w:rsidRDefault="00597711">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extent cx="5943600" cy="146050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943600" cy="1460500"/>
                    </a:xfrm>
                    <a:prstGeom prst="rect">
                      <a:avLst/>
                    </a:prstGeom>
                    <a:ln/>
                  </pic:spPr>
                </pic:pic>
              </a:graphicData>
            </a:graphic>
          </wp:inline>
        </w:drawing>
      </w:r>
      <w:r>
        <w:rPr>
          <w:rFonts w:ascii="Times New Roman" w:eastAsia="Times New Roman" w:hAnsi="Times New Roman" w:cs="Times New Roman"/>
          <w:b/>
          <w:bCs/>
          <w:sz w:val="24"/>
          <w:szCs w:val="24"/>
          <w:highlight w:val="white"/>
        </w:rPr>
        <w:t xml:space="preserve">Figure 2: Forest plot of the comparison between EHL and SHL therapies, showing the effect sizes (SMD) for ABR </w:t>
      </w:r>
    </w:p>
    <w:p w:rsidR="00E46DF7" w:rsidRDefault="00597711">
      <w:pPr>
        <w:spacing w:before="240" w:after="240" w:line="360" w:lineRule="auto"/>
        <w:jc w:val="both"/>
        <w:rPr>
          <w:rFonts w:ascii="Times New Roman" w:eastAsia="Times New Roman" w:hAnsi="Times New Roman" w:cs="Times New Roman"/>
          <w:b/>
          <w:bCs/>
          <w:i/>
          <w:iCs/>
          <w:sz w:val="16"/>
          <w:szCs w:val="16"/>
          <w:highlight w:val="white"/>
        </w:rPr>
      </w:pPr>
      <w:r>
        <w:rPr>
          <w:rFonts w:ascii="Times New Roman" w:eastAsia="Times New Roman" w:hAnsi="Times New Roman" w:cs="Times New Roman"/>
          <w:b/>
          <w:bCs/>
          <w:i/>
          <w:iCs/>
          <w:sz w:val="16"/>
          <w:szCs w:val="16"/>
          <w:highlight w:val="white"/>
        </w:rPr>
        <w:t>[Data source: Ay et al. (2021), Wu et al. (2025), O</w:t>
      </w:r>
      <w:r>
        <w:rPr>
          <w:rFonts w:ascii="Times New Roman" w:eastAsia="Times New Roman" w:hAnsi="Times New Roman" w:cs="Times New Roman"/>
          <w:b/>
          <w:bCs/>
          <w:i/>
          <w:iCs/>
          <w:sz w:val="16"/>
          <w:szCs w:val="16"/>
          <w:highlight w:val="white"/>
        </w:rPr>
        <w:t xml:space="preserve">ldenburg et al. (2025a), </w:t>
      </w:r>
      <w:proofErr w:type="spellStart"/>
      <w:r>
        <w:rPr>
          <w:rFonts w:ascii="Times New Roman" w:eastAsia="Times New Roman" w:hAnsi="Times New Roman" w:cs="Times New Roman"/>
          <w:b/>
          <w:bCs/>
          <w:i/>
          <w:iCs/>
          <w:sz w:val="16"/>
          <w:szCs w:val="16"/>
          <w:highlight w:val="white"/>
        </w:rPr>
        <w:t>Goldmann</w:t>
      </w:r>
      <w:proofErr w:type="spellEnd"/>
      <w:r>
        <w:rPr>
          <w:rFonts w:ascii="Times New Roman" w:eastAsia="Times New Roman" w:hAnsi="Times New Roman" w:cs="Times New Roman"/>
          <w:b/>
          <w:bCs/>
          <w:i/>
          <w:iCs/>
          <w:sz w:val="16"/>
          <w:szCs w:val="16"/>
          <w:highlight w:val="white"/>
        </w:rPr>
        <w:t xml:space="preserve"> et al. (2021), Funding et al. (2023), Coppola et al. (2024)]</w:t>
      </w:r>
    </w:p>
    <w:p w:rsidR="00E46DF7" w:rsidRDefault="00E46DF7">
      <w:pPr>
        <w:spacing w:before="240" w:after="240" w:line="360" w:lineRule="auto"/>
        <w:jc w:val="both"/>
        <w:rPr>
          <w:rFonts w:ascii="Times New Roman" w:eastAsia="Times New Roman" w:hAnsi="Times New Roman" w:cs="Times New Roman"/>
          <w:b/>
          <w:bCs/>
          <w:i/>
          <w:iCs/>
          <w:sz w:val="20"/>
          <w:szCs w:val="20"/>
          <w:highlight w:val="white"/>
        </w:rPr>
      </w:pPr>
    </w:p>
    <w:p w:rsidR="00E46DF7" w:rsidRDefault="00597711">
      <w:pPr>
        <w:spacing w:before="240" w:after="240" w:line="360" w:lineRule="auto"/>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Publication Bias</w:t>
      </w:r>
    </w:p>
    <w:p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Assessment of publication bias was conducted using a funnel plot of the studies included in the meta-analysis (Figure 3). The plot displayed se</w:t>
      </w:r>
      <w:r>
        <w:rPr>
          <w:rFonts w:ascii="Times New Roman" w:eastAsia="Times New Roman" w:hAnsi="Times New Roman" w:cs="Times New Roman"/>
          <w:sz w:val="24"/>
          <w:szCs w:val="24"/>
          <w:highlight w:val="white"/>
        </w:rPr>
        <w:t>veral points, each corresponding to an individual study. The distribution of these points appeared relatively symmetric around the pooled standard mean difference (SMD), suggesting no substantial publication bias.  Studies with larger sample sizes, represe</w:t>
      </w:r>
      <w:r>
        <w:rPr>
          <w:rFonts w:ascii="Times New Roman" w:eastAsia="Times New Roman" w:hAnsi="Times New Roman" w:cs="Times New Roman"/>
          <w:sz w:val="24"/>
          <w:szCs w:val="24"/>
          <w:highlight w:val="white"/>
        </w:rPr>
        <w:t>nted by smaller standard errors (SE), cluster near the center of the plot, while studies with smaller sample sizes are more spread out. This pattern indicates that the results of smaller studies are unlikely to systematically differ from larger ones. Howev</w:t>
      </w:r>
      <w:r>
        <w:rPr>
          <w:rFonts w:ascii="Times New Roman" w:eastAsia="Times New Roman" w:hAnsi="Times New Roman" w:cs="Times New Roman"/>
          <w:sz w:val="24"/>
          <w:szCs w:val="24"/>
          <w:highlight w:val="white"/>
        </w:rPr>
        <w:t xml:space="preserve">er, due to the moderate number of studies included, the visual symmetry should be interpreted with caution, as funnel plots are less powerful in detecting asymmetry with fewer than ten studies (Lau et al., 2006). Overall, </w:t>
      </w:r>
      <w:r>
        <w:rPr>
          <w:rFonts w:ascii="Times New Roman" w:eastAsia="Times New Roman" w:hAnsi="Times New Roman" w:cs="Times New Roman"/>
          <w:sz w:val="24"/>
          <w:szCs w:val="24"/>
          <w:highlight w:val="white"/>
        </w:rPr>
        <w:lastRenderedPageBreak/>
        <w:t>the funnel plot did not provide ev</w:t>
      </w:r>
      <w:r>
        <w:rPr>
          <w:rFonts w:ascii="Times New Roman" w:eastAsia="Times New Roman" w:hAnsi="Times New Roman" w:cs="Times New Roman"/>
          <w:sz w:val="24"/>
          <w:szCs w:val="24"/>
          <w:highlight w:val="white"/>
        </w:rPr>
        <w:t>idence of systematic bias that could substantially affect the validity of the pooled mean difference.</w:t>
      </w:r>
    </w:p>
    <w:p w:rsidR="00E46DF7" w:rsidRDefault="00597711">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extent cx="5715000" cy="38100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715000" cy="3810000"/>
                    </a:xfrm>
                    <a:prstGeom prst="rect">
                      <a:avLst/>
                    </a:prstGeom>
                    <a:ln/>
                  </pic:spPr>
                </pic:pic>
              </a:graphicData>
            </a:graphic>
          </wp:inline>
        </w:drawing>
      </w:r>
      <w:r>
        <w:rPr>
          <w:rFonts w:ascii="Times New Roman" w:eastAsia="Times New Roman" w:hAnsi="Times New Roman" w:cs="Times New Roman"/>
          <w:b/>
          <w:bCs/>
          <w:sz w:val="24"/>
          <w:szCs w:val="24"/>
          <w:highlight w:val="white"/>
        </w:rPr>
        <w:t>Figure 3: Funnel plot for assessing publication bias in the meta-analysis using effect sizes (SMD) for ABR</w:t>
      </w:r>
    </w:p>
    <w:p w:rsidR="00E46DF7" w:rsidRDefault="00597711">
      <w:pPr>
        <w:spacing w:before="240" w:after="240" w:line="360" w:lineRule="auto"/>
        <w:jc w:val="both"/>
        <w:rPr>
          <w:rFonts w:ascii="Times New Roman" w:eastAsia="Times New Roman" w:hAnsi="Times New Roman" w:cs="Times New Roman"/>
          <w:b/>
          <w:bCs/>
          <w:sz w:val="16"/>
          <w:szCs w:val="16"/>
          <w:highlight w:val="white"/>
        </w:rPr>
      </w:pPr>
      <w:r>
        <w:rPr>
          <w:rFonts w:ascii="Times New Roman" w:eastAsia="Times New Roman" w:hAnsi="Times New Roman" w:cs="Times New Roman"/>
          <w:b/>
          <w:bCs/>
          <w:i/>
          <w:iCs/>
          <w:sz w:val="16"/>
          <w:szCs w:val="16"/>
          <w:highlight w:val="white"/>
        </w:rPr>
        <w:t>[Data source: Ay et al. (2021) [14], Wu et al.</w:t>
      </w:r>
      <w:r>
        <w:rPr>
          <w:rFonts w:ascii="Times New Roman" w:eastAsia="Times New Roman" w:hAnsi="Times New Roman" w:cs="Times New Roman"/>
          <w:b/>
          <w:bCs/>
          <w:i/>
          <w:iCs/>
          <w:sz w:val="16"/>
          <w:szCs w:val="16"/>
          <w:highlight w:val="white"/>
        </w:rPr>
        <w:t xml:space="preserve"> (2025) [15], Oldenburg et al. (2025) [16], </w:t>
      </w:r>
      <w:proofErr w:type="spellStart"/>
      <w:r>
        <w:rPr>
          <w:rFonts w:ascii="Times New Roman" w:eastAsia="Times New Roman" w:hAnsi="Times New Roman" w:cs="Times New Roman"/>
          <w:b/>
          <w:bCs/>
          <w:i/>
          <w:iCs/>
          <w:sz w:val="16"/>
          <w:szCs w:val="16"/>
          <w:highlight w:val="white"/>
        </w:rPr>
        <w:t>Goldmann</w:t>
      </w:r>
      <w:proofErr w:type="spellEnd"/>
      <w:r>
        <w:rPr>
          <w:rFonts w:ascii="Times New Roman" w:eastAsia="Times New Roman" w:hAnsi="Times New Roman" w:cs="Times New Roman"/>
          <w:b/>
          <w:bCs/>
          <w:i/>
          <w:iCs/>
          <w:sz w:val="16"/>
          <w:szCs w:val="16"/>
          <w:highlight w:val="white"/>
        </w:rPr>
        <w:t xml:space="preserve"> et al. (2021) [17], Funding et al. (2023) [19], Coppola et al. (2024) [18]]</w:t>
      </w:r>
    </w:p>
    <w:p w:rsidR="00E46DF7" w:rsidRDefault="00E46DF7">
      <w:pPr>
        <w:spacing w:before="240" w:after="240" w:line="360" w:lineRule="auto"/>
        <w:jc w:val="both"/>
        <w:rPr>
          <w:rFonts w:ascii="Times New Roman" w:eastAsia="Times New Roman" w:hAnsi="Times New Roman" w:cs="Times New Roman"/>
          <w:b/>
          <w:bCs/>
          <w:i/>
          <w:iCs/>
          <w:sz w:val="24"/>
          <w:szCs w:val="24"/>
          <w:highlight w:val="white"/>
        </w:rPr>
      </w:pPr>
    </w:p>
    <w:p w:rsidR="00E46DF7" w:rsidRDefault="00597711">
      <w:pPr>
        <w:spacing w:before="240" w:after="240" w:line="360" w:lineRule="auto"/>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Discussion</w:t>
      </w:r>
    </w:p>
    <w:p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findings of this review point toward a pattern in which extended half-life (EHL) factor replacement therapies t</w:t>
      </w:r>
      <w:r>
        <w:rPr>
          <w:rFonts w:ascii="Times New Roman" w:eastAsia="Times New Roman" w:hAnsi="Times New Roman" w:cs="Times New Roman"/>
          <w:sz w:val="24"/>
          <w:szCs w:val="24"/>
          <w:highlight w:val="white"/>
        </w:rPr>
        <w:t>end to be associated with lower annualized bleeding rates (ABR) and a reduced treatment burden compared to standard half-life (SHL) therapies, as suggested by a pooled standard mean difference of –0.37 (95% CI: –0.69, –0.05) in our meta‑analysis.  The find</w:t>
      </w:r>
      <w:r>
        <w:rPr>
          <w:rFonts w:ascii="Times New Roman" w:eastAsia="Times New Roman" w:hAnsi="Times New Roman" w:cs="Times New Roman"/>
          <w:sz w:val="24"/>
          <w:szCs w:val="24"/>
          <w:highlight w:val="white"/>
        </w:rPr>
        <w:t xml:space="preserve">ings of this study are consistent with literature supporting the clinical benefits of EHL products in hemophilia management, particularly in terms of reducing bleeding events and minimizing the </w:t>
      </w:r>
      <w:r>
        <w:rPr>
          <w:rFonts w:ascii="Times New Roman" w:eastAsia="Times New Roman" w:hAnsi="Times New Roman" w:cs="Times New Roman"/>
          <w:sz w:val="24"/>
          <w:szCs w:val="24"/>
          <w:highlight w:val="white"/>
        </w:rPr>
        <w:lastRenderedPageBreak/>
        <w:t>treatment burden on patients (</w:t>
      </w:r>
      <w:proofErr w:type="spellStart"/>
      <w:r>
        <w:rPr>
          <w:rFonts w:ascii="Times New Roman" w:eastAsia="Times New Roman" w:hAnsi="Times New Roman" w:cs="Times New Roman"/>
          <w:sz w:val="24"/>
          <w:szCs w:val="24"/>
          <w:highlight w:val="white"/>
        </w:rPr>
        <w:t>Abdelgawad</w:t>
      </w:r>
      <w:proofErr w:type="spellEnd"/>
      <w:r>
        <w:rPr>
          <w:rFonts w:ascii="Times New Roman" w:eastAsia="Times New Roman" w:hAnsi="Times New Roman" w:cs="Times New Roman"/>
          <w:sz w:val="24"/>
          <w:szCs w:val="24"/>
          <w:highlight w:val="white"/>
        </w:rPr>
        <w:t xml:space="preserve"> et al., 2024; </w:t>
      </w:r>
      <w:proofErr w:type="spellStart"/>
      <w:r>
        <w:rPr>
          <w:rFonts w:ascii="Times New Roman" w:eastAsia="Times New Roman" w:hAnsi="Times New Roman" w:cs="Times New Roman"/>
          <w:sz w:val="24"/>
          <w:szCs w:val="24"/>
          <w:highlight w:val="white"/>
        </w:rPr>
        <w:t>Klamrot</w:t>
      </w:r>
      <w:r>
        <w:rPr>
          <w:rFonts w:ascii="Times New Roman" w:eastAsia="Times New Roman" w:hAnsi="Times New Roman" w:cs="Times New Roman"/>
          <w:sz w:val="24"/>
          <w:szCs w:val="24"/>
          <w:highlight w:val="white"/>
        </w:rPr>
        <w:t>h</w:t>
      </w:r>
      <w:proofErr w:type="spellEnd"/>
      <w:r>
        <w:rPr>
          <w:rFonts w:ascii="Times New Roman" w:eastAsia="Times New Roman" w:hAnsi="Times New Roman" w:cs="Times New Roman"/>
          <w:sz w:val="24"/>
          <w:szCs w:val="24"/>
          <w:highlight w:val="white"/>
        </w:rPr>
        <w:t xml:space="preserve"> et al., 2025). Notably, the lower annualized joint bleeding rates (AJBR) observed with EHL therapies is crucial, as joint damage from recurrent bleeding remains a leading cause of long-term disability in </w:t>
      </w:r>
      <w:proofErr w:type="spellStart"/>
      <w:r>
        <w:rPr>
          <w:rFonts w:ascii="Times New Roman" w:eastAsia="Times New Roman" w:hAnsi="Times New Roman" w:cs="Times New Roman"/>
          <w:sz w:val="24"/>
          <w:szCs w:val="24"/>
          <w:highlight w:val="white"/>
        </w:rPr>
        <w:t>haemophilia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Boccalandro</w:t>
      </w:r>
      <w:proofErr w:type="spellEnd"/>
      <w:r>
        <w:rPr>
          <w:rFonts w:ascii="Times New Roman" w:eastAsia="Times New Roman" w:hAnsi="Times New Roman" w:cs="Times New Roman"/>
          <w:sz w:val="24"/>
          <w:szCs w:val="24"/>
          <w:highlight w:val="white"/>
        </w:rPr>
        <w:t xml:space="preserve"> et al., 2023; Chiari et a</w:t>
      </w:r>
      <w:r>
        <w:rPr>
          <w:rFonts w:ascii="Times New Roman" w:eastAsia="Times New Roman" w:hAnsi="Times New Roman" w:cs="Times New Roman"/>
          <w:sz w:val="24"/>
          <w:szCs w:val="24"/>
          <w:highlight w:val="white"/>
        </w:rPr>
        <w:t xml:space="preserve">l., 2024; Gooding et al., 2021). This reinforces the argument for incorporating EHL therapies as a standard of care for individuals with severe </w:t>
      </w:r>
      <w:proofErr w:type="spellStart"/>
      <w:r>
        <w:rPr>
          <w:rFonts w:ascii="Times New Roman" w:eastAsia="Times New Roman" w:hAnsi="Times New Roman" w:cs="Times New Roman"/>
          <w:sz w:val="24"/>
          <w:szCs w:val="24"/>
          <w:highlight w:val="white"/>
        </w:rPr>
        <w:t>haemophilia</w:t>
      </w:r>
      <w:proofErr w:type="spellEnd"/>
      <w:r>
        <w:rPr>
          <w:rFonts w:ascii="Times New Roman" w:eastAsia="Times New Roman" w:hAnsi="Times New Roman" w:cs="Times New Roman"/>
          <w:sz w:val="24"/>
          <w:szCs w:val="24"/>
          <w:highlight w:val="white"/>
        </w:rPr>
        <w:t xml:space="preserve">. </w:t>
      </w:r>
    </w:p>
    <w:p w:rsidR="00E46DF7" w:rsidRDefault="00597711">
      <w:pPr>
        <w:spacing w:before="240" w:after="240"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Abdelgawad</w:t>
      </w:r>
      <w:proofErr w:type="spellEnd"/>
      <w:r>
        <w:rPr>
          <w:rFonts w:ascii="Times New Roman" w:eastAsia="Times New Roman" w:hAnsi="Times New Roman" w:cs="Times New Roman"/>
          <w:sz w:val="24"/>
          <w:szCs w:val="24"/>
          <w:highlight w:val="white"/>
        </w:rPr>
        <w:t xml:space="preserve"> et al. (2024) noted that novel EHL factor VIII products were associated with lower medi</w:t>
      </w:r>
      <w:r>
        <w:rPr>
          <w:rFonts w:ascii="Times New Roman" w:eastAsia="Times New Roman" w:hAnsi="Times New Roman" w:cs="Times New Roman"/>
          <w:sz w:val="24"/>
          <w:szCs w:val="24"/>
          <w:highlight w:val="white"/>
        </w:rPr>
        <w:t>an ABRs and fewer required infusions compared to older therapies, although the authors highlighted the need for more controlled evidence to confirm these benefits unequivocally.</w:t>
      </w:r>
      <w:hyperlink r:id="rId13">
        <w:r w:rsidR="00E46DF7">
          <w:rPr>
            <w:rFonts w:ascii="Times New Roman" w:eastAsia="Times New Roman" w:hAnsi="Times New Roman" w:cs="Times New Roman"/>
            <w:sz w:val="24"/>
            <w:szCs w:val="24"/>
            <w:highlight w:val="white"/>
          </w:rPr>
          <w:t xml:space="preserve"> </w:t>
        </w:r>
      </w:hyperlink>
      <w:r>
        <w:rPr>
          <w:rFonts w:ascii="Times New Roman" w:eastAsia="Times New Roman" w:hAnsi="Times New Roman" w:cs="Times New Roman"/>
          <w:sz w:val="24"/>
          <w:szCs w:val="24"/>
          <w:highlight w:val="white"/>
        </w:rPr>
        <w:t xml:space="preserve">A recent meta‑analysis comparing </w:t>
      </w:r>
      <w:proofErr w:type="spellStart"/>
      <w:r>
        <w:rPr>
          <w:rFonts w:ascii="Times New Roman" w:eastAsia="Times New Roman" w:hAnsi="Times New Roman" w:cs="Times New Roman"/>
          <w:sz w:val="24"/>
          <w:szCs w:val="24"/>
          <w:highlight w:val="white"/>
        </w:rPr>
        <w:t>efanesoctocog</w:t>
      </w:r>
      <w:proofErr w:type="spellEnd"/>
      <w:r>
        <w:rPr>
          <w:rFonts w:ascii="Times New Roman" w:eastAsia="Times New Roman" w:hAnsi="Times New Roman" w:cs="Times New Roman"/>
          <w:sz w:val="24"/>
          <w:szCs w:val="24"/>
          <w:highlight w:val="white"/>
        </w:rPr>
        <w:t xml:space="preserve"> alfa with both SHL and EHL products suggested lower bleed rates with extended dosing intervals, but also underscored variability in study populations and designs across the lite</w:t>
      </w:r>
      <w:r>
        <w:rPr>
          <w:rFonts w:ascii="Times New Roman" w:eastAsia="Times New Roman" w:hAnsi="Times New Roman" w:cs="Times New Roman"/>
          <w:sz w:val="24"/>
          <w:szCs w:val="24"/>
          <w:highlight w:val="white"/>
        </w:rPr>
        <w:t>rature (</w:t>
      </w:r>
      <w:proofErr w:type="spellStart"/>
      <w:r>
        <w:rPr>
          <w:rFonts w:ascii="Times New Roman" w:eastAsia="Times New Roman" w:hAnsi="Times New Roman" w:cs="Times New Roman"/>
          <w:sz w:val="24"/>
          <w:szCs w:val="24"/>
          <w:highlight w:val="white"/>
        </w:rPr>
        <w:t>Klamroth</w:t>
      </w:r>
      <w:proofErr w:type="spellEnd"/>
      <w:r>
        <w:rPr>
          <w:rFonts w:ascii="Times New Roman" w:eastAsia="Times New Roman" w:hAnsi="Times New Roman" w:cs="Times New Roman"/>
          <w:sz w:val="24"/>
          <w:szCs w:val="24"/>
          <w:highlight w:val="white"/>
        </w:rPr>
        <w:t xml:space="preserve"> et al., 2025). Other real‑world observational studies and retrospective studies similarly point toward improved bleed control and extended dosing potential with EHL products in everyday practice, while noting challenges in direct comparabi</w:t>
      </w:r>
      <w:r>
        <w:rPr>
          <w:rFonts w:ascii="Times New Roman" w:eastAsia="Times New Roman" w:hAnsi="Times New Roman" w:cs="Times New Roman"/>
          <w:sz w:val="24"/>
          <w:szCs w:val="24"/>
          <w:highlight w:val="white"/>
        </w:rPr>
        <w:t xml:space="preserve">lity with SHL regimes (Sun et al., 2021; </w:t>
      </w:r>
      <w:proofErr w:type="spellStart"/>
      <w:r>
        <w:rPr>
          <w:rFonts w:ascii="Times New Roman" w:eastAsia="Times New Roman" w:hAnsi="Times New Roman" w:cs="Times New Roman"/>
          <w:sz w:val="24"/>
          <w:szCs w:val="24"/>
          <w:highlight w:val="white"/>
        </w:rPr>
        <w:t>Zanon</w:t>
      </w:r>
      <w:proofErr w:type="spellEnd"/>
      <w:r>
        <w:rPr>
          <w:rFonts w:ascii="Times New Roman" w:eastAsia="Times New Roman" w:hAnsi="Times New Roman" w:cs="Times New Roman"/>
          <w:sz w:val="24"/>
          <w:szCs w:val="24"/>
          <w:highlight w:val="white"/>
        </w:rPr>
        <w:t xml:space="preserve"> et al., 2025; Oldenburg et al., 2025b).</w:t>
      </w:r>
    </w:p>
    <w:p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From a public health perspective, the findings are significant, given the high global burden of hemophilia and the potential for improving patient outcomes through more </w:t>
      </w:r>
      <w:r>
        <w:rPr>
          <w:rFonts w:ascii="Times New Roman" w:eastAsia="Times New Roman" w:hAnsi="Times New Roman" w:cs="Times New Roman"/>
          <w:sz w:val="24"/>
          <w:szCs w:val="24"/>
          <w:highlight w:val="white"/>
        </w:rPr>
        <w:t xml:space="preserve">efficient treatment strategies (El-Sayed &amp; </w:t>
      </w:r>
      <w:proofErr w:type="spellStart"/>
      <w:r>
        <w:rPr>
          <w:rFonts w:ascii="Times New Roman" w:eastAsia="Times New Roman" w:hAnsi="Times New Roman" w:cs="Times New Roman"/>
          <w:sz w:val="24"/>
          <w:szCs w:val="24"/>
          <w:highlight w:val="white"/>
        </w:rPr>
        <w:t>Bolous</w:t>
      </w:r>
      <w:proofErr w:type="spellEnd"/>
      <w:r>
        <w:rPr>
          <w:rFonts w:ascii="Times New Roman" w:eastAsia="Times New Roman" w:hAnsi="Times New Roman" w:cs="Times New Roman"/>
          <w:sz w:val="24"/>
          <w:szCs w:val="24"/>
          <w:highlight w:val="white"/>
        </w:rPr>
        <w:t>, 2025; Jiménez-</w:t>
      </w:r>
      <w:proofErr w:type="spellStart"/>
      <w:r>
        <w:rPr>
          <w:rFonts w:ascii="Times New Roman" w:eastAsia="Times New Roman" w:hAnsi="Times New Roman" w:cs="Times New Roman"/>
          <w:sz w:val="24"/>
          <w:szCs w:val="24"/>
          <w:highlight w:val="white"/>
        </w:rPr>
        <w:t>Yuste</w:t>
      </w:r>
      <w:proofErr w:type="spellEnd"/>
      <w:r>
        <w:rPr>
          <w:rFonts w:ascii="Times New Roman" w:eastAsia="Times New Roman" w:hAnsi="Times New Roman" w:cs="Times New Roman"/>
          <w:sz w:val="24"/>
          <w:szCs w:val="24"/>
          <w:highlight w:val="white"/>
        </w:rPr>
        <w:t xml:space="preserve"> et al., 2024). Access to EHL therapies, however, remains a challenge in low-resource settings, where SHL treatments are still more widely used due to cost constraints. As such, policy a</w:t>
      </w:r>
      <w:r>
        <w:rPr>
          <w:rFonts w:ascii="Times New Roman" w:eastAsia="Times New Roman" w:hAnsi="Times New Roman" w:cs="Times New Roman"/>
          <w:sz w:val="24"/>
          <w:szCs w:val="24"/>
          <w:highlight w:val="white"/>
        </w:rPr>
        <w:t xml:space="preserve">dvocacy and global health interventions are needed to address these disparities, ensuring that EHL therapies are available to those who could benefit most, especially in settings where regular infusions are less feasible (Berger et al., 2025). </w:t>
      </w:r>
    </w:p>
    <w:p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While the s</w:t>
      </w:r>
      <w:r>
        <w:rPr>
          <w:rFonts w:ascii="Times New Roman" w:eastAsia="Times New Roman" w:hAnsi="Times New Roman" w:cs="Times New Roman"/>
          <w:sz w:val="24"/>
          <w:szCs w:val="24"/>
          <w:highlight w:val="white"/>
        </w:rPr>
        <w:t xml:space="preserve">trengths of this study lie in its comprehensive synthesis of the latest research, there are limitations. All studies reviewed carried a serious risk of confounding, and two exhibited serious </w:t>
      </w:r>
      <w:proofErr w:type="gramStart"/>
      <w:r>
        <w:rPr>
          <w:rFonts w:ascii="Times New Roman" w:eastAsia="Times New Roman" w:hAnsi="Times New Roman" w:cs="Times New Roman"/>
          <w:sz w:val="24"/>
          <w:szCs w:val="24"/>
          <w:highlight w:val="white"/>
        </w:rPr>
        <w:t>participant</w:t>
      </w:r>
      <w:proofErr w:type="gramEnd"/>
      <w:r>
        <w:rPr>
          <w:rFonts w:ascii="Times New Roman" w:eastAsia="Times New Roman" w:hAnsi="Times New Roman" w:cs="Times New Roman"/>
          <w:sz w:val="24"/>
          <w:szCs w:val="24"/>
          <w:highlight w:val="white"/>
        </w:rPr>
        <w:t>‑selection bias, which can distort the representativen</w:t>
      </w:r>
      <w:r>
        <w:rPr>
          <w:rFonts w:ascii="Times New Roman" w:eastAsia="Times New Roman" w:hAnsi="Times New Roman" w:cs="Times New Roman"/>
          <w:sz w:val="24"/>
          <w:szCs w:val="24"/>
          <w:highlight w:val="white"/>
        </w:rPr>
        <w:t>ess of outcomes and limit generalizability. These biases may particularly affect comparisons of ABR and infusion frequency, since baseline characteristics such as prior bleed history and concurrent interventions can influence both treatment choice and outc</w:t>
      </w:r>
      <w:r>
        <w:rPr>
          <w:rFonts w:ascii="Times New Roman" w:eastAsia="Times New Roman" w:hAnsi="Times New Roman" w:cs="Times New Roman"/>
          <w:sz w:val="24"/>
          <w:szCs w:val="24"/>
          <w:highlight w:val="white"/>
        </w:rPr>
        <w:t xml:space="preserve">omes. Additionally, the moderate between‑study heterogeneity (I² = 58%) reflects variability in study designs, patient populations, and measurement practices that </w:t>
      </w:r>
      <w:r>
        <w:rPr>
          <w:rFonts w:ascii="Times New Roman" w:eastAsia="Times New Roman" w:hAnsi="Times New Roman" w:cs="Times New Roman"/>
          <w:sz w:val="24"/>
          <w:szCs w:val="24"/>
          <w:highlight w:val="white"/>
        </w:rPr>
        <w:lastRenderedPageBreak/>
        <w:t>challenge interpretation. Heterogeneity in outcome definitions, dosing protocols, and follow‑</w:t>
      </w:r>
      <w:r>
        <w:rPr>
          <w:rFonts w:ascii="Times New Roman" w:eastAsia="Times New Roman" w:hAnsi="Times New Roman" w:cs="Times New Roman"/>
          <w:sz w:val="24"/>
          <w:szCs w:val="24"/>
          <w:highlight w:val="white"/>
        </w:rPr>
        <w:t>up durations further complicates attempts to draw firm conclusions. The non‑randomized nature of included evidence also means that unmeasured confounding cannot be excluded as an explanation for observed differences between EHL and SHL groups.</w:t>
      </w:r>
    </w:p>
    <w:p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sum, whil</w:t>
      </w:r>
      <w:r>
        <w:rPr>
          <w:rFonts w:ascii="Times New Roman" w:eastAsia="Times New Roman" w:hAnsi="Times New Roman" w:cs="Times New Roman"/>
          <w:sz w:val="24"/>
          <w:szCs w:val="24"/>
          <w:highlight w:val="white"/>
        </w:rPr>
        <w:t>e this review suggests that EHL therapies may be associated with favorable outcomes in bleed control and treatment burden compared to SHL products, these associations are best understood as indicative trends rather than conclusive evidence. Continued resea</w:t>
      </w:r>
      <w:r>
        <w:rPr>
          <w:rFonts w:ascii="Times New Roman" w:eastAsia="Times New Roman" w:hAnsi="Times New Roman" w:cs="Times New Roman"/>
          <w:sz w:val="24"/>
          <w:szCs w:val="24"/>
          <w:highlight w:val="white"/>
        </w:rPr>
        <w:t>rch—including pragmatic trials, larger longitudinal cohort studies, and data synthesized through rigorous comparative frameworks—will be essential to more precisely characterize the relative benefits and limitations of these therapies. Such evidence will b</w:t>
      </w:r>
      <w:r>
        <w:rPr>
          <w:rFonts w:ascii="Times New Roman" w:eastAsia="Times New Roman" w:hAnsi="Times New Roman" w:cs="Times New Roman"/>
          <w:sz w:val="24"/>
          <w:szCs w:val="24"/>
          <w:highlight w:val="white"/>
        </w:rPr>
        <w:t>e critical not only for clinicians tailoring individual patient regimens, but also for policymakers and public health planners striving to optimize hemophilia care delivery worldwide.</w:t>
      </w:r>
    </w:p>
    <w:p w:rsidR="00E46DF7" w:rsidRDefault="00E46DF7">
      <w:pPr>
        <w:spacing w:before="240" w:after="240" w:line="360" w:lineRule="auto"/>
        <w:jc w:val="both"/>
        <w:rPr>
          <w:rFonts w:ascii="Times New Roman" w:eastAsia="Times New Roman" w:hAnsi="Times New Roman" w:cs="Times New Roman"/>
          <w:sz w:val="24"/>
          <w:szCs w:val="24"/>
          <w:highlight w:val="white"/>
        </w:rPr>
      </w:pPr>
    </w:p>
    <w:p w:rsidR="00E46DF7" w:rsidRDefault="00597711">
      <w:pPr>
        <w:spacing w:before="240" w:after="240" w:line="360" w:lineRule="auto"/>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Conclusion</w:t>
      </w:r>
    </w:p>
    <w:p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findings of this study suggest that extended half-life (</w:t>
      </w:r>
      <w:r>
        <w:rPr>
          <w:rFonts w:ascii="Times New Roman" w:eastAsia="Times New Roman" w:hAnsi="Times New Roman" w:cs="Times New Roman"/>
          <w:sz w:val="24"/>
          <w:szCs w:val="24"/>
          <w:highlight w:val="white"/>
        </w:rPr>
        <w:t>EHL) therapies are associated with a reduction in bleeding episodes and treatment burden compared to standard half-life (SHL) therapies in patients with hemophilia. The findings point to improved annualized bleeding rates (ABR), fewer infusions, and better</w:t>
      </w:r>
      <w:r>
        <w:rPr>
          <w:rFonts w:ascii="Times New Roman" w:eastAsia="Times New Roman" w:hAnsi="Times New Roman" w:cs="Times New Roman"/>
          <w:sz w:val="24"/>
          <w:szCs w:val="24"/>
          <w:highlight w:val="white"/>
        </w:rPr>
        <w:t xml:space="preserve"> joint health outcomes with EHL products, although the evidence is limited by substantial heterogeneity and significant risks of bias, particularly confounding and selection bias. Given the suggestive nature of the results, further robust, randomized studi</w:t>
      </w:r>
      <w:r>
        <w:rPr>
          <w:rFonts w:ascii="Times New Roman" w:eastAsia="Times New Roman" w:hAnsi="Times New Roman" w:cs="Times New Roman"/>
          <w:sz w:val="24"/>
          <w:szCs w:val="24"/>
          <w:highlight w:val="white"/>
        </w:rPr>
        <w:t>es are needed to confirm these trends. Policymakers should consider facilitating access to EHL therapies, especially in low-resource settings, to enhance global hemophilia care.</w:t>
      </w:r>
    </w:p>
    <w:p w:rsidR="00E46DF7" w:rsidRDefault="00E46DF7">
      <w:pPr>
        <w:spacing w:before="240" w:after="240" w:line="360" w:lineRule="auto"/>
        <w:jc w:val="both"/>
        <w:rPr>
          <w:rFonts w:ascii="Times New Roman" w:eastAsia="Times New Roman" w:hAnsi="Times New Roman" w:cs="Times New Roman"/>
          <w:sz w:val="24"/>
          <w:szCs w:val="24"/>
          <w:highlight w:val="white"/>
        </w:rPr>
      </w:pPr>
    </w:p>
    <w:p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Competing Interests:</w:t>
      </w:r>
      <w:r>
        <w:rPr>
          <w:rFonts w:ascii="Times New Roman" w:eastAsia="Times New Roman" w:hAnsi="Times New Roman" w:cs="Times New Roman"/>
          <w:sz w:val="24"/>
          <w:szCs w:val="24"/>
          <w:highlight w:val="white"/>
        </w:rPr>
        <w:t xml:space="preserve"> All the authors declare that they have no conflict of in</w:t>
      </w:r>
      <w:r>
        <w:rPr>
          <w:rFonts w:ascii="Times New Roman" w:eastAsia="Times New Roman" w:hAnsi="Times New Roman" w:cs="Times New Roman"/>
          <w:sz w:val="24"/>
          <w:szCs w:val="24"/>
          <w:highlight w:val="white"/>
        </w:rPr>
        <w:t>terest.</w:t>
      </w:r>
    </w:p>
    <w:p w:rsidR="00E46DF7" w:rsidRDefault="00597711">
      <w:pPr>
        <w:shd w:val="clear" w:color="auto" w:fill="FCFCFC"/>
        <w:spacing w:before="240" w:after="10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Ethics approval and consent to participate:</w:t>
      </w:r>
      <w:r>
        <w:rPr>
          <w:rFonts w:ascii="Times New Roman" w:eastAsia="Times New Roman" w:hAnsi="Times New Roman" w:cs="Times New Roman"/>
          <w:sz w:val="24"/>
          <w:szCs w:val="24"/>
          <w:highlight w:val="white"/>
        </w:rPr>
        <w:t xml:space="preserve"> Not applicable, study follows the PRISMA guidelines and meta-analyses.</w:t>
      </w:r>
    </w:p>
    <w:p w:rsidR="00E46DF7" w:rsidRDefault="00597711">
      <w:pPr>
        <w:shd w:val="clear" w:color="auto" w:fill="FCFCFC"/>
        <w:spacing w:before="240" w:after="10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lastRenderedPageBreak/>
        <w:t xml:space="preserve">Consent for publication: </w:t>
      </w:r>
      <w:r>
        <w:rPr>
          <w:rFonts w:ascii="Times New Roman" w:eastAsia="Times New Roman" w:hAnsi="Times New Roman" w:cs="Times New Roman"/>
          <w:sz w:val="24"/>
          <w:szCs w:val="24"/>
          <w:highlight w:val="white"/>
        </w:rPr>
        <w:t>Not applicable</w:t>
      </w:r>
    </w:p>
    <w:p w:rsidR="00E46DF7" w:rsidRDefault="00597711">
      <w:pPr>
        <w:shd w:val="clear" w:color="auto" w:fill="FCFCFC"/>
        <w:spacing w:before="240" w:after="10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 xml:space="preserve">Availability of data and material: </w:t>
      </w:r>
      <w:r>
        <w:rPr>
          <w:rFonts w:ascii="Times New Roman" w:eastAsia="Times New Roman" w:hAnsi="Times New Roman" w:cs="Times New Roman"/>
          <w:sz w:val="24"/>
          <w:szCs w:val="24"/>
          <w:highlight w:val="white"/>
        </w:rPr>
        <w:t xml:space="preserve">All the resources consulted in the review are provided in </w:t>
      </w:r>
      <w:r>
        <w:rPr>
          <w:rFonts w:ascii="Times New Roman" w:eastAsia="Times New Roman" w:hAnsi="Times New Roman" w:cs="Times New Roman"/>
          <w:sz w:val="24"/>
          <w:szCs w:val="24"/>
          <w:highlight w:val="white"/>
        </w:rPr>
        <w:t>the reference section</w:t>
      </w:r>
    </w:p>
    <w:p w:rsidR="00E46DF7" w:rsidRDefault="00E46DF7">
      <w:pPr>
        <w:spacing w:before="240" w:after="240" w:line="360" w:lineRule="auto"/>
        <w:jc w:val="both"/>
        <w:rPr>
          <w:rFonts w:ascii="Times New Roman" w:eastAsia="Times New Roman" w:hAnsi="Times New Roman" w:cs="Times New Roman"/>
          <w:sz w:val="24"/>
          <w:szCs w:val="24"/>
          <w:highlight w:val="white"/>
        </w:rPr>
      </w:pPr>
      <w:bookmarkStart w:id="11" w:name="_GoBack"/>
      <w:bookmarkEnd w:id="11"/>
    </w:p>
    <w:p w:rsidR="00E46DF7" w:rsidRDefault="00597711">
      <w:pPr>
        <w:spacing w:before="240" w:after="240" w:line="360" w:lineRule="auto"/>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References</w:t>
      </w:r>
    </w:p>
    <w:p w:rsidR="00E46DF7" w:rsidRDefault="00597711">
      <w:pPr>
        <w:spacing w:before="240"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Abdelgawad</w:t>
      </w:r>
      <w:proofErr w:type="spellEnd"/>
      <w:r>
        <w:rPr>
          <w:rFonts w:ascii="Times New Roman" w:eastAsia="Times New Roman" w:hAnsi="Times New Roman" w:cs="Times New Roman"/>
          <w:sz w:val="24"/>
          <w:szCs w:val="24"/>
          <w:highlight w:val="white"/>
        </w:rPr>
        <w:t xml:space="preserve">, H. A. H., Foster, R., &amp; Otto, M. (2024). Nothing short of a revolution: Novel extended half-life factor VIII replacement products and non-replacement agents reshape the treatment landscape in hemophilia A. </w:t>
      </w:r>
      <w:r>
        <w:rPr>
          <w:rFonts w:ascii="Times New Roman" w:eastAsia="Times New Roman" w:hAnsi="Times New Roman" w:cs="Times New Roman"/>
          <w:i/>
          <w:iCs/>
          <w:sz w:val="24"/>
          <w:szCs w:val="24"/>
          <w:highlight w:val="white"/>
        </w:rPr>
        <w:t>Blood reviews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64</w:t>
      </w:r>
      <w:r>
        <w:rPr>
          <w:rFonts w:ascii="Times New Roman" w:eastAsia="Times New Roman" w:hAnsi="Times New Roman" w:cs="Times New Roman"/>
          <w:sz w:val="24"/>
          <w:szCs w:val="24"/>
          <w:highlight w:val="white"/>
        </w:rPr>
        <w:t xml:space="preserve">, 101164. </w:t>
      </w:r>
      <w:hyperlink r:id="rId14">
        <w:r w:rsidR="00E46DF7">
          <w:rPr>
            <w:rFonts w:ascii="Times New Roman" w:eastAsia="Times New Roman" w:hAnsi="Times New Roman" w:cs="Times New Roman"/>
            <w:color w:val="1155CC"/>
            <w:sz w:val="24"/>
            <w:szCs w:val="24"/>
            <w:highlight w:val="white"/>
            <w:u w:val="single"/>
          </w:rPr>
          <w:t>https://doi.org/10.1016/j.blre.2023.101164</w:t>
        </w:r>
      </w:hyperlink>
    </w:p>
    <w:p w:rsidR="00E46DF7" w:rsidRDefault="00597711">
      <w:pPr>
        <w:spacing w:before="240"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Aledort</w:t>
      </w:r>
      <w:proofErr w:type="spellEnd"/>
      <w:r>
        <w:rPr>
          <w:rFonts w:ascii="Times New Roman" w:eastAsia="Times New Roman" w:hAnsi="Times New Roman" w:cs="Times New Roman"/>
          <w:sz w:val="24"/>
          <w:szCs w:val="24"/>
          <w:highlight w:val="white"/>
        </w:rPr>
        <w:t xml:space="preserve">, L., </w:t>
      </w:r>
      <w:proofErr w:type="spellStart"/>
      <w:r>
        <w:rPr>
          <w:rFonts w:ascii="Times New Roman" w:eastAsia="Times New Roman" w:hAnsi="Times New Roman" w:cs="Times New Roman"/>
          <w:sz w:val="24"/>
          <w:szCs w:val="24"/>
          <w:highlight w:val="white"/>
        </w:rPr>
        <w:t>Mannucci</w:t>
      </w:r>
      <w:proofErr w:type="spellEnd"/>
      <w:r>
        <w:rPr>
          <w:rFonts w:ascii="Times New Roman" w:eastAsia="Times New Roman" w:hAnsi="Times New Roman" w:cs="Times New Roman"/>
          <w:sz w:val="24"/>
          <w:szCs w:val="24"/>
          <w:highlight w:val="white"/>
        </w:rPr>
        <w:t xml:space="preserve">, P. M., Schramm, W., &amp; Tarantino, M. (2019). Factor VIII replacement is still the standard of care in </w:t>
      </w:r>
      <w:proofErr w:type="spellStart"/>
      <w:r>
        <w:rPr>
          <w:rFonts w:ascii="Times New Roman" w:eastAsia="Times New Roman" w:hAnsi="Times New Roman" w:cs="Times New Roman"/>
          <w:sz w:val="24"/>
          <w:szCs w:val="24"/>
          <w:highlight w:val="white"/>
        </w:rPr>
        <w:t>haemophilia</w:t>
      </w:r>
      <w:proofErr w:type="spellEnd"/>
      <w:r>
        <w:rPr>
          <w:rFonts w:ascii="Times New Roman" w:eastAsia="Times New Roman" w:hAnsi="Times New Roman" w:cs="Times New Roman"/>
          <w:sz w:val="24"/>
          <w:szCs w:val="24"/>
          <w:highlight w:val="white"/>
        </w:rPr>
        <w:t xml:space="preserve"> A. </w:t>
      </w:r>
      <w:r>
        <w:rPr>
          <w:rFonts w:ascii="Times New Roman" w:eastAsia="Times New Roman" w:hAnsi="Times New Roman" w:cs="Times New Roman"/>
          <w:i/>
          <w:iCs/>
          <w:sz w:val="24"/>
          <w:szCs w:val="24"/>
          <w:highlight w:val="white"/>
        </w:rPr>
        <w:t xml:space="preserve">Blood transfusion = </w:t>
      </w:r>
      <w:proofErr w:type="spellStart"/>
      <w:r>
        <w:rPr>
          <w:rFonts w:ascii="Times New Roman" w:eastAsia="Times New Roman" w:hAnsi="Times New Roman" w:cs="Times New Roman"/>
          <w:i/>
          <w:iCs/>
          <w:sz w:val="24"/>
          <w:szCs w:val="24"/>
          <w:highlight w:val="white"/>
        </w:rPr>
        <w:t>Tra</w:t>
      </w:r>
      <w:r>
        <w:rPr>
          <w:rFonts w:ascii="Times New Roman" w:eastAsia="Times New Roman" w:hAnsi="Times New Roman" w:cs="Times New Roman"/>
          <w:i/>
          <w:iCs/>
          <w:sz w:val="24"/>
          <w:szCs w:val="24"/>
          <w:highlight w:val="white"/>
        </w:rPr>
        <w:t>sfusione</w:t>
      </w:r>
      <w:proofErr w:type="spellEnd"/>
      <w:r>
        <w:rPr>
          <w:rFonts w:ascii="Times New Roman" w:eastAsia="Times New Roman" w:hAnsi="Times New Roman" w:cs="Times New Roman"/>
          <w:i/>
          <w:iCs/>
          <w:sz w:val="24"/>
          <w:szCs w:val="24"/>
          <w:highlight w:val="white"/>
        </w:rPr>
        <w:t xml:space="preserve"> del </w:t>
      </w:r>
      <w:proofErr w:type="spellStart"/>
      <w:r>
        <w:rPr>
          <w:rFonts w:ascii="Times New Roman" w:eastAsia="Times New Roman" w:hAnsi="Times New Roman" w:cs="Times New Roman"/>
          <w:i/>
          <w:iCs/>
          <w:sz w:val="24"/>
          <w:szCs w:val="24"/>
          <w:highlight w:val="white"/>
        </w:rPr>
        <w:t>sangue</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17</w:t>
      </w:r>
      <w:r>
        <w:rPr>
          <w:rFonts w:ascii="Times New Roman" w:eastAsia="Times New Roman" w:hAnsi="Times New Roman" w:cs="Times New Roman"/>
          <w:sz w:val="24"/>
          <w:szCs w:val="24"/>
          <w:highlight w:val="white"/>
        </w:rPr>
        <w:t xml:space="preserve">(6), 479–486. </w:t>
      </w:r>
      <w:hyperlink r:id="rId15">
        <w:r w:rsidR="00E46DF7">
          <w:rPr>
            <w:rFonts w:ascii="Times New Roman" w:eastAsia="Times New Roman" w:hAnsi="Times New Roman" w:cs="Times New Roman"/>
            <w:color w:val="1155CC"/>
            <w:sz w:val="24"/>
            <w:szCs w:val="24"/>
            <w:highlight w:val="white"/>
            <w:u w:val="single"/>
          </w:rPr>
          <w:t>https://doi.org/10.2450/2019.0211-19</w:t>
        </w:r>
      </w:hyperlink>
    </w:p>
    <w:p w:rsidR="00E46DF7" w:rsidRDefault="00597711">
      <w:pPr>
        <w:spacing w:before="240"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Alharbi</w:t>
      </w:r>
      <w:proofErr w:type="spellEnd"/>
      <w:r>
        <w:rPr>
          <w:rFonts w:ascii="Times New Roman" w:eastAsia="Times New Roman" w:hAnsi="Times New Roman" w:cs="Times New Roman"/>
          <w:sz w:val="24"/>
          <w:szCs w:val="24"/>
          <w:highlight w:val="white"/>
        </w:rPr>
        <w:t xml:space="preserve">, A., &amp; Stevenson, M. (2020). Refining Boolean queries to identify relevant studies for systematic review updates. </w:t>
      </w:r>
      <w:r>
        <w:rPr>
          <w:rFonts w:ascii="Times New Roman" w:eastAsia="Times New Roman" w:hAnsi="Times New Roman" w:cs="Times New Roman"/>
          <w:i/>
          <w:iCs/>
          <w:sz w:val="24"/>
          <w:szCs w:val="24"/>
          <w:highlight w:val="white"/>
        </w:rPr>
        <w:t>Jour</w:t>
      </w:r>
      <w:r>
        <w:rPr>
          <w:rFonts w:ascii="Times New Roman" w:eastAsia="Times New Roman" w:hAnsi="Times New Roman" w:cs="Times New Roman"/>
          <w:i/>
          <w:iCs/>
          <w:sz w:val="24"/>
          <w:szCs w:val="24"/>
          <w:highlight w:val="white"/>
        </w:rPr>
        <w:t xml:space="preserve">nal of the American Medical Informatics </w:t>
      </w:r>
      <w:proofErr w:type="gramStart"/>
      <w:r>
        <w:rPr>
          <w:rFonts w:ascii="Times New Roman" w:eastAsia="Times New Roman" w:hAnsi="Times New Roman" w:cs="Times New Roman"/>
          <w:i/>
          <w:iCs/>
          <w:sz w:val="24"/>
          <w:szCs w:val="24"/>
          <w:highlight w:val="white"/>
        </w:rPr>
        <w:t>Association :</w:t>
      </w:r>
      <w:proofErr w:type="gramEnd"/>
      <w:r>
        <w:rPr>
          <w:rFonts w:ascii="Times New Roman" w:eastAsia="Times New Roman" w:hAnsi="Times New Roman" w:cs="Times New Roman"/>
          <w:i/>
          <w:iCs/>
          <w:sz w:val="24"/>
          <w:szCs w:val="24"/>
          <w:highlight w:val="white"/>
        </w:rPr>
        <w:t xml:space="preserve"> JAMIA</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27</w:t>
      </w:r>
      <w:r>
        <w:rPr>
          <w:rFonts w:ascii="Times New Roman" w:eastAsia="Times New Roman" w:hAnsi="Times New Roman" w:cs="Times New Roman"/>
          <w:sz w:val="24"/>
          <w:szCs w:val="24"/>
          <w:highlight w:val="white"/>
        </w:rPr>
        <w:t xml:space="preserve">(11), 1658–1666. </w:t>
      </w:r>
      <w:hyperlink r:id="rId16">
        <w:r w:rsidR="00E46DF7">
          <w:rPr>
            <w:rFonts w:ascii="Times New Roman" w:eastAsia="Times New Roman" w:hAnsi="Times New Roman" w:cs="Times New Roman"/>
            <w:color w:val="1155CC"/>
            <w:sz w:val="24"/>
            <w:szCs w:val="24"/>
            <w:highlight w:val="white"/>
            <w:u w:val="single"/>
          </w:rPr>
          <w:t>https://doi.org/10.1093/jamia/ocaa148</w:t>
        </w:r>
      </w:hyperlink>
    </w:p>
    <w:p w:rsidR="00E46DF7" w:rsidRDefault="00597711">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Ay, C., </w:t>
      </w:r>
      <w:proofErr w:type="spellStart"/>
      <w:r>
        <w:rPr>
          <w:rFonts w:ascii="Times New Roman" w:eastAsia="Times New Roman" w:hAnsi="Times New Roman" w:cs="Times New Roman"/>
          <w:sz w:val="24"/>
          <w:szCs w:val="24"/>
          <w:highlight w:val="white"/>
        </w:rPr>
        <w:t>Feistritzer</w:t>
      </w:r>
      <w:proofErr w:type="spellEnd"/>
      <w:r>
        <w:rPr>
          <w:rFonts w:ascii="Times New Roman" w:eastAsia="Times New Roman" w:hAnsi="Times New Roman" w:cs="Times New Roman"/>
          <w:sz w:val="24"/>
          <w:szCs w:val="24"/>
          <w:highlight w:val="white"/>
        </w:rPr>
        <w:t xml:space="preserve">, C., </w:t>
      </w:r>
      <w:proofErr w:type="spellStart"/>
      <w:r>
        <w:rPr>
          <w:rFonts w:ascii="Times New Roman" w:eastAsia="Times New Roman" w:hAnsi="Times New Roman" w:cs="Times New Roman"/>
          <w:sz w:val="24"/>
          <w:szCs w:val="24"/>
          <w:highlight w:val="white"/>
        </w:rPr>
        <w:t>Rettl</w:t>
      </w:r>
      <w:proofErr w:type="spellEnd"/>
      <w:r>
        <w:rPr>
          <w:rFonts w:ascii="Times New Roman" w:eastAsia="Times New Roman" w:hAnsi="Times New Roman" w:cs="Times New Roman"/>
          <w:sz w:val="24"/>
          <w:szCs w:val="24"/>
          <w:highlight w:val="white"/>
        </w:rPr>
        <w:t xml:space="preserve">, J., Schuster, G., </w:t>
      </w:r>
      <w:proofErr w:type="spellStart"/>
      <w:r>
        <w:rPr>
          <w:rFonts w:ascii="Times New Roman" w:eastAsia="Times New Roman" w:hAnsi="Times New Roman" w:cs="Times New Roman"/>
          <w:sz w:val="24"/>
          <w:szCs w:val="24"/>
          <w:highlight w:val="white"/>
        </w:rPr>
        <w:t>Vavrovsky</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Perschy</w:t>
      </w:r>
      <w:proofErr w:type="spellEnd"/>
      <w:r>
        <w:rPr>
          <w:rFonts w:ascii="Times New Roman" w:eastAsia="Times New Roman" w:hAnsi="Times New Roman" w:cs="Times New Roman"/>
          <w:sz w:val="24"/>
          <w:szCs w:val="24"/>
          <w:highlight w:val="white"/>
        </w:rPr>
        <w:t xml:space="preserve">, L., &amp; </w:t>
      </w:r>
      <w:proofErr w:type="spellStart"/>
      <w:r>
        <w:rPr>
          <w:rFonts w:ascii="Times New Roman" w:eastAsia="Times New Roman" w:hAnsi="Times New Roman" w:cs="Times New Roman"/>
          <w:sz w:val="24"/>
          <w:szCs w:val="24"/>
          <w:highlight w:val="white"/>
        </w:rPr>
        <w:t>P</w:t>
      </w:r>
      <w:r>
        <w:rPr>
          <w:rFonts w:ascii="Times New Roman" w:eastAsia="Times New Roman" w:hAnsi="Times New Roman" w:cs="Times New Roman"/>
          <w:sz w:val="24"/>
          <w:szCs w:val="24"/>
          <w:highlight w:val="white"/>
        </w:rPr>
        <w:t>abinger</w:t>
      </w:r>
      <w:proofErr w:type="spellEnd"/>
      <w:r>
        <w:rPr>
          <w:rFonts w:ascii="Times New Roman" w:eastAsia="Times New Roman" w:hAnsi="Times New Roman" w:cs="Times New Roman"/>
          <w:sz w:val="24"/>
          <w:szCs w:val="24"/>
          <w:highlight w:val="white"/>
        </w:rPr>
        <w:t xml:space="preserve">, I. (2021). Bleeding outcomes and </w:t>
      </w:r>
      <w:proofErr w:type="spellStart"/>
      <w:r>
        <w:rPr>
          <w:rFonts w:ascii="Times New Roman" w:eastAsia="Times New Roman" w:hAnsi="Times New Roman" w:cs="Times New Roman"/>
          <w:sz w:val="24"/>
          <w:szCs w:val="24"/>
          <w:highlight w:val="white"/>
        </w:rPr>
        <w:t>factor</w:t>
      </w:r>
      <w:proofErr w:type="spellEnd"/>
      <w:r>
        <w:rPr>
          <w:rFonts w:ascii="Times New Roman" w:eastAsia="Times New Roman" w:hAnsi="Times New Roman" w:cs="Times New Roman"/>
          <w:sz w:val="24"/>
          <w:szCs w:val="24"/>
          <w:highlight w:val="white"/>
        </w:rPr>
        <w:t xml:space="preserve"> utilization after switching to an extended half-life product for prophylaxis in </w:t>
      </w:r>
      <w:proofErr w:type="spellStart"/>
      <w:r>
        <w:rPr>
          <w:rFonts w:ascii="Times New Roman" w:eastAsia="Times New Roman" w:hAnsi="Times New Roman" w:cs="Times New Roman"/>
          <w:sz w:val="24"/>
          <w:szCs w:val="24"/>
          <w:highlight w:val="white"/>
        </w:rPr>
        <w:t>haemophilia</w:t>
      </w:r>
      <w:proofErr w:type="spellEnd"/>
      <w:r>
        <w:rPr>
          <w:rFonts w:ascii="Times New Roman" w:eastAsia="Times New Roman" w:hAnsi="Times New Roman" w:cs="Times New Roman"/>
          <w:sz w:val="24"/>
          <w:szCs w:val="24"/>
          <w:highlight w:val="white"/>
        </w:rPr>
        <w:t xml:space="preserve"> A in Austria. </w:t>
      </w:r>
      <w:r>
        <w:rPr>
          <w:rFonts w:ascii="Times New Roman" w:eastAsia="Times New Roman" w:hAnsi="Times New Roman" w:cs="Times New Roman"/>
          <w:i/>
          <w:iCs/>
          <w:sz w:val="24"/>
          <w:szCs w:val="24"/>
          <w:highlight w:val="white"/>
        </w:rPr>
        <w:t>Scientific reports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11</w:t>
      </w:r>
      <w:r>
        <w:rPr>
          <w:rFonts w:ascii="Times New Roman" w:eastAsia="Times New Roman" w:hAnsi="Times New Roman" w:cs="Times New Roman"/>
          <w:sz w:val="24"/>
          <w:szCs w:val="24"/>
          <w:highlight w:val="white"/>
        </w:rPr>
        <w:t xml:space="preserve">(1), 12967. </w:t>
      </w:r>
      <w:hyperlink r:id="rId17">
        <w:r w:rsidR="00E46DF7">
          <w:rPr>
            <w:rFonts w:ascii="Times New Roman" w:eastAsia="Times New Roman" w:hAnsi="Times New Roman" w:cs="Times New Roman"/>
            <w:color w:val="1155CC"/>
            <w:sz w:val="24"/>
            <w:szCs w:val="24"/>
            <w:highlight w:val="white"/>
            <w:u w:val="single"/>
          </w:rPr>
          <w:t>https://doi.org/10.1038/s41598-021-92245-5</w:t>
        </w:r>
      </w:hyperlink>
    </w:p>
    <w:p w:rsidR="00E46DF7" w:rsidRDefault="00597711">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Berger, K., O'Rourke, R. H., Di </w:t>
      </w:r>
      <w:proofErr w:type="spellStart"/>
      <w:r>
        <w:rPr>
          <w:rFonts w:ascii="Times New Roman" w:eastAsia="Times New Roman" w:hAnsi="Times New Roman" w:cs="Times New Roman"/>
          <w:sz w:val="24"/>
          <w:szCs w:val="24"/>
          <w:highlight w:val="white"/>
        </w:rPr>
        <w:t>Minno</w:t>
      </w:r>
      <w:proofErr w:type="spellEnd"/>
      <w:r>
        <w:rPr>
          <w:rFonts w:ascii="Times New Roman" w:eastAsia="Times New Roman" w:hAnsi="Times New Roman" w:cs="Times New Roman"/>
          <w:sz w:val="24"/>
          <w:szCs w:val="24"/>
          <w:highlight w:val="white"/>
        </w:rPr>
        <w:t xml:space="preserve">, M. N. D., </w:t>
      </w:r>
      <w:proofErr w:type="spellStart"/>
      <w:r>
        <w:rPr>
          <w:rFonts w:ascii="Times New Roman" w:eastAsia="Times New Roman" w:hAnsi="Times New Roman" w:cs="Times New Roman"/>
          <w:sz w:val="24"/>
          <w:szCs w:val="24"/>
          <w:highlight w:val="white"/>
        </w:rPr>
        <w:t>Batorova</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Kavakli</w:t>
      </w:r>
      <w:proofErr w:type="spellEnd"/>
      <w:r>
        <w:rPr>
          <w:rFonts w:ascii="Times New Roman" w:eastAsia="Times New Roman" w:hAnsi="Times New Roman" w:cs="Times New Roman"/>
          <w:sz w:val="24"/>
          <w:szCs w:val="24"/>
          <w:highlight w:val="white"/>
        </w:rPr>
        <w:t xml:space="preserve">, K., </w:t>
      </w:r>
      <w:proofErr w:type="spellStart"/>
      <w:r>
        <w:rPr>
          <w:rFonts w:ascii="Times New Roman" w:eastAsia="Times New Roman" w:hAnsi="Times New Roman" w:cs="Times New Roman"/>
          <w:sz w:val="24"/>
          <w:szCs w:val="24"/>
          <w:highlight w:val="white"/>
        </w:rPr>
        <w:t>Mannucci</w:t>
      </w:r>
      <w:proofErr w:type="spellEnd"/>
      <w:r>
        <w:rPr>
          <w:rFonts w:ascii="Times New Roman" w:eastAsia="Times New Roman" w:hAnsi="Times New Roman" w:cs="Times New Roman"/>
          <w:sz w:val="24"/>
          <w:szCs w:val="24"/>
          <w:highlight w:val="white"/>
        </w:rPr>
        <w:t xml:space="preserve">, P. M., Schramm, W., Bohn, R. L., &amp; </w:t>
      </w:r>
      <w:proofErr w:type="spellStart"/>
      <w:r>
        <w:rPr>
          <w:rFonts w:ascii="Times New Roman" w:eastAsia="Times New Roman" w:hAnsi="Times New Roman" w:cs="Times New Roman"/>
          <w:sz w:val="24"/>
          <w:szCs w:val="24"/>
          <w:highlight w:val="white"/>
        </w:rPr>
        <w:t>Aledort</w:t>
      </w:r>
      <w:proofErr w:type="spellEnd"/>
      <w:r>
        <w:rPr>
          <w:rFonts w:ascii="Times New Roman" w:eastAsia="Times New Roman" w:hAnsi="Times New Roman" w:cs="Times New Roman"/>
          <w:sz w:val="24"/>
          <w:szCs w:val="24"/>
          <w:highlight w:val="white"/>
        </w:rPr>
        <w:t>, L. (2025). Challenges associated with access to recently developed hemophilia treatments</w:t>
      </w:r>
      <w:r>
        <w:rPr>
          <w:rFonts w:ascii="Times New Roman" w:eastAsia="Times New Roman" w:hAnsi="Times New Roman" w:cs="Times New Roman"/>
          <w:sz w:val="24"/>
          <w:szCs w:val="24"/>
          <w:highlight w:val="white"/>
        </w:rPr>
        <w:t xml:space="preserve"> in routine care: perspectives of healthcare professionals. </w:t>
      </w:r>
      <w:proofErr w:type="spellStart"/>
      <w:r>
        <w:rPr>
          <w:rFonts w:ascii="Times New Roman" w:eastAsia="Times New Roman" w:hAnsi="Times New Roman" w:cs="Times New Roman"/>
          <w:i/>
          <w:iCs/>
          <w:sz w:val="24"/>
          <w:szCs w:val="24"/>
          <w:highlight w:val="white"/>
        </w:rPr>
        <w:t>Haematologica</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110</w:t>
      </w:r>
      <w:r>
        <w:rPr>
          <w:rFonts w:ascii="Times New Roman" w:eastAsia="Times New Roman" w:hAnsi="Times New Roman" w:cs="Times New Roman"/>
          <w:sz w:val="24"/>
          <w:szCs w:val="24"/>
          <w:highlight w:val="white"/>
        </w:rPr>
        <w:t>(3), 673–682. https://doi.org/10.3324/haematol.2024.285647</w:t>
      </w:r>
    </w:p>
    <w:p w:rsidR="00E46DF7" w:rsidRDefault="00597711">
      <w:pPr>
        <w:spacing w:before="240"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Boccalandro</w:t>
      </w:r>
      <w:proofErr w:type="spellEnd"/>
      <w:r>
        <w:rPr>
          <w:rFonts w:ascii="Times New Roman" w:eastAsia="Times New Roman" w:hAnsi="Times New Roman" w:cs="Times New Roman"/>
          <w:sz w:val="24"/>
          <w:szCs w:val="24"/>
          <w:highlight w:val="white"/>
        </w:rPr>
        <w:t xml:space="preserve">, E. A., </w:t>
      </w:r>
      <w:proofErr w:type="spellStart"/>
      <w:r>
        <w:rPr>
          <w:rFonts w:ascii="Times New Roman" w:eastAsia="Times New Roman" w:hAnsi="Times New Roman" w:cs="Times New Roman"/>
          <w:sz w:val="24"/>
          <w:szCs w:val="24"/>
          <w:highlight w:val="white"/>
        </w:rPr>
        <w:t>Pasca</w:t>
      </w:r>
      <w:proofErr w:type="spellEnd"/>
      <w:r>
        <w:rPr>
          <w:rFonts w:ascii="Times New Roman" w:eastAsia="Times New Roman" w:hAnsi="Times New Roman" w:cs="Times New Roman"/>
          <w:sz w:val="24"/>
          <w:szCs w:val="24"/>
          <w:highlight w:val="white"/>
        </w:rPr>
        <w:t xml:space="preserve">, S., </w:t>
      </w:r>
      <w:proofErr w:type="spellStart"/>
      <w:r>
        <w:rPr>
          <w:rFonts w:ascii="Times New Roman" w:eastAsia="Times New Roman" w:hAnsi="Times New Roman" w:cs="Times New Roman"/>
          <w:sz w:val="24"/>
          <w:szCs w:val="24"/>
          <w:highlight w:val="white"/>
        </w:rPr>
        <w:t>Begnozzi</w:t>
      </w:r>
      <w:proofErr w:type="spellEnd"/>
      <w:r>
        <w:rPr>
          <w:rFonts w:ascii="Times New Roman" w:eastAsia="Times New Roman" w:hAnsi="Times New Roman" w:cs="Times New Roman"/>
          <w:sz w:val="24"/>
          <w:szCs w:val="24"/>
          <w:highlight w:val="white"/>
        </w:rPr>
        <w:t xml:space="preserve">, V., </w:t>
      </w:r>
      <w:proofErr w:type="spellStart"/>
      <w:r>
        <w:rPr>
          <w:rFonts w:ascii="Times New Roman" w:eastAsia="Times New Roman" w:hAnsi="Times New Roman" w:cs="Times New Roman"/>
          <w:sz w:val="24"/>
          <w:szCs w:val="24"/>
          <w:highlight w:val="white"/>
        </w:rPr>
        <w:t>Gualtierotti</w:t>
      </w:r>
      <w:proofErr w:type="spellEnd"/>
      <w:r>
        <w:rPr>
          <w:rFonts w:ascii="Times New Roman" w:eastAsia="Times New Roman" w:hAnsi="Times New Roman" w:cs="Times New Roman"/>
          <w:sz w:val="24"/>
          <w:szCs w:val="24"/>
          <w:highlight w:val="white"/>
        </w:rPr>
        <w:t xml:space="preserve">, R., &amp; </w:t>
      </w:r>
      <w:proofErr w:type="spellStart"/>
      <w:r>
        <w:rPr>
          <w:rFonts w:ascii="Times New Roman" w:eastAsia="Times New Roman" w:hAnsi="Times New Roman" w:cs="Times New Roman"/>
          <w:sz w:val="24"/>
          <w:szCs w:val="24"/>
          <w:highlight w:val="white"/>
        </w:rPr>
        <w:t>Mannucci</w:t>
      </w:r>
      <w:proofErr w:type="spellEnd"/>
      <w:r>
        <w:rPr>
          <w:rFonts w:ascii="Times New Roman" w:eastAsia="Times New Roman" w:hAnsi="Times New Roman" w:cs="Times New Roman"/>
          <w:sz w:val="24"/>
          <w:szCs w:val="24"/>
          <w:highlight w:val="white"/>
        </w:rPr>
        <w:t xml:space="preserve">, P. M. (2023). Joint Dysfunction as a Cause of Spontaneous Subclinical Bleeding in Infants with Hemophilia. </w:t>
      </w:r>
      <w:r>
        <w:rPr>
          <w:rFonts w:ascii="Times New Roman" w:eastAsia="Times New Roman" w:hAnsi="Times New Roman" w:cs="Times New Roman"/>
          <w:i/>
          <w:iCs/>
          <w:sz w:val="24"/>
          <w:szCs w:val="24"/>
          <w:highlight w:val="white"/>
        </w:rPr>
        <w:t>Journal of clinical medicine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12</w:t>
      </w:r>
      <w:r>
        <w:rPr>
          <w:rFonts w:ascii="Times New Roman" w:eastAsia="Times New Roman" w:hAnsi="Times New Roman" w:cs="Times New Roman"/>
          <w:sz w:val="24"/>
          <w:szCs w:val="24"/>
          <w:highlight w:val="white"/>
        </w:rPr>
        <w:t xml:space="preserve">(20), 6672. </w:t>
      </w:r>
      <w:hyperlink r:id="rId18">
        <w:r w:rsidR="00E46DF7">
          <w:rPr>
            <w:rFonts w:ascii="Times New Roman" w:eastAsia="Times New Roman" w:hAnsi="Times New Roman" w:cs="Times New Roman"/>
            <w:color w:val="1155CC"/>
            <w:sz w:val="24"/>
            <w:szCs w:val="24"/>
            <w:highlight w:val="white"/>
            <w:u w:val="single"/>
          </w:rPr>
          <w:t>https://doi.org/10.3390/jcm12206672</w:t>
        </w:r>
      </w:hyperlink>
    </w:p>
    <w:p w:rsidR="00E46DF7" w:rsidRDefault="00597711">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Chiari, J. B., </w:t>
      </w:r>
      <w:proofErr w:type="spellStart"/>
      <w:r>
        <w:rPr>
          <w:rFonts w:ascii="Times New Roman" w:eastAsia="Times New Roman" w:hAnsi="Times New Roman" w:cs="Times New Roman"/>
          <w:sz w:val="24"/>
          <w:szCs w:val="24"/>
          <w:highlight w:val="white"/>
        </w:rPr>
        <w:t>Prozora</w:t>
      </w:r>
      <w:proofErr w:type="spellEnd"/>
      <w:r>
        <w:rPr>
          <w:rFonts w:ascii="Times New Roman" w:eastAsia="Times New Roman" w:hAnsi="Times New Roman" w:cs="Times New Roman"/>
          <w:sz w:val="24"/>
          <w:szCs w:val="24"/>
          <w:highlight w:val="white"/>
        </w:rPr>
        <w:t xml:space="preserve">, S., </w:t>
      </w:r>
      <w:proofErr w:type="spellStart"/>
      <w:r>
        <w:rPr>
          <w:rFonts w:ascii="Times New Roman" w:eastAsia="Times New Roman" w:hAnsi="Times New Roman" w:cs="Times New Roman"/>
          <w:sz w:val="24"/>
          <w:szCs w:val="24"/>
          <w:highlight w:val="white"/>
        </w:rPr>
        <w:t>Feinn</w:t>
      </w:r>
      <w:proofErr w:type="spellEnd"/>
      <w:r>
        <w:rPr>
          <w:rFonts w:ascii="Times New Roman" w:eastAsia="Times New Roman" w:hAnsi="Times New Roman" w:cs="Times New Roman"/>
          <w:sz w:val="24"/>
          <w:szCs w:val="24"/>
          <w:highlight w:val="white"/>
        </w:rPr>
        <w:t xml:space="preserve">, R., </w:t>
      </w:r>
      <w:proofErr w:type="spellStart"/>
      <w:r>
        <w:rPr>
          <w:rFonts w:ascii="Times New Roman" w:eastAsia="Times New Roman" w:hAnsi="Times New Roman" w:cs="Times New Roman"/>
          <w:sz w:val="24"/>
          <w:szCs w:val="24"/>
          <w:highlight w:val="white"/>
        </w:rPr>
        <w:t>Louizos</w:t>
      </w:r>
      <w:proofErr w:type="spellEnd"/>
      <w:r>
        <w:rPr>
          <w:rFonts w:ascii="Times New Roman" w:eastAsia="Times New Roman" w:hAnsi="Times New Roman" w:cs="Times New Roman"/>
          <w:sz w:val="24"/>
          <w:szCs w:val="24"/>
          <w:highlight w:val="white"/>
        </w:rPr>
        <w:t xml:space="preserve">, E., Gallagher, P. G., &amp; Bona, R. (2024). Joint bleeds in mild hemophilia: Prevalence and clinical characteristics. </w:t>
      </w:r>
      <w:proofErr w:type="spellStart"/>
      <w:proofErr w:type="gramStart"/>
      <w:r>
        <w:rPr>
          <w:rFonts w:ascii="Times New Roman" w:eastAsia="Times New Roman" w:hAnsi="Times New Roman" w:cs="Times New Roman"/>
          <w:i/>
          <w:iCs/>
          <w:sz w:val="24"/>
          <w:szCs w:val="24"/>
          <w:highlight w:val="white"/>
        </w:rPr>
        <w:t>Haemophilia</w:t>
      </w:r>
      <w:proofErr w:type="spellEnd"/>
      <w:r>
        <w:rPr>
          <w:rFonts w:ascii="Times New Roman" w:eastAsia="Times New Roman" w:hAnsi="Times New Roman" w:cs="Times New Roman"/>
          <w:i/>
          <w:iCs/>
          <w:sz w:val="24"/>
          <w:szCs w:val="24"/>
          <w:highlight w:val="white"/>
        </w:rPr>
        <w:t xml:space="preserve"> :</w:t>
      </w:r>
      <w:proofErr w:type="gramEnd"/>
      <w:r>
        <w:rPr>
          <w:rFonts w:ascii="Times New Roman" w:eastAsia="Times New Roman" w:hAnsi="Times New Roman" w:cs="Times New Roman"/>
          <w:i/>
          <w:iCs/>
          <w:sz w:val="24"/>
          <w:szCs w:val="24"/>
          <w:highlight w:val="white"/>
        </w:rPr>
        <w:t xml:space="preserve"> the official journ</w:t>
      </w:r>
      <w:r>
        <w:rPr>
          <w:rFonts w:ascii="Times New Roman" w:eastAsia="Times New Roman" w:hAnsi="Times New Roman" w:cs="Times New Roman"/>
          <w:i/>
          <w:iCs/>
          <w:sz w:val="24"/>
          <w:szCs w:val="24"/>
          <w:highlight w:val="white"/>
        </w:rPr>
        <w:t>al of the World Federation of Hemophilia</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30</w:t>
      </w:r>
      <w:r>
        <w:rPr>
          <w:rFonts w:ascii="Times New Roman" w:eastAsia="Times New Roman" w:hAnsi="Times New Roman" w:cs="Times New Roman"/>
          <w:sz w:val="24"/>
          <w:szCs w:val="24"/>
          <w:highlight w:val="white"/>
        </w:rPr>
        <w:t>(2), 331–335. https://doi.org/10.1111/hae.14939</w:t>
      </w:r>
    </w:p>
    <w:p w:rsidR="00E46DF7" w:rsidRDefault="00597711">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Chowdary P. (2020). Extended half-life recombinant products in </w:t>
      </w:r>
      <w:proofErr w:type="spellStart"/>
      <w:r>
        <w:rPr>
          <w:rFonts w:ascii="Times New Roman" w:eastAsia="Times New Roman" w:hAnsi="Times New Roman" w:cs="Times New Roman"/>
          <w:sz w:val="24"/>
          <w:szCs w:val="24"/>
          <w:highlight w:val="white"/>
        </w:rPr>
        <w:t>haemophilia</w:t>
      </w:r>
      <w:proofErr w:type="spellEnd"/>
      <w:r>
        <w:rPr>
          <w:rFonts w:ascii="Times New Roman" w:eastAsia="Times New Roman" w:hAnsi="Times New Roman" w:cs="Times New Roman"/>
          <w:sz w:val="24"/>
          <w:szCs w:val="24"/>
          <w:highlight w:val="white"/>
        </w:rPr>
        <w:t xml:space="preserve"> clinical practice - Expectations, opportunities and challenges. </w:t>
      </w:r>
      <w:r>
        <w:rPr>
          <w:rFonts w:ascii="Times New Roman" w:eastAsia="Times New Roman" w:hAnsi="Times New Roman" w:cs="Times New Roman"/>
          <w:i/>
          <w:iCs/>
          <w:sz w:val="24"/>
          <w:szCs w:val="24"/>
          <w:highlight w:val="white"/>
        </w:rPr>
        <w:t>Thrombosis research</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196</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609–617. </w:t>
      </w:r>
      <w:hyperlink r:id="rId19">
        <w:r w:rsidR="00E46DF7">
          <w:rPr>
            <w:rFonts w:ascii="Times New Roman" w:eastAsia="Times New Roman" w:hAnsi="Times New Roman" w:cs="Times New Roman"/>
            <w:color w:val="1155CC"/>
            <w:sz w:val="24"/>
            <w:szCs w:val="24"/>
            <w:highlight w:val="white"/>
            <w:u w:val="single"/>
          </w:rPr>
          <w:t>https://doi.org/10.1016/j.thromres.2019.12.012</w:t>
        </w:r>
      </w:hyperlink>
    </w:p>
    <w:p w:rsidR="00E46DF7" w:rsidRDefault="00597711">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Coppola, A., </w:t>
      </w:r>
      <w:proofErr w:type="spellStart"/>
      <w:r>
        <w:rPr>
          <w:rFonts w:ascii="Times New Roman" w:eastAsia="Times New Roman" w:hAnsi="Times New Roman" w:cs="Times New Roman"/>
          <w:sz w:val="24"/>
          <w:szCs w:val="24"/>
          <w:highlight w:val="white"/>
        </w:rPr>
        <w:t>Rivolta</w:t>
      </w:r>
      <w:proofErr w:type="spellEnd"/>
      <w:r>
        <w:rPr>
          <w:rFonts w:ascii="Times New Roman" w:eastAsia="Times New Roman" w:hAnsi="Times New Roman" w:cs="Times New Roman"/>
          <w:sz w:val="24"/>
          <w:szCs w:val="24"/>
          <w:highlight w:val="white"/>
        </w:rPr>
        <w:t xml:space="preserve">, G. F., </w:t>
      </w:r>
      <w:proofErr w:type="spellStart"/>
      <w:r>
        <w:rPr>
          <w:rFonts w:ascii="Times New Roman" w:eastAsia="Times New Roman" w:hAnsi="Times New Roman" w:cs="Times New Roman"/>
          <w:sz w:val="24"/>
          <w:szCs w:val="24"/>
          <w:highlight w:val="white"/>
        </w:rPr>
        <w:t>Quintavalle</w:t>
      </w:r>
      <w:proofErr w:type="spellEnd"/>
      <w:r>
        <w:rPr>
          <w:rFonts w:ascii="Times New Roman" w:eastAsia="Times New Roman" w:hAnsi="Times New Roman" w:cs="Times New Roman"/>
          <w:sz w:val="24"/>
          <w:szCs w:val="24"/>
          <w:highlight w:val="white"/>
        </w:rPr>
        <w:t xml:space="preserve">, G., </w:t>
      </w:r>
      <w:proofErr w:type="spellStart"/>
      <w:r>
        <w:rPr>
          <w:rFonts w:ascii="Times New Roman" w:eastAsia="Times New Roman" w:hAnsi="Times New Roman" w:cs="Times New Roman"/>
          <w:sz w:val="24"/>
          <w:szCs w:val="24"/>
          <w:highlight w:val="white"/>
        </w:rPr>
        <w:t>Matichecchia</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Riccardi</w:t>
      </w:r>
      <w:proofErr w:type="spellEnd"/>
      <w:r>
        <w:rPr>
          <w:rFonts w:ascii="Times New Roman" w:eastAsia="Times New Roman" w:hAnsi="Times New Roman" w:cs="Times New Roman"/>
          <w:sz w:val="24"/>
          <w:szCs w:val="24"/>
          <w:highlight w:val="white"/>
        </w:rPr>
        <w:t xml:space="preserve">, F., Rossi, R., </w:t>
      </w:r>
      <w:proofErr w:type="spellStart"/>
      <w:r>
        <w:rPr>
          <w:rFonts w:ascii="Times New Roman" w:eastAsia="Times New Roman" w:hAnsi="Times New Roman" w:cs="Times New Roman"/>
          <w:sz w:val="24"/>
          <w:szCs w:val="24"/>
          <w:highlight w:val="white"/>
        </w:rPr>
        <w:t>Benegiamo</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Ranalli</w:t>
      </w:r>
      <w:proofErr w:type="spellEnd"/>
      <w:r>
        <w:rPr>
          <w:rFonts w:ascii="Times New Roman" w:eastAsia="Times New Roman" w:hAnsi="Times New Roman" w:cs="Times New Roman"/>
          <w:sz w:val="24"/>
          <w:szCs w:val="24"/>
          <w:highlight w:val="white"/>
        </w:rPr>
        <w:t xml:space="preserve">, P., </w:t>
      </w:r>
      <w:proofErr w:type="spellStart"/>
      <w:r>
        <w:rPr>
          <w:rFonts w:ascii="Times New Roman" w:eastAsia="Times New Roman" w:hAnsi="Times New Roman" w:cs="Times New Roman"/>
          <w:sz w:val="24"/>
          <w:szCs w:val="24"/>
          <w:highlight w:val="white"/>
        </w:rPr>
        <w:t>Coluccio</w:t>
      </w:r>
      <w:proofErr w:type="spellEnd"/>
      <w:r>
        <w:rPr>
          <w:rFonts w:ascii="Times New Roman" w:eastAsia="Times New Roman" w:hAnsi="Times New Roman" w:cs="Times New Roman"/>
          <w:sz w:val="24"/>
          <w:szCs w:val="24"/>
          <w:highlight w:val="white"/>
        </w:rPr>
        <w:t xml:space="preserve">, V., &amp; </w:t>
      </w:r>
      <w:proofErr w:type="spellStart"/>
      <w:r>
        <w:rPr>
          <w:rFonts w:ascii="Times New Roman" w:eastAsia="Times New Roman" w:hAnsi="Times New Roman" w:cs="Times New Roman"/>
          <w:sz w:val="24"/>
          <w:szCs w:val="24"/>
          <w:highlight w:val="white"/>
        </w:rPr>
        <w:t>Tagliaferri</w:t>
      </w:r>
      <w:proofErr w:type="spellEnd"/>
      <w:r>
        <w:rPr>
          <w:rFonts w:ascii="Times New Roman" w:eastAsia="Times New Roman" w:hAnsi="Times New Roman" w:cs="Times New Roman"/>
          <w:sz w:val="24"/>
          <w:szCs w:val="24"/>
          <w:highlight w:val="white"/>
        </w:rPr>
        <w:t>, A. (2024). Six-Year, Real-World Use of Prophylaxis with Recombinant Factor IX-Albumin Fusion Protein (</w:t>
      </w:r>
      <w:proofErr w:type="spellStart"/>
      <w:r>
        <w:rPr>
          <w:rFonts w:ascii="Times New Roman" w:eastAsia="Times New Roman" w:hAnsi="Times New Roman" w:cs="Times New Roman"/>
          <w:sz w:val="24"/>
          <w:szCs w:val="24"/>
          <w:highlight w:val="white"/>
        </w:rPr>
        <w:t>rIX</w:t>
      </w:r>
      <w:proofErr w:type="spellEnd"/>
      <w:r>
        <w:rPr>
          <w:rFonts w:ascii="Times New Roman" w:eastAsia="Times New Roman" w:hAnsi="Times New Roman" w:cs="Times New Roman"/>
          <w:sz w:val="24"/>
          <w:szCs w:val="24"/>
          <w:highlight w:val="white"/>
        </w:rPr>
        <w:t xml:space="preserve">-FP) in Persons with Hemophilia B: A Single-Center Retrospective-Prospective Study. </w:t>
      </w:r>
      <w:r>
        <w:rPr>
          <w:rFonts w:ascii="Times New Roman" w:eastAsia="Times New Roman" w:hAnsi="Times New Roman" w:cs="Times New Roman"/>
          <w:i/>
          <w:iCs/>
          <w:sz w:val="24"/>
          <w:szCs w:val="24"/>
          <w:highlight w:val="white"/>
        </w:rPr>
        <w:t>Journal of clinical medicine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13</w:t>
      </w:r>
      <w:r>
        <w:rPr>
          <w:rFonts w:ascii="Times New Roman" w:eastAsia="Times New Roman" w:hAnsi="Times New Roman" w:cs="Times New Roman"/>
          <w:sz w:val="24"/>
          <w:szCs w:val="24"/>
          <w:highlight w:val="white"/>
        </w:rPr>
        <w:t>(5), 1518. https://doi</w:t>
      </w:r>
      <w:r>
        <w:rPr>
          <w:rFonts w:ascii="Times New Roman" w:eastAsia="Times New Roman" w:hAnsi="Times New Roman" w:cs="Times New Roman"/>
          <w:sz w:val="24"/>
          <w:szCs w:val="24"/>
          <w:highlight w:val="white"/>
        </w:rPr>
        <w:t>.org/10.3390/jcm13051518</w:t>
      </w:r>
    </w:p>
    <w:p w:rsidR="00E46DF7" w:rsidRDefault="00597711">
      <w:pPr>
        <w:spacing w:before="240"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DeMars</w:t>
      </w:r>
      <w:proofErr w:type="spellEnd"/>
      <w:r>
        <w:rPr>
          <w:rFonts w:ascii="Times New Roman" w:eastAsia="Times New Roman" w:hAnsi="Times New Roman" w:cs="Times New Roman"/>
          <w:sz w:val="24"/>
          <w:szCs w:val="24"/>
          <w:highlight w:val="white"/>
        </w:rPr>
        <w:t xml:space="preserve">, M. M., &amp; </w:t>
      </w:r>
      <w:proofErr w:type="spellStart"/>
      <w:r>
        <w:rPr>
          <w:rFonts w:ascii="Times New Roman" w:eastAsia="Times New Roman" w:hAnsi="Times New Roman" w:cs="Times New Roman"/>
          <w:sz w:val="24"/>
          <w:szCs w:val="24"/>
          <w:highlight w:val="white"/>
        </w:rPr>
        <w:t>Perruso</w:t>
      </w:r>
      <w:proofErr w:type="spellEnd"/>
      <w:r>
        <w:rPr>
          <w:rFonts w:ascii="Times New Roman" w:eastAsia="Times New Roman" w:hAnsi="Times New Roman" w:cs="Times New Roman"/>
          <w:sz w:val="24"/>
          <w:szCs w:val="24"/>
          <w:highlight w:val="white"/>
        </w:rPr>
        <w:t xml:space="preserve">, C. (2022). </w:t>
      </w:r>
      <w:proofErr w:type="spellStart"/>
      <w:r>
        <w:rPr>
          <w:rFonts w:ascii="Times New Roman" w:eastAsia="Times New Roman" w:hAnsi="Times New Roman" w:cs="Times New Roman"/>
          <w:sz w:val="24"/>
          <w:szCs w:val="24"/>
          <w:highlight w:val="white"/>
        </w:rPr>
        <w:t>MeSH</w:t>
      </w:r>
      <w:proofErr w:type="spellEnd"/>
      <w:r>
        <w:rPr>
          <w:rFonts w:ascii="Times New Roman" w:eastAsia="Times New Roman" w:hAnsi="Times New Roman" w:cs="Times New Roman"/>
          <w:sz w:val="24"/>
          <w:szCs w:val="24"/>
          <w:highlight w:val="white"/>
        </w:rPr>
        <w:t xml:space="preserve"> and text-word search strategies: precision, recall, and their implications for library instruction. </w:t>
      </w:r>
      <w:r>
        <w:rPr>
          <w:rFonts w:ascii="Times New Roman" w:eastAsia="Times New Roman" w:hAnsi="Times New Roman" w:cs="Times New Roman"/>
          <w:i/>
          <w:iCs/>
          <w:sz w:val="24"/>
          <w:szCs w:val="24"/>
          <w:highlight w:val="white"/>
        </w:rPr>
        <w:t xml:space="preserve">Journal of the Medical Library </w:t>
      </w:r>
      <w:proofErr w:type="gramStart"/>
      <w:r>
        <w:rPr>
          <w:rFonts w:ascii="Times New Roman" w:eastAsia="Times New Roman" w:hAnsi="Times New Roman" w:cs="Times New Roman"/>
          <w:i/>
          <w:iCs/>
          <w:sz w:val="24"/>
          <w:szCs w:val="24"/>
          <w:highlight w:val="white"/>
        </w:rPr>
        <w:t>Association :</w:t>
      </w:r>
      <w:proofErr w:type="gramEnd"/>
      <w:r>
        <w:rPr>
          <w:rFonts w:ascii="Times New Roman" w:eastAsia="Times New Roman" w:hAnsi="Times New Roman" w:cs="Times New Roman"/>
          <w:i/>
          <w:iCs/>
          <w:sz w:val="24"/>
          <w:szCs w:val="24"/>
          <w:highlight w:val="white"/>
        </w:rPr>
        <w:t xml:space="preserve"> JMLA</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110</w:t>
      </w:r>
      <w:r>
        <w:rPr>
          <w:rFonts w:ascii="Times New Roman" w:eastAsia="Times New Roman" w:hAnsi="Times New Roman" w:cs="Times New Roman"/>
          <w:sz w:val="24"/>
          <w:szCs w:val="24"/>
          <w:highlight w:val="white"/>
        </w:rPr>
        <w:t xml:space="preserve">(1), 23–33. </w:t>
      </w:r>
      <w:hyperlink r:id="rId20">
        <w:r w:rsidR="00E46DF7">
          <w:rPr>
            <w:rFonts w:ascii="Times New Roman" w:eastAsia="Times New Roman" w:hAnsi="Times New Roman" w:cs="Times New Roman"/>
            <w:color w:val="1155CC"/>
            <w:sz w:val="24"/>
            <w:szCs w:val="24"/>
            <w:highlight w:val="white"/>
            <w:u w:val="single"/>
          </w:rPr>
          <w:t>https://doi.org/10.5195/jmla.2022.1283</w:t>
        </w:r>
      </w:hyperlink>
    </w:p>
    <w:p w:rsidR="00E46DF7" w:rsidRDefault="00597711">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El-Sayed, A. A., &amp; </w:t>
      </w:r>
      <w:proofErr w:type="spellStart"/>
      <w:r>
        <w:rPr>
          <w:rFonts w:ascii="Times New Roman" w:eastAsia="Times New Roman" w:hAnsi="Times New Roman" w:cs="Times New Roman"/>
          <w:sz w:val="24"/>
          <w:szCs w:val="24"/>
          <w:highlight w:val="white"/>
        </w:rPr>
        <w:t>Bolous</w:t>
      </w:r>
      <w:proofErr w:type="spellEnd"/>
      <w:r>
        <w:rPr>
          <w:rFonts w:ascii="Times New Roman" w:eastAsia="Times New Roman" w:hAnsi="Times New Roman" w:cs="Times New Roman"/>
          <w:sz w:val="24"/>
          <w:szCs w:val="24"/>
          <w:highlight w:val="white"/>
        </w:rPr>
        <w:t xml:space="preserve">, N. S. (2025). Economic Burden of </w:t>
      </w:r>
      <w:proofErr w:type="spellStart"/>
      <w:r>
        <w:rPr>
          <w:rFonts w:ascii="Times New Roman" w:eastAsia="Times New Roman" w:hAnsi="Times New Roman" w:cs="Times New Roman"/>
          <w:sz w:val="24"/>
          <w:szCs w:val="24"/>
          <w:highlight w:val="white"/>
        </w:rPr>
        <w:t>Haemophilia</w:t>
      </w:r>
      <w:proofErr w:type="spellEnd"/>
      <w:r>
        <w:rPr>
          <w:rFonts w:ascii="Times New Roman" w:eastAsia="Times New Roman" w:hAnsi="Times New Roman" w:cs="Times New Roman"/>
          <w:sz w:val="24"/>
          <w:szCs w:val="24"/>
          <w:highlight w:val="white"/>
        </w:rPr>
        <w:t xml:space="preserve"> from a Societal Perspective: A Scoping Review. </w:t>
      </w:r>
      <w:proofErr w:type="spellStart"/>
      <w:r>
        <w:rPr>
          <w:rFonts w:ascii="Times New Roman" w:eastAsia="Times New Roman" w:hAnsi="Times New Roman" w:cs="Times New Roman"/>
          <w:i/>
          <w:iCs/>
          <w:sz w:val="24"/>
          <w:szCs w:val="24"/>
          <w:highlight w:val="white"/>
        </w:rPr>
        <w:t>PharmacoEconomics</w:t>
      </w:r>
      <w:proofErr w:type="spellEnd"/>
      <w:r>
        <w:rPr>
          <w:rFonts w:ascii="Times New Roman" w:eastAsia="Times New Roman" w:hAnsi="Times New Roman" w:cs="Times New Roman"/>
          <w:i/>
          <w:iCs/>
          <w:sz w:val="24"/>
          <w:szCs w:val="24"/>
          <w:highlight w:val="white"/>
        </w:rPr>
        <w:t xml:space="preserve"> - open</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9</w:t>
      </w:r>
      <w:r>
        <w:rPr>
          <w:rFonts w:ascii="Times New Roman" w:eastAsia="Times New Roman" w:hAnsi="Times New Roman" w:cs="Times New Roman"/>
          <w:sz w:val="24"/>
          <w:szCs w:val="24"/>
          <w:highlight w:val="white"/>
        </w:rPr>
        <w:t>(2), 179–205. https://doi.org/10.100</w:t>
      </w:r>
      <w:r>
        <w:rPr>
          <w:rFonts w:ascii="Times New Roman" w:eastAsia="Times New Roman" w:hAnsi="Times New Roman" w:cs="Times New Roman"/>
          <w:sz w:val="24"/>
          <w:szCs w:val="24"/>
          <w:highlight w:val="white"/>
        </w:rPr>
        <w:t>7/s41669-024-00540-4</w:t>
      </w:r>
    </w:p>
    <w:p w:rsidR="00E46DF7" w:rsidRDefault="00597711">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Funding, E., Lowe, G., Poulsen, L. H., Shapiro, S., Oldenburg, J., Eriksson, D., Falk, A., &amp; Rich, C. (2023). Real-World Effectiveness of </w:t>
      </w:r>
      <w:proofErr w:type="spellStart"/>
      <w:r>
        <w:rPr>
          <w:rFonts w:ascii="Times New Roman" w:eastAsia="Times New Roman" w:hAnsi="Times New Roman" w:cs="Times New Roman"/>
          <w:sz w:val="24"/>
          <w:szCs w:val="24"/>
          <w:highlight w:val="white"/>
        </w:rPr>
        <w:t>rFIXFc</w:t>
      </w:r>
      <w:proofErr w:type="spellEnd"/>
      <w:r>
        <w:rPr>
          <w:rFonts w:ascii="Times New Roman" w:eastAsia="Times New Roman" w:hAnsi="Times New Roman" w:cs="Times New Roman"/>
          <w:sz w:val="24"/>
          <w:szCs w:val="24"/>
          <w:highlight w:val="white"/>
        </w:rPr>
        <w:t xml:space="preserve"> Prophylaxis in Patients with </w:t>
      </w:r>
      <w:proofErr w:type="spellStart"/>
      <w:r>
        <w:rPr>
          <w:rFonts w:ascii="Times New Roman" w:eastAsia="Times New Roman" w:hAnsi="Times New Roman" w:cs="Times New Roman"/>
          <w:sz w:val="24"/>
          <w:szCs w:val="24"/>
          <w:highlight w:val="white"/>
        </w:rPr>
        <w:t>Haemophilia</w:t>
      </w:r>
      <w:proofErr w:type="spellEnd"/>
      <w:r>
        <w:rPr>
          <w:rFonts w:ascii="Times New Roman" w:eastAsia="Times New Roman" w:hAnsi="Times New Roman" w:cs="Times New Roman"/>
          <w:sz w:val="24"/>
          <w:szCs w:val="24"/>
          <w:highlight w:val="white"/>
        </w:rPr>
        <w:t xml:space="preserve"> B Switched from Standard Half-Life Therapy in Thr</w:t>
      </w:r>
      <w:r>
        <w:rPr>
          <w:rFonts w:ascii="Times New Roman" w:eastAsia="Times New Roman" w:hAnsi="Times New Roman" w:cs="Times New Roman"/>
          <w:sz w:val="24"/>
          <w:szCs w:val="24"/>
          <w:highlight w:val="white"/>
        </w:rPr>
        <w:t xml:space="preserve">ee European Countries. </w:t>
      </w:r>
      <w:r>
        <w:rPr>
          <w:rFonts w:ascii="Times New Roman" w:eastAsia="Times New Roman" w:hAnsi="Times New Roman" w:cs="Times New Roman"/>
          <w:i/>
          <w:iCs/>
          <w:sz w:val="24"/>
          <w:szCs w:val="24"/>
          <w:highlight w:val="white"/>
        </w:rPr>
        <w:t>Advances in therapy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40</w:t>
      </w:r>
      <w:r>
        <w:rPr>
          <w:rFonts w:ascii="Times New Roman" w:eastAsia="Times New Roman" w:hAnsi="Times New Roman" w:cs="Times New Roman"/>
          <w:sz w:val="24"/>
          <w:szCs w:val="24"/>
          <w:highlight w:val="white"/>
        </w:rPr>
        <w:t>(9), 3770–3783. https://doi.org/10.1007/s12325-023-02559-1</w:t>
      </w:r>
    </w:p>
    <w:p w:rsidR="00E46DF7" w:rsidRDefault="00597711">
      <w:pPr>
        <w:spacing w:before="240"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Goldmann</w:t>
      </w:r>
      <w:proofErr w:type="spellEnd"/>
      <w:r>
        <w:rPr>
          <w:rFonts w:ascii="Times New Roman" w:eastAsia="Times New Roman" w:hAnsi="Times New Roman" w:cs="Times New Roman"/>
          <w:sz w:val="24"/>
          <w:szCs w:val="24"/>
          <w:highlight w:val="white"/>
        </w:rPr>
        <w:t xml:space="preserve">, G., Marquardt, N., </w:t>
      </w:r>
      <w:proofErr w:type="spellStart"/>
      <w:r>
        <w:rPr>
          <w:rFonts w:ascii="Times New Roman" w:eastAsia="Times New Roman" w:hAnsi="Times New Roman" w:cs="Times New Roman"/>
          <w:sz w:val="24"/>
          <w:szCs w:val="24"/>
          <w:highlight w:val="white"/>
        </w:rPr>
        <w:t>Horneff</w:t>
      </w:r>
      <w:proofErr w:type="spellEnd"/>
      <w:r>
        <w:rPr>
          <w:rFonts w:ascii="Times New Roman" w:eastAsia="Times New Roman" w:hAnsi="Times New Roman" w:cs="Times New Roman"/>
          <w:sz w:val="24"/>
          <w:szCs w:val="24"/>
          <w:highlight w:val="white"/>
        </w:rPr>
        <w:t>, S., Klein, C., Albert, T., &amp; Oldenburg, J. (2021). Real-world clinical experience of extended half-life recombina</w:t>
      </w:r>
      <w:r>
        <w:rPr>
          <w:rFonts w:ascii="Times New Roman" w:eastAsia="Times New Roman" w:hAnsi="Times New Roman" w:cs="Times New Roman"/>
          <w:sz w:val="24"/>
          <w:szCs w:val="24"/>
          <w:highlight w:val="white"/>
        </w:rPr>
        <w:t>nt factor VIII Fc fusion protein (</w:t>
      </w:r>
      <w:proofErr w:type="spellStart"/>
      <w:r>
        <w:rPr>
          <w:rFonts w:ascii="Times New Roman" w:eastAsia="Times New Roman" w:hAnsi="Times New Roman" w:cs="Times New Roman"/>
          <w:sz w:val="24"/>
          <w:szCs w:val="24"/>
          <w:highlight w:val="white"/>
        </w:rPr>
        <w:t>rFVIIIFc</w:t>
      </w:r>
      <w:proofErr w:type="spellEnd"/>
      <w:r>
        <w:rPr>
          <w:rFonts w:ascii="Times New Roman" w:eastAsia="Times New Roman" w:hAnsi="Times New Roman" w:cs="Times New Roman"/>
          <w:sz w:val="24"/>
          <w:szCs w:val="24"/>
          <w:highlight w:val="white"/>
        </w:rPr>
        <w:t xml:space="preserve">) in comparison to conventional factor products in patients with severe hemophilia A. </w:t>
      </w:r>
      <w:r>
        <w:rPr>
          <w:rFonts w:ascii="Times New Roman" w:eastAsia="Times New Roman" w:hAnsi="Times New Roman" w:cs="Times New Roman"/>
          <w:i/>
          <w:iCs/>
          <w:sz w:val="24"/>
          <w:szCs w:val="24"/>
          <w:highlight w:val="white"/>
        </w:rPr>
        <w:t>CMRO</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4</w:t>
      </w:r>
      <w:r>
        <w:rPr>
          <w:rFonts w:ascii="Times New Roman" w:eastAsia="Times New Roman" w:hAnsi="Times New Roman" w:cs="Times New Roman"/>
          <w:sz w:val="24"/>
          <w:szCs w:val="24"/>
          <w:highlight w:val="white"/>
        </w:rPr>
        <w:t xml:space="preserve">(5), 950-60. </w:t>
      </w:r>
      <w:hyperlink r:id="rId21">
        <w:r w:rsidR="00E46DF7">
          <w:rPr>
            <w:rFonts w:ascii="Times New Roman" w:eastAsia="Times New Roman" w:hAnsi="Times New Roman" w:cs="Times New Roman"/>
            <w:sz w:val="24"/>
            <w:szCs w:val="24"/>
            <w:highlight w:val="white"/>
            <w:u w:val="single"/>
          </w:rPr>
          <w:t>https://doi.org/10.15520/jcmro.v4i05.422</w:t>
        </w:r>
      </w:hyperlink>
    </w:p>
    <w:p w:rsidR="00E46DF7" w:rsidRDefault="00597711">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Gooding, R., </w:t>
      </w:r>
      <w:proofErr w:type="spellStart"/>
      <w:r>
        <w:rPr>
          <w:rFonts w:ascii="Times New Roman" w:eastAsia="Times New Roman" w:hAnsi="Times New Roman" w:cs="Times New Roman"/>
          <w:sz w:val="24"/>
          <w:szCs w:val="24"/>
          <w:highlight w:val="white"/>
        </w:rPr>
        <w:t>Thachil</w:t>
      </w:r>
      <w:proofErr w:type="spellEnd"/>
      <w:r>
        <w:rPr>
          <w:rFonts w:ascii="Times New Roman" w:eastAsia="Times New Roman" w:hAnsi="Times New Roman" w:cs="Times New Roman"/>
          <w:sz w:val="24"/>
          <w:szCs w:val="24"/>
          <w:highlight w:val="white"/>
        </w:rPr>
        <w:t xml:space="preserve">, J., </w:t>
      </w:r>
      <w:proofErr w:type="spellStart"/>
      <w:r>
        <w:rPr>
          <w:rFonts w:ascii="Times New Roman" w:eastAsia="Times New Roman" w:hAnsi="Times New Roman" w:cs="Times New Roman"/>
          <w:sz w:val="24"/>
          <w:szCs w:val="24"/>
          <w:highlight w:val="white"/>
        </w:rPr>
        <w:t>Alamelu</w:t>
      </w:r>
      <w:proofErr w:type="spellEnd"/>
      <w:r>
        <w:rPr>
          <w:rFonts w:ascii="Times New Roman" w:eastAsia="Times New Roman" w:hAnsi="Times New Roman" w:cs="Times New Roman"/>
          <w:sz w:val="24"/>
          <w:szCs w:val="24"/>
          <w:highlight w:val="white"/>
        </w:rPr>
        <w:t xml:space="preserve">, J., Motwani, J., &amp; Chowdary, P. (2021). Asymptomatic Joint Bleeding and Joint Health in Hemophilia: A Review of Variables, Methods, and Biomarkers. </w:t>
      </w:r>
      <w:r>
        <w:rPr>
          <w:rFonts w:ascii="Times New Roman" w:eastAsia="Times New Roman" w:hAnsi="Times New Roman" w:cs="Times New Roman"/>
          <w:i/>
          <w:iCs/>
          <w:sz w:val="24"/>
          <w:szCs w:val="24"/>
          <w:highlight w:val="white"/>
        </w:rPr>
        <w:t>Journal of blood medicine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12</w:t>
      </w:r>
      <w:r>
        <w:rPr>
          <w:rFonts w:ascii="Times New Roman" w:eastAsia="Times New Roman" w:hAnsi="Times New Roman" w:cs="Times New Roman"/>
          <w:sz w:val="24"/>
          <w:szCs w:val="24"/>
          <w:highlight w:val="white"/>
        </w:rPr>
        <w:t xml:space="preserve">, 209–220. </w:t>
      </w:r>
      <w:hyperlink r:id="rId22">
        <w:r w:rsidR="00E46DF7">
          <w:rPr>
            <w:rFonts w:ascii="Times New Roman" w:eastAsia="Times New Roman" w:hAnsi="Times New Roman" w:cs="Times New Roman"/>
            <w:color w:val="1155CC"/>
            <w:sz w:val="24"/>
            <w:szCs w:val="24"/>
            <w:highlight w:val="white"/>
            <w:u w:val="single"/>
          </w:rPr>
          <w:t>https://doi.org/10.2147/JBM.S304597</w:t>
        </w:r>
      </w:hyperlink>
    </w:p>
    <w:p w:rsidR="00E46DF7" w:rsidRDefault="00597711">
      <w:pPr>
        <w:spacing w:before="240"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Iurea</w:t>
      </w:r>
      <w:proofErr w:type="spellEnd"/>
      <w:r>
        <w:rPr>
          <w:rFonts w:ascii="Times New Roman" w:eastAsia="Times New Roman" w:hAnsi="Times New Roman" w:cs="Times New Roman"/>
          <w:sz w:val="24"/>
          <w:szCs w:val="24"/>
          <w:highlight w:val="white"/>
        </w:rPr>
        <w:t xml:space="preserve">, I. M., Severin, E., &amp; </w:t>
      </w:r>
      <w:proofErr w:type="spellStart"/>
      <w:r>
        <w:rPr>
          <w:rFonts w:ascii="Times New Roman" w:eastAsia="Times New Roman" w:hAnsi="Times New Roman" w:cs="Times New Roman"/>
          <w:sz w:val="24"/>
          <w:szCs w:val="24"/>
          <w:highlight w:val="white"/>
        </w:rPr>
        <w:t>Matei</w:t>
      </w:r>
      <w:proofErr w:type="spellEnd"/>
      <w:r>
        <w:rPr>
          <w:rFonts w:ascii="Times New Roman" w:eastAsia="Times New Roman" w:hAnsi="Times New Roman" w:cs="Times New Roman"/>
          <w:sz w:val="24"/>
          <w:szCs w:val="24"/>
          <w:highlight w:val="white"/>
        </w:rPr>
        <w:t xml:space="preserve">, A. (2024). Transforming </w:t>
      </w:r>
      <w:proofErr w:type="gramStart"/>
      <w:r>
        <w:rPr>
          <w:rFonts w:ascii="Times New Roman" w:eastAsia="Times New Roman" w:hAnsi="Times New Roman" w:cs="Times New Roman"/>
          <w:sz w:val="24"/>
          <w:szCs w:val="24"/>
          <w:highlight w:val="white"/>
        </w:rPr>
        <w:t>Hemophilia</w:t>
      </w:r>
      <w:proofErr w:type="gramEnd"/>
      <w:r>
        <w:rPr>
          <w:rFonts w:ascii="Times New Roman" w:eastAsia="Times New Roman" w:hAnsi="Times New Roman" w:cs="Times New Roman"/>
          <w:sz w:val="24"/>
          <w:szCs w:val="24"/>
          <w:highlight w:val="white"/>
        </w:rPr>
        <w:t xml:space="preserve"> A Care: Insights into New Therapeutic Options. </w:t>
      </w:r>
      <w:r>
        <w:rPr>
          <w:rFonts w:ascii="Times New Roman" w:eastAsia="Times New Roman" w:hAnsi="Times New Roman" w:cs="Times New Roman"/>
          <w:i/>
          <w:iCs/>
          <w:sz w:val="24"/>
          <w:szCs w:val="24"/>
          <w:highlight w:val="white"/>
        </w:rPr>
        <w:t>Life (Basel, Switzerland)</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14</w:t>
      </w:r>
      <w:r>
        <w:rPr>
          <w:rFonts w:ascii="Times New Roman" w:eastAsia="Times New Roman" w:hAnsi="Times New Roman" w:cs="Times New Roman"/>
          <w:sz w:val="24"/>
          <w:szCs w:val="24"/>
          <w:highlight w:val="white"/>
        </w:rPr>
        <w:t>(12), 1568. https://doi.org/10.3390/life14121568</w:t>
      </w:r>
    </w:p>
    <w:p w:rsidR="00E46DF7" w:rsidRDefault="00597711">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Je</w:t>
      </w:r>
      <w:r>
        <w:rPr>
          <w:rFonts w:ascii="Times New Roman" w:eastAsia="Times New Roman" w:hAnsi="Times New Roman" w:cs="Times New Roman"/>
          <w:sz w:val="24"/>
          <w:szCs w:val="24"/>
          <w:highlight w:val="white"/>
        </w:rPr>
        <w:t xml:space="preserve">na, R. K., </w:t>
      </w:r>
      <w:proofErr w:type="spellStart"/>
      <w:r>
        <w:rPr>
          <w:rFonts w:ascii="Times New Roman" w:eastAsia="Times New Roman" w:hAnsi="Times New Roman" w:cs="Times New Roman"/>
          <w:sz w:val="24"/>
          <w:szCs w:val="24"/>
          <w:highlight w:val="white"/>
        </w:rPr>
        <w:t>Dolai</w:t>
      </w:r>
      <w:proofErr w:type="spellEnd"/>
      <w:r>
        <w:rPr>
          <w:rFonts w:ascii="Times New Roman" w:eastAsia="Times New Roman" w:hAnsi="Times New Roman" w:cs="Times New Roman"/>
          <w:sz w:val="24"/>
          <w:szCs w:val="24"/>
          <w:highlight w:val="white"/>
        </w:rPr>
        <w:t xml:space="preserve">, T. K., Bhattacharyya, J., Garg, K., </w:t>
      </w:r>
      <w:proofErr w:type="spellStart"/>
      <w:r>
        <w:rPr>
          <w:rFonts w:ascii="Times New Roman" w:eastAsia="Times New Roman" w:hAnsi="Times New Roman" w:cs="Times New Roman"/>
          <w:sz w:val="24"/>
          <w:szCs w:val="24"/>
          <w:highlight w:val="white"/>
        </w:rPr>
        <w:t>Sethy</w:t>
      </w:r>
      <w:proofErr w:type="spellEnd"/>
      <w:r>
        <w:rPr>
          <w:rFonts w:ascii="Times New Roman" w:eastAsia="Times New Roman" w:hAnsi="Times New Roman" w:cs="Times New Roman"/>
          <w:sz w:val="24"/>
          <w:szCs w:val="24"/>
          <w:highlight w:val="white"/>
        </w:rPr>
        <w:t xml:space="preserve">, S., Jha, S. C., Meena, L. P., </w:t>
      </w:r>
      <w:proofErr w:type="spellStart"/>
      <w:r>
        <w:rPr>
          <w:rFonts w:ascii="Times New Roman" w:eastAsia="Times New Roman" w:hAnsi="Times New Roman" w:cs="Times New Roman"/>
          <w:sz w:val="24"/>
          <w:szCs w:val="24"/>
          <w:highlight w:val="white"/>
        </w:rPr>
        <w:t>Varadarajan</w:t>
      </w:r>
      <w:proofErr w:type="spellEnd"/>
      <w:r>
        <w:rPr>
          <w:rFonts w:ascii="Times New Roman" w:eastAsia="Times New Roman" w:hAnsi="Times New Roman" w:cs="Times New Roman"/>
          <w:sz w:val="24"/>
          <w:szCs w:val="24"/>
          <w:highlight w:val="white"/>
        </w:rPr>
        <w:t xml:space="preserve">, M., Das, D., Patel, N., Singh, A. I., &amp; </w:t>
      </w:r>
      <w:proofErr w:type="spellStart"/>
      <w:r>
        <w:rPr>
          <w:rFonts w:ascii="Times New Roman" w:eastAsia="Times New Roman" w:hAnsi="Times New Roman" w:cs="Times New Roman"/>
          <w:sz w:val="24"/>
          <w:szCs w:val="24"/>
          <w:highlight w:val="white"/>
        </w:rPr>
        <w:t>Nevrekar</w:t>
      </w:r>
      <w:proofErr w:type="spellEnd"/>
      <w:r>
        <w:rPr>
          <w:rFonts w:ascii="Times New Roman" w:eastAsia="Times New Roman" w:hAnsi="Times New Roman" w:cs="Times New Roman"/>
          <w:sz w:val="24"/>
          <w:szCs w:val="24"/>
          <w:highlight w:val="white"/>
        </w:rPr>
        <w:t xml:space="preserve">, R. (2025). Unmet Needs in Hemophilia: A Narrative Review. </w:t>
      </w:r>
      <w:r>
        <w:rPr>
          <w:rFonts w:ascii="Times New Roman" w:eastAsia="Times New Roman" w:hAnsi="Times New Roman" w:cs="Times New Roman"/>
          <w:i/>
          <w:iCs/>
          <w:sz w:val="24"/>
          <w:szCs w:val="24"/>
          <w:highlight w:val="white"/>
        </w:rPr>
        <w:t>The Journal of the Association of Physicians</w:t>
      </w:r>
      <w:r>
        <w:rPr>
          <w:rFonts w:ascii="Times New Roman" w:eastAsia="Times New Roman" w:hAnsi="Times New Roman" w:cs="Times New Roman"/>
          <w:i/>
          <w:iCs/>
          <w:sz w:val="24"/>
          <w:szCs w:val="24"/>
          <w:highlight w:val="white"/>
        </w:rPr>
        <w:t xml:space="preserve"> of India</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73</w:t>
      </w:r>
      <w:r>
        <w:rPr>
          <w:rFonts w:ascii="Times New Roman" w:eastAsia="Times New Roman" w:hAnsi="Times New Roman" w:cs="Times New Roman"/>
          <w:sz w:val="24"/>
          <w:szCs w:val="24"/>
          <w:highlight w:val="white"/>
        </w:rPr>
        <w:t xml:space="preserve">(7), e61–e65. </w:t>
      </w:r>
      <w:hyperlink r:id="rId23">
        <w:r w:rsidR="00E46DF7">
          <w:rPr>
            <w:rFonts w:ascii="Times New Roman" w:eastAsia="Times New Roman" w:hAnsi="Times New Roman" w:cs="Times New Roman"/>
            <w:color w:val="1155CC"/>
            <w:sz w:val="24"/>
            <w:szCs w:val="24"/>
            <w:highlight w:val="white"/>
            <w:u w:val="single"/>
          </w:rPr>
          <w:t>https://doi.org/10.59556/japi.73.1055</w:t>
        </w:r>
      </w:hyperlink>
    </w:p>
    <w:p w:rsidR="00E46DF7" w:rsidRDefault="00597711">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Jiménez-</w:t>
      </w:r>
      <w:proofErr w:type="spellStart"/>
      <w:r>
        <w:rPr>
          <w:rFonts w:ascii="Times New Roman" w:eastAsia="Times New Roman" w:hAnsi="Times New Roman" w:cs="Times New Roman"/>
          <w:sz w:val="24"/>
          <w:szCs w:val="24"/>
          <w:highlight w:val="white"/>
        </w:rPr>
        <w:t>Yuste</w:t>
      </w:r>
      <w:proofErr w:type="spellEnd"/>
      <w:r>
        <w:rPr>
          <w:rFonts w:ascii="Times New Roman" w:eastAsia="Times New Roman" w:hAnsi="Times New Roman" w:cs="Times New Roman"/>
          <w:sz w:val="24"/>
          <w:szCs w:val="24"/>
          <w:highlight w:val="white"/>
        </w:rPr>
        <w:t xml:space="preserve">, V., </w:t>
      </w:r>
      <w:proofErr w:type="spellStart"/>
      <w:r>
        <w:rPr>
          <w:rFonts w:ascii="Times New Roman" w:eastAsia="Times New Roman" w:hAnsi="Times New Roman" w:cs="Times New Roman"/>
          <w:sz w:val="24"/>
          <w:szCs w:val="24"/>
          <w:highlight w:val="white"/>
        </w:rPr>
        <w:t>Percier</w:t>
      </w:r>
      <w:proofErr w:type="spellEnd"/>
      <w:r>
        <w:rPr>
          <w:rFonts w:ascii="Times New Roman" w:eastAsia="Times New Roman" w:hAnsi="Times New Roman" w:cs="Times New Roman"/>
          <w:sz w:val="24"/>
          <w:szCs w:val="24"/>
          <w:highlight w:val="white"/>
        </w:rPr>
        <w:t xml:space="preserve">, C., Shridhar, N., Reynolds, N., </w:t>
      </w:r>
      <w:proofErr w:type="spellStart"/>
      <w:r>
        <w:rPr>
          <w:rFonts w:ascii="Times New Roman" w:eastAsia="Times New Roman" w:hAnsi="Times New Roman" w:cs="Times New Roman"/>
          <w:sz w:val="24"/>
          <w:szCs w:val="24"/>
          <w:highlight w:val="white"/>
        </w:rPr>
        <w:t>Rajkovic</w:t>
      </w:r>
      <w:proofErr w:type="spellEnd"/>
      <w:r>
        <w:rPr>
          <w:rFonts w:ascii="Times New Roman" w:eastAsia="Times New Roman" w:hAnsi="Times New Roman" w:cs="Times New Roman"/>
          <w:sz w:val="24"/>
          <w:szCs w:val="24"/>
          <w:highlight w:val="white"/>
        </w:rPr>
        <w:t xml:space="preserve">-Hooley, O., Dewar, T., &amp; </w:t>
      </w:r>
      <w:proofErr w:type="spellStart"/>
      <w:r>
        <w:rPr>
          <w:rFonts w:ascii="Times New Roman" w:eastAsia="Times New Roman" w:hAnsi="Times New Roman" w:cs="Times New Roman"/>
          <w:sz w:val="24"/>
          <w:szCs w:val="24"/>
          <w:highlight w:val="white"/>
        </w:rPr>
        <w:t>Castaman</w:t>
      </w:r>
      <w:proofErr w:type="spellEnd"/>
      <w:r>
        <w:rPr>
          <w:rFonts w:ascii="Times New Roman" w:eastAsia="Times New Roman" w:hAnsi="Times New Roman" w:cs="Times New Roman"/>
          <w:sz w:val="24"/>
          <w:szCs w:val="24"/>
          <w:highlight w:val="white"/>
        </w:rPr>
        <w:t>, G. (2024). Burden of Treatment</w:t>
      </w:r>
      <w:r>
        <w:rPr>
          <w:rFonts w:ascii="Times New Roman" w:eastAsia="Times New Roman" w:hAnsi="Times New Roman" w:cs="Times New Roman"/>
          <w:sz w:val="24"/>
          <w:szCs w:val="24"/>
          <w:highlight w:val="white"/>
        </w:rPr>
        <w:t xml:space="preserve"> on People with Hemophilia: Global Real-World Data. </w:t>
      </w:r>
      <w:r>
        <w:rPr>
          <w:rFonts w:ascii="Times New Roman" w:eastAsia="Times New Roman" w:hAnsi="Times New Roman" w:cs="Times New Roman"/>
          <w:i/>
          <w:iCs/>
          <w:sz w:val="24"/>
          <w:szCs w:val="24"/>
          <w:highlight w:val="white"/>
        </w:rPr>
        <w:t>Blood</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144</w:t>
      </w:r>
      <w:r>
        <w:rPr>
          <w:rFonts w:ascii="Times New Roman" w:eastAsia="Times New Roman" w:hAnsi="Times New Roman" w:cs="Times New Roman"/>
          <w:sz w:val="24"/>
          <w:szCs w:val="24"/>
          <w:highlight w:val="white"/>
        </w:rPr>
        <w:t xml:space="preserve">, 5077. </w:t>
      </w:r>
      <w:hyperlink r:id="rId24">
        <w:r w:rsidR="00E46DF7">
          <w:rPr>
            <w:rFonts w:ascii="Times New Roman" w:eastAsia="Times New Roman" w:hAnsi="Times New Roman" w:cs="Times New Roman"/>
            <w:sz w:val="24"/>
            <w:szCs w:val="24"/>
            <w:highlight w:val="white"/>
            <w:u w:val="single"/>
          </w:rPr>
          <w:t>https://doi.org/10.1182/blood-2024-200008</w:t>
        </w:r>
      </w:hyperlink>
    </w:p>
    <w:p w:rsidR="00E46DF7" w:rsidRDefault="00597711">
      <w:pPr>
        <w:spacing w:before="240"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Klamroth</w:t>
      </w:r>
      <w:proofErr w:type="spellEnd"/>
      <w:r>
        <w:rPr>
          <w:rFonts w:ascii="Times New Roman" w:eastAsia="Times New Roman" w:hAnsi="Times New Roman" w:cs="Times New Roman"/>
          <w:sz w:val="24"/>
          <w:szCs w:val="24"/>
          <w:highlight w:val="white"/>
        </w:rPr>
        <w:t xml:space="preserve">, R., </w:t>
      </w:r>
      <w:proofErr w:type="spellStart"/>
      <w:r>
        <w:rPr>
          <w:rFonts w:ascii="Times New Roman" w:eastAsia="Times New Roman" w:hAnsi="Times New Roman" w:cs="Times New Roman"/>
          <w:sz w:val="24"/>
          <w:szCs w:val="24"/>
          <w:highlight w:val="white"/>
        </w:rPr>
        <w:t>Kragh</w:t>
      </w:r>
      <w:proofErr w:type="spellEnd"/>
      <w:r>
        <w:rPr>
          <w:rFonts w:ascii="Times New Roman" w:eastAsia="Times New Roman" w:hAnsi="Times New Roman" w:cs="Times New Roman"/>
          <w:sz w:val="24"/>
          <w:szCs w:val="24"/>
          <w:highlight w:val="white"/>
        </w:rPr>
        <w:t xml:space="preserve">, N., Arnaud, A., Guyot, P., Wilson, A., Wojciechowski, P., </w:t>
      </w:r>
      <w:proofErr w:type="spellStart"/>
      <w:r>
        <w:rPr>
          <w:rFonts w:ascii="Times New Roman" w:eastAsia="Times New Roman" w:hAnsi="Times New Roman" w:cs="Times New Roman"/>
          <w:sz w:val="24"/>
          <w:szCs w:val="24"/>
          <w:highlight w:val="white"/>
        </w:rPr>
        <w:t>Wdow</w:t>
      </w:r>
      <w:r>
        <w:rPr>
          <w:rFonts w:ascii="Times New Roman" w:eastAsia="Times New Roman" w:hAnsi="Times New Roman" w:cs="Times New Roman"/>
          <w:sz w:val="24"/>
          <w:szCs w:val="24"/>
          <w:highlight w:val="white"/>
        </w:rPr>
        <w:t>iak</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Margas</w:t>
      </w:r>
      <w:proofErr w:type="spellEnd"/>
      <w:r>
        <w:rPr>
          <w:rFonts w:ascii="Times New Roman" w:eastAsia="Times New Roman" w:hAnsi="Times New Roman" w:cs="Times New Roman"/>
          <w:sz w:val="24"/>
          <w:szCs w:val="24"/>
          <w:highlight w:val="white"/>
        </w:rPr>
        <w:t xml:space="preserve">, W., </w:t>
      </w:r>
      <w:proofErr w:type="spellStart"/>
      <w:r>
        <w:rPr>
          <w:rFonts w:ascii="Times New Roman" w:eastAsia="Times New Roman" w:hAnsi="Times New Roman" w:cs="Times New Roman"/>
          <w:sz w:val="24"/>
          <w:szCs w:val="24"/>
          <w:highlight w:val="white"/>
        </w:rPr>
        <w:t>Bystrická</w:t>
      </w:r>
      <w:proofErr w:type="spellEnd"/>
      <w:r>
        <w:rPr>
          <w:rFonts w:ascii="Times New Roman" w:eastAsia="Times New Roman" w:hAnsi="Times New Roman" w:cs="Times New Roman"/>
          <w:sz w:val="24"/>
          <w:szCs w:val="24"/>
          <w:highlight w:val="white"/>
        </w:rPr>
        <w:t xml:space="preserve">, L., &amp; </w:t>
      </w:r>
      <w:proofErr w:type="spellStart"/>
      <w:r>
        <w:rPr>
          <w:rFonts w:ascii="Times New Roman" w:eastAsia="Times New Roman" w:hAnsi="Times New Roman" w:cs="Times New Roman"/>
          <w:sz w:val="24"/>
          <w:szCs w:val="24"/>
          <w:highlight w:val="white"/>
        </w:rPr>
        <w:t>Tosetto</w:t>
      </w:r>
      <w:proofErr w:type="spellEnd"/>
      <w:r>
        <w:rPr>
          <w:rFonts w:ascii="Times New Roman" w:eastAsia="Times New Roman" w:hAnsi="Times New Roman" w:cs="Times New Roman"/>
          <w:sz w:val="24"/>
          <w:szCs w:val="24"/>
          <w:highlight w:val="white"/>
        </w:rPr>
        <w:t xml:space="preserve">, A. (2025). </w:t>
      </w:r>
      <w:proofErr w:type="spellStart"/>
      <w:r>
        <w:rPr>
          <w:rFonts w:ascii="Times New Roman" w:eastAsia="Times New Roman" w:hAnsi="Times New Roman" w:cs="Times New Roman"/>
          <w:sz w:val="24"/>
          <w:szCs w:val="24"/>
          <w:highlight w:val="white"/>
        </w:rPr>
        <w:t>Efanesoctocog</w:t>
      </w:r>
      <w:proofErr w:type="spellEnd"/>
      <w:r>
        <w:rPr>
          <w:rFonts w:ascii="Times New Roman" w:eastAsia="Times New Roman" w:hAnsi="Times New Roman" w:cs="Times New Roman"/>
          <w:sz w:val="24"/>
          <w:szCs w:val="24"/>
          <w:highlight w:val="white"/>
        </w:rPr>
        <w:t xml:space="preserve"> Alfa versus Standard and Extended Half-Life Factor VIII Prophylaxis in Adolescent and Adult Patients with </w:t>
      </w:r>
      <w:proofErr w:type="spellStart"/>
      <w:r>
        <w:rPr>
          <w:rFonts w:ascii="Times New Roman" w:eastAsia="Times New Roman" w:hAnsi="Times New Roman" w:cs="Times New Roman"/>
          <w:sz w:val="24"/>
          <w:szCs w:val="24"/>
          <w:highlight w:val="white"/>
        </w:rPr>
        <w:t>Haemophilia</w:t>
      </w:r>
      <w:proofErr w:type="spellEnd"/>
      <w:r>
        <w:rPr>
          <w:rFonts w:ascii="Times New Roman" w:eastAsia="Times New Roman" w:hAnsi="Times New Roman" w:cs="Times New Roman"/>
          <w:sz w:val="24"/>
          <w:szCs w:val="24"/>
          <w:highlight w:val="white"/>
        </w:rPr>
        <w:t xml:space="preserve"> A without Inhibitors. </w:t>
      </w:r>
      <w:r>
        <w:rPr>
          <w:rFonts w:ascii="Times New Roman" w:eastAsia="Times New Roman" w:hAnsi="Times New Roman" w:cs="Times New Roman"/>
          <w:i/>
          <w:iCs/>
          <w:sz w:val="24"/>
          <w:szCs w:val="24"/>
          <w:highlight w:val="white"/>
        </w:rPr>
        <w:t>Advances in therapy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42</w:t>
      </w:r>
      <w:r>
        <w:rPr>
          <w:rFonts w:ascii="Times New Roman" w:eastAsia="Times New Roman" w:hAnsi="Times New Roman" w:cs="Times New Roman"/>
          <w:sz w:val="24"/>
          <w:szCs w:val="24"/>
          <w:highlight w:val="white"/>
        </w:rPr>
        <w:t>(1), 427–441. https:/</w:t>
      </w:r>
      <w:r>
        <w:rPr>
          <w:rFonts w:ascii="Times New Roman" w:eastAsia="Times New Roman" w:hAnsi="Times New Roman" w:cs="Times New Roman"/>
          <w:sz w:val="24"/>
          <w:szCs w:val="24"/>
          <w:highlight w:val="white"/>
        </w:rPr>
        <w:t>/doi.org/10.1007/s12325-024-03032-3</w:t>
      </w:r>
    </w:p>
    <w:p w:rsidR="00E46DF7" w:rsidRDefault="00597711">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Lau, J., Ioannidis, J. P., </w:t>
      </w:r>
      <w:proofErr w:type="spellStart"/>
      <w:r>
        <w:rPr>
          <w:rFonts w:ascii="Times New Roman" w:eastAsia="Times New Roman" w:hAnsi="Times New Roman" w:cs="Times New Roman"/>
          <w:sz w:val="24"/>
          <w:szCs w:val="24"/>
          <w:highlight w:val="white"/>
        </w:rPr>
        <w:t>Terrin</w:t>
      </w:r>
      <w:proofErr w:type="spellEnd"/>
      <w:r>
        <w:rPr>
          <w:rFonts w:ascii="Times New Roman" w:eastAsia="Times New Roman" w:hAnsi="Times New Roman" w:cs="Times New Roman"/>
          <w:sz w:val="24"/>
          <w:szCs w:val="24"/>
          <w:highlight w:val="white"/>
        </w:rPr>
        <w:t xml:space="preserve">, N., Schmid, C. H., &amp; Olkin, I. (2006). The case of the misleading funnel plot. </w:t>
      </w:r>
      <w:r>
        <w:rPr>
          <w:rFonts w:ascii="Times New Roman" w:eastAsia="Times New Roman" w:hAnsi="Times New Roman" w:cs="Times New Roman"/>
          <w:i/>
          <w:iCs/>
          <w:sz w:val="24"/>
          <w:szCs w:val="24"/>
          <w:highlight w:val="white"/>
        </w:rPr>
        <w:t>BMJ (Clinical research ed.)</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333</w:t>
      </w:r>
      <w:r>
        <w:rPr>
          <w:rFonts w:ascii="Times New Roman" w:eastAsia="Times New Roman" w:hAnsi="Times New Roman" w:cs="Times New Roman"/>
          <w:sz w:val="24"/>
          <w:szCs w:val="24"/>
          <w:highlight w:val="white"/>
        </w:rPr>
        <w:t>(7568), 597–600. https://doi.org/10.1136/bmj.333.7568.597</w:t>
      </w:r>
    </w:p>
    <w:p w:rsidR="00E46DF7" w:rsidRDefault="00597711">
      <w:pPr>
        <w:spacing w:before="240"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Lonardi</w:t>
      </w:r>
      <w:proofErr w:type="spellEnd"/>
      <w:r>
        <w:rPr>
          <w:rFonts w:ascii="Times New Roman" w:eastAsia="Times New Roman" w:hAnsi="Times New Roman" w:cs="Times New Roman"/>
          <w:sz w:val="24"/>
          <w:szCs w:val="24"/>
          <w:highlight w:val="white"/>
        </w:rPr>
        <w:t xml:space="preserve">, J., </w:t>
      </w:r>
      <w:proofErr w:type="spellStart"/>
      <w:r>
        <w:rPr>
          <w:rFonts w:ascii="Times New Roman" w:eastAsia="Times New Roman" w:hAnsi="Times New Roman" w:cs="Times New Roman"/>
          <w:sz w:val="24"/>
          <w:szCs w:val="24"/>
          <w:highlight w:val="white"/>
        </w:rPr>
        <w:t>Hal</w:t>
      </w:r>
      <w:r>
        <w:rPr>
          <w:rFonts w:ascii="Times New Roman" w:eastAsia="Times New Roman" w:hAnsi="Times New Roman" w:cs="Times New Roman"/>
          <w:sz w:val="24"/>
          <w:szCs w:val="24"/>
          <w:highlight w:val="white"/>
        </w:rPr>
        <w:t>imeh</w:t>
      </w:r>
      <w:proofErr w:type="spellEnd"/>
      <w:r>
        <w:rPr>
          <w:rFonts w:ascii="Times New Roman" w:eastAsia="Times New Roman" w:hAnsi="Times New Roman" w:cs="Times New Roman"/>
          <w:sz w:val="24"/>
          <w:szCs w:val="24"/>
          <w:highlight w:val="white"/>
        </w:rPr>
        <w:t xml:space="preserve">, S., von </w:t>
      </w:r>
      <w:proofErr w:type="spellStart"/>
      <w:r>
        <w:rPr>
          <w:rFonts w:ascii="Times New Roman" w:eastAsia="Times New Roman" w:hAnsi="Times New Roman" w:cs="Times New Roman"/>
          <w:sz w:val="24"/>
          <w:szCs w:val="24"/>
          <w:highlight w:val="white"/>
        </w:rPr>
        <w:t>Mackensen</w:t>
      </w:r>
      <w:proofErr w:type="spellEnd"/>
      <w:r>
        <w:rPr>
          <w:rFonts w:ascii="Times New Roman" w:eastAsia="Times New Roman" w:hAnsi="Times New Roman" w:cs="Times New Roman"/>
          <w:sz w:val="24"/>
          <w:szCs w:val="24"/>
          <w:highlight w:val="white"/>
        </w:rPr>
        <w:t xml:space="preserve">, S., </w:t>
      </w:r>
      <w:proofErr w:type="spellStart"/>
      <w:r>
        <w:rPr>
          <w:rFonts w:ascii="Times New Roman" w:eastAsia="Times New Roman" w:hAnsi="Times New Roman" w:cs="Times New Roman"/>
          <w:sz w:val="24"/>
          <w:szCs w:val="24"/>
          <w:highlight w:val="white"/>
        </w:rPr>
        <w:t>Kleinlein</w:t>
      </w:r>
      <w:proofErr w:type="spellEnd"/>
      <w:r>
        <w:rPr>
          <w:rFonts w:ascii="Times New Roman" w:eastAsia="Times New Roman" w:hAnsi="Times New Roman" w:cs="Times New Roman"/>
          <w:sz w:val="24"/>
          <w:szCs w:val="24"/>
          <w:highlight w:val="white"/>
        </w:rPr>
        <w:t xml:space="preserve">, L., Fleischer, J., Funk, H., </w:t>
      </w:r>
      <w:proofErr w:type="spellStart"/>
      <w:r>
        <w:rPr>
          <w:rFonts w:ascii="Times New Roman" w:eastAsia="Times New Roman" w:hAnsi="Times New Roman" w:cs="Times New Roman"/>
          <w:sz w:val="24"/>
          <w:szCs w:val="24"/>
          <w:highlight w:val="white"/>
        </w:rPr>
        <w:t>Hölz</w:t>
      </w:r>
      <w:proofErr w:type="spellEnd"/>
      <w:r>
        <w:rPr>
          <w:rFonts w:ascii="Times New Roman" w:eastAsia="Times New Roman" w:hAnsi="Times New Roman" w:cs="Times New Roman"/>
          <w:sz w:val="24"/>
          <w:szCs w:val="24"/>
          <w:highlight w:val="white"/>
        </w:rPr>
        <w:t xml:space="preserve">, J., Holzapfel, J., </w:t>
      </w:r>
      <w:proofErr w:type="spellStart"/>
      <w:r>
        <w:rPr>
          <w:rFonts w:ascii="Times New Roman" w:eastAsia="Times New Roman" w:hAnsi="Times New Roman" w:cs="Times New Roman"/>
          <w:sz w:val="24"/>
          <w:szCs w:val="24"/>
          <w:highlight w:val="white"/>
        </w:rPr>
        <w:t>Juranek</w:t>
      </w:r>
      <w:proofErr w:type="spellEnd"/>
      <w:r>
        <w:rPr>
          <w:rFonts w:ascii="Times New Roman" w:eastAsia="Times New Roman" w:hAnsi="Times New Roman" w:cs="Times New Roman"/>
          <w:sz w:val="24"/>
          <w:szCs w:val="24"/>
          <w:highlight w:val="white"/>
        </w:rPr>
        <w:t xml:space="preserve">, S., </w:t>
      </w:r>
      <w:proofErr w:type="spellStart"/>
      <w:r>
        <w:rPr>
          <w:rFonts w:ascii="Times New Roman" w:eastAsia="Times New Roman" w:hAnsi="Times New Roman" w:cs="Times New Roman"/>
          <w:sz w:val="24"/>
          <w:szCs w:val="24"/>
          <w:highlight w:val="white"/>
        </w:rPr>
        <w:t>Lieftüchter</w:t>
      </w:r>
      <w:proofErr w:type="spellEnd"/>
      <w:r>
        <w:rPr>
          <w:rFonts w:ascii="Times New Roman" w:eastAsia="Times New Roman" w:hAnsi="Times New Roman" w:cs="Times New Roman"/>
          <w:sz w:val="24"/>
          <w:szCs w:val="24"/>
          <w:highlight w:val="white"/>
        </w:rPr>
        <w:t xml:space="preserve">, V., </w:t>
      </w:r>
      <w:proofErr w:type="spellStart"/>
      <w:r>
        <w:rPr>
          <w:rFonts w:ascii="Times New Roman" w:eastAsia="Times New Roman" w:hAnsi="Times New Roman" w:cs="Times New Roman"/>
          <w:sz w:val="24"/>
          <w:szCs w:val="24"/>
          <w:highlight w:val="white"/>
        </w:rPr>
        <w:t>Bidlingmaier</w:t>
      </w:r>
      <w:proofErr w:type="spellEnd"/>
      <w:r>
        <w:rPr>
          <w:rFonts w:ascii="Times New Roman" w:eastAsia="Times New Roman" w:hAnsi="Times New Roman" w:cs="Times New Roman"/>
          <w:sz w:val="24"/>
          <w:szCs w:val="24"/>
          <w:highlight w:val="white"/>
        </w:rPr>
        <w:t xml:space="preserve">, C., &amp; </w:t>
      </w:r>
      <w:proofErr w:type="spellStart"/>
      <w:r>
        <w:rPr>
          <w:rFonts w:ascii="Times New Roman" w:eastAsia="Times New Roman" w:hAnsi="Times New Roman" w:cs="Times New Roman"/>
          <w:sz w:val="24"/>
          <w:szCs w:val="24"/>
          <w:highlight w:val="white"/>
        </w:rPr>
        <w:t>Olivieri</w:t>
      </w:r>
      <w:proofErr w:type="spellEnd"/>
      <w:r>
        <w:rPr>
          <w:rFonts w:ascii="Times New Roman" w:eastAsia="Times New Roman" w:hAnsi="Times New Roman" w:cs="Times New Roman"/>
          <w:sz w:val="24"/>
          <w:szCs w:val="24"/>
          <w:highlight w:val="white"/>
        </w:rPr>
        <w:t xml:space="preserve">, M. (2025). HAEMFIX: Impact of Switching From SHL-FIX to EHL-FIX in Patients With </w:t>
      </w:r>
      <w:proofErr w:type="spellStart"/>
      <w:r>
        <w:rPr>
          <w:rFonts w:ascii="Times New Roman" w:eastAsia="Times New Roman" w:hAnsi="Times New Roman" w:cs="Times New Roman"/>
          <w:sz w:val="24"/>
          <w:szCs w:val="24"/>
          <w:highlight w:val="white"/>
        </w:rPr>
        <w:t>Haemophilia</w:t>
      </w:r>
      <w:proofErr w:type="spellEnd"/>
      <w:r>
        <w:rPr>
          <w:rFonts w:ascii="Times New Roman" w:eastAsia="Times New Roman" w:hAnsi="Times New Roman" w:cs="Times New Roman"/>
          <w:sz w:val="24"/>
          <w:szCs w:val="24"/>
          <w:highlight w:val="white"/>
        </w:rPr>
        <w:t xml:space="preserve"> B. </w:t>
      </w:r>
      <w:proofErr w:type="spellStart"/>
      <w:proofErr w:type="gramStart"/>
      <w:r>
        <w:rPr>
          <w:rFonts w:ascii="Times New Roman" w:eastAsia="Times New Roman" w:hAnsi="Times New Roman" w:cs="Times New Roman"/>
          <w:i/>
          <w:iCs/>
          <w:sz w:val="24"/>
          <w:szCs w:val="24"/>
          <w:highlight w:val="white"/>
        </w:rPr>
        <w:t>Haemop</w:t>
      </w:r>
      <w:r>
        <w:rPr>
          <w:rFonts w:ascii="Times New Roman" w:eastAsia="Times New Roman" w:hAnsi="Times New Roman" w:cs="Times New Roman"/>
          <w:i/>
          <w:iCs/>
          <w:sz w:val="24"/>
          <w:szCs w:val="24"/>
          <w:highlight w:val="white"/>
        </w:rPr>
        <w:t>hilia</w:t>
      </w:r>
      <w:proofErr w:type="spellEnd"/>
      <w:r>
        <w:rPr>
          <w:rFonts w:ascii="Times New Roman" w:eastAsia="Times New Roman" w:hAnsi="Times New Roman" w:cs="Times New Roman"/>
          <w:i/>
          <w:iCs/>
          <w:sz w:val="24"/>
          <w:szCs w:val="24"/>
          <w:highlight w:val="white"/>
        </w:rPr>
        <w:t xml:space="preserve"> :</w:t>
      </w:r>
      <w:proofErr w:type="gramEnd"/>
      <w:r>
        <w:rPr>
          <w:rFonts w:ascii="Times New Roman" w:eastAsia="Times New Roman" w:hAnsi="Times New Roman" w:cs="Times New Roman"/>
          <w:i/>
          <w:iCs/>
          <w:sz w:val="24"/>
          <w:szCs w:val="24"/>
          <w:highlight w:val="white"/>
        </w:rPr>
        <w:t xml:space="preserve"> the official journal of the World Federation of Hemophilia</w:t>
      </w:r>
      <w:r>
        <w:rPr>
          <w:rFonts w:ascii="Times New Roman" w:eastAsia="Times New Roman" w:hAnsi="Times New Roman" w:cs="Times New Roman"/>
          <w:sz w:val="24"/>
          <w:szCs w:val="24"/>
          <w:highlight w:val="white"/>
        </w:rPr>
        <w:t>, 10.1111/hae.70157. Advance online publication. https://doi.org/10.1111/hae.70157</w:t>
      </w:r>
    </w:p>
    <w:p w:rsidR="00E46DF7" w:rsidRDefault="00597711">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Mehta P, </w:t>
      </w:r>
      <w:proofErr w:type="spellStart"/>
      <w:r>
        <w:rPr>
          <w:rFonts w:ascii="Times New Roman" w:eastAsia="Times New Roman" w:hAnsi="Times New Roman" w:cs="Times New Roman"/>
          <w:sz w:val="24"/>
          <w:szCs w:val="24"/>
          <w:highlight w:val="white"/>
        </w:rPr>
        <w:t>Reddivari</w:t>
      </w:r>
      <w:proofErr w:type="spellEnd"/>
      <w:r>
        <w:rPr>
          <w:rFonts w:ascii="Times New Roman" w:eastAsia="Times New Roman" w:hAnsi="Times New Roman" w:cs="Times New Roman"/>
          <w:sz w:val="24"/>
          <w:szCs w:val="24"/>
          <w:highlight w:val="white"/>
        </w:rPr>
        <w:t xml:space="preserve"> AKR. Hemophilia. [Updated 2023 Jun 5]. In: </w:t>
      </w:r>
      <w:proofErr w:type="spellStart"/>
      <w:r>
        <w:rPr>
          <w:rFonts w:ascii="Times New Roman" w:eastAsia="Times New Roman" w:hAnsi="Times New Roman" w:cs="Times New Roman"/>
          <w:sz w:val="24"/>
          <w:szCs w:val="24"/>
          <w:highlight w:val="white"/>
        </w:rPr>
        <w:t>StatPearls</w:t>
      </w:r>
      <w:proofErr w:type="spellEnd"/>
      <w:r>
        <w:rPr>
          <w:rFonts w:ascii="Times New Roman" w:eastAsia="Times New Roman" w:hAnsi="Times New Roman" w:cs="Times New Roman"/>
          <w:sz w:val="24"/>
          <w:szCs w:val="24"/>
          <w:highlight w:val="white"/>
        </w:rPr>
        <w:t xml:space="preserve"> [Internet]. Treasure Island (FL): </w:t>
      </w:r>
      <w:proofErr w:type="spellStart"/>
      <w:r>
        <w:rPr>
          <w:rFonts w:ascii="Times New Roman" w:eastAsia="Times New Roman" w:hAnsi="Times New Roman" w:cs="Times New Roman"/>
          <w:sz w:val="24"/>
          <w:szCs w:val="24"/>
          <w:highlight w:val="white"/>
        </w:rPr>
        <w:t>StatPearls</w:t>
      </w:r>
      <w:proofErr w:type="spellEnd"/>
      <w:r>
        <w:rPr>
          <w:rFonts w:ascii="Times New Roman" w:eastAsia="Times New Roman" w:hAnsi="Times New Roman" w:cs="Times New Roman"/>
          <w:sz w:val="24"/>
          <w:szCs w:val="24"/>
          <w:highlight w:val="white"/>
        </w:rPr>
        <w:t xml:space="preserve"> Publishing; 2025 Jan-. Available from: </w:t>
      </w:r>
      <w:hyperlink r:id="rId25">
        <w:r w:rsidR="00E46DF7">
          <w:rPr>
            <w:rFonts w:ascii="Times New Roman" w:eastAsia="Times New Roman" w:hAnsi="Times New Roman" w:cs="Times New Roman"/>
            <w:sz w:val="24"/>
            <w:szCs w:val="24"/>
            <w:highlight w:val="white"/>
            <w:u w:val="single"/>
          </w:rPr>
          <w:t>https://www.ncbi.nlm.nih.gov/books/NBK551607/</w:t>
        </w:r>
      </w:hyperlink>
    </w:p>
    <w:p w:rsidR="00E46DF7" w:rsidRDefault="00597711">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Oldenburg, J., Hay, C., </w:t>
      </w:r>
      <w:proofErr w:type="spellStart"/>
      <w:r>
        <w:rPr>
          <w:rFonts w:ascii="Times New Roman" w:eastAsia="Times New Roman" w:hAnsi="Times New Roman" w:cs="Times New Roman"/>
          <w:sz w:val="24"/>
          <w:szCs w:val="24"/>
          <w:highlight w:val="white"/>
        </w:rPr>
        <w:t>Peyvandi</w:t>
      </w:r>
      <w:proofErr w:type="spellEnd"/>
      <w:r>
        <w:rPr>
          <w:rFonts w:ascii="Times New Roman" w:eastAsia="Times New Roman" w:hAnsi="Times New Roman" w:cs="Times New Roman"/>
          <w:sz w:val="24"/>
          <w:szCs w:val="24"/>
          <w:highlight w:val="white"/>
        </w:rPr>
        <w:t xml:space="preserve">, F., </w:t>
      </w:r>
      <w:proofErr w:type="spellStart"/>
      <w:r>
        <w:rPr>
          <w:rFonts w:ascii="Times New Roman" w:eastAsia="Times New Roman" w:hAnsi="Times New Roman" w:cs="Times New Roman"/>
          <w:sz w:val="24"/>
          <w:szCs w:val="24"/>
          <w:highlight w:val="white"/>
        </w:rPr>
        <w:t>Lehtinen</w:t>
      </w:r>
      <w:proofErr w:type="spellEnd"/>
      <w:r>
        <w:rPr>
          <w:rFonts w:ascii="Times New Roman" w:eastAsia="Times New Roman" w:hAnsi="Times New Roman" w:cs="Times New Roman"/>
          <w:sz w:val="24"/>
          <w:szCs w:val="24"/>
          <w:highlight w:val="white"/>
        </w:rPr>
        <w:t xml:space="preserve">, A. E., </w:t>
      </w:r>
      <w:proofErr w:type="spellStart"/>
      <w:r>
        <w:rPr>
          <w:rFonts w:ascii="Times New Roman" w:eastAsia="Times New Roman" w:hAnsi="Times New Roman" w:cs="Times New Roman"/>
          <w:sz w:val="24"/>
          <w:szCs w:val="24"/>
          <w:highlight w:val="white"/>
        </w:rPr>
        <w:t>Pabinger</w:t>
      </w:r>
      <w:proofErr w:type="spellEnd"/>
      <w:r>
        <w:rPr>
          <w:rFonts w:ascii="Times New Roman" w:eastAsia="Times New Roman" w:hAnsi="Times New Roman" w:cs="Times New Roman"/>
          <w:sz w:val="24"/>
          <w:szCs w:val="24"/>
          <w:highlight w:val="white"/>
        </w:rPr>
        <w:t xml:space="preserve">, I., </w:t>
      </w:r>
      <w:proofErr w:type="spellStart"/>
      <w:r>
        <w:rPr>
          <w:rFonts w:ascii="Times New Roman" w:eastAsia="Times New Roman" w:hAnsi="Times New Roman" w:cs="Times New Roman"/>
          <w:sz w:val="24"/>
          <w:szCs w:val="24"/>
          <w:highlight w:val="white"/>
        </w:rPr>
        <w:t>Nüesch</w:t>
      </w:r>
      <w:proofErr w:type="spellEnd"/>
      <w:r>
        <w:rPr>
          <w:rFonts w:ascii="Times New Roman" w:eastAsia="Times New Roman" w:hAnsi="Times New Roman" w:cs="Times New Roman"/>
          <w:sz w:val="24"/>
          <w:szCs w:val="24"/>
          <w:highlight w:val="white"/>
        </w:rPr>
        <w:t>, E., Malmström, H.,</w:t>
      </w:r>
      <w:r>
        <w:rPr>
          <w:rFonts w:ascii="Times New Roman" w:eastAsia="Times New Roman" w:hAnsi="Times New Roman" w:cs="Times New Roman"/>
          <w:sz w:val="24"/>
          <w:szCs w:val="24"/>
          <w:highlight w:val="white"/>
        </w:rPr>
        <w:t xml:space="preserve"> Bednar, E., &amp; </w:t>
      </w:r>
      <w:proofErr w:type="spellStart"/>
      <w:r>
        <w:rPr>
          <w:rFonts w:ascii="Times New Roman" w:eastAsia="Times New Roman" w:hAnsi="Times New Roman" w:cs="Times New Roman"/>
          <w:sz w:val="24"/>
          <w:szCs w:val="24"/>
          <w:highlight w:val="white"/>
        </w:rPr>
        <w:t>Lethagen</w:t>
      </w:r>
      <w:proofErr w:type="spellEnd"/>
      <w:r>
        <w:rPr>
          <w:rFonts w:ascii="Times New Roman" w:eastAsia="Times New Roman" w:hAnsi="Times New Roman" w:cs="Times New Roman"/>
          <w:sz w:val="24"/>
          <w:szCs w:val="24"/>
          <w:highlight w:val="white"/>
        </w:rPr>
        <w:t xml:space="preserve">, S. (2025a). A-SURE: intra-patient comparison of prophylactic effectiveness of a recombinant factor VIII Fc fusion protein versus standard half-life factor VIII in hemophilia A. </w:t>
      </w:r>
      <w:r>
        <w:rPr>
          <w:rFonts w:ascii="Times New Roman" w:eastAsia="Times New Roman" w:hAnsi="Times New Roman" w:cs="Times New Roman"/>
          <w:i/>
          <w:iCs/>
          <w:sz w:val="24"/>
          <w:szCs w:val="24"/>
          <w:highlight w:val="white"/>
        </w:rPr>
        <w:t>Hematology (Amsterdam, Netherlands)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30</w:t>
      </w:r>
      <w:r>
        <w:rPr>
          <w:rFonts w:ascii="Times New Roman" w:eastAsia="Times New Roman" w:hAnsi="Times New Roman" w:cs="Times New Roman"/>
          <w:sz w:val="24"/>
          <w:szCs w:val="24"/>
          <w:highlight w:val="white"/>
        </w:rPr>
        <w:t xml:space="preserve">(1), 2513186. </w:t>
      </w:r>
      <w:r>
        <w:rPr>
          <w:rFonts w:ascii="Times New Roman" w:eastAsia="Times New Roman" w:hAnsi="Times New Roman" w:cs="Times New Roman"/>
          <w:sz w:val="24"/>
          <w:szCs w:val="24"/>
          <w:highlight w:val="white"/>
        </w:rPr>
        <w:t>https://doi.org/10.1080/16078454.2025.2513186</w:t>
      </w:r>
    </w:p>
    <w:p w:rsidR="00E46DF7" w:rsidRDefault="00597711">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Oldenburg, J., </w:t>
      </w:r>
      <w:proofErr w:type="spellStart"/>
      <w:r>
        <w:rPr>
          <w:rFonts w:ascii="Times New Roman" w:eastAsia="Times New Roman" w:hAnsi="Times New Roman" w:cs="Times New Roman"/>
          <w:sz w:val="24"/>
          <w:szCs w:val="24"/>
          <w:highlight w:val="white"/>
        </w:rPr>
        <w:t>Olivieri</w:t>
      </w:r>
      <w:proofErr w:type="spellEnd"/>
      <w:r>
        <w:rPr>
          <w:rFonts w:ascii="Times New Roman" w:eastAsia="Times New Roman" w:hAnsi="Times New Roman" w:cs="Times New Roman"/>
          <w:sz w:val="24"/>
          <w:szCs w:val="24"/>
          <w:highlight w:val="white"/>
        </w:rPr>
        <w:t xml:space="preserve">, M., Yan, S., Yang, Y., </w:t>
      </w:r>
      <w:proofErr w:type="spellStart"/>
      <w:r>
        <w:rPr>
          <w:rFonts w:ascii="Times New Roman" w:eastAsia="Times New Roman" w:hAnsi="Times New Roman" w:cs="Times New Roman"/>
          <w:sz w:val="24"/>
          <w:szCs w:val="24"/>
          <w:highlight w:val="white"/>
        </w:rPr>
        <w:t>Tomic</w:t>
      </w:r>
      <w:proofErr w:type="spellEnd"/>
      <w:r>
        <w:rPr>
          <w:rFonts w:ascii="Times New Roman" w:eastAsia="Times New Roman" w:hAnsi="Times New Roman" w:cs="Times New Roman"/>
          <w:sz w:val="24"/>
          <w:szCs w:val="24"/>
          <w:highlight w:val="white"/>
        </w:rPr>
        <w:t xml:space="preserve">, R., Zhang, X., </w:t>
      </w:r>
      <w:proofErr w:type="spellStart"/>
      <w:r>
        <w:rPr>
          <w:rFonts w:ascii="Times New Roman" w:eastAsia="Times New Roman" w:hAnsi="Times New Roman" w:cs="Times New Roman"/>
          <w:sz w:val="24"/>
          <w:szCs w:val="24"/>
          <w:highlight w:val="white"/>
        </w:rPr>
        <w:t>Drelich</w:t>
      </w:r>
      <w:proofErr w:type="spellEnd"/>
      <w:r>
        <w:rPr>
          <w:rFonts w:ascii="Times New Roman" w:eastAsia="Times New Roman" w:hAnsi="Times New Roman" w:cs="Times New Roman"/>
          <w:sz w:val="24"/>
          <w:szCs w:val="24"/>
          <w:highlight w:val="white"/>
        </w:rPr>
        <w:t xml:space="preserve">, D., </w:t>
      </w:r>
      <w:proofErr w:type="spellStart"/>
      <w:r>
        <w:rPr>
          <w:rFonts w:ascii="Times New Roman" w:eastAsia="Times New Roman" w:hAnsi="Times New Roman" w:cs="Times New Roman"/>
          <w:sz w:val="24"/>
          <w:szCs w:val="24"/>
          <w:highlight w:val="white"/>
        </w:rPr>
        <w:t>Jakobs</w:t>
      </w:r>
      <w:proofErr w:type="spellEnd"/>
      <w:r>
        <w:rPr>
          <w:rFonts w:ascii="Times New Roman" w:eastAsia="Times New Roman" w:hAnsi="Times New Roman" w:cs="Times New Roman"/>
          <w:sz w:val="24"/>
          <w:szCs w:val="24"/>
          <w:highlight w:val="white"/>
        </w:rPr>
        <w:t xml:space="preserve">, N., &amp; Napolitano, M. (2025b). Real-World Prophylaxis Outcomes with </w:t>
      </w:r>
      <w:proofErr w:type="spellStart"/>
      <w:r>
        <w:rPr>
          <w:rFonts w:ascii="Times New Roman" w:eastAsia="Times New Roman" w:hAnsi="Times New Roman" w:cs="Times New Roman"/>
          <w:sz w:val="24"/>
          <w:szCs w:val="24"/>
          <w:highlight w:val="white"/>
        </w:rPr>
        <w:t>rIX</w:t>
      </w:r>
      <w:proofErr w:type="spellEnd"/>
      <w:r>
        <w:rPr>
          <w:rFonts w:ascii="Times New Roman" w:eastAsia="Times New Roman" w:hAnsi="Times New Roman" w:cs="Times New Roman"/>
          <w:sz w:val="24"/>
          <w:szCs w:val="24"/>
          <w:highlight w:val="white"/>
        </w:rPr>
        <w:t xml:space="preserve">-FP and </w:t>
      </w:r>
      <w:proofErr w:type="spellStart"/>
      <w:r>
        <w:rPr>
          <w:rFonts w:ascii="Times New Roman" w:eastAsia="Times New Roman" w:hAnsi="Times New Roman" w:cs="Times New Roman"/>
          <w:sz w:val="24"/>
          <w:szCs w:val="24"/>
          <w:highlight w:val="white"/>
        </w:rPr>
        <w:t>rFIXFc</w:t>
      </w:r>
      <w:proofErr w:type="spellEnd"/>
      <w:r>
        <w:rPr>
          <w:rFonts w:ascii="Times New Roman" w:eastAsia="Times New Roman" w:hAnsi="Times New Roman" w:cs="Times New Roman"/>
          <w:sz w:val="24"/>
          <w:szCs w:val="24"/>
          <w:highlight w:val="white"/>
        </w:rPr>
        <w:t xml:space="preserve"> for Males with Hemophilia B: Poole</w:t>
      </w:r>
      <w:r>
        <w:rPr>
          <w:rFonts w:ascii="Times New Roman" w:eastAsia="Times New Roman" w:hAnsi="Times New Roman" w:cs="Times New Roman"/>
          <w:sz w:val="24"/>
          <w:szCs w:val="24"/>
          <w:highlight w:val="white"/>
        </w:rPr>
        <w:t xml:space="preserve">d Analysis of Medical Chart Data from Germany and Italy. </w:t>
      </w:r>
      <w:r>
        <w:rPr>
          <w:rFonts w:ascii="Times New Roman" w:eastAsia="Times New Roman" w:hAnsi="Times New Roman" w:cs="Times New Roman"/>
          <w:i/>
          <w:iCs/>
          <w:sz w:val="24"/>
          <w:szCs w:val="24"/>
          <w:highlight w:val="white"/>
        </w:rPr>
        <w:t>Advances in therapy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42</w:t>
      </w:r>
      <w:r>
        <w:rPr>
          <w:rFonts w:ascii="Times New Roman" w:eastAsia="Times New Roman" w:hAnsi="Times New Roman" w:cs="Times New Roman"/>
          <w:sz w:val="24"/>
          <w:szCs w:val="24"/>
          <w:highlight w:val="white"/>
        </w:rPr>
        <w:t xml:space="preserve">(9), 4583–4596. </w:t>
      </w:r>
      <w:hyperlink r:id="rId26">
        <w:r w:rsidR="00E46DF7">
          <w:rPr>
            <w:rFonts w:ascii="Times New Roman" w:eastAsia="Times New Roman" w:hAnsi="Times New Roman" w:cs="Times New Roman"/>
            <w:color w:val="1155CC"/>
            <w:sz w:val="24"/>
            <w:szCs w:val="24"/>
            <w:highlight w:val="white"/>
            <w:u w:val="single"/>
          </w:rPr>
          <w:t>https://doi.org/10.1007/s12325-025-03303-7</w:t>
        </w:r>
      </w:hyperlink>
    </w:p>
    <w:p w:rsidR="00E46DF7" w:rsidRDefault="00597711">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Page, M. J., McKenzie, J. E., </w:t>
      </w:r>
      <w:proofErr w:type="spellStart"/>
      <w:r>
        <w:rPr>
          <w:rFonts w:ascii="Times New Roman" w:eastAsia="Times New Roman" w:hAnsi="Times New Roman" w:cs="Times New Roman"/>
          <w:sz w:val="24"/>
          <w:szCs w:val="24"/>
          <w:highlight w:val="white"/>
        </w:rPr>
        <w:t>Bossuyt</w:t>
      </w:r>
      <w:proofErr w:type="spellEnd"/>
      <w:r>
        <w:rPr>
          <w:rFonts w:ascii="Times New Roman" w:eastAsia="Times New Roman" w:hAnsi="Times New Roman" w:cs="Times New Roman"/>
          <w:sz w:val="24"/>
          <w:szCs w:val="24"/>
          <w:highlight w:val="white"/>
        </w:rPr>
        <w:t xml:space="preserve">, P. M., </w:t>
      </w:r>
      <w:proofErr w:type="spellStart"/>
      <w:r>
        <w:rPr>
          <w:rFonts w:ascii="Times New Roman" w:eastAsia="Times New Roman" w:hAnsi="Times New Roman" w:cs="Times New Roman"/>
          <w:sz w:val="24"/>
          <w:szCs w:val="24"/>
          <w:highlight w:val="white"/>
        </w:rPr>
        <w:t>Boutron</w:t>
      </w:r>
      <w:proofErr w:type="spellEnd"/>
      <w:r>
        <w:rPr>
          <w:rFonts w:ascii="Times New Roman" w:eastAsia="Times New Roman" w:hAnsi="Times New Roman" w:cs="Times New Roman"/>
          <w:sz w:val="24"/>
          <w:szCs w:val="24"/>
          <w:highlight w:val="white"/>
        </w:rPr>
        <w:t xml:space="preserve">, I., Hoffmann, T. C., Mulrow, C. D., </w:t>
      </w:r>
      <w:proofErr w:type="spellStart"/>
      <w:r>
        <w:rPr>
          <w:rFonts w:ascii="Times New Roman" w:eastAsia="Times New Roman" w:hAnsi="Times New Roman" w:cs="Times New Roman"/>
          <w:sz w:val="24"/>
          <w:szCs w:val="24"/>
          <w:highlight w:val="white"/>
        </w:rPr>
        <w:t>Shamseer</w:t>
      </w:r>
      <w:proofErr w:type="spellEnd"/>
      <w:r>
        <w:rPr>
          <w:rFonts w:ascii="Times New Roman" w:eastAsia="Times New Roman" w:hAnsi="Times New Roman" w:cs="Times New Roman"/>
          <w:sz w:val="24"/>
          <w:szCs w:val="24"/>
          <w:highlight w:val="white"/>
        </w:rPr>
        <w:t xml:space="preserve">, L., </w:t>
      </w:r>
      <w:proofErr w:type="spellStart"/>
      <w:r>
        <w:rPr>
          <w:rFonts w:ascii="Times New Roman" w:eastAsia="Times New Roman" w:hAnsi="Times New Roman" w:cs="Times New Roman"/>
          <w:sz w:val="24"/>
          <w:szCs w:val="24"/>
          <w:highlight w:val="white"/>
        </w:rPr>
        <w:t>Tetzlaff</w:t>
      </w:r>
      <w:proofErr w:type="spellEnd"/>
      <w:r>
        <w:rPr>
          <w:rFonts w:ascii="Times New Roman" w:eastAsia="Times New Roman" w:hAnsi="Times New Roman" w:cs="Times New Roman"/>
          <w:sz w:val="24"/>
          <w:szCs w:val="24"/>
          <w:highlight w:val="white"/>
        </w:rPr>
        <w:t xml:space="preserve">, J. M., </w:t>
      </w:r>
      <w:proofErr w:type="spellStart"/>
      <w:r>
        <w:rPr>
          <w:rFonts w:ascii="Times New Roman" w:eastAsia="Times New Roman" w:hAnsi="Times New Roman" w:cs="Times New Roman"/>
          <w:sz w:val="24"/>
          <w:szCs w:val="24"/>
          <w:highlight w:val="white"/>
        </w:rPr>
        <w:t>Akl</w:t>
      </w:r>
      <w:proofErr w:type="spellEnd"/>
      <w:r>
        <w:rPr>
          <w:rFonts w:ascii="Times New Roman" w:eastAsia="Times New Roman" w:hAnsi="Times New Roman" w:cs="Times New Roman"/>
          <w:sz w:val="24"/>
          <w:szCs w:val="24"/>
          <w:highlight w:val="white"/>
        </w:rPr>
        <w:t xml:space="preserve">, E. A., Brennan, S. E., Chou, R., Glanville, J., Grimshaw, J. M., </w:t>
      </w:r>
      <w:proofErr w:type="spellStart"/>
      <w:r>
        <w:rPr>
          <w:rFonts w:ascii="Times New Roman" w:eastAsia="Times New Roman" w:hAnsi="Times New Roman" w:cs="Times New Roman"/>
          <w:sz w:val="24"/>
          <w:szCs w:val="24"/>
          <w:highlight w:val="white"/>
        </w:rPr>
        <w:t>Hróbjartsson</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Lalu</w:t>
      </w:r>
      <w:proofErr w:type="spellEnd"/>
      <w:r>
        <w:rPr>
          <w:rFonts w:ascii="Times New Roman" w:eastAsia="Times New Roman" w:hAnsi="Times New Roman" w:cs="Times New Roman"/>
          <w:sz w:val="24"/>
          <w:szCs w:val="24"/>
          <w:highlight w:val="white"/>
        </w:rPr>
        <w:t xml:space="preserve">, M. M., Li, T., </w:t>
      </w:r>
      <w:proofErr w:type="spellStart"/>
      <w:r>
        <w:rPr>
          <w:rFonts w:ascii="Times New Roman" w:eastAsia="Times New Roman" w:hAnsi="Times New Roman" w:cs="Times New Roman"/>
          <w:sz w:val="24"/>
          <w:szCs w:val="24"/>
          <w:highlight w:val="white"/>
        </w:rPr>
        <w:t>Loder</w:t>
      </w:r>
      <w:proofErr w:type="spellEnd"/>
      <w:r>
        <w:rPr>
          <w:rFonts w:ascii="Times New Roman" w:eastAsia="Times New Roman" w:hAnsi="Times New Roman" w:cs="Times New Roman"/>
          <w:sz w:val="24"/>
          <w:szCs w:val="24"/>
          <w:highlight w:val="white"/>
        </w:rPr>
        <w:t>, E. W., Mayo-Wilson</w:t>
      </w:r>
      <w:r>
        <w:rPr>
          <w:rFonts w:ascii="Times New Roman" w:eastAsia="Times New Roman" w:hAnsi="Times New Roman" w:cs="Times New Roman"/>
          <w:sz w:val="24"/>
          <w:szCs w:val="24"/>
          <w:highlight w:val="white"/>
        </w:rPr>
        <w:t xml:space="preserve">, E., McDonald, S., McGuinness, L. A., … Moher, D. (2021). The PRISMA 2020 statement: an updated guideline for reporting systematic reviews. </w:t>
      </w:r>
      <w:r>
        <w:rPr>
          <w:rFonts w:ascii="Times New Roman" w:eastAsia="Times New Roman" w:hAnsi="Times New Roman" w:cs="Times New Roman"/>
          <w:i/>
          <w:iCs/>
          <w:sz w:val="24"/>
          <w:szCs w:val="24"/>
          <w:highlight w:val="white"/>
        </w:rPr>
        <w:t>BMJ (Clinical research ed.)</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372</w:t>
      </w:r>
      <w:r>
        <w:rPr>
          <w:rFonts w:ascii="Times New Roman" w:eastAsia="Times New Roman" w:hAnsi="Times New Roman" w:cs="Times New Roman"/>
          <w:sz w:val="24"/>
          <w:szCs w:val="24"/>
          <w:highlight w:val="white"/>
        </w:rPr>
        <w:t xml:space="preserve">, n71. </w:t>
      </w:r>
      <w:hyperlink r:id="rId27">
        <w:r w:rsidR="00E46DF7">
          <w:rPr>
            <w:rFonts w:ascii="Times New Roman" w:eastAsia="Times New Roman" w:hAnsi="Times New Roman" w:cs="Times New Roman"/>
            <w:color w:val="1155CC"/>
            <w:sz w:val="24"/>
            <w:szCs w:val="24"/>
            <w:highlight w:val="white"/>
            <w:u w:val="single"/>
          </w:rPr>
          <w:t>https://doi.org/10.1136/bmj.n71</w:t>
        </w:r>
      </w:hyperlink>
    </w:p>
    <w:p w:rsidR="00E46DF7" w:rsidRDefault="00597711">
      <w:pPr>
        <w:spacing w:before="240"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Schardt</w:t>
      </w:r>
      <w:proofErr w:type="spellEnd"/>
      <w:r>
        <w:rPr>
          <w:rFonts w:ascii="Times New Roman" w:eastAsia="Times New Roman" w:hAnsi="Times New Roman" w:cs="Times New Roman"/>
          <w:sz w:val="24"/>
          <w:szCs w:val="24"/>
          <w:highlight w:val="white"/>
        </w:rPr>
        <w:t xml:space="preserve">, C., Adams, M. B., Owens, T., </w:t>
      </w:r>
      <w:proofErr w:type="spellStart"/>
      <w:r>
        <w:rPr>
          <w:rFonts w:ascii="Times New Roman" w:eastAsia="Times New Roman" w:hAnsi="Times New Roman" w:cs="Times New Roman"/>
          <w:sz w:val="24"/>
          <w:szCs w:val="24"/>
          <w:highlight w:val="white"/>
        </w:rPr>
        <w:t>Keitz</w:t>
      </w:r>
      <w:proofErr w:type="spellEnd"/>
      <w:r>
        <w:rPr>
          <w:rFonts w:ascii="Times New Roman" w:eastAsia="Times New Roman" w:hAnsi="Times New Roman" w:cs="Times New Roman"/>
          <w:sz w:val="24"/>
          <w:szCs w:val="24"/>
          <w:highlight w:val="white"/>
        </w:rPr>
        <w:t xml:space="preserve">, S., &amp; </w:t>
      </w:r>
      <w:proofErr w:type="spellStart"/>
      <w:r>
        <w:rPr>
          <w:rFonts w:ascii="Times New Roman" w:eastAsia="Times New Roman" w:hAnsi="Times New Roman" w:cs="Times New Roman"/>
          <w:sz w:val="24"/>
          <w:szCs w:val="24"/>
          <w:highlight w:val="white"/>
        </w:rPr>
        <w:t>Fontelo</w:t>
      </w:r>
      <w:proofErr w:type="spellEnd"/>
      <w:r>
        <w:rPr>
          <w:rFonts w:ascii="Times New Roman" w:eastAsia="Times New Roman" w:hAnsi="Times New Roman" w:cs="Times New Roman"/>
          <w:sz w:val="24"/>
          <w:szCs w:val="24"/>
          <w:highlight w:val="white"/>
        </w:rPr>
        <w:t xml:space="preserve">, P. (2007). Utilization of the PICO framework to improve searching PubMed for clinical questions. </w:t>
      </w:r>
      <w:r>
        <w:rPr>
          <w:rFonts w:ascii="Times New Roman" w:eastAsia="Times New Roman" w:hAnsi="Times New Roman" w:cs="Times New Roman"/>
          <w:i/>
          <w:iCs/>
          <w:sz w:val="24"/>
          <w:szCs w:val="24"/>
          <w:highlight w:val="white"/>
        </w:rPr>
        <w:t>BMC medical informatics and decision making</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7</w:t>
      </w:r>
      <w:r>
        <w:rPr>
          <w:rFonts w:ascii="Times New Roman" w:eastAsia="Times New Roman" w:hAnsi="Times New Roman" w:cs="Times New Roman"/>
          <w:sz w:val="24"/>
          <w:szCs w:val="24"/>
          <w:highlight w:val="white"/>
        </w:rPr>
        <w:t xml:space="preserve">, 16. </w:t>
      </w:r>
      <w:hyperlink r:id="rId28">
        <w:r w:rsidR="00E46DF7">
          <w:rPr>
            <w:rFonts w:ascii="Times New Roman" w:eastAsia="Times New Roman" w:hAnsi="Times New Roman" w:cs="Times New Roman"/>
            <w:color w:val="1155CC"/>
            <w:sz w:val="24"/>
            <w:szCs w:val="24"/>
            <w:highlight w:val="white"/>
            <w:u w:val="single"/>
          </w:rPr>
          <w:t>https://doi.org/10.1186/1472-6947-7-16</w:t>
        </w:r>
      </w:hyperlink>
    </w:p>
    <w:p w:rsidR="00E46DF7" w:rsidRDefault="00597711">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Sterne, J. A., </w:t>
      </w:r>
      <w:proofErr w:type="spellStart"/>
      <w:r>
        <w:rPr>
          <w:rFonts w:ascii="Times New Roman" w:eastAsia="Times New Roman" w:hAnsi="Times New Roman" w:cs="Times New Roman"/>
          <w:sz w:val="24"/>
          <w:szCs w:val="24"/>
          <w:highlight w:val="white"/>
        </w:rPr>
        <w:t>Hernán</w:t>
      </w:r>
      <w:proofErr w:type="spellEnd"/>
      <w:r>
        <w:rPr>
          <w:rFonts w:ascii="Times New Roman" w:eastAsia="Times New Roman" w:hAnsi="Times New Roman" w:cs="Times New Roman"/>
          <w:sz w:val="24"/>
          <w:szCs w:val="24"/>
          <w:highlight w:val="white"/>
        </w:rPr>
        <w:t xml:space="preserve">, M. A., Reeves, B. C., </w:t>
      </w:r>
      <w:proofErr w:type="spellStart"/>
      <w:r>
        <w:rPr>
          <w:rFonts w:ascii="Times New Roman" w:eastAsia="Times New Roman" w:hAnsi="Times New Roman" w:cs="Times New Roman"/>
          <w:sz w:val="24"/>
          <w:szCs w:val="24"/>
          <w:highlight w:val="white"/>
        </w:rPr>
        <w:t>Savović</w:t>
      </w:r>
      <w:proofErr w:type="spellEnd"/>
      <w:r>
        <w:rPr>
          <w:rFonts w:ascii="Times New Roman" w:eastAsia="Times New Roman" w:hAnsi="Times New Roman" w:cs="Times New Roman"/>
          <w:sz w:val="24"/>
          <w:szCs w:val="24"/>
          <w:highlight w:val="white"/>
        </w:rPr>
        <w:t xml:space="preserve">, J., Berkman, N. D., Viswanathan, M., Henry, D., Altman, D. G., Ansari, M. T., </w:t>
      </w:r>
      <w:proofErr w:type="spellStart"/>
      <w:r>
        <w:rPr>
          <w:rFonts w:ascii="Times New Roman" w:eastAsia="Times New Roman" w:hAnsi="Times New Roman" w:cs="Times New Roman"/>
          <w:sz w:val="24"/>
          <w:szCs w:val="24"/>
          <w:highlight w:val="white"/>
        </w:rPr>
        <w:t>Boutron</w:t>
      </w:r>
      <w:proofErr w:type="spellEnd"/>
      <w:r>
        <w:rPr>
          <w:rFonts w:ascii="Times New Roman" w:eastAsia="Times New Roman" w:hAnsi="Times New Roman" w:cs="Times New Roman"/>
          <w:sz w:val="24"/>
          <w:szCs w:val="24"/>
          <w:highlight w:val="white"/>
        </w:rPr>
        <w:t xml:space="preserve">, I., Carpenter, J. R., Chan, A. W., Churchill, R., </w:t>
      </w:r>
      <w:proofErr w:type="spellStart"/>
      <w:r>
        <w:rPr>
          <w:rFonts w:ascii="Times New Roman" w:eastAsia="Times New Roman" w:hAnsi="Times New Roman" w:cs="Times New Roman"/>
          <w:sz w:val="24"/>
          <w:szCs w:val="24"/>
          <w:highlight w:val="white"/>
        </w:rPr>
        <w:t>Deeks</w:t>
      </w:r>
      <w:proofErr w:type="spellEnd"/>
      <w:r>
        <w:rPr>
          <w:rFonts w:ascii="Times New Roman" w:eastAsia="Times New Roman" w:hAnsi="Times New Roman" w:cs="Times New Roman"/>
          <w:sz w:val="24"/>
          <w:szCs w:val="24"/>
          <w:highlight w:val="white"/>
        </w:rPr>
        <w:t>, J</w:t>
      </w:r>
      <w:r>
        <w:rPr>
          <w:rFonts w:ascii="Times New Roman" w:eastAsia="Times New Roman" w:hAnsi="Times New Roman" w:cs="Times New Roman"/>
          <w:sz w:val="24"/>
          <w:szCs w:val="24"/>
          <w:highlight w:val="white"/>
        </w:rPr>
        <w:t xml:space="preserve">. J., </w:t>
      </w:r>
      <w:proofErr w:type="spellStart"/>
      <w:r>
        <w:rPr>
          <w:rFonts w:ascii="Times New Roman" w:eastAsia="Times New Roman" w:hAnsi="Times New Roman" w:cs="Times New Roman"/>
          <w:sz w:val="24"/>
          <w:szCs w:val="24"/>
          <w:highlight w:val="white"/>
        </w:rPr>
        <w:t>Hróbjartsson</w:t>
      </w:r>
      <w:proofErr w:type="spellEnd"/>
      <w:r>
        <w:rPr>
          <w:rFonts w:ascii="Times New Roman" w:eastAsia="Times New Roman" w:hAnsi="Times New Roman" w:cs="Times New Roman"/>
          <w:sz w:val="24"/>
          <w:szCs w:val="24"/>
          <w:highlight w:val="white"/>
        </w:rPr>
        <w:t xml:space="preserve">, A., Kirkham, J., </w:t>
      </w:r>
      <w:proofErr w:type="spellStart"/>
      <w:r>
        <w:rPr>
          <w:rFonts w:ascii="Times New Roman" w:eastAsia="Times New Roman" w:hAnsi="Times New Roman" w:cs="Times New Roman"/>
          <w:sz w:val="24"/>
          <w:szCs w:val="24"/>
          <w:highlight w:val="white"/>
        </w:rPr>
        <w:t>Jüni</w:t>
      </w:r>
      <w:proofErr w:type="spellEnd"/>
      <w:r>
        <w:rPr>
          <w:rFonts w:ascii="Times New Roman" w:eastAsia="Times New Roman" w:hAnsi="Times New Roman" w:cs="Times New Roman"/>
          <w:sz w:val="24"/>
          <w:szCs w:val="24"/>
          <w:highlight w:val="white"/>
        </w:rPr>
        <w:t>, P., Loke, Y. K., Pigott, T. D., Ramsay, C. R., … Higgins, J. P. (2016). ROBINS-I: a tool for assessing risk of bias in non-</w:t>
      </w:r>
      <w:proofErr w:type="spellStart"/>
      <w:r>
        <w:rPr>
          <w:rFonts w:ascii="Times New Roman" w:eastAsia="Times New Roman" w:hAnsi="Times New Roman" w:cs="Times New Roman"/>
          <w:sz w:val="24"/>
          <w:szCs w:val="24"/>
          <w:highlight w:val="white"/>
        </w:rPr>
        <w:t>randomised</w:t>
      </w:r>
      <w:proofErr w:type="spellEnd"/>
      <w:r>
        <w:rPr>
          <w:rFonts w:ascii="Times New Roman" w:eastAsia="Times New Roman" w:hAnsi="Times New Roman" w:cs="Times New Roman"/>
          <w:sz w:val="24"/>
          <w:szCs w:val="24"/>
          <w:highlight w:val="white"/>
        </w:rPr>
        <w:t xml:space="preserve"> studies of interventions. </w:t>
      </w:r>
      <w:r>
        <w:rPr>
          <w:rFonts w:ascii="Times New Roman" w:eastAsia="Times New Roman" w:hAnsi="Times New Roman" w:cs="Times New Roman"/>
          <w:i/>
          <w:iCs/>
          <w:sz w:val="24"/>
          <w:szCs w:val="24"/>
          <w:highlight w:val="white"/>
        </w:rPr>
        <w:t>BMJ (Clinical research ed.)</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355</w:t>
      </w:r>
      <w:r>
        <w:rPr>
          <w:rFonts w:ascii="Times New Roman" w:eastAsia="Times New Roman" w:hAnsi="Times New Roman" w:cs="Times New Roman"/>
          <w:sz w:val="24"/>
          <w:szCs w:val="24"/>
          <w:highlight w:val="white"/>
        </w:rPr>
        <w:t xml:space="preserve">, i4919. </w:t>
      </w:r>
      <w:hyperlink r:id="rId29">
        <w:r w:rsidR="00E46DF7">
          <w:rPr>
            <w:rFonts w:ascii="Times New Roman" w:eastAsia="Times New Roman" w:hAnsi="Times New Roman" w:cs="Times New Roman"/>
            <w:color w:val="1155CC"/>
            <w:sz w:val="24"/>
            <w:szCs w:val="24"/>
            <w:highlight w:val="white"/>
            <w:u w:val="single"/>
          </w:rPr>
          <w:t>https://doi.org/10.1136/bmj.i4919</w:t>
        </w:r>
      </w:hyperlink>
    </w:p>
    <w:p w:rsidR="00E46DF7" w:rsidRDefault="00597711">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Sun, H. L., Yang, M., Poon, M. C., Lee, A., Robinson, K. S., </w:t>
      </w:r>
      <w:proofErr w:type="spellStart"/>
      <w:r>
        <w:rPr>
          <w:rFonts w:ascii="Times New Roman" w:eastAsia="Times New Roman" w:hAnsi="Times New Roman" w:cs="Times New Roman"/>
          <w:sz w:val="24"/>
          <w:szCs w:val="24"/>
          <w:highlight w:val="white"/>
        </w:rPr>
        <w:t>Sholzberg</w:t>
      </w:r>
      <w:proofErr w:type="spellEnd"/>
      <w:r>
        <w:rPr>
          <w:rFonts w:ascii="Times New Roman" w:eastAsia="Times New Roman" w:hAnsi="Times New Roman" w:cs="Times New Roman"/>
          <w:sz w:val="24"/>
          <w:szCs w:val="24"/>
          <w:highlight w:val="white"/>
        </w:rPr>
        <w:t xml:space="preserve">, M., Wu, J., </w:t>
      </w:r>
      <w:proofErr w:type="spellStart"/>
      <w:r>
        <w:rPr>
          <w:rFonts w:ascii="Times New Roman" w:eastAsia="Times New Roman" w:hAnsi="Times New Roman" w:cs="Times New Roman"/>
          <w:sz w:val="24"/>
          <w:szCs w:val="24"/>
          <w:highlight w:val="white"/>
        </w:rPr>
        <w:t>Iorio</w:t>
      </w:r>
      <w:proofErr w:type="spellEnd"/>
      <w:r>
        <w:rPr>
          <w:rFonts w:ascii="Times New Roman" w:eastAsia="Times New Roman" w:hAnsi="Times New Roman" w:cs="Times New Roman"/>
          <w:sz w:val="24"/>
          <w:szCs w:val="24"/>
          <w:highlight w:val="white"/>
        </w:rPr>
        <w:t xml:space="preserve">, A., Blanchette, V., </w:t>
      </w:r>
      <w:proofErr w:type="spellStart"/>
      <w:r>
        <w:rPr>
          <w:rFonts w:ascii="Times New Roman" w:eastAsia="Times New Roman" w:hAnsi="Times New Roman" w:cs="Times New Roman"/>
          <w:sz w:val="24"/>
          <w:szCs w:val="24"/>
          <w:highlight w:val="white"/>
        </w:rPr>
        <w:t>Carcao</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Klaassen</w:t>
      </w:r>
      <w:proofErr w:type="spellEnd"/>
      <w:r>
        <w:rPr>
          <w:rFonts w:ascii="Times New Roman" w:eastAsia="Times New Roman" w:hAnsi="Times New Roman" w:cs="Times New Roman"/>
          <w:sz w:val="24"/>
          <w:szCs w:val="24"/>
          <w:highlight w:val="white"/>
        </w:rPr>
        <w:t>, R. J., &amp; Jackson, S. (2021). The impact of exten</w:t>
      </w:r>
      <w:r>
        <w:rPr>
          <w:rFonts w:ascii="Times New Roman" w:eastAsia="Times New Roman" w:hAnsi="Times New Roman" w:cs="Times New Roman"/>
          <w:sz w:val="24"/>
          <w:szCs w:val="24"/>
          <w:highlight w:val="white"/>
        </w:rPr>
        <w:t xml:space="preserve">ded half-life factor concentrates on patient reported health outcome measures in persons with hemophilia </w:t>
      </w:r>
      <w:r>
        <w:rPr>
          <w:rFonts w:ascii="Times New Roman" w:eastAsia="Times New Roman" w:hAnsi="Times New Roman" w:cs="Times New Roman"/>
          <w:sz w:val="24"/>
          <w:szCs w:val="24"/>
          <w:highlight w:val="white"/>
        </w:rPr>
        <w:lastRenderedPageBreak/>
        <w:t xml:space="preserve">A and hemophilia B. </w:t>
      </w:r>
      <w:r>
        <w:rPr>
          <w:rFonts w:ascii="Times New Roman" w:eastAsia="Times New Roman" w:hAnsi="Times New Roman" w:cs="Times New Roman"/>
          <w:i/>
          <w:iCs/>
          <w:sz w:val="24"/>
          <w:szCs w:val="24"/>
          <w:highlight w:val="white"/>
        </w:rPr>
        <w:t xml:space="preserve">Research and practice in thrombosis and </w:t>
      </w:r>
      <w:proofErr w:type="spellStart"/>
      <w:r>
        <w:rPr>
          <w:rFonts w:ascii="Times New Roman" w:eastAsia="Times New Roman" w:hAnsi="Times New Roman" w:cs="Times New Roman"/>
          <w:i/>
          <w:iCs/>
          <w:sz w:val="24"/>
          <w:szCs w:val="24"/>
          <w:highlight w:val="white"/>
        </w:rPr>
        <w:t>haemostasis</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5</w:t>
      </w:r>
      <w:r>
        <w:rPr>
          <w:rFonts w:ascii="Times New Roman" w:eastAsia="Times New Roman" w:hAnsi="Times New Roman" w:cs="Times New Roman"/>
          <w:sz w:val="24"/>
          <w:szCs w:val="24"/>
          <w:highlight w:val="white"/>
        </w:rPr>
        <w:t xml:space="preserve">(7), e12601. </w:t>
      </w:r>
      <w:hyperlink r:id="rId30">
        <w:r w:rsidR="00E46DF7">
          <w:rPr>
            <w:rFonts w:ascii="Times New Roman" w:eastAsia="Times New Roman" w:hAnsi="Times New Roman" w:cs="Times New Roman"/>
            <w:color w:val="1155CC"/>
            <w:sz w:val="24"/>
            <w:szCs w:val="24"/>
            <w:highlight w:val="white"/>
            <w:u w:val="single"/>
          </w:rPr>
          <w:t>https://doi.org/10.1002/rth2.12601</w:t>
        </w:r>
      </w:hyperlink>
    </w:p>
    <w:p w:rsidR="00E46DF7" w:rsidRDefault="00597711">
      <w:pPr>
        <w:spacing w:before="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Wu, R., Chen, Y., Li, W., Sun, J., Yang, F., Zeng, X., Zhou, Z., Bao, X., Li, X., Zak, M. S., &amp; Yang, R. (2025). The efficacy, safety, and pharmacokinetics of N8-GP in previously treated Chinese patients with </w:t>
      </w:r>
      <w:proofErr w:type="spellStart"/>
      <w:r>
        <w:rPr>
          <w:rFonts w:ascii="Times New Roman" w:eastAsia="Times New Roman" w:hAnsi="Times New Roman" w:cs="Times New Roman"/>
          <w:sz w:val="24"/>
          <w:szCs w:val="24"/>
          <w:highlight w:val="white"/>
        </w:rPr>
        <w:t>haemophilia</w:t>
      </w:r>
      <w:proofErr w:type="spellEnd"/>
      <w:r>
        <w:rPr>
          <w:rFonts w:ascii="Times New Roman" w:eastAsia="Times New Roman" w:hAnsi="Times New Roman" w:cs="Times New Roman"/>
          <w:sz w:val="24"/>
          <w:szCs w:val="24"/>
          <w:highlight w:val="white"/>
        </w:rPr>
        <w:t xml:space="preserve"> A: results</w:t>
      </w:r>
      <w:r>
        <w:rPr>
          <w:rFonts w:ascii="Times New Roman" w:eastAsia="Times New Roman" w:hAnsi="Times New Roman" w:cs="Times New Roman"/>
          <w:sz w:val="24"/>
          <w:szCs w:val="24"/>
          <w:highlight w:val="white"/>
        </w:rPr>
        <w:t xml:space="preserve"> from the phase 3b pathfinder10 study. </w:t>
      </w:r>
      <w:r>
        <w:rPr>
          <w:rFonts w:ascii="Times New Roman" w:eastAsia="Times New Roman" w:hAnsi="Times New Roman" w:cs="Times New Roman"/>
          <w:i/>
          <w:iCs/>
          <w:sz w:val="24"/>
          <w:szCs w:val="24"/>
          <w:highlight w:val="white"/>
        </w:rPr>
        <w:t xml:space="preserve">Blood coagulation &amp; </w:t>
      </w:r>
      <w:proofErr w:type="gramStart"/>
      <w:r>
        <w:rPr>
          <w:rFonts w:ascii="Times New Roman" w:eastAsia="Times New Roman" w:hAnsi="Times New Roman" w:cs="Times New Roman"/>
          <w:i/>
          <w:iCs/>
          <w:sz w:val="24"/>
          <w:szCs w:val="24"/>
          <w:highlight w:val="white"/>
        </w:rPr>
        <w:t>fibrinolysis :</w:t>
      </w:r>
      <w:proofErr w:type="gramEnd"/>
      <w:r>
        <w:rPr>
          <w:rFonts w:ascii="Times New Roman" w:eastAsia="Times New Roman" w:hAnsi="Times New Roman" w:cs="Times New Roman"/>
          <w:i/>
          <w:iCs/>
          <w:sz w:val="24"/>
          <w:szCs w:val="24"/>
          <w:highlight w:val="white"/>
        </w:rPr>
        <w:t xml:space="preserve"> an international journal in </w:t>
      </w:r>
      <w:proofErr w:type="spellStart"/>
      <w:r>
        <w:rPr>
          <w:rFonts w:ascii="Times New Roman" w:eastAsia="Times New Roman" w:hAnsi="Times New Roman" w:cs="Times New Roman"/>
          <w:i/>
          <w:iCs/>
          <w:sz w:val="24"/>
          <w:szCs w:val="24"/>
          <w:highlight w:val="white"/>
        </w:rPr>
        <w:t>haemostasis</w:t>
      </w:r>
      <w:proofErr w:type="spellEnd"/>
      <w:r>
        <w:rPr>
          <w:rFonts w:ascii="Times New Roman" w:eastAsia="Times New Roman" w:hAnsi="Times New Roman" w:cs="Times New Roman"/>
          <w:i/>
          <w:iCs/>
          <w:sz w:val="24"/>
          <w:szCs w:val="24"/>
          <w:highlight w:val="white"/>
        </w:rPr>
        <w:t xml:space="preserve"> and thrombosis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36</w:t>
      </w:r>
      <w:r>
        <w:rPr>
          <w:rFonts w:ascii="Times New Roman" w:eastAsia="Times New Roman" w:hAnsi="Times New Roman" w:cs="Times New Roman"/>
          <w:sz w:val="24"/>
          <w:szCs w:val="24"/>
          <w:highlight w:val="white"/>
        </w:rPr>
        <w:t xml:space="preserve">(7), 309–317. </w:t>
      </w:r>
      <w:hyperlink r:id="rId31">
        <w:r w:rsidR="00E46DF7">
          <w:rPr>
            <w:rFonts w:ascii="Times New Roman" w:eastAsia="Times New Roman" w:hAnsi="Times New Roman" w:cs="Times New Roman"/>
            <w:color w:val="1155CC"/>
            <w:sz w:val="24"/>
            <w:szCs w:val="24"/>
            <w:highlight w:val="white"/>
            <w:u w:val="single"/>
          </w:rPr>
          <w:t>https://doi.org/10.1097/MBC.0000000000001386</w:t>
        </w:r>
      </w:hyperlink>
    </w:p>
    <w:p w:rsidR="00E46DF7" w:rsidRDefault="00597711">
      <w:pPr>
        <w:spacing w:before="240"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Z</w:t>
      </w:r>
      <w:r>
        <w:rPr>
          <w:rFonts w:ascii="Times New Roman" w:eastAsia="Times New Roman" w:hAnsi="Times New Roman" w:cs="Times New Roman"/>
          <w:sz w:val="24"/>
          <w:szCs w:val="24"/>
          <w:highlight w:val="white"/>
        </w:rPr>
        <w:t>anon</w:t>
      </w:r>
      <w:proofErr w:type="spellEnd"/>
      <w:r>
        <w:rPr>
          <w:rFonts w:ascii="Times New Roman" w:eastAsia="Times New Roman" w:hAnsi="Times New Roman" w:cs="Times New Roman"/>
          <w:sz w:val="24"/>
          <w:szCs w:val="24"/>
          <w:highlight w:val="white"/>
        </w:rPr>
        <w:t xml:space="preserve">, E., </w:t>
      </w:r>
      <w:proofErr w:type="spellStart"/>
      <w:r>
        <w:rPr>
          <w:rFonts w:ascii="Times New Roman" w:eastAsia="Times New Roman" w:hAnsi="Times New Roman" w:cs="Times New Roman"/>
          <w:sz w:val="24"/>
          <w:szCs w:val="24"/>
          <w:highlight w:val="white"/>
        </w:rPr>
        <w:t>Porreca</w:t>
      </w:r>
      <w:proofErr w:type="spellEnd"/>
      <w:r>
        <w:rPr>
          <w:rFonts w:ascii="Times New Roman" w:eastAsia="Times New Roman" w:hAnsi="Times New Roman" w:cs="Times New Roman"/>
          <w:sz w:val="24"/>
          <w:szCs w:val="24"/>
          <w:highlight w:val="white"/>
        </w:rPr>
        <w:t xml:space="preserve">, A., Napolitano, A., </w:t>
      </w:r>
      <w:proofErr w:type="spellStart"/>
      <w:r>
        <w:rPr>
          <w:rFonts w:ascii="Times New Roman" w:eastAsia="Times New Roman" w:hAnsi="Times New Roman" w:cs="Times New Roman"/>
          <w:sz w:val="24"/>
          <w:szCs w:val="24"/>
          <w:highlight w:val="white"/>
        </w:rPr>
        <w:t>Simion</w:t>
      </w:r>
      <w:proofErr w:type="spellEnd"/>
      <w:r>
        <w:rPr>
          <w:rFonts w:ascii="Times New Roman" w:eastAsia="Times New Roman" w:hAnsi="Times New Roman" w:cs="Times New Roman"/>
          <w:sz w:val="24"/>
          <w:szCs w:val="24"/>
          <w:highlight w:val="white"/>
        </w:rPr>
        <w:t xml:space="preserve">, C., &amp; </w:t>
      </w:r>
      <w:proofErr w:type="spellStart"/>
      <w:r>
        <w:rPr>
          <w:rFonts w:ascii="Times New Roman" w:eastAsia="Times New Roman" w:hAnsi="Times New Roman" w:cs="Times New Roman"/>
          <w:sz w:val="24"/>
          <w:szCs w:val="24"/>
          <w:highlight w:val="white"/>
        </w:rPr>
        <w:t>Simioni</w:t>
      </w:r>
      <w:proofErr w:type="spellEnd"/>
      <w:r>
        <w:rPr>
          <w:rFonts w:ascii="Times New Roman" w:eastAsia="Times New Roman" w:hAnsi="Times New Roman" w:cs="Times New Roman"/>
          <w:sz w:val="24"/>
          <w:szCs w:val="24"/>
          <w:highlight w:val="white"/>
        </w:rPr>
        <w:t xml:space="preserve">, P. (2025). FVIII half-life products: A real-world experience. </w:t>
      </w:r>
      <w:r>
        <w:rPr>
          <w:rFonts w:ascii="Times New Roman" w:eastAsia="Times New Roman" w:hAnsi="Times New Roman" w:cs="Times New Roman"/>
          <w:i/>
          <w:iCs/>
          <w:sz w:val="24"/>
          <w:szCs w:val="24"/>
          <w:highlight w:val="white"/>
        </w:rPr>
        <w:t>Thrombosis research</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249</w:t>
      </w:r>
      <w:r>
        <w:rPr>
          <w:rFonts w:ascii="Times New Roman" w:eastAsia="Times New Roman" w:hAnsi="Times New Roman" w:cs="Times New Roman"/>
          <w:sz w:val="24"/>
          <w:szCs w:val="24"/>
          <w:highlight w:val="white"/>
        </w:rPr>
        <w:t>, 109306. https://doi.org/10.1016/j.thromres.2025.109306</w:t>
      </w:r>
    </w:p>
    <w:p w:rsidR="00E46DF7" w:rsidRDefault="00E46DF7">
      <w:pPr>
        <w:spacing w:line="360" w:lineRule="auto"/>
        <w:jc w:val="both"/>
        <w:rPr>
          <w:rFonts w:ascii="Times New Roman" w:eastAsia="Times New Roman" w:hAnsi="Times New Roman" w:cs="Times New Roman"/>
          <w:b/>
          <w:bCs/>
          <w:sz w:val="32"/>
          <w:szCs w:val="32"/>
          <w:highlight w:val="white"/>
        </w:rPr>
      </w:pPr>
    </w:p>
    <w:p w:rsidR="00E46DF7" w:rsidRDefault="00E46DF7">
      <w:pPr>
        <w:spacing w:line="360" w:lineRule="auto"/>
        <w:ind w:left="720"/>
        <w:jc w:val="both"/>
        <w:rPr>
          <w:rFonts w:ascii="Times New Roman" w:eastAsia="Times New Roman" w:hAnsi="Times New Roman" w:cs="Times New Roman"/>
          <w:sz w:val="24"/>
          <w:szCs w:val="24"/>
          <w:highlight w:val="white"/>
        </w:rPr>
      </w:pPr>
    </w:p>
    <w:p w:rsidR="00E46DF7" w:rsidRDefault="00E46DF7">
      <w:pPr>
        <w:spacing w:line="360" w:lineRule="auto"/>
        <w:ind w:left="720"/>
        <w:jc w:val="both"/>
        <w:rPr>
          <w:rFonts w:ascii="Times New Roman" w:eastAsia="Times New Roman" w:hAnsi="Times New Roman" w:cs="Times New Roman"/>
          <w:sz w:val="24"/>
          <w:szCs w:val="24"/>
          <w:highlight w:val="white"/>
        </w:rPr>
      </w:pPr>
    </w:p>
    <w:p w:rsidR="00E46DF7" w:rsidRDefault="00E46DF7">
      <w:pPr>
        <w:spacing w:before="240" w:after="240"/>
        <w:jc w:val="both"/>
        <w:rPr>
          <w:rFonts w:ascii="Times New Roman" w:eastAsia="Times New Roman" w:hAnsi="Times New Roman" w:cs="Times New Roman"/>
          <w:sz w:val="24"/>
          <w:szCs w:val="24"/>
        </w:rPr>
      </w:pPr>
    </w:p>
    <w:p w:rsidR="00E46DF7" w:rsidRDefault="00E46DF7">
      <w:pPr>
        <w:spacing w:before="240" w:after="240"/>
        <w:jc w:val="both"/>
        <w:rPr>
          <w:rFonts w:ascii="Times New Roman" w:eastAsia="Times New Roman" w:hAnsi="Times New Roman" w:cs="Times New Roman"/>
          <w:sz w:val="24"/>
          <w:szCs w:val="24"/>
        </w:rPr>
      </w:pPr>
    </w:p>
    <w:p w:rsidR="00E46DF7" w:rsidRDefault="00E46DF7">
      <w:pPr>
        <w:spacing w:before="240" w:after="240"/>
        <w:jc w:val="both"/>
        <w:rPr>
          <w:rFonts w:ascii="Times New Roman" w:eastAsia="Times New Roman" w:hAnsi="Times New Roman" w:cs="Times New Roman"/>
          <w:sz w:val="24"/>
          <w:szCs w:val="24"/>
        </w:rPr>
      </w:pPr>
    </w:p>
    <w:p w:rsidR="00E46DF7" w:rsidRDefault="00E46DF7">
      <w:pPr>
        <w:spacing w:before="240" w:after="240"/>
        <w:jc w:val="both"/>
        <w:rPr>
          <w:rFonts w:ascii="Times New Roman" w:eastAsia="Times New Roman" w:hAnsi="Times New Roman" w:cs="Times New Roman"/>
          <w:sz w:val="24"/>
          <w:szCs w:val="24"/>
        </w:rPr>
      </w:pPr>
    </w:p>
    <w:p w:rsidR="00B77831" w:rsidRDefault="00B77831" w:rsidP="00B77831">
      <w:pPr>
        <w:spacing w:before="240" w:after="240"/>
        <w:jc w:val="both"/>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Supplement File 1: Search Strategy (last day of search December 8 2025)</w:t>
      </w:r>
    </w:p>
    <w:tbl>
      <w:tblPr>
        <w:tblStyle w:val="a0"/>
        <w:tblW w:w="98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
        <w:gridCol w:w="6690"/>
        <w:gridCol w:w="870"/>
        <w:gridCol w:w="825"/>
        <w:gridCol w:w="720"/>
      </w:tblGrid>
      <w:tr w:rsidR="00B77831" w:rsidTr="00A2364D">
        <w:tc>
          <w:tcPr>
            <w:tcW w:w="720" w:type="dxa"/>
            <w:tcMar>
              <w:top w:w="100" w:type="dxa"/>
              <w:left w:w="100" w:type="dxa"/>
              <w:bottom w:w="100" w:type="dxa"/>
              <w:right w:w="100" w:type="dxa"/>
            </w:tcMar>
          </w:tcPr>
          <w:p w:rsidR="00B77831" w:rsidRDefault="00B77831" w:rsidP="00A2364D">
            <w:pPr>
              <w:widowControl w:val="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Database</w:t>
            </w:r>
          </w:p>
        </w:tc>
        <w:tc>
          <w:tcPr>
            <w:tcW w:w="6690" w:type="dxa"/>
            <w:tcMar>
              <w:top w:w="100" w:type="dxa"/>
              <w:left w:w="100" w:type="dxa"/>
              <w:bottom w:w="100" w:type="dxa"/>
              <w:right w:w="100" w:type="dxa"/>
            </w:tcMar>
          </w:tcPr>
          <w:p w:rsidR="00B77831" w:rsidRDefault="00B77831" w:rsidP="00A2364D">
            <w:pPr>
              <w:widowControl w:val="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Compiled search terms</w:t>
            </w:r>
          </w:p>
        </w:tc>
        <w:tc>
          <w:tcPr>
            <w:tcW w:w="870" w:type="dxa"/>
            <w:tcMar>
              <w:top w:w="100" w:type="dxa"/>
              <w:left w:w="100" w:type="dxa"/>
              <w:bottom w:w="100" w:type="dxa"/>
              <w:right w:w="100" w:type="dxa"/>
            </w:tcMar>
          </w:tcPr>
          <w:p w:rsidR="00B77831" w:rsidRDefault="00B77831" w:rsidP="00A2364D">
            <w:pPr>
              <w:widowControl w:val="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Search yield</w:t>
            </w:r>
          </w:p>
        </w:tc>
        <w:tc>
          <w:tcPr>
            <w:tcW w:w="825" w:type="dxa"/>
            <w:tcMar>
              <w:top w:w="100" w:type="dxa"/>
              <w:left w:w="100" w:type="dxa"/>
              <w:bottom w:w="100" w:type="dxa"/>
              <w:right w:w="100" w:type="dxa"/>
            </w:tcMar>
          </w:tcPr>
          <w:p w:rsidR="00B77831" w:rsidRDefault="00B77831" w:rsidP="00A2364D">
            <w:pPr>
              <w:widowControl w:val="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Filters</w:t>
            </w:r>
          </w:p>
        </w:tc>
        <w:tc>
          <w:tcPr>
            <w:tcW w:w="720" w:type="dxa"/>
            <w:tcMar>
              <w:top w:w="100" w:type="dxa"/>
              <w:left w:w="100" w:type="dxa"/>
              <w:bottom w:w="100" w:type="dxa"/>
              <w:right w:w="100" w:type="dxa"/>
            </w:tcMar>
          </w:tcPr>
          <w:p w:rsidR="00B77831" w:rsidRDefault="00B77831" w:rsidP="00A2364D">
            <w:pPr>
              <w:widowControl w:val="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Yield after filtering</w:t>
            </w:r>
          </w:p>
        </w:tc>
      </w:tr>
      <w:tr w:rsidR="00B77831" w:rsidTr="00A2364D">
        <w:tc>
          <w:tcPr>
            <w:tcW w:w="720" w:type="dxa"/>
            <w:tcMar>
              <w:top w:w="100" w:type="dxa"/>
              <w:left w:w="100" w:type="dxa"/>
              <w:bottom w:w="100" w:type="dxa"/>
              <w:right w:w="100" w:type="dxa"/>
            </w:tcMar>
          </w:tcPr>
          <w:p w:rsidR="00B77831" w:rsidRDefault="00B77831" w:rsidP="00A2364D">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PubMed</w:t>
            </w:r>
          </w:p>
        </w:tc>
        <w:tc>
          <w:tcPr>
            <w:tcW w:w="6690"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("hemophilia a"[</w:t>
            </w:r>
            <w:proofErr w:type="spellStart"/>
            <w:r>
              <w:rPr>
                <w:rFonts w:ascii="Times New Roman" w:eastAsia="Times New Roman" w:hAnsi="Times New Roman" w:cs="Times New Roman"/>
                <w:sz w:val="24"/>
                <w:szCs w:val="24"/>
                <w:highlight w:val="white"/>
              </w:rPr>
              <w:t>MeSH</w:t>
            </w:r>
            <w:proofErr w:type="spellEnd"/>
            <w:r>
              <w:rPr>
                <w:rFonts w:ascii="Times New Roman" w:eastAsia="Times New Roman" w:hAnsi="Times New Roman" w:cs="Times New Roman"/>
                <w:sz w:val="24"/>
                <w:szCs w:val="24"/>
                <w:highlight w:val="white"/>
              </w:rPr>
              <w:t xml:space="preserve"> Terms] OR "hemophilia b"[</w:t>
            </w:r>
            <w:proofErr w:type="spellStart"/>
            <w:r>
              <w:rPr>
                <w:rFonts w:ascii="Times New Roman" w:eastAsia="Times New Roman" w:hAnsi="Times New Roman" w:cs="Times New Roman"/>
                <w:sz w:val="24"/>
                <w:szCs w:val="24"/>
                <w:highlight w:val="white"/>
              </w:rPr>
              <w:t>MeSH</w:t>
            </w:r>
            <w:proofErr w:type="spellEnd"/>
            <w:r>
              <w:rPr>
                <w:rFonts w:ascii="Times New Roman" w:eastAsia="Times New Roman" w:hAnsi="Times New Roman" w:cs="Times New Roman"/>
                <w:sz w:val="24"/>
                <w:szCs w:val="24"/>
                <w:highlight w:val="white"/>
              </w:rPr>
              <w:t xml:space="preserve"> Terms] OR ("</w:t>
            </w:r>
            <w:proofErr w:type="spellStart"/>
            <w:r>
              <w:rPr>
                <w:rFonts w:ascii="Times New Roman" w:eastAsia="Times New Roman" w:hAnsi="Times New Roman" w:cs="Times New Roman"/>
                <w:sz w:val="24"/>
                <w:szCs w:val="24"/>
                <w:highlight w:val="white"/>
              </w:rPr>
              <w:t>haemophilia</w:t>
            </w:r>
            <w:proofErr w:type="spellEnd"/>
            <w:r>
              <w:rPr>
                <w:rFonts w:ascii="Times New Roman" w:eastAsia="Times New Roman" w:hAnsi="Times New Roman" w:cs="Times New Roman"/>
                <w:sz w:val="24"/>
                <w:szCs w:val="24"/>
                <w:highlight w:val="white"/>
              </w:rPr>
              <w:t xml:space="preserve"> a"[All Fields] OR "hemophilia a"[</w:t>
            </w:r>
            <w:proofErr w:type="spellStart"/>
            <w:r>
              <w:rPr>
                <w:rFonts w:ascii="Times New Roman" w:eastAsia="Times New Roman" w:hAnsi="Times New Roman" w:cs="Times New Roman"/>
                <w:sz w:val="24"/>
                <w:szCs w:val="24"/>
                <w:highlight w:val="white"/>
              </w:rPr>
              <w:t>MeSH</w:t>
            </w:r>
            <w:proofErr w:type="spellEnd"/>
            <w:r>
              <w:rPr>
                <w:rFonts w:ascii="Times New Roman" w:eastAsia="Times New Roman" w:hAnsi="Times New Roman" w:cs="Times New Roman"/>
                <w:sz w:val="24"/>
                <w:szCs w:val="24"/>
                <w:highlight w:val="white"/>
              </w:rPr>
              <w:t xml:space="preserve"> Terms] OR "hemophilia a"[All Fields]) OR ("</w:t>
            </w:r>
            <w:proofErr w:type="spellStart"/>
            <w:r>
              <w:rPr>
                <w:rFonts w:ascii="Times New Roman" w:eastAsia="Times New Roman" w:hAnsi="Times New Roman" w:cs="Times New Roman"/>
                <w:sz w:val="24"/>
                <w:szCs w:val="24"/>
                <w:highlight w:val="white"/>
              </w:rPr>
              <w:t>haemophilia</w:t>
            </w:r>
            <w:proofErr w:type="spellEnd"/>
            <w:r>
              <w:rPr>
                <w:rFonts w:ascii="Times New Roman" w:eastAsia="Times New Roman" w:hAnsi="Times New Roman" w:cs="Times New Roman"/>
                <w:sz w:val="24"/>
                <w:szCs w:val="24"/>
                <w:highlight w:val="white"/>
              </w:rPr>
              <w:t xml:space="preserve"> b"[All Fields] </w:t>
            </w:r>
            <w:r>
              <w:rPr>
                <w:rFonts w:ascii="Times New Roman" w:eastAsia="Times New Roman" w:hAnsi="Times New Roman" w:cs="Times New Roman"/>
                <w:sz w:val="24"/>
                <w:szCs w:val="24"/>
                <w:highlight w:val="white"/>
              </w:rPr>
              <w:lastRenderedPageBreak/>
              <w:t>OR "hemophilia b"[</w:t>
            </w:r>
            <w:proofErr w:type="spellStart"/>
            <w:r>
              <w:rPr>
                <w:rFonts w:ascii="Times New Roman" w:eastAsia="Times New Roman" w:hAnsi="Times New Roman" w:cs="Times New Roman"/>
                <w:sz w:val="24"/>
                <w:szCs w:val="24"/>
                <w:highlight w:val="white"/>
              </w:rPr>
              <w:t>MeSH</w:t>
            </w:r>
            <w:proofErr w:type="spellEnd"/>
            <w:r>
              <w:rPr>
                <w:rFonts w:ascii="Times New Roman" w:eastAsia="Times New Roman" w:hAnsi="Times New Roman" w:cs="Times New Roman"/>
                <w:sz w:val="24"/>
                <w:szCs w:val="24"/>
                <w:highlight w:val="white"/>
              </w:rPr>
              <w:t xml:space="preserve"> Terms] OR "hemophilia b"[All Fields]) OR ("</w:t>
            </w:r>
            <w:proofErr w:type="spellStart"/>
            <w:r>
              <w:rPr>
                <w:rFonts w:ascii="Times New Roman" w:eastAsia="Times New Roman" w:hAnsi="Times New Roman" w:cs="Times New Roman"/>
                <w:sz w:val="24"/>
                <w:szCs w:val="24"/>
                <w:highlight w:val="white"/>
              </w:rPr>
              <w:t>haemophilia</w:t>
            </w:r>
            <w:proofErr w:type="spellEnd"/>
            <w:r>
              <w:rPr>
                <w:rFonts w:ascii="Times New Roman" w:eastAsia="Times New Roman" w:hAnsi="Times New Roman" w:cs="Times New Roman"/>
                <w:sz w:val="24"/>
                <w:szCs w:val="24"/>
                <w:highlight w:val="white"/>
              </w:rPr>
              <w:t xml:space="preserve"> a"[All Fields] OR "hemophilia a"[</w:t>
            </w:r>
            <w:proofErr w:type="spellStart"/>
            <w:r>
              <w:rPr>
                <w:rFonts w:ascii="Times New Roman" w:eastAsia="Times New Roman" w:hAnsi="Times New Roman" w:cs="Times New Roman"/>
                <w:sz w:val="24"/>
                <w:szCs w:val="24"/>
                <w:highlight w:val="white"/>
              </w:rPr>
              <w:t>MeSH</w:t>
            </w:r>
            <w:proofErr w:type="spellEnd"/>
            <w:r>
              <w:rPr>
                <w:rFonts w:ascii="Times New Roman" w:eastAsia="Times New Roman" w:hAnsi="Times New Roman" w:cs="Times New Roman"/>
                <w:sz w:val="24"/>
                <w:szCs w:val="24"/>
                <w:highlight w:val="white"/>
              </w:rPr>
              <w:t xml:space="preserve"> Terms] OR "hemophilia a"[All Fields]) OR ("</w:t>
            </w:r>
            <w:proofErr w:type="spellStart"/>
            <w:r>
              <w:rPr>
                <w:rFonts w:ascii="Times New Roman" w:eastAsia="Times New Roman" w:hAnsi="Times New Roman" w:cs="Times New Roman"/>
                <w:sz w:val="24"/>
                <w:szCs w:val="24"/>
                <w:highlight w:val="white"/>
              </w:rPr>
              <w:t>haemophilia</w:t>
            </w:r>
            <w:proofErr w:type="spellEnd"/>
            <w:r>
              <w:rPr>
                <w:rFonts w:ascii="Times New Roman" w:eastAsia="Times New Roman" w:hAnsi="Times New Roman" w:cs="Times New Roman"/>
                <w:sz w:val="24"/>
                <w:szCs w:val="24"/>
                <w:highlight w:val="white"/>
              </w:rPr>
              <w:t xml:space="preserve"> b"[All Fields] OR "hemophilia b"[</w:t>
            </w:r>
            <w:proofErr w:type="spellStart"/>
            <w:r>
              <w:rPr>
                <w:rFonts w:ascii="Times New Roman" w:eastAsia="Times New Roman" w:hAnsi="Times New Roman" w:cs="Times New Roman"/>
                <w:sz w:val="24"/>
                <w:szCs w:val="24"/>
                <w:highlight w:val="white"/>
              </w:rPr>
              <w:t>MeSH</w:t>
            </w:r>
            <w:proofErr w:type="spellEnd"/>
            <w:r>
              <w:rPr>
                <w:rFonts w:ascii="Times New Roman" w:eastAsia="Times New Roman" w:hAnsi="Times New Roman" w:cs="Times New Roman"/>
                <w:sz w:val="24"/>
                <w:szCs w:val="24"/>
                <w:highlight w:val="white"/>
              </w:rPr>
              <w:t xml:space="preserve"> Terms] OR "hemophilia b"[All Fields])) AND ("factor replacement"[Title/Abstract] OR "clotting factor concentrate"[Title/Abstract] OR "</w:t>
            </w:r>
            <w:proofErr w:type="spellStart"/>
            <w:r>
              <w:rPr>
                <w:rFonts w:ascii="Times New Roman" w:eastAsia="Times New Roman" w:hAnsi="Times New Roman" w:cs="Times New Roman"/>
                <w:sz w:val="24"/>
                <w:szCs w:val="24"/>
                <w:highlight w:val="white"/>
              </w:rPr>
              <w:t>fviii</w:t>
            </w:r>
            <w:proofErr w:type="spellEnd"/>
            <w:r>
              <w:rPr>
                <w:rFonts w:ascii="Times New Roman" w:eastAsia="Times New Roman" w:hAnsi="Times New Roman" w:cs="Times New Roman"/>
                <w:sz w:val="24"/>
                <w:szCs w:val="24"/>
                <w:highlight w:val="white"/>
              </w:rPr>
              <w:t xml:space="preserve"> replacement"[Title/Abstract] OR "fix replacement"[Title/Abstract]) AND ("extended </w:t>
            </w:r>
            <w:proofErr w:type="spellStart"/>
            <w:r>
              <w:rPr>
                <w:rFonts w:ascii="Times New Roman" w:eastAsia="Times New Roman" w:hAnsi="Times New Roman" w:cs="Times New Roman"/>
                <w:sz w:val="24"/>
                <w:szCs w:val="24"/>
                <w:highlight w:val="white"/>
              </w:rPr>
              <w:t>half life</w:t>
            </w:r>
            <w:proofErr w:type="spellEnd"/>
            <w:r>
              <w:rPr>
                <w:rFonts w:ascii="Times New Roman" w:eastAsia="Times New Roman" w:hAnsi="Times New Roman" w:cs="Times New Roman"/>
                <w:sz w:val="24"/>
                <w:szCs w:val="24"/>
                <w:highlight w:val="white"/>
              </w:rPr>
              <w:t>"[Title/Abstract] OR "EHL"[Title/Abstract] OR ("longer"[All Fields] AND "</w:t>
            </w:r>
            <w:proofErr w:type="spellStart"/>
            <w:r>
              <w:rPr>
                <w:rFonts w:ascii="Times New Roman" w:eastAsia="Times New Roman" w:hAnsi="Times New Roman" w:cs="Times New Roman"/>
                <w:sz w:val="24"/>
                <w:szCs w:val="24"/>
                <w:highlight w:val="white"/>
              </w:rPr>
              <w:t>half life</w:t>
            </w:r>
            <w:proofErr w:type="spellEnd"/>
            <w:r>
              <w:rPr>
                <w:rFonts w:ascii="Times New Roman" w:eastAsia="Times New Roman" w:hAnsi="Times New Roman" w:cs="Times New Roman"/>
                <w:sz w:val="24"/>
                <w:szCs w:val="24"/>
                <w:highlight w:val="white"/>
              </w:rPr>
              <w:t xml:space="preserve"> factor"[Title/Abstract]) OR "extended </w:t>
            </w:r>
            <w:proofErr w:type="spellStart"/>
            <w:r>
              <w:rPr>
                <w:rFonts w:ascii="Times New Roman" w:eastAsia="Times New Roman" w:hAnsi="Times New Roman" w:cs="Times New Roman"/>
                <w:sz w:val="24"/>
                <w:szCs w:val="24"/>
                <w:highlight w:val="white"/>
              </w:rPr>
              <w:t>half life</w:t>
            </w:r>
            <w:proofErr w:type="spellEnd"/>
            <w:r>
              <w:rPr>
                <w:rFonts w:ascii="Times New Roman" w:eastAsia="Times New Roman" w:hAnsi="Times New Roman" w:cs="Times New Roman"/>
                <w:sz w:val="24"/>
                <w:szCs w:val="24"/>
                <w:highlight w:val="white"/>
              </w:rPr>
              <w:t xml:space="preserve"> factor viii"[Title/Abstract] OR "extended </w:t>
            </w:r>
            <w:proofErr w:type="spellStart"/>
            <w:r>
              <w:rPr>
                <w:rFonts w:ascii="Times New Roman" w:eastAsia="Times New Roman" w:hAnsi="Times New Roman" w:cs="Times New Roman"/>
                <w:sz w:val="24"/>
                <w:szCs w:val="24"/>
                <w:highlight w:val="white"/>
              </w:rPr>
              <w:t>half life</w:t>
            </w:r>
            <w:proofErr w:type="spellEnd"/>
            <w:r>
              <w:rPr>
                <w:rFonts w:ascii="Times New Roman" w:eastAsia="Times New Roman" w:hAnsi="Times New Roman" w:cs="Times New Roman"/>
                <w:sz w:val="24"/>
                <w:szCs w:val="24"/>
                <w:highlight w:val="white"/>
              </w:rPr>
              <w:t xml:space="preserve"> factor ix"[Title/Abstract] OR ("standard </w:t>
            </w:r>
            <w:proofErr w:type="spellStart"/>
            <w:r>
              <w:rPr>
                <w:rFonts w:ascii="Times New Roman" w:eastAsia="Times New Roman" w:hAnsi="Times New Roman" w:cs="Times New Roman"/>
                <w:sz w:val="24"/>
                <w:szCs w:val="24"/>
                <w:highlight w:val="white"/>
              </w:rPr>
              <w:t>half life</w:t>
            </w:r>
            <w:proofErr w:type="spellEnd"/>
            <w:r>
              <w:rPr>
                <w:rFonts w:ascii="Times New Roman" w:eastAsia="Times New Roman" w:hAnsi="Times New Roman" w:cs="Times New Roman"/>
                <w:sz w:val="24"/>
                <w:szCs w:val="24"/>
                <w:highlight w:val="white"/>
              </w:rPr>
              <w:t xml:space="preserve">"[Title/Abstract] OR "SHL"[Title/Abstract] OR "standard </w:t>
            </w:r>
            <w:proofErr w:type="spellStart"/>
            <w:r>
              <w:rPr>
                <w:rFonts w:ascii="Times New Roman" w:eastAsia="Times New Roman" w:hAnsi="Times New Roman" w:cs="Times New Roman"/>
                <w:sz w:val="24"/>
                <w:szCs w:val="24"/>
                <w:highlight w:val="white"/>
              </w:rPr>
              <w:t>half life</w:t>
            </w:r>
            <w:proofErr w:type="spellEnd"/>
            <w:r>
              <w:rPr>
                <w:rFonts w:ascii="Times New Roman" w:eastAsia="Times New Roman" w:hAnsi="Times New Roman" w:cs="Times New Roman"/>
                <w:sz w:val="24"/>
                <w:szCs w:val="24"/>
                <w:highlight w:val="white"/>
              </w:rPr>
              <w:t xml:space="preserve"> factor viii"[Title/Abstract] OR "standard </w:t>
            </w:r>
            <w:proofErr w:type="spellStart"/>
            <w:r>
              <w:rPr>
                <w:rFonts w:ascii="Times New Roman" w:eastAsia="Times New Roman" w:hAnsi="Times New Roman" w:cs="Times New Roman"/>
                <w:sz w:val="24"/>
                <w:szCs w:val="24"/>
                <w:highlight w:val="white"/>
              </w:rPr>
              <w:t>half life</w:t>
            </w:r>
            <w:proofErr w:type="spellEnd"/>
            <w:r>
              <w:rPr>
                <w:rFonts w:ascii="Times New Roman" w:eastAsia="Times New Roman" w:hAnsi="Times New Roman" w:cs="Times New Roman"/>
                <w:sz w:val="24"/>
                <w:szCs w:val="24"/>
                <w:highlight w:val="white"/>
              </w:rPr>
              <w:t xml:space="preserve"> factor ix"[Title/Abstract]) OR ("</w:t>
            </w:r>
            <w:proofErr w:type="spellStart"/>
            <w:r>
              <w:rPr>
                <w:rFonts w:ascii="Times New Roman" w:eastAsia="Times New Roman" w:hAnsi="Times New Roman" w:cs="Times New Roman"/>
                <w:sz w:val="24"/>
                <w:szCs w:val="24"/>
                <w:highlight w:val="white"/>
              </w:rPr>
              <w:t>non factor</w:t>
            </w:r>
            <w:proofErr w:type="spellEnd"/>
            <w:r>
              <w:rPr>
                <w:rFonts w:ascii="Times New Roman" w:eastAsia="Times New Roman" w:hAnsi="Times New Roman" w:cs="Times New Roman"/>
                <w:sz w:val="24"/>
                <w:szCs w:val="24"/>
                <w:highlight w:val="white"/>
              </w:rPr>
              <w:t xml:space="preserve"> replacement"[Title/Abstract] AND ("prophylaxis"[Title/Abstract] OR "bleeding rate"[Title/Abstract] OR "annualized bleeding rate"[Title/Abstract] OR "ABR"[Title/Abstract] OR "</w:t>
            </w:r>
            <w:proofErr w:type="spellStart"/>
            <w:r>
              <w:rPr>
                <w:rFonts w:ascii="Times New Roman" w:eastAsia="Times New Roman" w:hAnsi="Times New Roman" w:cs="Times New Roman"/>
                <w:sz w:val="24"/>
                <w:szCs w:val="24"/>
                <w:highlight w:val="white"/>
              </w:rPr>
              <w:t>annualised</w:t>
            </w:r>
            <w:proofErr w:type="spellEnd"/>
            <w:r>
              <w:rPr>
                <w:rFonts w:ascii="Times New Roman" w:eastAsia="Times New Roman" w:hAnsi="Times New Roman" w:cs="Times New Roman"/>
                <w:sz w:val="24"/>
                <w:szCs w:val="24"/>
                <w:highlight w:val="white"/>
              </w:rPr>
              <w:t xml:space="preserve"> bleeding rate"[Title/Abstract] OR "joint bleeding"[Title/Abstract] OR ("</w:t>
            </w:r>
            <w:proofErr w:type="spellStart"/>
            <w:r>
              <w:rPr>
                <w:rFonts w:ascii="Times New Roman" w:eastAsia="Times New Roman" w:hAnsi="Times New Roman" w:cs="Times New Roman"/>
                <w:sz w:val="24"/>
                <w:szCs w:val="24"/>
                <w:highlight w:val="white"/>
              </w:rPr>
              <w:t>annualised</w:t>
            </w:r>
            <w:proofErr w:type="spellEnd"/>
            <w:r>
              <w:rPr>
                <w:rFonts w:ascii="Times New Roman" w:eastAsia="Times New Roman" w:hAnsi="Times New Roman" w:cs="Times New Roman"/>
                <w:sz w:val="24"/>
                <w:szCs w:val="24"/>
                <w:highlight w:val="white"/>
              </w:rPr>
              <w:t>"[All Fields] AND "joint bleeding rate"[Title/Abstract]) OR "AJBR"[Title/Abstract] OR "zero bleeds"[Title/Abstract] OR ((("dose fractionation, radiation"[</w:t>
            </w:r>
            <w:proofErr w:type="spellStart"/>
            <w:r>
              <w:rPr>
                <w:rFonts w:ascii="Times New Roman" w:eastAsia="Times New Roman" w:hAnsi="Times New Roman" w:cs="Times New Roman"/>
                <w:sz w:val="24"/>
                <w:szCs w:val="24"/>
                <w:highlight w:val="white"/>
              </w:rPr>
              <w:t>MeSH</w:t>
            </w:r>
            <w:proofErr w:type="spellEnd"/>
            <w:r>
              <w:rPr>
                <w:rFonts w:ascii="Times New Roman" w:eastAsia="Times New Roman" w:hAnsi="Times New Roman" w:cs="Times New Roman"/>
                <w:sz w:val="24"/>
                <w:szCs w:val="24"/>
                <w:highlight w:val="white"/>
              </w:rPr>
              <w:t xml:space="preserve"> Terms] OR ("dose"[All Fields] AND "fractionation"[All Fields] AND "radiation"[All Fields]) OR "radiation dose fractionation"[All Fields] OR "fractionation"[All Fields] OR "chemical fractionation"[</w:t>
            </w:r>
            <w:proofErr w:type="spellStart"/>
            <w:r>
              <w:rPr>
                <w:rFonts w:ascii="Times New Roman" w:eastAsia="Times New Roman" w:hAnsi="Times New Roman" w:cs="Times New Roman"/>
                <w:sz w:val="24"/>
                <w:szCs w:val="24"/>
                <w:highlight w:val="white"/>
              </w:rPr>
              <w:t>MeSH</w:t>
            </w:r>
            <w:proofErr w:type="spellEnd"/>
            <w:r>
              <w:rPr>
                <w:rFonts w:ascii="Times New Roman" w:eastAsia="Times New Roman" w:hAnsi="Times New Roman" w:cs="Times New Roman"/>
                <w:sz w:val="24"/>
                <w:szCs w:val="24"/>
                <w:highlight w:val="white"/>
              </w:rPr>
              <w:t xml:space="preserve"> Terms] OR ("chemical"[All Fields] AND "fractionation"[All Fields]) OR "chemical fractionation"[All Fields] OR "fraction"[All Fields] OR "fraction s"[All Fields] OR "fractionate"[All Fields] OR "fractionated"[All Fields] OR "fractionates"[All Fields] OR "fractionating"[All Fields] OR "</w:t>
            </w:r>
            <w:proofErr w:type="spellStart"/>
            <w:r>
              <w:rPr>
                <w:rFonts w:ascii="Times New Roman" w:eastAsia="Times New Roman" w:hAnsi="Times New Roman" w:cs="Times New Roman"/>
                <w:sz w:val="24"/>
                <w:szCs w:val="24"/>
                <w:highlight w:val="white"/>
              </w:rPr>
              <w:t>fractionationed</w:t>
            </w:r>
            <w:proofErr w:type="spellEnd"/>
            <w:r>
              <w:rPr>
                <w:rFonts w:ascii="Times New Roman" w:eastAsia="Times New Roman" w:hAnsi="Times New Roman" w:cs="Times New Roman"/>
                <w:sz w:val="24"/>
                <w:szCs w:val="24"/>
                <w:highlight w:val="white"/>
              </w:rPr>
              <w:t>"[All Fields] OR "fractionations"[All Fields] OR "fractionator"[All Fields] OR "fractionators"[All Fields] OR "fractioned"[All Fields] OR "fractioning"[All Fields] OR "fractionized"[All Fields] OR "fractions"[All Fields]) AND ("patient s"[All Fields] OR "patients"[</w:t>
            </w:r>
            <w:proofErr w:type="spellStart"/>
            <w:r>
              <w:rPr>
                <w:rFonts w:ascii="Times New Roman" w:eastAsia="Times New Roman" w:hAnsi="Times New Roman" w:cs="Times New Roman"/>
                <w:sz w:val="24"/>
                <w:szCs w:val="24"/>
                <w:highlight w:val="white"/>
              </w:rPr>
              <w:t>MeSH</w:t>
            </w:r>
            <w:proofErr w:type="spellEnd"/>
            <w:r>
              <w:rPr>
                <w:rFonts w:ascii="Times New Roman" w:eastAsia="Times New Roman" w:hAnsi="Times New Roman" w:cs="Times New Roman"/>
                <w:sz w:val="24"/>
                <w:szCs w:val="24"/>
                <w:highlight w:val="white"/>
              </w:rPr>
              <w:t xml:space="preserve"> Terms] OR "patients"[All Fields] OR "patient"[All Fields] OR "patients s"[All Fields])) AND "zero bleeds"[Title/Abstract]) OR "factor consumption"[Title/Abstract] OR "infusion frequency"[Title/Abstract] OR "quality of life"[Title/Abstract] OR "</w:t>
            </w:r>
            <w:proofErr w:type="spellStart"/>
            <w:r>
              <w:rPr>
                <w:rFonts w:ascii="Times New Roman" w:eastAsia="Times New Roman" w:hAnsi="Times New Roman" w:cs="Times New Roman"/>
                <w:sz w:val="24"/>
                <w:szCs w:val="24"/>
                <w:highlight w:val="white"/>
              </w:rPr>
              <w:t>HRQoL</w:t>
            </w:r>
            <w:proofErr w:type="spellEnd"/>
            <w:r>
              <w:rPr>
                <w:rFonts w:ascii="Times New Roman" w:eastAsia="Times New Roman" w:hAnsi="Times New Roman" w:cs="Times New Roman"/>
                <w:sz w:val="24"/>
                <w:szCs w:val="24"/>
                <w:highlight w:val="white"/>
              </w:rPr>
              <w:t xml:space="preserve">"[Title/Abstract] OR "safety outcome"[Title/Abstract] OR </w:t>
            </w:r>
            <w:r>
              <w:rPr>
                <w:rFonts w:ascii="Times New Roman" w:eastAsia="Times New Roman" w:hAnsi="Times New Roman" w:cs="Times New Roman"/>
                <w:sz w:val="24"/>
                <w:szCs w:val="24"/>
                <w:highlight w:val="white"/>
              </w:rPr>
              <w:lastRenderedPageBreak/>
              <w:t>"inhibitor"[Title/Abstract] OR "thromboembolic event"[Title/Abstract])</w:t>
            </w:r>
          </w:p>
          <w:p w:rsidR="00B77831" w:rsidRDefault="00B77831" w:rsidP="00A2364D">
            <w:pPr>
              <w:spacing w:before="240" w:after="240"/>
              <w:jc w:val="both"/>
              <w:rPr>
                <w:rFonts w:ascii="Times New Roman" w:eastAsia="Times New Roman" w:hAnsi="Times New Roman" w:cs="Times New Roman"/>
                <w:sz w:val="24"/>
                <w:szCs w:val="24"/>
                <w:highlight w:val="white"/>
              </w:rPr>
            </w:pPr>
          </w:p>
        </w:tc>
        <w:tc>
          <w:tcPr>
            <w:tcW w:w="870" w:type="dxa"/>
            <w:tcMar>
              <w:top w:w="100" w:type="dxa"/>
              <w:left w:w="100" w:type="dxa"/>
              <w:bottom w:w="100" w:type="dxa"/>
              <w:right w:w="100" w:type="dxa"/>
            </w:tcMar>
          </w:tcPr>
          <w:p w:rsidR="00B77831" w:rsidRDefault="00B77831" w:rsidP="00A2364D">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324</w:t>
            </w:r>
          </w:p>
        </w:tc>
        <w:tc>
          <w:tcPr>
            <w:tcW w:w="825" w:type="dxa"/>
            <w:tcMar>
              <w:top w:w="100" w:type="dxa"/>
              <w:left w:w="100" w:type="dxa"/>
              <w:bottom w:w="100" w:type="dxa"/>
              <w:right w:w="100" w:type="dxa"/>
            </w:tcMar>
          </w:tcPr>
          <w:p w:rsidR="00B77831" w:rsidRDefault="00B77831" w:rsidP="00A2364D">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2020-</w:t>
            </w:r>
            <w:proofErr w:type="gramStart"/>
            <w:r>
              <w:rPr>
                <w:rFonts w:ascii="Times New Roman" w:eastAsia="Times New Roman" w:hAnsi="Times New Roman" w:cs="Times New Roman"/>
                <w:sz w:val="24"/>
                <w:szCs w:val="24"/>
                <w:highlight w:val="white"/>
              </w:rPr>
              <w:t>2025,Free</w:t>
            </w:r>
            <w:proofErr w:type="gramEnd"/>
            <w:r>
              <w:rPr>
                <w:rFonts w:ascii="Times New Roman" w:eastAsia="Times New Roman" w:hAnsi="Times New Roman" w:cs="Times New Roman"/>
                <w:sz w:val="24"/>
                <w:szCs w:val="24"/>
                <w:highlight w:val="white"/>
              </w:rPr>
              <w:t xml:space="preserve"> full </w:t>
            </w:r>
            <w:r>
              <w:rPr>
                <w:rFonts w:ascii="Times New Roman" w:eastAsia="Times New Roman" w:hAnsi="Times New Roman" w:cs="Times New Roman"/>
                <w:sz w:val="24"/>
                <w:szCs w:val="24"/>
                <w:highlight w:val="white"/>
              </w:rPr>
              <w:lastRenderedPageBreak/>
              <w:t>text, English, Humans.</w:t>
            </w:r>
          </w:p>
        </w:tc>
        <w:tc>
          <w:tcPr>
            <w:tcW w:w="720" w:type="dxa"/>
            <w:tcMar>
              <w:top w:w="100" w:type="dxa"/>
              <w:left w:w="100" w:type="dxa"/>
              <w:bottom w:w="100" w:type="dxa"/>
              <w:right w:w="100" w:type="dxa"/>
            </w:tcMar>
          </w:tcPr>
          <w:p w:rsidR="00B77831" w:rsidRDefault="00B77831" w:rsidP="00A2364D">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95</w:t>
            </w:r>
          </w:p>
        </w:tc>
      </w:tr>
      <w:tr w:rsidR="00B77831" w:rsidTr="00A2364D">
        <w:tc>
          <w:tcPr>
            <w:tcW w:w="720" w:type="dxa"/>
            <w:tcMar>
              <w:top w:w="100" w:type="dxa"/>
              <w:left w:w="100" w:type="dxa"/>
              <w:bottom w:w="100" w:type="dxa"/>
              <w:right w:w="100" w:type="dxa"/>
            </w:tcMar>
          </w:tcPr>
          <w:p w:rsidR="00B77831" w:rsidRDefault="00B77831" w:rsidP="00A2364D">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Google Scholar</w:t>
            </w:r>
          </w:p>
        </w:tc>
        <w:tc>
          <w:tcPr>
            <w:tcW w:w="6690" w:type="dxa"/>
            <w:tcMar>
              <w:top w:w="100" w:type="dxa"/>
              <w:left w:w="100" w:type="dxa"/>
              <w:bottom w:w="100" w:type="dxa"/>
              <w:right w:w="100" w:type="dxa"/>
            </w:tcMar>
          </w:tcPr>
          <w:p w:rsidR="00B77831" w:rsidRDefault="00B77831" w:rsidP="00A2364D">
            <w:pPr>
              <w:rPr>
                <w:rFonts w:ascii="Times New Roman" w:eastAsia="Times New Roman" w:hAnsi="Times New Roman" w:cs="Times New Roman"/>
                <w:highlight w:val="white"/>
              </w:rPr>
            </w:pPr>
            <w:r>
              <w:rPr>
                <w:rFonts w:ascii="Times New Roman" w:eastAsia="Times New Roman" w:hAnsi="Times New Roman" w:cs="Times New Roman"/>
                <w:highlight w:val="white"/>
              </w:rPr>
              <w:t>("hemophilia A" OR "hemophilia B")</w:t>
            </w:r>
          </w:p>
          <w:p w:rsidR="00B77831" w:rsidRDefault="00B77831" w:rsidP="00A2364D">
            <w:pPr>
              <w:rPr>
                <w:rFonts w:ascii="Times New Roman" w:eastAsia="Times New Roman" w:hAnsi="Times New Roman" w:cs="Times New Roman"/>
                <w:highlight w:val="white"/>
              </w:rPr>
            </w:pPr>
            <w:r>
              <w:rPr>
                <w:rFonts w:ascii="Times New Roman" w:eastAsia="Times New Roman" w:hAnsi="Times New Roman" w:cs="Times New Roman"/>
                <w:highlight w:val="white"/>
              </w:rPr>
              <w:t>AND ("extended half-life" OR "EHL")</w:t>
            </w:r>
          </w:p>
          <w:p w:rsidR="00B77831" w:rsidRDefault="00B77831" w:rsidP="00A2364D">
            <w:pPr>
              <w:rPr>
                <w:rFonts w:ascii="Times New Roman" w:eastAsia="Times New Roman" w:hAnsi="Times New Roman" w:cs="Times New Roman"/>
                <w:highlight w:val="white"/>
              </w:rPr>
            </w:pPr>
            <w:r>
              <w:rPr>
                <w:rFonts w:ascii="Times New Roman" w:eastAsia="Times New Roman" w:hAnsi="Times New Roman" w:cs="Times New Roman"/>
                <w:highlight w:val="white"/>
              </w:rPr>
              <w:t>AND ("standard half-life" OR "SHL")</w:t>
            </w:r>
          </w:p>
          <w:p w:rsidR="00B77831" w:rsidRDefault="00B77831" w:rsidP="00A2364D">
            <w:pPr>
              <w:rPr>
                <w:rFonts w:ascii="Times New Roman" w:eastAsia="Times New Roman" w:hAnsi="Times New Roman" w:cs="Times New Roman"/>
                <w:highlight w:val="white"/>
              </w:rPr>
            </w:pPr>
            <w:r>
              <w:rPr>
                <w:rFonts w:ascii="Times New Roman" w:eastAsia="Times New Roman" w:hAnsi="Times New Roman" w:cs="Times New Roman"/>
                <w:highlight w:val="white"/>
              </w:rPr>
              <w:t>AND ("factor VIII" OR "factor IX")</w:t>
            </w:r>
          </w:p>
          <w:p w:rsidR="00B77831" w:rsidRDefault="00B77831" w:rsidP="00A2364D">
            <w:pPr>
              <w:rPr>
                <w:rFonts w:ascii="Times New Roman" w:eastAsia="Times New Roman" w:hAnsi="Times New Roman" w:cs="Times New Roman"/>
                <w:highlight w:val="white"/>
              </w:rPr>
            </w:pPr>
            <w:r>
              <w:rPr>
                <w:rFonts w:ascii="Times New Roman" w:eastAsia="Times New Roman" w:hAnsi="Times New Roman" w:cs="Times New Roman"/>
                <w:highlight w:val="white"/>
              </w:rPr>
              <w:t>AND ("annualized bleeding rate" OR "ABR" OR "joint bleeding rate" OR "AJBR" OR "zero bleeds")</w:t>
            </w:r>
          </w:p>
          <w:p w:rsidR="00B77831" w:rsidRDefault="00B77831" w:rsidP="00A2364D">
            <w:pPr>
              <w:rPr>
                <w:rFonts w:ascii="Times New Roman" w:eastAsia="Times New Roman" w:hAnsi="Times New Roman" w:cs="Times New Roman"/>
                <w:highlight w:val="white"/>
              </w:rPr>
            </w:pPr>
            <w:r>
              <w:rPr>
                <w:rFonts w:ascii="Times New Roman" w:eastAsia="Times New Roman" w:hAnsi="Times New Roman" w:cs="Times New Roman"/>
                <w:highlight w:val="white"/>
              </w:rPr>
              <w:t>AND ("prophylaxis" OR "treatment adherence" OR "infusion frequency" OR "quality of life" OR "</w:t>
            </w:r>
            <w:proofErr w:type="spellStart"/>
            <w:r>
              <w:rPr>
                <w:rFonts w:ascii="Times New Roman" w:eastAsia="Times New Roman" w:hAnsi="Times New Roman" w:cs="Times New Roman"/>
                <w:highlight w:val="white"/>
              </w:rPr>
              <w:t>HRQoL</w:t>
            </w:r>
            <w:proofErr w:type="spellEnd"/>
            <w:r>
              <w:rPr>
                <w:rFonts w:ascii="Times New Roman" w:eastAsia="Times New Roman" w:hAnsi="Times New Roman" w:cs="Times New Roman"/>
                <w:highlight w:val="white"/>
              </w:rPr>
              <w:t>")</w:t>
            </w:r>
          </w:p>
          <w:p w:rsidR="00B77831" w:rsidRDefault="00B77831" w:rsidP="00A2364D">
            <w:pPr>
              <w:spacing w:before="240" w:after="240"/>
              <w:jc w:val="both"/>
              <w:rPr>
                <w:rFonts w:ascii="Times New Roman" w:eastAsia="Times New Roman" w:hAnsi="Times New Roman" w:cs="Times New Roman"/>
                <w:sz w:val="24"/>
                <w:szCs w:val="24"/>
                <w:highlight w:val="white"/>
              </w:rPr>
            </w:pPr>
          </w:p>
        </w:tc>
        <w:tc>
          <w:tcPr>
            <w:tcW w:w="870" w:type="dxa"/>
            <w:tcMar>
              <w:top w:w="100" w:type="dxa"/>
              <w:left w:w="100" w:type="dxa"/>
              <w:bottom w:w="100" w:type="dxa"/>
              <w:right w:w="100" w:type="dxa"/>
            </w:tcMar>
          </w:tcPr>
          <w:p w:rsidR="00B77831" w:rsidRDefault="00B77831" w:rsidP="00A2364D">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494</w:t>
            </w:r>
          </w:p>
        </w:tc>
        <w:tc>
          <w:tcPr>
            <w:tcW w:w="825" w:type="dxa"/>
            <w:tcMar>
              <w:top w:w="100" w:type="dxa"/>
              <w:left w:w="100" w:type="dxa"/>
              <w:bottom w:w="100" w:type="dxa"/>
              <w:right w:w="100" w:type="dxa"/>
            </w:tcMar>
          </w:tcPr>
          <w:p w:rsidR="00B77831" w:rsidRDefault="00B77831" w:rsidP="00A2364D">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2020-2025</w:t>
            </w:r>
          </w:p>
        </w:tc>
        <w:tc>
          <w:tcPr>
            <w:tcW w:w="720" w:type="dxa"/>
            <w:tcMar>
              <w:top w:w="100" w:type="dxa"/>
              <w:left w:w="100" w:type="dxa"/>
              <w:bottom w:w="100" w:type="dxa"/>
              <w:right w:w="100" w:type="dxa"/>
            </w:tcMar>
          </w:tcPr>
          <w:p w:rsidR="00B77831" w:rsidRDefault="00B77831" w:rsidP="00A2364D">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0"/>
                <w:szCs w:val="20"/>
                <w:highlight w:val="white"/>
              </w:rPr>
              <w:t>482</w:t>
            </w:r>
          </w:p>
        </w:tc>
      </w:tr>
      <w:tr w:rsidR="00B77831" w:rsidTr="00A2364D">
        <w:tc>
          <w:tcPr>
            <w:tcW w:w="720" w:type="dxa"/>
            <w:tcMar>
              <w:top w:w="100" w:type="dxa"/>
              <w:left w:w="100" w:type="dxa"/>
              <w:bottom w:w="100" w:type="dxa"/>
              <w:right w:w="100" w:type="dxa"/>
            </w:tcMar>
          </w:tcPr>
          <w:p w:rsidR="00B77831" w:rsidRDefault="00B77831" w:rsidP="00A2364D">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Clinicaltrial.gov</w:t>
            </w:r>
          </w:p>
        </w:tc>
        <w:tc>
          <w:tcPr>
            <w:tcW w:w="6690"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(hemophilia A OR hemophilia B) AND (extended half-life OR EHL OR longer half-life factor OR extended </w:t>
            </w:r>
            <w:proofErr w:type="spellStart"/>
            <w:r>
              <w:rPr>
                <w:rFonts w:ascii="Times New Roman" w:eastAsia="Times New Roman" w:hAnsi="Times New Roman" w:cs="Times New Roman"/>
                <w:sz w:val="24"/>
                <w:szCs w:val="24"/>
                <w:highlight w:val="white"/>
              </w:rPr>
              <w:t>half life</w:t>
            </w:r>
            <w:proofErr w:type="spellEnd"/>
            <w:r>
              <w:rPr>
                <w:rFonts w:ascii="Times New Roman" w:eastAsia="Times New Roman" w:hAnsi="Times New Roman" w:cs="Times New Roman"/>
                <w:sz w:val="24"/>
                <w:szCs w:val="24"/>
                <w:highlight w:val="white"/>
              </w:rPr>
              <w:t xml:space="preserve"> factor VIII OR extended </w:t>
            </w:r>
            <w:proofErr w:type="spellStart"/>
            <w:r>
              <w:rPr>
                <w:rFonts w:ascii="Times New Roman" w:eastAsia="Times New Roman" w:hAnsi="Times New Roman" w:cs="Times New Roman"/>
                <w:sz w:val="24"/>
                <w:szCs w:val="24"/>
                <w:highlight w:val="white"/>
              </w:rPr>
              <w:t>half life</w:t>
            </w:r>
            <w:proofErr w:type="spellEnd"/>
            <w:r>
              <w:rPr>
                <w:rFonts w:ascii="Times New Roman" w:eastAsia="Times New Roman" w:hAnsi="Times New Roman" w:cs="Times New Roman"/>
                <w:sz w:val="24"/>
                <w:szCs w:val="24"/>
                <w:highlight w:val="white"/>
              </w:rPr>
              <w:t xml:space="preserve"> factor IX) OR (standard half-life OR SHL OR standard </w:t>
            </w:r>
            <w:proofErr w:type="spellStart"/>
            <w:r>
              <w:rPr>
                <w:rFonts w:ascii="Times New Roman" w:eastAsia="Times New Roman" w:hAnsi="Times New Roman" w:cs="Times New Roman"/>
                <w:sz w:val="24"/>
                <w:szCs w:val="24"/>
                <w:highlight w:val="white"/>
              </w:rPr>
              <w:t>half life</w:t>
            </w:r>
            <w:proofErr w:type="spellEnd"/>
            <w:r>
              <w:rPr>
                <w:rFonts w:ascii="Times New Roman" w:eastAsia="Times New Roman" w:hAnsi="Times New Roman" w:cs="Times New Roman"/>
                <w:sz w:val="24"/>
                <w:szCs w:val="24"/>
                <w:highlight w:val="white"/>
              </w:rPr>
              <w:t xml:space="preserve"> factor VIII OR standard </w:t>
            </w:r>
            <w:proofErr w:type="spellStart"/>
            <w:r>
              <w:rPr>
                <w:rFonts w:ascii="Times New Roman" w:eastAsia="Times New Roman" w:hAnsi="Times New Roman" w:cs="Times New Roman"/>
                <w:sz w:val="24"/>
                <w:szCs w:val="24"/>
                <w:highlight w:val="white"/>
              </w:rPr>
              <w:t>half life</w:t>
            </w:r>
            <w:proofErr w:type="spellEnd"/>
            <w:r>
              <w:rPr>
                <w:rFonts w:ascii="Times New Roman" w:eastAsia="Times New Roman" w:hAnsi="Times New Roman" w:cs="Times New Roman"/>
                <w:sz w:val="24"/>
                <w:szCs w:val="24"/>
                <w:highlight w:val="white"/>
              </w:rPr>
              <w:t xml:space="preserve"> factor IX) AND (factor replacement OR clotting factor concentrate OR FVIII replacement OR FIX replacement) AND (prophylaxis OR bleeding rate OR annualized bleeding rate OR ABR OR </w:t>
            </w:r>
            <w:proofErr w:type="spellStart"/>
            <w:r>
              <w:rPr>
                <w:rFonts w:ascii="Times New Roman" w:eastAsia="Times New Roman" w:hAnsi="Times New Roman" w:cs="Times New Roman"/>
                <w:sz w:val="24"/>
                <w:szCs w:val="24"/>
                <w:highlight w:val="white"/>
              </w:rPr>
              <w:t>annualised</w:t>
            </w:r>
            <w:proofErr w:type="spellEnd"/>
            <w:r>
              <w:rPr>
                <w:rFonts w:ascii="Times New Roman" w:eastAsia="Times New Roman" w:hAnsi="Times New Roman" w:cs="Times New Roman"/>
                <w:sz w:val="24"/>
                <w:szCs w:val="24"/>
                <w:highlight w:val="white"/>
              </w:rPr>
              <w:t xml:space="preserve"> bleeding rate OR joint bleeding OR </w:t>
            </w:r>
            <w:proofErr w:type="spellStart"/>
            <w:r>
              <w:rPr>
                <w:rFonts w:ascii="Times New Roman" w:eastAsia="Times New Roman" w:hAnsi="Times New Roman" w:cs="Times New Roman"/>
                <w:sz w:val="24"/>
                <w:szCs w:val="24"/>
                <w:highlight w:val="white"/>
              </w:rPr>
              <w:t>annualised</w:t>
            </w:r>
            <w:proofErr w:type="spellEnd"/>
            <w:r>
              <w:rPr>
                <w:rFonts w:ascii="Times New Roman" w:eastAsia="Times New Roman" w:hAnsi="Times New Roman" w:cs="Times New Roman"/>
                <w:sz w:val="24"/>
                <w:szCs w:val="24"/>
                <w:highlight w:val="white"/>
              </w:rPr>
              <w:t xml:space="preserve"> joint bleeding rate OR AJBR OR zero bleeds OR fraction of patients zero bleeds OR factor consumption OR infusion frequency OR quality of life OR </w:t>
            </w:r>
            <w:proofErr w:type="spellStart"/>
            <w:r>
              <w:rPr>
                <w:rFonts w:ascii="Times New Roman" w:eastAsia="Times New Roman" w:hAnsi="Times New Roman" w:cs="Times New Roman"/>
                <w:sz w:val="24"/>
                <w:szCs w:val="24"/>
                <w:highlight w:val="white"/>
              </w:rPr>
              <w:t>HRQoL</w:t>
            </w:r>
            <w:proofErr w:type="spellEnd"/>
            <w:r>
              <w:rPr>
                <w:rFonts w:ascii="Times New Roman" w:eastAsia="Times New Roman" w:hAnsi="Times New Roman" w:cs="Times New Roman"/>
                <w:sz w:val="24"/>
                <w:szCs w:val="24"/>
                <w:highlight w:val="white"/>
              </w:rPr>
              <w:t xml:space="preserve"> OR safety outcome OR inhibitor OR thromboembolic event)</w:t>
            </w:r>
          </w:p>
          <w:p w:rsidR="00B77831" w:rsidRDefault="00B77831" w:rsidP="00A2364D">
            <w:pPr>
              <w:spacing w:before="240" w:after="240"/>
              <w:jc w:val="both"/>
              <w:rPr>
                <w:rFonts w:ascii="Times New Roman" w:eastAsia="Times New Roman" w:hAnsi="Times New Roman" w:cs="Times New Roman"/>
                <w:sz w:val="24"/>
                <w:szCs w:val="24"/>
                <w:highlight w:val="white"/>
              </w:rPr>
            </w:pPr>
          </w:p>
        </w:tc>
        <w:tc>
          <w:tcPr>
            <w:tcW w:w="870" w:type="dxa"/>
            <w:tcMar>
              <w:top w:w="100" w:type="dxa"/>
              <w:left w:w="100" w:type="dxa"/>
              <w:bottom w:w="100" w:type="dxa"/>
              <w:right w:w="100" w:type="dxa"/>
            </w:tcMar>
          </w:tcPr>
          <w:p w:rsidR="00B77831" w:rsidRDefault="00B77831" w:rsidP="00A2364D">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w:t>
            </w:r>
          </w:p>
        </w:tc>
        <w:tc>
          <w:tcPr>
            <w:tcW w:w="825" w:type="dxa"/>
            <w:tcMar>
              <w:top w:w="100" w:type="dxa"/>
              <w:left w:w="100" w:type="dxa"/>
              <w:bottom w:w="100" w:type="dxa"/>
              <w:right w:w="100" w:type="dxa"/>
            </w:tcMar>
          </w:tcPr>
          <w:p w:rsidR="00B77831" w:rsidRDefault="00B77831" w:rsidP="00A2364D">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nil</w:t>
            </w:r>
          </w:p>
        </w:tc>
        <w:tc>
          <w:tcPr>
            <w:tcW w:w="720" w:type="dxa"/>
            <w:tcMar>
              <w:top w:w="100" w:type="dxa"/>
              <w:left w:w="100" w:type="dxa"/>
              <w:bottom w:w="100" w:type="dxa"/>
              <w:right w:w="100" w:type="dxa"/>
            </w:tcMar>
          </w:tcPr>
          <w:p w:rsidR="00B77831" w:rsidRDefault="00B77831" w:rsidP="00A2364D">
            <w:pPr>
              <w:widowControl w:val="0"/>
              <w:rPr>
                <w:rFonts w:ascii="Times New Roman" w:eastAsia="Times New Roman" w:hAnsi="Times New Roman" w:cs="Times New Roman"/>
                <w:sz w:val="24"/>
                <w:szCs w:val="24"/>
                <w:highlight w:val="white"/>
              </w:rPr>
            </w:pPr>
          </w:p>
        </w:tc>
      </w:tr>
    </w:tbl>
    <w:p w:rsidR="00B77831" w:rsidRDefault="00B77831" w:rsidP="00B77831">
      <w:pPr>
        <w:spacing w:before="240" w:after="240"/>
        <w:jc w:val="both"/>
      </w:pPr>
    </w:p>
    <w:p w:rsidR="00B77831" w:rsidRDefault="00B77831" w:rsidP="00B77831">
      <w:pPr>
        <w:spacing w:before="240" w:after="240"/>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Supplement File 2: Quality Assessment of the Included Studies Based on ROBINS-I tool for non-randomized studies</w:t>
      </w: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
        <w:gridCol w:w="936"/>
        <w:gridCol w:w="936"/>
        <w:gridCol w:w="936"/>
        <w:gridCol w:w="936"/>
        <w:gridCol w:w="936"/>
        <w:gridCol w:w="936"/>
        <w:gridCol w:w="936"/>
        <w:gridCol w:w="936"/>
        <w:gridCol w:w="936"/>
      </w:tblGrid>
      <w:tr w:rsidR="00B77831" w:rsidTr="00A2364D">
        <w:tc>
          <w:tcPr>
            <w:tcW w:w="936" w:type="dxa"/>
            <w:tcMar>
              <w:top w:w="100" w:type="dxa"/>
              <w:left w:w="100" w:type="dxa"/>
              <w:bottom w:w="100" w:type="dxa"/>
              <w:right w:w="100" w:type="dxa"/>
            </w:tcMar>
          </w:tcPr>
          <w:p w:rsidR="00B77831" w:rsidRDefault="00B77831" w:rsidP="00A2364D">
            <w:pPr>
              <w:spacing w:before="240" w:after="240"/>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 xml:space="preserve">Study ID </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Bias Due to Confounding</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Bias in the Selection of Participants</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Bias in Classification of the Intervention</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Bias Due to Deviations from Intended Intervention</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Bias Due to Missing Outcome Data</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Bias in Measurement of the Outcome</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Bias in Selection of the Reported Result</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Overall Risk of Bias</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Rationale for Overall Judgment</w:t>
            </w:r>
          </w:p>
        </w:tc>
      </w:tr>
      <w:tr w:rsidR="00B77831" w:rsidTr="00A2364D">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Ay et al. (2021)</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Serious</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Moderate</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Moderate</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Serious risk due to confounding (no adjustment in analysis)</w:t>
            </w:r>
          </w:p>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Moderate risk in selection (some exclusions without addressing bias)</w:t>
            </w:r>
          </w:p>
        </w:tc>
      </w:tr>
      <w:tr w:rsidR="00B77831" w:rsidTr="00A2364D">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 xml:space="preserve">Wu et al. (2025) </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Serious</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Serious</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Moderate</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Moderate</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Serious</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 adjustment for confounders, non-random participant selection, impacting generalizability, moderate deviations and missing data concerns</w:t>
            </w:r>
          </w:p>
        </w:tc>
      </w:tr>
      <w:tr w:rsidR="00B77831" w:rsidTr="00A2364D">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Oldenburg et al. (2025a)</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Serious</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Serious</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Moderate</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Serious</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No adjustment for confounders, non-random participant selection, </w:t>
            </w:r>
            <w:r>
              <w:rPr>
                <w:rFonts w:ascii="Times New Roman" w:eastAsia="Times New Roman" w:hAnsi="Times New Roman" w:cs="Times New Roman"/>
                <w:sz w:val="24"/>
                <w:szCs w:val="24"/>
                <w:highlight w:val="white"/>
              </w:rPr>
              <w:lastRenderedPageBreak/>
              <w:t>unbalanced intervention groups, deviations from intended interventions</w:t>
            </w:r>
          </w:p>
        </w:tc>
      </w:tr>
      <w:tr w:rsidR="00B77831" w:rsidTr="00A2364D">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b/>
                <w:bCs/>
                <w:sz w:val="24"/>
                <w:szCs w:val="24"/>
                <w:highlight w:val="white"/>
              </w:rPr>
            </w:pPr>
            <w:proofErr w:type="spellStart"/>
            <w:r>
              <w:rPr>
                <w:rFonts w:ascii="Times New Roman" w:eastAsia="Times New Roman" w:hAnsi="Times New Roman" w:cs="Times New Roman"/>
                <w:b/>
                <w:bCs/>
                <w:sz w:val="24"/>
                <w:szCs w:val="24"/>
                <w:highlight w:val="white"/>
              </w:rPr>
              <w:lastRenderedPageBreak/>
              <w:t>Goldmann</w:t>
            </w:r>
            <w:proofErr w:type="spellEnd"/>
            <w:r>
              <w:rPr>
                <w:rFonts w:ascii="Times New Roman" w:eastAsia="Times New Roman" w:hAnsi="Times New Roman" w:cs="Times New Roman"/>
                <w:b/>
                <w:bCs/>
                <w:sz w:val="24"/>
                <w:szCs w:val="24"/>
                <w:highlight w:val="white"/>
              </w:rPr>
              <w:t xml:space="preserve"> et al. (2021)</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Serious</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Moderate</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Moderate</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Serious risk due to confounding (no adjustment in analysis)</w:t>
            </w:r>
          </w:p>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Moderate risk in selection (some exclusions, though transparent)</w:t>
            </w:r>
          </w:p>
        </w:tc>
      </w:tr>
      <w:tr w:rsidR="00B77831" w:rsidTr="00A2364D">
        <w:tc>
          <w:tcPr>
            <w:tcW w:w="936" w:type="dxa"/>
            <w:tcMar>
              <w:top w:w="100" w:type="dxa"/>
              <w:left w:w="100" w:type="dxa"/>
              <w:bottom w:w="100" w:type="dxa"/>
              <w:right w:w="100" w:type="dxa"/>
            </w:tcMar>
          </w:tcPr>
          <w:p w:rsidR="00B77831" w:rsidRDefault="00B77831" w:rsidP="00A2364D">
            <w:pP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Coppola et al. (2024)</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Serious</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Moderate</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Moderate</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Moderate</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Serious confounding risk and moderate selection bias</w:t>
            </w:r>
          </w:p>
        </w:tc>
      </w:tr>
      <w:tr w:rsidR="00B77831" w:rsidTr="00A2364D">
        <w:tc>
          <w:tcPr>
            <w:tcW w:w="936" w:type="dxa"/>
            <w:tcMar>
              <w:top w:w="100" w:type="dxa"/>
              <w:left w:w="100" w:type="dxa"/>
              <w:bottom w:w="100" w:type="dxa"/>
              <w:right w:w="100" w:type="dxa"/>
            </w:tcMar>
          </w:tcPr>
          <w:p w:rsidR="00B77831" w:rsidRDefault="00B77831" w:rsidP="00A2364D">
            <w:pP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Funding et al. (2023)</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Serious</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Moderate</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Moderate</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Moderate</w:t>
            </w:r>
          </w:p>
        </w:tc>
        <w:tc>
          <w:tcPr>
            <w:tcW w:w="936" w:type="dxa"/>
            <w:tcMar>
              <w:top w:w="100" w:type="dxa"/>
              <w:left w:w="100" w:type="dxa"/>
              <w:bottom w:w="100" w:type="dxa"/>
              <w:right w:w="100" w:type="dxa"/>
            </w:tcMar>
          </w:tcPr>
          <w:p w:rsidR="00B77831" w:rsidRDefault="00B77831" w:rsidP="00A2364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Serious confounding and moderate selection bias</w:t>
            </w:r>
          </w:p>
        </w:tc>
      </w:tr>
    </w:tbl>
    <w:p w:rsidR="00B77831" w:rsidRDefault="00B77831" w:rsidP="00B77831">
      <w:pPr>
        <w:spacing w:before="240" w:after="240"/>
        <w:jc w:val="both"/>
      </w:pPr>
    </w:p>
    <w:p w:rsidR="00B77831" w:rsidRDefault="00B77831" w:rsidP="00B77831">
      <w:pPr>
        <w:spacing w:before="240" w:after="240"/>
        <w:jc w:val="both"/>
      </w:pPr>
    </w:p>
    <w:p w:rsidR="00B77831" w:rsidRDefault="00B77831" w:rsidP="00B77831">
      <w:pPr>
        <w:spacing w:before="240" w:after="240"/>
        <w:jc w:val="both"/>
      </w:pPr>
    </w:p>
    <w:p w:rsidR="00B77831" w:rsidRDefault="00B77831" w:rsidP="00B77831">
      <w:pPr>
        <w:spacing w:before="240" w:after="240"/>
        <w:jc w:val="both"/>
      </w:pPr>
    </w:p>
    <w:p w:rsidR="00E46DF7" w:rsidRDefault="00E46DF7">
      <w:pPr>
        <w:spacing w:before="240" w:after="240"/>
        <w:jc w:val="both"/>
        <w:rPr>
          <w:rFonts w:ascii="Times New Roman" w:eastAsia="Times New Roman" w:hAnsi="Times New Roman" w:cs="Times New Roman"/>
          <w:sz w:val="24"/>
          <w:szCs w:val="24"/>
        </w:rPr>
      </w:pPr>
    </w:p>
    <w:p w:rsidR="00E46DF7" w:rsidRDefault="00E46DF7">
      <w:pPr>
        <w:spacing w:before="240" w:after="240"/>
        <w:jc w:val="both"/>
        <w:rPr>
          <w:rFonts w:ascii="Times New Roman" w:eastAsia="Times New Roman" w:hAnsi="Times New Roman" w:cs="Times New Roman"/>
          <w:sz w:val="24"/>
          <w:szCs w:val="24"/>
        </w:rPr>
      </w:pPr>
    </w:p>
    <w:p w:rsidR="00E46DF7" w:rsidRDefault="00E46DF7">
      <w:pPr>
        <w:spacing w:before="240" w:after="240"/>
        <w:jc w:val="both"/>
        <w:rPr>
          <w:rFonts w:ascii="Times New Roman" w:eastAsia="Times New Roman" w:hAnsi="Times New Roman" w:cs="Times New Roman"/>
          <w:sz w:val="24"/>
          <w:szCs w:val="24"/>
        </w:rPr>
      </w:pPr>
    </w:p>
    <w:p w:rsidR="00E46DF7" w:rsidRDefault="00E46DF7">
      <w:pPr>
        <w:spacing w:before="240" w:after="240"/>
        <w:jc w:val="both"/>
        <w:rPr>
          <w:rFonts w:ascii="Times New Roman" w:eastAsia="Times New Roman" w:hAnsi="Times New Roman" w:cs="Times New Roman"/>
          <w:sz w:val="24"/>
          <w:szCs w:val="24"/>
        </w:rPr>
      </w:pPr>
    </w:p>
    <w:p w:rsidR="00E46DF7" w:rsidRDefault="00E46DF7">
      <w:pPr>
        <w:spacing w:before="240" w:after="240"/>
        <w:jc w:val="both"/>
        <w:rPr>
          <w:rFonts w:ascii="Times New Roman" w:eastAsia="Times New Roman" w:hAnsi="Times New Roman" w:cs="Times New Roman"/>
          <w:sz w:val="24"/>
          <w:szCs w:val="24"/>
        </w:rPr>
      </w:pPr>
    </w:p>
    <w:p w:rsidR="00E46DF7" w:rsidRDefault="00E46DF7">
      <w:pPr>
        <w:spacing w:before="240" w:after="240"/>
        <w:jc w:val="both"/>
        <w:rPr>
          <w:rFonts w:ascii="Times New Roman" w:eastAsia="Times New Roman" w:hAnsi="Times New Roman" w:cs="Times New Roman"/>
          <w:b/>
          <w:bCs/>
          <w:sz w:val="16"/>
          <w:szCs w:val="16"/>
        </w:rPr>
      </w:pPr>
    </w:p>
    <w:p w:rsidR="00E46DF7" w:rsidRDefault="00E46DF7">
      <w:pPr>
        <w:spacing w:before="240" w:after="240"/>
        <w:jc w:val="both"/>
        <w:rPr>
          <w:rFonts w:ascii="Times New Roman" w:eastAsia="Times New Roman" w:hAnsi="Times New Roman" w:cs="Times New Roman"/>
          <w:b/>
          <w:bCs/>
          <w:sz w:val="16"/>
          <w:szCs w:val="16"/>
        </w:rPr>
      </w:pPr>
    </w:p>
    <w:p w:rsidR="00E46DF7" w:rsidRDefault="00E46DF7">
      <w:pPr>
        <w:spacing w:before="240" w:after="240"/>
        <w:jc w:val="both"/>
        <w:rPr>
          <w:rFonts w:ascii="Times New Roman" w:eastAsia="Times New Roman" w:hAnsi="Times New Roman" w:cs="Times New Roman"/>
          <w:b/>
          <w:bCs/>
          <w:sz w:val="16"/>
          <w:szCs w:val="16"/>
        </w:rPr>
      </w:pPr>
    </w:p>
    <w:p w:rsidR="00E46DF7" w:rsidRDefault="00E46DF7">
      <w:pPr>
        <w:spacing w:before="240" w:after="240"/>
        <w:jc w:val="both"/>
        <w:rPr>
          <w:rFonts w:ascii="Times New Roman" w:eastAsia="Times New Roman" w:hAnsi="Times New Roman" w:cs="Times New Roman"/>
          <w:b/>
          <w:bCs/>
          <w:sz w:val="16"/>
          <w:szCs w:val="16"/>
        </w:rPr>
      </w:pPr>
    </w:p>
    <w:p w:rsidR="00E46DF7" w:rsidRDefault="00E46DF7">
      <w:pPr>
        <w:spacing w:before="240" w:after="240"/>
        <w:jc w:val="both"/>
        <w:rPr>
          <w:rFonts w:ascii="Times New Roman" w:eastAsia="Times New Roman" w:hAnsi="Times New Roman" w:cs="Times New Roman"/>
          <w:b/>
          <w:bCs/>
          <w:sz w:val="16"/>
          <w:szCs w:val="16"/>
        </w:rPr>
      </w:pPr>
    </w:p>
    <w:p w:rsidR="00E46DF7" w:rsidRDefault="00E46DF7">
      <w:pPr>
        <w:spacing w:before="240" w:after="240"/>
        <w:jc w:val="both"/>
        <w:rPr>
          <w:rFonts w:ascii="Times New Roman" w:eastAsia="Times New Roman" w:hAnsi="Times New Roman" w:cs="Times New Roman"/>
          <w:b/>
          <w:bCs/>
          <w:sz w:val="16"/>
          <w:szCs w:val="16"/>
        </w:rPr>
      </w:pPr>
    </w:p>
    <w:sectPr w:rsidR="00E46DF7">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7711" w:rsidRDefault="00597711" w:rsidP="008A033C">
      <w:pPr>
        <w:spacing w:line="240" w:lineRule="auto"/>
      </w:pPr>
      <w:r>
        <w:separator/>
      </w:r>
    </w:p>
  </w:endnote>
  <w:endnote w:type="continuationSeparator" w:id="0">
    <w:p w:rsidR="00597711" w:rsidRDefault="00597711" w:rsidP="008A03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embedRegular r:id="rId1" w:fontKey="{1BB120C6-F072-4472-BAC2-8BE305F17BA6}"/>
  </w:font>
  <w:font w:name="Calibri">
    <w:panose1 w:val="020F0502020204030204"/>
    <w:charset w:val="00"/>
    <w:family w:val="swiss"/>
    <w:pitch w:val="variable"/>
    <w:sig w:usb0="E4002EFF" w:usb1="C000247B" w:usb2="00000009" w:usb3="00000000" w:csb0="000001FF" w:csb1="00000000"/>
    <w:embedRegular r:id="rId2" w:fontKey="{F5BBD05C-5A51-41D1-8804-ABE6A769110F}"/>
  </w:font>
  <w:font w:name="Cambria">
    <w:panose1 w:val="02040503050406030204"/>
    <w:charset w:val="00"/>
    <w:family w:val="roman"/>
    <w:pitch w:val="variable"/>
    <w:sig w:usb0="E00006FF" w:usb1="420024FF" w:usb2="02000000" w:usb3="00000000" w:csb0="0000019F" w:csb1="00000000"/>
    <w:embedRegular r:id="rId3" w:fontKey="{1D4A4BD6-D271-4232-8A7E-CC60D4D05C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033C" w:rsidRDefault="008A03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033C" w:rsidRDefault="008A03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033C" w:rsidRDefault="008A03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7711" w:rsidRDefault="00597711" w:rsidP="008A033C">
      <w:pPr>
        <w:spacing w:line="240" w:lineRule="auto"/>
      </w:pPr>
      <w:r>
        <w:separator/>
      </w:r>
    </w:p>
  </w:footnote>
  <w:footnote w:type="continuationSeparator" w:id="0">
    <w:p w:rsidR="00597711" w:rsidRDefault="00597711" w:rsidP="008A033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033C" w:rsidRDefault="008A033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033C" w:rsidRDefault="008A033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033C" w:rsidRDefault="008A033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47380"/>
    <w:multiLevelType w:val="multilevel"/>
    <w:tmpl w:val="826CCE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C167D1E"/>
    <w:multiLevelType w:val="multilevel"/>
    <w:tmpl w:val="887C8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DF7"/>
    <w:rsid w:val="002E1A0D"/>
    <w:rsid w:val="004D73A1"/>
    <w:rsid w:val="00597711"/>
    <w:rsid w:val="006E61A9"/>
    <w:rsid w:val="007874F1"/>
    <w:rsid w:val="008A033C"/>
    <w:rsid w:val="00B77831"/>
    <w:rsid w:val="00E46D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44AD3F"/>
  <w15:docId w15:val="{D3FA2881-BE46-477F-A160-B72140899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2"/>
    <w:tblPr>
      <w:tblStyleRowBandSize w:val="1"/>
      <w:tblStyleColBandSize w:val="1"/>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Pr>
  </w:style>
  <w:style w:type="table" w:customStyle="1" w:styleId="a2">
    <w:basedOn w:val="TableNormal2"/>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3">
    <w:basedOn w:val="TableNormal2"/>
    <w:tblPr>
      <w:tblStyleRowBandSize w:val="1"/>
      <w:tblStyleColBandSize w:val="1"/>
    </w:tblPr>
  </w:style>
  <w:style w:type="table" w:customStyle="1" w:styleId="a4">
    <w:basedOn w:val="TableNormal2"/>
    <w:tblPr>
      <w:tblStyleRowBandSize w:val="1"/>
      <w:tblStyleColBandSize w:val="1"/>
    </w:tblPr>
  </w:style>
  <w:style w:type="character" w:styleId="Hyperlink">
    <w:name w:val="Hyperlink"/>
    <w:basedOn w:val="DefaultParagraphFont"/>
    <w:uiPriority w:val="99"/>
    <w:unhideWhenUsed/>
    <w:rsid w:val="007874F1"/>
    <w:rPr>
      <w:color w:val="0000FF" w:themeColor="hyperlink"/>
      <w:u w:val="single"/>
    </w:rPr>
  </w:style>
  <w:style w:type="character" w:styleId="UnresolvedMention">
    <w:name w:val="Unresolved Mention"/>
    <w:basedOn w:val="DefaultParagraphFont"/>
    <w:uiPriority w:val="99"/>
    <w:semiHidden/>
    <w:unhideWhenUsed/>
    <w:rsid w:val="007874F1"/>
    <w:rPr>
      <w:color w:val="605E5C"/>
      <w:shd w:val="clear" w:color="auto" w:fill="E1DFDD"/>
    </w:rPr>
  </w:style>
  <w:style w:type="paragraph" w:styleId="Header">
    <w:name w:val="header"/>
    <w:basedOn w:val="Normal"/>
    <w:link w:val="HeaderChar"/>
    <w:uiPriority w:val="99"/>
    <w:unhideWhenUsed/>
    <w:rsid w:val="008A033C"/>
    <w:pPr>
      <w:tabs>
        <w:tab w:val="center" w:pos="4680"/>
        <w:tab w:val="right" w:pos="9360"/>
      </w:tabs>
      <w:spacing w:line="240" w:lineRule="auto"/>
    </w:pPr>
  </w:style>
  <w:style w:type="character" w:customStyle="1" w:styleId="HeaderChar">
    <w:name w:val="Header Char"/>
    <w:basedOn w:val="DefaultParagraphFont"/>
    <w:link w:val="Header"/>
    <w:uiPriority w:val="99"/>
    <w:rsid w:val="008A033C"/>
  </w:style>
  <w:style w:type="paragraph" w:styleId="Footer">
    <w:name w:val="footer"/>
    <w:basedOn w:val="Normal"/>
    <w:link w:val="FooterChar"/>
    <w:uiPriority w:val="99"/>
    <w:unhideWhenUsed/>
    <w:rsid w:val="008A033C"/>
    <w:pPr>
      <w:tabs>
        <w:tab w:val="center" w:pos="4680"/>
        <w:tab w:val="right" w:pos="9360"/>
      </w:tabs>
      <w:spacing w:line="240" w:lineRule="auto"/>
    </w:pPr>
  </w:style>
  <w:style w:type="character" w:customStyle="1" w:styleId="FooterChar">
    <w:name w:val="Footer Char"/>
    <w:basedOn w:val="DefaultParagraphFont"/>
    <w:link w:val="Footer"/>
    <w:uiPriority w:val="99"/>
    <w:rsid w:val="008A03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sciencedirect.com/science/article/pii/S0268960X23001340?utm_source=chatgpt.com" TargetMode="External"/><Relationship Id="rId18" Type="http://schemas.openxmlformats.org/officeDocument/2006/relationships/hyperlink" Target="https://doi.org/10.3390/jcm12206672" TargetMode="External"/><Relationship Id="rId26" Type="http://schemas.openxmlformats.org/officeDocument/2006/relationships/hyperlink" Target="https://doi.org/10.1007/s12325-025-03303-7" TargetMode="External"/><Relationship Id="rId39" Type="http://schemas.openxmlformats.org/officeDocument/2006/relationships/theme" Target="theme/theme1.xml"/><Relationship Id="rId21" Type="http://schemas.openxmlformats.org/officeDocument/2006/relationships/hyperlink" Target="https://doi.org/10.15520/jcmro.v4i05.422"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oi.org/10.1038/s41598-021-92245-5" TargetMode="External"/><Relationship Id="rId25" Type="http://schemas.openxmlformats.org/officeDocument/2006/relationships/hyperlink" Target="https://www.ncbi.nlm.nih.gov/books/NBK551607/"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093/jamia/ocaa148" TargetMode="External"/><Relationship Id="rId20" Type="http://schemas.openxmlformats.org/officeDocument/2006/relationships/hyperlink" Target="https://doi.org/10.5195/jmla.2022.1283" TargetMode="External"/><Relationship Id="rId29" Type="http://schemas.openxmlformats.org/officeDocument/2006/relationships/hyperlink" Target="https://doi.org/10.1136/bmj.i49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i.org/10.1182/blood-2024-200008"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oi.org/10.2450/2019.0211-19" TargetMode="External"/><Relationship Id="rId23" Type="http://schemas.openxmlformats.org/officeDocument/2006/relationships/hyperlink" Target="https://doi.org/10.59556/japi.73.1055" TargetMode="External"/><Relationship Id="rId28" Type="http://schemas.openxmlformats.org/officeDocument/2006/relationships/hyperlink" Target="https://doi.org/10.1186/1472-6947-7-16" TargetMode="External"/><Relationship Id="rId36"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yperlink" Target="https://doi.org/10.1016/j.thromres.2019.12.012" TargetMode="External"/><Relationship Id="rId31" Type="http://schemas.openxmlformats.org/officeDocument/2006/relationships/hyperlink" Target="https://doi.org/10.1097/MBC.0000000000001386" TargetMode="External"/><Relationship Id="rId4" Type="http://schemas.openxmlformats.org/officeDocument/2006/relationships/settings" Target="settings.xml"/><Relationship Id="rId9" Type="http://schemas.openxmlformats.org/officeDocument/2006/relationships/hyperlink" Target="http://clinicaltrials.gov" TargetMode="External"/><Relationship Id="rId14" Type="http://schemas.openxmlformats.org/officeDocument/2006/relationships/hyperlink" Target="https://doi.org/10.1016/j.blre.2023.101164" TargetMode="External"/><Relationship Id="rId22" Type="http://schemas.openxmlformats.org/officeDocument/2006/relationships/hyperlink" Target="https://doi.org/10.2147/JBM.S304597" TargetMode="External"/><Relationship Id="rId27" Type="http://schemas.openxmlformats.org/officeDocument/2006/relationships/hyperlink" Target="https://doi.org/10.1136/bmj.n71" TargetMode="External"/><Relationship Id="rId30" Type="http://schemas.openxmlformats.org/officeDocument/2006/relationships/hyperlink" Target="https://doi.org/10.1002/rth2.12601" TargetMode="External"/><Relationship Id="rId35" Type="http://schemas.openxmlformats.org/officeDocument/2006/relationships/footer" Target="footer2.xml"/><Relationship Id="rId8" Type="http://schemas.openxmlformats.org/officeDocument/2006/relationships/hyperlink" Target="http://clinicaltrials.gov"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J/ThvgnD2N5ed7TP46EuhcGCpg==">CgMxLjAaJQoBMBIgCh4IB0IaCg9UaW1lcyBOZXcgUm9tYW4SB0d1bmdzdWgaJQoBMRIgCh4IB0IaCg9UaW1lcyBOZXcgUm9tYW4SB0d1bmdzdWgaJQoBMhIgCh4IB0IaCg9UaW1lcyBOZXcgUm9tYW4SB0d1bmdzdWgaHwoBMxIaChgICVIUChJ0YWJsZS53aXV2ZmNhN3djN3kyDmgub256dnpsN2VuZzdkMg5oLmU4aGVweTFhbHJsbTIOaC40cDN1ZWd4bjJoc3EyDmgubG1ibGFodWJ5cGs0Mg5oLjF3a2toaGVhamc0dzIOaC5hZGpieTNwcGlxdWwyDmguYXkxcmd0MnFua3NpMg5oLjVsaTBuamVyOG81NDINaC54OHAyZ250M3ZhZTIOaC5mMnF5ZDRqZmdianAyDmguNnMwdTBxdW9taGtnOAByITEyX2ZpbktpWDZqMllfUnRuTkQ0dUlxbnZlSGMyMmM0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7070</Words>
  <Characters>40301</Characters>
  <Application>Microsoft Office Word</Application>
  <DocSecurity>0</DocSecurity>
  <Lines>335</Lines>
  <Paragraphs>94</Paragraphs>
  <ScaleCrop>false</ScaleCrop>
  <Company/>
  <LinksUpToDate>false</LinksUpToDate>
  <CharactersWithSpaces>47277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6</cp:revision>
  <dcterms:created xsi:type="dcterms:W3CDTF">2026-02-11T05:44:00Z</dcterms:created>
  <dcterms:modified xsi:type="dcterms:W3CDTF">2026-02-11T08:10:00Z</dcterms:modified>
</cp:coreProperties>
</file>