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137A4" w14:textId="77777777" w:rsidR="008A2E4A" w:rsidRDefault="008A2E4A" w:rsidP="00876C2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876C2D">
        <w:rPr>
          <w:rFonts w:ascii="Times New Roman" w:eastAsia="Times New Roman" w:hAnsi="Times New Roman" w:cs="Times New Roman"/>
          <w:b/>
          <w:bCs/>
          <w:kern w:val="36"/>
          <w:sz w:val="24"/>
          <w:szCs w:val="24"/>
        </w:rPr>
        <w:t>Beyond Hemoglobin S: Systems Biology Insights into the Multisystem Nature of Sickle Cell Anemia</w:t>
      </w:r>
    </w:p>
    <w:p w14:paraId="2BF08ABC" w14:textId="77777777" w:rsidR="004B4CBD" w:rsidRDefault="004B4CBD" w:rsidP="00876C2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14:paraId="0523A5AC" w14:textId="77777777" w:rsidR="002C65F0" w:rsidRDefault="002C65F0" w:rsidP="00876C2D">
      <w:pPr>
        <w:pStyle w:val="Heading2"/>
        <w:jc w:val="both"/>
        <w:rPr>
          <w:rStyle w:val="Strong"/>
          <w:b/>
          <w:bCs/>
          <w:sz w:val="24"/>
          <w:szCs w:val="24"/>
        </w:rPr>
      </w:pPr>
    </w:p>
    <w:p w14:paraId="7F99A7BC" w14:textId="5776D704" w:rsidR="008A2E4A" w:rsidRPr="00876C2D" w:rsidRDefault="008A2E4A" w:rsidP="00876C2D">
      <w:pPr>
        <w:pStyle w:val="Heading2"/>
        <w:jc w:val="both"/>
        <w:rPr>
          <w:sz w:val="24"/>
          <w:szCs w:val="24"/>
        </w:rPr>
      </w:pPr>
      <w:bookmarkStart w:id="0" w:name="_GoBack"/>
      <w:bookmarkEnd w:id="0"/>
      <w:r w:rsidRPr="00876C2D">
        <w:rPr>
          <w:rStyle w:val="Strong"/>
          <w:b/>
          <w:bCs/>
          <w:sz w:val="24"/>
          <w:szCs w:val="24"/>
        </w:rPr>
        <w:t>Abstract</w:t>
      </w:r>
    </w:p>
    <w:p w14:paraId="44C4E3B6" w14:textId="77777777" w:rsidR="008A2E4A" w:rsidRPr="00876C2D" w:rsidRDefault="008A2E4A" w:rsidP="00876C2D">
      <w:pPr>
        <w:pStyle w:val="NormalWeb"/>
        <w:jc w:val="both"/>
      </w:pPr>
      <w:r w:rsidRPr="00876C2D">
        <w:t xml:space="preserve">Sickle cell anemia (SCA), long regarded as a disorder driven primarily by hemoglobin S polymerization, is increasingly recognized as a complex multisystem disease with wide-ranging biological and clinical manifestations. While the β-globin mutation initiates red blood cell sickling and hemolysis, it alone cannot account for the marked heterogeneity in disease severity, organ involvement, and clinical outcomes observed among affected individuals. Systems biology has emerged as a powerful framework for elucidating this complexity by integrating genomic, transcriptomic, proteomic, metabolomic, and immunologic data to capture the dynamic interactions underlying disease pathophysiology. This narrative review examines how systems-level approaches redefine SCA as a chronic inflammatory, </w:t>
      </w:r>
      <w:proofErr w:type="spellStart"/>
      <w:r w:rsidRPr="00876C2D">
        <w:t>vasculopathic</w:t>
      </w:r>
      <w:proofErr w:type="spellEnd"/>
      <w:r w:rsidRPr="00876C2D">
        <w:t xml:space="preserve">, and </w:t>
      </w:r>
      <w:proofErr w:type="spellStart"/>
      <w:r w:rsidRPr="00876C2D">
        <w:t>immunometabolic</w:t>
      </w:r>
      <w:proofErr w:type="spellEnd"/>
      <w:r w:rsidRPr="00876C2D">
        <w:t xml:space="preserve"> disorder. We highlight the interconnected roles of erythrocyte dysfunction, endothelial activation, immune dysregulation, oxidative stress, and organ crosstalk in driving multisystem complications. By moving beyond a hemoglobin-centric model, systems biology offers critical insights into disease modifiers, network-based biomarkers, and novel therapeutic targets, thereby supporting the advancement of precision medicine and holistic care in sickle cell anemia.</w:t>
      </w:r>
    </w:p>
    <w:p w14:paraId="5060A63E" w14:textId="77777777" w:rsidR="008A2E4A" w:rsidRPr="00876C2D" w:rsidRDefault="008A2E4A" w:rsidP="00876C2D">
      <w:pPr>
        <w:spacing w:before="100" w:beforeAutospacing="1" w:after="100" w:afterAutospacing="1" w:line="240" w:lineRule="auto"/>
        <w:jc w:val="both"/>
        <w:rPr>
          <w:rFonts w:ascii="Times New Roman" w:eastAsia="Times New Roman" w:hAnsi="Times New Roman" w:cs="Times New Roman"/>
          <w:i/>
          <w:sz w:val="24"/>
          <w:szCs w:val="24"/>
        </w:rPr>
      </w:pPr>
      <w:r w:rsidRPr="00876C2D">
        <w:rPr>
          <w:rFonts w:ascii="Times New Roman" w:eastAsia="Times New Roman" w:hAnsi="Times New Roman" w:cs="Times New Roman"/>
          <w:b/>
          <w:bCs/>
          <w:i/>
          <w:sz w:val="24"/>
          <w:szCs w:val="24"/>
        </w:rPr>
        <w:t>Keywords:</w:t>
      </w:r>
      <w:r w:rsidRPr="00876C2D">
        <w:rPr>
          <w:rFonts w:ascii="Times New Roman" w:eastAsia="Times New Roman" w:hAnsi="Times New Roman" w:cs="Times New Roman"/>
          <w:i/>
          <w:sz w:val="24"/>
          <w:szCs w:val="24"/>
        </w:rPr>
        <w:t xml:space="preserve"> Sickle cell anemia; Systems biology; Multisystem disease; Endothelial dysfunction; Precision medicine</w:t>
      </w:r>
    </w:p>
    <w:p w14:paraId="26D66C4C" w14:textId="77777777" w:rsidR="008A2E4A" w:rsidRPr="00876C2D" w:rsidRDefault="008A2E4A" w:rsidP="00876C2D">
      <w:pPr>
        <w:pStyle w:val="Heading2"/>
        <w:jc w:val="both"/>
        <w:rPr>
          <w:sz w:val="24"/>
          <w:szCs w:val="24"/>
        </w:rPr>
      </w:pPr>
      <w:r w:rsidRPr="00876C2D">
        <w:rPr>
          <w:rStyle w:val="Strong"/>
          <w:b/>
          <w:bCs/>
          <w:sz w:val="24"/>
          <w:szCs w:val="24"/>
        </w:rPr>
        <w:t>Introduction</w:t>
      </w:r>
    </w:p>
    <w:p w14:paraId="0B0555F0" w14:textId="77777777" w:rsidR="008A2E4A" w:rsidRPr="00876C2D" w:rsidRDefault="008A2E4A" w:rsidP="00876C2D">
      <w:pPr>
        <w:pStyle w:val="NormalWeb"/>
        <w:jc w:val="both"/>
      </w:pPr>
      <w:r w:rsidRPr="00876C2D">
        <w:t>Sickle cell anemia (SCA) is one of the most common inherited hemoglobinopathies worldwide and a major contributor to childhood and adult morbidity and mortality, particularly in sub-Saharan Africa, the Middle East, and parts of the Americas</w:t>
      </w:r>
      <w:r w:rsidR="00F57379" w:rsidRPr="00876C2D">
        <w:t xml:space="preserve"> [1-2]</w:t>
      </w:r>
      <w:r w:rsidRPr="00876C2D">
        <w:t>. The disease arises from a single nucleotide substitution in the β-globin gene, leading to the production of hemoglobin S (</w:t>
      </w:r>
      <w:proofErr w:type="spellStart"/>
      <w:r w:rsidRPr="00876C2D">
        <w:t>HbS</w:t>
      </w:r>
      <w:proofErr w:type="spellEnd"/>
      <w:r w:rsidRPr="00876C2D">
        <w:t xml:space="preserve">). Under deoxygenated conditions, </w:t>
      </w:r>
      <w:proofErr w:type="spellStart"/>
      <w:r w:rsidRPr="00876C2D">
        <w:t>HbS</w:t>
      </w:r>
      <w:proofErr w:type="spellEnd"/>
      <w:r w:rsidRPr="00876C2D">
        <w:t xml:space="preserve"> polymerizes, distorting red blood cells into rigid, sickle-shaped forms that are prone to hemolysis and microvascular obstruction. This molecular event has historically dominated scientific and clinical discourse, shaping both mechanistic understanding and therapeutic strategies</w:t>
      </w:r>
      <w:r w:rsidR="00F57379" w:rsidRPr="00876C2D">
        <w:t xml:space="preserve"> [3-4]</w:t>
      </w:r>
      <w:r w:rsidRPr="00876C2D">
        <w:t>.</w:t>
      </w:r>
      <w:r w:rsidR="00F57379" w:rsidRPr="00876C2D">
        <w:t xml:space="preserve"> </w:t>
      </w:r>
      <w:r w:rsidRPr="00876C2D">
        <w:t xml:space="preserve">However, decades of clinical observation have revealed substantial variability in disease expression that cannot be explained by </w:t>
      </w:r>
      <w:proofErr w:type="spellStart"/>
      <w:r w:rsidRPr="00876C2D">
        <w:t>HbS</w:t>
      </w:r>
      <w:proofErr w:type="spellEnd"/>
      <w:r w:rsidRPr="00876C2D">
        <w:t xml:space="preserve"> polymerization alone. Individuals with identical genotypes may experience profoundly different clinical trajectories, ranging from relatively mild disease to severe, life-threatening complications involving the brain, lungs, kidneys, heart, bones, and immune system. This heterogeneity underscores the limitations of a reductionist, hemoglobin-centric model and points to the involvement of broader biological systems that interact dynamically over time</w:t>
      </w:r>
      <w:r w:rsidR="00F57379" w:rsidRPr="00876C2D">
        <w:t xml:space="preserve"> [5-6]</w:t>
      </w:r>
      <w:r w:rsidRPr="00876C2D">
        <w:t>.</w:t>
      </w:r>
    </w:p>
    <w:p w14:paraId="66BE7FBF" w14:textId="77777777" w:rsidR="008A2E4A" w:rsidRPr="00876C2D" w:rsidRDefault="008A2E4A" w:rsidP="00876C2D">
      <w:pPr>
        <w:pStyle w:val="NormalWeb"/>
        <w:jc w:val="both"/>
      </w:pPr>
      <w:r w:rsidRPr="00876C2D">
        <w:t xml:space="preserve">Recent advances in high-throughput technologies and computational biology have catalyzed a paradigm shift in sickle cell research. Systems biology, which integrates multi-omics data with </w:t>
      </w:r>
      <w:r w:rsidRPr="00876C2D">
        <w:lastRenderedPageBreak/>
        <w:t>cellular, tissue, and clinical phenotypes, provides a comprehensive framework for understanding SCA as an emergent property of interacting biological networks. Rather than focusing on isolated pathways, systems biology captures the nonlinear feedback loops linking red blood cell dysfunction, endothelial injury, immune activation, metabolic stress, and organ damage. This approach is particularly well suited to SCA, where repeated cycles of ischemia–reperfusion, chronic inflammation, and oxidative stress create self-perpetuating pathological circuits</w:t>
      </w:r>
      <w:r w:rsidR="00033AA5" w:rsidRPr="00876C2D">
        <w:t xml:space="preserve"> [7-9]</w:t>
      </w:r>
      <w:r w:rsidRPr="00876C2D">
        <w:t>.</w:t>
      </w:r>
      <w:r w:rsidR="00033AA5" w:rsidRPr="00876C2D">
        <w:t xml:space="preserve"> </w:t>
      </w:r>
      <w:r w:rsidRPr="00876C2D">
        <w:t>Within this framework, red blood cells are no longer viewed as passive carriers of defective hemoglobin but as active participants in disease propagation. Sickle erythrocytes exhibit altered metabolism, membrane instability, and aberrant signaling that promote endothelial adhesion, immune activation, and vascular dysfunction. Concurrently, chronic hemolysis releases free hemoglobin and heme into the circulation, overwhelming scavenging systems and triggering nitric oxide depletion, oxidative injury, and inflammatory signaling cascades. These processes extend the impact of the primary genetic lesion far beyond the erythrocyte compartment</w:t>
      </w:r>
      <w:r w:rsidR="00033AA5" w:rsidRPr="00876C2D">
        <w:t xml:space="preserve"> [10-11]</w:t>
      </w:r>
      <w:r w:rsidRPr="00876C2D">
        <w:t>.</w:t>
      </w:r>
    </w:p>
    <w:p w14:paraId="3537BEFE" w14:textId="77777777" w:rsidR="008A2E4A" w:rsidRPr="00876C2D" w:rsidRDefault="008A2E4A" w:rsidP="00876C2D">
      <w:pPr>
        <w:pStyle w:val="NormalWeb"/>
        <w:jc w:val="both"/>
      </w:pPr>
      <w:r w:rsidRPr="00876C2D">
        <w:t>Endothelial cells and the vascular system represent critical nodes within the systems biology network of SCA. Persistent exposure to hemolysis-derived products, inflammatory mediators, and mechanical stress induces a pro-adhesive, pro-coagulant endothelial phenotype that favors leukocyte recruitment, platelet activation, and microvascular occlusion. Importantly, vascular dysfunction in SCA is systemic rather than localized, linking cerebrovascular disease, pulmonary hypertension, nephropathy, and cardiomyopathy through shared molecular mechanisms</w:t>
      </w:r>
      <w:r w:rsidR="00033AA5" w:rsidRPr="00876C2D">
        <w:t xml:space="preserve"> [12-13]</w:t>
      </w:r>
      <w:r w:rsidRPr="00876C2D">
        <w:t>.</w:t>
      </w:r>
      <w:r w:rsidR="00033AA5" w:rsidRPr="00876C2D">
        <w:t xml:space="preserve"> </w:t>
      </w:r>
      <w:r w:rsidRPr="00876C2D">
        <w:t xml:space="preserve">Immune dysregulation further amplifies the multisystem nature of SCA. Even during clinical steady state, patients demonstrate chronic activation of innate immune pathways, altered cytokine profiles, and functional changes in neutrophils, monocytes, and lymphocytes. Systems-level analyses suggest that inflammation is both a driver and a consequence of vascular and metabolic dysfunction, forming feedback loops that sustain disease activity and predispose to acute complications such as </w:t>
      </w:r>
      <w:proofErr w:type="spellStart"/>
      <w:r w:rsidRPr="00876C2D">
        <w:t>vaso</w:t>
      </w:r>
      <w:proofErr w:type="spellEnd"/>
      <w:r w:rsidRPr="00876C2D">
        <w:t>-occlusive crises and acute chest syndrome</w:t>
      </w:r>
      <w:r w:rsidR="00033AA5" w:rsidRPr="00876C2D">
        <w:t xml:space="preserve"> [14-16]</w:t>
      </w:r>
      <w:r w:rsidRPr="00876C2D">
        <w:t>.</w:t>
      </w:r>
    </w:p>
    <w:p w14:paraId="36A6F2BC" w14:textId="77777777" w:rsidR="008A2E4A" w:rsidRPr="00876C2D" w:rsidRDefault="008A2E4A" w:rsidP="00876C2D">
      <w:pPr>
        <w:pStyle w:val="NormalWeb"/>
        <w:jc w:val="both"/>
      </w:pPr>
      <w:r w:rsidRPr="00876C2D">
        <w:t>Against this backdrop, the integration of systems biology into sickle cell research has profound implications for clinical practice. By identifying network-based biomarkers and key regulatory nodes, this approach holds promise for improved risk stratification, early detection of organ injury, and personalized therapeutic interventions. Moreover, as curative strategies such as gene therapy and genome editing advance, a systems perspective remains essential to address residual inflammation, vascular injury, and organ dysfunction that may persist despite correction of the primary genetic defect</w:t>
      </w:r>
      <w:r w:rsidR="00033AA5" w:rsidRPr="00876C2D">
        <w:t xml:space="preserve"> [17-18]</w:t>
      </w:r>
      <w:r w:rsidRPr="00876C2D">
        <w:t>.</w:t>
      </w:r>
      <w:r w:rsidR="00033AA5" w:rsidRPr="00876C2D">
        <w:t xml:space="preserve"> </w:t>
      </w:r>
      <w:r w:rsidRPr="00876C2D">
        <w:t>This review explores how systems biology has reshaped our understanding of sickle cell anemia, moving beyond hemoglobin S to illuminate the complex, interconnected processes that define its multisystem pathology. Through this lens, SCA emerges not merely as a monogenic blood disorder but as a dynamic, system-wide disease requiring integrated and holistic approaches to research and care.</w:t>
      </w:r>
    </w:p>
    <w:p w14:paraId="3DBAF5AE" w14:textId="77777777" w:rsidR="008A2E4A" w:rsidRPr="00876C2D" w:rsidRDefault="008A2E4A" w:rsidP="00876C2D">
      <w:pPr>
        <w:pStyle w:val="Heading3"/>
        <w:spacing w:line="240" w:lineRule="auto"/>
        <w:jc w:val="both"/>
        <w:rPr>
          <w:rFonts w:ascii="Times New Roman" w:hAnsi="Times New Roman" w:cs="Times New Roman"/>
          <w:color w:val="auto"/>
        </w:rPr>
      </w:pPr>
      <w:r w:rsidRPr="00876C2D">
        <w:rPr>
          <w:rStyle w:val="Strong"/>
          <w:rFonts w:ascii="Times New Roman" w:hAnsi="Times New Roman" w:cs="Times New Roman"/>
          <w:bCs w:val="0"/>
          <w:color w:val="auto"/>
        </w:rPr>
        <w:t>Systems Biology as a Conceptual Framework in Sickle Cell Anemia</w:t>
      </w:r>
    </w:p>
    <w:p w14:paraId="486FF6D1" w14:textId="77777777" w:rsidR="008A2E4A" w:rsidRPr="00876C2D" w:rsidRDefault="008A2E4A" w:rsidP="00876C2D">
      <w:pPr>
        <w:pStyle w:val="NormalWeb"/>
        <w:jc w:val="both"/>
      </w:pPr>
      <w:r w:rsidRPr="00876C2D">
        <w:t xml:space="preserve">The traditional understanding of sickle cell anemia has been largely shaped by a linear, cause-and-effect model in which a single genetic mutation leads to hemoglobin S polymerization, red blood cell sickling, </w:t>
      </w:r>
      <w:proofErr w:type="spellStart"/>
      <w:r w:rsidRPr="00876C2D">
        <w:t>vaso</w:t>
      </w:r>
      <w:proofErr w:type="spellEnd"/>
      <w:r w:rsidRPr="00876C2D">
        <w:t xml:space="preserve">-occlusion, and tissue ischemia. While this framework has provided foundational insights, it inadequately captures the biological complexity and clinical variability that define the disease. Systems biology offers a fundamentally different conceptual approach by viewing sickle </w:t>
      </w:r>
      <w:r w:rsidRPr="00876C2D">
        <w:lastRenderedPageBreak/>
        <w:t>cell anemia as an emergent disorder arising from the dynamic interaction of multiple biological systems rather than the dysfunction of a single molecular component</w:t>
      </w:r>
      <w:r w:rsidR="00033AA5" w:rsidRPr="00876C2D">
        <w:t xml:space="preserve"> [19-20]</w:t>
      </w:r>
      <w:r w:rsidRPr="00876C2D">
        <w:t>.</w:t>
      </w:r>
      <w:r w:rsidR="00033AA5" w:rsidRPr="00876C2D">
        <w:t xml:space="preserve"> </w:t>
      </w:r>
      <w:r w:rsidRPr="00876C2D">
        <w:t>At its core, systems biology emphasizes interconnectedness, feedback regulation, and network behavior. In sickle cell anemia, the β-globin mutation represents an initiating perturbation rather than the sole determinant of disease. This perturbation propagates across biological layers—genomic, epigenomic, transcriptomic, proteomic, metabolomic, cellular, and organ-level systems—creating a web of interactions that evolve over time. The clinical phenotype, therefore, reflects the cumulative behavior of these interacting networks under varying physiological and environmental conditions</w:t>
      </w:r>
      <w:r w:rsidR="00033AA5" w:rsidRPr="00876C2D">
        <w:t xml:space="preserve"> [21-22]</w:t>
      </w:r>
      <w:r w:rsidRPr="00876C2D">
        <w:t>.</w:t>
      </w:r>
    </w:p>
    <w:p w14:paraId="0A5C8B44" w14:textId="77777777" w:rsidR="008A2E4A" w:rsidRPr="00876C2D" w:rsidRDefault="008A2E4A" w:rsidP="00876C2D">
      <w:pPr>
        <w:pStyle w:val="NormalWeb"/>
        <w:jc w:val="both"/>
      </w:pPr>
      <w:r w:rsidRPr="00876C2D">
        <w:t>From a systems perspective, red blood cells are not isolated victims of hemoglobin polymerization but active nodes within a larger pathological network. Altered erythrocyte metabolism, redox imbalance, membrane rigidity, and vesiculation influence endothelial function, immune activation, and coagulation pathways. These erythrocyte-derived signals interact with vascular and immune systems, amplifying inflammation and promoting microvascular obstruction. Systems biology captures these interactions as bidirectional processes, where vascular injury and inflammation further exacerbate red blood cell dysfunction, creating self-reinforcing feedback loops</w:t>
      </w:r>
      <w:r w:rsidR="00033AA5" w:rsidRPr="00876C2D">
        <w:t xml:space="preserve"> [23-25]</w:t>
      </w:r>
      <w:r w:rsidRPr="00876C2D">
        <w:t>.</w:t>
      </w:r>
      <w:r w:rsidR="00033AA5" w:rsidRPr="00876C2D">
        <w:t xml:space="preserve"> </w:t>
      </w:r>
      <w:r w:rsidRPr="00876C2D">
        <w:t>Endothelial cells emerge as central integrators within the systems framework of sickle cell anemia. Chronic exposure to hemolysis-derived free hemoglobin, heme, and inflammatory mediators reprograms endothelial gene expression and signaling networks, shifting the vasculature toward a pro-adhesive, pro-thrombotic, and vasoconstrictive state. Systems-level analyses reveal that this endothelial dysfunction is coordinated across multiple vascular beds, explaining the simultaneous vulnerability of the brain, lungs, kidneys, and heart. Rather than discrete complications, organ-specific manifestations represent different expressions of a shared network disturbance</w:t>
      </w:r>
      <w:r w:rsidR="00033AA5" w:rsidRPr="00876C2D">
        <w:t xml:space="preserve"> [26-27]</w:t>
      </w:r>
      <w:r w:rsidRPr="00876C2D">
        <w:t>.</w:t>
      </w:r>
    </w:p>
    <w:p w14:paraId="1B57734A" w14:textId="77777777" w:rsidR="008A2E4A" w:rsidRPr="00876C2D" w:rsidRDefault="008A2E4A" w:rsidP="00876C2D">
      <w:pPr>
        <w:pStyle w:val="NormalWeb"/>
        <w:jc w:val="both"/>
      </w:pPr>
      <w:r w:rsidRPr="00876C2D">
        <w:t>Immune dysregulation further illustrates the value of a systems biology framework. Transcriptomic and cytokine network studies demonstrate persistent activation of innate immune pathways, even during periods of clinical stability. Neutrophil priming, monocyte activation, and altered lymphocyte function are not isolated abnormalities but components of an inflammatory network tightly linked to hemolysis, oxidative stress, and endothelial injury. Systems biology highlights how immune activation both responds to and perpetuates vascular and metabolic dysfunction, sustaining chronic inflammation and predisposing patients to acute exacerbations</w:t>
      </w:r>
      <w:r w:rsidR="00033AA5" w:rsidRPr="00876C2D">
        <w:t xml:space="preserve"> [28-29]</w:t>
      </w:r>
      <w:r w:rsidRPr="00876C2D">
        <w:t>.</w:t>
      </w:r>
      <w:r w:rsidR="00E86AA1" w:rsidRPr="00876C2D">
        <w:t xml:space="preserve"> </w:t>
      </w:r>
      <w:r w:rsidRPr="00876C2D">
        <w:t>A defining strength of systems biology is its ability to integrate heterogeneity into disease models. Genetic modifiers, such as variations affecting fetal hemoglobin expression, inflammatory signaling, or antioxidant defenses, are incorporated into network-based analyses that explain why individuals with the same primary mutation experience markedly different disease courses. Environmental factors, infections, psychosocial stress, and access to care further interact with biological networks, reinforcing the concept of sickle cell anemia as a dynamic, adaptive system</w:t>
      </w:r>
      <w:r w:rsidR="00033AA5" w:rsidRPr="00876C2D">
        <w:t xml:space="preserve"> [30-31]</w:t>
      </w:r>
      <w:r w:rsidRPr="00876C2D">
        <w:t>.</w:t>
      </w:r>
      <w:r w:rsidR="00E86AA1" w:rsidRPr="00876C2D">
        <w:t xml:space="preserve"> </w:t>
      </w:r>
      <w:r w:rsidR="00872A4C" w:rsidRPr="00876C2D">
        <w:t>S</w:t>
      </w:r>
      <w:r w:rsidRPr="00876C2D">
        <w:t>ystems biology reframes therapeutic thinking in sickle cell anemia. Rather than targeting single pathways in isolation, this framework encourages identification of key regulatory nodes and network hubs whose modulation can produce system-wide benefits. It also supports the development of composite biomarkers that reflect overall network activity, offering more accurate prediction of disease severity and treatment response than traditional single-parameter measures</w:t>
      </w:r>
      <w:r w:rsidR="00E86AA1" w:rsidRPr="00876C2D">
        <w:t xml:space="preserve"> [32-34]</w:t>
      </w:r>
      <w:r w:rsidRPr="00876C2D">
        <w:t>.</w:t>
      </w:r>
    </w:p>
    <w:p w14:paraId="04EEB195" w14:textId="77777777" w:rsidR="008A2E4A" w:rsidRPr="00876C2D" w:rsidRDefault="008A2E4A" w:rsidP="00876C2D">
      <w:pPr>
        <w:pStyle w:val="Heading3"/>
        <w:spacing w:line="240" w:lineRule="auto"/>
        <w:jc w:val="both"/>
        <w:rPr>
          <w:rFonts w:ascii="Times New Roman" w:hAnsi="Times New Roman" w:cs="Times New Roman"/>
          <w:color w:val="auto"/>
        </w:rPr>
      </w:pPr>
      <w:r w:rsidRPr="00876C2D">
        <w:rPr>
          <w:rStyle w:val="Strong"/>
          <w:rFonts w:ascii="Times New Roman" w:hAnsi="Times New Roman" w:cs="Times New Roman"/>
          <w:bCs w:val="0"/>
          <w:color w:val="auto"/>
        </w:rPr>
        <w:lastRenderedPageBreak/>
        <w:t>Red Blood Cell Dysfunction Beyond Sickling</w:t>
      </w:r>
    </w:p>
    <w:p w14:paraId="541F507C" w14:textId="77777777" w:rsidR="008A2E4A" w:rsidRPr="00876C2D" w:rsidRDefault="008A2E4A" w:rsidP="00876C2D">
      <w:pPr>
        <w:pStyle w:val="NormalWeb"/>
        <w:jc w:val="both"/>
      </w:pPr>
      <w:r w:rsidRPr="00876C2D">
        <w:t>Although red blood cell sickling is the most visible and historically emphasized feature of sickle cell anemia, it represents only one dimension of a much broader spectrum of erythrocyte dysfunction. Systems-level investigations have revealed that sickle red blood cells are metabolically, structurally, and functionally altered in ways that extend far beyond reversible shape change. These abnormalities transform erythrocytes from passive carriers of oxygen into active contributors to inflammation, vascular injury, and organ dysfunction</w:t>
      </w:r>
      <w:r w:rsidR="00F91CDD" w:rsidRPr="00876C2D">
        <w:t xml:space="preserve"> [36]</w:t>
      </w:r>
      <w:r w:rsidRPr="00876C2D">
        <w:t>.</w:t>
      </w:r>
      <w:r w:rsidR="00F91CDD" w:rsidRPr="00876C2D">
        <w:t xml:space="preserve"> </w:t>
      </w:r>
      <w:r w:rsidRPr="00876C2D">
        <w:t>At the metabolic level, sickle red blood cells undergo profound reprogramming in response to chronic oxidative and mechanical stress. Alterations in glycolytic flux, impaired pentose phosphate pathway activity, and depletion of reducing equivalents compromise the cell’s ability to maintain redox homeostasis. As a result, sickle erythrocytes generate excessive reactive oxygen species, leading to oxidative damage of membrane lipids, cytoskeletal proteins, and ion transporters. This oxidative burden shortens red blood cell lifespan and increases susceptibility to both intravascular and extravascular hemolysis</w:t>
      </w:r>
      <w:r w:rsidR="00F91CDD" w:rsidRPr="00876C2D">
        <w:t xml:space="preserve"> [37]</w:t>
      </w:r>
      <w:r w:rsidRPr="00876C2D">
        <w:t>.</w:t>
      </w:r>
    </w:p>
    <w:p w14:paraId="505F7718" w14:textId="77777777" w:rsidR="008A2E4A" w:rsidRPr="00876C2D" w:rsidRDefault="008A2E4A" w:rsidP="00876C2D">
      <w:pPr>
        <w:pStyle w:val="NormalWeb"/>
        <w:jc w:val="both"/>
      </w:pPr>
      <w:r w:rsidRPr="00876C2D">
        <w:t>Membrane instability is another defining feature of red blood cell dysfunction in sickle cell anemia. Repeated cycles of deoxygenation and reoxygenation disrupt membrane asymmetry, promote lipid peroxidation, and alter the organization of membrane proteins. These changes enhance erythrocyte rigidity and reduce deformability, impairing transit through the microcirculation even in the absence of overt sickling. Systems biology approaches have shown that membrane damage is not an isolated defect but is tightly linked to metabolic stress and oxidative imbalance, reinforcing a cycle of progressive cellular injury</w:t>
      </w:r>
      <w:r w:rsidR="00F91CDD" w:rsidRPr="00876C2D">
        <w:t xml:space="preserve"> [38]</w:t>
      </w:r>
      <w:r w:rsidRPr="00876C2D">
        <w:t>.</w:t>
      </w:r>
      <w:r w:rsidR="00F91CDD" w:rsidRPr="00876C2D">
        <w:t xml:space="preserve"> </w:t>
      </w:r>
      <w:r w:rsidRPr="00876C2D">
        <w:t>Beyond structural impairment, sickle red blood cells exhibit aberrant signaling behavior that influences their interactions with the vascular and immune systems. Increased expression and activation of adhesion molecules on the erythrocyte surface facilitate binding to endothelial cells, leukocytes, and platelets. These adhesive interactions promote microvascular stasis and amplify inflammatory signaling within the vessel wall. From a systems perspective, erythrocyte adhesion represents a critical node connecting red blood cell pathology to endothelial dysfunction and immune activation</w:t>
      </w:r>
      <w:r w:rsidR="00F91CDD" w:rsidRPr="00876C2D">
        <w:t xml:space="preserve"> [39]</w:t>
      </w:r>
      <w:r w:rsidRPr="00876C2D">
        <w:t>.</w:t>
      </w:r>
    </w:p>
    <w:p w14:paraId="7968A995" w14:textId="77777777" w:rsidR="008A2E4A" w:rsidRPr="00876C2D" w:rsidRDefault="008A2E4A" w:rsidP="00876C2D">
      <w:pPr>
        <w:pStyle w:val="NormalWeb"/>
        <w:jc w:val="both"/>
      </w:pPr>
      <w:r w:rsidRPr="00876C2D">
        <w:t>Extracellular vesiculation further underscores the active role of sickle red blood cells in disease propagation. Damaged erythrocytes release microparticles enriched in hemoglobin, heme, and pro-inflammatory lipids. These vesicles function as potent biological messengers, delivering oxidative and inflammatory signals to endothelial cells and immune cells. Systems-level analyses reveal that vesiculation links intracellular red blood cell injury to systemic vascular and inflammatory responses, extending the impact of erythrocyte dysfunction far beyond the circulation</w:t>
      </w:r>
      <w:r w:rsidR="00F91CDD" w:rsidRPr="00876C2D">
        <w:t xml:space="preserve"> [40]</w:t>
      </w:r>
      <w:r w:rsidRPr="00876C2D">
        <w:t>.</w:t>
      </w:r>
      <w:r w:rsidR="00EA4F4F" w:rsidRPr="00876C2D">
        <w:t xml:space="preserve"> </w:t>
      </w:r>
      <w:r w:rsidRPr="00876C2D">
        <w:t>Hemolysis itself serves as a central amplifier of multisystem pathology. The release of free hemoglobin and heme overwhelms endogenous scavenging mechanisms, leading to nitric oxide depletion, oxidative stress, and activation of innate immune pathways. Rather than being a simple consequence of sickling, hemolysis emerges as a dynamic process shaped by metabolic stress, membrane fragility, and inflammatory feedback loops. Systems biology highlights how hemolysis-driven signaling intersects with vascular, immune, and metabolic networks to perpetuate disease activity</w:t>
      </w:r>
      <w:r w:rsidR="00EA4F4F" w:rsidRPr="00876C2D">
        <w:t xml:space="preserve"> [41]</w:t>
      </w:r>
      <w:r w:rsidRPr="00876C2D">
        <w:t>.</w:t>
      </w:r>
    </w:p>
    <w:p w14:paraId="3F3EBF7A" w14:textId="77777777" w:rsidR="008A2E4A" w:rsidRPr="00876C2D" w:rsidRDefault="008A2E4A" w:rsidP="00876C2D">
      <w:pPr>
        <w:pStyle w:val="Heading3"/>
        <w:spacing w:line="240" w:lineRule="auto"/>
        <w:jc w:val="both"/>
        <w:rPr>
          <w:rFonts w:ascii="Times New Roman" w:hAnsi="Times New Roman" w:cs="Times New Roman"/>
          <w:color w:val="auto"/>
        </w:rPr>
      </w:pPr>
      <w:r w:rsidRPr="00876C2D">
        <w:rPr>
          <w:rStyle w:val="Strong"/>
          <w:rFonts w:ascii="Times New Roman" w:hAnsi="Times New Roman" w:cs="Times New Roman"/>
          <w:bCs w:val="0"/>
          <w:color w:val="auto"/>
        </w:rPr>
        <w:lastRenderedPageBreak/>
        <w:t>Endothelial Dysfunction and Vascular Network Perturbation</w:t>
      </w:r>
    </w:p>
    <w:p w14:paraId="65447905" w14:textId="77777777" w:rsidR="008A2E4A" w:rsidRPr="00876C2D" w:rsidRDefault="008A2E4A" w:rsidP="00876C2D">
      <w:pPr>
        <w:pStyle w:val="NormalWeb"/>
        <w:jc w:val="both"/>
      </w:pPr>
      <w:r w:rsidRPr="00876C2D">
        <w:t>Endothelial dysfunction occupies a central position in the multisystem pathology of sickle cell anemia, serving as a critical interface between circulating blood elements and organ-specific injury. Once viewed primarily as a passive barrier, the endothelium is now recognized as a dynamic, responsive organ system whose widespread perturbation underlies many of the vascular and inflammatory complications characteristic of the disease. Systems biology has been instrumental in reframing endothelial injury in sickle cell anemia as a network-level disturbance rather than a series of isolated vascular events</w:t>
      </w:r>
      <w:r w:rsidR="00EA4F4F" w:rsidRPr="00876C2D">
        <w:t xml:space="preserve"> [42]</w:t>
      </w:r>
      <w:r w:rsidRPr="00876C2D">
        <w:t>.</w:t>
      </w:r>
      <w:r w:rsidR="00EA4F4F" w:rsidRPr="00876C2D">
        <w:t xml:space="preserve"> </w:t>
      </w:r>
      <w:r w:rsidRPr="00876C2D">
        <w:t>Chronic hemolysis represents a dominant upstream driver of endothelial dysfunction. The continuous release of free hemoglobin and heme into the circulation overwhelms physiological scavenging systems, leading to nitric oxide depletion, oxidative stress, and activation of redox-sensitive signaling pathways within endothelial cells. These molecular insults disrupt vasodilatory capacity, promote vasoconstriction, and impair vascular reactivity. From a systems perspective, nitric oxide dysregulation acts as a central node linking hemolysis to widespread vascular dysfunction across multiple organ beds</w:t>
      </w:r>
      <w:r w:rsidR="00EA4F4F" w:rsidRPr="00876C2D">
        <w:t xml:space="preserve"> [43]</w:t>
      </w:r>
      <w:r w:rsidRPr="00876C2D">
        <w:t>.</w:t>
      </w:r>
      <w:r w:rsidR="00EA4F4F" w:rsidRPr="00876C2D">
        <w:t xml:space="preserve"> </w:t>
      </w:r>
      <w:r w:rsidRPr="00876C2D">
        <w:t>Inflammation further amplifies endothelial injury in sickle cell anemia. Persistent exposure to pro-inflammatory cytokines, chemokines, and damage-associated molecular patterns induces a pro-adhesive endothelial phenotype characterized by upregulation of adhesion molecules and altered barrier function. This activated endothelium facilitates the recruitment and retention of sickle red blood cells, leukocytes, and platelets, promoting microvascular congestion and ischemia. Systems-level analyses highlight how these adhesive interactions form self-reinforcing loops, in which vascular stasis and tissue injury further intensify inflammatory signaling</w:t>
      </w:r>
      <w:r w:rsidR="00EA4F4F" w:rsidRPr="00876C2D">
        <w:t xml:space="preserve"> [44]</w:t>
      </w:r>
      <w:r w:rsidRPr="00876C2D">
        <w:t>.</w:t>
      </w:r>
    </w:p>
    <w:p w14:paraId="0EE39C85" w14:textId="77777777" w:rsidR="008A2E4A" w:rsidRPr="00876C2D" w:rsidRDefault="008A2E4A" w:rsidP="00876C2D">
      <w:pPr>
        <w:pStyle w:val="NormalWeb"/>
        <w:jc w:val="both"/>
      </w:pPr>
      <w:r w:rsidRPr="00876C2D">
        <w:t>The pro-thrombotic state observed in sickle cell anemia reflects another dimension of endothelial network perturbation. Endothelial cells in this context exhibit altered expression of anticoagulant and procoagulant factors, favoring thrombogenesis even in the absence of overt vessel injury. Platelet activation and coagulation pathway engagement are tightly coupled to endothelial dysfunction, forming an integrated vascular-</w:t>
      </w:r>
      <w:proofErr w:type="spellStart"/>
      <w:r w:rsidRPr="00876C2D">
        <w:t>thromboinflammatory</w:t>
      </w:r>
      <w:proofErr w:type="spellEnd"/>
      <w:r w:rsidRPr="00876C2D">
        <w:t xml:space="preserve"> network. Systems biology reveals that thrombosis in sickle cell anemia is not an isolated complication but an emergent property of interconnected vascular, inflammatory, and hematologic processes</w:t>
      </w:r>
      <w:r w:rsidR="00EA4F4F" w:rsidRPr="00876C2D">
        <w:t xml:space="preserve"> [45]</w:t>
      </w:r>
      <w:r w:rsidRPr="00876C2D">
        <w:t>.</w:t>
      </w:r>
      <w:r w:rsidR="00EA4F4F" w:rsidRPr="00876C2D">
        <w:t xml:space="preserve"> E</w:t>
      </w:r>
      <w:r w:rsidRPr="00876C2D">
        <w:t>ndothelial dysfunction in sickle cell anemia is systemic rather than localized. Network-based studies demonstrate coordinated endothelial activation across the cerebral, pulmonary, renal, and musculoskeletal microcirculations. This global vascular disturbance explains the coexistence of diverse complications such as stroke, pulmonary hypertension, nephropathy, and chronic pain syndromes within individual patients. Rather than discrete disease entities, these manifestations represent organ-specific expressions of a shared vascular network pathology</w:t>
      </w:r>
      <w:r w:rsidR="00EA4F4F" w:rsidRPr="00876C2D">
        <w:t xml:space="preserve"> [46]</w:t>
      </w:r>
      <w:r w:rsidRPr="00876C2D">
        <w:t>.</w:t>
      </w:r>
      <w:r w:rsidR="00EA4F4F" w:rsidRPr="00876C2D">
        <w:t xml:space="preserve"> </w:t>
      </w:r>
      <w:r w:rsidRPr="00876C2D">
        <w:t>Endothelial–immune crosstalk further contributes to vascular network instability. Activated endothelial cells secrete cytokines and chemokines that shape leukocyte behavior, while immune cells release mediators that perpetuate endothelial activation. This bidirectional communication sustains chronic inflammation and compromises vascular homeostasis even during periods of clinical stability. Systems biology captures these interactions as dynamic feedback circuits that evolve over time, contributing to disease progression and cumulative organ damage</w:t>
      </w:r>
      <w:r w:rsidR="00EA4F4F" w:rsidRPr="00876C2D">
        <w:t xml:space="preserve"> [47]</w:t>
      </w:r>
      <w:r w:rsidRPr="00876C2D">
        <w:t>.</w:t>
      </w:r>
    </w:p>
    <w:p w14:paraId="4CF85CC7" w14:textId="77777777" w:rsidR="008A2E4A" w:rsidRPr="00876C2D" w:rsidRDefault="008A2E4A" w:rsidP="00876C2D">
      <w:pPr>
        <w:pStyle w:val="Heading3"/>
        <w:spacing w:line="240" w:lineRule="auto"/>
        <w:jc w:val="both"/>
        <w:rPr>
          <w:rFonts w:ascii="Times New Roman" w:hAnsi="Times New Roman" w:cs="Times New Roman"/>
          <w:color w:val="auto"/>
        </w:rPr>
      </w:pPr>
      <w:r w:rsidRPr="00876C2D">
        <w:rPr>
          <w:rStyle w:val="Strong"/>
          <w:rFonts w:ascii="Times New Roman" w:hAnsi="Times New Roman" w:cs="Times New Roman"/>
          <w:bCs w:val="0"/>
          <w:color w:val="auto"/>
        </w:rPr>
        <w:lastRenderedPageBreak/>
        <w:t>Immune Dysregulation and Chronic Inflammation</w:t>
      </w:r>
    </w:p>
    <w:p w14:paraId="6F0C1C8D" w14:textId="77777777" w:rsidR="008A2E4A" w:rsidRPr="00876C2D" w:rsidRDefault="008A2E4A" w:rsidP="00876C2D">
      <w:pPr>
        <w:pStyle w:val="NormalWeb"/>
        <w:jc w:val="both"/>
      </w:pPr>
      <w:r w:rsidRPr="00876C2D">
        <w:t>Immune dysregulation and chronic inflammation are now recognized as fundamental drivers of disease severity and progression in sickle cell anemia, extending well beyond episodic acute crises. Although infection has historically been emphasized as the primary immune concern in affected individuals, systems-level investigations reveal a persistent state of immune activation that exists even during clinical steady state. This chronic inflammatory milieu reflects complex interactions among hemolysis, vascular injury, metabolic stress, and immune signaling networks</w:t>
      </w:r>
      <w:r w:rsidR="00EA4F4F" w:rsidRPr="00876C2D">
        <w:t xml:space="preserve"> [48]</w:t>
      </w:r>
      <w:r w:rsidRPr="00876C2D">
        <w:t>.</w:t>
      </w:r>
      <w:r w:rsidR="00EA4F4F" w:rsidRPr="00876C2D">
        <w:t xml:space="preserve"> </w:t>
      </w:r>
      <w:r w:rsidRPr="00876C2D">
        <w:t>Innate immune activation plays a dominant role in shaping the inflammatory landscape of sickle cell anemia. Neutrophils and monocytes exhibit a primed phenotype characterized by enhanced adhesiveness, increased production of inflammatory mediators, and exaggerated responses to secondary stimuli. Transcriptomic analyses demonstrate upregulation of innate immune pathways associated with pattern recognition receptors and inflammasome signaling. These alterations are not transient but represent stable network states sustained by ongoing hemolysis and tissue injury. From a systems biology perspective, innate immune cells function as amplifiers that translate vascular and erythrocyte-derived stress signals into systemic inflammation</w:t>
      </w:r>
      <w:r w:rsidR="00EA4F4F" w:rsidRPr="00876C2D">
        <w:t xml:space="preserve"> [49]</w:t>
      </w:r>
      <w:r w:rsidRPr="00876C2D">
        <w:t>.</w:t>
      </w:r>
    </w:p>
    <w:p w14:paraId="3EB03A65" w14:textId="77777777" w:rsidR="008A2E4A" w:rsidRPr="00876C2D" w:rsidRDefault="008A2E4A" w:rsidP="00876C2D">
      <w:pPr>
        <w:pStyle w:val="NormalWeb"/>
        <w:jc w:val="both"/>
      </w:pPr>
      <w:r w:rsidRPr="00876C2D">
        <w:t>Hemolysis-derived danger-associated molecular patterns, particularly free heme and oxidized lipids, serve as potent immune activators. These molecules engage innate immune receptors and promote the release of pro-inflammatory cytokines, thereby linking red blood cell destruction to immune dysregulation. Systems-level models highlight how these signals integrate with endothelial activation to form a feed-forward inflammatory circuit that perpetuates vascular dysfunction and microvascular occlusion</w:t>
      </w:r>
      <w:r w:rsidR="00EA4F4F" w:rsidRPr="00876C2D">
        <w:t xml:space="preserve"> [50]</w:t>
      </w:r>
      <w:r w:rsidRPr="00876C2D">
        <w:t>.</w:t>
      </w:r>
      <w:r w:rsidR="00EA4F4F" w:rsidRPr="00876C2D">
        <w:t xml:space="preserve"> </w:t>
      </w:r>
      <w:r w:rsidRPr="00876C2D">
        <w:t>Adaptive immune alterations further contribute to chronic inflammation in sickle cell anemia. Changes in T-cell subset distribution, impaired regulatory immune mechanisms, and features of immune exhaustion have been documented, reflecting prolonged antigenic and inflammatory exposure. Rather than representing isolated defects, these adaptive immune changes are embedded within broader inflammatory networks that influence susceptibility to infections, vaccine responsiveness, and immune-mediated complications. Systems biology captures the interplay between innate and adaptive immunity as a dynamic continuum rather than discrete compartments</w:t>
      </w:r>
      <w:r w:rsidR="00EA4F4F" w:rsidRPr="00876C2D">
        <w:t xml:space="preserve"> [51]</w:t>
      </w:r>
      <w:r w:rsidRPr="00876C2D">
        <w:t>.</w:t>
      </w:r>
    </w:p>
    <w:p w14:paraId="09BD0132" w14:textId="77777777" w:rsidR="008A2E4A" w:rsidRPr="00876C2D" w:rsidRDefault="008A2E4A" w:rsidP="00876C2D">
      <w:pPr>
        <w:pStyle w:val="NormalWeb"/>
        <w:jc w:val="both"/>
      </w:pPr>
      <w:r w:rsidRPr="00876C2D">
        <w:t xml:space="preserve">Cytokine network dysregulation is a defining feature of chronic inflammation in sickle cell anemia. Elevated levels of pro-inflammatory cytokines coexist with impaired counter-regulatory mechanisms, resulting in a sustained inflammatory tone. Network analyses reveal that cytokines act not merely as biomarkers but as active nodes that coordinate communication between immune cells, endothelial cells, and damaged tissues. This cytokine-driven crosstalk reinforces vascular activation and contributes to organ-specific injury, even in the absence of acute </w:t>
      </w:r>
      <w:proofErr w:type="spellStart"/>
      <w:r w:rsidRPr="00876C2D">
        <w:t>vaso</w:t>
      </w:r>
      <w:proofErr w:type="spellEnd"/>
      <w:r w:rsidRPr="00876C2D">
        <w:t>-occlusive events</w:t>
      </w:r>
      <w:r w:rsidR="0083463D" w:rsidRPr="00876C2D">
        <w:t xml:space="preserve"> [52]</w:t>
      </w:r>
      <w:r w:rsidRPr="00876C2D">
        <w:t>.</w:t>
      </w:r>
      <w:r w:rsidR="0083463D" w:rsidRPr="00876C2D">
        <w:t xml:space="preserve"> </w:t>
      </w:r>
      <w:r w:rsidR="00872A4C" w:rsidRPr="00876C2D">
        <w:t>C</w:t>
      </w:r>
      <w:r w:rsidRPr="00876C2D">
        <w:t>hronic inflammation in sickle cell anemia exhibits temporal persistence. Systems biology frameworks demonstrate that inflammatory pathways remain activated during clinically asymptomatic periods, suggesting that “steady state” represents a state of compensated inflammation rather than true immunological quiescence. This persistent immune activation predisposes patients to acute exacerbations and accelerates cumulative organ damage over time</w:t>
      </w:r>
      <w:r w:rsidR="00872A4C" w:rsidRPr="00876C2D">
        <w:t xml:space="preserve"> (Table 1)</w:t>
      </w:r>
      <w:r w:rsidR="0083463D" w:rsidRPr="00876C2D">
        <w:t xml:space="preserve"> [53]</w:t>
      </w:r>
      <w:r w:rsidRPr="00876C2D">
        <w:t>.</w:t>
      </w:r>
    </w:p>
    <w:p w14:paraId="32E3A019" w14:textId="77777777" w:rsidR="00872A4C" w:rsidRPr="00876C2D" w:rsidRDefault="00872A4C" w:rsidP="00876C2D">
      <w:pPr>
        <w:pStyle w:val="Heading3"/>
        <w:spacing w:line="240" w:lineRule="auto"/>
        <w:rPr>
          <w:rFonts w:ascii="Times New Roman" w:hAnsi="Times New Roman" w:cs="Times New Roman"/>
          <w:color w:val="auto"/>
        </w:rPr>
      </w:pPr>
      <w:r w:rsidRPr="00876C2D">
        <w:rPr>
          <w:rStyle w:val="Strong"/>
          <w:rFonts w:ascii="Times New Roman" w:hAnsi="Times New Roman" w:cs="Times New Roman"/>
          <w:bCs w:val="0"/>
          <w:color w:val="auto"/>
        </w:rPr>
        <w:lastRenderedPageBreak/>
        <w:t>Table 1: Key Features of Immune Dysregulation and Chronic Inflammation in Sickle Cell Anemia</w:t>
      </w:r>
    </w:p>
    <w:tbl>
      <w:tblPr>
        <w:tblStyle w:val="TableGrid"/>
        <w:tblW w:w="0" w:type="auto"/>
        <w:tblLook w:val="04A0" w:firstRow="1" w:lastRow="0" w:firstColumn="1" w:lastColumn="0" w:noHBand="0" w:noVBand="1"/>
      </w:tblPr>
      <w:tblGrid>
        <w:gridCol w:w="2067"/>
        <w:gridCol w:w="3506"/>
        <w:gridCol w:w="3777"/>
      </w:tblGrid>
      <w:tr w:rsidR="00872A4C" w:rsidRPr="00876C2D" w14:paraId="4963C390" w14:textId="77777777" w:rsidTr="00872A4C">
        <w:tc>
          <w:tcPr>
            <w:tcW w:w="0" w:type="auto"/>
            <w:hideMark/>
          </w:tcPr>
          <w:p w14:paraId="6181BD1E" w14:textId="77777777" w:rsidR="00872A4C" w:rsidRPr="00876C2D" w:rsidRDefault="00872A4C" w:rsidP="00876C2D">
            <w:pPr>
              <w:jc w:val="center"/>
              <w:rPr>
                <w:rFonts w:ascii="Times New Roman" w:hAnsi="Times New Roman" w:cs="Times New Roman"/>
                <w:b/>
                <w:bCs/>
                <w:sz w:val="24"/>
                <w:szCs w:val="24"/>
              </w:rPr>
            </w:pPr>
            <w:r w:rsidRPr="00876C2D">
              <w:rPr>
                <w:rStyle w:val="Strong"/>
                <w:rFonts w:ascii="Times New Roman" w:hAnsi="Times New Roman" w:cs="Times New Roman"/>
                <w:sz w:val="24"/>
                <w:szCs w:val="24"/>
              </w:rPr>
              <w:t>Component</w:t>
            </w:r>
          </w:p>
        </w:tc>
        <w:tc>
          <w:tcPr>
            <w:tcW w:w="0" w:type="auto"/>
            <w:hideMark/>
          </w:tcPr>
          <w:p w14:paraId="4941002A" w14:textId="77777777" w:rsidR="00872A4C" w:rsidRPr="00876C2D" w:rsidRDefault="00872A4C" w:rsidP="00876C2D">
            <w:pPr>
              <w:jc w:val="center"/>
              <w:rPr>
                <w:rFonts w:ascii="Times New Roman" w:hAnsi="Times New Roman" w:cs="Times New Roman"/>
                <w:b/>
                <w:bCs/>
                <w:sz w:val="24"/>
                <w:szCs w:val="24"/>
              </w:rPr>
            </w:pPr>
            <w:r w:rsidRPr="00876C2D">
              <w:rPr>
                <w:rStyle w:val="Strong"/>
                <w:rFonts w:ascii="Times New Roman" w:hAnsi="Times New Roman" w:cs="Times New Roman"/>
                <w:sz w:val="24"/>
                <w:szCs w:val="24"/>
              </w:rPr>
              <w:t>Mechanism / Dysregulation</w:t>
            </w:r>
          </w:p>
        </w:tc>
        <w:tc>
          <w:tcPr>
            <w:tcW w:w="0" w:type="auto"/>
            <w:hideMark/>
          </w:tcPr>
          <w:p w14:paraId="5DB0240C" w14:textId="77777777" w:rsidR="00872A4C" w:rsidRPr="00876C2D" w:rsidRDefault="00872A4C" w:rsidP="00876C2D">
            <w:pPr>
              <w:jc w:val="center"/>
              <w:rPr>
                <w:rFonts w:ascii="Times New Roman" w:hAnsi="Times New Roman" w:cs="Times New Roman"/>
                <w:b/>
                <w:bCs/>
                <w:sz w:val="24"/>
                <w:szCs w:val="24"/>
              </w:rPr>
            </w:pPr>
            <w:r w:rsidRPr="00876C2D">
              <w:rPr>
                <w:rStyle w:val="Strong"/>
                <w:rFonts w:ascii="Times New Roman" w:hAnsi="Times New Roman" w:cs="Times New Roman"/>
                <w:sz w:val="24"/>
                <w:szCs w:val="24"/>
              </w:rPr>
              <w:t>Consequences / Clinical Implications</w:t>
            </w:r>
          </w:p>
        </w:tc>
      </w:tr>
      <w:tr w:rsidR="00872A4C" w:rsidRPr="00876C2D" w14:paraId="0F130076" w14:textId="77777777" w:rsidTr="00872A4C">
        <w:tc>
          <w:tcPr>
            <w:tcW w:w="0" w:type="auto"/>
            <w:hideMark/>
          </w:tcPr>
          <w:p w14:paraId="13525809"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Innate Immune Activation</w:t>
            </w:r>
          </w:p>
        </w:tc>
        <w:tc>
          <w:tcPr>
            <w:tcW w:w="0" w:type="auto"/>
            <w:hideMark/>
          </w:tcPr>
          <w:p w14:paraId="59081A40"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Neutrophil priming, monocyte hyperactivation, upregulation of pattern recognition receptors (e.g., TLRs), inflammasome activation</w:t>
            </w:r>
          </w:p>
        </w:tc>
        <w:tc>
          <w:tcPr>
            <w:tcW w:w="0" w:type="auto"/>
            <w:hideMark/>
          </w:tcPr>
          <w:p w14:paraId="26E3DFF2"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 xml:space="preserve">Increased vascular adhesion, amplification of inflammation, predisposition to </w:t>
            </w:r>
            <w:proofErr w:type="spellStart"/>
            <w:r w:rsidRPr="00876C2D">
              <w:rPr>
                <w:rFonts w:ascii="Times New Roman" w:hAnsi="Times New Roman" w:cs="Times New Roman"/>
                <w:sz w:val="24"/>
                <w:szCs w:val="24"/>
              </w:rPr>
              <w:t>vaso</w:t>
            </w:r>
            <w:proofErr w:type="spellEnd"/>
            <w:r w:rsidRPr="00876C2D">
              <w:rPr>
                <w:rFonts w:ascii="Times New Roman" w:hAnsi="Times New Roman" w:cs="Times New Roman"/>
                <w:sz w:val="24"/>
                <w:szCs w:val="24"/>
              </w:rPr>
              <w:t>-occlusive crises, tissue injury</w:t>
            </w:r>
          </w:p>
        </w:tc>
      </w:tr>
      <w:tr w:rsidR="00872A4C" w:rsidRPr="00876C2D" w14:paraId="08F51B3B" w14:textId="77777777" w:rsidTr="00872A4C">
        <w:tc>
          <w:tcPr>
            <w:tcW w:w="0" w:type="auto"/>
            <w:hideMark/>
          </w:tcPr>
          <w:p w14:paraId="67057586"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Adaptive Immune Alterations</w:t>
            </w:r>
          </w:p>
        </w:tc>
        <w:tc>
          <w:tcPr>
            <w:tcW w:w="0" w:type="auto"/>
            <w:hideMark/>
          </w:tcPr>
          <w:p w14:paraId="577A7A88"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Altered T-cell subsets, impaired regulatory T-cell function, features of immune exhaustion</w:t>
            </w:r>
          </w:p>
        </w:tc>
        <w:tc>
          <w:tcPr>
            <w:tcW w:w="0" w:type="auto"/>
            <w:hideMark/>
          </w:tcPr>
          <w:p w14:paraId="10BB9FFB"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Reduced immunoregulation, increased infection susceptibility, impaired vaccine responsiveness, chronic inflammation</w:t>
            </w:r>
          </w:p>
        </w:tc>
      </w:tr>
      <w:tr w:rsidR="00872A4C" w:rsidRPr="00876C2D" w14:paraId="4A6752F0" w14:textId="77777777" w:rsidTr="00872A4C">
        <w:tc>
          <w:tcPr>
            <w:tcW w:w="0" w:type="auto"/>
            <w:hideMark/>
          </w:tcPr>
          <w:p w14:paraId="3E225F01"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Cytokine Network Dysregulation</w:t>
            </w:r>
          </w:p>
        </w:tc>
        <w:tc>
          <w:tcPr>
            <w:tcW w:w="0" w:type="auto"/>
            <w:hideMark/>
          </w:tcPr>
          <w:p w14:paraId="47A38886"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Elevated pro-inflammatory cytokines (e.g., TNF-α, IL-6, IL-1β) with inadequate anti-inflammatory counterbalance</w:t>
            </w:r>
          </w:p>
        </w:tc>
        <w:tc>
          <w:tcPr>
            <w:tcW w:w="0" w:type="auto"/>
            <w:hideMark/>
          </w:tcPr>
          <w:p w14:paraId="67B94A61"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Sustained systemic inflammation, endothelial activation, organ-specific injury</w:t>
            </w:r>
          </w:p>
        </w:tc>
      </w:tr>
      <w:tr w:rsidR="00872A4C" w:rsidRPr="00876C2D" w14:paraId="42302308" w14:textId="77777777" w:rsidTr="00872A4C">
        <w:tc>
          <w:tcPr>
            <w:tcW w:w="0" w:type="auto"/>
            <w:hideMark/>
          </w:tcPr>
          <w:p w14:paraId="78E5AA02"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Hemolysis-Driven Immune Activation</w:t>
            </w:r>
          </w:p>
        </w:tc>
        <w:tc>
          <w:tcPr>
            <w:tcW w:w="0" w:type="auto"/>
            <w:hideMark/>
          </w:tcPr>
          <w:p w14:paraId="1DB8135A"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Free hemoglobin and heme acting as danger-associated molecular patterns (DAMPs)</w:t>
            </w:r>
          </w:p>
        </w:tc>
        <w:tc>
          <w:tcPr>
            <w:tcW w:w="0" w:type="auto"/>
            <w:hideMark/>
          </w:tcPr>
          <w:p w14:paraId="39CB2AA7"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Endothelial dysfunction, oxidative stress, further amplification of inflammatory circuits</w:t>
            </w:r>
          </w:p>
        </w:tc>
      </w:tr>
      <w:tr w:rsidR="00872A4C" w:rsidRPr="00876C2D" w14:paraId="7728AC69" w14:textId="77777777" w:rsidTr="00872A4C">
        <w:tc>
          <w:tcPr>
            <w:tcW w:w="0" w:type="auto"/>
            <w:hideMark/>
          </w:tcPr>
          <w:p w14:paraId="4BBCC5FE"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Chronic Inflammatory Feedback Loops</w:t>
            </w:r>
          </w:p>
        </w:tc>
        <w:tc>
          <w:tcPr>
            <w:tcW w:w="0" w:type="auto"/>
            <w:hideMark/>
          </w:tcPr>
          <w:p w14:paraId="2404842E"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Interactions between immune cells, endothelial cells, and damaged tissues</w:t>
            </w:r>
          </w:p>
        </w:tc>
        <w:tc>
          <w:tcPr>
            <w:tcW w:w="0" w:type="auto"/>
            <w:hideMark/>
          </w:tcPr>
          <w:p w14:paraId="5C4FA98F"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Persistence of inflammation during clinical “steady state,” increased risk of cumulative organ damage</w:t>
            </w:r>
          </w:p>
        </w:tc>
      </w:tr>
      <w:tr w:rsidR="00872A4C" w:rsidRPr="00876C2D" w14:paraId="0173BA88" w14:textId="77777777" w:rsidTr="00872A4C">
        <w:tc>
          <w:tcPr>
            <w:tcW w:w="0" w:type="auto"/>
            <w:hideMark/>
          </w:tcPr>
          <w:p w14:paraId="6E6B33B3"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Clinical Outcomes</w:t>
            </w:r>
          </w:p>
        </w:tc>
        <w:tc>
          <w:tcPr>
            <w:tcW w:w="0" w:type="auto"/>
            <w:hideMark/>
          </w:tcPr>
          <w:p w14:paraId="21AB4819"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Combined immune and inflammatory dysregulation</w:t>
            </w:r>
          </w:p>
        </w:tc>
        <w:tc>
          <w:tcPr>
            <w:tcW w:w="0" w:type="auto"/>
            <w:hideMark/>
          </w:tcPr>
          <w:p w14:paraId="42F9BA7A"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 xml:space="preserve">Higher frequency of </w:t>
            </w:r>
            <w:proofErr w:type="spellStart"/>
            <w:r w:rsidRPr="00876C2D">
              <w:rPr>
                <w:rFonts w:ascii="Times New Roman" w:hAnsi="Times New Roman" w:cs="Times New Roman"/>
                <w:sz w:val="24"/>
                <w:szCs w:val="24"/>
              </w:rPr>
              <w:t>vaso</w:t>
            </w:r>
            <w:proofErr w:type="spellEnd"/>
            <w:r w:rsidRPr="00876C2D">
              <w:rPr>
                <w:rFonts w:ascii="Times New Roman" w:hAnsi="Times New Roman" w:cs="Times New Roman"/>
                <w:sz w:val="24"/>
                <w:szCs w:val="24"/>
              </w:rPr>
              <w:t>-occlusive crises, acute chest syndrome, organ dysfunction (renal, pulmonary, cerebrovascular), chronic pain</w:t>
            </w:r>
          </w:p>
        </w:tc>
      </w:tr>
    </w:tbl>
    <w:p w14:paraId="4FC7AF93" w14:textId="77777777" w:rsidR="00872A4C" w:rsidRPr="00876C2D" w:rsidRDefault="00872A4C" w:rsidP="00876C2D">
      <w:pPr>
        <w:pStyle w:val="Heading3"/>
        <w:spacing w:line="240" w:lineRule="auto"/>
        <w:jc w:val="both"/>
        <w:rPr>
          <w:rStyle w:val="Strong"/>
          <w:rFonts w:ascii="Times New Roman" w:hAnsi="Times New Roman" w:cs="Times New Roman"/>
          <w:bCs w:val="0"/>
          <w:color w:val="auto"/>
        </w:rPr>
      </w:pPr>
    </w:p>
    <w:p w14:paraId="3AA76EC6" w14:textId="77777777" w:rsidR="00AC4D44" w:rsidRPr="00876C2D" w:rsidRDefault="00AC4D44" w:rsidP="00876C2D">
      <w:pPr>
        <w:pStyle w:val="Heading3"/>
        <w:spacing w:line="240" w:lineRule="auto"/>
        <w:jc w:val="both"/>
        <w:rPr>
          <w:rFonts w:ascii="Times New Roman" w:hAnsi="Times New Roman" w:cs="Times New Roman"/>
          <w:color w:val="auto"/>
        </w:rPr>
      </w:pPr>
      <w:r w:rsidRPr="00876C2D">
        <w:rPr>
          <w:rStyle w:val="Strong"/>
          <w:rFonts w:ascii="Times New Roman" w:hAnsi="Times New Roman" w:cs="Times New Roman"/>
          <w:bCs w:val="0"/>
          <w:color w:val="auto"/>
        </w:rPr>
        <w:t>Organ Crosstalk and Multisystem Complications</w:t>
      </w:r>
    </w:p>
    <w:p w14:paraId="4451751A" w14:textId="77777777" w:rsidR="00AC4D44" w:rsidRPr="00876C2D" w:rsidRDefault="00AC4D44" w:rsidP="00876C2D">
      <w:pPr>
        <w:pStyle w:val="NormalWeb"/>
        <w:jc w:val="both"/>
      </w:pPr>
      <w:r w:rsidRPr="00876C2D">
        <w:t>One of the most defining features of sickle cell anemia is its capacity to affect nearly every organ system, often in parallel and with cumulative consequences over time. Rather than arising as isolated complications, organ-specific manifestations of the disease reflect intricate crosstalk among interconnected biological systems. Systems biology has been pivotal in revealing how molecular and cellular disturbances initiated in the circulation propagate across organs through shared vascular, inflammatory, and metabolic networks</w:t>
      </w:r>
      <w:r w:rsidR="0083463D" w:rsidRPr="00876C2D">
        <w:t xml:space="preserve"> [54]</w:t>
      </w:r>
      <w:r w:rsidRPr="00876C2D">
        <w:t>.</w:t>
      </w:r>
      <w:r w:rsidR="002B6EAB" w:rsidRPr="00876C2D">
        <w:t xml:space="preserve"> </w:t>
      </w:r>
      <w:r w:rsidRPr="00876C2D">
        <w:t>At the center of this inter-organ communication lies chronic hemolysis and vascular dysfunction. The release of free hemoglobin and heme into the circulation exerts systemic effects that extend beyond the vasculature, influencing pulmonary, renal, cardiac, and cerebral function. Nitric oxide depletion, oxidative stress, and endothelial activation create a common pathological substrate that predisposes multiple organs to injury. From a systems perspective, these circulating mediators act as integrative signals that synchronize pathological processes across distant tissues</w:t>
      </w:r>
      <w:r w:rsidR="0083463D" w:rsidRPr="00876C2D">
        <w:t xml:space="preserve"> [55]</w:t>
      </w:r>
      <w:r w:rsidRPr="00876C2D">
        <w:t>.</w:t>
      </w:r>
    </w:p>
    <w:p w14:paraId="040631C1" w14:textId="77777777" w:rsidR="00AC4D44" w:rsidRPr="00876C2D" w:rsidRDefault="00AC4D44" w:rsidP="00876C2D">
      <w:pPr>
        <w:pStyle w:val="NormalWeb"/>
        <w:jc w:val="both"/>
      </w:pPr>
      <w:r w:rsidRPr="00876C2D">
        <w:t xml:space="preserve">The pulmonary–vascular axis exemplifies organ crosstalk in sickle cell anemia. Pulmonary vascular remodeling, driven by hemolysis-induced nitric oxide dysregulation and inflammation, contributes to pulmonary hypertension, which in turn imposes increased hemodynamic stress on </w:t>
      </w:r>
      <w:r w:rsidRPr="00876C2D">
        <w:lastRenderedPageBreak/>
        <w:t>the heart. Cardiac adaptation to this stress may initially be compensatory but can progress to maladaptive remodeling and heart failure. Systems biology highlights how pulmonary and cardiac complications are mechanistically linked rather than independent sequelae</w:t>
      </w:r>
      <w:r w:rsidR="002B6EAB" w:rsidRPr="00876C2D">
        <w:t xml:space="preserve"> [56]</w:t>
      </w:r>
      <w:r w:rsidRPr="00876C2D">
        <w:t>.</w:t>
      </w:r>
      <w:r w:rsidR="002B6EAB" w:rsidRPr="00876C2D">
        <w:t xml:space="preserve"> </w:t>
      </w:r>
      <w:r w:rsidRPr="00876C2D">
        <w:t>Renal involvement further illustrates multisystem integration. The kidney’s unique microvascular architecture renders it particularly vulnerable to hypoxia, oxidative stress, and endothelial dysfunction. Renal injury alters fluid balance, erythropoietin production, and metabolic homeostasis, which in turn influences cardiovascular function and hematologic stability. Systems-level analyses demonstrate that nephropathy in sickle cell anemia both reflects and exacerbates systemic vascular and inflammatory network disturbances</w:t>
      </w:r>
      <w:r w:rsidR="002B6EAB" w:rsidRPr="00876C2D">
        <w:t xml:space="preserve"> [57]</w:t>
      </w:r>
      <w:r w:rsidRPr="00876C2D">
        <w:t>.</w:t>
      </w:r>
    </w:p>
    <w:p w14:paraId="7CAF5B47" w14:textId="77777777" w:rsidR="00AC4D44" w:rsidRPr="00876C2D" w:rsidRDefault="00AC4D44" w:rsidP="00876C2D">
      <w:pPr>
        <w:pStyle w:val="NormalWeb"/>
        <w:jc w:val="both"/>
      </w:pPr>
      <w:r w:rsidRPr="00876C2D">
        <w:t>Cerebrovascular complications, including stroke and cognitive impairment, also arise from interconnected pathological processes. Endothelial activation, altered cerebral blood flow regulation, and inflammatory signaling converge to disrupt cerebral microcirculation. Importantly, cerebral injury feeds back into systemic inflammation and neurohumoral regulation, influencing pain perception, stress responses, and autonomic balance. Systems biology captures these bidirectional interactions, emphasizing the brain’s role as both a target and a modulator of disease activity</w:t>
      </w:r>
      <w:r w:rsidR="00876C2D" w:rsidRPr="00876C2D">
        <w:t xml:space="preserve"> [58]</w:t>
      </w:r>
      <w:r w:rsidRPr="00876C2D">
        <w:t>.</w:t>
      </w:r>
      <w:r w:rsidR="00876C2D" w:rsidRPr="00876C2D">
        <w:t xml:space="preserve"> </w:t>
      </w:r>
      <w:r w:rsidRPr="00876C2D">
        <w:t>The musculoskeletal system represents another critical node in organ crosstalk. Recurrent bone marrow ischemia and infarction generate inflammatory mediators that enter the systemic circulation, contributing to chronic pain, immune activation, and vascular dysfunction. These signals may influence distant organs, reinforcing the concept that localized tissue injury has system-wide consequences. Chronic pain itself alters neuroimmune pathways, further integrating musculoskeletal pathology into the multisystem network of sickle cell anemia</w:t>
      </w:r>
      <w:r w:rsidR="00876C2D" w:rsidRPr="00876C2D">
        <w:t xml:space="preserve"> [59]</w:t>
      </w:r>
      <w:r w:rsidRPr="00876C2D">
        <w:t>.</w:t>
      </w:r>
      <w:r w:rsidR="00876C2D" w:rsidRPr="00876C2D">
        <w:t xml:space="preserve"> </w:t>
      </w:r>
      <w:r w:rsidR="00872A4C" w:rsidRPr="00876C2D">
        <w:t>O</w:t>
      </w:r>
      <w:r w:rsidRPr="00876C2D">
        <w:t>rgan crosstalk in sickle cell anemia is dynamic and cumulative. Repeated episodes of ischemia–reperfusion injury across different organs amplify inflammatory and oxidative pathways, gradually reshaping network behavior and lowering the threshold for future complications. Systems biology reveals that disease progression reflects the gradual loss of compensatory capacity across interconnected organ systems rather than abrupt failure of a single organ</w:t>
      </w:r>
      <w:r w:rsidR="00872A4C" w:rsidRPr="00876C2D">
        <w:t xml:space="preserve"> {Table 2)</w:t>
      </w:r>
      <w:r w:rsidR="00876C2D" w:rsidRPr="00876C2D">
        <w:t xml:space="preserve"> [60]</w:t>
      </w:r>
      <w:r w:rsidRPr="00876C2D">
        <w:t>.</w:t>
      </w:r>
    </w:p>
    <w:p w14:paraId="6E4DAC66" w14:textId="77777777" w:rsidR="00872A4C" w:rsidRPr="00876C2D" w:rsidRDefault="00872A4C" w:rsidP="00876C2D">
      <w:pPr>
        <w:pStyle w:val="Heading3"/>
        <w:spacing w:line="240" w:lineRule="auto"/>
        <w:rPr>
          <w:rFonts w:ascii="Times New Roman" w:hAnsi="Times New Roman" w:cs="Times New Roman"/>
          <w:color w:val="auto"/>
        </w:rPr>
      </w:pPr>
      <w:r w:rsidRPr="00876C2D">
        <w:rPr>
          <w:rStyle w:val="Strong"/>
          <w:rFonts w:ascii="Times New Roman" w:hAnsi="Times New Roman" w:cs="Times New Roman"/>
          <w:bCs w:val="0"/>
          <w:color w:val="auto"/>
        </w:rPr>
        <w:t>Table 2: Organ Crosstalk and Multisystem Complications in Sickle Cell Anemia</w:t>
      </w:r>
    </w:p>
    <w:tbl>
      <w:tblPr>
        <w:tblStyle w:val="TableGrid"/>
        <w:tblW w:w="0" w:type="auto"/>
        <w:tblLook w:val="04A0" w:firstRow="1" w:lastRow="0" w:firstColumn="1" w:lastColumn="0" w:noHBand="0" w:noVBand="1"/>
      </w:tblPr>
      <w:tblGrid>
        <w:gridCol w:w="2096"/>
        <w:gridCol w:w="2265"/>
        <w:gridCol w:w="2657"/>
        <w:gridCol w:w="2332"/>
      </w:tblGrid>
      <w:tr w:rsidR="00872A4C" w:rsidRPr="00876C2D" w14:paraId="19DBD6B4" w14:textId="77777777" w:rsidTr="00872A4C">
        <w:tc>
          <w:tcPr>
            <w:tcW w:w="0" w:type="auto"/>
            <w:hideMark/>
          </w:tcPr>
          <w:p w14:paraId="34DBBDC4" w14:textId="77777777" w:rsidR="00872A4C" w:rsidRPr="00876C2D" w:rsidRDefault="00872A4C" w:rsidP="00876C2D">
            <w:pPr>
              <w:jc w:val="center"/>
              <w:rPr>
                <w:rFonts w:ascii="Times New Roman" w:hAnsi="Times New Roman" w:cs="Times New Roman"/>
                <w:b/>
                <w:bCs/>
                <w:sz w:val="24"/>
                <w:szCs w:val="24"/>
              </w:rPr>
            </w:pPr>
            <w:r w:rsidRPr="00876C2D">
              <w:rPr>
                <w:rStyle w:val="Strong"/>
                <w:rFonts w:ascii="Times New Roman" w:hAnsi="Times New Roman" w:cs="Times New Roman"/>
                <w:sz w:val="24"/>
                <w:szCs w:val="24"/>
              </w:rPr>
              <w:t>Organ / System</w:t>
            </w:r>
          </w:p>
        </w:tc>
        <w:tc>
          <w:tcPr>
            <w:tcW w:w="0" w:type="auto"/>
            <w:hideMark/>
          </w:tcPr>
          <w:p w14:paraId="6D0BD3A7" w14:textId="77777777" w:rsidR="00872A4C" w:rsidRPr="00876C2D" w:rsidRDefault="00872A4C" w:rsidP="00876C2D">
            <w:pPr>
              <w:jc w:val="center"/>
              <w:rPr>
                <w:rFonts w:ascii="Times New Roman" w:hAnsi="Times New Roman" w:cs="Times New Roman"/>
                <w:b/>
                <w:bCs/>
                <w:sz w:val="24"/>
                <w:szCs w:val="24"/>
              </w:rPr>
            </w:pPr>
            <w:r w:rsidRPr="00876C2D">
              <w:rPr>
                <w:rStyle w:val="Strong"/>
                <w:rFonts w:ascii="Times New Roman" w:hAnsi="Times New Roman" w:cs="Times New Roman"/>
                <w:sz w:val="24"/>
                <w:szCs w:val="24"/>
              </w:rPr>
              <w:t>Mechanisms of Injury</w:t>
            </w:r>
          </w:p>
        </w:tc>
        <w:tc>
          <w:tcPr>
            <w:tcW w:w="0" w:type="auto"/>
            <w:hideMark/>
          </w:tcPr>
          <w:p w14:paraId="79C3AA7F" w14:textId="77777777" w:rsidR="00872A4C" w:rsidRPr="00876C2D" w:rsidRDefault="00872A4C" w:rsidP="00876C2D">
            <w:pPr>
              <w:jc w:val="center"/>
              <w:rPr>
                <w:rFonts w:ascii="Times New Roman" w:hAnsi="Times New Roman" w:cs="Times New Roman"/>
                <w:b/>
                <w:bCs/>
                <w:sz w:val="24"/>
                <w:szCs w:val="24"/>
              </w:rPr>
            </w:pPr>
            <w:r w:rsidRPr="00876C2D">
              <w:rPr>
                <w:rStyle w:val="Strong"/>
                <w:rFonts w:ascii="Times New Roman" w:hAnsi="Times New Roman" w:cs="Times New Roman"/>
                <w:sz w:val="24"/>
                <w:szCs w:val="24"/>
              </w:rPr>
              <w:t>Crosstalk with Other Organs</w:t>
            </w:r>
          </w:p>
        </w:tc>
        <w:tc>
          <w:tcPr>
            <w:tcW w:w="0" w:type="auto"/>
            <w:hideMark/>
          </w:tcPr>
          <w:p w14:paraId="6270BBA7" w14:textId="77777777" w:rsidR="00872A4C" w:rsidRPr="00876C2D" w:rsidRDefault="00872A4C" w:rsidP="00876C2D">
            <w:pPr>
              <w:jc w:val="center"/>
              <w:rPr>
                <w:rFonts w:ascii="Times New Roman" w:hAnsi="Times New Roman" w:cs="Times New Roman"/>
                <w:b/>
                <w:bCs/>
                <w:sz w:val="24"/>
                <w:szCs w:val="24"/>
              </w:rPr>
            </w:pPr>
            <w:r w:rsidRPr="00876C2D">
              <w:rPr>
                <w:rStyle w:val="Strong"/>
                <w:rFonts w:ascii="Times New Roman" w:hAnsi="Times New Roman" w:cs="Times New Roman"/>
                <w:sz w:val="24"/>
                <w:szCs w:val="24"/>
              </w:rPr>
              <w:t>Clinical Manifestations</w:t>
            </w:r>
          </w:p>
        </w:tc>
      </w:tr>
      <w:tr w:rsidR="00872A4C" w:rsidRPr="00876C2D" w14:paraId="6CF39F72" w14:textId="77777777" w:rsidTr="00872A4C">
        <w:tc>
          <w:tcPr>
            <w:tcW w:w="0" w:type="auto"/>
            <w:hideMark/>
          </w:tcPr>
          <w:p w14:paraId="21C8737C"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Brain / Cerebral Vasculature</w:t>
            </w:r>
          </w:p>
        </w:tc>
        <w:tc>
          <w:tcPr>
            <w:tcW w:w="0" w:type="auto"/>
            <w:hideMark/>
          </w:tcPr>
          <w:p w14:paraId="22032973"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Endothelial activation, microvascular stasis, inflammation</w:t>
            </w:r>
          </w:p>
        </w:tc>
        <w:tc>
          <w:tcPr>
            <w:tcW w:w="0" w:type="auto"/>
            <w:hideMark/>
          </w:tcPr>
          <w:p w14:paraId="6E59EC9A"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Influences systemic inflammation and neurohumoral regulation; affected by pulmonary and hematologic stress</w:t>
            </w:r>
          </w:p>
        </w:tc>
        <w:tc>
          <w:tcPr>
            <w:tcW w:w="0" w:type="auto"/>
            <w:hideMark/>
          </w:tcPr>
          <w:p w14:paraId="0AD6C942"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Stroke, silent cerebral infarcts, cognitive impairment</w:t>
            </w:r>
          </w:p>
        </w:tc>
      </w:tr>
      <w:tr w:rsidR="00872A4C" w:rsidRPr="00876C2D" w14:paraId="4339D0CD" w14:textId="77777777" w:rsidTr="00872A4C">
        <w:tc>
          <w:tcPr>
            <w:tcW w:w="0" w:type="auto"/>
            <w:hideMark/>
          </w:tcPr>
          <w:p w14:paraId="5938DAA3"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Lungs / Pulmonary Circulation</w:t>
            </w:r>
          </w:p>
        </w:tc>
        <w:tc>
          <w:tcPr>
            <w:tcW w:w="0" w:type="auto"/>
            <w:hideMark/>
          </w:tcPr>
          <w:p w14:paraId="752893BA"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Nitric oxide depletion, vascular remodeling, inflammation</w:t>
            </w:r>
          </w:p>
        </w:tc>
        <w:tc>
          <w:tcPr>
            <w:tcW w:w="0" w:type="auto"/>
            <w:hideMark/>
          </w:tcPr>
          <w:p w14:paraId="30B831B8"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Contributes to right heart strain; interacts with renal and systemic vascular networks</w:t>
            </w:r>
          </w:p>
        </w:tc>
        <w:tc>
          <w:tcPr>
            <w:tcW w:w="0" w:type="auto"/>
            <w:hideMark/>
          </w:tcPr>
          <w:p w14:paraId="25583018"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Pulmonary hypertension, acute chest syndrome, hypoxia</w:t>
            </w:r>
          </w:p>
        </w:tc>
      </w:tr>
      <w:tr w:rsidR="00872A4C" w:rsidRPr="00876C2D" w14:paraId="61D9C690" w14:textId="77777777" w:rsidTr="00872A4C">
        <w:tc>
          <w:tcPr>
            <w:tcW w:w="0" w:type="auto"/>
            <w:hideMark/>
          </w:tcPr>
          <w:p w14:paraId="1C0C1846"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Heart / Cardiovascular System</w:t>
            </w:r>
          </w:p>
        </w:tc>
        <w:tc>
          <w:tcPr>
            <w:tcW w:w="0" w:type="auto"/>
            <w:hideMark/>
          </w:tcPr>
          <w:p w14:paraId="170BFA11"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Chronic volume overload, ischemia-reperfusion injury, vascular stiffness</w:t>
            </w:r>
          </w:p>
        </w:tc>
        <w:tc>
          <w:tcPr>
            <w:tcW w:w="0" w:type="auto"/>
            <w:hideMark/>
          </w:tcPr>
          <w:p w14:paraId="41852056"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Interacts with pulmonary and renal function; influenced by systemic inflammation</w:t>
            </w:r>
          </w:p>
        </w:tc>
        <w:tc>
          <w:tcPr>
            <w:tcW w:w="0" w:type="auto"/>
            <w:hideMark/>
          </w:tcPr>
          <w:p w14:paraId="2B366BFE"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Cardiomyopathy, heart failure, arrhythmias</w:t>
            </w:r>
          </w:p>
        </w:tc>
      </w:tr>
      <w:tr w:rsidR="00872A4C" w:rsidRPr="00876C2D" w14:paraId="4316D7CB" w14:textId="77777777" w:rsidTr="00872A4C">
        <w:tc>
          <w:tcPr>
            <w:tcW w:w="0" w:type="auto"/>
            <w:hideMark/>
          </w:tcPr>
          <w:p w14:paraId="7AA3739A"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lastRenderedPageBreak/>
              <w:t>Kidneys / Renal System</w:t>
            </w:r>
          </w:p>
        </w:tc>
        <w:tc>
          <w:tcPr>
            <w:tcW w:w="0" w:type="auto"/>
            <w:hideMark/>
          </w:tcPr>
          <w:p w14:paraId="6B96CD5C"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Hypoxia, oxidative stress, endothelial dysfunction, hyperfiltration</w:t>
            </w:r>
          </w:p>
        </w:tc>
        <w:tc>
          <w:tcPr>
            <w:tcW w:w="0" w:type="auto"/>
            <w:hideMark/>
          </w:tcPr>
          <w:p w14:paraId="13512A5A"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Alters fluid, electrolyte, and erythropoietic balance affecting heart and vasculature</w:t>
            </w:r>
          </w:p>
        </w:tc>
        <w:tc>
          <w:tcPr>
            <w:tcW w:w="0" w:type="auto"/>
            <w:hideMark/>
          </w:tcPr>
          <w:p w14:paraId="2BD26FC6"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Nephropathy, proteinuria, chronic kidney disease</w:t>
            </w:r>
          </w:p>
        </w:tc>
      </w:tr>
      <w:tr w:rsidR="00872A4C" w:rsidRPr="00876C2D" w14:paraId="6E67E999" w14:textId="77777777" w:rsidTr="00872A4C">
        <w:tc>
          <w:tcPr>
            <w:tcW w:w="0" w:type="auto"/>
            <w:hideMark/>
          </w:tcPr>
          <w:p w14:paraId="5E6170EB"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Musculoskeletal / Bone Marrow</w:t>
            </w:r>
          </w:p>
        </w:tc>
        <w:tc>
          <w:tcPr>
            <w:tcW w:w="0" w:type="auto"/>
            <w:hideMark/>
          </w:tcPr>
          <w:p w14:paraId="5B35CFF8"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Ischemia, infarction, marrow necrosis, local inflammation</w:t>
            </w:r>
          </w:p>
        </w:tc>
        <w:tc>
          <w:tcPr>
            <w:tcW w:w="0" w:type="auto"/>
            <w:hideMark/>
          </w:tcPr>
          <w:p w14:paraId="3A784CD0"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Releases inflammatory mediators affecting systemic vascular and immune networks</w:t>
            </w:r>
          </w:p>
        </w:tc>
        <w:tc>
          <w:tcPr>
            <w:tcW w:w="0" w:type="auto"/>
            <w:hideMark/>
          </w:tcPr>
          <w:p w14:paraId="34279ABC"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Bone pain, avascular necrosis, chronic pain syndromes</w:t>
            </w:r>
          </w:p>
        </w:tc>
      </w:tr>
      <w:tr w:rsidR="00872A4C" w:rsidRPr="00876C2D" w14:paraId="1B21AD8F" w14:textId="77777777" w:rsidTr="00872A4C">
        <w:tc>
          <w:tcPr>
            <w:tcW w:w="0" w:type="auto"/>
            <w:hideMark/>
          </w:tcPr>
          <w:p w14:paraId="2379817A"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Systemic Circulation / Vasculature</w:t>
            </w:r>
          </w:p>
        </w:tc>
        <w:tc>
          <w:tcPr>
            <w:tcW w:w="0" w:type="auto"/>
            <w:hideMark/>
          </w:tcPr>
          <w:p w14:paraId="0768F892"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Hemolysis, endothelial dysfunction, oxidative stress, inflammation</w:t>
            </w:r>
          </w:p>
        </w:tc>
        <w:tc>
          <w:tcPr>
            <w:tcW w:w="0" w:type="auto"/>
            <w:hideMark/>
          </w:tcPr>
          <w:p w14:paraId="6114A4F2"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Integrates signals from all organs; amplifies organ-specific injury</w:t>
            </w:r>
          </w:p>
        </w:tc>
        <w:tc>
          <w:tcPr>
            <w:tcW w:w="0" w:type="auto"/>
            <w:hideMark/>
          </w:tcPr>
          <w:p w14:paraId="7008C2AF"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Vaso-occlusive crises, hypertension, coagulopathy</w:t>
            </w:r>
          </w:p>
        </w:tc>
      </w:tr>
    </w:tbl>
    <w:p w14:paraId="760C15B2" w14:textId="77777777" w:rsidR="00872A4C" w:rsidRPr="00876C2D" w:rsidRDefault="00872A4C" w:rsidP="00876C2D">
      <w:pPr>
        <w:pStyle w:val="z-BottomofForm"/>
        <w:rPr>
          <w:rFonts w:ascii="Times New Roman" w:hAnsi="Times New Roman" w:cs="Times New Roman"/>
          <w:vanish w:val="0"/>
          <w:sz w:val="24"/>
          <w:szCs w:val="24"/>
        </w:rPr>
      </w:pPr>
      <w:r w:rsidRPr="00876C2D">
        <w:rPr>
          <w:rFonts w:ascii="Times New Roman" w:hAnsi="Times New Roman" w:cs="Times New Roman"/>
          <w:sz w:val="24"/>
          <w:szCs w:val="24"/>
        </w:rPr>
        <w:t>Bottom of Form</w:t>
      </w:r>
    </w:p>
    <w:p w14:paraId="48A94A32" w14:textId="77777777" w:rsidR="00872A4C" w:rsidRPr="00876C2D" w:rsidRDefault="00872A4C" w:rsidP="00876C2D">
      <w:pPr>
        <w:pStyle w:val="Heading3"/>
        <w:spacing w:line="240" w:lineRule="auto"/>
        <w:jc w:val="both"/>
        <w:rPr>
          <w:rFonts w:ascii="Times New Roman" w:hAnsi="Times New Roman" w:cs="Times New Roman"/>
          <w:color w:val="auto"/>
        </w:rPr>
      </w:pPr>
      <w:r w:rsidRPr="00876C2D">
        <w:rPr>
          <w:rStyle w:val="Strong"/>
          <w:rFonts w:ascii="Times New Roman" w:hAnsi="Times New Roman" w:cs="Times New Roman"/>
          <w:bCs w:val="0"/>
          <w:color w:val="auto"/>
        </w:rPr>
        <w:t>Implications for Biomarker Discovery and Precision Medicine</w:t>
      </w:r>
    </w:p>
    <w:p w14:paraId="219035CF" w14:textId="77777777" w:rsidR="00872A4C" w:rsidRPr="00876C2D" w:rsidRDefault="00872A4C" w:rsidP="00876C2D">
      <w:pPr>
        <w:pStyle w:val="NormalWeb"/>
        <w:jc w:val="both"/>
      </w:pPr>
      <w:r w:rsidRPr="00876C2D">
        <w:t>The recognition of sickle cell anemia as a complex, multisystem disorder has profound implications for biomarker discovery and the advancement of precision medicine. Traditional biomarkers in sickle cell disease have largely focused on single laboratory parameters reflecting hemolysis, anemia, or acute inflammation. While clinically useful, these markers provide limited insight into the dynamic and interconnected biological processes that drive disease heterogeneity and long-term outcomes. Systems biology offers a transformative framework for identifying biomarkers that capture the integrated behavior of pathological networks rather than isolated disease components</w:t>
      </w:r>
      <w:r w:rsidR="00876C2D" w:rsidRPr="00876C2D">
        <w:t xml:space="preserve"> [61]</w:t>
      </w:r>
      <w:r w:rsidRPr="00876C2D">
        <w:t>.</w:t>
      </w:r>
      <w:r w:rsidR="00876C2D" w:rsidRPr="00876C2D">
        <w:t xml:space="preserve"> </w:t>
      </w:r>
      <w:r w:rsidRPr="00876C2D">
        <w:t>From a systems perspective, effective biomarkers in sickle cell anemia should reflect the collective state of erythrocyte function, endothelial integrity, immune activation, and metabolic balance. Multi-omics approaches enable the identification of molecular signatures that integrate information across these domains. Network-based analyses reveal that combinations of genes, proteins, metabolites, and cytokines can more accurately stratify patients by disease severity, complication risk, and therapeutic responsiveness than single markers alone. These composite biomarkers reflect underlying network activity and provide a more faithful representation of disease biology</w:t>
      </w:r>
      <w:r w:rsidR="00876C2D" w:rsidRPr="00876C2D">
        <w:t xml:space="preserve"> [62]</w:t>
      </w:r>
      <w:r w:rsidRPr="00876C2D">
        <w:t>.</w:t>
      </w:r>
    </w:p>
    <w:p w14:paraId="346D1147" w14:textId="77777777" w:rsidR="00872A4C" w:rsidRPr="00876C2D" w:rsidRDefault="00872A4C" w:rsidP="00876C2D">
      <w:pPr>
        <w:pStyle w:val="NormalWeb"/>
        <w:jc w:val="both"/>
      </w:pPr>
      <w:r w:rsidRPr="00876C2D">
        <w:t>Systems biology also facilitates the identification of early indicators of organ-specific injury before irreversible damage occurs. For example, subtle shifts in endothelial activation profiles, inflammatory network connectivity, or metabolic pathway fluxes may precede clinically apparent pulmonary, renal, or cerebral complications. By detecting these early network perturbations, systems-informed biomarkers offer opportunities for preemptive intervention and personalized monitoring strategies tailored to individual risk profiles</w:t>
      </w:r>
      <w:r w:rsidR="00876C2D" w:rsidRPr="00876C2D">
        <w:t xml:space="preserve"> [63]</w:t>
      </w:r>
      <w:r w:rsidRPr="00876C2D">
        <w:t>.</w:t>
      </w:r>
      <w:r w:rsidR="00876C2D" w:rsidRPr="00876C2D">
        <w:t xml:space="preserve"> </w:t>
      </w:r>
      <w:r w:rsidRPr="00876C2D">
        <w:t>Precision medicine in sickle cell anemia extends beyond genetic correction of the β-globin mutation. While gene therapy and genome editing hold curative promise, systems biology underscores the importance of addressing residual network dysfunction that may persist even after hemoglobin polymerization is corrected. Biomarkers that track inflammation, vascular health, and immune regulation remain essential for evaluating treatment efficacy and guiding adjunctive therapies aimed at restoring systemic homeostasis</w:t>
      </w:r>
      <w:r w:rsidR="00876C2D" w:rsidRPr="00876C2D">
        <w:t xml:space="preserve"> [64]</w:t>
      </w:r>
      <w:r w:rsidRPr="00876C2D">
        <w:t>.</w:t>
      </w:r>
    </w:p>
    <w:p w14:paraId="573CAAC8" w14:textId="77777777" w:rsidR="00872A4C" w:rsidRPr="00876C2D" w:rsidRDefault="00872A4C" w:rsidP="00876C2D">
      <w:pPr>
        <w:pStyle w:val="NormalWeb"/>
        <w:jc w:val="both"/>
      </w:pPr>
      <w:r w:rsidRPr="00876C2D">
        <w:lastRenderedPageBreak/>
        <w:t>Systems-level biomarkers can inform therapeutic targeting by identifying key regulatory nodes within pathological networks. Rather than indiscriminately suppressing inflammation or coagulation, precision interventions can be directed toward pathways that exert disproportionate influence over network behavior. This approach increases the likelihood of achieving meaningful clinical benefit while minimizing unintended effects on compensatory mechanisms</w:t>
      </w:r>
      <w:r w:rsidR="00876C2D" w:rsidRPr="00876C2D">
        <w:t xml:space="preserve"> [65]</w:t>
      </w:r>
      <w:r w:rsidRPr="00876C2D">
        <w:t>.</w:t>
      </w:r>
      <w:r w:rsidR="00876C2D" w:rsidRPr="00876C2D">
        <w:t xml:space="preserve"> </w:t>
      </w:r>
      <w:r w:rsidRPr="00876C2D">
        <w:t>The integration of systems biology into precision medicine also supports individualized treatment selection and optimization. Patients with similar clinical presentations may exhibit distinct underlying network signatures, explaining variable responses to standard therapies. By aligning therapeutic strategies with patient-specific biological profiles, clinicians can move toward more rational, adaptive, and effective care models</w:t>
      </w:r>
      <w:r w:rsidR="00677C95" w:rsidRPr="00876C2D">
        <w:t xml:space="preserve"> (Figure 1)</w:t>
      </w:r>
      <w:r w:rsidR="00876C2D" w:rsidRPr="00876C2D">
        <w:t xml:space="preserve"> [66]</w:t>
      </w:r>
      <w:r w:rsidRPr="00876C2D">
        <w:t>.</w:t>
      </w:r>
    </w:p>
    <w:p w14:paraId="4D709A44" w14:textId="77777777" w:rsidR="00677C95" w:rsidRPr="00876C2D" w:rsidRDefault="00677C95" w:rsidP="00876C2D">
      <w:pPr>
        <w:pStyle w:val="Heading3"/>
        <w:spacing w:line="240" w:lineRule="auto"/>
        <w:jc w:val="both"/>
        <w:rPr>
          <w:rStyle w:val="Strong"/>
          <w:rFonts w:ascii="Times New Roman" w:hAnsi="Times New Roman" w:cs="Times New Roman"/>
          <w:bCs w:val="0"/>
          <w:color w:val="auto"/>
        </w:rPr>
      </w:pPr>
      <w:r w:rsidRPr="00876C2D">
        <w:rPr>
          <w:rStyle w:val="Strong"/>
          <w:rFonts w:ascii="Times New Roman" w:hAnsi="Times New Roman" w:cs="Times New Roman"/>
          <w:bCs w:val="0"/>
          <w:noProof/>
          <w:color w:val="auto"/>
        </w:rPr>
        <w:drawing>
          <wp:inline distT="0" distB="0" distL="0" distR="0" wp14:anchorId="76A54BB0" wp14:editId="3E55A7D5">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62400"/>
                    </a:xfrm>
                    <a:prstGeom prst="rect">
                      <a:avLst/>
                    </a:prstGeom>
                  </pic:spPr>
                </pic:pic>
              </a:graphicData>
            </a:graphic>
          </wp:inline>
        </w:drawing>
      </w:r>
    </w:p>
    <w:p w14:paraId="73DAF3D9" w14:textId="77777777" w:rsidR="00677C95" w:rsidRPr="00876C2D" w:rsidRDefault="00677C95" w:rsidP="00876C2D">
      <w:pPr>
        <w:pStyle w:val="Heading3"/>
        <w:spacing w:line="240" w:lineRule="auto"/>
        <w:jc w:val="both"/>
        <w:rPr>
          <w:rFonts w:ascii="Times New Roman" w:hAnsi="Times New Roman" w:cs="Times New Roman"/>
          <w:color w:val="auto"/>
        </w:rPr>
      </w:pPr>
      <w:r w:rsidRPr="00876C2D">
        <w:rPr>
          <w:rStyle w:val="Strong"/>
          <w:rFonts w:ascii="Times New Roman" w:hAnsi="Times New Roman" w:cs="Times New Roman"/>
          <w:bCs w:val="0"/>
          <w:color w:val="auto"/>
        </w:rPr>
        <w:t>Figure 1: Implications for Biomarker Discovery and Precision Medicine</w:t>
      </w:r>
    </w:p>
    <w:p w14:paraId="31C9C12C" w14:textId="77777777" w:rsidR="00677C95" w:rsidRPr="00876C2D" w:rsidRDefault="00677C95" w:rsidP="00876C2D">
      <w:pPr>
        <w:spacing w:line="240" w:lineRule="auto"/>
        <w:rPr>
          <w:rFonts w:ascii="Times New Roman" w:hAnsi="Times New Roman" w:cs="Times New Roman"/>
          <w:sz w:val="24"/>
          <w:szCs w:val="24"/>
        </w:rPr>
      </w:pPr>
    </w:p>
    <w:p w14:paraId="240479D8" w14:textId="77777777" w:rsidR="008A2E4A" w:rsidRPr="00876C2D" w:rsidRDefault="008A2E4A" w:rsidP="00876C2D">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76C2D">
        <w:rPr>
          <w:rFonts w:ascii="Times New Roman" w:eastAsia="Times New Roman" w:hAnsi="Times New Roman" w:cs="Times New Roman"/>
          <w:b/>
          <w:bCs/>
          <w:sz w:val="24"/>
          <w:szCs w:val="24"/>
        </w:rPr>
        <w:t>Conclusion</w:t>
      </w:r>
    </w:p>
    <w:p w14:paraId="5AC32A89" w14:textId="77777777" w:rsidR="00872A4C" w:rsidRDefault="00872A4C" w:rsidP="00876C2D">
      <w:pPr>
        <w:pStyle w:val="NormalWeb"/>
        <w:jc w:val="both"/>
      </w:pPr>
      <w:r w:rsidRPr="00876C2D">
        <w:t>Sickle cell anemia is far more than a disorder of hemoglobin polymerization; it is a dynamic, multisystem disease shaped by the complex interplay of erythrocyte dysfunction, endothelial activation, immune dysregulation, oxidative stress, and organ crosstalk. Systems biology provides a unifying framework to understand this complexity, revealing how molecular and cellular disturbances propagate across tissues and organs to produce the heterogeneous clinical manifestations observed in patients. By moving beyond a reductionist, hemoglobin-centric model, this perspective highlights the critical role of network-level interactions in driving disease progression, complications, and variability in therapeutic response. Furthermore, systems-</w:t>
      </w:r>
      <w:r w:rsidRPr="00876C2D">
        <w:lastRenderedPageBreak/>
        <w:t>informed approaches facilitate the identification of integrated biomarkers, the mapping of disease-modifying pathways, and the rational design of precision medicine strategies. Ultimately, embracing a systems biology paradigm not only deepens our mechanistic understanding of sickle cell anemia but also paves the way for holistic, individualized, and more effective interventions aimed at improving patient outcomes across the lifespan.</w:t>
      </w:r>
    </w:p>
    <w:p w14:paraId="34E9830F" w14:textId="77777777" w:rsidR="00F53858" w:rsidRDefault="00F53858" w:rsidP="00876C2D">
      <w:pPr>
        <w:pStyle w:val="NormalWeb"/>
        <w:jc w:val="both"/>
      </w:pPr>
    </w:p>
    <w:p w14:paraId="282EE21A" w14:textId="77777777" w:rsidR="00F53858" w:rsidRDefault="00F53858" w:rsidP="00F53858">
      <w:pPr>
        <w:pStyle w:val="NormalWeb"/>
        <w:jc w:val="both"/>
      </w:pPr>
      <w:r>
        <w:t>COMPETING INTERESTS DISCLAIMER:</w:t>
      </w:r>
    </w:p>
    <w:p w14:paraId="5A14072B" w14:textId="29A4D384" w:rsidR="00F53858" w:rsidRDefault="00F53858" w:rsidP="00F53858">
      <w:pPr>
        <w:pStyle w:val="NormalWeb"/>
        <w:jc w:val="both"/>
      </w:pPr>
      <w:r>
        <w:t>Authors have declared that they have no known competing financial interests OR non-financial interests OR personal relationships that could have appeared to influence the work reported in this paper.</w:t>
      </w:r>
    </w:p>
    <w:p w14:paraId="0AE4F602" w14:textId="77777777" w:rsidR="00F53858" w:rsidRPr="00876C2D" w:rsidRDefault="00F53858" w:rsidP="00876C2D">
      <w:pPr>
        <w:pStyle w:val="NormalWeb"/>
        <w:jc w:val="both"/>
      </w:pPr>
    </w:p>
    <w:p w14:paraId="0C43A629" w14:textId="77777777" w:rsidR="00876C2D" w:rsidRPr="00876C2D" w:rsidRDefault="00876C2D" w:rsidP="00876C2D">
      <w:pPr>
        <w:spacing w:line="240" w:lineRule="auto"/>
        <w:jc w:val="both"/>
        <w:rPr>
          <w:rFonts w:ascii="Times New Roman" w:hAnsi="Times New Roman" w:cs="Times New Roman"/>
          <w:b/>
          <w:sz w:val="24"/>
          <w:szCs w:val="24"/>
        </w:rPr>
      </w:pPr>
      <w:r w:rsidRPr="00876C2D">
        <w:rPr>
          <w:rFonts w:ascii="Times New Roman" w:hAnsi="Times New Roman" w:cs="Times New Roman"/>
          <w:b/>
          <w:sz w:val="24"/>
          <w:szCs w:val="24"/>
        </w:rPr>
        <w:t>References</w:t>
      </w:r>
    </w:p>
    <w:p w14:paraId="1A4A24F3"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Grosse, S. D., Odame, I., Atrash, H. K., </w:t>
      </w:r>
      <w:proofErr w:type="spellStart"/>
      <w:r w:rsidRPr="00876C2D">
        <w:rPr>
          <w:rFonts w:ascii="Times New Roman" w:eastAsia="Times New Roman" w:hAnsi="Times New Roman" w:cs="Times New Roman"/>
          <w:sz w:val="24"/>
          <w:szCs w:val="24"/>
        </w:rPr>
        <w:t>Amendah</w:t>
      </w:r>
      <w:proofErr w:type="spellEnd"/>
      <w:r w:rsidRPr="00876C2D">
        <w:rPr>
          <w:rFonts w:ascii="Times New Roman" w:eastAsia="Times New Roman" w:hAnsi="Times New Roman" w:cs="Times New Roman"/>
          <w:sz w:val="24"/>
          <w:szCs w:val="24"/>
        </w:rPr>
        <w:t xml:space="preserve">, D. D., Piel, F. B., &amp; Williams, T. N. (2011). Sickle cell disease in Africa: a neglected cause of early childhood mortality. </w:t>
      </w:r>
      <w:r w:rsidRPr="00876C2D">
        <w:rPr>
          <w:rFonts w:ascii="Times New Roman" w:eastAsia="Times New Roman" w:hAnsi="Times New Roman" w:cs="Times New Roman"/>
          <w:i/>
          <w:iCs/>
          <w:sz w:val="24"/>
          <w:szCs w:val="24"/>
        </w:rPr>
        <w:t>American journal of preventive medicine</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41</w:t>
      </w:r>
      <w:r w:rsidRPr="00876C2D">
        <w:rPr>
          <w:rFonts w:ascii="Times New Roman" w:eastAsia="Times New Roman" w:hAnsi="Times New Roman" w:cs="Times New Roman"/>
          <w:sz w:val="24"/>
          <w:szCs w:val="24"/>
        </w:rPr>
        <w:t xml:space="preserve">(6 Suppl 4), S398–S405. </w:t>
      </w:r>
      <w:hyperlink r:id="rId8" w:history="1">
        <w:r w:rsidRPr="00876C2D">
          <w:rPr>
            <w:rStyle w:val="Hyperlink"/>
            <w:rFonts w:ascii="Times New Roman" w:eastAsia="Times New Roman" w:hAnsi="Times New Roman" w:cs="Times New Roman"/>
            <w:sz w:val="24"/>
            <w:szCs w:val="24"/>
          </w:rPr>
          <w:t>https://doi.org/10.1016/j.amepre.2011.09.013</w:t>
        </w:r>
      </w:hyperlink>
    </w:p>
    <w:p w14:paraId="29783EA4"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Adigwe</w:t>
      </w:r>
      <w:proofErr w:type="spellEnd"/>
      <w:r w:rsidRPr="00876C2D">
        <w:rPr>
          <w:rFonts w:ascii="Times New Roman" w:eastAsia="Times New Roman" w:hAnsi="Times New Roman" w:cs="Times New Roman"/>
          <w:sz w:val="24"/>
          <w:szCs w:val="24"/>
        </w:rPr>
        <w:t xml:space="preserve">, O. P., Onoja, S. O., &amp; </w:t>
      </w:r>
      <w:proofErr w:type="spellStart"/>
      <w:r w:rsidRPr="00876C2D">
        <w:rPr>
          <w:rFonts w:ascii="Times New Roman" w:eastAsia="Times New Roman" w:hAnsi="Times New Roman" w:cs="Times New Roman"/>
          <w:sz w:val="24"/>
          <w:szCs w:val="24"/>
        </w:rPr>
        <w:t>Onavbavba</w:t>
      </w:r>
      <w:proofErr w:type="spellEnd"/>
      <w:r w:rsidRPr="00876C2D">
        <w:rPr>
          <w:rFonts w:ascii="Times New Roman" w:eastAsia="Times New Roman" w:hAnsi="Times New Roman" w:cs="Times New Roman"/>
          <w:sz w:val="24"/>
          <w:szCs w:val="24"/>
        </w:rPr>
        <w:t xml:space="preserve">, G. (2023). A Critical Review of Sickle Cell Disease Burden and Challenges in Sub-Saharan Africa. </w:t>
      </w:r>
      <w:r w:rsidRPr="00876C2D">
        <w:rPr>
          <w:rFonts w:ascii="Times New Roman" w:eastAsia="Times New Roman" w:hAnsi="Times New Roman" w:cs="Times New Roman"/>
          <w:i/>
          <w:iCs/>
          <w:sz w:val="24"/>
          <w:szCs w:val="24"/>
        </w:rPr>
        <w:t>Journal of blood medicine</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14</w:t>
      </w:r>
      <w:r w:rsidRPr="00876C2D">
        <w:rPr>
          <w:rFonts w:ascii="Times New Roman" w:eastAsia="Times New Roman" w:hAnsi="Times New Roman" w:cs="Times New Roman"/>
          <w:sz w:val="24"/>
          <w:szCs w:val="24"/>
        </w:rPr>
        <w:t>, 367–376. https://doi.org/10.2147/JBM.S406196</w:t>
      </w:r>
    </w:p>
    <w:p w14:paraId="0507F48C"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Obeagu</w:t>
      </w:r>
      <w:proofErr w:type="spellEnd"/>
      <w:r w:rsidRPr="00876C2D">
        <w:rPr>
          <w:rFonts w:ascii="Times New Roman" w:eastAsia="Times New Roman" w:hAnsi="Times New Roman" w:cs="Times New Roman"/>
          <w:sz w:val="24"/>
          <w:szCs w:val="24"/>
        </w:rPr>
        <w:t xml:space="preserve">, E. I., &amp; </w:t>
      </w:r>
      <w:proofErr w:type="spellStart"/>
      <w:r w:rsidRPr="00876C2D">
        <w:rPr>
          <w:rFonts w:ascii="Times New Roman" w:eastAsia="Times New Roman" w:hAnsi="Times New Roman" w:cs="Times New Roman"/>
          <w:sz w:val="24"/>
          <w:szCs w:val="24"/>
        </w:rPr>
        <w:t>Olateju</w:t>
      </w:r>
      <w:proofErr w:type="spellEnd"/>
      <w:r w:rsidRPr="00876C2D">
        <w:rPr>
          <w:rFonts w:ascii="Times New Roman" w:eastAsia="Times New Roman" w:hAnsi="Times New Roman" w:cs="Times New Roman"/>
          <w:sz w:val="24"/>
          <w:szCs w:val="24"/>
        </w:rPr>
        <w:t xml:space="preserve">, O. R. (2025). Integrating sickle cell disease care into primary healthcare in Uganda: a narrative review. </w:t>
      </w:r>
      <w:r w:rsidRPr="00876C2D">
        <w:rPr>
          <w:rFonts w:ascii="Times New Roman" w:eastAsia="Times New Roman" w:hAnsi="Times New Roman" w:cs="Times New Roman"/>
          <w:i/>
          <w:iCs/>
          <w:sz w:val="24"/>
          <w:szCs w:val="24"/>
        </w:rPr>
        <w:t>Annals of medicine and surgery (2012)</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87</w:t>
      </w:r>
      <w:r w:rsidRPr="00876C2D">
        <w:rPr>
          <w:rFonts w:ascii="Times New Roman" w:eastAsia="Times New Roman" w:hAnsi="Times New Roman" w:cs="Times New Roman"/>
          <w:sz w:val="24"/>
          <w:szCs w:val="24"/>
        </w:rPr>
        <w:t>(9), 5918–5924. https://doi.org/10.1097/MS9.0000000000003713</w:t>
      </w:r>
    </w:p>
    <w:p w14:paraId="1D3D3F9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Nelson, M., Noisette, L., Pugh, N., </w:t>
      </w:r>
      <w:proofErr w:type="spellStart"/>
      <w:r w:rsidRPr="00876C2D">
        <w:rPr>
          <w:rFonts w:ascii="Times New Roman" w:eastAsia="Times New Roman" w:hAnsi="Times New Roman" w:cs="Times New Roman"/>
          <w:sz w:val="24"/>
          <w:szCs w:val="24"/>
        </w:rPr>
        <w:t>Gordeuk</w:t>
      </w:r>
      <w:proofErr w:type="spellEnd"/>
      <w:r w:rsidRPr="00876C2D">
        <w:rPr>
          <w:rFonts w:ascii="Times New Roman" w:eastAsia="Times New Roman" w:hAnsi="Times New Roman" w:cs="Times New Roman"/>
          <w:sz w:val="24"/>
          <w:szCs w:val="24"/>
        </w:rPr>
        <w:t xml:space="preserve">, V., Hsu, L. L., Wun, T., Shah, N., Glassberg, J., </w:t>
      </w:r>
      <w:proofErr w:type="spellStart"/>
      <w:r w:rsidRPr="00876C2D">
        <w:rPr>
          <w:rFonts w:ascii="Times New Roman" w:eastAsia="Times New Roman" w:hAnsi="Times New Roman" w:cs="Times New Roman"/>
          <w:sz w:val="24"/>
          <w:szCs w:val="24"/>
        </w:rPr>
        <w:t>Kutlar</w:t>
      </w:r>
      <w:proofErr w:type="spellEnd"/>
      <w:r w:rsidRPr="00876C2D">
        <w:rPr>
          <w:rFonts w:ascii="Times New Roman" w:eastAsia="Times New Roman" w:hAnsi="Times New Roman" w:cs="Times New Roman"/>
          <w:sz w:val="24"/>
          <w:szCs w:val="24"/>
        </w:rPr>
        <w:t xml:space="preserve">, A., Hankins, J. S., King, A. A., Brambilla, D., &amp; Kanter, J. (2024). The clinical spectrum of </w:t>
      </w:r>
      <w:proofErr w:type="spellStart"/>
      <w:r w:rsidRPr="00876C2D">
        <w:rPr>
          <w:rFonts w:ascii="Times New Roman" w:eastAsia="Times New Roman" w:hAnsi="Times New Roman" w:cs="Times New Roman"/>
          <w:sz w:val="24"/>
          <w:szCs w:val="24"/>
        </w:rPr>
        <w:t>HbSC</w:t>
      </w:r>
      <w:proofErr w:type="spellEnd"/>
      <w:r w:rsidRPr="00876C2D">
        <w:rPr>
          <w:rFonts w:ascii="Times New Roman" w:eastAsia="Times New Roman" w:hAnsi="Times New Roman" w:cs="Times New Roman"/>
          <w:sz w:val="24"/>
          <w:szCs w:val="24"/>
        </w:rPr>
        <w:t xml:space="preserve"> sickle cell disease-not a benign condition. </w:t>
      </w:r>
      <w:r w:rsidRPr="00876C2D">
        <w:rPr>
          <w:rFonts w:ascii="Times New Roman" w:eastAsia="Times New Roman" w:hAnsi="Times New Roman" w:cs="Times New Roman"/>
          <w:i/>
          <w:iCs/>
          <w:sz w:val="24"/>
          <w:szCs w:val="24"/>
        </w:rPr>
        <w:t xml:space="preserve">British journal of </w:t>
      </w:r>
      <w:proofErr w:type="spellStart"/>
      <w:r w:rsidRPr="00876C2D">
        <w:rPr>
          <w:rFonts w:ascii="Times New Roman" w:eastAsia="Times New Roman" w:hAnsi="Times New Roman" w:cs="Times New Roman"/>
          <w:i/>
          <w:iCs/>
          <w:sz w:val="24"/>
          <w:szCs w:val="24"/>
        </w:rPr>
        <w:t>haematology</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205</w:t>
      </w:r>
      <w:r w:rsidRPr="00876C2D">
        <w:rPr>
          <w:rFonts w:ascii="Times New Roman" w:eastAsia="Times New Roman" w:hAnsi="Times New Roman" w:cs="Times New Roman"/>
          <w:sz w:val="24"/>
          <w:szCs w:val="24"/>
        </w:rPr>
        <w:t>(2), 653–663. https://doi.org/10.1111/bjh.19523</w:t>
      </w:r>
    </w:p>
    <w:p w14:paraId="51BDDF3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Saraf, S. L., </w:t>
      </w:r>
      <w:proofErr w:type="spellStart"/>
      <w:r w:rsidRPr="00876C2D">
        <w:rPr>
          <w:rFonts w:ascii="Times New Roman" w:eastAsia="Times New Roman" w:hAnsi="Times New Roman" w:cs="Times New Roman"/>
          <w:sz w:val="24"/>
          <w:szCs w:val="24"/>
        </w:rPr>
        <w:t>Molokie</w:t>
      </w:r>
      <w:proofErr w:type="spellEnd"/>
      <w:r w:rsidRPr="00876C2D">
        <w:rPr>
          <w:rFonts w:ascii="Times New Roman" w:eastAsia="Times New Roman" w:hAnsi="Times New Roman" w:cs="Times New Roman"/>
          <w:sz w:val="24"/>
          <w:szCs w:val="24"/>
        </w:rPr>
        <w:t xml:space="preserve">, R. E., </w:t>
      </w:r>
      <w:proofErr w:type="spellStart"/>
      <w:r w:rsidRPr="00876C2D">
        <w:rPr>
          <w:rFonts w:ascii="Times New Roman" w:eastAsia="Times New Roman" w:hAnsi="Times New Roman" w:cs="Times New Roman"/>
          <w:sz w:val="24"/>
          <w:szCs w:val="24"/>
        </w:rPr>
        <w:t>Nouraie</w:t>
      </w:r>
      <w:proofErr w:type="spellEnd"/>
      <w:r w:rsidRPr="00876C2D">
        <w:rPr>
          <w:rFonts w:ascii="Times New Roman" w:eastAsia="Times New Roman" w:hAnsi="Times New Roman" w:cs="Times New Roman"/>
          <w:sz w:val="24"/>
          <w:szCs w:val="24"/>
        </w:rPr>
        <w:t xml:space="preserve">, M., Sable, C. A., Luchtman-Jones, L., Ensing, G. J., Campbell, A. D., Rana, S. R., Niu, X. M., Machado, R. F., Gladwin, M. T., &amp; </w:t>
      </w:r>
      <w:proofErr w:type="spellStart"/>
      <w:r w:rsidRPr="00876C2D">
        <w:rPr>
          <w:rFonts w:ascii="Times New Roman" w:eastAsia="Times New Roman" w:hAnsi="Times New Roman" w:cs="Times New Roman"/>
          <w:sz w:val="24"/>
          <w:szCs w:val="24"/>
        </w:rPr>
        <w:t>Gordeuk</w:t>
      </w:r>
      <w:proofErr w:type="spellEnd"/>
      <w:r w:rsidRPr="00876C2D">
        <w:rPr>
          <w:rFonts w:ascii="Times New Roman" w:eastAsia="Times New Roman" w:hAnsi="Times New Roman" w:cs="Times New Roman"/>
          <w:sz w:val="24"/>
          <w:szCs w:val="24"/>
        </w:rPr>
        <w:t xml:space="preserve">, V. R. (2014). Differences in the clinical and genotypic presentation of sickle cell disease around the world. </w:t>
      </w:r>
      <w:proofErr w:type="spellStart"/>
      <w:r w:rsidRPr="00876C2D">
        <w:rPr>
          <w:rFonts w:ascii="Times New Roman" w:eastAsia="Times New Roman" w:hAnsi="Times New Roman" w:cs="Times New Roman"/>
          <w:i/>
          <w:iCs/>
          <w:sz w:val="24"/>
          <w:szCs w:val="24"/>
        </w:rPr>
        <w:t>Paediatric</w:t>
      </w:r>
      <w:proofErr w:type="spellEnd"/>
      <w:r w:rsidRPr="00876C2D">
        <w:rPr>
          <w:rFonts w:ascii="Times New Roman" w:eastAsia="Times New Roman" w:hAnsi="Times New Roman" w:cs="Times New Roman"/>
          <w:i/>
          <w:iCs/>
          <w:sz w:val="24"/>
          <w:szCs w:val="24"/>
        </w:rPr>
        <w:t xml:space="preserve"> respiratory reviews</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15</w:t>
      </w:r>
      <w:r w:rsidRPr="00876C2D">
        <w:rPr>
          <w:rFonts w:ascii="Times New Roman" w:eastAsia="Times New Roman" w:hAnsi="Times New Roman" w:cs="Times New Roman"/>
          <w:sz w:val="24"/>
          <w:szCs w:val="24"/>
        </w:rPr>
        <w:t>(1), 4–12. https://doi.org/10.1016/j.prrv.2013.11.003</w:t>
      </w:r>
    </w:p>
    <w:p w14:paraId="7C2A47BA"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Vitorino R. (2024). Transforming Clinical Research: The Power of High-Throughput Omics Integration. </w:t>
      </w:r>
      <w:r w:rsidRPr="00876C2D">
        <w:rPr>
          <w:rFonts w:ascii="Times New Roman" w:eastAsia="Times New Roman" w:hAnsi="Times New Roman" w:cs="Times New Roman"/>
          <w:i/>
          <w:iCs/>
          <w:sz w:val="24"/>
          <w:szCs w:val="24"/>
        </w:rPr>
        <w:t>Proteomes</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12</w:t>
      </w:r>
      <w:r w:rsidRPr="00876C2D">
        <w:rPr>
          <w:rFonts w:ascii="Times New Roman" w:eastAsia="Times New Roman" w:hAnsi="Times New Roman" w:cs="Times New Roman"/>
          <w:sz w:val="24"/>
          <w:szCs w:val="24"/>
        </w:rPr>
        <w:t>(3), 25. https://doi.org/10.3390/proteomes12030025</w:t>
      </w:r>
    </w:p>
    <w:p w14:paraId="7D0EB496"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Goodman, S. R., Pace, B. S., Hansen, K. C., </w:t>
      </w:r>
      <w:proofErr w:type="spellStart"/>
      <w:r w:rsidRPr="00876C2D">
        <w:rPr>
          <w:rFonts w:ascii="Times New Roman" w:eastAsia="Times New Roman" w:hAnsi="Times New Roman" w:cs="Times New Roman"/>
          <w:sz w:val="24"/>
          <w:szCs w:val="24"/>
        </w:rPr>
        <w:t>D'alessandro</w:t>
      </w:r>
      <w:proofErr w:type="spellEnd"/>
      <w:r w:rsidRPr="00876C2D">
        <w:rPr>
          <w:rFonts w:ascii="Times New Roman" w:eastAsia="Times New Roman" w:hAnsi="Times New Roman" w:cs="Times New Roman"/>
          <w:sz w:val="24"/>
          <w:szCs w:val="24"/>
        </w:rPr>
        <w:t xml:space="preserve">, A., Xia, Y., </w:t>
      </w:r>
      <w:proofErr w:type="spellStart"/>
      <w:r w:rsidRPr="00876C2D">
        <w:rPr>
          <w:rFonts w:ascii="Times New Roman" w:eastAsia="Times New Roman" w:hAnsi="Times New Roman" w:cs="Times New Roman"/>
          <w:sz w:val="24"/>
          <w:szCs w:val="24"/>
        </w:rPr>
        <w:t>Daescu</w:t>
      </w:r>
      <w:proofErr w:type="spellEnd"/>
      <w:r w:rsidRPr="00876C2D">
        <w:rPr>
          <w:rFonts w:ascii="Times New Roman" w:eastAsia="Times New Roman" w:hAnsi="Times New Roman" w:cs="Times New Roman"/>
          <w:sz w:val="24"/>
          <w:szCs w:val="24"/>
        </w:rPr>
        <w:t xml:space="preserve">, O., &amp; Glatt, S. J. (2016). Minireview: </w:t>
      </w:r>
      <w:proofErr w:type="spellStart"/>
      <w:r w:rsidRPr="00876C2D">
        <w:rPr>
          <w:rFonts w:ascii="Times New Roman" w:eastAsia="Times New Roman" w:hAnsi="Times New Roman" w:cs="Times New Roman"/>
          <w:sz w:val="24"/>
          <w:szCs w:val="24"/>
        </w:rPr>
        <w:t>Multiomic</w:t>
      </w:r>
      <w:proofErr w:type="spellEnd"/>
      <w:r w:rsidRPr="00876C2D">
        <w:rPr>
          <w:rFonts w:ascii="Times New Roman" w:eastAsia="Times New Roman" w:hAnsi="Times New Roman" w:cs="Times New Roman"/>
          <w:sz w:val="24"/>
          <w:szCs w:val="24"/>
        </w:rPr>
        <w:t xml:space="preserve"> candidate biomarkers for clinical manifestations of sickle cell severity: Early steps to precision medicine. </w:t>
      </w:r>
      <w:r w:rsidRPr="00876C2D">
        <w:rPr>
          <w:rFonts w:ascii="Times New Roman" w:eastAsia="Times New Roman" w:hAnsi="Times New Roman" w:cs="Times New Roman"/>
          <w:i/>
          <w:iCs/>
          <w:sz w:val="24"/>
          <w:szCs w:val="24"/>
        </w:rPr>
        <w:t>Experimental biology and medicine (Maywood, N.J.)</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241</w:t>
      </w:r>
      <w:r w:rsidRPr="00876C2D">
        <w:rPr>
          <w:rFonts w:ascii="Times New Roman" w:eastAsia="Times New Roman" w:hAnsi="Times New Roman" w:cs="Times New Roman"/>
          <w:sz w:val="24"/>
          <w:szCs w:val="24"/>
        </w:rPr>
        <w:t>(7), 772–781. https://doi.org/10.1177/1535370216640150</w:t>
      </w:r>
    </w:p>
    <w:p w14:paraId="3832CEC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Nader, E., Romana, M., &amp; </w:t>
      </w:r>
      <w:proofErr w:type="spellStart"/>
      <w:r w:rsidRPr="00876C2D">
        <w:rPr>
          <w:rFonts w:ascii="Times New Roman" w:eastAsia="Times New Roman" w:hAnsi="Times New Roman" w:cs="Times New Roman"/>
          <w:sz w:val="24"/>
          <w:szCs w:val="24"/>
        </w:rPr>
        <w:t>Connes</w:t>
      </w:r>
      <w:proofErr w:type="spellEnd"/>
      <w:r w:rsidRPr="00876C2D">
        <w:rPr>
          <w:rFonts w:ascii="Times New Roman" w:eastAsia="Times New Roman" w:hAnsi="Times New Roman" w:cs="Times New Roman"/>
          <w:sz w:val="24"/>
          <w:szCs w:val="24"/>
        </w:rPr>
        <w:t xml:space="preserve">, P. (2020). The Red Blood Cell-Inflammation Vicious Circle in Sickle Cell Disease. </w:t>
      </w:r>
      <w:r w:rsidRPr="00876C2D">
        <w:rPr>
          <w:rFonts w:ascii="Times New Roman" w:eastAsia="Times New Roman" w:hAnsi="Times New Roman" w:cs="Times New Roman"/>
          <w:i/>
          <w:iCs/>
          <w:sz w:val="24"/>
          <w:szCs w:val="24"/>
        </w:rPr>
        <w:t>Frontiers in immunology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11</w:t>
      </w:r>
      <w:r w:rsidRPr="00876C2D">
        <w:rPr>
          <w:rFonts w:ascii="Times New Roman" w:eastAsia="Times New Roman" w:hAnsi="Times New Roman" w:cs="Times New Roman"/>
          <w:sz w:val="24"/>
          <w:szCs w:val="24"/>
        </w:rPr>
        <w:t>, 454. https://doi.org/10.3389/fimmu.2020.00454</w:t>
      </w:r>
    </w:p>
    <w:p w14:paraId="1034BFD5"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lastRenderedPageBreak/>
        <w:t xml:space="preserve">Alapan, Y., Matsuyama, Y., Little, J. A., &amp; Gurkan, U. A. (2016). Dynamic deformability of sickle red blood cells in </w:t>
      </w:r>
      <w:proofErr w:type="spellStart"/>
      <w:r w:rsidRPr="00876C2D">
        <w:rPr>
          <w:rFonts w:ascii="Times New Roman" w:eastAsia="Times New Roman" w:hAnsi="Times New Roman" w:cs="Times New Roman"/>
          <w:sz w:val="24"/>
          <w:szCs w:val="24"/>
        </w:rPr>
        <w:t>microphysiological</w:t>
      </w:r>
      <w:proofErr w:type="spellEnd"/>
      <w:r w:rsidRPr="00876C2D">
        <w:rPr>
          <w:rFonts w:ascii="Times New Roman" w:eastAsia="Times New Roman" w:hAnsi="Times New Roman" w:cs="Times New Roman"/>
          <w:sz w:val="24"/>
          <w:szCs w:val="24"/>
        </w:rPr>
        <w:t xml:space="preserve"> flow. </w:t>
      </w:r>
      <w:r w:rsidRPr="00876C2D">
        <w:rPr>
          <w:rFonts w:ascii="Times New Roman" w:eastAsia="Times New Roman" w:hAnsi="Times New Roman" w:cs="Times New Roman"/>
          <w:i/>
          <w:iCs/>
          <w:sz w:val="24"/>
          <w:szCs w:val="24"/>
        </w:rPr>
        <w:t>Technology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4</w:t>
      </w:r>
      <w:r w:rsidRPr="00876C2D">
        <w:rPr>
          <w:rFonts w:ascii="Times New Roman" w:eastAsia="Times New Roman" w:hAnsi="Times New Roman" w:cs="Times New Roman"/>
          <w:sz w:val="24"/>
          <w:szCs w:val="24"/>
        </w:rPr>
        <w:t>(2), 71–79. https://doi.org/10.1142/S2339547816400045</w:t>
      </w:r>
    </w:p>
    <w:p w14:paraId="52AFFFAE"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Theofilis</w:t>
      </w:r>
      <w:proofErr w:type="spellEnd"/>
      <w:r w:rsidRPr="00876C2D">
        <w:rPr>
          <w:rFonts w:ascii="Times New Roman" w:eastAsia="Times New Roman" w:hAnsi="Times New Roman" w:cs="Times New Roman"/>
          <w:sz w:val="24"/>
          <w:szCs w:val="24"/>
        </w:rPr>
        <w:t xml:space="preserve">, P., </w:t>
      </w:r>
      <w:proofErr w:type="spellStart"/>
      <w:r w:rsidRPr="00876C2D">
        <w:rPr>
          <w:rFonts w:ascii="Times New Roman" w:eastAsia="Times New Roman" w:hAnsi="Times New Roman" w:cs="Times New Roman"/>
          <w:sz w:val="24"/>
          <w:szCs w:val="24"/>
        </w:rPr>
        <w:t>Sagris</w:t>
      </w:r>
      <w:proofErr w:type="spellEnd"/>
      <w:r w:rsidRPr="00876C2D">
        <w:rPr>
          <w:rFonts w:ascii="Times New Roman" w:eastAsia="Times New Roman" w:hAnsi="Times New Roman" w:cs="Times New Roman"/>
          <w:sz w:val="24"/>
          <w:szCs w:val="24"/>
        </w:rPr>
        <w:t xml:space="preserve">, M., Oikonomou, E., Antonopoulos, A. S., </w:t>
      </w:r>
      <w:proofErr w:type="spellStart"/>
      <w:r w:rsidRPr="00876C2D">
        <w:rPr>
          <w:rFonts w:ascii="Times New Roman" w:eastAsia="Times New Roman" w:hAnsi="Times New Roman" w:cs="Times New Roman"/>
          <w:sz w:val="24"/>
          <w:szCs w:val="24"/>
        </w:rPr>
        <w:t>Siasos</w:t>
      </w:r>
      <w:proofErr w:type="spellEnd"/>
      <w:r w:rsidRPr="00876C2D">
        <w:rPr>
          <w:rFonts w:ascii="Times New Roman" w:eastAsia="Times New Roman" w:hAnsi="Times New Roman" w:cs="Times New Roman"/>
          <w:sz w:val="24"/>
          <w:szCs w:val="24"/>
        </w:rPr>
        <w:t xml:space="preserve">, G., </w:t>
      </w:r>
      <w:proofErr w:type="spellStart"/>
      <w:r w:rsidRPr="00876C2D">
        <w:rPr>
          <w:rFonts w:ascii="Times New Roman" w:eastAsia="Times New Roman" w:hAnsi="Times New Roman" w:cs="Times New Roman"/>
          <w:sz w:val="24"/>
          <w:szCs w:val="24"/>
        </w:rPr>
        <w:t>Tsioufis</w:t>
      </w:r>
      <w:proofErr w:type="spellEnd"/>
      <w:r w:rsidRPr="00876C2D">
        <w:rPr>
          <w:rFonts w:ascii="Times New Roman" w:eastAsia="Times New Roman" w:hAnsi="Times New Roman" w:cs="Times New Roman"/>
          <w:sz w:val="24"/>
          <w:szCs w:val="24"/>
        </w:rPr>
        <w:t xml:space="preserve">, C., &amp; </w:t>
      </w:r>
      <w:proofErr w:type="spellStart"/>
      <w:r w:rsidRPr="00876C2D">
        <w:rPr>
          <w:rFonts w:ascii="Times New Roman" w:eastAsia="Times New Roman" w:hAnsi="Times New Roman" w:cs="Times New Roman"/>
          <w:sz w:val="24"/>
          <w:szCs w:val="24"/>
        </w:rPr>
        <w:t>Tousoulis</w:t>
      </w:r>
      <w:proofErr w:type="spellEnd"/>
      <w:r w:rsidRPr="00876C2D">
        <w:rPr>
          <w:rFonts w:ascii="Times New Roman" w:eastAsia="Times New Roman" w:hAnsi="Times New Roman" w:cs="Times New Roman"/>
          <w:sz w:val="24"/>
          <w:szCs w:val="24"/>
        </w:rPr>
        <w:t xml:space="preserve">, D. (2021). Inflammatory Mechanisms Contributing to Endothelial Dysfunction. </w:t>
      </w:r>
      <w:r w:rsidRPr="00876C2D">
        <w:rPr>
          <w:rFonts w:ascii="Times New Roman" w:eastAsia="Times New Roman" w:hAnsi="Times New Roman" w:cs="Times New Roman"/>
          <w:i/>
          <w:iCs/>
          <w:sz w:val="24"/>
          <w:szCs w:val="24"/>
        </w:rPr>
        <w:t>Biomedicines</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9</w:t>
      </w:r>
      <w:r w:rsidRPr="00876C2D">
        <w:rPr>
          <w:rFonts w:ascii="Times New Roman" w:eastAsia="Times New Roman" w:hAnsi="Times New Roman" w:cs="Times New Roman"/>
          <w:sz w:val="24"/>
          <w:szCs w:val="24"/>
        </w:rPr>
        <w:t>(7), 781. https://doi.org/10.3390/biomedicines9070781</w:t>
      </w:r>
    </w:p>
    <w:p w14:paraId="44F0A3F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Pluta, W., </w:t>
      </w:r>
      <w:proofErr w:type="spellStart"/>
      <w:r w:rsidRPr="00876C2D">
        <w:rPr>
          <w:rFonts w:ascii="Times New Roman" w:eastAsia="Times New Roman" w:hAnsi="Times New Roman" w:cs="Times New Roman"/>
          <w:sz w:val="24"/>
          <w:szCs w:val="24"/>
        </w:rPr>
        <w:t>Lubkowska</w:t>
      </w:r>
      <w:proofErr w:type="spellEnd"/>
      <w:r w:rsidRPr="00876C2D">
        <w:rPr>
          <w:rFonts w:ascii="Times New Roman" w:eastAsia="Times New Roman" w:hAnsi="Times New Roman" w:cs="Times New Roman"/>
          <w:sz w:val="24"/>
          <w:szCs w:val="24"/>
        </w:rPr>
        <w:t xml:space="preserve">, A., &amp; Dudzińska, W. (2025). Vascular Endothelium in Health and Disease: Structure, Function, Assessment and Role in Metabolic Disorders. </w:t>
      </w:r>
      <w:r w:rsidRPr="00876C2D">
        <w:rPr>
          <w:rFonts w:ascii="Times New Roman" w:eastAsia="Times New Roman" w:hAnsi="Times New Roman" w:cs="Times New Roman"/>
          <w:i/>
          <w:iCs/>
          <w:sz w:val="24"/>
          <w:szCs w:val="24"/>
        </w:rPr>
        <w:t>Vascular health and risk management</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21</w:t>
      </w:r>
      <w:r w:rsidRPr="00876C2D">
        <w:rPr>
          <w:rFonts w:ascii="Times New Roman" w:eastAsia="Times New Roman" w:hAnsi="Times New Roman" w:cs="Times New Roman"/>
          <w:sz w:val="24"/>
          <w:szCs w:val="24"/>
        </w:rPr>
        <w:t>, 729–747. https://doi.org/10.2147/VHRM.S519426</w:t>
      </w:r>
    </w:p>
    <w:p w14:paraId="5ECFB1FE"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Akbarzadeh, R., Humrich, J. Y., Németh, T., &amp; Amber, K. T. (2025). Editorial: Innate immune dysregulation: a driving force of autoimmunity and chronic inflammation. </w:t>
      </w:r>
      <w:r w:rsidRPr="00876C2D">
        <w:rPr>
          <w:rFonts w:ascii="Times New Roman" w:eastAsia="Times New Roman" w:hAnsi="Times New Roman" w:cs="Times New Roman"/>
          <w:i/>
          <w:iCs/>
          <w:sz w:val="24"/>
          <w:szCs w:val="24"/>
        </w:rPr>
        <w:t>Frontiers in immunology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16</w:t>
      </w:r>
      <w:r w:rsidRPr="00876C2D">
        <w:rPr>
          <w:rFonts w:ascii="Times New Roman" w:eastAsia="Times New Roman" w:hAnsi="Times New Roman" w:cs="Times New Roman"/>
          <w:sz w:val="24"/>
          <w:szCs w:val="24"/>
        </w:rPr>
        <w:t>, 1632416. https://doi.org/10.3389/fimmu.2025.1632416</w:t>
      </w:r>
    </w:p>
    <w:p w14:paraId="60EC46F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Isaza-Correa, J., Ryan, L., Kelly, L., Allen, J., Melo, A., Jones, J., Huggard, D., Ryan, E., Ó Maoldomhnaigh, C., Geoghehan, S., Gavin, P., Leahy, T. R., Butler, K., Freyne, B., &amp; Molloy, E. J. (2023). Innate immune dysregulation in multisystem inflammatory syndrome in children (MIS-C). </w:t>
      </w:r>
      <w:r w:rsidRPr="00876C2D">
        <w:rPr>
          <w:rFonts w:ascii="Times New Roman" w:eastAsia="Times New Roman" w:hAnsi="Times New Roman" w:cs="Times New Roman"/>
          <w:i/>
          <w:iCs/>
          <w:sz w:val="24"/>
          <w:szCs w:val="24"/>
        </w:rPr>
        <w:t>Scientific reports</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13</w:t>
      </w:r>
      <w:r w:rsidRPr="00876C2D">
        <w:rPr>
          <w:rFonts w:ascii="Times New Roman" w:eastAsia="Times New Roman" w:hAnsi="Times New Roman" w:cs="Times New Roman"/>
          <w:sz w:val="24"/>
          <w:szCs w:val="24"/>
        </w:rPr>
        <w:t>(1), 16463. https://doi.org/10.1038/s41598-023-43390-6</w:t>
      </w:r>
    </w:p>
    <w:p w14:paraId="636C89CA"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Obeagu</w:t>
      </w:r>
      <w:proofErr w:type="spellEnd"/>
      <w:r w:rsidRPr="00876C2D">
        <w:rPr>
          <w:rFonts w:ascii="Times New Roman" w:eastAsia="Times New Roman" w:hAnsi="Times New Roman" w:cs="Times New Roman"/>
          <w:sz w:val="24"/>
          <w:szCs w:val="24"/>
        </w:rPr>
        <w:t xml:space="preserve"> E. I. (2025). Echocardiographic and platelet markers of cardiovascular strain in sickle cell disease with superimposed preeclampsia: a perspective. </w:t>
      </w:r>
      <w:r w:rsidRPr="00876C2D">
        <w:rPr>
          <w:rFonts w:ascii="Times New Roman" w:eastAsia="Times New Roman" w:hAnsi="Times New Roman" w:cs="Times New Roman"/>
          <w:i/>
          <w:iCs/>
          <w:sz w:val="24"/>
          <w:szCs w:val="24"/>
        </w:rPr>
        <w:t>Annals of medicine and surgery (2012)</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88</w:t>
      </w:r>
      <w:r w:rsidRPr="00876C2D">
        <w:rPr>
          <w:rFonts w:ascii="Times New Roman" w:eastAsia="Times New Roman" w:hAnsi="Times New Roman" w:cs="Times New Roman"/>
          <w:sz w:val="24"/>
          <w:szCs w:val="24"/>
        </w:rPr>
        <w:t>(1), 1166–1170. https://doi.org/10.1097/MS9.0000000000004332</w:t>
      </w:r>
    </w:p>
    <w:p w14:paraId="55EEEC77"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Kalpatthi</w:t>
      </w:r>
      <w:proofErr w:type="spellEnd"/>
      <w:r w:rsidRPr="00876C2D">
        <w:rPr>
          <w:rFonts w:ascii="Times New Roman" w:eastAsia="Times New Roman" w:hAnsi="Times New Roman" w:cs="Times New Roman"/>
          <w:sz w:val="24"/>
          <w:szCs w:val="24"/>
        </w:rPr>
        <w:t xml:space="preserve">, R., &amp; Novelli, E. M. (2018). Measuring success: utility of biomarkers in sickle cell disease clinical trials and care. </w:t>
      </w:r>
      <w:r w:rsidRPr="00876C2D">
        <w:rPr>
          <w:rFonts w:ascii="Times New Roman" w:eastAsia="Times New Roman" w:hAnsi="Times New Roman" w:cs="Times New Roman"/>
          <w:i/>
          <w:iCs/>
          <w:sz w:val="24"/>
          <w:szCs w:val="24"/>
        </w:rPr>
        <w:t>Hematology. American Society of Hematology. Education Program</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2018</w:t>
      </w:r>
      <w:r w:rsidRPr="00876C2D">
        <w:rPr>
          <w:rFonts w:ascii="Times New Roman" w:eastAsia="Times New Roman" w:hAnsi="Times New Roman" w:cs="Times New Roman"/>
          <w:sz w:val="24"/>
          <w:szCs w:val="24"/>
        </w:rPr>
        <w:t>(1), 482–492. https://doi.org/10.1182/asheducation-2018.1.482</w:t>
      </w:r>
    </w:p>
    <w:p w14:paraId="49F26227"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Royal, C. D. M., Babyak, M., Shah, N., Srivatsa, S., Stewart, K. A., Tanabe, P., </w:t>
      </w:r>
      <w:proofErr w:type="spellStart"/>
      <w:r w:rsidRPr="00876C2D">
        <w:rPr>
          <w:rFonts w:ascii="Times New Roman" w:eastAsia="Times New Roman" w:hAnsi="Times New Roman" w:cs="Times New Roman"/>
          <w:sz w:val="24"/>
          <w:szCs w:val="24"/>
        </w:rPr>
        <w:t>Wonkam</w:t>
      </w:r>
      <w:proofErr w:type="spellEnd"/>
      <w:r w:rsidRPr="00876C2D">
        <w:rPr>
          <w:rFonts w:ascii="Times New Roman" w:eastAsia="Times New Roman" w:hAnsi="Times New Roman" w:cs="Times New Roman"/>
          <w:sz w:val="24"/>
          <w:szCs w:val="24"/>
        </w:rPr>
        <w:t xml:space="preserve">, A., &amp; Asnani, M. (2021). Sickle cell disease is a global prototype for integrative research and healthcare. </w:t>
      </w:r>
      <w:r w:rsidRPr="00876C2D">
        <w:rPr>
          <w:rFonts w:ascii="Times New Roman" w:eastAsia="Times New Roman" w:hAnsi="Times New Roman" w:cs="Times New Roman"/>
          <w:i/>
          <w:iCs/>
          <w:sz w:val="24"/>
          <w:szCs w:val="24"/>
        </w:rPr>
        <w:t>Advanced genetics (Hoboken, N.J.)</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w:t>
      </w:r>
      <w:r w:rsidRPr="00876C2D">
        <w:rPr>
          <w:rFonts w:ascii="Times New Roman" w:eastAsia="Times New Roman" w:hAnsi="Times New Roman" w:cs="Times New Roman"/>
          <w:sz w:val="24"/>
          <w:szCs w:val="24"/>
        </w:rPr>
        <w:t>(1), e10037. https://doi.org/10.1002/ggn2.10037</w:t>
      </w:r>
    </w:p>
    <w:p w14:paraId="72AC5299"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Christoph, G. W., Hofrichter, J., &amp; Eaton, W. A. (2005). Understanding the shape of sickled red cells. </w:t>
      </w:r>
      <w:r w:rsidRPr="00876C2D">
        <w:rPr>
          <w:rFonts w:ascii="Times New Roman" w:eastAsia="Times New Roman" w:hAnsi="Times New Roman" w:cs="Times New Roman"/>
          <w:i/>
          <w:iCs/>
          <w:sz w:val="24"/>
          <w:szCs w:val="24"/>
        </w:rPr>
        <w:t>Biophysical journal</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88</w:t>
      </w:r>
      <w:r w:rsidRPr="00876C2D">
        <w:rPr>
          <w:rFonts w:ascii="Times New Roman" w:eastAsia="Times New Roman" w:hAnsi="Times New Roman" w:cs="Times New Roman"/>
          <w:sz w:val="24"/>
          <w:szCs w:val="24"/>
        </w:rPr>
        <w:t>(2), 1371–1376. https://doi.org/10.1529/biophysj.104.051250</w:t>
      </w:r>
    </w:p>
    <w:p w14:paraId="57E9AF04"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Eaton W. A. (2020). Hemoglobin S polymerization and sickle cell disease: A retrospective on the occasion of the 70th anniversary of Pauling's Science paper. </w:t>
      </w:r>
      <w:r w:rsidRPr="00876C2D">
        <w:rPr>
          <w:rFonts w:ascii="Times New Roman" w:eastAsia="Times New Roman" w:hAnsi="Times New Roman" w:cs="Times New Roman"/>
          <w:i/>
          <w:iCs/>
          <w:sz w:val="24"/>
          <w:szCs w:val="24"/>
        </w:rPr>
        <w:t>American journal of hematology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95</w:t>
      </w:r>
      <w:r w:rsidRPr="00876C2D">
        <w:rPr>
          <w:rFonts w:ascii="Times New Roman" w:eastAsia="Times New Roman" w:hAnsi="Times New Roman" w:cs="Times New Roman"/>
          <w:sz w:val="24"/>
          <w:szCs w:val="24"/>
        </w:rPr>
        <w:t>(2), 205–211. https://doi.org/10.1002/ajh.25687</w:t>
      </w:r>
    </w:p>
    <w:p w14:paraId="3AEC1AF9"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Taher, M., Aminondin, S., Nasir, N. A., </w:t>
      </w:r>
      <w:proofErr w:type="spellStart"/>
      <w:r w:rsidRPr="00876C2D">
        <w:rPr>
          <w:rFonts w:ascii="Times New Roman" w:eastAsia="Times New Roman" w:hAnsi="Times New Roman" w:cs="Times New Roman"/>
          <w:sz w:val="24"/>
          <w:szCs w:val="24"/>
        </w:rPr>
        <w:t>Jasmadi</w:t>
      </w:r>
      <w:proofErr w:type="spellEnd"/>
      <w:r w:rsidRPr="00876C2D">
        <w:rPr>
          <w:rFonts w:ascii="Times New Roman" w:eastAsia="Times New Roman" w:hAnsi="Times New Roman" w:cs="Times New Roman"/>
          <w:sz w:val="24"/>
          <w:szCs w:val="24"/>
        </w:rPr>
        <w:t xml:space="preserve">, N. A., Nizam, N. I. N., </w:t>
      </w:r>
      <w:proofErr w:type="spellStart"/>
      <w:r w:rsidRPr="00876C2D">
        <w:rPr>
          <w:rFonts w:ascii="Times New Roman" w:eastAsia="Times New Roman" w:hAnsi="Times New Roman" w:cs="Times New Roman"/>
          <w:sz w:val="24"/>
          <w:szCs w:val="24"/>
        </w:rPr>
        <w:t>Shahrul</w:t>
      </w:r>
      <w:proofErr w:type="spellEnd"/>
      <w:r w:rsidRPr="00876C2D">
        <w:rPr>
          <w:rFonts w:ascii="Times New Roman" w:eastAsia="Times New Roman" w:hAnsi="Times New Roman" w:cs="Times New Roman"/>
          <w:sz w:val="24"/>
          <w:szCs w:val="24"/>
        </w:rPr>
        <w:t xml:space="preserve">, I. S., Susanti, D., </w:t>
      </w:r>
      <w:proofErr w:type="spellStart"/>
      <w:r w:rsidRPr="00876C2D">
        <w:rPr>
          <w:rFonts w:ascii="Times New Roman" w:eastAsia="Times New Roman" w:hAnsi="Times New Roman" w:cs="Times New Roman"/>
          <w:sz w:val="24"/>
          <w:szCs w:val="24"/>
        </w:rPr>
        <w:t>Khotib</w:t>
      </w:r>
      <w:proofErr w:type="spellEnd"/>
      <w:r w:rsidRPr="00876C2D">
        <w:rPr>
          <w:rFonts w:ascii="Times New Roman" w:eastAsia="Times New Roman" w:hAnsi="Times New Roman" w:cs="Times New Roman"/>
          <w:sz w:val="24"/>
          <w:szCs w:val="24"/>
        </w:rPr>
        <w:t xml:space="preserve">, J., </w:t>
      </w:r>
      <w:proofErr w:type="spellStart"/>
      <w:r w:rsidRPr="00876C2D">
        <w:rPr>
          <w:rFonts w:ascii="Times New Roman" w:eastAsia="Times New Roman" w:hAnsi="Times New Roman" w:cs="Times New Roman"/>
          <w:sz w:val="24"/>
          <w:szCs w:val="24"/>
        </w:rPr>
        <w:t>Faiyazuddin</w:t>
      </w:r>
      <w:proofErr w:type="spellEnd"/>
      <w:r w:rsidRPr="00876C2D">
        <w:rPr>
          <w:rFonts w:ascii="Times New Roman" w:eastAsia="Times New Roman" w:hAnsi="Times New Roman" w:cs="Times New Roman"/>
          <w:sz w:val="24"/>
          <w:szCs w:val="24"/>
        </w:rPr>
        <w:t xml:space="preserve">, M., Widodo, R. T., &amp; Haris, M. S. (2025). Sickle cell disease: understanding pathophysiology, clinical features and advances in gene therapy approaches. </w:t>
      </w:r>
      <w:r w:rsidRPr="00876C2D">
        <w:rPr>
          <w:rFonts w:ascii="Times New Roman" w:eastAsia="Times New Roman" w:hAnsi="Times New Roman" w:cs="Times New Roman"/>
          <w:i/>
          <w:iCs/>
          <w:sz w:val="24"/>
          <w:szCs w:val="24"/>
        </w:rPr>
        <w:t>Frontiers in pharmacology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16</w:t>
      </w:r>
      <w:r w:rsidRPr="00876C2D">
        <w:rPr>
          <w:rFonts w:ascii="Times New Roman" w:eastAsia="Times New Roman" w:hAnsi="Times New Roman" w:cs="Times New Roman"/>
          <w:sz w:val="24"/>
          <w:szCs w:val="24"/>
        </w:rPr>
        <w:t>, 1630994. https://doi.org/10.3389/fphar.2025.1630994</w:t>
      </w:r>
    </w:p>
    <w:p w14:paraId="0ED3993A"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Taher, M., Aminondin, S., Nasir, N. A., </w:t>
      </w:r>
      <w:proofErr w:type="spellStart"/>
      <w:r w:rsidRPr="00876C2D">
        <w:rPr>
          <w:rFonts w:ascii="Times New Roman" w:eastAsia="Times New Roman" w:hAnsi="Times New Roman" w:cs="Times New Roman"/>
          <w:sz w:val="24"/>
          <w:szCs w:val="24"/>
        </w:rPr>
        <w:t>Jasmadi</w:t>
      </w:r>
      <w:proofErr w:type="spellEnd"/>
      <w:r w:rsidRPr="00876C2D">
        <w:rPr>
          <w:rFonts w:ascii="Times New Roman" w:eastAsia="Times New Roman" w:hAnsi="Times New Roman" w:cs="Times New Roman"/>
          <w:sz w:val="24"/>
          <w:szCs w:val="24"/>
        </w:rPr>
        <w:t xml:space="preserve">, N. A., Nizam, N. I. N., </w:t>
      </w:r>
      <w:proofErr w:type="spellStart"/>
      <w:r w:rsidRPr="00876C2D">
        <w:rPr>
          <w:rFonts w:ascii="Times New Roman" w:eastAsia="Times New Roman" w:hAnsi="Times New Roman" w:cs="Times New Roman"/>
          <w:sz w:val="24"/>
          <w:szCs w:val="24"/>
        </w:rPr>
        <w:t>Shahrul</w:t>
      </w:r>
      <w:proofErr w:type="spellEnd"/>
      <w:r w:rsidRPr="00876C2D">
        <w:rPr>
          <w:rFonts w:ascii="Times New Roman" w:eastAsia="Times New Roman" w:hAnsi="Times New Roman" w:cs="Times New Roman"/>
          <w:sz w:val="24"/>
          <w:szCs w:val="24"/>
        </w:rPr>
        <w:t xml:space="preserve">, I. S., Susanti, D., </w:t>
      </w:r>
      <w:proofErr w:type="spellStart"/>
      <w:r w:rsidRPr="00876C2D">
        <w:rPr>
          <w:rFonts w:ascii="Times New Roman" w:eastAsia="Times New Roman" w:hAnsi="Times New Roman" w:cs="Times New Roman"/>
          <w:sz w:val="24"/>
          <w:szCs w:val="24"/>
        </w:rPr>
        <w:t>Khotib</w:t>
      </w:r>
      <w:proofErr w:type="spellEnd"/>
      <w:r w:rsidRPr="00876C2D">
        <w:rPr>
          <w:rFonts w:ascii="Times New Roman" w:eastAsia="Times New Roman" w:hAnsi="Times New Roman" w:cs="Times New Roman"/>
          <w:sz w:val="24"/>
          <w:szCs w:val="24"/>
        </w:rPr>
        <w:t xml:space="preserve">, J., </w:t>
      </w:r>
      <w:proofErr w:type="spellStart"/>
      <w:r w:rsidRPr="00876C2D">
        <w:rPr>
          <w:rFonts w:ascii="Times New Roman" w:eastAsia="Times New Roman" w:hAnsi="Times New Roman" w:cs="Times New Roman"/>
          <w:sz w:val="24"/>
          <w:szCs w:val="24"/>
        </w:rPr>
        <w:t>Faiyazuddin</w:t>
      </w:r>
      <w:proofErr w:type="spellEnd"/>
      <w:r w:rsidRPr="00876C2D">
        <w:rPr>
          <w:rFonts w:ascii="Times New Roman" w:eastAsia="Times New Roman" w:hAnsi="Times New Roman" w:cs="Times New Roman"/>
          <w:sz w:val="24"/>
          <w:szCs w:val="24"/>
        </w:rPr>
        <w:t xml:space="preserve">, M., Widodo, R. T., &amp; Haris, M. S. (2025). Sickle cell disease: understanding pathophysiology, clinical features and advances in gene therapy approaches. </w:t>
      </w:r>
      <w:r w:rsidRPr="00876C2D">
        <w:rPr>
          <w:rFonts w:ascii="Times New Roman" w:eastAsia="Times New Roman" w:hAnsi="Times New Roman" w:cs="Times New Roman"/>
          <w:i/>
          <w:iCs/>
          <w:sz w:val="24"/>
          <w:szCs w:val="24"/>
        </w:rPr>
        <w:t>Frontiers in pharmacology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16</w:t>
      </w:r>
      <w:r w:rsidRPr="00876C2D">
        <w:rPr>
          <w:rFonts w:ascii="Times New Roman" w:eastAsia="Times New Roman" w:hAnsi="Times New Roman" w:cs="Times New Roman"/>
          <w:sz w:val="24"/>
          <w:szCs w:val="24"/>
        </w:rPr>
        <w:t>, 1630994. https://doi.org/10.3389/fphar.2025.1630994</w:t>
      </w:r>
    </w:p>
    <w:p w14:paraId="66AA0695"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Kuhn, V., Diederich, L., Keller, T. C. S., 4th, Kramer, C. M., </w:t>
      </w:r>
      <w:proofErr w:type="spellStart"/>
      <w:r w:rsidRPr="00876C2D">
        <w:rPr>
          <w:rFonts w:ascii="Times New Roman" w:eastAsia="Times New Roman" w:hAnsi="Times New Roman" w:cs="Times New Roman"/>
          <w:sz w:val="24"/>
          <w:szCs w:val="24"/>
        </w:rPr>
        <w:t>Lückstädt</w:t>
      </w:r>
      <w:proofErr w:type="spellEnd"/>
      <w:r w:rsidRPr="00876C2D">
        <w:rPr>
          <w:rFonts w:ascii="Times New Roman" w:eastAsia="Times New Roman" w:hAnsi="Times New Roman" w:cs="Times New Roman"/>
          <w:sz w:val="24"/>
          <w:szCs w:val="24"/>
        </w:rPr>
        <w:t xml:space="preserve">, W., Panknin, C., </w:t>
      </w:r>
      <w:proofErr w:type="spellStart"/>
      <w:r w:rsidRPr="00876C2D">
        <w:rPr>
          <w:rFonts w:ascii="Times New Roman" w:eastAsia="Times New Roman" w:hAnsi="Times New Roman" w:cs="Times New Roman"/>
          <w:sz w:val="24"/>
          <w:szCs w:val="24"/>
        </w:rPr>
        <w:t>Suvorava</w:t>
      </w:r>
      <w:proofErr w:type="spellEnd"/>
      <w:r w:rsidRPr="00876C2D">
        <w:rPr>
          <w:rFonts w:ascii="Times New Roman" w:eastAsia="Times New Roman" w:hAnsi="Times New Roman" w:cs="Times New Roman"/>
          <w:sz w:val="24"/>
          <w:szCs w:val="24"/>
        </w:rPr>
        <w:t xml:space="preserve">, T., Isakson, B. E., Kelm, M., &amp; Cortese-Krott, M. M. (2017). Red Blood Cell </w:t>
      </w:r>
      <w:r w:rsidRPr="00876C2D">
        <w:rPr>
          <w:rFonts w:ascii="Times New Roman" w:eastAsia="Times New Roman" w:hAnsi="Times New Roman" w:cs="Times New Roman"/>
          <w:sz w:val="24"/>
          <w:szCs w:val="24"/>
        </w:rPr>
        <w:lastRenderedPageBreak/>
        <w:t xml:space="preserve">Function and Dysfunction: Redox Regulation, Nitric Oxide Metabolism, Anemia. </w:t>
      </w:r>
      <w:r w:rsidRPr="00876C2D">
        <w:rPr>
          <w:rFonts w:ascii="Times New Roman" w:eastAsia="Times New Roman" w:hAnsi="Times New Roman" w:cs="Times New Roman"/>
          <w:i/>
          <w:iCs/>
          <w:sz w:val="24"/>
          <w:szCs w:val="24"/>
        </w:rPr>
        <w:t>Antioxidants &amp; redox signaling</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26</w:t>
      </w:r>
      <w:r w:rsidRPr="00876C2D">
        <w:rPr>
          <w:rFonts w:ascii="Times New Roman" w:eastAsia="Times New Roman" w:hAnsi="Times New Roman" w:cs="Times New Roman"/>
          <w:sz w:val="24"/>
          <w:szCs w:val="24"/>
        </w:rPr>
        <w:t>(13), 718–742. https://doi.org/10.1089/ars.2016.6954</w:t>
      </w:r>
    </w:p>
    <w:p w14:paraId="23CB6B08"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Kuypers F. A. (2014). Hemoglobin s polymerization and red cell membrane changes. </w:t>
      </w:r>
      <w:r w:rsidRPr="00876C2D">
        <w:rPr>
          <w:rFonts w:ascii="Times New Roman" w:eastAsia="Times New Roman" w:hAnsi="Times New Roman" w:cs="Times New Roman"/>
          <w:i/>
          <w:iCs/>
          <w:sz w:val="24"/>
          <w:szCs w:val="24"/>
        </w:rPr>
        <w:t>Hematology/oncology clinics of North America</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28</w:t>
      </w:r>
      <w:r w:rsidRPr="00876C2D">
        <w:rPr>
          <w:rFonts w:ascii="Times New Roman" w:eastAsia="Times New Roman" w:hAnsi="Times New Roman" w:cs="Times New Roman"/>
          <w:sz w:val="24"/>
          <w:szCs w:val="24"/>
        </w:rPr>
        <w:t>(2), 155–179. https://doi.org/10.1016/j.hoc.2013.12.002</w:t>
      </w:r>
    </w:p>
    <w:p w14:paraId="4DD5D0C5"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Obeagu</w:t>
      </w:r>
      <w:proofErr w:type="spellEnd"/>
      <w:r w:rsidRPr="00876C2D">
        <w:rPr>
          <w:rFonts w:ascii="Times New Roman" w:eastAsia="Times New Roman" w:hAnsi="Times New Roman" w:cs="Times New Roman"/>
          <w:sz w:val="24"/>
          <w:szCs w:val="24"/>
        </w:rPr>
        <w:t xml:space="preserve"> E. I. (2025). Thrombosis risk in sickle cell disease with HIV co-infection: unraveling the complex interactions and clinical implications - a narrative review. </w:t>
      </w:r>
      <w:r w:rsidRPr="00876C2D">
        <w:rPr>
          <w:rFonts w:ascii="Times New Roman" w:eastAsia="Times New Roman" w:hAnsi="Times New Roman" w:cs="Times New Roman"/>
          <w:i/>
          <w:iCs/>
          <w:sz w:val="24"/>
          <w:szCs w:val="24"/>
        </w:rPr>
        <w:t>Annals of medicine and surgery (2012)</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87</w:t>
      </w:r>
      <w:r w:rsidRPr="00876C2D">
        <w:rPr>
          <w:rFonts w:ascii="Times New Roman" w:eastAsia="Times New Roman" w:hAnsi="Times New Roman" w:cs="Times New Roman"/>
          <w:sz w:val="24"/>
          <w:szCs w:val="24"/>
        </w:rPr>
        <w:t>(8), 5070–5076. https://doi.org/10.1097/MS9.0000000000003533</w:t>
      </w:r>
    </w:p>
    <w:p w14:paraId="1EB6FE9E"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Kucukal</w:t>
      </w:r>
      <w:proofErr w:type="spellEnd"/>
      <w:r w:rsidRPr="00876C2D">
        <w:rPr>
          <w:rFonts w:ascii="Times New Roman" w:eastAsia="Times New Roman" w:hAnsi="Times New Roman" w:cs="Times New Roman"/>
          <w:sz w:val="24"/>
          <w:szCs w:val="24"/>
        </w:rPr>
        <w:t xml:space="preserve">, E., Ilich, A., Key, N. S., Little, J. A., &amp; Gurkan, U. A. (2018). Red Blood Cell Adhesion to Heme-Activated Endothelial Cells Reflects Clinical Phenotype in Sickle Cell Disease. </w:t>
      </w:r>
      <w:r w:rsidRPr="00876C2D">
        <w:rPr>
          <w:rFonts w:ascii="Times New Roman" w:eastAsia="Times New Roman" w:hAnsi="Times New Roman" w:cs="Times New Roman"/>
          <w:i/>
          <w:iCs/>
          <w:sz w:val="24"/>
          <w:szCs w:val="24"/>
        </w:rPr>
        <w:t>American journal of hematology</w:t>
      </w:r>
      <w:r w:rsidRPr="00876C2D">
        <w:rPr>
          <w:rFonts w:ascii="Times New Roman" w:eastAsia="Times New Roman" w:hAnsi="Times New Roman" w:cs="Times New Roman"/>
          <w:sz w:val="24"/>
          <w:szCs w:val="24"/>
        </w:rPr>
        <w:t>, 10.1002/ajh.25159. Advance online publication. https://doi.org/10.1002/ajh.25159</w:t>
      </w:r>
    </w:p>
    <w:p w14:paraId="6D52C033"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Gbotosho</w:t>
      </w:r>
      <w:proofErr w:type="spellEnd"/>
      <w:r w:rsidRPr="00876C2D">
        <w:rPr>
          <w:rFonts w:ascii="Times New Roman" w:eastAsia="Times New Roman" w:hAnsi="Times New Roman" w:cs="Times New Roman"/>
          <w:sz w:val="24"/>
          <w:szCs w:val="24"/>
        </w:rPr>
        <w:t xml:space="preserve">, O. T., </w:t>
      </w:r>
      <w:proofErr w:type="spellStart"/>
      <w:r w:rsidRPr="00876C2D">
        <w:rPr>
          <w:rFonts w:ascii="Times New Roman" w:eastAsia="Times New Roman" w:hAnsi="Times New Roman" w:cs="Times New Roman"/>
          <w:sz w:val="24"/>
          <w:szCs w:val="24"/>
        </w:rPr>
        <w:t>Kapetanaki</w:t>
      </w:r>
      <w:proofErr w:type="spellEnd"/>
      <w:r w:rsidRPr="00876C2D">
        <w:rPr>
          <w:rFonts w:ascii="Times New Roman" w:eastAsia="Times New Roman" w:hAnsi="Times New Roman" w:cs="Times New Roman"/>
          <w:sz w:val="24"/>
          <w:szCs w:val="24"/>
        </w:rPr>
        <w:t xml:space="preserve">, M. G., &amp; Kato, G. J. (2021). The Worst Things in Life are Free: The Role of Free Heme in Sickle Cell Disease. </w:t>
      </w:r>
      <w:r w:rsidRPr="00876C2D">
        <w:rPr>
          <w:rFonts w:ascii="Times New Roman" w:eastAsia="Times New Roman" w:hAnsi="Times New Roman" w:cs="Times New Roman"/>
          <w:i/>
          <w:iCs/>
          <w:sz w:val="24"/>
          <w:szCs w:val="24"/>
        </w:rPr>
        <w:t>Frontiers in immunology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11</w:t>
      </w:r>
      <w:r w:rsidRPr="00876C2D">
        <w:rPr>
          <w:rFonts w:ascii="Times New Roman" w:eastAsia="Times New Roman" w:hAnsi="Times New Roman" w:cs="Times New Roman"/>
          <w:sz w:val="24"/>
          <w:szCs w:val="24"/>
        </w:rPr>
        <w:t>, 561917. https://doi.org/10.3389/fimmu.2020.561917</w:t>
      </w:r>
    </w:p>
    <w:p w14:paraId="1AA44556"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Wang, R., Lan, C., </w:t>
      </w:r>
      <w:proofErr w:type="spellStart"/>
      <w:r w:rsidRPr="00876C2D">
        <w:rPr>
          <w:rFonts w:ascii="Times New Roman" w:eastAsia="Times New Roman" w:hAnsi="Times New Roman" w:cs="Times New Roman"/>
          <w:sz w:val="24"/>
          <w:szCs w:val="24"/>
        </w:rPr>
        <w:t>Benlagha</w:t>
      </w:r>
      <w:proofErr w:type="spellEnd"/>
      <w:r w:rsidRPr="00876C2D">
        <w:rPr>
          <w:rFonts w:ascii="Times New Roman" w:eastAsia="Times New Roman" w:hAnsi="Times New Roman" w:cs="Times New Roman"/>
          <w:sz w:val="24"/>
          <w:szCs w:val="24"/>
        </w:rPr>
        <w:t xml:space="preserve">, K., Camara, N. O. S., Miller, H., Kubo, M., Heegaard, S., Lee, P., Yang, L., Forsman, H., Li, X., Zhai, Z., &amp; Liu, C. (2024). The interaction of innate immune and adaptive immune system. </w:t>
      </w:r>
      <w:proofErr w:type="spellStart"/>
      <w:r w:rsidRPr="00876C2D">
        <w:rPr>
          <w:rFonts w:ascii="Times New Roman" w:eastAsia="Times New Roman" w:hAnsi="Times New Roman" w:cs="Times New Roman"/>
          <w:i/>
          <w:iCs/>
          <w:sz w:val="24"/>
          <w:szCs w:val="24"/>
        </w:rPr>
        <w:t>MedComm</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5</w:t>
      </w:r>
      <w:r w:rsidRPr="00876C2D">
        <w:rPr>
          <w:rFonts w:ascii="Times New Roman" w:eastAsia="Times New Roman" w:hAnsi="Times New Roman" w:cs="Times New Roman"/>
          <w:sz w:val="24"/>
          <w:szCs w:val="24"/>
        </w:rPr>
        <w:t>(10), e714. https://doi.org/10.1002/mco2.714</w:t>
      </w:r>
    </w:p>
    <w:p w14:paraId="2B04C1C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Banchereau</w:t>
      </w:r>
      <w:proofErr w:type="spellEnd"/>
      <w:r w:rsidRPr="00876C2D">
        <w:rPr>
          <w:rFonts w:ascii="Times New Roman" w:eastAsia="Times New Roman" w:hAnsi="Times New Roman" w:cs="Times New Roman"/>
          <w:sz w:val="24"/>
          <w:szCs w:val="24"/>
        </w:rPr>
        <w:t xml:space="preserve">, R., </w:t>
      </w:r>
      <w:proofErr w:type="spellStart"/>
      <w:r w:rsidRPr="00876C2D">
        <w:rPr>
          <w:rFonts w:ascii="Times New Roman" w:eastAsia="Times New Roman" w:hAnsi="Times New Roman" w:cs="Times New Roman"/>
          <w:sz w:val="24"/>
          <w:szCs w:val="24"/>
        </w:rPr>
        <w:t>Cepika</w:t>
      </w:r>
      <w:proofErr w:type="spellEnd"/>
      <w:r w:rsidRPr="00876C2D">
        <w:rPr>
          <w:rFonts w:ascii="Times New Roman" w:eastAsia="Times New Roman" w:hAnsi="Times New Roman" w:cs="Times New Roman"/>
          <w:sz w:val="24"/>
          <w:szCs w:val="24"/>
        </w:rPr>
        <w:t xml:space="preserve">, A. M., </w:t>
      </w:r>
      <w:proofErr w:type="spellStart"/>
      <w:r w:rsidRPr="00876C2D">
        <w:rPr>
          <w:rFonts w:ascii="Times New Roman" w:eastAsia="Times New Roman" w:hAnsi="Times New Roman" w:cs="Times New Roman"/>
          <w:sz w:val="24"/>
          <w:szCs w:val="24"/>
        </w:rPr>
        <w:t>Banchereau</w:t>
      </w:r>
      <w:proofErr w:type="spellEnd"/>
      <w:r w:rsidRPr="00876C2D">
        <w:rPr>
          <w:rFonts w:ascii="Times New Roman" w:eastAsia="Times New Roman" w:hAnsi="Times New Roman" w:cs="Times New Roman"/>
          <w:sz w:val="24"/>
          <w:szCs w:val="24"/>
        </w:rPr>
        <w:t xml:space="preserve">, J., &amp; Pascual, V. (2017). Understanding Human Autoimmunity and Autoinflammation Through Transcriptomics. </w:t>
      </w:r>
      <w:r w:rsidRPr="00876C2D">
        <w:rPr>
          <w:rFonts w:ascii="Times New Roman" w:eastAsia="Times New Roman" w:hAnsi="Times New Roman" w:cs="Times New Roman"/>
          <w:i/>
          <w:iCs/>
          <w:sz w:val="24"/>
          <w:szCs w:val="24"/>
        </w:rPr>
        <w:t>Annual review of immunology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35</w:t>
      </w:r>
      <w:r w:rsidRPr="00876C2D">
        <w:rPr>
          <w:rFonts w:ascii="Times New Roman" w:eastAsia="Times New Roman" w:hAnsi="Times New Roman" w:cs="Times New Roman"/>
          <w:sz w:val="24"/>
          <w:szCs w:val="24"/>
        </w:rPr>
        <w:t>, 337–370. https://doi.org/10.1146/annurev-immunol-051116-052225</w:t>
      </w:r>
    </w:p>
    <w:p w14:paraId="708B6282"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Hütt</w:t>
      </w:r>
      <w:proofErr w:type="spellEnd"/>
      <w:r w:rsidRPr="00876C2D">
        <w:rPr>
          <w:rFonts w:ascii="Times New Roman" w:eastAsia="Times New Roman" w:hAnsi="Times New Roman" w:cs="Times New Roman"/>
          <w:sz w:val="24"/>
          <w:szCs w:val="24"/>
        </w:rPr>
        <w:t xml:space="preserve"> M. T. (2014). Understanding genetic variation - the value of systems biology. </w:t>
      </w:r>
      <w:r w:rsidRPr="00876C2D">
        <w:rPr>
          <w:rFonts w:ascii="Times New Roman" w:eastAsia="Times New Roman" w:hAnsi="Times New Roman" w:cs="Times New Roman"/>
          <w:i/>
          <w:iCs/>
          <w:sz w:val="24"/>
          <w:szCs w:val="24"/>
        </w:rPr>
        <w:t>British journal of clinical pharmacology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77</w:t>
      </w:r>
      <w:r w:rsidRPr="00876C2D">
        <w:rPr>
          <w:rFonts w:ascii="Times New Roman" w:eastAsia="Times New Roman" w:hAnsi="Times New Roman" w:cs="Times New Roman"/>
          <w:sz w:val="24"/>
          <w:szCs w:val="24"/>
        </w:rPr>
        <w:t>(4), 597–605. https://doi.org/10.1111/bcp.12266</w:t>
      </w:r>
    </w:p>
    <w:p w14:paraId="2E4F064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Somvanshi</w:t>
      </w:r>
      <w:proofErr w:type="spellEnd"/>
      <w:r w:rsidRPr="00876C2D">
        <w:rPr>
          <w:rFonts w:ascii="Times New Roman" w:eastAsia="Times New Roman" w:hAnsi="Times New Roman" w:cs="Times New Roman"/>
          <w:sz w:val="24"/>
          <w:szCs w:val="24"/>
        </w:rPr>
        <w:t xml:space="preserve">, P. R., &amp; Venkatesh, K. V. (2014). A conceptual review on systems biology in health and diseases: from biological networks to modern therapeutics. </w:t>
      </w:r>
      <w:r w:rsidRPr="00876C2D">
        <w:rPr>
          <w:rFonts w:ascii="Times New Roman" w:eastAsia="Times New Roman" w:hAnsi="Times New Roman" w:cs="Times New Roman"/>
          <w:i/>
          <w:iCs/>
          <w:sz w:val="24"/>
          <w:szCs w:val="24"/>
        </w:rPr>
        <w:t>Systems and synthetic biology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w:t>
      </w:r>
      <w:r w:rsidRPr="00876C2D">
        <w:rPr>
          <w:rFonts w:ascii="Times New Roman" w:eastAsia="Times New Roman" w:hAnsi="Times New Roman" w:cs="Times New Roman"/>
          <w:sz w:val="24"/>
          <w:szCs w:val="24"/>
        </w:rPr>
        <w:t>(1), 99–116. https://doi.org/10.1007/s11693-013-9125-3</w:t>
      </w:r>
    </w:p>
    <w:p w14:paraId="28B148D5"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Hebbel, R. P., Vercellotti, G., &amp; Nath, K. A. (2009). A systems biology consideration of the vasculopathy of sickle cell anemia: the need for multi-modality chemo-</w:t>
      </w:r>
      <w:proofErr w:type="spellStart"/>
      <w:r w:rsidRPr="00876C2D">
        <w:rPr>
          <w:rFonts w:ascii="Times New Roman" w:eastAsia="Times New Roman" w:hAnsi="Times New Roman" w:cs="Times New Roman"/>
          <w:sz w:val="24"/>
          <w:szCs w:val="24"/>
        </w:rPr>
        <w:t>prophylaxsis</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Cardiovascular &amp; hematological disorders drug targets</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9</w:t>
      </w:r>
      <w:r w:rsidRPr="00876C2D">
        <w:rPr>
          <w:rFonts w:ascii="Times New Roman" w:eastAsia="Times New Roman" w:hAnsi="Times New Roman" w:cs="Times New Roman"/>
          <w:sz w:val="24"/>
          <w:szCs w:val="24"/>
        </w:rPr>
        <w:t>(4), 271–292. https://doi.org/10.2174/1871529x10909040271</w:t>
      </w:r>
    </w:p>
    <w:p w14:paraId="3443E833"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Saunthararajah</w:t>
      </w:r>
      <w:proofErr w:type="spellEnd"/>
      <w:r w:rsidRPr="00876C2D">
        <w:rPr>
          <w:rFonts w:ascii="Times New Roman" w:eastAsia="Times New Roman" w:hAnsi="Times New Roman" w:cs="Times New Roman"/>
          <w:sz w:val="24"/>
          <w:szCs w:val="24"/>
        </w:rPr>
        <w:t xml:space="preserve"> Y. (2019). Targeting sickle cell disease root-cause pathophysiology with small molecules. </w:t>
      </w:r>
      <w:proofErr w:type="spellStart"/>
      <w:r w:rsidRPr="00876C2D">
        <w:rPr>
          <w:rFonts w:ascii="Times New Roman" w:eastAsia="Times New Roman" w:hAnsi="Times New Roman" w:cs="Times New Roman"/>
          <w:i/>
          <w:iCs/>
          <w:sz w:val="24"/>
          <w:szCs w:val="24"/>
        </w:rPr>
        <w:t>Haematologica</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104</w:t>
      </w:r>
      <w:r w:rsidRPr="00876C2D">
        <w:rPr>
          <w:rFonts w:ascii="Times New Roman" w:eastAsia="Times New Roman" w:hAnsi="Times New Roman" w:cs="Times New Roman"/>
          <w:sz w:val="24"/>
          <w:szCs w:val="24"/>
        </w:rPr>
        <w:t>(9), 1720–1730. https://doi.org/10.3324/haematol.2018.207530</w:t>
      </w:r>
    </w:p>
    <w:p w14:paraId="2C2FB7A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Obeagu</w:t>
      </w:r>
      <w:proofErr w:type="spellEnd"/>
      <w:r w:rsidRPr="00876C2D">
        <w:rPr>
          <w:rFonts w:ascii="Times New Roman" w:eastAsia="Times New Roman" w:hAnsi="Times New Roman" w:cs="Times New Roman"/>
          <w:sz w:val="24"/>
          <w:szCs w:val="24"/>
        </w:rPr>
        <w:t xml:space="preserve"> E. I. (2025). Clotting, inflammation, and immunity: the multifaceted role of platelets in HIV and sickle cell disease - a narrative review. </w:t>
      </w:r>
      <w:r w:rsidRPr="00876C2D">
        <w:rPr>
          <w:rFonts w:ascii="Times New Roman" w:eastAsia="Times New Roman" w:hAnsi="Times New Roman" w:cs="Times New Roman"/>
          <w:i/>
          <w:iCs/>
          <w:sz w:val="24"/>
          <w:szCs w:val="24"/>
        </w:rPr>
        <w:t>Annals of medicine and surgery (2012)</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87</w:t>
      </w:r>
      <w:r w:rsidRPr="00876C2D">
        <w:rPr>
          <w:rFonts w:ascii="Times New Roman" w:eastAsia="Times New Roman" w:hAnsi="Times New Roman" w:cs="Times New Roman"/>
          <w:sz w:val="24"/>
          <w:szCs w:val="24"/>
        </w:rPr>
        <w:t>(9), 5878–5886. https://doi.org/10.1097/MS9.0000000000003677</w:t>
      </w:r>
    </w:p>
    <w:p w14:paraId="3DA66F2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Obeagu</w:t>
      </w:r>
      <w:proofErr w:type="spellEnd"/>
      <w:r w:rsidRPr="00876C2D">
        <w:rPr>
          <w:rFonts w:ascii="Times New Roman" w:eastAsia="Times New Roman" w:hAnsi="Times New Roman" w:cs="Times New Roman"/>
          <w:sz w:val="24"/>
          <w:szCs w:val="24"/>
        </w:rPr>
        <w:t xml:space="preserve"> E. I. (2025). Adhesion molecules in focus: mechanistic pathways and therapeutic avenues in sickle cell </w:t>
      </w:r>
      <w:proofErr w:type="spellStart"/>
      <w:r w:rsidRPr="00876C2D">
        <w:rPr>
          <w:rFonts w:ascii="Times New Roman" w:eastAsia="Times New Roman" w:hAnsi="Times New Roman" w:cs="Times New Roman"/>
          <w:sz w:val="24"/>
          <w:szCs w:val="24"/>
        </w:rPr>
        <w:t>vaso</w:t>
      </w:r>
      <w:proofErr w:type="spellEnd"/>
      <w:r w:rsidRPr="00876C2D">
        <w:rPr>
          <w:rFonts w:ascii="Times New Roman" w:eastAsia="Times New Roman" w:hAnsi="Times New Roman" w:cs="Times New Roman"/>
          <w:sz w:val="24"/>
          <w:szCs w:val="24"/>
        </w:rPr>
        <w:t xml:space="preserve">-occlusion - a narrative review. </w:t>
      </w:r>
      <w:r w:rsidRPr="00876C2D">
        <w:rPr>
          <w:rFonts w:ascii="Times New Roman" w:eastAsia="Times New Roman" w:hAnsi="Times New Roman" w:cs="Times New Roman"/>
          <w:i/>
          <w:iCs/>
          <w:sz w:val="24"/>
          <w:szCs w:val="24"/>
        </w:rPr>
        <w:t>Annals of medicine and surgery (2012)</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87</w:t>
      </w:r>
      <w:r w:rsidRPr="00876C2D">
        <w:rPr>
          <w:rFonts w:ascii="Times New Roman" w:eastAsia="Times New Roman" w:hAnsi="Times New Roman" w:cs="Times New Roman"/>
          <w:sz w:val="24"/>
          <w:szCs w:val="24"/>
        </w:rPr>
        <w:t>(9), 5775–5783. https://doi.org/10.1097/MS9.0000000000003619</w:t>
      </w:r>
    </w:p>
    <w:p w14:paraId="3503A01C"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Nader, E., Romana, M., &amp; </w:t>
      </w:r>
      <w:proofErr w:type="spellStart"/>
      <w:r w:rsidRPr="00876C2D">
        <w:rPr>
          <w:rFonts w:ascii="Times New Roman" w:eastAsia="Times New Roman" w:hAnsi="Times New Roman" w:cs="Times New Roman"/>
          <w:sz w:val="24"/>
          <w:szCs w:val="24"/>
        </w:rPr>
        <w:t>Connes</w:t>
      </w:r>
      <w:proofErr w:type="spellEnd"/>
      <w:r w:rsidRPr="00876C2D">
        <w:rPr>
          <w:rFonts w:ascii="Times New Roman" w:eastAsia="Times New Roman" w:hAnsi="Times New Roman" w:cs="Times New Roman"/>
          <w:sz w:val="24"/>
          <w:szCs w:val="24"/>
        </w:rPr>
        <w:t xml:space="preserve">, P. (2020). The Red Blood Cell-Inflammation Vicious Circle in Sickle Cell Disease. </w:t>
      </w:r>
      <w:r w:rsidRPr="00876C2D">
        <w:rPr>
          <w:rFonts w:ascii="Times New Roman" w:eastAsia="Times New Roman" w:hAnsi="Times New Roman" w:cs="Times New Roman"/>
          <w:i/>
          <w:iCs/>
          <w:sz w:val="24"/>
          <w:szCs w:val="24"/>
        </w:rPr>
        <w:t>Frontiers in immunology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11</w:t>
      </w:r>
      <w:r w:rsidRPr="00876C2D">
        <w:rPr>
          <w:rFonts w:ascii="Times New Roman" w:eastAsia="Times New Roman" w:hAnsi="Times New Roman" w:cs="Times New Roman"/>
          <w:sz w:val="24"/>
          <w:szCs w:val="24"/>
        </w:rPr>
        <w:t>, 454. https://doi.org/10.3389/fimmu.2020.00454</w:t>
      </w:r>
    </w:p>
    <w:p w14:paraId="672223B1"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Alramadhani</w:t>
      </w:r>
      <w:proofErr w:type="spellEnd"/>
      <w:r w:rsidRPr="00876C2D">
        <w:rPr>
          <w:rFonts w:ascii="Times New Roman" w:eastAsia="Times New Roman" w:hAnsi="Times New Roman" w:cs="Times New Roman"/>
          <w:sz w:val="24"/>
          <w:szCs w:val="24"/>
        </w:rPr>
        <w:t xml:space="preserve">, D., </w:t>
      </w:r>
      <w:proofErr w:type="spellStart"/>
      <w:r w:rsidRPr="00876C2D">
        <w:rPr>
          <w:rFonts w:ascii="Times New Roman" w:eastAsia="Times New Roman" w:hAnsi="Times New Roman" w:cs="Times New Roman"/>
          <w:sz w:val="24"/>
          <w:szCs w:val="24"/>
        </w:rPr>
        <w:t>Aljahdali</w:t>
      </w:r>
      <w:proofErr w:type="spellEnd"/>
      <w:r w:rsidRPr="00876C2D">
        <w:rPr>
          <w:rFonts w:ascii="Times New Roman" w:eastAsia="Times New Roman" w:hAnsi="Times New Roman" w:cs="Times New Roman"/>
          <w:sz w:val="24"/>
          <w:szCs w:val="24"/>
        </w:rPr>
        <w:t xml:space="preserve">, A. S., Abdulmalik, O., Pierce, B. D., &amp; Safo, M. K. (2022). Metabolic Reprogramming in Sickle Cell Diseases: Pathophysiology and Drug Discovery </w:t>
      </w:r>
      <w:r w:rsidRPr="00876C2D">
        <w:rPr>
          <w:rFonts w:ascii="Times New Roman" w:eastAsia="Times New Roman" w:hAnsi="Times New Roman" w:cs="Times New Roman"/>
          <w:sz w:val="24"/>
          <w:szCs w:val="24"/>
        </w:rPr>
        <w:lastRenderedPageBreak/>
        <w:t xml:space="preserve">Opportunities. </w:t>
      </w:r>
      <w:r w:rsidRPr="00876C2D">
        <w:rPr>
          <w:rFonts w:ascii="Times New Roman" w:eastAsia="Times New Roman" w:hAnsi="Times New Roman" w:cs="Times New Roman"/>
          <w:i/>
          <w:iCs/>
          <w:sz w:val="24"/>
          <w:szCs w:val="24"/>
        </w:rPr>
        <w:t>International journal of molecular sciences</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23</w:t>
      </w:r>
      <w:r w:rsidRPr="00876C2D">
        <w:rPr>
          <w:rFonts w:ascii="Times New Roman" w:eastAsia="Times New Roman" w:hAnsi="Times New Roman" w:cs="Times New Roman"/>
          <w:sz w:val="24"/>
          <w:szCs w:val="24"/>
        </w:rPr>
        <w:t>(13), 7448. https://doi.org/10.3390/ijms23137448</w:t>
      </w:r>
    </w:p>
    <w:p w14:paraId="23C02F1E"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Wang, Q., &amp; </w:t>
      </w:r>
      <w:proofErr w:type="spellStart"/>
      <w:r w:rsidRPr="00876C2D">
        <w:rPr>
          <w:rFonts w:ascii="Times New Roman" w:eastAsia="Times New Roman" w:hAnsi="Times New Roman" w:cs="Times New Roman"/>
          <w:sz w:val="24"/>
          <w:szCs w:val="24"/>
        </w:rPr>
        <w:t>Zennadi</w:t>
      </w:r>
      <w:proofErr w:type="spellEnd"/>
      <w:r w:rsidRPr="00876C2D">
        <w:rPr>
          <w:rFonts w:ascii="Times New Roman" w:eastAsia="Times New Roman" w:hAnsi="Times New Roman" w:cs="Times New Roman"/>
          <w:sz w:val="24"/>
          <w:szCs w:val="24"/>
        </w:rPr>
        <w:t xml:space="preserve">, R. (2021). The Role of RBC Oxidative Stress in Sickle Cell Disease: From the Molecular Basis to Pathologic Implications. </w:t>
      </w:r>
      <w:r w:rsidRPr="00876C2D">
        <w:rPr>
          <w:rFonts w:ascii="Times New Roman" w:eastAsia="Times New Roman" w:hAnsi="Times New Roman" w:cs="Times New Roman"/>
          <w:i/>
          <w:iCs/>
          <w:sz w:val="24"/>
          <w:szCs w:val="24"/>
        </w:rPr>
        <w:t>Antioxidants (Basel, Switzerland)</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10</w:t>
      </w:r>
      <w:r w:rsidRPr="00876C2D">
        <w:rPr>
          <w:rFonts w:ascii="Times New Roman" w:eastAsia="Times New Roman" w:hAnsi="Times New Roman" w:cs="Times New Roman"/>
          <w:sz w:val="24"/>
          <w:szCs w:val="24"/>
        </w:rPr>
        <w:t>(10), 1608. https://doi.org/10.3390/antiox10101608</w:t>
      </w:r>
    </w:p>
    <w:p w14:paraId="1EDC685E"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Jamwal, S., Calhoun, C., Mohanty, S., Montgomery, R. R., Krishnamurti, L., Shaw, A. C., &amp; Yildirim, I. (2025). Unravelling the Immunological Enigma of Sickle Cell Disease: Current Understanding and Future Directions. </w:t>
      </w:r>
      <w:r w:rsidRPr="00876C2D">
        <w:rPr>
          <w:rFonts w:ascii="Times New Roman" w:eastAsia="Times New Roman" w:hAnsi="Times New Roman" w:cs="Times New Roman"/>
          <w:i/>
          <w:iCs/>
          <w:sz w:val="24"/>
          <w:szCs w:val="24"/>
        </w:rPr>
        <w:t>Immunology</w:t>
      </w:r>
      <w:r w:rsidRPr="00876C2D">
        <w:rPr>
          <w:rFonts w:ascii="Times New Roman" w:eastAsia="Times New Roman" w:hAnsi="Times New Roman" w:cs="Times New Roman"/>
          <w:sz w:val="24"/>
          <w:szCs w:val="24"/>
        </w:rPr>
        <w:t>, 10.1111/imm.70080. Advance online publication. https://doi.org/10.1111/imm.70080</w:t>
      </w:r>
    </w:p>
    <w:p w14:paraId="089CA928"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Lapping-Carr, G., Gemel, J., Mao, Y., &amp; Beyer, E. C. (2020). Circulating Extracellular Vesicles and Endothelial Damage in Sickle Cell Disease. </w:t>
      </w:r>
      <w:r w:rsidRPr="00876C2D">
        <w:rPr>
          <w:rFonts w:ascii="Times New Roman" w:eastAsia="Times New Roman" w:hAnsi="Times New Roman" w:cs="Times New Roman"/>
          <w:i/>
          <w:iCs/>
          <w:sz w:val="24"/>
          <w:szCs w:val="24"/>
        </w:rPr>
        <w:t>Frontiers in physiology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11</w:t>
      </w:r>
      <w:r w:rsidRPr="00876C2D">
        <w:rPr>
          <w:rFonts w:ascii="Times New Roman" w:eastAsia="Times New Roman" w:hAnsi="Times New Roman" w:cs="Times New Roman"/>
          <w:sz w:val="24"/>
          <w:szCs w:val="24"/>
        </w:rPr>
        <w:t>, 1063. https://doi.org/10.3389/fphys.2020.01063</w:t>
      </w:r>
    </w:p>
    <w:p w14:paraId="7D12102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Vallelian</w:t>
      </w:r>
      <w:proofErr w:type="spellEnd"/>
      <w:r w:rsidRPr="00876C2D">
        <w:rPr>
          <w:rFonts w:ascii="Times New Roman" w:eastAsia="Times New Roman" w:hAnsi="Times New Roman" w:cs="Times New Roman"/>
          <w:sz w:val="24"/>
          <w:szCs w:val="24"/>
        </w:rPr>
        <w:t xml:space="preserve">, F., Buehler, P. W., &amp; Schaer, D. J. (2022). Hemolysis, free hemoglobin toxicity, and scavenger protein therapeutics. </w:t>
      </w:r>
      <w:r w:rsidRPr="00876C2D">
        <w:rPr>
          <w:rFonts w:ascii="Times New Roman" w:eastAsia="Times New Roman" w:hAnsi="Times New Roman" w:cs="Times New Roman"/>
          <w:i/>
          <w:iCs/>
          <w:sz w:val="24"/>
          <w:szCs w:val="24"/>
        </w:rPr>
        <w:t>Blood</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140</w:t>
      </w:r>
      <w:r w:rsidRPr="00876C2D">
        <w:rPr>
          <w:rFonts w:ascii="Times New Roman" w:eastAsia="Times New Roman" w:hAnsi="Times New Roman" w:cs="Times New Roman"/>
          <w:sz w:val="24"/>
          <w:szCs w:val="24"/>
        </w:rPr>
        <w:t>(17), 1837–1844. https://doi.org/10.1182/blood.2022015596</w:t>
      </w:r>
    </w:p>
    <w:p w14:paraId="3903E52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Blum, A., Yeganeh, S., Peleg, A., </w:t>
      </w:r>
      <w:proofErr w:type="spellStart"/>
      <w:r w:rsidRPr="00876C2D">
        <w:rPr>
          <w:rFonts w:ascii="Times New Roman" w:eastAsia="Times New Roman" w:hAnsi="Times New Roman" w:cs="Times New Roman"/>
          <w:sz w:val="24"/>
          <w:szCs w:val="24"/>
        </w:rPr>
        <w:t>Vigder</w:t>
      </w:r>
      <w:proofErr w:type="spellEnd"/>
      <w:r w:rsidRPr="00876C2D">
        <w:rPr>
          <w:rFonts w:ascii="Times New Roman" w:eastAsia="Times New Roman" w:hAnsi="Times New Roman" w:cs="Times New Roman"/>
          <w:sz w:val="24"/>
          <w:szCs w:val="24"/>
        </w:rPr>
        <w:t xml:space="preserve">, F., Kryuger, K., Khatib, A., Khazim, K., &amp; </w:t>
      </w:r>
      <w:proofErr w:type="spellStart"/>
      <w:r w:rsidRPr="00876C2D">
        <w:rPr>
          <w:rFonts w:ascii="Times New Roman" w:eastAsia="Times New Roman" w:hAnsi="Times New Roman" w:cs="Times New Roman"/>
          <w:sz w:val="24"/>
          <w:szCs w:val="24"/>
        </w:rPr>
        <w:t>Dauerman</w:t>
      </w:r>
      <w:proofErr w:type="spellEnd"/>
      <w:r w:rsidRPr="00876C2D">
        <w:rPr>
          <w:rFonts w:ascii="Times New Roman" w:eastAsia="Times New Roman" w:hAnsi="Times New Roman" w:cs="Times New Roman"/>
          <w:sz w:val="24"/>
          <w:szCs w:val="24"/>
        </w:rPr>
        <w:t xml:space="preserve">, H. (2005). Endothelial function in patients with sickle cell anemia during and after sickle cell crises. </w:t>
      </w:r>
      <w:r w:rsidRPr="00876C2D">
        <w:rPr>
          <w:rFonts w:ascii="Times New Roman" w:eastAsia="Times New Roman" w:hAnsi="Times New Roman" w:cs="Times New Roman"/>
          <w:i/>
          <w:iCs/>
          <w:sz w:val="24"/>
          <w:szCs w:val="24"/>
        </w:rPr>
        <w:t>Journal of thrombosis and thrombolysis</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19</w:t>
      </w:r>
      <w:r w:rsidRPr="00876C2D">
        <w:rPr>
          <w:rFonts w:ascii="Times New Roman" w:eastAsia="Times New Roman" w:hAnsi="Times New Roman" w:cs="Times New Roman"/>
          <w:sz w:val="24"/>
          <w:szCs w:val="24"/>
        </w:rPr>
        <w:t>(2), 83–86. https://doi.org/10.1007/s11239-005-1377-7</w:t>
      </w:r>
    </w:p>
    <w:p w14:paraId="657B7377"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Vinchi</w:t>
      </w:r>
      <w:proofErr w:type="spellEnd"/>
      <w:r w:rsidRPr="00876C2D">
        <w:rPr>
          <w:rFonts w:ascii="Times New Roman" w:eastAsia="Times New Roman" w:hAnsi="Times New Roman" w:cs="Times New Roman"/>
          <w:sz w:val="24"/>
          <w:szCs w:val="24"/>
        </w:rPr>
        <w:t xml:space="preserve">, F., &amp; </w:t>
      </w:r>
      <w:proofErr w:type="spellStart"/>
      <w:r w:rsidRPr="00876C2D">
        <w:rPr>
          <w:rFonts w:ascii="Times New Roman" w:eastAsia="Times New Roman" w:hAnsi="Times New Roman" w:cs="Times New Roman"/>
          <w:sz w:val="24"/>
          <w:szCs w:val="24"/>
        </w:rPr>
        <w:t>Tolosano</w:t>
      </w:r>
      <w:proofErr w:type="spellEnd"/>
      <w:r w:rsidRPr="00876C2D">
        <w:rPr>
          <w:rFonts w:ascii="Times New Roman" w:eastAsia="Times New Roman" w:hAnsi="Times New Roman" w:cs="Times New Roman"/>
          <w:sz w:val="24"/>
          <w:szCs w:val="24"/>
        </w:rPr>
        <w:t xml:space="preserve">, E. (2013). Therapeutic approaches to limit hemolysis-driven endothelial dysfunction: scavenging free heme to preserve vasculature homeostasis. </w:t>
      </w:r>
      <w:r w:rsidRPr="00876C2D">
        <w:rPr>
          <w:rFonts w:ascii="Times New Roman" w:eastAsia="Times New Roman" w:hAnsi="Times New Roman" w:cs="Times New Roman"/>
          <w:i/>
          <w:iCs/>
          <w:sz w:val="24"/>
          <w:szCs w:val="24"/>
        </w:rPr>
        <w:t>Oxidative medicine and cellular longevity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2013</w:t>
      </w:r>
      <w:r w:rsidRPr="00876C2D">
        <w:rPr>
          <w:rFonts w:ascii="Times New Roman" w:eastAsia="Times New Roman" w:hAnsi="Times New Roman" w:cs="Times New Roman"/>
          <w:sz w:val="24"/>
          <w:szCs w:val="24"/>
        </w:rPr>
        <w:t>, 396527. https://doi.org/10.1155/2013/396527</w:t>
      </w:r>
    </w:p>
    <w:p w14:paraId="4C099C0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Conran, N., &amp; Belcher, J. D. (2018). Inflammation in sickle cell disease. </w:t>
      </w:r>
      <w:r w:rsidRPr="00876C2D">
        <w:rPr>
          <w:rFonts w:ascii="Times New Roman" w:eastAsia="Times New Roman" w:hAnsi="Times New Roman" w:cs="Times New Roman"/>
          <w:i/>
          <w:iCs/>
          <w:sz w:val="24"/>
          <w:szCs w:val="24"/>
        </w:rPr>
        <w:t>Clinical hemorheology and microcirculation</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68</w:t>
      </w:r>
      <w:r w:rsidRPr="00876C2D">
        <w:rPr>
          <w:rFonts w:ascii="Times New Roman" w:eastAsia="Times New Roman" w:hAnsi="Times New Roman" w:cs="Times New Roman"/>
          <w:sz w:val="24"/>
          <w:szCs w:val="24"/>
        </w:rPr>
        <w:t>(2-3), 263–299. https://doi.org/10.3233/CH-189012</w:t>
      </w:r>
    </w:p>
    <w:p w14:paraId="27B4C0A5"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Shet, A. S., </w:t>
      </w:r>
      <w:proofErr w:type="spellStart"/>
      <w:r w:rsidRPr="00876C2D">
        <w:rPr>
          <w:rFonts w:ascii="Times New Roman" w:eastAsia="Times New Roman" w:hAnsi="Times New Roman" w:cs="Times New Roman"/>
          <w:sz w:val="24"/>
          <w:szCs w:val="24"/>
        </w:rPr>
        <w:t>Lizarralde-Iragorri</w:t>
      </w:r>
      <w:proofErr w:type="spellEnd"/>
      <w:r w:rsidRPr="00876C2D">
        <w:rPr>
          <w:rFonts w:ascii="Times New Roman" w:eastAsia="Times New Roman" w:hAnsi="Times New Roman" w:cs="Times New Roman"/>
          <w:sz w:val="24"/>
          <w:szCs w:val="24"/>
        </w:rPr>
        <w:t xml:space="preserve">, M. A., &amp; Naik, R. P. (2020). The molecular basis for the prothrombotic state in sickle cell disease. </w:t>
      </w:r>
      <w:proofErr w:type="spellStart"/>
      <w:r w:rsidRPr="00876C2D">
        <w:rPr>
          <w:rFonts w:ascii="Times New Roman" w:eastAsia="Times New Roman" w:hAnsi="Times New Roman" w:cs="Times New Roman"/>
          <w:i/>
          <w:iCs/>
          <w:sz w:val="24"/>
          <w:szCs w:val="24"/>
        </w:rPr>
        <w:t>Haematologica</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105</w:t>
      </w:r>
      <w:r w:rsidRPr="00876C2D">
        <w:rPr>
          <w:rFonts w:ascii="Times New Roman" w:eastAsia="Times New Roman" w:hAnsi="Times New Roman" w:cs="Times New Roman"/>
          <w:sz w:val="24"/>
          <w:szCs w:val="24"/>
        </w:rPr>
        <w:t>(10), 2368–2379. https://doi.org/10.3324/haematol.2019.239350</w:t>
      </w:r>
    </w:p>
    <w:p w14:paraId="5C4F4192"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Ayoola, O. O., Bolarinwa, R. A., Onwuka, C. C., Idowu, B. M., &amp; Aderibigbe, A. S. (2020). Association between Endothelial Dysfunction, Biomarkers of Renal Function, and Disease Severity in Sickle Cell Disease. </w:t>
      </w:r>
      <w:r w:rsidRPr="00876C2D">
        <w:rPr>
          <w:rFonts w:ascii="Times New Roman" w:eastAsia="Times New Roman" w:hAnsi="Times New Roman" w:cs="Times New Roman"/>
          <w:i/>
          <w:iCs/>
          <w:sz w:val="24"/>
          <w:szCs w:val="24"/>
        </w:rPr>
        <w:t>Kidney360</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w:t>
      </w:r>
      <w:r w:rsidRPr="00876C2D">
        <w:rPr>
          <w:rFonts w:ascii="Times New Roman" w:eastAsia="Times New Roman" w:hAnsi="Times New Roman" w:cs="Times New Roman"/>
          <w:sz w:val="24"/>
          <w:szCs w:val="24"/>
        </w:rPr>
        <w:t>(2), 79–85. https://doi.org/10.34067/KID.0000142019</w:t>
      </w:r>
    </w:p>
    <w:p w14:paraId="679370C1"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Rengarajan, A., Goldblatt, H. E., Beebe, D. J., </w:t>
      </w:r>
      <w:proofErr w:type="spellStart"/>
      <w:r w:rsidRPr="00876C2D">
        <w:rPr>
          <w:rFonts w:ascii="Times New Roman" w:eastAsia="Times New Roman" w:hAnsi="Times New Roman" w:cs="Times New Roman"/>
          <w:sz w:val="24"/>
          <w:szCs w:val="24"/>
        </w:rPr>
        <w:t>Virumbrales</w:t>
      </w:r>
      <w:proofErr w:type="spellEnd"/>
      <w:r w:rsidRPr="00876C2D">
        <w:rPr>
          <w:rFonts w:ascii="Times New Roman" w:eastAsia="Times New Roman" w:hAnsi="Times New Roman" w:cs="Times New Roman"/>
          <w:sz w:val="24"/>
          <w:szCs w:val="24"/>
        </w:rPr>
        <w:t xml:space="preserve">-Muñoz, M., &amp; Boeldt, D. S. (2024). Immune cells and inflammatory mediators cause endothelial dysfunction in a vascular </w:t>
      </w:r>
      <w:proofErr w:type="spellStart"/>
      <w:r w:rsidRPr="00876C2D">
        <w:rPr>
          <w:rFonts w:ascii="Times New Roman" w:eastAsia="Times New Roman" w:hAnsi="Times New Roman" w:cs="Times New Roman"/>
          <w:sz w:val="24"/>
          <w:szCs w:val="24"/>
        </w:rPr>
        <w:t>microphysiological</w:t>
      </w:r>
      <w:proofErr w:type="spellEnd"/>
      <w:r w:rsidRPr="00876C2D">
        <w:rPr>
          <w:rFonts w:ascii="Times New Roman" w:eastAsia="Times New Roman" w:hAnsi="Times New Roman" w:cs="Times New Roman"/>
          <w:sz w:val="24"/>
          <w:szCs w:val="24"/>
        </w:rPr>
        <w:t xml:space="preserve"> system. </w:t>
      </w:r>
      <w:r w:rsidRPr="00876C2D">
        <w:rPr>
          <w:rFonts w:ascii="Times New Roman" w:eastAsia="Times New Roman" w:hAnsi="Times New Roman" w:cs="Times New Roman"/>
          <w:i/>
          <w:iCs/>
          <w:sz w:val="24"/>
          <w:szCs w:val="24"/>
        </w:rPr>
        <w:t>Lab on a chip</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24</w:t>
      </w:r>
      <w:r w:rsidRPr="00876C2D">
        <w:rPr>
          <w:rFonts w:ascii="Times New Roman" w:eastAsia="Times New Roman" w:hAnsi="Times New Roman" w:cs="Times New Roman"/>
          <w:sz w:val="24"/>
          <w:szCs w:val="24"/>
        </w:rPr>
        <w:t>(6), 1808–1820. https://doi.org/10.1039/d3lc00824j</w:t>
      </w:r>
    </w:p>
    <w:p w14:paraId="1E59797A"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hAnsi="Times New Roman" w:cs="Times New Roman"/>
          <w:sz w:val="24"/>
          <w:szCs w:val="24"/>
        </w:rPr>
        <w:t>Obeagu</w:t>
      </w:r>
      <w:proofErr w:type="spellEnd"/>
      <w:r w:rsidRPr="00876C2D">
        <w:rPr>
          <w:rFonts w:ascii="Times New Roman" w:hAnsi="Times New Roman" w:cs="Times New Roman"/>
          <w:sz w:val="24"/>
          <w:szCs w:val="24"/>
        </w:rPr>
        <w:t xml:space="preserve"> EI. Hypoxia, Inflammation, and Cytokine Crosstalk in Sickle Cell Disease: From Mechanisms to Modulation- A Narrative Review. </w:t>
      </w:r>
      <w:r w:rsidRPr="00876C2D">
        <w:rPr>
          <w:rFonts w:ascii="Times New Roman" w:hAnsi="Times New Roman" w:cs="Times New Roman"/>
          <w:i/>
          <w:iCs/>
          <w:sz w:val="24"/>
          <w:szCs w:val="24"/>
        </w:rPr>
        <w:t>Pediatric Health Med Ther</w:t>
      </w:r>
      <w:r w:rsidRPr="00876C2D">
        <w:rPr>
          <w:rFonts w:ascii="Times New Roman" w:hAnsi="Times New Roman" w:cs="Times New Roman"/>
          <w:sz w:val="24"/>
          <w:szCs w:val="24"/>
        </w:rPr>
        <w:t xml:space="preserve">. </w:t>
      </w:r>
      <w:proofErr w:type="gramStart"/>
      <w:r w:rsidRPr="00876C2D">
        <w:rPr>
          <w:rFonts w:ascii="Times New Roman" w:hAnsi="Times New Roman" w:cs="Times New Roman"/>
          <w:sz w:val="24"/>
          <w:szCs w:val="24"/>
        </w:rPr>
        <w:t>2025;16:217</w:t>
      </w:r>
      <w:proofErr w:type="gramEnd"/>
      <w:r w:rsidRPr="00876C2D">
        <w:rPr>
          <w:rFonts w:ascii="Times New Roman" w:hAnsi="Times New Roman" w:cs="Times New Roman"/>
          <w:sz w:val="24"/>
          <w:szCs w:val="24"/>
        </w:rPr>
        <w:t>-225</w:t>
      </w:r>
      <w:r w:rsidRPr="00876C2D">
        <w:rPr>
          <w:rFonts w:ascii="Times New Roman" w:hAnsi="Times New Roman" w:cs="Times New Roman"/>
          <w:sz w:val="24"/>
          <w:szCs w:val="24"/>
        </w:rPr>
        <w:br/>
      </w:r>
      <w:hyperlink r:id="rId9" w:history="1">
        <w:r w:rsidRPr="00876C2D">
          <w:rPr>
            <w:rStyle w:val="Hyperlink"/>
            <w:rFonts w:ascii="Times New Roman" w:hAnsi="Times New Roman" w:cs="Times New Roman"/>
            <w:sz w:val="24"/>
            <w:szCs w:val="24"/>
          </w:rPr>
          <w:t>https://doi.org/10.2147/PHMT.S544217</w:t>
        </w:r>
      </w:hyperlink>
    </w:p>
    <w:p w14:paraId="6995FD3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Allali, S., Maciel, T. T., Hermine, O., &amp; de Montalembert, M. (2020). Innate immune cells, major protagonists of sickle cell disease pathophysiology. </w:t>
      </w:r>
      <w:proofErr w:type="spellStart"/>
      <w:r w:rsidRPr="00876C2D">
        <w:rPr>
          <w:rFonts w:ascii="Times New Roman" w:eastAsia="Times New Roman" w:hAnsi="Times New Roman" w:cs="Times New Roman"/>
          <w:i/>
          <w:iCs/>
          <w:sz w:val="24"/>
          <w:szCs w:val="24"/>
        </w:rPr>
        <w:t>Haematologica</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105</w:t>
      </w:r>
      <w:r w:rsidRPr="00876C2D">
        <w:rPr>
          <w:rFonts w:ascii="Times New Roman" w:eastAsia="Times New Roman" w:hAnsi="Times New Roman" w:cs="Times New Roman"/>
          <w:sz w:val="24"/>
          <w:szCs w:val="24"/>
        </w:rPr>
        <w:t>(2), 273–283. https://doi.org/10.3324/haematol.2019.229989</w:t>
      </w:r>
    </w:p>
    <w:p w14:paraId="3A20BE50"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lastRenderedPageBreak/>
        <w:t xml:space="preserve">Bozza, M. T., &amp; Jeney, V. (2020). Pro-inflammatory Actions of Heme and Other Hemoglobin-Derived DAMPs. </w:t>
      </w:r>
      <w:r w:rsidRPr="00876C2D">
        <w:rPr>
          <w:rFonts w:ascii="Times New Roman" w:eastAsia="Times New Roman" w:hAnsi="Times New Roman" w:cs="Times New Roman"/>
          <w:i/>
          <w:iCs/>
          <w:sz w:val="24"/>
          <w:szCs w:val="24"/>
        </w:rPr>
        <w:t>Frontiers in immunology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11</w:t>
      </w:r>
      <w:r w:rsidRPr="00876C2D">
        <w:rPr>
          <w:rFonts w:ascii="Times New Roman" w:eastAsia="Times New Roman" w:hAnsi="Times New Roman" w:cs="Times New Roman"/>
          <w:sz w:val="24"/>
          <w:szCs w:val="24"/>
        </w:rPr>
        <w:t>, 1323. https://doi.org/10.3389/fimmu.2020.01323</w:t>
      </w:r>
    </w:p>
    <w:p w14:paraId="1531E2E6"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Reiner, A. P., Raffield, L. M., </w:t>
      </w:r>
      <w:proofErr w:type="spellStart"/>
      <w:r w:rsidRPr="00876C2D">
        <w:rPr>
          <w:rFonts w:ascii="Times New Roman" w:eastAsia="Times New Roman" w:hAnsi="Times New Roman" w:cs="Times New Roman"/>
          <w:sz w:val="24"/>
          <w:szCs w:val="24"/>
        </w:rPr>
        <w:t>Ekunwe</w:t>
      </w:r>
      <w:proofErr w:type="spellEnd"/>
      <w:r w:rsidRPr="00876C2D">
        <w:rPr>
          <w:rFonts w:ascii="Times New Roman" w:eastAsia="Times New Roman" w:hAnsi="Times New Roman" w:cs="Times New Roman"/>
          <w:sz w:val="24"/>
          <w:szCs w:val="24"/>
        </w:rPr>
        <w:t xml:space="preserve">, L., Olson, N. C., Auer, P. L., &amp; Doyle, M. F. (2025). Alterations of T Cell Subsets Associated with Sickle Cell Trait. </w:t>
      </w:r>
      <w:r w:rsidRPr="00876C2D">
        <w:rPr>
          <w:rFonts w:ascii="Times New Roman" w:eastAsia="Times New Roman" w:hAnsi="Times New Roman" w:cs="Times New Roman"/>
          <w:i/>
          <w:iCs/>
          <w:sz w:val="24"/>
          <w:szCs w:val="24"/>
        </w:rPr>
        <w:t>Blood and genomics discovery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9</w:t>
      </w:r>
      <w:r w:rsidRPr="00876C2D">
        <w:rPr>
          <w:rFonts w:ascii="Times New Roman" w:eastAsia="Times New Roman" w:hAnsi="Times New Roman" w:cs="Times New Roman"/>
          <w:sz w:val="24"/>
          <w:szCs w:val="24"/>
        </w:rPr>
        <w:t>(1), 10001. https://doi.org/10.70322/bgd.2025.10001</w:t>
      </w:r>
    </w:p>
    <w:p w14:paraId="35DA513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Diniz, M. V., Silva, A. P., Arcanjo, G. S., Batista, T. H. C., Rodrigues, J. V. S., Rêgo, M. J. B. M., Leão, H. I., Silva, R. C., Souto, F. O., Melo, C. M. L., Barros, B. R. S., Anjos, A. C. M., Araújo, A. S., Domingos, I. F., Saad, S. T. O., Costa, F. F., Lucena-Araujo, A. R., &amp; Bezerra, M. A. C. (2026). Inflammatory cytokine profile in patients with sickle cell </w:t>
      </w:r>
      <w:proofErr w:type="spellStart"/>
      <w:r w:rsidRPr="00876C2D">
        <w:rPr>
          <w:rFonts w:ascii="Times New Roman" w:eastAsia="Times New Roman" w:hAnsi="Times New Roman" w:cs="Times New Roman"/>
          <w:sz w:val="24"/>
          <w:szCs w:val="24"/>
        </w:rPr>
        <w:t>anaemia</w:t>
      </w:r>
      <w:proofErr w:type="spellEnd"/>
      <w:r w:rsidRPr="00876C2D">
        <w:rPr>
          <w:rFonts w:ascii="Times New Roman" w:eastAsia="Times New Roman" w:hAnsi="Times New Roman" w:cs="Times New Roman"/>
          <w:sz w:val="24"/>
          <w:szCs w:val="24"/>
        </w:rPr>
        <w:t xml:space="preserve"> and leg ulcers. </w:t>
      </w:r>
      <w:r w:rsidRPr="00876C2D">
        <w:rPr>
          <w:rFonts w:ascii="Times New Roman" w:eastAsia="Times New Roman" w:hAnsi="Times New Roman" w:cs="Times New Roman"/>
          <w:i/>
          <w:iCs/>
          <w:sz w:val="24"/>
          <w:szCs w:val="24"/>
        </w:rPr>
        <w:t xml:space="preserve">British journal of </w:t>
      </w:r>
      <w:proofErr w:type="spellStart"/>
      <w:r w:rsidRPr="00876C2D">
        <w:rPr>
          <w:rFonts w:ascii="Times New Roman" w:eastAsia="Times New Roman" w:hAnsi="Times New Roman" w:cs="Times New Roman"/>
          <w:i/>
          <w:iCs/>
          <w:sz w:val="24"/>
          <w:szCs w:val="24"/>
        </w:rPr>
        <w:t>haematology</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208</w:t>
      </w:r>
      <w:r w:rsidRPr="00876C2D">
        <w:rPr>
          <w:rFonts w:ascii="Times New Roman" w:eastAsia="Times New Roman" w:hAnsi="Times New Roman" w:cs="Times New Roman"/>
          <w:sz w:val="24"/>
          <w:szCs w:val="24"/>
        </w:rPr>
        <w:t>(1), 373–377. https://doi.org/10.1111/bjh.70236</w:t>
      </w:r>
    </w:p>
    <w:p w14:paraId="136BA080"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Piel, F. B., Rees, D. C., DeBaun, M. R., </w:t>
      </w:r>
      <w:proofErr w:type="spellStart"/>
      <w:r w:rsidRPr="00876C2D">
        <w:rPr>
          <w:rFonts w:ascii="Times New Roman" w:eastAsia="Times New Roman" w:hAnsi="Times New Roman" w:cs="Times New Roman"/>
          <w:sz w:val="24"/>
          <w:szCs w:val="24"/>
        </w:rPr>
        <w:t>Nnodu</w:t>
      </w:r>
      <w:proofErr w:type="spellEnd"/>
      <w:r w:rsidRPr="00876C2D">
        <w:rPr>
          <w:rFonts w:ascii="Times New Roman" w:eastAsia="Times New Roman" w:hAnsi="Times New Roman" w:cs="Times New Roman"/>
          <w:sz w:val="24"/>
          <w:szCs w:val="24"/>
        </w:rPr>
        <w:t xml:space="preserve">, O., Ranque, B., Thompson, A. A., Ware, R. E., Abboud, M. R., Abraham, A., Ambrose, E. E., Andemariam, B., Colah, R., </w:t>
      </w:r>
      <w:proofErr w:type="spellStart"/>
      <w:r w:rsidRPr="00876C2D">
        <w:rPr>
          <w:rFonts w:ascii="Times New Roman" w:eastAsia="Times New Roman" w:hAnsi="Times New Roman" w:cs="Times New Roman"/>
          <w:sz w:val="24"/>
          <w:szCs w:val="24"/>
        </w:rPr>
        <w:t>Colombatti</w:t>
      </w:r>
      <w:proofErr w:type="spellEnd"/>
      <w:r w:rsidRPr="00876C2D">
        <w:rPr>
          <w:rFonts w:ascii="Times New Roman" w:eastAsia="Times New Roman" w:hAnsi="Times New Roman" w:cs="Times New Roman"/>
          <w:sz w:val="24"/>
          <w:szCs w:val="24"/>
        </w:rPr>
        <w:t xml:space="preserve">, R., Conran, N., Costa, F. F., Cronin, R. M., de Montalembert, M., Elion, J., Esrick, E., Greenway, A. L., … Ohene-Frempong, K. (2023). Defining global strategies to improve outcomes in sickle cell disease: a Lancet </w:t>
      </w:r>
      <w:proofErr w:type="spellStart"/>
      <w:r w:rsidRPr="00876C2D">
        <w:rPr>
          <w:rFonts w:ascii="Times New Roman" w:eastAsia="Times New Roman" w:hAnsi="Times New Roman" w:cs="Times New Roman"/>
          <w:sz w:val="24"/>
          <w:szCs w:val="24"/>
        </w:rPr>
        <w:t>Haematology</w:t>
      </w:r>
      <w:proofErr w:type="spellEnd"/>
      <w:r w:rsidRPr="00876C2D">
        <w:rPr>
          <w:rFonts w:ascii="Times New Roman" w:eastAsia="Times New Roman" w:hAnsi="Times New Roman" w:cs="Times New Roman"/>
          <w:sz w:val="24"/>
          <w:szCs w:val="24"/>
        </w:rPr>
        <w:t xml:space="preserve"> Commission. </w:t>
      </w:r>
      <w:r w:rsidRPr="00876C2D">
        <w:rPr>
          <w:rFonts w:ascii="Times New Roman" w:eastAsia="Times New Roman" w:hAnsi="Times New Roman" w:cs="Times New Roman"/>
          <w:i/>
          <w:iCs/>
          <w:sz w:val="24"/>
          <w:szCs w:val="24"/>
        </w:rPr>
        <w:t xml:space="preserve">The Lancet. </w:t>
      </w:r>
      <w:proofErr w:type="spellStart"/>
      <w:r w:rsidRPr="00876C2D">
        <w:rPr>
          <w:rFonts w:ascii="Times New Roman" w:eastAsia="Times New Roman" w:hAnsi="Times New Roman" w:cs="Times New Roman"/>
          <w:i/>
          <w:iCs/>
          <w:sz w:val="24"/>
          <w:szCs w:val="24"/>
        </w:rPr>
        <w:t>Haematology</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10</w:t>
      </w:r>
      <w:r w:rsidRPr="00876C2D">
        <w:rPr>
          <w:rFonts w:ascii="Times New Roman" w:eastAsia="Times New Roman" w:hAnsi="Times New Roman" w:cs="Times New Roman"/>
          <w:sz w:val="24"/>
          <w:szCs w:val="24"/>
        </w:rPr>
        <w:t>(8), e633–e686. https://doi.org/10.1016/S2352-3026(23)00096-0</w:t>
      </w:r>
    </w:p>
    <w:p w14:paraId="22F91456"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Obeagu</w:t>
      </w:r>
      <w:proofErr w:type="spellEnd"/>
      <w:r w:rsidRPr="00876C2D">
        <w:rPr>
          <w:rFonts w:ascii="Times New Roman" w:eastAsia="Times New Roman" w:hAnsi="Times New Roman" w:cs="Times New Roman"/>
          <w:sz w:val="24"/>
          <w:szCs w:val="24"/>
        </w:rPr>
        <w:t xml:space="preserve">, E. I., &amp; John, A. (2025). Health equity in sickle cell disease: overcoming barriers to care in marginalized communities. </w:t>
      </w:r>
      <w:r w:rsidRPr="00876C2D">
        <w:rPr>
          <w:rFonts w:ascii="Times New Roman" w:eastAsia="Times New Roman" w:hAnsi="Times New Roman" w:cs="Times New Roman"/>
          <w:i/>
          <w:iCs/>
          <w:sz w:val="24"/>
          <w:szCs w:val="24"/>
        </w:rPr>
        <w:t>Annals of medicine and surgery (2012)</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87</w:t>
      </w:r>
      <w:r w:rsidRPr="00876C2D">
        <w:rPr>
          <w:rFonts w:ascii="Times New Roman" w:eastAsia="Times New Roman" w:hAnsi="Times New Roman" w:cs="Times New Roman"/>
          <w:sz w:val="24"/>
          <w:szCs w:val="24"/>
        </w:rPr>
        <w:t>(12), 8610–8616. https://doi.org/10.1097/MS9.0000000000004195</w:t>
      </w:r>
    </w:p>
    <w:p w14:paraId="488DE5C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Xu, J. Z., &amp; Thein, S. L. (2022). Revisiting anemia in sickle cell disease and finding the balance with therapeutic approaches. </w:t>
      </w:r>
      <w:r w:rsidRPr="00876C2D">
        <w:rPr>
          <w:rFonts w:ascii="Times New Roman" w:eastAsia="Times New Roman" w:hAnsi="Times New Roman" w:cs="Times New Roman"/>
          <w:i/>
          <w:iCs/>
          <w:sz w:val="24"/>
          <w:szCs w:val="24"/>
        </w:rPr>
        <w:t>Blood</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139</w:t>
      </w:r>
      <w:r w:rsidRPr="00876C2D">
        <w:rPr>
          <w:rFonts w:ascii="Times New Roman" w:eastAsia="Times New Roman" w:hAnsi="Times New Roman" w:cs="Times New Roman"/>
          <w:sz w:val="24"/>
          <w:szCs w:val="24"/>
        </w:rPr>
        <w:t>(20), 3030–3039. https://doi.org/10.1182/blood.2021013873</w:t>
      </w:r>
    </w:p>
    <w:p w14:paraId="06B60361"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Hayashida, K., Miyazaki, Y., Yu, B., Silverman, M. G., Pinciroli, R., Berra, L., Malhotra, R., </w:t>
      </w:r>
      <w:proofErr w:type="spellStart"/>
      <w:r w:rsidRPr="00876C2D">
        <w:rPr>
          <w:rFonts w:ascii="Times New Roman" w:eastAsia="Times New Roman" w:hAnsi="Times New Roman" w:cs="Times New Roman"/>
          <w:sz w:val="24"/>
          <w:szCs w:val="24"/>
        </w:rPr>
        <w:t>Donnino</w:t>
      </w:r>
      <w:proofErr w:type="spellEnd"/>
      <w:r w:rsidRPr="00876C2D">
        <w:rPr>
          <w:rFonts w:ascii="Times New Roman" w:eastAsia="Times New Roman" w:hAnsi="Times New Roman" w:cs="Times New Roman"/>
          <w:sz w:val="24"/>
          <w:szCs w:val="24"/>
        </w:rPr>
        <w:t xml:space="preserve">, M. W., &amp; Ichinose, F. (2019). Depletion of Vascular Nitric Oxide Contributes to Poor Outcomes after Cardiac Arrest. </w:t>
      </w:r>
      <w:r w:rsidRPr="00876C2D">
        <w:rPr>
          <w:rFonts w:ascii="Times New Roman" w:eastAsia="Times New Roman" w:hAnsi="Times New Roman" w:cs="Times New Roman"/>
          <w:i/>
          <w:iCs/>
          <w:sz w:val="24"/>
          <w:szCs w:val="24"/>
        </w:rPr>
        <w:t>American journal of respiratory and critical care medicine</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199</w:t>
      </w:r>
      <w:r w:rsidRPr="00876C2D">
        <w:rPr>
          <w:rFonts w:ascii="Times New Roman" w:eastAsia="Times New Roman" w:hAnsi="Times New Roman" w:cs="Times New Roman"/>
          <w:sz w:val="24"/>
          <w:szCs w:val="24"/>
        </w:rPr>
        <w:t>(10), 1288–1290. https://doi.org/10.1164/rccm.201812-2377LE</w:t>
      </w:r>
    </w:p>
    <w:p w14:paraId="0FAC572A"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Hsu, L. L., Champion, H. C., Campbell-Lee, S. A., </w:t>
      </w:r>
      <w:proofErr w:type="spellStart"/>
      <w:r w:rsidRPr="00876C2D">
        <w:rPr>
          <w:rFonts w:ascii="Times New Roman" w:eastAsia="Times New Roman" w:hAnsi="Times New Roman" w:cs="Times New Roman"/>
          <w:sz w:val="24"/>
          <w:szCs w:val="24"/>
        </w:rPr>
        <w:t>Bivalacqua</w:t>
      </w:r>
      <w:proofErr w:type="spellEnd"/>
      <w:r w:rsidRPr="00876C2D">
        <w:rPr>
          <w:rFonts w:ascii="Times New Roman" w:eastAsia="Times New Roman" w:hAnsi="Times New Roman" w:cs="Times New Roman"/>
          <w:sz w:val="24"/>
          <w:szCs w:val="24"/>
        </w:rPr>
        <w:t xml:space="preserve">, T. J., Manci, E. A., Diwan, B. A., Schimel, D. M., Cochard, A. E., Wang, X., Schechter, A. N., Noguchi, C. T., &amp; Gladwin, M. T. (2007). Hemolysis in sickle cell mice causes pulmonary hypertension due to global impairment in nitric oxide bioavailability. </w:t>
      </w:r>
      <w:r w:rsidRPr="00876C2D">
        <w:rPr>
          <w:rFonts w:ascii="Times New Roman" w:eastAsia="Times New Roman" w:hAnsi="Times New Roman" w:cs="Times New Roman"/>
          <w:i/>
          <w:iCs/>
          <w:sz w:val="24"/>
          <w:szCs w:val="24"/>
        </w:rPr>
        <w:t>Blood</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109</w:t>
      </w:r>
      <w:r w:rsidRPr="00876C2D">
        <w:rPr>
          <w:rFonts w:ascii="Times New Roman" w:eastAsia="Times New Roman" w:hAnsi="Times New Roman" w:cs="Times New Roman"/>
          <w:sz w:val="24"/>
          <w:szCs w:val="24"/>
        </w:rPr>
        <w:t>(7), 3088–3098. https://doi.org/10.1182/blood-2006-08-039438</w:t>
      </w:r>
    </w:p>
    <w:p w14:paraId="61989F34"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Honda, T., Hirakawa, Y., &amp; </w:t>
      </w:r>
      <w:proofErr w:type="spellStart"/>
      <w:r w:rsidRPr="00876C2D">
        <w:rPr>
          <w:rFonts w:ascii="Times New Roman" w:eastAsia="Times New Roman" w:hAnsi="Times New Roman" w:cs="Times New Roman"/>
          <w:sz w:val="24"/>
          <w:szCs w:val="24"/>
        </w:rPr>
        <w:t>Nangaku</w:t>
      </w:r>
      <w:proofErr w:type="spellEnd"/>
      <w:r w:rsidRPr="00876C2D">
        <w:rPr>
          <w:rFonts w:ascii="Times New Roman" w:eastAsia="Times New Roman" w:hAnsi="Times New Roman" w:cs="Times New Roman"/>
          <w:sz w:val="24"/>
          <w:szCs w:val="24"/>
        </w:rPr>
        <w:t xml:space="preserve">, M. (2019). The role of oxidative stress and hypoxia in renal disease. </w:t>
      </w:r>
      <w:r w:rsidRPr="00876C2D">
        <w:rPr>
          <w:rFonts w:ascii="Times New Roman" w:eastAsia="Times New Roman" w:hAnsi="Times New Roman" w:cs="Times New Roman"/>
          <w:i/>
          <w:iCs/>
          <w:sz w:val="24"/>
          <w:szCs w:val="24"/>
        </w:rPr>
        <w:t>Kidney research and clinical practice</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38</w:t>
      </w:r>
      <w:r w:rsidRPr="00876C2D">
        <w:rPr>
          <w:rFonts w:ascii="Times New Roman" w:eastAsia="Times New Roman" w:hAnsi="Times New Roman" w:cs="Times New Roman"/>
          <w:sz w:val="24"/>
          <w:szCs w:val="24"/>
        </w:rPr>
        <w:t>(4), 414–426. https://doi.org/10.23876/j.krcp.19.063</w:t>
      </w:r>
    </w:p>
    <w:p w14:paraId="37206987"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Kisler, K., Nelson, A. R., Montagne, A., &amp; </w:t>
      </w:r>
      <w:proofErr w:type="spellStart"/>
      <w:r w:rsidRPr="00876C2D">
        <w:rPr>
          <w:rFonts w:ascii="Times New Roman" w:eastAsia="Times New Roman" w:hAnsi="Times New Roman" w:cs="Times New Roman"/>
          <w:sz w:val="24"/>
          <w:szCs w:val="24"/>
        </w:rPr>
        <w:t>Zlokovic</w:t>
      </w:r>
      <w:proofErr w:type="spellEnd"/>
      <w:r w:rsidRPr="00876C2D">
        <w:rPr>
          <w:rFonts w:ascii="Times New Roman" w:eastAsia="Times New Roman" w:hAnsi="Times New Roman" w:cs="Times New Roman"/>
          <w:sz w:val="24"/>
          <w:szCs w:val="24"/>
        </w:rPr>
        <w:t xml:space="preserve">, B. V. (2017). Cerebral blood flow regulation and neurovascular dysfunction in Alzheimer disease. </w:t>
      </w:r>
      <w:r w:rsidRPr="00876C2D">
        <w:rPr>
          <w:rFonts w:ascii="Times New Roman" w:eastAsia="Times New Roman" w:hAnsi="Times New Roman" w:cs="Times New Roman"/>
          <w:i/>
          <w:iCs/>
          <w:sz w:val="24"/>
          <w:szCs w:val="24"/>
        </w:rPr>
        <w:t>Nature reviews. Neuroscience</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18</w:t>
      </w:r>
      <w:r w:rsidRPr="00876C2D">
        <w:rPr>
          <w:rFonts w:ascii="Times New Roman" w:eastAsia="Times New Roman" w:hAnsi="Times New Roman" w:cs="Times New Roman"/>
          <w:sz w:val="24"/>
          <w:szCs w:val="24"/>
        </w:rPr>
        <w:t>(7), 419–434. https://doi.org/10.1038/nrn.2017.48</w:t>
      </w:r>
    </w:p>
    <w:p w14:paraId="717D3F80"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Gallo, J., Raska, M., Kriegova, E., &amp; Goodman, S. B. (2017). Inflammation and its resolution and the musculoskeletal system. </w:t>
      </w:r>
      <w:r w:rsidRPr="00876C2D">
        <w:rPr>
          <w:rFonts w:ascii="Times New Roman" w:eastAsia="Times New Roman" w:hAnsi="Times New Roman" w:cs="Times New Roman"/>
          <w:i/>
          <w:iCs/>
          <w:sz w:val="24"/>
          <w:szCs w:val="24"/>
        </w:rPr>
        <w:t xml:space="preserve">Journal of </w:t>
      </w:r>
      <w:proofErr w:type="spellStart"/>
      <w:r w:rsidRPr="00876C2D">
        <w:rPr>
          <w:rFonts w:ascii="Times New Roman" w:eastAsia="Times New Roman" w:hAnsi="Times New Roman" w:cs="Times New Roman"/>
          <w:i/>
          <w:iCs/>
          <w:sz w:val="24"/>
          <w:szCs w:val="24"/>
        </w:rPr>
        <w:t>orthopaedic</w:t>
      </w:r>
      <w:proofErr w:type="spellEnd"/>
      <w:r w:rsidRPr="00876C2D">
        <w:rPr>
          <w:rFonts w:ascii="Times New Roman" w:eastAsia="Times New Roman" w:hAnsi="Times New Roman" w:cs="Times New Roman"/>
          <w:i/>
          <w:iCs/>
          <w:sz w:val="24"/>
          <w:szCs w:val="24"/>
        </w:rPr>
        <w:t xml:space="preserve"> translation</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10</w:t>
      </w:r>
      <w:r w:rsidRPr="00876C2D">
        <w:rPr>
          <w:rFonts w:ascii="Times New Roman" w:eastAsia="Times New Roman" w:hAnsi="Times New Roman" w:cs="Times New Roman"/>
          <w:sz w:val="24"/>
          <w:szCs w:val="24"/>
        </w:rPr>
        <w:t>, 52–67. https://doi.org/10.1016/j.jot.2017.05.007</w:t>
      </w:r>
    </w:p>
    <w:p w14:paraId="6CF9FB12"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Ansari, J., &amp; Gavins, F. N. E. (2019). Ischemia-Reperfusion Injury in Sickle Cell Disease: From Basics to Therapeutics. </w:t>
      </w:r>
      <w:r w:rsidRPr="00876C2D">
        <w:rPr>
          <w:rFonts w:ascii="Times New Roman" w:eastAsia="Times New Roman" w:hAnsi="Times New Roman" w:cs="Times New Roman"/>
          <w:i/>
          <w:iCs/>
          <w:sz w:val="24"/>
          <w:szCs w:val="24"/>
        </w:rPr>
        <w:t>The American journal of pathology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189</w:t>
      </w:r>
      <w:r w:rsidRPr="00876C2D">
        <w:rPr>
          <w:rFonts w:ascii="Times New Roman" w:eastAsia="Times New Roman" w:hAnsi="Times New Roman" w:cs="Times New Roman"/>
          <w:sz w:val="24"/>
          <w:szCs w:val="24"/>
        </w:rPr>
        <w:t>(4), 706–718. https://doi.org/10.1016/j.ajpath.2018.12.012</w:t>
      </w:r>
    </w:p>
    <w:p w14:paraId="4D21DF31"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lastRenderedPageBreak/>
        <w:t xml:space="preserve">Goodman, S. R., Pace, B. S., Hansen, K. C., </w:t>
      </w:r>
      <w:proofErr w:type="spellStart"/>
      <w:r w:rsidRPr="00876C2D">
        <w:rPr>
          <w:rFonts w:ascii="Times New Roman" w:eastAsia="Times New Roman" w:hAnsi="Times New Roman" w:cs="Times New Roman"/>
          <w:sz w:val="24"/>
          <w:szCs w:val="24"/>
        </w:rPr>
        <w:t>D'alessandro</w:t>
      </w:r>
      <w:proofErr w:type="spellEnd"/>
      <w:r w:rsidRPr="00876C2D">
        <w:rPr>
          <w:rFonts w:ascii="Times New Roman" w:eastAsia="Times New Roman" w:hAnsi="Times New Roman" w:cs="Times New Roman"/>
          <w:sz w:val="24"/>
          <w:szCs w:val="24"/>
        </w:rPr>
        <w:t xml:space="preserve">, A., Xia, Y., </w:t>
      </w:r>
      <w:proofErr w:type="spellStart"/>
      <w:r w:rsidRPr="00876C2D">
        <w:rPr>
          <w:rFonts w:ascii="Times New Roman" w:eastAsia="Times New Roman" w:hAnsi="Times New Roman" w:cs="Times New Roman"/>
          <w:sz w:val="24"/>
          <w:szCs w:val="24"/>
        </w:rPr>
        <w:t>Daescu</w:t>
      </w:r>
      <w:proofErr w:type="spellEnd"/>
      <w:r w:rsidRPr="00876C2D">
        <w:rPr>
          <w:rFonts w:ascii="Times New Roman" w:eastAsia="Times New Roman" w:hAnsi="Times New Roman" w:cs="Times New Roman"/>
          <w:sz w:val="24"/>
          <w:szCs w:val="24"/>
        </w:rPr>
        <w:t xml:space="preserve">, O., &amp; Glatt, S. J. (2016). Minireview: </w:t>
      </w:r>
      <w:proofErr w:type="spellStart"/>
      <w:r w:rsidRPr="00876C2D">
        <w:rPr>
          <w:rFonts w:ascii="Times New Roman" w:eastAsia="Times New Roman" w:hAnsi="Times New Roman" w:cs="Times New Roman"/>
          <w:sz w:val="24"/>
          <w:szCs w:val="24"/>
        </w:rPr>
        <w:t>Multiomic</w:t>
      </w:r>
      <w:proofErr w:type="spellEnd"/>
      <w:r w:rsidRPr="00876C2D">
        <w:rPr>
          <w:rFonts w:ascii="Times New Roman" w:eastAsia="Times New Roman" w:hAnsi="Times New Roman" w:cs="Times New Roman"/>
          <w:sz w:val="24"/>
          <w:szCs w:val="24"/>
        </w:rPr>
        <w:t xml:space="preserve"> candidate biomarkers for clinical manifestations of sickle cell severity: Early steps to precision medicine. </w:t>
      </w:r>
      <w:r w:rsidRPr="00876C2D">
        <w:rPr>
          <w:rFonts w:ascii="Times New Roman" w:eastAsia="Times New Roman" w:hAnsi="Times New Roman" w:cs="Times New Roman"/>
          <w:i/>
          <w:iCs/>
          <w:sz w:val="24"/>
          <w:szCs w:val="24"/>
        </w:rPr>
        <w:t>Experimental biology and medicine (Maywood, N.J.)</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241</w:t>
      </w:r>
      <w:r w:rsidRPr="00876C2D">
        <w:rPr>
          <w:rFonts w:ascii="Times New Roman" w:eastAsia="Times New Roman" w:hAnsi="Times New Roman" w:cs="Times New Roman"/>
          <w:sz w:val="24"/>
          <w:szCs w:val="24"/>
        </w:rPr>
        <w:t>(7), 772–781. https://doi.org/10.1177/1535370216640150</w:t>
      </w:r>
    </w:p>
    <w:p w14:paraId="277C4C2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Kalpatthi</w:t>
      </w:r>
      <w:proofErr w:type="spellEnd"/>
      <w:r w:rsidRPr="00876C2D">
        <w:rPr>
          <w:rFonts w:ascii="Times New Roman" w:eastAsia="Times New Roman" w:hAnsi="Times New Roman" w:cs="Times New Roman"/>
          <w:sz w:val="24"/>
          <w:szCs w:val="24"/>
        </w:rPr>
        <w:t xml:space="preserve">, R., &amp; Novelli, E. M. (2018). Measuring success: utility of biomarkers in sickle cell disease clinical trials and care. </w:t>
      </w:r>
      <w:r w:rsidRPr="00876C2D">
        <w:rPr>
          <w:rFonts w:ascii="Times New Roman" w:eastAsia="Times New Roman" w:hAnsi="Times New Roman" w:cs="Times New Roman"/>
          <w:i/>
          <w:iCs/>
          <w:sz w:val="24"/>
          <w:szCs w:val="24"/>
        </w:rPr>
        <w:t>Hematology. American Society of Hematology. Education Program</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2018</w:t>
      </w:r>
      <w:r w:rsidRPr="00876C2D">
        <w:rPr>
          <w:rFonts w:ascii="Times New Roman" w:eastAsia="Times New Roman" w:hAnsi="Times New Roman" w:cs="Times New Roman"/>
          <w:sz w:val="24"/>
          <w:szCs w:val="24"/>
        </w:rPr>
        <w:t>(1), 482–492. https://doi.org/10.1182/asheducation-2018.1.482</w:t>
      </w:r>
    </w:p>
    <w:p w14:paraId="6682E0A4"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Kalogeris</w:t>
      </w:r>
      <w:proofErr w:type="spellEnd"/>
      <w:r w:rsidRPr="00876C2D">
        <w:rPr>
          <w:rFonts w:ascii="Times New Roman" w:eastAsia="Times New Roman" w:hAnsi="Times New Roman" w:cs="Times New Roman"/>
          <w:sz w:val="24"/>
          <w:szCs w:val="24"/>
        </w:rPr>
        <w:t xml:space="preserve">, T., Baines, C. P., Krenz, M., &amp; Korthuis, R. J. (2016). Ischemia/Reperfusion. </w:t>
      </w:r>
      <w:r w:rsidRPr="00876C2D">
        <w:rPr>
          <w:rFonts w:ascii="Times New Roman" w:eastAsia="Times New Roman" w:hAnsi="Times New Roman" w:cs="Times New Roman"/>
          <w:i/>
          <w:iCs/>
          <w:sz w:val="24"/>
          <w:szCs w:val="24"/>
        </w:rPr>
        <w:t>Comprehensive Physiology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7</w:t>
      </w:r>
      <w:r w:rsidRPr="00876C2D">
        <w:rPr>
          <w:rFonts w:ascii="Times New Roman" w:eastAsia="Times New Roman" w:hAnsi="Times New Roman" w:cs="Times New Roman"/>
          <w:sz w:val="24"/>
          <w:szCs w:val="24"/>
        </w:rPr>
        <w:t>(1), 113–170. https://doi.org/10.1002/cphy.c160006</w:t>
      </w:r>
    </w:p>
    <w:p w14:paraId="45F0D74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Kabrah</w:t>
      </w:r>
      <w:proofErr w:type="spellEnd"/>
      <w:r w:rsidRPr="00876C2D">
        <w:rPr>
          <w:rFonts w:ascii="Times New Roman" w:eastAsia="Times New Roman" w:hAnsi="Times New Roman" w:cs="Times New Roman"/>
          <w:sz w:val="24"/>
          <w:szCs w:val="24"/>
        </w:rPr>
        <w:t xml:space="preserve"> S. M. (2025). Emerging Gene Therapies in Sickle Cell Disease: A Comparative Review of Efficacy and Safety Against Standard Treatments. </w:t>
      </w:r>
      <w:r w:rsidRPr="00876C2D">
        <w:rPr>
          <w:rFonts w:ascii="Times New Roman" w:eastAsia="Times New Roman" w:hAnsi="Times New Roman" w:cs="Times New Roman"/>
          <w:i/>
          <w:iCs/>
          <w:sz w:val="24"/>
          <w:szCs w:val="24"/>
        </w:rPr>
        <w:t>Journal of blood medicine</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16</w:t>
      </w:r>
      <w:r w:rsidRPr="00876C2D">
        <w:rPr>
          <w:rFonts w:ascii="Times New Roman" w:eastAsia="Times New Roman" w:hAnsi="Times New Roman" w:cs="Times New Roman"/>
          <w:sz w:val="24"/>
          <w:szCs w:val="24"/>
        </w:rPr>
        <w:t>, 493–507. https://doi.org/10.2147/JBM.S556513</w:t>
      </w:r>
    </w:p>
    <w:p w14:paraId="4380C279"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Tang, S., Yuan, K., &amp; Chen, L. (2022). Molecular biomarkers, network biomarkers, and dynamic network biomarkers for diagnosis and prediction of rare diseases. </w:t>
      </w:r>
      <w:r w:rsidRPr="00876C2D">
        <w:rPr>
          <w:rFonts w:ascii="Times New Roman" w:eastAsia="Times New Roman" w:hAnsi="Times New Roman" w:cs="Times New Roman"/>
          <w:i/>
          <w:iCs/>
          <w:sz w:val="24"/>
          <w:szCs w:val="24"/>
        </w:rPr>
        <w:t>Fundamental research</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w:t>
      </w:r>
      <w:r w:rsidRPr="00876C2D">
        <w:rPr>
          <w:rFonts w:ascii="Times New Roman" w:eastAsia="Times New Roman" w:hAnsi="Times New Roman" w:cs="Times New Roman"/>
          <w:sz w:val="24"/>
          <w:szCs w:val="24"/>
        </w:rPr>
        <w:t>(6), 894–902. https://doi.org/10.1016/j.fmre.2022.07.011</w:t>
      </w:r>
    </w:p>
    <w:p w14:paraId="3DB16E74"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Johnson, K. B., Wei, W. Q., Weeraratne, D., Frisse, M. E., </w:t>
      </w:r>
      <w:proofErr w:type="spellStart"/>
      <w:r w:rsidRPr="00876C2D">
        <w:rPr>
          <w:rFonts w:ascii="Times New Roman" w:eastAsia="Times New Roman" w:hAnsi="Times New Roman" w:cs="Times New Roman"/>
          <w:sz w:val="24"/>
          <w:szCs w:val="24"/>
        </w:rPr>
        <w:t>Misulis</w:t>
      </w:r>
      <w:proofErr w:type="spellEnd"/>
      <w:r w:rsidRPr="00876C2D">
        <w:rPr>
          <w:rFonts w:ascii="Times New Roman" w:eastAsia="Times New Roman" w:hAnsi="Times New Roman" w:cs="Times New Roman"/>
          <w:sz w:val="24"/>
          <w:szCs w:val="24"/>
        </w:rPr>
        <w:t xml:space="preserve">, K., Rhee, K., Zhao, J., &amp; Snowdon, J. L. (2021). Precision Medicine, AI, and the Future of Personalized Health Care. </w:t>
      </w:r>
      <w:r w:rsidRPr="00876C2D">
        <w:rPr>
          <w:rFonts w:ascii="Times New Roman" w:eastAsia="Times New Roman" w:hAnsi="Times New Roman" w:cs="Times New Roman"/>
          <w:i/>
          <w:iCs/>
          <w:sz w:val="24"/>
          <w:szCs w:val="24"/>
        </w:rPr>
        <w:t>Clinical and translational science</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14</w:t>
      </w:r>
      <w:r w:rsidRPr="00876C2D">
        <w:rPr>
          <w:rFonts w:ascii="Times New Roman" w:eastAsia="Times New Roman" w:hAnsi="Times New Roman" w:cs="Times New Roman"/>
          <w:sz w:val="24"/>
          <w:szCs w:val="24"/>
        </w:rPr>
        <w:t xml:space="preserve">(1), 86–93. </w:t>
      </w:r>
      <w:hyperlink r:id="rId10" w:history="1">
        <w:r w:rsidRPr="00876C2D">
          <w:rPr>
            <w:rStyle w:val="Hyperlink"/>
            <w:rFonts w:ascii="Times New Roman" w:eastAsia="Times New Roman" w:hAnsi="Times New Roman" w:cs="Times New Roman"/>
            <w:sz w:val="24"/>
            <w:szCs w:val="24"/>
          </w:rPr>
          <w:t>https://doi.org/10.1111/cts.12884</w:t>
        </w:r>
      </w:hyperlink>
    </w:p>
    <w:p w14:paraId="5AE73174" w14:textId="77777777" w:rsidR="00C93070" w:rsidRPr="00876C2D" w:rsidRDefault="00876C2D" w:rsidP="00876C2D">
      <w:pPr>
        <w:pStyle w:val="ListParagraph"/>
        <w:numPr>
          <w:ilvl w:val="0"/>
          <w:numId w:val="1"/>
        </w:numPr>
        <w:spacing w:after="0" w:line="240" w:lineRule="auto"/>
        <w:jc w:val="both"/>
        <w:rPr>
          <w:rFonts w:ascii="Times New Roman" w:hAnsi="Times New Roman" w:cs="Times New Roman"/>
          <w:sz w:val="24"/>
          <w:szCs w:val="24"/>
        </w:rPr>
      </w:pPr>
      <w:proofErr w:type="spellStart"/>
      <w:r w:rsidRPr="00876C2D">
        <w:rPr>
          <w:rFonts w:ascii="Times New Roman" w:eastAsia="Times New Roman" w:hAnsi="Times New Roman" w:cs="Times New Roman"/>
          <w:sz w:val="24"/>
          <w:szCs w:val="24"/>
        </w:rPr>
        <w:t>Obeagu</w:t>
      </w:r>
      <w:proofErr w:type="spellEnd"/>
      <w:r w:rsidRPr="00876C2D">
        <w:rPr>
          <w:rFonts w:ascii="Times New Roman" w:eastAsia="Times New Roman" w:hAnsi="Times New Roman" w:cs="Times New Roman"/>
          <w:sz w:val="24"/>
          <w:szCs w:val="24"/>
        </w:rPr>
        <w:t xml:space="preserve"> E. I. (2025). Strategies for reducing child mortality due to sickle cell disease in Uganda: a narrative review. </w:t>
      </w:r>
      <w:r w:rsidRPr="00876C2D">
        <w:rPr>
          <w:rFonts w:ascii="Times New Roman" w:eastAsia="Times New Roman" w:hAnsi="Times New Roman" w:cs="Times New Roman"/>
          <w:i/>
          <w:iCs/>
          <w:sz w:val="24"/>
          <w:szCs w:val="24"/>
        </w:rPr>
        <w:t>Annals of medicine and surgery (2012)</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87</w:t>
      </w:r>
      <w:r w:rsidRPr="00876C2D">
        <w:rPr>
          <w:rFonts w:ascii="Times New Roman" w:eastAsia="Times New Roman" w:hAnsi="Times New Roman" w:cs="Times New Roman"/>
          <w:sz w:val="24"/>
          <w:szCs w:val="24"/>
        </w:rPr>
        <w:t>(6), 3279–3288. https://doi.org/10.1097/MS9.0000000000002981</w:t>
      </w:r>
    </w:p>
    <w:sectPr w:rsidR="00C93070" w:rsidRPr="00876C2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16081" w14:textId="77777777" w:rsidR="00E95B4C" w:rsidRDefault="00E95B4C" w:rsidP="002C65F0">
      <w:pPr>
        <w:spacing w:after="0" w:line="240" w:lineRule="auto"/>
      </w:pPr>
      <w:r>
        <w:separator/>
      </w:r>
    </w:p>
  </w:endnote>
  <w:endnote w:type="continuationSeparator" w:id="0">
    <w:p w14:paraId="0D1F8D09" w14:textId="77777777" w:rsidR="00E95B4C" w:rsidRDefault="00E95B4C" w:rsidP="002C6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4A9C5" w14:textId="77777777" w:rsidR="002C65F0" w:rsidRDefault="002C65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B8BE0" w14:textId="77777777" w:rsidR="002C65F0" w:rsidRDefault="002C65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FF82A" w14:textId="77777777" w:rsidR="002C65F0" w:rsidRDefault="002C6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E155A" w14:textId="77777777" w:rsidR="00E95B4C" w:rsidRDefault="00E95B4C" w:rsidP="002C65F0">
      <w:pPr>
        <w:spacing w:after="0" w:line="240" w:lineRule="auto"/>
      </w:pPr>
      <w:r>
        <w:separator/>
      </w:r>
    </w:p>
  </w:footnote>
  <w:footnote w:type="continuationSeparator" w:id="0">
    <w:p w14:paraId="260138A8" w14:textId="77777777" w:rsidR="00E95B4C" w:rsidRDefault="00E95B4C" w:rsidP="002C65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580A4" w14:textId="1EEDCDB5" w:rsidR="002C65F0" w:rsidRDefault="002C65F0">
    <w:pPr>
      <w:pStyle w:val="Header"/>
    </w:pPr>
    <w:r>
      <w:rPr>
        <w:noProof/>
      </w:rPr>
      <w:pict w14:anchorId="5C46B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703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63D2C" w14:textId="6401982C" w:rsidR="002C65F0" w:rsidRDefault="002C65F0">
    <w:pPr>
      <w:pStyle w:val="Header"/>
    </w:pPr>
    <w:r>
      <w:rPr>
        <w:noProof/>
      </w:rPr>
      <w:pict w14:anchorId="17C10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703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387E2" w14:textId="43E90BF5" w:rsidR="002C65F0" w:rsidRDefault="002C65F0">
    <w:pPr>
      <w:pStyle w:val="Header"/>
    </w:pPr>
    <w:r>
      <w:rPr>
        <w:noProof/>
      </w:rPr>
      <w:pict w14:anchorId="6A2C6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703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41EF9"/>
    <w:multiLevelType w:val="hybridMultilevel"/>
    <w:tmpl w:val="999C8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E4A"/>
    <w:rsid w:val="00033AA5"/>
    <w:rsid w:val="00130842"/>
    <w:rsid w:val="002B6EAB"/>
    <w:rsid w:val="002C65F0"/>
    <w:rsid w:val="003F5E0F"/>
    <w:rsid w:val="004B4CBD"/>
    <w:rsid w:val="00631226"/>
    <w:rsid w:val="00677C95"/>
    <w:rsid w:val="0083463D"/>
    <w:rsid w:val="00872A4C"/>
    <w:rsid w:val="00876C2D"/>
    <w:rsid w:val="008A2E4A"/>
    <w:rsid w:val="00A1611C"/>
    <w:rsid w:val="00AC4D44"/>
    <w:rsid w:val="00C93070"/>
    <w:rsid w:val="00E86AA1"/>
    <w:rsid w:val="00E95B4C"/>
    <w:rsid w:val="00EA4F4F"/>
    <w:rsid w:val="00F53858"/>
    <w:rsid w:val="00F57379"/>
    <w:rsid w:val="00F91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AFF5C5"/>
  <w15:chartTrackingRefBased/>
  <w15:docId w15:val="{AA5277ED-68E1-4EEF-AC4C-6925221F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A2E4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A2E4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A2E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E4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A2E4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A2E4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A2E4A"/>
    <w:rPr>
      <w:b/>
      <w:bCs/>
    </w:rPr>
  </w:style>
  <w:style w:type="character" w:customStyle="1" w:styleId="Heading3Char">
    <w:name w:val="Heading 3 Char"/>
    <w:basedOn w:val="DefaultParagraphFont"/>
    <w:link w:val="Heading3"/>
    <w:uiPriority w:val="9"/>
    <w:semiHidden/>
    <w:rsid w:val="008A2E4A"/>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872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872A4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72A4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72A4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72A4C"/>
    <w:rPr>
      <w:rFonts w:ascii="Arial" w:eastAsia="Times New Roman" w:hAnsi="Arial" w:cs="Arial"/>
      <w:vanish/>
      <w:sz w:val="16"/>
      <w:szCs w:val="16"/>
    </w:rPr>
  </w:style>
  <w:style w:type="paragraph" w:styleId="ListParagraph">
    <w:name w:val="List Paragraph"/>
    <w:basedOn w:val="Normal"/>
    <w:uiPriority w:val="34"/>
    <w:qFormat/>
    <w:rsid w:val="00876C2D"/>
    <w:pPr>
      <w:ind w:left="720"/>
      <w:contextualSpacing/>
    </w:pPr>
  </w:style>
  <w:style w:type="character" w:styleId="Hyperlink">
    <w:name w:val="Hyperlink"/>
    <w:basedOn w:val="DefaultParagraphFont"/>
    <w:uiPriority w:val="99"/>
    <w:unhideWhenUsed/>
    <w:rsid w:val="00876C2D"/>
    <w:rPr>
      <w:color w:val="0563C1" w:themeColor="hyperlink"/>
      <w:u w:val="single"/>
    </w:rPr>
  </w:style>
  <w:style w:type="character" w:styleId="UnresolvedMention">
    <w:name w:val="Unresolved Mention"/>
    <w:basedOn w:val="DefaultParagraphFont"/>
    <w:uiPriority w:val="99"/>
    <w:semiHidden/>
    <w:unhideWhenUsed/>
    <w:rsid w:val="00130842"/>
    <w:rPr>
      <w:color w:val="605E5C"/>
      <w:shd w:val="clear" w:color="auto" w:fill="E1DFDD"/>
    </w:rPr>
  </w:style>
  <w:style w:type="paragraph" w:styleId="Header">
    <w:name w:val="header"/>
    <w:basedOn w:val="Normal"/>
    <w:link w:val="HeaderChar"/>
    <w:uiPriority w:val="99"/>
    <w:unhideWhenUsed/>
    <w:rsid w:val="002C65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65F0"/>
  </w:style>
  <w:style w:type="paragraph" w:styleId="Footer">
    <w:name w:val="footer"/>
    <w:basedOn w:val="Normal"/>
    <w:link w:val="FooterChar"/>
    <w:uiPriority w:val="99"/>
    <w:unhideWhenUsed/>
    <w:rsid w:val="002C65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574984">
      <w:bodyDiv w:val="1"/>
      <w:marLeft w:val="0"/>
      <w:marRight w:val="0"/>
      <w:marTop w:val="0"/>
      <w:marBottom w:val="0"/>
      <w:divBdr>
        <w:top w:val="none" w:sz="0" w:space="0" w:color="auto"/>
        <w:left w:val="none" w:sz="0" w:space="0" w:color="auto"/>
        <w:bottom w:val="none" w:sz="0" w:space="0" w:color="auto"/>
        <w:right w:val="none" w:sz="0" w:space="0" w:color="auto"/>
      </w:divBdr>
    </w:div>
    <w:div w:id="732969757">
      <w:bodyDiv w:val="1"/>
      <w:marLeft w:val="0"/>
      <w:marRight w:val="0"/>
      <w:marTop w:val="0"/>
      <w:marBottom w:val="0"/>
      <w:divBdr>
        <w:top w:val="none" w:sz="0" w:space="0" w:color="auto"/>
        <w:left w:val="none" w:sz="0" w:space="0" w:color="auto"/>
        <w:bottom w:val="none" w:sz="0" w:space="0" w:color="auto"/>
        <w:right w:val="none" w:sz="0" w:space="0" w:color="auto"/>
      </w:divBdr>
    </w:div>
    <w:div w:id="780078241">
      <w:bodyDiv w:val="1"/>
      <w:marLeft w:val="0"/>
      <w:marRight w:val="0"/>
      <w:marTop w:val="0"/>
      <w:marBottom w:val="0"/>
      <w:divBdr>
        <w:top w:val="none" w:sz="0" w:space="0" w:color="auto"/>
        <w:left w:val="none" w:sz="0" w:space="0" w:color="auto"/>
        <w:bottom w:val="none" w:sz="0" w:space="0" w:color="auto"/>
        <w:right w:val="none" w:sz="0" w:space="0" w:color="auto"/>
      </w:divBdr>
    </w:div>
    <w:div w:id="858354491">
      <w:bodyDiv w:val="1"/>
      <w:marLeft w:val="0"/>
      <w:marRight w:val="0"/>
      <w:marTop w:val="0"/>
      <w:marBottom w:val="0"/>
      <w:divBdr>
        <w:top w:val="none" w:sz="0" w:space="0" w:color="auto"/>
        <w:left w:val="none" w:sz="0" w:space="0" w:color="auto"/>
        <w:bottom w:val="none" w:sz="0" w:space="0" w:color="auto"/>
        <w:right w:val="none" w:sz="0" w:space="0" w:color="auto"/>
      </w:divBdr>
    </w:div>
    <w:div w:id="937179031">
      <w:bodyDiv w:val="1"/>
      <w:marLeft w:val="0"/>
      <w:marRight w:val="0"/>
      <w:marTop w:val="0"/>
      <w:marBottom w:val="0"/>
      <w:divBdr>
        <w:top w:val="none" w:sz="0" w:space="0" w:color="auto"/>
        <w:left w:val="none" w:sz="0" w:space="0" w:color="auto"/>
        <w:bottom w:val="none" w:sz="0" w:space="0" w:color="auto"/>
        <w:right w:val="none" w:sz="0" w:space="0" w:color="auto"/>
      </w:divBdr>
    </w:div>
    <w:div w:id="1044059786">
      <w:bodyDiv w:val="1"/>
      <w:marLeft w:val="0"/>
      <w:marRight w:val="0"/>
      <w:marTop w:val="0"/>
      <w:marBottom w:val="0"/>
      <w:divBdr>
        <w:top w:val="none" w:sz="0" w:space="0" w:color="auto"/>
        <w:left w:val="none" w:sz="0" w:space="0" w:color="auto"/>
        <w:bottom w:val="none" w:sz="0" w:space="0" w:color="auto"/>
        <w:right w:val="none" w:sz="0" w:space="0" w:color="auto"/>
      </w:divBdr>
    </w:div>
    <w:div w:id="1360089019">
      <w:bodyDiv w:val="1"/>
      <w:marLeft w:val="0"/>
      <w:marRight w:val="0"/>
      <w:marTop w:val="0"/>
      <w:marBottom w:val="0"/>
      <w:divBdr>
        <w:top w:val="none" w:sz="0" w:space="0" w:color="auto"/>
        <w:left w:val="none" w:sz="0" w:space="0" w:color="auto"/>
        <w:bottom w:val="none" w:sz="0" w:space="0" w:color="auto"/>
        <w:right w:val="none" w:sz="0" w:space="0" w:color="auto"/>
      </w:divBdr>
      <w:divsChild>
        <w:div w:id="189151392">
          <w:marLeft w:val="0"/>
          <w:marRight w:val="0"/>
          <w:marTop w:val="0"/>
          <w:marBottom w:val="0"/>
          <w:divBdr>
            <w:top w:val="none" w:sz="0" w:space="0" w:color="auto"/>
            <w:left w:val="none" w:sz="0" w:space="0" w:color="auto"/>
            <w:bottom w:val="none" w:sz="0" w:space="0" w:color="auto"/>
            <w:right w:val="none" w:sz="0" w:space="0" w:color="auto"/>
          </w:divBdr>
          <w:divsChild>
            <w:div w:id="1745296032">
              <w:marLeft w:val="0"/>
              <w:marRight w:val="0"/>
              <w:marTop w:val="0"/>
              <w:marBottom w:val="0"/>
              <w:divBdr>
                <w:top w:val="none" w:sz="0" w:space="0" w:color="auto"/>
                <w:left w:val="none" w:sz="0" w:space="0" w:color="auto"/>
                <w:bottom w:val="none" w:sz="0" w:space="0" w:color="auto"/>
                <w:right w:val="none" w:sz="0" w:space="0" w:color="auto"/>
              </w:divBdr>
              <w:divsChild>
                <w:div w:id="1020280669">
                  <w:marLeft w:val="0"/>
                  <w:marRight w:val="0"/>
                  <w:marTop w:val="0"/>
                  <w:marBottom w:val="0"/>
                  <w:divBdr>
                    <w:top w:val="none" w:sz="0" w:space="0" w:color="auto"/>
                    <w:left w:val="none" w:sz="0" w:space="0" w:color="auto"/>
                    <w:bottom w:val="none" w:sz="0" w:space="0" w:color="auto"/>
                    <w:right w:val="none" w:sz="0" w:space="0" w:color="auto"/>
                  </w:divBdr>
                  <w:divsChild>
                    <w:div w:id="1770663023">
                      <w:marLeft w:val="0"/>
                      <w:marRight w:val="0"/>
                      <w:marTop w:val="0"/>
                      <w:marBottom w:val="0"/>
                      <w:divBdr>
                        <w:top w:val="none" w:sz="0" w:space="0" w:color="auto"/>
                        <w:left w:val="none" w:sz="0" w:space="0" w:color="auto"/>
                        <w:bottom w:val="none" w:sz="0" w:space="0" w:color="auto"/>
                        <w:right w:val="none" w:sz="0" w:space="0" w:color="auto"/>
                      </w:divBdr>
                      <w:divsChild>
                        <w:div w:id="1295253690">
                          <w:marLeft w:val="0"/>
                          <w:marRight w:val="0"/>
                          <w:marTop w:val="0"/>
                          <w:marBottom w:val="0"/>
                          <w:divBdr>
                            <w:top w:val="none" w:sz="0" w:space="0" w:color="auto"/>
                            <w:left w:val="none" w:sz="0" w:space="0" w:color="auto"/>
                            <w:bottom w:val="none" w:sz="0" w:space="0" w:color="auto"/>
                            <w:right w:val="none" w:sz="0" w:space="0" w:color="auto"/>
                          </w:divBdr>
                          <w:divsChild>
                            <w:div w:id="786504945">
                              <w:marLeft w:val="0"/>
                              <w:marRight w:val="0"/>
                              <w:marTop w:val="0"/>
                              <w:marBottom w:val="0"/>
                              <w:divBdr>
                                <w:top w:val="none" w:sz="0" w:space="0" w:color="auto"/>
                                <w:left w:val="none" w:sz="0" w:space="0" w:color="auto"/>
                                <w:bottom w:val="none" w:sz="0" w:space="0" w:color="auto"/>
                                <w:right w:val="none" w:sz="0" w:space="0" w:color="auto"/>
                              </w:divBdr>
                              <w:divsChild>
                                <w:div w:id="926426356">
                                  <w:marLeft w:val="0"/>
                                  <w:marRight w:val="0"/>
                                  <w:marTop w:val="0"/>
                                  <w:marBottom w:val="0"/>
                                  <w:divBdr>
                                    <w:top w:val="none" w:sz="0" w:space="0" w:color="auto"/>
                                    <w:left w:val="none" w:sz="0" w:space="0" w:color="auto"/>
                                    <w:bottom w:val="none" w:sz="0" w:space="0" w:color="auto"/>
                                    <w:right w:val="none" w:sz="0" w:space="0" w:color="auto"/>
                                  </w:divBdr>
                                  <w:divsChild>
                                    <w:div w:id="1568882260">
                                      <w:marLeft w:val="0"/>
                                      <w:marRight w:val="0"/>
                                      <w:marTop w:val="0"/>
                                      <w:marBottom w:val="0"/>
                                      <w:divBdr>
                                        <w:top w:val="none" w:sz="0" w:space="0" w:color="auto"/>
                                        <w:left w:val="none" w:sz="0" w:space="0" w:color="auto"/>
                                        <w:bottom w:val="none" w:sz="0" w:space="0" w:color="auto"/>
                                        <w:right w:val="none" w:sz="0" w:space="0" w:color="auto"/>
                                      </w:divBdr>
                                      <w:divsChild>
                                        <w:div w:id="1508255499">
                                          <w:marLeft w:val="0"/>
                                          <w:marRight w:val="0"/>
                                          <w:marTop w:val="0"/>
                                          <w:marBottom w:val="0"/>
                                          <w:divBdr>
                                            <w:top w:val="none" w:sz="0" w:space="0" w:color="auto"/>
                                            <w:left w:val="none" w:sz="0" w:space="0" w:color="auto"/>
                                            <w:bottom w:val="none" w:sz="0" w:space="0" w:color="auto"/>
                                            <w:right w:val="none" w:sz="0" w:space="0" w:color="auto"/>
                                          </w:divBdr>
                                          <w:divsChild>
                                            <w:div w:id="4752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2235804">
          <w:marLeft w:val="0"/>
          <w:marRight w:val="0"/>
          <w:marTop w:val="0"/>
          <w:marBottom w:val="0"/>
          <w:divBdr>
            <w:top w:val="none" w:sz="0" w:space="0" w:color="auto"/>
            <w:left w:val="none" w:sz="0" w:space="0" w:color="auto"/>
            <w:bottom w:val="none" w:sz="0" w:space="0" w:color="auto"/>
            <w:right w:val="none" w:sz="0" w:space="0" w:color="auto"/>
          </w:divBdr>
          <w:divsChild>
            <w:div w:id="902184525">
              <w:marLeft w:val="0"/>
              <w:marRight w:val="0"/>
              <w:marTop w:val="0"/>
              <w:marBottom w:val="0"/>
              <w:divBdr>
                <w:top w:val="none" w:sz="0" w:space="0" w:color="auto"/>
                <w:left w:val="none" w:sz="0" w:space="0" w:color="auto"/>
                <w:bottom w:val="none" w:sz="0" w:space="0" w:color="auto"/>
                <w:right w:val="none" w:sz="0" w:space="0" w:color="auto"/>
              </w:divBdr>
              <w:divsChild>
                <w:div w:id="1309094326">
                  <w:marLeft w:val="0"/>
                  <w:marRight w:val="0"/>
                  <w:marTop w:val="0"/>
                  <w:marBottom w:val="0"/>
                  <w:divBdr>
                    <w:top w:val="none" w:sz="0" w:space="0" w:color="auto"/>
                    <w:left w:val="none" w:sz="0" w:space="0" w:color="auto"/>
                    <w:bottom w:val="none" w:sz="0" w:space="0" w:color="auto"/>
                    <w:right w:val="none" w:sz="0" w:space="0" w:color="auto"/>
                  </w:divBdr>
                  <w:divsChild>
                    <w:div w:id="1842692943">
                      <w:marLeft w:val="0"/>
                      <w:marRight w:val="0"/>
                      <w:marTop w:val="0"/>
                      <w:marBottom w:val="0"/>
                      <w:divBdr>
                        <w:top w:val="none" w:sz="0" w:space="0" w:color="auto"/>
                        <w:left w:val="none" w:sz="0" w:space="0" w:color="auto"/>
                        <w:bottom w:val="none" w:sz="0" w:space="0" w:color="auto"/>
                        <w:right w:val="none" w:sz="0" w:space="0" w:color="auto"/>
                      </w:divBdr>
                      <w:divsChild>
                        <w:div w:id="587885662">
                          <w:marLeft w:val="0"/>
                          <w:marRight w:val="0"/>
                          <w:marTop w:val="0"/>
                          <w:marBottom w:val="0"/>
                          <w:divBdr>
                            <w:top w:val="none" w:sz="0" w:space="0" w:color="auto"/>
                            <w:left w:val="none" w:sz="0" w:space="0" w:color="auto"/>
                            <w:bottom w:val="none" w:sz="0" w:space="0" w:color="auto"/>
                            <w:right w:val="none" w:sz="0" w:space="0" w:color="auto"/>
                          </w:divBdr>
                          <w:divsChild>
                            <w:div w:id="370346679">
                              <w:marLeft w:val="0"/>
                              <w:marRight w:val="0"/>
                              <w:marTop w:val="0"/>
                              <w:marBottom w:val="0"/>
                              <w:divBdr>
                                <w:top w:val="none" w:sz="0" w:space="0" w:color="auto"/>
                                <w:left w:val="none" w:sz="0" w:space="0" w:color="auto"/>
                                <w:bottom w:val="none" w:sz="0" w:space="0" w:color="auto"/>
                                <w:right w:val="none" w:sz="0" w:space="0" w:color="auto"/>
                              </w:divBdr>
                              <w:divsChild>
                                <w:div w:id="545338392">
                                  <w:marLeft w:val="0"/>
                                  <w:marRight w:val="0"/>
                                  <w:marTop w:val="0"/>
                                  <w:marBottom w:val="0"/>
                                  <w:divBdr>
                                    <w:top w:val="none" w:sz="0" w:space="0" w:color="auto"/>
                                    <w:left w:val="none" w:sz="0" w:space="0" w:color="auto"/>
                                    <w:bottom w:val="none" w:sz="0" w:space="0" w:color="auto"/>
                                    <w:right w:val="none" w:sz="0" w:space="0" w:color="auto"/>
                                  </w:divBdr>
                                  <w:divsChild>
                                    <w:div w:id="1179274279">
                                      <w:marLeft w:val="0"/>
                                      <w:marRight w:val="0"/>
                                      <w:marTop w:val="0"/>
                                      <w:marBottom w:val="0"/>
                                      <w:divBdr>
                                        <w:top w:val="none" w:sz="0" w:space="0" w:color="auto"/>
                                        <w:left w:val="none" w:sz="0" w:space="0" w:color="auto"/>
                                        <w:bottom w:val="none" w:sz="0" w:space="0" w:color="auto"/>
                                        <w:right w:val="none" w:sz="0" w:space="0" w:color="auto"/>
                                      </w:divBdr>
                                      <w:divsChild>
                                        <w:div w:id="1363167249">
                                          <w:marLeft w:val="0"/>
                                          <w:marRight w:val="0"/>
                                          <w:marTop w:val="0"/>
                                          <w:marBottom w:val="0"/>
                                          <w:divBdr>
                                            <w:top w:val="none" w:sz="0" w:space="0" w:color="auto"/>
                                            <w:left w:val="none" w:sz="0" w:space="0" w:color="auto"/>
                                            <w:bottom w:val="none" w:sz="0" w:space="0" w:color="auto"/>
                                            <w:right w:val="none" w:sz="0" w:space="0" w:color="auto"/>
                                          </w:divBdr>
                                          <w:divsChild>
                                            <w:div w:id="19459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3227739">
      <w:bodyDiv w:val="1"/>
      <w:marLeft w:val="0"/>
      <w:marRight w:val="0"/>
      <w:marTop w:val="0"/>
      <w:marBottom w:val="0"/>
      <w:divBdr>
        <w:top w:val="none" w:sz="0" w:space="0" w:color="auto"/>
        <w:left w:val="none" w:sz="0" w:space="0" w:color="auto"/>
        <w:bottom w:val="none" w:sz="0" w:space="0" w:color="auto"/>
        <w:right w:val="none" w:sz="0" w:space="0" w:color="auto"/>
      </w:divBdr>
      <w:divsChild>
        <w:div w:id="782186886">
          <w:marLeft w:val="0"/>
          <w:marRight w:val="0"/>
          <w:marTop w:val="0"/>
          <w:marBottom w:val="0"/>
          <w:divBdr>
            <w:top w:val="none" w:sz="0" w:space="0" w:color="auto"/>
            <w:left w:val="none" w:sz="0" w:space="0" w:color="auto"/>
            <w:bottom w:val="none" w:sz="0" w:space="0" w:color="auto"/>
            <w:right w:val="none" w:sz="0" w:space="0" w:color="auto"/>
          </w:divBdr>
          <w:divsChild>
            <w:div w:id="1852256848">
              <w:marLeft w:val="0"/>
              <w:marRight w:val="0"/>
              <w:marTop w:val="0"/>
              <w:marBottom w:val="0"/>
              <w:divBdr>
                <w:top w:val="none" w:sz="0" w:space="0" w:color="auto"/>
                <w:left w:val="none" w:sz="0" w:space="0" w:color="auto"/>
                <w:bottom w:val="none" w:sz="0" w:space="0" w:color="auto"/>
                <w:right w:val="none" w:sz="0" w:space="0" w:color="auto"/>
              </w:divBdr>
              <w:divsChild>
                <w:div w:id="407770099">
                  <w:marLeft w:val="0"/>
                  <w:marRight w:val="0"/>
                  <w:marTop w:val="0"/>
                  <w:marBottom w:val="0"/>
                  <w:divBdr>
                    <w:top w:val="none" w:sz="0" w:space="0" w:color="auto"/>
                    <w:left w:val="none" w:sz="0" w:space="0" w:color="auto"/>
                    <w:bottom w:val="none" w:sz="0" w:space="0" w:color="auto"/>
                    <w:right w:val="none" w:sz="0" w:space="0" w:color="auto"/>
                  </w:divBdr>
                  <w:divsChild>
                    <w:div w:id="392966969">
                      <w:marLeft w:val="0"/>
                      <w:marRight w:val="0"/>
                      <w:marTop w:val="0"/>
                      <w:marBottom w:val="0"/>
                      <w:divBdr>
                        <w:top w:val="none" w:sz="0" w:space="0" w:color="auto"/>
                        <w:left w:val="none" w:sz="0" w:space="0" w:color="auto"/>
                        <w:bottom w:val="none" w:sz="0" w:space="0" w:color="auto"/>
                        <w:right w:val="none" w:sz="0" w:space="0" w:color="auto"/>
                      </w:divBdr>
                      <w:divsChild>
                        <w:div w:id="1876000427">
                          <w:marLeft w:val="0"/>
                          <w:marRight w:val="0"/>
                          <w:marTop w:val="0"/>
                          <w:marBottom w:val="0"/>
                          <w:divBdr>
                            <w:top w:val="none" w:sz="0" w:space="0" w:color="auto"/>
                            <w:left w:val="none" w:sz="0" w:space="0" w:color="auto"/>
                            <w:bottom w:val="none" w:sz="0" w:space="0" w:color="auto"/>
                            <w:right w:val="none" w:sz="0" w:space="0" w:color="auto"/>
                          </w:divBdr>
                          <w:divsChild>
                            <w:div w:id="1683048686">
                              <w:marLeft w:val="0"/>
                              <w:marRight w:val="0"/>
                              <w:marTop w:val="0"/>
                              <w:marBottom w:val="0"/>
                              <w:divBdr>
                                <w:top w:val="none" w:sz="0" w:space="0" w:color="auto"/>
                                <w:left w:val="none" w:sz="0" w:space="0" w:color="auto"/>
                                <w:bottom w:val="none" w:sz="0" w:space="0" w:color="auto"/>
                                <w:right w:val="none" w:sz="0" w:space="0" w:color="auto"/>
                              </w:divBdr>
                              <w:divsChild>
                                <w:div w:id="538670237">
                                  <w:marLeft w:val="0"/>
                                  <w:marRight w:val="0"/>
                                  <w:marTop w:val="0"/>
                                  <w:marBottom w:val="0"/>
                                  <w:divBdr>
                                    <w:top w:val="none" w:sz="0" w:space="0" w:color="auto"/>
                                    <w:left w:val="none" w:sz="0" w:space="0" w:color="auto"/>
                                    <w:bottom w:val="none" w:sz="0" w:space="0" w:color="auto"/>
                                    <w:right w:val="none" w:sz="0" w:space="0" w:color="auto"/>
                                  </w:divBdr>
                                  <w:divsChild>
                                    <w:div w:id="14139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120494">
      <w:bodyDiv w:val="1"/>
      <w:marLeft w:val="0"/>
      <w:marRight w:val="0"/>
      <w:marTop w:val="0"/>
      <w:marBottom w:val="0"/>
      <w:divBdr>
        <w:top w:val="none" w:sz="0" w:space="0" w:color="auto"/>
        <w:left w:val="none" w:sz="0" w:space="0" w:color="auto"/>
        <w:bottom w:val="none" w:sz="0" w:space="0" w:color="auto"/>
        <w:right w:val="none" w:sz="0" w:space="0" w:color="auto"/>
      </w:divBdr>
    </w:div>
    <w:div w:id="1838568865">
      <w:bodyDiv w:val="1"/>
      <w:marLeft w:val="0"/>
      <w:marRight w:val="0"/>
      <w:marTop w:val="0"/>
      <w:marBottom w:val="0"/>
      <w:divBdr>
        <w:top w:val="none" w:sz="0" w:space="0" w:color="auto"/>
        <w:left w:val="none" w:sz="0" w:space="0" w:color="auto"/>
        <w:bottom w:val="none" w:sz="0" w:space="0" w:color="auto"/>
        <w:right w:val="none" w:sz="0" w:space="0" w:color="auto"/>
      </w:divBdr>
      <w:divsChild>
        <w:div w:id="1199316320">
          <w:marLeft w:val="0"/>
          <w:marRight w:val="0"/>
          <w:marTop w:val="0"/>
          <w:marBottom w:val="0"/>
          <w:divBdr>
            <w:top w:val="none" w:sz="0" w:space="0" w:color="auto"/>
            <w:left w:val="none" w:sz="0" w:space="0" w:color="auto"/>
            <w:bottom w:val="none" w:sz="0" w:space="0" w:color="auto"/>
            <w:right w:val="none" w:sz="0" w:space="0" w:color="auto"/>
          </w:divBdr>
          <w:divsChild>
            <w:div w:id="1296107492">
              <w:marLeft w:val="0"/>
              <w:marRight w:val="0"/>
              <w:marTop w:val="0"/>
              <w:marBottom w:val="0"/>
              <w:divBdr>
                <w:top w:val="none" w:sz="0" w:space="0" w:color="auto"/>
                <w:left w:val="none" w:sz="0" w:space="0" w:color="auto"/>
                <w:bottom w:val="none" w:sz="0" w:space="0" w:color="auto"/>
                <w:right w:val="none" w:sz="0" w:space="0" w:color="auto"/>
              </w:divBdr>
              <w:divsChild>
                <w:div w:id="1732118280">
                  <w:marLeft w:val="0"/>
                  <w:marRight w:val="0"/>
                  <w:marTop w:val="0"/>
                  <w:marBottom w:val="0"/>
                  <w:divBdr>
                    <w:top w:val="none" w:sz="0" w:space="0" w:color="auto"/>
                    <w:left w:val="none" w:sz="0" w:space="0" w:color="auto"/>
                    <w:bottom w:val="none" w:sz="0" w:space="0" w:color="auto"/>
                    <w:right w:val="none" w:sz="0" w:space="0" w:color="auto"/>
                  </w:divBdr>
                  <w:divsChild>
                    <w:div w:id="563759305">
                      <w:marLeft w:val="0"/>
                      <w:marRight w:val="0"/>
                      <w:marTop w:val="0"/>
                      <w:marBottom w:val="0"/>
                      <w:divBdr>
                        <w:top w:val="none" w:sz="0" w:space="0" w:color="auto"/>
                        <w:left w:val="none" w:sz="0" w:space="0" w:color="auto"/>
                        <w:bottom w:val="none" w:sz="0" w:space="0" w:color="auto"/>
                        <w:right w:val="none" w:sz="0" w:space="0" w:color="auto"/>
                      </w:divBdr>
                      <w:divsChild>
                        <w:div w:id="762259026">
                          <w:marLeft w:val="0"/>
                          <w:marRight w:val="0"/>
                          <w:marTop w:val="0"/>
                          <w:marBottom w:val="0"/>
                          <w:divBdr>
                            <w:top w:val="none" w:sz="0" w:space="0" w:color="auto"/>
                            <w:left w:val="none" w:sz="0" w:space="0" w:color="auto"/>
                            <w:bottom w:val="none" w:sz="0" w:space="0" w:color="auto"/>
                            <w:right w:val="none" w:sz="0" w:space="0" w:color="auto"/>
                          </w:divBdr>
                          <w:divsChild>
                            <w:div w:id="910115175">
                              <w:marLeft w:val="0"/>
                              <w:marRight w:val="0"/>
                              <w:marTop w:val="0"/>
                              <w:marBottom w:val="0"/>
                              <w:divBdr>
                                <w:top w:val="none" w:sz="0" w:space="0" w:color="auto"/>
                                <w:left w:val="none" w:sz="0" w:space="0" w:color="auto"/>
                                <w:bottom w:val="none" w:sz="0" w:space="0" w:color="auto"/>
                                <w:right w:val="none" w:sz="0" w:space="0" w:color="auto"/>
                              </w:divBdr>
                              <w:divsChild>
                                <w:div w:id="1355304133">
                                  <w:marLeft w:val="0"/>
                                  <w:marRight w:val="0"/>
                                  <w:marTop w:val="0"/>
                                  <w:marBottom w:val="0"/>
                                  <w:divBdr>
                                    <w:top w:val="none" w:sz="0" w:space="0" w:color="auto"/>
                                    <w:left w:val="none" w:sz="0" w:space="0" w:color="auto"/>
                                    <w:bottom w:val="none" w:sz="0" w:space="0" w:color="auto"/>
                                    <w:right w:val="none" w:sz="0" w:space="0" w:color="auto"/>
                                  </w:divBdr>
                                  <w:divsChild>
                                    <w:div w:id="935291146">
                                      <w:marLeft w:val="0"/>
                                      <w:marRight w:val="0"/>
                                      <w:marTop w:val="0"/>
                                      <w:marBottom w:val="0"/>
                                      <w:divBdr>
                                        <w:top w:val="none" w:sz="0" w:space="0" w:color="auto"/>
                                        <w:left w:val="none" w:sz="0" w:space="0" w:color="auto"/>
                                        <w:bottom w:val="none" w:sz="0" w:space="0" w:color="auto"/>
                                        <w:right w:val="none" w:sz="0" w:space="0" w:color="auto"/>
                                      </w:divBdr>
                                      <w:divsChild>
                                        <w:div w:id="7618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353161">
      <w:bodyDiv w:val="1"/>
      <w:marLeft w:val="0"/>
      <w:marRight w:val="0"/>
      <w:marTop w:val="0"/>
      <w:marBottom w:val="0"/>
      <w:divBdr>
        <w:top w:val="none" w:sz="0" w:space="0" w:color="auto"/>
        <w:left w:val="none" w:sz="0" w:space="0" w:color="auto"/>
        <w:bottom w:val="none" w:sz="0" w:space="0" w:color="auto"/>
        <w:right w:val="none" w:sz="0" w:space="0" w:color="auto"/>
      </w:divBdr>
    </w:div>
    <w:div w:id="205503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amepre.2011.09.013"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i.org/10.1111/cts.12884" TargetMode="External"/><Relationship Id="rId4" Type="http://schemas.openxmlformats.org/officeDocument/2006/relationships/webSettings" Target="webSettings.xml"/><Relationship Id="rId9" Type="http://schemas.openxmlformats.org/officeDocument/2006/relationships/hyperlink" Target="https://doi.org/10.2147/PHMT.S544217"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16</Pages>
  <Words>7563</Words>
  <Characters>43114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dc:creator>
  <cp:keywords/>
  <dc:description/>
  <cp:lastModifiedBy>SDI 1084</cp:lastModifiedBy>
  <cp:revision>10</cp:revision>
  <dcterms:created xsi:type="dcterms:W3CDTF">2026-01-30T15:30:00Z</dcterms:created>
  <dcterms:modified xsi:type="dcterms:W3CDTF">2026-01-31T08:30:00Z</dcterms:modified>
</cp:coreProperties>
</file>