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317B7" w14:textId="34602277" w:rsidR="00AB50EB" w:rsidRPr="00AB50EB" w:rsidRDefault="00AB50EB" w:rsidP="00AB50EB">
      <w:pPr>
        <w:pStyle w:val="Author"/>
        <w:spacing w:line="240" w:lineRule="auto"/>
        <w:jc w:val="left"/>
        <w:rPr>
          <w:rFonts w:ascii="Arial" w:hAnsi="Arial" w:cs="Arial"/>
          <w:bCs/>
          <w:iCs/>
          <w:kern w:val="28"/>
          <w:sz w:val="36"/>
          <w:u w:val="single"/>
        </w:rPr>
      </w:pPr>
      <w:r w:rsidRPr="00AB50EB">
        <w:rPr>
          <w:rFonts w:ascii="Arial" w:hAnsi="Arial" w:cs="Arial"/>
          <w:bCs/>
          <w:iCs/>
          <w:kern w:val="28"/>
          <w:sz w:val="36"/>
          <w:u w:val="single"/>
        </w:rPr>
        <w:t>Original Research Article</w:t>
      </w:r>
    </w:p>
    <w:p w14:paraId="48C550F5" w14:textId="77777777" w:rsidR="00AB50EB" w:rsidRDefault="00AB50EB" w:rsidP="00B90029">
      <w:pPr>
        <w:pStyle w:val="Author"/>
        <w:spacing w:line="240" w:lineRule="auto"/>
        <w:rPr>
          <w:rFonts w:ascii="Arial" w:hAnsi="Arial" w:cs="Arial"/>
          <w:bCs/>
          <w:iCs/>
          <w:kern w:val="28"/>
          <w:sz w:val="36"/>
        </w:rPr>
      </w:pPr>
    </w:p>
    <w:p w14:paraId="7ACB9062" w14:textId="0EB8208C" w:rsidR="00A258C3" w:rsidRDefault="00727E79" w:rsidP="00B90029">
      <w:pPr>
        <w:pStyle w:val="Author"/>
        <w:spacing w:line="240" w:lineRule="auto"/>
        <w:rPr>
          <w:rFonts w:ascii="Arial" w:hAnsi="Arial" w:cs="Arial"/>
          <w:bCs/>
          <w:iCs/>
          <w:kern w:val="28"/>
          <w:sz w:val="36"/>
        </w:rPr>
      </w:pPr>
      <w:r w:rsidRPr="00727E79">
        <w:rPr>
          <w:rFonts w:ascii="Arial" w:hAnsi="Arial" w:cs="Arial"/>
          <w:bCs/>
          <w:iCs/>
          <w:kern w:val="28"/>
          <w:sz w:val="36"/>
        </w:rPr>
        <w:t>Interactive Effects of Soil Texture and Sowing Depth on Seedling Emergence Dynamics of Bambara groundnut (</w:t>
      </w:r>
      <w:r w:rsidRPr="00727E79">
        <w:rPr>
          <w:rFonts w:ascii="Arial" w:hAnsi="Arial" w:cs="Arial"/>
          <w:bCs/>
          <w:i/>
          <w:kern w:val="28"/>
          <w:sz w:val="36"/>
        </w:rPr>
        <w:t xml:space="preserve">Vigna </w:t>
      </w:r>
      <w:r>
        <w:rPr>
          <w:rFonts w:ascii="Arial" w:hAnsi="Arial" w:cs="Arial"/>
          <w:bCs/>
          <w:i/>
          <w:kern w:val="28"/>
          <w:sz w:val="36"/>
        </w:rPr>
        <w:t>subterranea</w:t>
      </w:r>
      <w:r>
        <w:rPr>
          <w:rFonts w:ascii="Arial" w:hAnsi="Arial" w:cs="Arial"/>
          <w:bCs/>
          <w:iCs/>
          <w:kern w:val="28"/>
          <w:sz w:val="36"/>
        </w:rPr>
        <w:t xml:space="preserve"> L. Verdc</w:t>
      </w:r>
      <w:r w:rsidR="00C13106">
        <w:rPr>
          <w:rFonts w:ascii="Arial" w:hAnsi="Arial" w:cs="Arial"/>
          <w:bCs/>
          <w:iCs/>
          <w:kern w:val="28"/>
          <w:sz w:val="36"/>
        </w:rPr>
        <w:t>.</w:t>
      </w:r>
      <w:r w:rsidRPr="00727E79">
        <w:rPr>
          <w:rFonts w:ascii="Arial" w:hAnsi="Arial" w:cs="Arial"/>
          <w:bCs/>
          <w:iCs/>
          <w:kern w:val="28"/>
          <w:sz w:val="36"/>
        </w:rPr>
        <w:t>)</w:t>
      </w:r>
    </w:p>
    <w:p w14:paraId="68542820" w14:textId="77777777" w:rsidR="00727E79" w:rsidRPr="00790ADA" w:rsidRDefault="00727E79" w:rsidP="00441B6F">
      <w:pPr>
        <w:pStyle w:val="Author"/>
        <w:spacing w:line="240" w:lineRule="auto"/>
        <w:jc w:val="both"/>
        <w:rPr>
          <w:rFonts w:ascii="Arial" w:hAnsi="Arial" w:cs="Arial"/>
          <w:sz w:val="36"/>
        </w:rPr>
      </w:pPr>
    </w:p>
    <w:p w14:paraId="02BE8947" w14:textId="5C2E8279" w:rsidR="00B01FCD" w:rsidRPr="00FB3A86" w:rsidRDefault="00DB2139" w:rsidP="00441B6F">
      <w:pPr>
        <w:pStyle w:val="Copyright"/>
        <w:spacing w:after="0" w:line="240" w:lineRule="auto"/>
        <w:jc w:val="both"/>
        <w:rPr>
          <w:rFonts w:ascii="Arial" w:hAnsi="Arial" w:cs="Arial"/>
        </w:rPr>
        <w:sectPr w:rsidR="00B01FCD" w:rsidRPr="00FB3A86" w:rsidSect="00CD7F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D91C57" wp14:editId="6EA21C8F">
                <wp:extent cx="5303520" cy="635"/>
                <wp:effectExtent l="9525" t="9525" r="11430"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0E46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q24wwc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62A51E5D" w14:textId="73788E58" w:rsidR="00B01FCD" w:rsidRDefault="00B01FCD" w:rsidP="00441B6F">
      <w:pPr>
        <w:pStyle w:val="AbstHead"/>
        <w:spacing w:after="0"/>
        <w:jc w:val="both"/>
        <w:rPr>
          <w:rFonts w:ascii="Arial" w:hAnsi="Arial" w:cs="Arial"/>
        </w:rPr>
      </w:pPr>
      <w:r w:rsidRPr="00FB3A86">
        <w:rPr>
          <w:rFonts w:ascii="Arial" w:hAnsi="Arial" w:cs="Arial"/>
        </w:rPr>
        <w:t>ABSTRACT</w:t>
      </w:r>
    </w:p>
    <w:p w14:paraId="738AD1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82B822" w14:textId="77777777" w:rsidTr="001E44FE">
        <w:tc>
          <w:tcPr>
            <w:tcW w:w="9576" w:type="dxa"/>
            <w:shd w:val="clear" w:color="auto" w:fill="F2F2F2"/>
          </w:tcPr>
          <w:p w14:paraId="1D0DF031" w14:textId="33B7496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44C3A" w:rsidRPr="00344C3A">
              <w:rPr>
                <w:rFonts w:ascii="Arial" w:eastAsia="Calibri" w:hAnsi="Arial" w:cs="Arial"/>
                <w:szCs w:val="22"/>
              </w:rPr>
              <w:t>Bambara groundnut (</w:t>
            </w:r>
            <w:r w:rsidR="00344C3A" w:rsidRPr="00344C3A">
              <w:rPr>
                <w:rFonts w:ascii="Arial" w:eastAsia="Calibri" w:hAnsi="Arial" w:cs="Arial"/>
                <w:i/>
                <w:iCs/>
                <w:szCs w:val="22"/>
              </w:rPr>
              <w:t xml:space="preserve">Vigna </w:t>
            </w:r>
            <w:r w:rsidR="00344C3A">
              <w:rPr>
                <w:rFonts w:ascii="Arial" w:eastAsia="Calibri" w:hAnsi="Arial" w:cs="Arial"/>
                <w:i/>
                <w:iCs/>
                <w:szCs w:val="22"/>
              </w:rPr>
              <w:t>subterranean</w:t>
            </w:r>
            <w:r w:rsidR="00344C3A">
              <w:rPr>
                <w:rFonts w:ascii="Arial" w:eastAsia="Calibri" w:hAnsi="Arial" w:cs="Arial"/>
                <w:szCs w:val="22"/>
              </w:rPr>
              <w:t xml:space="preserve"> L. Verdc.</w:t>
            </w:r>
            <w:r w:rsidR="00344C3A" w:rsidRPr="00344C3A">
              <w:rPr>
                <w:rFonts w:ascii="Arial" w:eastAsia="Calibri" w:hAnsi="Arial" w:cs="Arial"/>
                <w:szCs w:val="22"/>
              </w:rPr>
              <w:t xml:space="preserve">) is an </w:t>
            </w:r>
            <w:r w:rsidR="00D96269" w:rsidRPr="00344C3A">
              <w:rPr>
                <w:rFonts w:ascii="Arial" w:eastAsia="Calibri" w:hAnsi="Arial" w:cs="Arial"/>
                <w:szCs w:val="22"/>
              </w:rPr>
              <w:t>underutilized</w:t>
            </w:r>
            <w:r w:rsidR="00344C3A" w:rsidRPr="00344C3A">
              <w:rPr>
                <w:rFonts w:ascii="Arial" w:eastAsia="Calibri" w:hAnsi="Arial" w:cs="Arial"/>
                <w:szCs w:val="22"/>
              </w:rPr>
              <w:t xml:space="preserve"> African legume with high nutritional value and strong adaptation to marginal environments, yet its field establishment is often unreliable due to poor seedling emergence. This study aimed to evaluate the combined effects of soil texture and sowing depth on seedling emergence dynamics in order to identify optimal conditions for uniform and successful crop establishment.</w:t>
            </w:r>
          </w:p>
          <w:p w14:paraId="3FF5B0C0" w14:textId="3B689731" w:rsidR="00344C3A"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4C3A" w:rsidRPr="00344C3A">
              <w:rPr>
                <w:rFonts w:ascii="Arial" w:eastAsia="Calibri" w:hAnsi="Arial" w:cs="Arial"/>
                <w:szCs w:val="22"/>
              </w:rPr>
              <w:t xml:space="preserve">A completely </w:t>
            </w:r>
            <w:r w:rsidR="00D96269" w:rsidRPr="00344C3A">
              <w:rPr>
                <w:rFonts w:ascii="Arial" w:eastAsia="Calibri" w:hAnsi="Arial" w:cs="Arial"/>
                <w:szCs w:val="22"/>
              </w:rPr>
              <w:t>randomized</w:t>
            </w:r>
            <w:r w:rsidR="00344C3A" w:rsidRPr="00344C3A">
              <w:rPr>
                <w:rFonts w:ascii="Arial" w:eastAsia="Calibri" w:hAnsi="Arial" w:cs="Arial"/>
                <w:szCs w:val="22"/>
              </w:rPr>
              <w:t xml:space="preserve"> factorial experiment combining three soil textures and six sowing depths</w:t>
            </w:r>
          </w:p>
          <w:p w14:paraId="1913D713" w14:textId="0A1DBF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4C3A">
              <w:t>The experiment was conducted under greenhouse conditions using soils representative of major Bambara groundnut production zones in West Africa. The trials were repeated three times at one-month intervals,</w:t>
            </w:r>
            <w:r w:rsidRPr="00BA1B01">
              <w:rPr>
                <w:rFonts w:ascii="Arial" w:eastAsia="Calibri" w:hAnsi="Arial" w:cs="Arial"/>
                <w:szCs w:val="22"/>
              </w:rPr>
              <w:t xml:space="preserve"> </w:t>
            </w:r>
            <w:bookmarkStart w:id="0" w:name="_Hlk220158081"/>
            <w:r w:rsidRPr="00BA1B01">
              <w:rPr>
                <w:rFonts w:ascii="Arial" w:eastAsia="Calibri" w:hAnsi="Arial" w:cs="Arial"/>
                <w:szCs w:val="22"/>
              </w:rPr>
              <w:t>between J</w:t>
            </w:r>
            <w:r w:rsidR="00336733">
              <w:rPr>
                <w:rFonts w:ascii="Arial" w:eastAsia="Calibri" w:hAnsi="Arial" w:cs="Arial"/>
                <w:szCs w:val="22"/>
              </w:rPr>
              <w:t xml:space="preserve">anuary </w:t>
            </w:r>
            <w:r w:rsidRPr="00BA1B01">
              <w:rPr>
                <w:rFonts w:ascii="Arial" w:eastAsia="Calibri" w:hAnsi="Arial" w:cs="Arial"/>
                <w:szCs w:val="22"/>
              </w:rPr>
              <w:t xml:space="preserve">and </w:t>
            </w:r>
            <w:r w:rsidR="00336733">
              <w:rPr>
                <w:rFonts w:ascii="Arial" w:eastAsia="Calibri" w:hAnsi="Arial" w:cs="Arial"/>
                <w:szCs w:val="22"/>
              </w:rPr>
              <w:t>May 2025</w:t>
            </w:r>
            <w:bookmarkEnd w:id="0"/>
            <w:r w:rsidRPr="00BA1B01">
              <w:rPr>
                <w:rFonts w:ascii="Arial" w:eastAsia="Calibri" w:hAnsi="Arial" w:cs="Arial"/>
                <w:szCs w:val="22"/>
              </w:rPr>
              <w:t>.</w:t>
            </w:r>
          </w:p>
          <w:p w14:paraId="292EB23F" w14:textId="0108E4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36733" w:rsidRPr="00336733">
              <w:rPr>
                <w:rFonts w:ascii="Arial" w:eastAsia="Calibri" w:hAnsi="Arial" w:cs="Arial"/>
                <w:szCs w:val="22"/>
              </w:rPr>
              <w:t xml:space="preserve">Three soil types (sandy, gravelly and clayey) were used. Seeds were sown at six depths (2, 3, 4, 5, 6 and 7 cm) in pots. Seedling emergence was monitored daily. Emergence parameters including First Day of Emergence, Last Day of Emergence, Time Spread of Emergence, Mean Emergence Time, Coefficient of Velocity of Emergence and Emergence Percentage were determined. Data were </w:t>
            </w:r>
            <w:r w:rsidR="00D96269" w:rsidRPr="00336733">
              <w:rPr>
                <w:rFonts w:ascii="Arial" w:eastAsia="Calibri" w:hAnsi="Arial" w:cs="Arial"/>
                <w:szCs w:val="22"/>
              </w:rPr>
              <w:t>analyzed</w:t>
            </w:r>
            <w:r w:rsidR="00336733" w:rsidRPr="00336733">
              <w:rPr>
                <w:rFonts w:ascii="Arial" w:eastAsia="Calibri" w:hAnsi="Arial" w:cs="Arial"/>
                <w:szCs w:val="22"/>
              </w:rPr>
              <w:t xml:space="preserve"> using two-way analysis of variance.</w:t>
            </w:r>
          </w:p>
          <w:p w14:paraId="7F78D328" w14:textId="0D37D7C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36733">
              <w:t xml:space="preserve">Sowing depth significantly affected all emergence parameters. Shallow sowing (2–4 cm) resulted in rapid, </w:t>
            </w:r>
            <w:r w:rsidR="00FB1528">
              <w:t>synchronized</w:t>
            </w:r>
            <w:r w:rsidR="00336733">
              <w:t xml:space="preserve"> and high-percentage emergence, with values reaching up to 98%. Deeper sowing (&gt;4 cm) significantly delayed emergence, extended emergence duration and reduced final emergence percentages. Soil texture had a secondary but significant effect, particularly at greater depths. Sandy soil consistently promoted faster and more uniform emergence, whereas gravelly and clayey soils limited emergence due to increased mechanical resistance and reduced aeration. </w:t>
            </w:r>
          </w:p>
          <w:p w14:paraId="7606B60B" w14:textId="7F3518D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36733" w:rsidRPr="00336733">
              <w:rPr>
                <w:rFonts w:ascii="Arial" w:eastAsia="Calibri" w:hAnsi="Arial" w:cs="Arial"/>
                <w:szCs w:val="22"/>
              </w:rPr>
              <w:t xml:space="preserve">Optimal emergence of </w:t>
            </w:r>
            <w:r w:rsidR="00336733">
              <w:rPr>
                <w:rFonts w:ascii="Arial" w:eastAsia="Calibri" w:hAnsi="Arial" w:cs="Arial"/>
                <w:szCs w:val="22"/>
              </w:rPr>
              <w:t>Bambara groundnut</w:t>
            </w:r>
            <w:r w:rsidR="00336733" w:rsidRPr="00336733">
              <w:rPr>
                <w:rFonts w:ascii="Arial" w:eastAsia="Calibri" w:hAnsi="Arial" w:cs="Arial"/>
                <w:szCs w:val="22"/>
              </w:rPr>
              <w:t xml:space="preserve"> occurs at shallow sowing depths, particularly in sandy soils. These findings provide a practical basis for soil-specific sowing depth recommendations to improve stand establishment and yield reliability of Bambara groundnut across West African agroecosystems.</w:t>
            </w:r>
          </w:p>
        </w:tc>
      </w:tr>
    </w:tbl>
    <w:p w14:paraId="03DEDF2D" w14:textId="77777777" w:rsidR="00636EB2" w:rsidRDefault="00636EB2" w:rsidP="00441B6F">
      <w:pPr>
        <w:pStyle w:val="Body"/>
        <w:spacing w:after="0"/>
        <w:rPr>
          <w:rFonts w:ascii="Arial" w:hAnsi="Arial" w:cs="Arial"/>
          <w:i/>
        </w:rPr>
      </w:pPr>
    </w:p>
    <w:p w14:paraId="479D2B9A" w14:textId="7344E383" w:rsidR="00790ADA" w:rsidRPr="00336733" w:rsidRDefault="00A24E7E" w:rsidP="00441B6F">
      <w:pPr>
        <w:pStyle w:val="Body"/>
        <w:spacing w:after="0"/>
        <w:rPr>
          <w:rFonts w:ascii="Arial" w:hAnsi="Arial" w:cs="Arial"/>
          <w:iCs/>
        </w:rPr>
      </w:pPr>
      <w:r w:rsidRPr="00336733">
        <w:rPr>
          <w:rFonts w:ascii="Arial" w:hAnsi="Arial" w:cs="Arial"/>
          <w:iCs/>
        </w:rPr>
        <w:t xml:space="preserve">Keywords: </w:t>
      </w:r>
      <w:r w:rsidR="00336733" w:rsidRPr="00336733">
        <w:rPr>
          <w:rFonts w:ascii="Arial" w:hAnsi="Arial" w:cs="Arial"/>
          <w:iCs/>
        </w:rPr>
        <w:t>Bambara groundnut, sowing depth, soil texture, seedling emergence, emergence synchrony, West Africa</w:t>
      </w:r>
    </w:p>
    <w:p w14:paraId="0F6A0530" w14:textId="77777777" w:rsidR="0024282C" w:rsidRPr="00336733" w:rsidRDefault="0024282C" w:rsidP="00441B6F">
      <w:pPr>
        <w:pStyle w:val="Body"/>
        <w:spacing w:after="0"/>
        <w:rPr>
          <w:rFonts w:ascii="Arial" w:hAnsi="Arial" w:cs="Arial"/>
          <w:iCs/>
          <w:sz w:val="18"/>
        </w:rPr>
      </w:pPr>
    </w:p>
    <w:p w14:paraId="7155C50C" w14:textId="77777777" w:rsidR="00505F06" w:rsidRPr="00A24E7E" w:rsidRDefault="00505F06" w:rsidP="00441B6F">
      <w:pPr>
        <w:pStyle w:val="Body"/>
        <w:spacing w:after="0"/>
        <w:rPr>
          <w:rFonts w:ascii="Arial" w:hAnsi="Arial" w:cs="Arial"/>
          <w:i/>
        </w:rPr>
      </w:pPr>
    </w:p>
    <w:p w14:paraId="0275498F" w14:textId="36BF7A1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893B183" w14:textId="77777777" w:rsidR="00790ADA" w:rsidRPr="00FB3A86" w:rsidRDefault="00790ADA" w:rsidP="00441B6F">
      <w:pPr>
        <w:pStyle w:val="AbstHead"/>
        <w:spacing w:after="0"/>
        <w:jc w:val="both"/>
        <w:rPr>
          <w:rFonts w:ascii="Arial" w:hAnsi="Arial" w:cs="Arial"/>
        </w:rPr>
      </w:pPr>
    </w:p>
    <w:p w14:paraId="7C6EF8F2" w14:textId="3AAA2296" w:rsidR="00C11216" w:rsidRPr="00C11216" w:rsidRDefault="00C11216" w:rsidP="00C11216">
      <w:pPr>
        <w:pStyle w:val="Body"/>
        <w:rPr>
          <w:rFonts w:ascii="Arial" w:hAnsi="Arial" w:cs="Arial"/>
        </w:rPr>
      </w:pPr>
      <w:r w:rsidRPr="00C11216">
        <w:rPr>
          <w:rFonts w:ascii="Arial" w:hAnsi="Arial" w:cs="Arial"/>
        </w:rPr>
        <w:t>Bambara groundnut (</w:t>
      </w:r>
      <w:r w:rsidRPr="00C11216">
        <w:rPr>
          <w:rFonts w:ascii="Arial" w:hAnsi="Arial" w:cs="Arial"/>
          <w:i/>
          <w:iCs/>
        </w:rPr>
        <w:t>Vigna subterranea</w:t>
      </w:r>
      <w:r w:rsidRPr="00C11216">
        <w:rPr>
          <w:rFonts w:ascii="Arial" w:hAnsi="Arial" w:cs="Arial"/>
        </w:rPr>
        <w:t xml:space="preserve"> (L.) Verdc.), also known as Bambara bean, earth pea or jugo bean, is an indigenous African legume of high nutritional, agronomic and ecological importance. It is well adapted to low-input farming systems and marginal environments, owing to its tolerance to drought and poor soils. Despite these advantages, Bambara groundnut remains one of the most </w:t>
      </w:r>
      <w:r w:rsidR="00FB1528" w:rsidRPr="00C11216">
        <w:rPr>
          <w:rFonts w:ascii="Arial" w:hAnsi="Arial" w:cs="Arial"/>
        </w:rPr>
        <w:t>underutilized</w:t>
      </w:r>
      <w:r w:rsidRPr="00C11216">
        <w:rPr>
          <w:rFonts w:ascii="Arial" w:hAnsi="Arial" w:cs="Arial"/>
        </w:rPr>
        <w:t xml:space="preserve"> food legumes in sub-Saharan Africa (</w:t>
      </w:r>
      <w:proofErr w:type="spellStart"/>
      <w:r w:rsidRPr="00C11216">
        <w:rPr>
          <w:rFonts w:ascii="Arial" w:hAnsi="Arial" w:cs="Arial"/>
        </w:rPr>
        <w:t>Mabhaudhi</w:t>
      </w:r>
      <w:proofErr w:type="spellEnd"/>
      <w:r w:rsidRPr="00C11216">
        <w:rPr>
          <w:rFonts w:ascii="Arial" w:hAnsi="Arial" w:cs="Arial"/>
        </w:rPr>
        <w:t xml:space="preserve"> and Modi, 2013). In terms of production and consumption, it ranks third after groundnut (</w:t>
      </w:r>
      <w:r w:rsidRPr="00C11216">
        <w:rPr>
          <w:rFonts w:ascii="Arial" w:hAnsi="Arial" w:cs="Arial"/>
          <w:i/>
          <w:iCs/>
        </w:rPr>
        <w:t>Arachis hypogaea</w:t>
      </w:r>
      <w:r w:rsidRPr="00C11216">
        <w:rPr>
          <w:rFonts w:ascii="Arial" w:hAnsi="Arial" w:cs="Arial"/>
        </w:rPr>
        <w:t xml:space="preserve">) and cowpea </w:t>
      </w:r>
      <w:r w:rsidRPr="0086195C">
        <w:rPr>
          <w:rFonts w:ascii="Arial" w:hAnsi="Arial" w:cs="Arial"/>
        </w:rPr>
        <w:t>(</w:t>
      </w:r>
      <w:r w:rsidRPr="00C11216">
        <w:rPr>
          <w:rFonts w:ascii="Arial" w:hAnsi="Arial" w:cs="Arial"/>
          <w:i/>
          <w:iCs/>
        </w:rPr>
        <w:t>Vigna unguiculata</w:t>
      </w:r>
      <w:r w:rsidRPr="00C11216">
        <w:rPr>
          <w:rFonts w:ascii="Arial" w:hAnsi="Arial" w:cs="Arial"/>
        </w:rPr>
        <w:t>) (Mateva et al., 2023). Its seeds provide a valuable source of protein and carbohydrates and play an important role in household food and nutrition security, particularly in Southern African Development Community (SADC) countries (Azam-Ali, 1993).</w:t>
      </w:r>
      <w:r>
        <w:rPr>
          <w:rFonts w:ascii="Arial" w:hAnsi="Arial" w:cs="Arial"/>
        </w:rPr>
        <w:t xml:space="preserve"> </w:t>
      </w:r>
      <w:r w:rsidRPr="00C11216">
        <w:rPr>
          <w:rFonts w:ascii="Arial" w:hAnsi="Arial" w:cs="Arial"/>
        </w:rPr>
        <w:t xml:space="preserve">Nevertheless, Bambara groundnut productivity remains low and highly variable across production areas. Yield instability is attributed to several constraints, including drought stress, low soil fertility, temperature variability, biotic pressures, and socio-economic limitations (Majola et al., 2021). Among agronomic factors, successful crop establishment is a critical determinant of final yield. Soil type and sowing depth are particularly important because they directly influence seed germination, seedling emergence, early </w:t>
      </w:r>
      <w:r w:rsidR="00FB1528" w:rsidRPr="00C11216">
        <w:rPr>
          <w:rFonts w:ascii="Arial" w:hAnsi="Arial" w:cs="Arial"/>
        </w:rPr>
        <w:t>vigor</w:t>
      </w:r>
      <w:r w:rsidRPr="00C11216">
        <w:rPr>
          <w:rFonts w:ascii="Arial" w:hAnsi="Arial" w:cs="Arial"/>
        </w:rPr>
        <w:t xml:space="preserve"> and stand uniformity (Zuo et al., 2017).</w:t>
      </w:r>
    </w:p>
    <w:p w14:paraId="37CEC507" w14:textId="6635B78F" w:rsidR="00C11216" w:rsidRPr="00C11216" w:rsidRDefault="00C11216" w:rsidP="00C11216">
      <w:pPr>
        <w:pStyle w:val="Body"/>
        <w:spacing w:after="0"/>
        <w:rPr>
          <w:rFonts w:ascii="Arial" w:hAnsi="Arial" w:cs="Arial"/>
        </w:rPr>
      </w:pPr>
      <w:r w:rsidRPr="00C11216">
        <w:rPr>
          <w:rFonts w:ascii="Arial" w:hAnsi="Arial" w:cs="Arial"/>
        </w:rPr>
        <w:t>In Côte d’Ivoire, Bambara groundnut is mainly cultivated on sandy and gravelly soils, while clayey soils are exploited primarily in lowland areas during dry seasons (Touré et al., 2013). These soil types differ markedly in their physical and hydrological properties, affecting seed–soil contact, moisture availability, aeration and mechanical resistance during germination and emergence. Despite this variability, sowing practices are largely empirical, and farmers rarely adjust sowing depth according to soil texture or moisture conditions (</w:t>
      </w:r>
      <w:proofErr w:type="spellStart"/>
      <w:r w:rsidRPr="00C11216">
        <w:rPr>
          <w:rFonts w:ascii="Arial" w:hAnsi="Arial" w:cs="Arial"/>
        </w:rPr>
        <w:t>Sparg</w:t>
      </w:r>
      <w:proofErr w:type="spellEnd"/>
      <w:r w:rsidRPr="00C11216">
        <w:rPr>
          <w:rFonts w:ascii="Arial" w:hAnsi="Arial" w:cs="Arial"/>
        </w:rPr>
        <w:t xml:space="preserve"> et al., 2005). Such practices often result in irregular seedling emergence, weak plant stands and reduced yields.</w:t>
      </w:r>
      <w:r>
        <w:rPr>
          <w:rFonts w:ascii="Arial" w:hAnsi="Arial" w:cs="Arial"/>
        </w:rPr>
        <w:t xml:space="preserve"> </w:t>
      </w:r>
      <w:r w:rsidRPr="00C11216">
        <w:rPr>
          <w:rFonts w:ascii="Arial" w:hAnsi="Arial" w:cs="Arial"/>
        </w:rPr>
        <w:t>Previous studies have demonstrated that seedling emergence is closely linked to final crop performance and that inappropriate sowing depth can severely limit plant establishment (Touré et al., 2012</w:t>
      </w:r>
      <w:r w:rsidR="0070567B">
        <w:rPr>
          <w:rFonts w:ascii="Arial" w:hAnsi="Arial" w:cs="Arial"/>
        </w:rPr>
        <w:t xml:space="preserve">, </w:t>
      </w:r>
      <w:r w:rsidR="0070567B" w:rsidRPr="0070567B">
        <w:rPr>
          <w:rFonts w:ascii="Arial" w:hAnsi="Arial" w:cs="Arial"/>
        </w:rPr>
        <w:t>Ugwu et al., 2025</w:t>
      </w:r>
      <w:r w:rsidRPr="00C11216">
        <w:rPr>
          <w:rFonts w:ascii="Arial" w:hAnsi="Arial" w:cs="Arial"/>
        </w:rPr>
        <w:t>). While the effects of soil texture or sowing depth have been studied independently in several grain legumes, information on their interactive effects on Bambara groundnut emergence remains scarce, particularly under contrasting edaphic conditions. This knowledge gap constrains the development of precise, soil-specific agronomic recommendations for improving crop establishment.</w:t>
      </w:r>
    </w:p>
    <w:p w14:paraId="12698014" w14:textId="77777777" w:rsidR="00C11216" w:rsidRPr="00C11216" w:rsidRDefault="00C11216" w:rsidP="00C11216">
      <w:pPr>
        <w:pStyle w:val="Body"/>
        <w:spacing w:after="0"/>
        <w:rPr>
          <w:rFonts w:ascii="Arial" w:hAnsi="Arial" w:cs="Arial"/>
        </w:rPr>
      </w:pPr>
    </w:p>
    <w:p w14:paraId="386287BC" w14:textId="10AE1630" w:rsidR="00790ADA" w:rsidRDefault="00C11216" w:rsidP="00C11216">
      <w:pPr>
        <w:pStyle w:val="Body"/>
        <w:spacing w:after="0"/>
        <w:rPr>
          <w:rFonts w:ascii="Arial" w:hAnsi="Arial" w:cs="Arial"/>
        </w:rPr>
      </w:pPr>
      <w:r w:rsidRPr="00C11216">
        <w:rPr>
          <w:rFonts w:ascii="Arial" w:hAnsi="Arial" w:cs="Arial"/>
        </w:rPr>
        <w:t>Therefore, the present study aimed to evaluate the combined effects of soil texture and sowing depth on the seedling emergence dynamics of Bambara groundnut. The objective was to identify optimal combinations of soil type and planting depth that promote rapid,</w:t>
      </w:r>
      <w:r w:rsidR="000A1A8C">
        <w:rPr>
          <w:rFonts w:ascii="Arial" w:hAnsi="Arial" w:cs="Arial"/>
        </w:rPr>
        <w:t xml:space="preserve"> </w:t>
      </w:r>
      <w:r w:rsidRPr="00C11216">
        <w:rPr>
          <w:rFonts w:ascii="Arial" w:hAnsi="Arial" w:cs="Arial"/>
        </w:rPr>
        <w:t>uniform and successful emergence, thereby contributing to improved stand establishment and sustainable productivity of Bambara groundnut under diverse soil conditions.</w:t>
      </w:r>
    </w:p>
    <w:p w14:paraId="0E93B6A3" w14:textId="77777777" w:rsidR="00C11216" w:rsidRPr="00FB3A86" w:rsidRDefault="00C11216" w:rsidP="00C11216">
      <w:pPr>
        <w:pStyle w:val="Body"/>
        <w:spacing w:after="0"/>
        <w:rPr>
          <w:rFonts w:ascii="Arial" w:hAnsi="Arial" w:cs="Arial"/>
        </w:rPr>
      </w:pPr>
    </w:p>
    <w:p w14:paraId="36FDFBDB" w14:textId="79DC00C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B3E21D" w14:textId="77777777" w:rsidR="00790ADA" w:rsidRPr="00FB3A86" w:rsidRDefault="00790ADA" w:rsidP="00441B6F">
      <w:pPr>
        <w:pStyle w:val="AbstHead"/>
        <w:spacing w:after="0"/>
        <w:jc w:val="both"/>
        <w:rPr>
          <w:rFonts w:ascii="Arial" w:hAnsi="Arial" w:cs="Arial"/>
        </w:rPr>
      </w:pPr>
    </w:p>
    <w:p w14:paraId="575B3067" w14:textId="0F32A535" w:rsidR="00AA74E0" w:rsidRDefault="00AA74E0" w:rsidP="00441B6F">
      <w:pPr>
        <w:pStyle w:val="Body"/>
        <w:spacing w:after="0"/>
        <w:rPr>
          <w:rFonts w:ascii="Arial" w:hAnsi="Arial" w:cs="Arial"/>
        </w:rPr>
      </w:pPr>
      <w:r w:rsidRPr="00C30A0F">
        <w:rPr>
          <w:rFonts w:ascii="Arial" w:hAnsi="Arial" w:cs="Arial"/>
          <w:b/>
          <w:caps/>
          <w:sz w:val="22"/>
        </w:rPr>
        <w:t xml:space="preserve">2.1 </w:t>
      </w:r>
      <w:r w:rsidR="00F9215A" w:rsidRPr="00F9215A">
        <w:rPr>
          <w:rFonts w:ascii="Arial" w:hAnsi="Arial" w:cs="Arial"/>
          <w:b/>
          <w:sz w:val="22"/>
        </w:rPr>
        <w:t xml:space="preserve">Plant material origin and characteristics </w:t>
      </w:r>
      <w:r w:rsidRPr="00FB3A86">
        <w:rPr>
          <w:rFonts w:ascii="Arial" w:hAnsi="Arial" w:cs="Arial"/>
        </w:rPr>
        <w:t xml:space="preserve">  </w:t>
      </w:r>
    </w:p>
    <w:p w14:paraId="605CBEE0" w14:textId="76ADDE19" w:rsidR="00505F06" w:rsidRDefault="00505F06" w:rsidP="00441B6F">
      <w:pPr>
        <w:pStyle w:val="Body"/>
        <w:spacing w:after="0"/>
        <w:rPr>
          <w:rFonts w:ascii="Arial" w:hAnsi="Arial" w:cs="Arial"/>
        </w:rPr>
      </w:pPr>
    </w:p>
    <w:p w14:paraId="072E6E0E" w14:textId="7878C390" w:rsidR="0044551F" w:rsidRDefault="0044551F" w:rsidP="00441B6F">
      <w:pPr>
        <w:pStyle w:val="Body"/>
        <w:spacing w:after="0"/>
        <w:rPr>
          <w:rFonts w:ascii="Arial" w:hAnsi="Arial" w:cs="Arial"/>
        </w:rPr>
      </w:pPr>
      <w:r w:rsidRPr="0044551F">
        <w:rPr>
          <w:rFonts w:ascii="Arial" w:hAnsi="Arial" w:cs="Arial"/>
        </w:rPr>
        <w:t xml:space="preserve">The plant material consisted of seeds of Bambara groundnut exhibiting a beige coloration mottled with red (Figure </w:t>
      </w:r>
      <w:r w:rsidR="009A6092">
        <w:rPr>
          <w:rFonts w:ascii="Arial" w:hAnsi="Arial" w:cs="Arial"/>
        </w:rPr>
        <w:t>1</w:t>
      </w:r>
      <w:r w:rsidRPr="0044551F">
        <w:rPr>
          <w:rFonts w:ascii="Arial" w:hAnsi="Arial" w:cs="Arial"/>
        </w:rPr>
        <w:t xml:space="preserve">). The average individual seed mass ranged from 0.70 to 0.80 g. Seeds were collected from local farms in </w:t>
      </w:r>
      <w:proofErr w:type="spellStart"/>
      <w:r w:rsidRPr="0044551F">
        <w:rPr>
          <w:rFonts w:ascii="Arial" w:hAnsi="Arial" w:cs="Arial"/>
        </w:rPr>
        <w:t>Korhogo</w:t>
      </w:r>
      <w:proofErr w:type="spellEnd"/>
      <w:r w:rsidRPr="0044551F">
        <w:rPr>
          <w:rFonts w:ascii="Arial" w:hAnsi="Arial" w:cs="Arial"/>
        </w:rPr>
        <w:t>, northern Côte d’Ivoire, where this landrace is the most commonly cultivated due to its high adaptability and grain quality ((Touré et al. 2013). Prior to sowing, seeds were manually sorted to remove broken or deformed grains and stored under ambient laboratory conditions until use.</w:t>
      </w:r>
    </w:p>
    <w:p w14:paraId="4BF37062" w14:textId="77777777" w:rsidR="00CD5F5C" w:rsidRDefault="00CD5F5C" w:rsidP="00441B6F">
      <w:pPr>
        <w:pStyle w:val="Body"/>
        <w:spacing w:after="0"/>
        <w:rPr>
          <w:rFonts w:ascii="Arial" w:hAnsi="Arial" w:cs="Arial"/>
        </w:rPr>
      </w:pPr>
    </w:p>
    <w:p w14:paraId="3B9A45F9" w14:textId="3057D885" w:rsidR="009A6092" w:rsidRDefault="009A6092" w:rsidP="00441B6F">
      <w:pPr>
        <w:pStyle w:val="Body"/>
        <w:spacing w:after="0"/>
        <w:rPr>
          <w:rFonts w:ascii="Arial" w:hAnsi="Arial" w:cs="Arial"/>
        </w:rPr>
      </w:pPr>
    </w:p>
    <w:p w14:paraId="6533FC65" w14:textId="351A3ECF" w:rsidR="0044551F" w:rsidRDefault="00CD5F5C" w:rsidP="00441B6F">
      <w:pPr>
        <w:pStyle w:val="Body"/>
        <w:spacing w:after="0"/>
        <w:rPr>
          <w:rFonts w:ascii="Arial" w:hAnsi="Arial" w:cs="Arial"/>
        </w:rPr>
      </w:pPr>
      <w:r w:rsidRPr="00A16002">
        <w:rPr>
          <w:noProof/>
          <w:szCs w:val="24"/>
        </w:rPr>
        <w:lastRenderedPageBreak/>
        <w:drawing>
          <wp:anchor distT="0" distB="0" distL="114300" distR="114300" simplePos="0" relativeHeight="251647488" behindDoc="0" locked="0" layoutInCell="1" allowOverlap="1" wp14:anchorId="3106654D" wp14:editId="7C25680B">
            <wp:simplePos x="0" y="0"/>
            <wp:positionH relativeFrom="column">
              <wp:posOffset>1653540</wp:posOffset>
            </wp:positionH>
            <wp:positionV relativeFrom="paragraph">
              <wp:posOffset>5715</wp:posOffset>
            </wp:positionV>
            <wp:extent cx="1920192" cy="1800000"/>
            <wp:effectExtent l="0" t="0" r="0" b="0"/>
            <wp:wrapSquare wrapText="bothSides"/>
            <wp:docPr id="2" name="Image 2" descr="C:\Users\TOSHIBA\Desktop\Redaction thèse\Gousse et graine\Graines Abj\Ci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TOSHIBA\Desktop\Redaction thèse\Gousse et graine\Graines Abj\Ci2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192"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7FBD4" w14:textId="6B013C8F" w:rsidR="009A6092" w:rsidRDefault="009A6092" w:rsidP="00441B6F">
      <w:pPr>
        <w:pStyle w:val="Body"/>
        <w:spacing w:after="0"/>
        <w:rPr>
          <w:rFonts w:ascii="Arial" w:hAnsi="Arial" w:cs="Arial"/>
        </w:rPr>
      </w:pPr>
    </w:p>
    <w:p w14:paraId="297D1FEE" w14:textId="6CB6F057" w:rsidR="009A6092" w:rsidRDefault="009A6092" w:rsidP="00441B6F">
      <w:pPr>
        <w:pStyle w:val="Body"/>
        <w:spacing w:after="0"/>
        <w:rPr>
          <w:rFonts w:ascii="Arial" w:hAnsi="Arial" w:cs="Arial"/>
        </w:rPr>
      </w:pPr>
    </w:p>
    <w:p w14:paraId="412F2F9E" w14:textId="07940564" w:rsidR="009A6092" w:rsidRDefault="009A6092" w:rsidP="00441B6F">
      <w:pPr>
        <w:pStyle w:val="Body"/>
        <w:spacing w:after="0"/>
        <w:rPr>
          <w:rFonts w:ascii="Arial" w:hAnsi="Arial" w:cs="Arial"/>
        </w:rPr>
      </w:pPr>
    </w:p>
    <w:p w14:paraId="549F6F1F" w14:textId="09DC4F3A" w:rsidR="009A6092" w:rsidRDefault="009A6092" w:rsidP="00441B6F">
      <w:pPr>
        <w:pStyle w:val="Body"/>
        <w:spacing w:after="0"/>
        <w:rPr>
          <w:rFonts w:ascii="Arial" w:hAnsi="Arial" w:cs="Arial"/>
        </w:rPr>
      </w:pPr>
    </w:p>
    <w:p w14:paraId="63D80D94" w14:textId="3A4BC1E0" w:rsidR="009A6092" w:rsidRDefault="009A6092" w:rsidP="00441B6F">
      <w:pPr>
        <w:pStyle w:val="Body"/>
        <w:spacing w:after="0"/>
        <w:rPr>
          <w:rFonts w:ascii="Arial" w:hAnsi="Arial" w:cs="Arial"/>
        </w:rPr>
      </w:pPr>
    </w:p>
    <w:p w14:paraId="07597A95" w14:textId="7BA3647C" w:rsidR="009A6092" w:rsidRDefault="009A6092" w:rsidP="00441B6F">
      <w:pPr>
        <w:pStyle w:val="Body"/>
        <w:spacing w:after="0"/>
        <w:rPr>
          <w:rFonts w:ascii="Arial" w:hAnsi="Arial" w:cs="Arial"/>
        </w:rPr>
      </w:pPr>
    </w:p>
    <w:p w14:paraId="4652F0AB" w14:textId="642C764D" w:rsidR="009A6092" w:rsidRDefault="009A6092" w:rsidP="00441B6F">
      <w:pPr>
        <w:pStyle w:val="Body"/>
        <w:spacing w:after="0"/>
        <w:rPr>
          <w:rFonts w:ascii="Arial" w:hAnsi="Arial" w:cs="Arial"/>
        </w:rPr>
      </w:pPr>
    </w:p>
    <w:p w14:paraId="18C358BE" w14:textId="7733A92E" w:rsidR="009A6092" w:rsidRDefault="009A6092" w:rsidP="00441B6F">
      <w:pPr>
        <w:pStyle w:val="Body"/>
        <w:spacing w:after="0"/>
        <w:rPr>
          <w:rFonts w:ascii="Arial" w:hAnsi="Arial" w:cs="Arial"/>
        </w:rPr>
      </w:pPr>
    </w:p>
    <w:p w14:paraId="13EE542E" w14:textId="0F0C3B1B" w:rsidR="00CD5F5C" w:rsidRDefault="00CD5F5C" w:rsidP="00441B6F">
      <w:pPr>
        <w:pStyle w:val="Body"/>
        <w:spacing w:after="0"/>
        <w:rPr>
          <w:rFonts w:ascii="Arial" w:hAnsi="Arial" w:cs="Arial"/>
        </w:rPr>
      </w:pPr>
    </w:p>
    <w:p w14:paraId="6344363A" w14:textId="77777777" w:rsidR="00CD5F5C" w:rsidRDefault="00CD5F5C" w:rsidP="00441B6F">
      <w:pPr>
        <w:pStyle w:val="Body"/>
        <w:spacing w:after="0"/>
        <w:rPr>
          <w:rFonts w:ascii="Arial" w:hAnsi="Arial" w:cs="Arial"/>
        </w:rPr>
      </w:pPr>
    </w:p>
    <w:p w14:paraId="0925EA1A" w14:textId="36A86B06" w:rsidR="009A6092" w:rsidRDefault="009A6092" w:rsidP="00441B6F">
      <w:pPr>
        <w:pStyle w:val="Body"/>
        <w:spacing w:after="0"/>
        <w:rPr>
          <w:rFonts w:ascii="Arial" w:hAnsi="Arial" w:cs="Arial"/>
        </w:rPr>
      </w:pPr>
    </w:p>
    <w:p w14:paraId="761E9C2B" w14:textId="77777777" w:rsidR="00CD5F5C" w:rsidRDefault="00CD5F5C" w:rsidP="00441B6F">
      <w:pPr>
        <w:pStyle w:val="Body"/>
        <w:spacing w:after="0"/>
        <w:rPr>
          <w:rFonts w:ascii="Arial" w:hAnsi="Arial" w:cs="Arial"/>
        </w:rPr>
      </w:pPr>
    </w:p>
    <w:p w14:paraId="18DEF5A9" w14:textId="0000075F" w:rsidR="009A6092" w:rsidRDefault="009A6092" w:rsidP="00CD5F5C">
      <w:pPr>
        <w:tabs>
          <w:tab w:val="left" w:pos="3369"/>
        </w:tabs>
        <w:rPr>
          <w:rFonts w:ascii="Arial" w:hAnsi="Arial" w:cs="Arial"/>
          <w:b/>
          <w:bCs/>
        </w:rPr>
      </w:pPr>
      <w:r w:rsidRPr="000A1A8C">
        <w:rPr>
          <w:rFonts w:ascii="Arial" w:hAnsi="Arial" w:cs="Arial"/>
          <w:b/>
          <w:bCs/>
        </w:rPr>
        <w:t>Fig 1. Bambara groundnut seeds used in this study</w:t>
      </w:r>
    </w:p>
    <w:p w14:paraId="1C277572" w14:textId="77777777" w:rsidR="00CD5F5C" w:rsidRPr="000A1A8C" w:rsidRDefault="00CD5F5C" w:rsidP="00CD5F5C">
      <w:pPr>
        <w:tabs>
          <w:tab w:val="left" w:pos="3369"/>
        </w:tabs>
        <w:rPr>
          <w:rFonts w:ascii="Arial" w:hAnsi="Arial" w:cs="Arial"/>
          <w:b/>
          <w:bCs/>
        </w:rPr>
      </w:pPr>
    </w:p>
    <w:p w14:paraId="05FD7F5C" w14:textId="157D0518" w:rsidR="0044551F" w:rsidRDefault="0044551F" w:rsidP="00CD5F5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44551F">
        <w:rPr>
          <w:rFonts w:ascii="Arial" w:hAnsi="Arial" w:cs="Arial"/>
          <w:b/>
          <w:sz w:val="22"/>
        </w:rPr>
        <w:t>Experimental setup</w:t>
      </w:r>
    </w:p>
    <w:p w14:paraId="783917A6" w14:textId="77777777" w:rsidR="009911B3" w:rsidRDefault="009911B3" w:rsidP="00CD5F5C">
      <w:pPr>
        <w:pStyle w:val="Body"/>
        <w:spacing w:after="0"/>
        <w:rPr>
          <w:rFonts w:ascii="Arial" w:hAnsi="Arial" w:cs="Arial"/>
        </w:rPr>
      </w:pPr>
    </w:p>
    <w:p w14:paraId="1A6F4AC3" w14:textId="59EA2008" w:rsidR="0044551F" w:rsidRDefault="0044551F" w:rsidP="00441B6F">
      <w:pPr>
        <w:pStyle w:val="Body"/>
        <w:spacing w:after="0"/>
        <w:rPr>
          <w:rFonts w:ascii="Arial" w:hAnsi="Arial" w:cs="Arial"/>
        </w:rPr>
      </w:pPr>
      <w:r w:rsidRPr="0044551F">
        <w:rPr>
          <w:rFonts w:ascii="Arial" w:hAnsi="Arial" w:cs="Arial"/>
        </w:rPr>
        <w:t>The experiment was carried out in plastic pots (10 cm radius × 17 cm height) filled with one of three soil types: sandy, gravelly, and clayey soils collected from representative lowland sites in Côte d’Ivoire (Table 1). These soils correspond to the main edaphic environments in which Bambara groundnut is traditionally cultivated in West Africa. The experiment was arranged in a completely randomized block design with three replicates. Each treatment combination (soil type × sowing depth) comprised 20 pots, each containing a single seed. The entire experiment was repeated three times at one-month intervals to ensure reproducibility, between January and May 2025. In total, 1080 seeds were sown per trial.</w:t>
      </w:r>
    </w:p>
    <w:p w14:paraId="05DBC1F4" w14:textId="77777777" w:rsidR="00CD5F5C" w:rsidRDefault="00CD5F5C" w:rsidP="00441B6F">
      <w:pPr>
        <w:pStyle w:val="Body"/>
        <w:spacing w:after="0"/>
        <w:rPr>
          <w:rFonts w:ascii="Arial" w:hAnsi="Arial" w:cs="Arial"/>
        </w:rPr>
      </w:pPr>
    </w:p>
    <w:p w14:paraId="50980359" w14:textId="77777777" w:rsidR="009A6092" w:rsidRDefault="009A6092" w:rsidP="00441B6F">
      <w:pPr>
        <w:pStyle w:val="Body"/>
        <w:spacing w:after="0"/>
        <w:rPr>
          <w:rFonts w:ascii="Arial" w:hAnsi="Arial" w:cs="Arial"/>
        </w:rPr>
      </w:pPr>
    </w:p>
    <w:p w14:paraId="281164E3" w14:textId="77777777" w:rsidR="009A6092" w:rsidRPr="000A1A8C" w:rsidRDefault="009A6092" w:rsidP="009A6092">
      <w:pPr>
        <w:pStyle w:val="ListParagraph"/>
        <w:tabs>
          <w:tab w:val="left" w:pos="982"/>
        </w:tabs>
        <w:spacing w:after="120" w:line="480" w:lineRule="auto"/>
        <w:ind w:left="0"/>
        <w:rPr>
          <w:b/>
          <w:bCs w:val="0"/>
          <w:sz w:val="20"/>
          <w:szCs w:val="20"/>
          <w:lang w:val="en-US"/>
        </w:rPr>
      </w:pPr>
      <w:r w:rsidRPr="000A1A8C">
        <w:rPr>
          <w:b/>
          <w:bCs w:val="0"/>
          <w:sz w:val="20"/>
          <w:szCs w:val="20"/>
          <w:lang w:val="en-US"/>
        </w:rPr>
        <w:t>Table 1. Physical properties of experimental soils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20"/>
        <w:gridCol w:w="2094"/>
        <w:gridCol w:w="2031"/>
        <w:gridCol w:w="2063"/>
      </w:tblGrid>
      <w:tr w:rsidR="009A6092" w:rsidRPr="009A6092" w14:paraId="2D3C4343" w14:textId="77777777" w:rsidTr="00F376E8">
        <w:trPr>
          <w:jc w:val="center"/>
        </w:trPr>
        <w:tc>
          <w:tcPr>
            <w:tcW w:w="2254" w:type="dxa"/>
          </w:tcPr>
          <w:p w14:paraId="3E581C5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Soils</w:t>
            </w:r>
          </w:p>
        </w:tc>
        <w:tc>
          <w:tcPr>
            <w:tcW w:w="2254" w:type="dxa"/>
            <w:tcBorders>
              <w:bottom w:val="single" w:sz="4" w:space="0" w:color="auto"/>
            </w:tcBorders>
          </w:tcPr>
          <w:p w14:paraId="554471E6"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Particulars</w:t>
            </w:r>
          </w:p>
        </w:tc>
        <w:tc>
          <w:tcPr>
            <w:tcW w:w="2254" w:type="dxa"/>
            <w:tcBorders>
              <w:bottom w:val="single" w:sz="4" w:space="0" w:color="auto"/>
            </w:tcBorders>
          </w:tcPr>
          <w:p w14:paraId="3DD27027"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Value</w:t>
            </w:r>
          </w:p>
        </w:tc>
        <w:tc>
          <w:tcPr>
            <w:tcW w:w="2254" w:type="dxa"/>
            <w:tcBorders>
              <w:bottom w:val="single" w:sz="4" w:space="0" w:color="auto"/>
            </w:tcBorders>
          </w:tcPr>
          <w:p w14:paraId="4D255BB6"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Soils textures</w:t>
            </w:r>
          </w:p>
        </w:tc>
      </w:tr>
      <w:tr w:rsidR="009A6092" w:rsidRPr="009A6092" w14:paraId="34562D78" w14:textId="77777777" w:rsidTr="00F376E8">
        <w:trPr>
          <w:jc w:val="center"/>
        </w:trPr>
        <w:tc>
          <w:tcPr>
            <w:tcW w:w="2254" w:type="dxa"/>
            <w:vMerge w:val="restart"/>
            <w:vAlign w:val="center"/>
          </w:tcPr>
          <w:p w14:paraId="7BED3BA0"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1</w:t>
            </w:r>
          </w:p>
        </w:tc>
        <w:tc>
          <w:tcPr>
            <w:tcW w:w="2254" w:type="dxa"/>
            <w:tcBorders>
              <w:bottom w:val="nil"/>
            </w:tcBorders>
          </w:tcPr>
          <w:p w14:paraId="5715649B"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6AC1755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41.5</w:t>
            </w:r>
          </w:p>
        </w:tc>
        <w:tc>
          <w:tcPr>
            <w:tcW w:w="2254" w:type="dxa"/>
            <w:vMerge w:val="restart"/>
            <w:vAlign w:val="center"/>
          </w:tcPr>
          <w:p w14:paraId="1ABF34B8"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Gravelly sand</w:t>
            </w:r>
          </w:p>
        </w:tc>
      </w:tr>
      <w:tr w:rsidR="009A6092" w:rsidRPr="009A6092" w14:paraId="0EB85511" w14:textId="77777777" w:rsidTr="00F376E8">
        <w:trPr>
          <w:jc w:val="center"/>
        </w:trPr>
        <w:tc>
          <w:tcPr>
            <w:tcW w:w="2254" w:type="dxa"/>
            <w:vMerge/>
            <w:vAlign w:val="center"/>
          </w:tcPr>
          <w:p w14:paraId="691B1807"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F75B0A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710747B7"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56.1</w:t>
            </w:r>
          </w:p>
        </w:tc>
        <w:tc>
          <w:tcPr>
            <w:tcW w:w="2254" w:type="dxa"/>
            <w:vMerge/>
            <w:vAlign w:val="center"/>
          </w:tcPr>
          <w:p w14:paraId="3F572F24"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13A959A3" w14:textId="77777777" w:rsidTr="00F376E8">
        <w:trPr>
          <w:jc w:val="center"/>
        </w:trPr>
        <w:tc>
          <w:tcPr>
            <w:tcW w:w="2254" w:type="dxa"/>
            <w:vMerge/>
            <w:vAlign w:val="center"/>
          </w:tcPr>
          <w:p w14:paraId="50A4309C"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5E9BCCB"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32FC95B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1.8</w:t>
            </w:r>
          </w:p>
        </w:tc>
        <w:tc>
          <w:tcPr>
            <w:tcW w:w="2254" w:type="dxa"/>
            <w:vMerge/>
            <w:vAlign w:val="center"/>
          </w:tcPr>
          <w:p w14:paraId="1F08120E"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6AF38F7B" w14:textId="77777777" w:rsidTr="00F376E8">
        <w:trPr>
          <w:jc w:val="center"/>
        </w:trPr>
        <w:tc>
          <w:tcPr>
            <w:tcW w:w="2254" w:type="dxa"/>
            <w:vMerge/>
            <w:vAlign w:val="center"/>
          </w:tcPr>
          <w:p w14:paraId="62E07EAE"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single" w:sz="4" w:space="0" w:color="auto"/>
            </w:tcBorders>
          </w:tcPr>
          <w:p w14:paraId="5968C97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bottom w:val="single" w:sz="4" w:space="0" w:color="auto"/>
            </w:tcBorders>
          </w:tcPr>
          <w:p w14:paraId="240544BA"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0,6</w:t>
            </w:r>
          </w:p>
        </w:tc>
        <w:tc>
          <w:tcPr>
            <w:tcW w:w="2254" w:type="dxa"/>
            <w:vMerge/>
            <w:tcBorders>
              <w:bottom w:val="single" w:sz="4" w:space="0" w:color="auto"/>
            </w:tcBorders>
            <w:vAlign w:val="center"/>
          </w:tcPr>
          <w:p w14:paraId="792A6863"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0E8E4B9" w14:textId="77777777" w:rsidTr="00F376E8">
        <w:trPr>
          <w:jc w:val="center"/>
        </w:trPr>
        <w:tc>
          <w:tcPr>
            <w:tcW w:w="2254" w:type="dxa"/>
            <w:vMerge w:val="restart"/>
            <w:vAlign w:val="center"/>
          </w:tcPr>
          <w:p w14:paraId="1CD442B8"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2</w:t>
            </w:r>
          </w:p>
        </w:tc>
        <w:tc>
          <w:tcPr>
            <w:tcW w:w="2254" w:type="dxa"/>
            <w:tcBorders>
              <w:bottom w:val="nil"/>
            </w:tcBorders>
          </w:tcPr>
          <w:p w14:paraId="1610490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09CDCC76"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2.5</w:t>
            </w:r>
          </w:p>
        </w:tc>
        <w:tc>
          <w:tcPr>
            <w:tcW w:w="2254" w:type="dxa"/>
            <w:vMerge w:val="restart"/>
            <w:vAlign w:val="center"/>
          </w:tcPr>
          <w:p w14:paraId="37299293"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Sandy loam</w:t>
            </w:r>
          </w:p>
        </w:tc>
      </w:tr>
      <w:tr w:rsidR="009A6092" w:rsidRPr="009A6092" w14:paraId="5922888B" w14:textId="77777777" w:rsidTr="00F376E8">
        <w:trPr>
          <w:jc w:val="center"/>
        </w:trPr>
        <w:tc>
          <w:tcPr>
            <w:tcW w:w="2254" w:type="dxa"/>
            <w:vMerge/>
            <w:vAlign w:val="center"/>
          </w:tcPr>
          <w:p w14:paraId="119B6673"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11B60A12"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0FAD022C"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57.6</w:t>
            </w:r>
          </w:p>
        </w:tc>
        <w:tc>
          <w:tcPr>
            <w:tcW w:w="2254" w:type="dxa"/>
            <w:vMerge/>
            <w:vAlign w:val="center"/>
          </w:tcPr>
          <w:p w14:paraId="7B391D36"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675391A" w14:textId="77777777" w:rsidTr="00F376E8">
        <w:trPr>
          <w:jc w:val="center"/>
        </w:trPr>
        <w:tc>
          <w:tcPr>
            <w:tcW w:w="2254" w:type="dxa"/>
            <w:vMerge/>
            <w:vAlign w:val="center"/>
          </w:tcPr>
          <w:p w14:paraId="1CDD13F1"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6852B70D"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484557E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25.7</w:t>
            </w:r>
          </w:p>
        </w:tc>
        <w:tc>
          <w:tcPr>
            <w:tcW w:w="2254" w:type="dxa"/>
            <w:vMerge/>
            <w:vAlign w:val="center"/>
          </w:tcPr>
          <w:p w14:paraId="2749D4CB"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6C0DBD74" w14:textId="77777777" w:rsidTr="00F376E8">
        <w:trPr>
          <w:jc w:val="center"/>
        </w:trPr>
        <w:tc>
          <w:tcPr>
            <w:tcW w:w="2254" w:type="dxa"/>
            <w:vMerge/>
            <w:vAlign w:val="center"/>
          </w:tcPr>
          <w:p w14:paraId="6A1C6D9D"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single" w:sz="4" w:space="0" w:color="auto"/>
            </w:tcBorders>
          </w:tcPr>
          <w:p w14:paraId="5FA611B3"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bottom w:val="single" w:sz="4" w:space="0" w:color="auto"/>
            </w:tcBorders>
          </w:tcPr>
          <w:p w14:paraId="0101EEED"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14.2</w:t>
            </w:r>
          </w:p>
        </w:tc>
        <w:tc>
          <w:tcPr>
            <w:tcW w:w="2254" w:type="dxa"/>
            <w:vMerge/>
            <w:tcBorders>
              <w:bottom w:val="single" w:sz="4" w:space="0" w:color="auto"/>
            </w:tcBorders>
            <w:vAlign w:val="center"/>
          </w:tcPr>
          <w:p w14:paraId="4237A6FB"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F4675AF" w14:textId="77777777" w:rsidTr="00F376E8">
        <w:trPr>
          <w:jc w:val="center"/>
        </w:trPr>
        <w:tc>
          <w:tcPr>
            <w:tcW w:w="2254" w:type="dxa"/>
            <w:vMerge w:val="restart"/>
            <w:vAlign w:val="center"/>
          </w:tcPr>
          <w:p w14:paraId="662A0160"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3</w:t>
            </w:r>
          </w:p>
        </w:tc>
        <w:tc>
          <w:tcPr>
            <w:tcW w:w="2254" w:type="dxa"/>
            <w:tcBorders>
              <w:bottom w:val="nil"/>
            </w:tcBorders>
          </w:tcPr>
          <w:p w14:paraId="7483B1FD"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7B50293F" w14:textId="77777777" w:rsidR="009A6092" w:rsidRPr="009A6092" w:rsidRDefault="009A6092" w:rsidP="00F376E8">
            <w:pPr>
              <w:pStyle w:val="ListParagraph"/>
              <w:tabs>
                <w:tab w:val="left" w:pos="982"/>
              </w:tabs>
              <w:spacing w:line="240" w:lineRule="auto"/>
              <w:ind w:left="0"/>
              <w:jc w:val="center"/>
              <w:rPr>
                <w:b/>
                <w:sz w:val="20"/>
                <w:szCs w:val="20"/>
                <w:lang w:val="en-US"/>
              </w:rPr>
            </w:pPr>
            <w:r w:rsidRPr="009A6092">
              <w:rPr>
                <w:rStyle w:val="Strong"/>
                <w:sz w:val="20"/>
                <w:szCs w:val="20"/>
              </w:rPr>
              <w:t>-</w:t>
            </w:r>
          </w:p>
        </w:tc>
        <w:tc>
          <w:tcPr>
            <w:tcW w:w="2254" w:type="dxa"/>
            <w:vMerge w:val="restart"/>
            <w:vAlign w:val="center"/>
          </w:tcPr>
          <w:p w14:paraId="4D4B5D48"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Clay</w:t>
            </w:r>
          </w:p>
        </w:tc>
      </w:tr>
      <w:tr w:rsidR="009A6092" w:rsidRPr="009A6092" w14:paraId="6C42723A" w14:textId="77777777" w:rsidTr="00F376E8">
        <w:trPr>
          <w:jc w:val="center"/>
        </w:trPr>
        <w:tc>
          <w:tcPr>
            <w:tcW w:w="2254" w:type="dxa"/>
            <w:vMerge/>
          </w:tcPr>
          <w:p w14:paraId="2D1DB54F"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67C15F67"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0075EC1B"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32,5</w:t>
            </w:r>
          </w:p>
        </w:tc>
        <w:tc>
          <w:tcPr>
            <w:tcW w:w="2254" w:type="dxa"/>
            <w:vMerge/>
          </w:tcPr>
          <w:p w14:paraId="46EF7AAF" w14:textId="77777777" w:rsidR="009A6092" w:rsidRPr="009A6092" w:rsidRDefault="009A6092" w:rsidP="00F376E8">
            <w:pPr>
              <w:pStyle w:val="ListParagraph"/>
              <w:tabs>
                <w:tab w:val="left" w:pos="982"/>
              </w:tabs>
              <w:spacing w:line="240" w:lineRule="auto"/>
              <w:ind w:left="0"/>
              <w:rPr>
                <w:sz w:val="20"/>
                <w:szCs w:val="20"/>
                <w:lang w:val="en-US"/>
              </w:rPr>
            </w:pPr>
          </w:p>
        </w:tc>
      </w:tr>
      <w:tr w:rsidR="009A6092" w:rsidRPr="009A6092" w14:paraId="0A61B914" w14:textId="77777777" w:rsidTr="00F376E8">
        <w:trPr>
          <w:jc w:val="center"/>
        </w:trPr>
        <w:tc>
          <w:tcPr>
            <w:tcW w:w="2254" w:type="dxa"/>
            <w:vMerge/>
          </w:tcPr>
          <w:p w14:paraId="4C24FA87"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1ABF6C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7D26A25A"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 xml:space="preserve">22.9 </w:t>
            </w:r>
          </w:p>
        </w:tc>
        <w:tc>
          <w:tcPr>
            <w:tcW w:w="2254" w:type="dxa"/>
            <w:vMerge/>
          </w:tcPr>
          <w:p w14:paraId="4E2F5F24" w14:textId="77777777" w:rsidR="009A6092" w:rsidRPr="009A6092" w:rsidRDefault="009A6092" w:rsidP="00F376E8">
            <w:pPr>
              <w:pStyle w:val="ListParagraph"/>
              <w:tabs>
                <w:tab w:val="left" w:pos="982"/>
              </w:tabs>
              <w:spacing w:line="240" w:lineRule="auto"/>
              <w:ind w:left="0"/>
              <w:rPr>
                <w:sz w:val="20"/>
                <w:szCs w:val="20"/>
                <w:lang w:val="en-US"/>
              </w:rPr>
            </w:pPr>
          </w:p>
        </w:tc>
      </w:tr>
      <w:tr w:rsidR="009A6092" w:rsidRPr="009A6092" w14:paraId="5DDC389A" w14:textId="77777777" w:rsidTr="00F376E8">
        <w:trPr>
          <w:jc w:val="center"/>
        </w:trPr>
        <w:tc>
          <w:tcPr>
            <w:tcW w:w="2254" w:type="dxa"/>
            <w:vMerge/>
          </w:tcPr>
          <w:p w14:paraId="6205F54D"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tcBorders>
          </w:tcPr>
          <w:p w14:paraId="19A07E4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tcBorders>
          </w:tcPr>
          <w:p w14:paraId="3D19A544"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44.6</w:t>
            </w:r>
          </w:p>
        </w:tc>
        <w:tc>
          <w:tcPr>
            <w:tcW w:w="2254" w:type="dxa"/>
            <w:vMerge/>
          </w:tcPr>
          <w:p w14:paraId="1BE5E704" w14:textId="77777777" w:rsidR="009A6092" w:rsidRPr="009A6092" w:rsidRDefault="009A6092" w:rsidP="00F376E8">
            <w:pPr>
              <w:pStyle w:val="ListParagraph"/>
              <w:tabs>
                <w:tab w:val="left" w:pos="982"/>
              </w:tabs>
              <w:spacing w:line="240" w:lineRule="auto"/>
              <w:ind w:left="0"/>
              <w:rPr>
                <w:sz w:val="20"/>
                <w:szCs w:val="20"/>
                <w:lang w:val="en-US"/>
              </w:rPr>
            </w:pPr>
          </w:p>
        </w:tc>
      </w:tr>
    </w:tbl>
    <w:p w14:paraId="3299F570" w14:textId="77777777" w:rsidR="00CD5F5C" w:rsidRDefault="00CD5F5C" w:rsidP="0044551F">
      <w:pPr>
        <w:pStyle w:val="Body"/>
        <w:spacing w:after="0"/>
        <w:rPr>
          <w:rFonts w:ascii="Arial" w:hAnsi="Arial" w:cs="Arial"/>
          <w:b/>
          <w:caps/>
          <w:sz w:val="22"/>
        </w:rPr>
      </w:pPr>
    </w:p>
    <w:p w14:paraId="63A4C395" w14:textId="77777777" w:rsidR="00CD5F5C" w:rsidRDefault="00CD5F5C" w:rsidP="0044551F">
      <w:pPr>
        <w:pStyle w:val="Body"/>
        <w:spacing w:after="0"/>
        <w:rPr>
          <w:rFonts w:ascii="Arial" w:hAnsi="Arial" w:cs="Arial"/>
          <w:b/>
          <w:caps/>
          <w:sz w:val="22"/>
        </w:rPr>
      </w:pPr>
    </w:p>
    <w:p w14:paraId="1F62A55C" w14:textId="752D3DB2" w:rsidR="0044551F" w:rsidRDefault="0044551F" w:rsidP="0044551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4551F">
        <w:rPr>
          <w:rFonts w:ascii="Arial" w:hAnsi="Arial" w:cs="Arial"/>
          <w:b/>
          <w:sz w:val="22"/>
        </w:rPr>
        <w:t>Trial management</w:t>
      </w:r>
    </w:p>
    <w:p w14:paraId="42C6E6CE" w14:textId="77777777" w:rsidR="009911B3" w:rsidRDefault="009911B3" w:rsidP="0044551F">
      <w:pPr>
        <w:pStyle w:val="Body"/>
        <w:spacing w:after="0"/>
        <w:rPr>
          <w:rFonts w:ascii="Arial" w:hAnsi="Arial" w:cs="Arial"/>
        </w:rPr>
      </w:pPr>
    </w:p>
    <w:p w14:paraId="283528E5" w14:textId="0EFEFA86" w:rsidR="0044551F" w:rsidRDefault="0044551F" w:rsidP="00441B6F">
      <w:pPr>
        <w:pStyle w:val="Body"/>
        <w:spacing w:after="0"/>
        <w:rPr>
          <w:rFonts w:ascii="Arial" w:hAnsi="Arial" w:cs="Arial"/>
        </w:rPr>
      </w:pPr>
      <w:r w:rsidRPr="0044551F">
        <w:rPr>
          <w:rFonts w:ascii="Arial" w:hAnsi="Arial" w:cs="Arial"/>
        </w:rPr>
        <w:t>Seeds were sown at six depths: 2, 3, 4, 5, 6, and 7 cm. Before planting, all soils were moistened to field capacity to ensure homogeneous conditions. Throughout the experiment, pots were irrigated daily in the evening with approximately 5 mm of water to maintain uniform soil moisture. The greenhouse was maintained under natural photoperiod and temperature conditions typical of the northern Ivorian environment during the experiment period. Emergence was monitored from the day of sowing until no further seedlings appeared</w:t>
      </w:r>
      <w:r>
        <w:rPr>
          <w:rFonts w:ascii="Arial" w:hAnsi="Arial" w:cs="Arial"/>
        </w:rPr>
        <w:t>.</w:t>
      </w:r>
    </w:p>
    <w:p w14:paraId="76C01152" w14:textId="77777777" w:rsidR="0044551F" w:rsidRDefault="0044551F" w:rsidP="00441B6F">
      <w:pPr>
        <w:pStyle w:val="Body"/>
        <w:spacing w:after="0"/>
        <w:rPr>
          <w:rFonts w:ascii="Arial" w:hAnsi="Arial" w:cs="Arial"/>
        </w:rPr>
      </w:pPr>
    </w:p>
    <w:p w14:paraId="6643FE51" w14:textId="1392BBB9" w:rsidR="0044551F" w:rsidRDefault="0044551F" w:rsidP="0044551F">
      <w:pPr>
        <w:pStyle w:val="Body"/>
        <w:spacing w:after="0"/>
        <w:rPr>
          <w:rFonts w:ascii="Arial" w:hAnsi="Arial" w:cs="Arial"/>
          <w:b/>
          <w:sz w:val="22"/>
        </w:rPr>
      </w:pPr>
      <w:r w:rsidRPr="00C30A0F">
        <w:rPr>
          <w:rFonts w:ascii="Arial" w:hAnsi="Arial" w:cs="Arial"/>
          <w:b/>
          <w:caps/>
          <w:sz w:val="22"/>
        </w:rPr>
        <w:t>2.</w:t>
      </w:r>
      <w:r w:rsidR="00E52E40">
        <w:rPr>
          <w:rFonts w:ascii="Arial" w:hAnsi="Arial" w:cs="Arial"/>
          <w:b/>
          <w:caps/>
          <w:sz w:val="22"/>
        </w:rPr>
        <w:t>4</w:t>
      </w:r>
      <w:r w:rsidRPr="00C30A0F">
        <w:rPr>
          <w:rFonts w:ascii="Arial" w:hAnsi="Arial" w:cs="Arial"/>
          <w:b/>
          <w:caps/>
          <w:sz w:val="22"/>
        </w:rPr>
        <w:t xml:space="preserve"> </w:t>
      </w:r>
      <w:r w:rsidRPr="0044551F">
        <w:rPr>
          <w:rFonts w:ascii="Arial" w:hAnsi="Arial" w:cs="Arial"/>
          <w:b/>
          <w:sz w:val="22"/>
        </w:rPr>
        <w:t>Determination of emergence parameters</w:t>
      </w:r>
    </w:p>
    <w:p w14:paraId="7F386485" w14:textId="77777777" w:rsidR="009911B3" w:rsidRDefault="009911B3" w:rsidP="0044551F">
      <w:pPr>
        <w:pStyle w:val="Body"/>
        <w:spacing w:after="0"/>
        <w:rPr>
          <w:rFonts w:ascii="Arial" w:hAnsi="Arial" w:cs="Arial"/>
          <w:b/>
          <w:sz w:val="22"/>
        </w:rPr>
      </w:pPr>
    </w:p>
    <w:p w14:paraId="258C695B" w14:textId="77777777" w:rsidR="0079505A" w:rsidRDefault="007E457E" w:rsidP="0079505A">
      <w:pPr>
        <w:pStyle w:val="Body"/>
        <w:spacing w:after="0"/>
        <w:rPr>
          <w:rFonts w:ascii="Arial" w:hAnsi="Arial" w:cs="Arial"/>
        </w:rPr>
      </w:pPr>
      <w:r w:rsidRPr="007E457E">
        <w:rPr>
          <w:rFonts w:ascii="Arial" w:hAnsi="Arial" w:cs="Arial"/>
        </w:rPr>
        <w:t>A seedling was considered emerged once its first two leaves were visible above the soil surface. The following emergence parameters were calculated based on daily counts, using formulas commonly applied to germination studies (</w:t>
      </w:r>
      <w:proofErr w:type="spellStart"/>
      <w:r w:rsidRPr="007E457E">
        <w:rPr>
          <w:rFonts w:ascii="Arial" w:hAnsi="Arial" w:cs="Arial"/>
        </w:rPr>
        <w:t>Sparg</w:t>
      </w:r>
      <w:proofErr w:type="spellEnd"/>
      <w:r w:rsidRPr="007E457E">
        <w:rPr>
          <w:rFonts w:ascii="Arial" w:hAnsi="Arial" w:cs="Arial"/>
        </w:rPr>
        <w:t xml:space="preserve"> et al. 2005; Zuo et al. 2017):</w:t>
      </w:r>
    </w:p>
    <w:p w14:paraId="675D4A58" w14:textId="4F986CA2" w:rsidR="007E457E" w:rsidRPr="007E457E" w:rsidRDefault="007E457E" w:rsidP="0079505A">
      <w:pPr>
        <w:pStyle w:val="Body"/>
        <w:spacing w:after="0"/>
        <w:rPr>
          <w:rFonts w:ascii="Arial" w:hAnsi="Arial" w:cs="Arial"/>
        </w:rPr>
      </w:pPr>
      <w:r w:rsidRPr="007E457E">
        <w:rPr>
          <w:rFonts w:ascii="Arial" w:hAnsi="Arial" w:cs="Arial"/>
        </w:rPr>
        <w:t>- First Day of Emergence (FDE):  The number of days from sowing to the appearance of the first seedling on the soil surface. It indicates the earliness of emergence.</w:t>
      </w:r>
    </w:p>
    <w:p w14:paraId="00F9F567" w14:textId="77777777" w:rsidR="007E457E" w:rsidRPr="007E457E" w:rsidRDefault="007E457E" w:rsidP="007E457E">
      <w:pPr>
        <w:pStyle w:val="Body"/>
        <w:spacing w:after="0"/>
        <w:rPr>
          <w:rFonts w:ascii="Arial" w:hAnsi="Arial" w:cs="Arial"/>
        </w:rPr>
      </w:pPr>
      <w:r w:rsidRPr="007E457E">
        <w:rPr>
          <w:rFonts w:ascii="Arial" w:hAnsi="Arial" w:cs="Arial"/>
        </w:rPr>
        <w:t>- Last Day of Emergence (LDE): The number of days from sowing to the emergence of the last seedling observed. It represents the duration of the emergence period.</w:t>
      </w:r>
    </w:p>
    <w:p w14:paraId="10482552" w14:textId="77777777" w:rsidR="007E457E" w:rsidRPr="007E457E" w:rsidRDefault="007E457E" w:rsidP="007E457E">
      <w:pPr>
        <w:pStyle w:val="Body"/>
        <w:spacing w:after="0"/>
        <w:rPr>
          <w:rFonts w:ascii="Arial" w:hAnsi="Arial" w:cs="Arial"/>
        </w:rPr>
      </w:pPr>
      <w:r w:rsidRPr="007E457E">
        <w:rPr>
          <w:rFonts w:ascii="Arial" w:hAnsi="Arial" w:cs="Arial"/>
        </w:rPr>
        <w:t>- Time Spread of Emergence (TSE): It reflects the synchrony of emergence: a smaller TSE indicates more uniform emergence.</w:t>
      </w:r>
    </w:p>
    <w:p w14:paraId="778B0016" w14:textId="3ACC7768" w:rsidR="007E457E" w:rsidRDefault="007E457E" w:rsidP="007E457E">
      <w:pPr>
        <w:pStyle w:val="Body"/>
        <w:spacing w:after="0"/>
        <w:rPr>
          <w:rFonts w:ascii="Arial" w:hAnsi="Arial" w:cs="Arial"/>
        </w:rPr>
      </w:pPr>
      <w:r w:rsidRPr="007E457E">
        <w:rPr>
          <w:rFonts w:ascii="Arial" w:hAnsi="Arial" w:cs="Arial"/>
        </w:rPr>
        <w:t>- Emergence Percentage (EP): The proportion of seedlings that successfully emerged compared to the total number of seeds sown, expressed as a percentage. It measures the success rate of seedling establishment.</w:t>
      </w:r>
    </w:p>
    <w:p w14:paraId="7FF2D8A8" w14:textId="77777777" w:rsidR="007E457E" w:rsidRDefault="007E457E" w:rsidP="00441B6F">
      <w:pPr>
        <w:pStyle w:val="Body"/>
        <w:spacing w:after="0"/>
        <w:rPr>
          <w:rFonts w:ascii="Arial" w:hAnsi="Arial" w:cs="Arial"/>
        </w:rPr>
      </w:pPr>
    </w:p>
    <w:p w14:paraId="0B1FD878" w14:textId="11CD8D2D" w:rsidR="00012A41" w:rsidRPr="009E728F" w:rsidRDefault="00012A41" w:rsidP="00012A41">
      <w:pPr>
        <w:spacing w:line="480" w:lineRule="auto"/>
        <w:rPr>
          <w:rFonts w:ascii="Times New Roman" w:hAnsi="Times New Roman"/>
          <w:sz w:val="24"/>
          <w:szCs w:val="24"/>
          <w:lang w:eastAsia="fr-FR"/>
        </w:rPr>
      </w:pPr>
      <m:oMathPara>
        <m:oMath>
          <m:r>
            <m:rPr>
              <m:sty m:val="p"/>
            </m:rPr>
            <w:rPr>
              <w:rFonts w:ascii="Cambria Math" w:hAnsi="Cambria Math" w:cs="Arial"/>
              <w:sz w:val="24"/>
              <w:szCs w:val="24"/>
              <w:lang w:eastAsia="fr-FR"/>
            </w:rPr>
            <m:t xml:space="preserve">EP= </m:t>
          </m:r>
          <m:f>
            <m:fPr>
              <m:ctrlPr>
                <w:rPr>
                  <w:rFonts w:ascii="Cambria Math" w:hAnsi="Cambria Math" w:cs="Arial"/>
                  <w:sz w:val="24"/>
                  <w:szCs w:val="24"/>
                  <w:lang w:eastAsia="fr-FR"/>
                </w:rPr>
              </m:ctrlPr>
            </m:fPr>
            <m:num>
              <m:r>
                <m:rPr>
                  <m:sty m:val="p"/>
                </m:rPr>
                <w:rPr>
                  <w:rFonts w:ascii="Cambria Math" w:hAnsi="Cambria Math" w:cs="Arial"/>
                  <w:sz w:val="24"/>
                  <w:szCs w:val="24"/>
                  <w:lang w:eastAsia="fr-FR"/>
                </w:rPr>
                <m:t>Number of emerged seedlings</m:t>
              </m:r>
            </m:num>
            <m:den>
              <m:r>
                <m:rPr>
                  <m:sty m:val="p"/>
                </m:rPr>
                <w:rPr>
                  <w:rFonts w:ascii="Cambria Math" w:hAnsi="Cambria Math" w:cs="Arial"/>
                  <w:sz w:val="24"/>
                  <w:szCs w:val="24"/>
                  <w:lang w:eastAsia="fr-FR"/>
                </w:rPr>
                <m:t>Number of seeds sown</m:t>
              </m:r>
            </m:den>
          </m:f>
          <m:r>
            <w:rPr>
              <w:rFonts w:ascii="Cambria Math" w:hAnsi="Cambria Math" w:cs="Arial"/>
              <w:sz w:val="24"/>
              <w:szCs w:val="24"/>
              <w:lang w:eastAsia="fr-FR"/>
            </w:rPr>
            <m:t>×100 (1)</m:t>
          </m:r>
        </m:oMath>
      </m:oMathPara>
    </w:p>
    <w:p w14:paraId="510635C2" w14:textId="3D476BEF" w:rsidR="007E457E" w:rsidRDefault="00012A41" w:rsidP="00441B6F">
      <w:pPr>
        <w:pStyle w:val="Body"/>
        <w:spacing w:after="0"/>
        <w:rPr>
          <w:rFonts w:ascii="Arial" w:hAnsi="Arial" w:cs="Arial"/>
        </w:rPr>
      </w:pPr>
      <w:r w:rsidRPr="00012A41">
        <w:rPr>
          <w:rFonts w:ascii="Arial" w:hAnsi="Arial" w:cs="Arial"/>
        </w:rPr>
        <w:t>- Mean Emergence Time (MET): The weighted average time required for seedlings to emerge, calculated using the number of seedlings emerging each day. It indicates the average speed of emergence</w:t>
      </w:r>
      <w:r>
        <w:rPr>
          <w:rFonts w:ascii="Arial" w:hAnsi="Arial" w:cs="Arial"/>
        </w:rPr>
        <w:t>.</w:t>
      </w:r>
    </w:p>
    <w:p w14:paraId="7804829E" w14:textId="77777777" w:rsidR="00012A41" w:rsidRDefault="00012A41" w:rsidP="00441B6F">
      <w:pPr>
        <w:pStyle w:val="Body"/>
        <w:spacing w:after="0"/>
        <w:rPr>
          <w:rFonts w:ascii="Arial" w:hAnsi="Arial" w:cs="Arial"/>
        </w:rPr>
      </w:pPr>
    </w:p>
    <w:p w14:paraId="6C93883F" w14:textId="328272F4" w:rsidR="00012A41" w:rsidRPr="009E728F" w:rsidRDefault="00012A41" w:rsidP="00012A41">
      <w:pPr>
        <w:spacing w:line="480" w:lineRule="auto"/>
        <w:rPr>
          <w:rFonts w:ascii="Times New Roman" w:hAnsi="Times New Roman"/>
          <w:sz w:val="24"/>
          <w:szCs w:val="24"/>
          <w:lang w:eastAsia="fr-FR"/>
        </w:rPr>
      </w:pPr>
      <m:oMathPara>
        <m:oMath>
          <m:r>
            <m:rPr>
              <m:sty m:val="p"/>
            </m:rPr>
            <w:rPr>
              <w:rFonts w:ascii="Cambria Math" w:hAnsi="Cambria Math"/>
              <w:sz w:val="24"/>
              <w:szCs w:val="24"/>
              <w:lang w:eastAsia="fr-FR"/>
            </w:rPr>
            <m:t xml:space="preserve">MET= </m:t>
          </m:r>
          <m:f>
            <m:fPr>
              <m:ctrlPr>
                <w:rPr>
                  <w:rFonts w:ascii="Cambria Math" w:hAnsi="Cambria Math"/>
                  <w:sz w:val="24"/>
                  <w:szCs w:val="24"/>
                  <w:lang w:eastAsia="fr-FR"/>
                </w:rPr>
              </m:ctrlPr>
            </m:fPr>
            <m:num>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i</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 xml:space="preserve">i </m:t>
                  </m:r>
                </m:sub>
              </m:sSub>
            </m:num>
            <m:den>
              <m:r>
                <m:rPr>
                  <m:sty m:val="p"/>
                </m:rPr>
                <w:rPr>
                  <w:rFonts w:ascii="Cambria Math" w:hAnsi="Cambria Math"/>
                  <w:sz w:val="24"/>
                  <w:szCs w:val="24"/>
                  <w:lang w:eastAsia="fr-FR"/>
                </w:rPr>
                <m:t>N</m:t>
              </m:r>
            </m:den>
          </m:f>
          <m:r>
            <w:rPr>
              <w:rFonts w:ascii="Cambria Math" w:hAnsi="Cambria Math"/>
              <w:sz w:val="24"/>
              <w:szCs w:val="24"/>
              <w:lang w:eastAsia="fr-FR"/>
            </w:rPr>
            <m:t xml:space="preserve"> (2)</m:t>
          </m:r>
        </m:oMath>
      </m:oMathPara>
    </w:p>
    <w:p w14:paraId="5790AC04" w14:textId="77777777" w:rsidR="00012A41" w:rsidRPr="00012A41" w:rsidRDefault="00012A41" w:rsidP="00012A41">
      <w:pPr>
        <w:pStyle w:val="Body"/>
        <w:rPr>
          <w:rFonts w:ascii="Arial" w:hAnsi="Arial" w:cs="Arial"/>
        </w:rPr>
      </w:pPr>
      <w:r w:rsidRPr="00012A41">
        <w:rPr>
          <w:rFonts w:ascii="Arial" w:hAnsi="Arial" w:cs="Arial"/>
        </w:rPr>
        <w:t xml:space="preserve">where </w:t>
      </w:r>
      <w:proofErr w:type="spellStart"/>
      <w:r w:rsidRPr="00012A41">
        <w:rPr>
          <w:rFonts w:ascii="Arial" w:hAnsi="Arial" w:cs="Arial"/>
        </w:rPr>
        <w:t>ni</w:t>
      </w:r>
      <w:proofErr w:type="spellEnd"/>
      <w:r w:rsidRPr="00012A41">
        <w:rPr>
          <w:rFonts w:ascii="Arial" w:hAnsi="Arial" w:cs="Arial"/>
        </w:rPr>
        <w:t xml:space="preserve"> represents the number of seedlings emerged on day di and N, total number of emerged seedlings.</w:t>
      </w:r>
    </w:p>
    <w:p w14:paraId="06569D0D" w14:textId="7FFFEF2B" w:rsidR="00012A41" w:rsidRDefault="00012A41" w:rsidP="00012A41">
      <w:pPr>
        <w:pStyle w:val="Body"/>
        <w:spacing w:after="0"/>
        <w:rPr>
          <w:rFonts w:ascii="Arial" w:hAnsi="Arial" w:cs="Arial"/>
        </w:rPr>
      </w:pPr>
      <w:r w:rsidRPr="00012A41">
        <w:rPr>
          <w:rFonts w:ascii="Arial" w:hAnsi="Arial" w:cs="Arial"/>
        </w:rPr>
        <w:t>- Coefficient of Velocity of Emergence (CVE): A parameter expressing the rapidity and uniformity of seedling emergence. Higher CVE values indicate faster and more synchronized emergence.</w:t>
      </w:r>
    </w:p>
    <w:p w14:paraId="4B6E7649" w14:textId="04EE2228" w:rsidR="00E52E40" w:rsidRPr="009E728F" w:rsidRDefault="00E52E40" w:rsidP="00E52E40">
      <w:pPr>
        <w:spacing w:line="480" w:lineRule="auto"/>
        <w:rPr>
          <w:rFonts w:ascii="Times New Roman" w:hAnsi="Times New Roman"/>
          <w:sz w:val="24"/>
          <w:szCs w:val="24"/>
          <w:lang w:eastAsia="fr-FR"/>
        </w:rPr>
      </w:pPr>
      <m:oMathPara>
        <m:oMath>
          <m:r>
            <m:rPr>
              <m:sty m:val="p"/>
            </m:rPr>
            <w:rPr>
              <w:rFonts w:ascii="Cambria Math" w:hAnsi="Cambria Math"/>
              <w:sz w:val="24"/>
              <w:szCs w:val="24"/>
              <w:lang w:eastAsia="fr-FR"/>
            </w:rPr>
            <m:t xml:space="preserve">CVE= </m:t>
          </m:r>
          <m:f>
            <m:fPr>
              <m:ctrlPr>
                <w:rPr>
                  <w:rFonts w:ascii="Cambria Math" w:hAnsi="Cambria Math"/>
                  <w:sz w:val="24"/>
                  <w:szCs w:val="24"/>
                  <w:lang w:eastAsia="fr-FR"/>
                </w:rPr>
              </m:ctrlPr>
            </m:fPr>
            <m:num>
              <m:r>
                <m:rPr>
                  <m:sty m:val="p"/>
                </m:rPr>
                <w:rPr>
                  <w:rFonts w:ascii="Cambria Math" w:hAnsi="Cambria Math"/>
                  <w:sz w:val="24"/>
                  <w:szCs w:val="24"/>
                  <w:lang w:eastAsia="fr-FR"/>
                </w:rPr>
                <m:t>N</m:t>
              </m:r>
            </m:num>
            <m:den>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i</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i</m:t>
                  </m:r>
                </m:sub>
              </m:sSub>
            </m:den>
          </m:f>
          <m:r>
            <w:rPr>
              <w:rFonts w:ascii="Cambria Math" w:hAnsi="Cambria Math"/>
              <w:sz w:val="24"/>
              <w:szCs w:val="24"/>
              <w:lang w:eastAsia="fr-FR"/>
            </w:rPr>
            <m:t>×100 (3)</m:t>
          </m:r>
        </m:oMath>
      </m:oMathPara>
    </w:p>
    <w:p w14:paraId="18873CE2" w14:textId="77777777" w:rsidR="00E52E40" w:rsidRDefault="00E52E40" w:rsidP="00012A41">
      <w:pPr>
        <w:pStyle w:val="Body"/>
        <w:spacing w:after="0"/>
        <w:rPr>
          <w:rFonts w:ascii="Arial" w:hAnsi="Arial" w:cs="Arial"/>
        </w:rPr>
      </w:pPr>
    </w:p>
    <w:p w14:paraId="383D0275" w14:textId="5EA4F82F" w:rsidR="00E52E40" w:rsidRDefault="00E52E40" w:rsidP="00E52E40">
      <w:pPr>
        <w:pStyle w:val="Body"/>
        <w:spacing w:after="0"/>
        <w:rPr>
          <w:rFonts w:ascii="Arial" w:hAnsi="Arial" w:cs="Arial"/>
          <w:b/>
          <w:sz w:val="22"/>
        </w:rPr>
      </w:pPr>
      <w:r w:rsidRPr="00C30A0F">
        <w:rPr>
          <w:rFonts w:ascii="Arial" w:hAnsi="Arial" w:cs="Arial"/>
          <w:b/>
          <w:caps/>
          <w:sz w:val="22"/>
        </w:rPr>
        <w:t>2.</w:t>
      </w:r>
      <w:r w:rsidR="0086195C">
        <w:rPr>
          <w:rFonts w:ascii="Arial" w:hAnsi="Arial" w:cs="Arial"/>
          <w:b/>
          <w:caps/>
          <w:sz w:val="22"/>
        </w:rPr>
        <w:t>5</w:t>
      </w:r>
      <w:r w:rsidRPr="00C30A0F">
        <w:rPr>
          <w:rFonts w:ascii="Arial" w:hAnsi="Arial" w:cs="Arial"/>
          <w:b/>
          <w:caps/>
          <w:sz w:val="22"/>
        </w:rPr>
        <w:t xml:space="preserve"> </w:t>
      </w:r>
      <w:r w:rsidR="0086195C" w:rsidRPr="0086195C">
        <w:rPr>
          <w:rFonts w:ascii="Arial" w:hAnsi="Arial" w:cs="Arial"/>
          <w:b/>
          <w:sz w:val="22"/>
        </w:rPr>
        <w:t>Data analysis</w:t>
      </w:r>
    </w:p>
    <w:p w14:paraId="1CE0D020" w14:textId="77777777" w:rsidR="009911B3" w:rsidRDefault="009911B3" w:rsidP="00E52E40">
      <w:pPr>
        <w:pStyle w:val="Body"/>
        <w:spacing w:after="0"/>
        <w:rPr>
          <w:rFonts w:ascii="Arial" w:hAnsi="Arial" w:cs="Arial"/>
          <w:b/>
          <w:sz w:val="22"/>
        </w:rPr>
      </w:pPr>
    </w:p>
    <w:p w14:paraId="79E1F814" w14:textId="25C623A1" w:rsidR="007E457E" w:rsidRDefault="00E52E40" w:rsidP="00441B6F">
      <w:pPr>
        <w:pStyle w:val="Body"/>
        <w:spacing w:after="0"/>
        <w:rPr>
          <w:rFonts w:ascii="Arial" w:hAnsi="Arial" w:cs="Arial"/>
        </w:rPr>
      </w:pPr>
      <w:r w:rsidRPr="00E52E40">
        <w:rPr>
          <w:rFonts w:ascii="Arial" w:hAnsi="Arial" w:cs="Arial"/>
        </w:rPr>
        <w:t xml:space="preserve">Percentage data were transformed using the arcsine square-root (√x) transformation prior to analysis, although untransformed values were used for graphical representation. A two-way analysis of variance (ANOVA) was performed to assess the effects of soil type, sowing depth, and their interaction. When the F-test indicated significance at the 5% level, mean comparisons were carried out using the </w:t>
      </w:r>
      <w:r w:rsidR="00EA291A" w:rsidRPr="00EA291A">
        <w:rPr>
          <w:rFonts w:ascii="Arial" w:hAnsi="Arial" w:cs="Arial"/>
        </w:rPr>
        <w:t>Student</w:t>
      </w:r>
      <w:r w:rsidR="00EA291A">
        <w:rPr>
          <w:rFonts w:ascii="Arial" w:hAnsi="Arial" w:cs="Arial"/>
        </w:rPr>
        <w:t>-</w:t>
      </w:r>
      <w:r w:rsidR="00EA291A" w:rsidRPr="00EA291A">
        <w:rPr>
          <w:rFonts w:ascii="Arial" w:hAnsi="Arial" w:cs="Arial"/>
        </w:rPr>
        <w:t>Newman</w:t>
      </w:r>
      <w:r w:rsidR="00EA291A">
        <w:rPr>
          <w:rFonts w:ascii="Arial" w:hAnsi="Arial" w:cs="Arial"/>
        </w:rPr>
        <w:t>-</w:t>
      </w:r>
      <w:r w:rsidR="00EA291A" w:rsidRPr="00EA291A">
        <w:rPr>
          <w:rFonts w:ascii="Arial" w:hAnsi="Arial" w:cs="Arial"/>
        </w:rPr>
        <w:t>Keuls</w:t>
      </w:r>
      <w:r w:rsidR="00EA291A">
        <w:rPr>
          <w:rFonts w:ascii="Arial" w:hAnsi="Arial" w:cs="Arial"/>
        </w:rPr>
        <w:t xml:space="preserve"> </w:t>
      </w:r>
      <w:r w:rsidR="00EA291A" w:rsidRPr="00EA291A">
        <w:rPr>
          <w:rFonts w:ascii="Arial" w:hAnsi="Arial" w:cs="Arial"/>
        </w:rPr>
        <w:t>(SNK)</w:t>
      </w:r>
      <w:r w:rsidRPr="00E52E40">
        <w:rPr>
          <w:rFonts w:ascii="Arial" w:hAnsi="Arial" w:cs="Arial"/>
        </w:rPr>
        <w:t>. All statistical analyses were conducted using RStudio (version 2024.12.1 + 563; Posit Software, PBC, 2025) and R (version 4.3.3; R Core Team, 2024).</w:t>
      </w:r>
    </w:p>
    <w:p w14:paraId="04F03442" w14:textId="77777777" w:rsidR="00790ADA" w:rsidRPr="00FB3A86" w:rsidRDefault="00790ADA" w:rsidP="00441B6F">
      <w:pPr>
        <w:pStyle w:val="Body"/>
        <w:spacing w:after="0"/>
        <w:rPr>
          <w:rFonts w:ascii="Arial" w:hAnsi="Arial" w:cs="Arial"/>
        </w:rPr>
      </w:pPr>
    </w:p>
    <w:p w14:paraId="0E1189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C50B46" w14:textId="77777777" w:rsidR="00790ADA" w:rsidRPr="00FB3A86" w:rsidRDefault="00790ADA" w:rsidP="00441B6F">
      <w:pPr>
        <w:pStyle w:val="Head1"/>
        <w:spacing w:after="0"/>
        <w:jc w:val="both"/>
        <w:rPr>
          <w:rFonts w:ascii="Arial" w:hAnsi="Arial" w:cs="Arial"/>
        </w:rPr>
      </w:pPr>
    </w:p>
    <w:p w14:paraId="69620116" w14:textId="39BFAA46" w:rsidR="009911B3" w:rsidRPr="009911B3" w:rsidRDefault="009911B3" w:rsidP="009911B3">
      <w:pPr>
        <w:pStyle w:val="Body"/>
        <w:spacing w:after="0"/>
        <w:rPr>
          <w:rFonts w:ascii="Arial" w:hAnsi="Arial" w:cs="Arial"/>
        </w:rPr>
      </w:pPr>
      <w:r w:rsidRPr="009911B3">
        <w:rPr>
          <w:rFonts w:ascii="Arial" w:hAnsi="Arial" w:cs="Arial"/>
        </w:rPr>
        <w:t xml:space="preserve">The two-way analysis of variance revealed a highly significant interaction between soil texture and sowing depth for all emergence parameters (P = 0.001), except for Mean Emergence Time (MET) and Coefficient of Velocity of Emergence (CVE), for which the interaction </w:t>
      </w:r>
      <w:r w:rsidRPr="009911B3">
        <w:rPr>
          <w:rFonts w:ascii="Arial" w:hAnsi="Arial" w:cs="Arial"/>
        </w:rPr>
        <w:lastRenderedPageBreak/>
        <w:t xml:space="preserve">remained significant at the five percent probability level. This indicates that the response of Bambara groundnut emergence to soil texture depends strongly on sowing depth, highlighting the importance of considering both factors simultaneously when </w:t>
      </w:r>
      <w:r w:rsidR="00023907" w:rsidRPr="009911B3">
        <w:rPr>
          <w:rFonts w:ascii="Arial" w:hAnsi="Arial" w:cs="Arial"/>
        </w:rPr>
        <w:t>optimizing</w:t>
      </w:r>
      <w:r w:rsidRPr="009911B3">
        <w:rPr>
          <w:rFonts w:ascii="Arial" w:hAnsi="Arial" w:cs="Arial"/>
        </w:rPr>
        <w:t xml:space="preserve"> crop establishment.</w:t>
      </w:r>
    </w:p>
    <w:p w14:paraId="6FD0A2F9" w14:textId="77777777" w:rsidR="009911B3" w:rsidRPr="009911B3" w:rsidRDefault="009911B3" w:rsidP="009911B3">
      <w:pPr>
        <w:pStyle w:val="Body"/>
        <w:spacing w:after="0"/>
        <w:rPr>
          <w:rFonts w:ascii="Arial" w:hAnsi="Arial" w:cs="Arial"/>
        </w:rPr>
      </w:pPr>
    </w:p>
    <w:p w14:paraId="32091F92" w14:textId="43790C09" w:rsidR="009911B3" w:rsidRPr="009911B3" w:rsidRDefault="009911B3"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9911B3">
        <w:rPr>
          <w:rFonts w:ascii="Arial" w:hAnsi="Arial" w:cs="Arial"/>
          <w:b/>
          <w:sz w:val="22"/>
        </w:rPr>
        <w:t>Emergence timing: First and Last Days of Emergence (FDE and LDE)</w:t>
      </w:r>
    </w:p>
    <w:p w14:paraId="230CFA49" w14:textId="77777777" w:rsidR="009911B3" w:rsidRPr="009911B3" w:rsidRDefault="009911B3" w:rsidP="009911B3">
      <w:pPr>
        <w:pStyle w:val="Body"/>
        <w:spacing w:after="0"/>
        <w:rPr>
          <w:rFonts w:ascii="Arial" w:hAnsi="Arial" w:cs="Arial"/>
          <w:b/>
          <w:sz w:val="22"/>
        </w:rPr>
      </w:pPr>
    </w:p>
    <w:p w14:paraId="59E9EF43" w14:textId="209BAA90" w:rsidR="009911B3" w:rsidRDefault="009911B3" w:rsidP="009911B3">
      <w:pPr>
        <w:pStyle w:val="Body"/>
        <w:spacing w:after="0"/>
        <w:rPr>
          <w:rFonts w:ascii="Arial" w:hAnsi="Arial" w:cs="Arial"/>
        </w:rPr>
      </w:pPr>
      <w:r w:rsidRPr="009911B3">
        <w:rPr>
          <w:rFonts w:ascii="Arial" w:hAnsi="Arial" w:cs="Arial"/>
        </w:rPr>
        <w:t xml:space="preserve">First Day of Emergence (FDE) and Last Day of Emergence (LDE) increased progressively with increasing sowing depth across all soil textures (Figures 2 and 3). At the shallowest depth of </w:t>
      </w:r>
      <w:r w:rsidR="006852BE">
        <w:rPr>
          <w:rFonts w:ascii="Arial" w:hAnsi="Arial" w:cs="Arial"/>
        </w:rPr>
        <w:t>2 cm</w:t>
      </w:r>
      <w:r w:rsidRPr="009911B3">
        <w:rPr>
          <w:rFonts w:ascii="Arial" w:hAnsi="Arial" w:cs="Arial"/>
        </w:rPr>
        <w:t xml:space="preserve">, emergence occurred earliest, approximately six days after sowing, reflecting </w:t>
      </w:r>
      <w:r w:rsidR="00FB1528" w:rsidRPr="009911B3">
        <w:rPr>
          <w:rFonts w:ascii="Arial" w:hAnsi="Arial" w:cs="Arial"/>
        </w:rPr>
        <w:t>favorable</w:t>
      </w:r>
      <w:r w:rsidRPr="009911B3">
        <w:rPr>
          <w:rFonts w:ascii="Arial" w:hAnsi="Arial" w:cs="Arial"/>
        </w:rPr>
        <w:t xml:space="preserve"> physical and physiological conditions for seedling breakthrough. At intermediate depths ranging from </w:t>
      </w:r>
      <w:r w:rsidR="006852BE">
        <w:rPr>
          <w:rFonts w:ascii="Arial" w:hAnsi="Arial" w:cs="Arial"/>
        </w:rPr>
        <w:t>3</w:t>
      </w:r>
      <w:r w:rsidRPr="009911B3">
        <w:rPr>
          <w:rFonts w:ascii="Arial" w:hAnsi="Arial" w:cs="Arial"/>
        </w:rPr>
        <w:t xml:space="preserve"> to </w:t>
      </w:r>
      <w:r w:rsidR="006852BE">
        <w:rPr>
          <w:rFonts w:ascii="Arial" w:hAnsi="Arial" w:cs="Arial"/>
        </w:rPr>
        <w:t>5 cm</w:t>
      </w:r>
      <w:r w:rsidRPr="009911B3">
        <w:rPr>
          <w:rFonts w:ascii="Arial" w:hAnsi="Arial" w:cs="Arial"/>
        </w:rPr>
        <w:t xml:space="preserve">, emergence was moderately delayed, while the deepest sowing at </w:t>
      </w:r>
      <w:r w:rsidR="006852BE">
        <w:rPr>
          <w:rFonts w:ascii="Arial" w:hAnsi="Arial" w:cs="Arial"/>
        </w:rPr>
        <w:t>7 cm</w:t>
      </w:r>
      <w:r w:rsidRPr="009911B3">
        <w:rPr>
          <w:rFonts w:ascii="Arial" w:hAnsi="Arial" w:cs="Arial"/>
        </w:rPr>
        <w:t xml:space="preserve"> resulted in the latest emergence, with FDE and LDE extending to about 9.5 and 12.5 days, respectively.</w:t>
      </w:r>
      <w:r w:rsidR="006852BE">
        <w:rPr>
          <w:rFonts w:ascii="Arial" w:hAnsi="Arial" w:cs="Arial"/>
        </w:rPr>
        <w:t xml:space="preserve"> </w:t>
      </w:r>
      <w:r w:rsidRPr="009911B3">
        <w:rPr>
          <w:rFonts w:ascii="Arial" w:hAnsi="Arial" w:cs="Arial"/>
        </w:rPr>
        <w:t>This progressive delay with depth can be attributed to the increased distance seedlings must traverse to reach the soil surface, combined with reduced oxygen diffusion and greater mechanical resistance at deeper soil layers. Similar depth-dependent delays in emergence have been reported in other crops, where deeper burial limits gas exchange and slows hypocotyl elongation (Tang et al.</w:t>
      </w:r>
      <w:r w:rsidR="006852BE">
        <w:rPr>
          <w:rFonts w:ascii="Arial" w:hAnsi="Arial" w:cs="Arial"/>
        </w:rPr>
        <w:t>,</w:t>
      </w:r>
      <w:r w:rsidRPr="009911B3">
        <w:rPr>
          <w:rFonts w:ascii="Arial" w:hAnsi="Arial" w:cs="Arial"/>
        </w:rPr>
        <w:t xml:space="preserve"> 2016; Kanno et al.</w:t>
      </w:r>
      <w:r w:rsidR="006852BE">
        <w:rPr>
          <w:rFonts w:ascii="Arial" w:hAnsi="Arial" w:cs="Arial"/>
        </w:rPr>
        <w:t>,</w:t>
      </w:r>
      <w:r w:rsidRPr="009911B3">
        <w:rPr>
          <w:rFonts w:ascii="Arial" w:hAnsi="Arial" w:cs="Arial"/>
        </w:rPr>
        <w:t xml:space="preserve"> 2025). Among soil types, sandy soil consistently promoted earlier emergence completion, whereas gravelly and clayey soils induced longer delays, particularly at depths greater than </w:t>
      </w:r>
      <w:r w:rsidR="006852BE">
        <w:rPr>
          <w:rFonts w:ascii="Arial" w:hAnsi="Arial" w:cs="Arial"/>
        </w:rPr>
        <w:t>4 cm</w:t>
      </w:r>
      <w:r w:rsidRPr="009911B3">
        <w:rPr>
          <w:rFonts w:ascii="Arial" w:hAnsi="Arial" w:cs="Arial"/>
        </w:rPr>
        <w:t xml:space="preserve">. This reflects the more </w:t>
      </w:r>
      <w:r w:rsidR="00892AE1" w:rsidRPr="009911B3">
        <w:rPr>
          <w:rFonts w:ascii="Arial" w:hAnsi="Arial" w:cs="Arial"/>
        </w:rPr>
        <w:t>favorable</w:t>
      </w:r>
      <w:r w:rsidRPr="009911B3">
        <w:rPr>
          <w:rFonts w:ascii="Arial" w:hAnsi="Arial" w:cs="Arial"/>
        </w:rPr>
        <w:t xml:space="preserve"> physical structure of sandy soil, which facilitates seedling penetration and aeration. Comparable responses have been observed in </w:t>
      </w:r>
      <w:proofErr w:type="spellStart"/>
      <w:r w:rsidRPr="006852BE">
        <w:rPr>
          <w:rFonts w:ascii="Arial" w:hAnsi="Arial" w:cs="Arial"/>
          <w:i/>
          <w:iCs/>
        </w:rPr>
        <w:t>Pericopsis</w:t>
      </w:r>
      <w:proofErr w:type="spellEnd"/>
      <w:r w:rsidRPr="006852BE">
        <w:rPr>
          <w:rFonts w:ascii="Arial" w:hAnsi="Arial" w:cs="Arial"/>
          <w:i/>
          <w:iCs/>
        </w:rPr>
        <w:t xml:space="preserve"> </w:t>
      </w:r>
      <w:proofErr w:type="spellStart"/>
      <w:r w:rsidRPr="006852BE">
        <w:rPr>
          <w:rFonts w:ascii="Arial" w:hAnsi="Arial" w:cs="Arial"/>
          <w:i/>
          <w:iCs/>
        </w:rPr>
        <w:t>elata</w:t>
      </w:r>
      <w:proofErr w:type="spellEnd"/>
      <w:r w:rsidRPr="009911B3">
        <w:rPr>
          <w:rFonts w:ascii="Arial" w:hAnsi="Arial" w:cs="Arial"/>
        </w:rPr>
        <w:t xml:space="preserve"> and </w:t>
      </w:r>
      <w:r w:rsidRPr="006852BE">
        <w:rPr>
          <w:rFonts w:ascii="Arial" w:hAnsi="Arial" w:cs="Arial"/>
          <w:i/>
          <w:iCs/>
        </w:rPr>
        <w:t>Khaya senegalensis</w:t>
      </w:r>
      <w:r w:rsidRPr="009911B3">
        <w:rPr>
          <w:rFonts w:ascii="Arial" w:hAnsi="Arial" w:cs="Arial"/>
        </w:rPr>
        <w:t>, where shallow sowing in light-textured substrates enhanced emergence earliness (</w:t>
      </w:r>
      <w:proofErr w:type="spellStart"/>
      <w:r w:rsidRPr="009911B3">
        <w:rPr>
          <w:rFonts w:ascii="Arial" w:hAnsi="Arial" w:cs="Arial"/>
        </w:rPr>
        <w:t>Onana</w:t>
      </w:r>
      <w:proofErr w:type="spellEnd"/>
      <w:r w:rsidRPr="009911B3">
        <w:rPr>
          <w:rFonts w:ascii="Arial" w:hAnsi="Arial" w:cs="Arial"/>
        </w:rPr>
        <w:t xml:space="preserve"> 2009; </w:t>
      </w:r>
      <w:proofErr w:type="spellStart"/>
      <w:r w:rsidRPr="009911B3">
        <w:rPr>
          <w:rFonts w:ascii="Arial" w:hAnsi="Arial" w:cs="Arial"/>
        </w:rPr>
        <w:t>Silué</w:t>
      </w:r>
      <w:proofErr w:type="spellEnd"/>
      <w:r w:rsidRPr="009911B3">
        <w:rPr>
          <w:rFonts w:ascii="Arial" w:hAnsi="Arial" w:cs="Arial"/>
        </w:rPr>
        <w:t xml:space="preserve"> et al. 2021).</w:t>
      </w:r>
    </w:p>
    <w:p w14:paraId="22C44DB6" w14:textId="440CB546" w:rsidR="00AB62AA" w:rsidRDefault="0079505A" w:rsidP="009911B3">
      <w:pPr>
        <w:pStyle w:val="Body"/>
        <w:spacing w:after="0"/>
        <w:rPr>
          <w:rFonts w:ascii="Arial" w:hAnsi="Arial" w:cs="Arial"/>
        </w:rPr>
      </w:pPr>
      <w:r w:rsidRPr="009E728F">
        <w:rPr>
          <w:rFonts w:ascii="Times New Roman" w:hAnsi="Times New Roman"/>
          <w:noProof/>
          <w:sz w:val="24"/>
          <w:szCs w:val="24"/>
          <w:lang w:val="fr-FR" w:eastAsia="fr-FR"/>
        </w:rPr>
        <w:drawing>
          <wp:anchor distT="0" distB="0" distL="114300" distR="114300" simplePos="0" relativeHeight="251655680" behindDoc="0" locked="0" layoutInCell="1" allowOverlap="1" wp14:anchorId="310CE121" wp14:editId="29C2468D">
            <wp:simplePos x="0" y="0"/>
            <wp:positionH relativeFrom="column">
              <wp:posOffset>571500</wp:posOffset>
            </wp:positionH>
            <wp:positionV relativeFrom="paragraph">
              <wp:posOffset>635</wp:posOffset>
            </wp:positionV>
            <wp:extent cx="3954780" cy="3200400"/>
            <wp:effectExtent l="0" t="0" r="0" b="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FC40CA9" w14:textId="3B764A49" w:rsidR="00AB62AA" w:rsidRDefault="00AB62AA" w:rsidP="009911B3">
      <w:pPr>
        <w:pStyle w:val="Body"/>
        <w:spacing w:after="0"/>
        <w:rPr>
          <w:rFonts w:ascii="Arial" w:hAnsi="Arial" w:cs="Arial"/>
        </w:rPr>
      </w:pPr>
    </w:p>
    <w:p w14:paraId="7B02D538" w14:textId="394B80E9" w:rsidR="00AB62AA" w:rsidRDefault="00AB62AA" w:rsidP="009911B3">
      <w:pPr>
        <w:pStyle w:val="Body"/>
        <w:spacing w:after="0"/>
        <w:rPr>
          <w:rFonts w:ascii="Arial" w:hAnsi="Arial" w:cs="Arial"/>
        </w:rPr>
      </w:pPr>
    </w:p>
    <w:p w14:paraId="209D2A43" w14:textId="687CE857" w:rsidR="00AB62AA" w:rsidRDefault="00AB62AA" w:rsidP="009911B3">
      <w:pPr>
        <w:pStyle w:val="Body"/>
        <w:spacing w:after="0"/>
        <w:rPr>
          <w:rFonts w:ascii="Arial" w:hAnsi="Arial" w:cs="Arial"/>
        </w:rPr>
      </w:pPr>
    </w:p>
    <w:p w14:paraId="5299F8DD" w14:textId="5EF4CC0E" w:rsidR="00AB62AA" w:rsidRDefault="00AB62AA" w:rsidP="009911B3">
      <w:pPr>
        <w:pStyle w:val="Body"/>
        <w:spacing w:after="0"/>
        <w:rPr>
          <w:rFonts w:ascii="Arial" w:hAnsi="Arial" w:cs="Arial"/>
        </w:rPr>
      </w:pPr>
    </w:p>
    <w:p w14:paraId="0276A531" w14:textId="114902A4" w:rsidR="00AB62AA" w:rsidRDefault="00AB62AA" w:rsidP="009911B3">
      <w:pPr>
        <w:pStyle w:val="Body"/>
        <w:spacing w:after="0"/>
        <w:rPr>
          <w:rFonts w:ascii="Arial" w:hAnsi="Arial" w:cs="Arial"/>
        </w:rPr>
      </w:pPr>
    </w:p>
    <w:p w14:paraId="38F702B4" w14:textId="67E20DB7" w:rsidR="00AB62AA" w:rsidRDefault="00AB62AA" w:rsidP="009911B3">
      <w:pPr>
        <w:pStyle w:val="Body"/>
        <w:spacing w:after="0"/>
        <w:rPr>
          <w:rFonts w:ascii="Arial" w:hAnsi="Arial" w:cs="Arial"/>
        </w:rPr>
      </w:pPr>
    </w:p>
    <w:p w14:paraId="66350636" w14:textId="7346458D" w:rsidR="00AB62AA" w:rsidRDefault="00AB62AA" w:rsidP="009911B3">
      <w:pPr>
        <w:pStyle w:val="Body"/>
        <w:spacing w:after="0"/>
        <w:rPr>
          <w:rFonts w:ascii="Arial" w:hAnsi="Arial" w:cs="Arial"/>
        </w:rPr>
      </w:pPr>
    </w:p>
    <w:p w14:paraId="69E71FC4" w14:textId="33D05D4F" w:rsidR="00AB62AA" w:rsidRDefault="00AB62AA" w:rsidP="009911B3">
      <w:pPr>
        <w:pStyle w:val="Body"/>
        <w:spacing w:after="0"/>
        <w:rPr>
          <w:rFonts w:ascii="Arial" w:hAnsi="Arial" w:cs="Arial"/>
        </w:rPr>
      </w:pPr>
    </w:p>
    <w:p w14:paraId="5B985C3D" w14:textId="288331B1" w:rsidR="00AB62AA" w:rsidRDefault="00AB62AA" w:rsidP="009911B3">
      <w:pPr>
        <w:pStyle w:val="Body"/>
        <w:spacing w:after="0"/>
        <w:rPr>
          <w:rFonts w:ascii="Arial" w:hAnsi="Arial" w:cs="Arial"/>
        </w:rPr>
      </w:pPr>
    </w:p>
    <w:p w14:paraId="4C162100" w14:textId="1A30CF10" w:rsidR="00AB62AA" w:rsidRDefault="00AB62AA" w:rsidP="009911B3">
      <w:pPr>
        <w:pStyle w:val="Body"/>
        <w:spacing w:after="0"/>
        <w:rPr>
          <w:rFonts w:ascii="Arial" w:hAnsi="Arial" w:cs="Arial"/>
        </w:rPr>
      </w:pPr>
    </w:p>
    <w:p w14:paraId="5D8461CB" w14:textId="1BDC2CFD" w:rsidR="00AB62AA" w:rsidRDefault="00AB62AA" w:rsidP="009911B3">
      <w:pPr>
        <w:pStyle w:val="Body"/>
        <w:spacing w:after="0"/>
        <w:rPr>
          <w:rFonts w:ascii="Arial" w:hAnsi="Arial" w:cs="Arial"/>
        </w:rPr>
      </w:pPr>
    </w:p>
    <w:p w14:paraId="68B6B46F" w14:textId="242343FA" w:rsidR="00AB62AA" w:rsidRDefault="00AB62AA" w:rsidP="009911B3">
      <w:pPr>
        <w:pStyle w:val="Body"/>
        <w:spacing w:after="0"/>
        <w:rPr>
          <w:rFonts w:ascii="Arial" w:hAnsi="Arial" w:cs="Arial"/>
        </w:rPr>
      </w:pPr>
    </w:p>
    <w:p w14:paraId="77F395E6" w14:textId="3E793BA3" w:rsidR="00AB62AA" w:rsidRDefault="00AB62AA" w:rsidP="009911B3">
      <w:pPr>
        <w:pStyle w:val="Body"/>
        <w:spacing w:after="0"/>
        <w:rPr>
          <w:rFonts w:ascii="Arial" w:hAnsi="Arial" w:cs="Arial"/>
        </w:rPr>
      </w:pPr>
    </w:p>
    <w:p w14:paraId="4BF1C2A4" w14:textId="739CD23F" w:rsidR="00AB62AA" w:rsidRDefault="00AB62AA" w:rsidP="009911B3">
      <w:pPr>
        <w:pStyle w:val="Body"/>
        <w:spacing w:after="0"/>
        <w:rPr>
          <w:rFonts w:ascii="Arial" w:hAnsi="Arial" w:cs="Arial"/>
        </w:rPr>
      </w:pPr>
    </w:p>
    <w:p w14:paraId="623A9D44" w14:textId="6C2EEB13" w:rsidR="00AB62AA" w:rsidRDefault="00AB62AA" w:rsidP="009911B3">
      <w:pPr>
        <w:pStyle w:val="Body"/>
        <w:spacing w:after="0"/>
        <w:rPr>
          <w:rFonts w:ascii="Arial" w:hAnsi="Arial" w:cs="Arial"/>
        </w:rPr>
      </w:pPr>
    </w:p>
    <w:p w14:paraId="5EFD199B" w14:textId="55F9007C" w:rsidR="00AB62AA" w:rsidRDefault="00AB62AA" w:rsidP="009911B3">
      <w:pPr>
        <w:pStyle w:val="Body"/>
        <w:spacing w:after="0"/>
        <w:rPr>
          <w:rFonts w:ascii="Arial" w:hAnsi="Arial" w:cs="Arial"/>
        </w:rPr>
      </w:pPr>
    </w:p>
    <w:p w14:paraId="4C947628" w14:textId="359F3E58" w:rsidR="00AB62AA" w:rsidRDefault="00AB62AA" w:rsidP="009911B3">
      <w:pPr>
        <w:pStyle w:val="Body"/>
        <w:spacing w:after="0"/>
        <w:rPr>
          <w:rFonts w:ascii="Arial" w:hAnsi="Arial" w:cs="Arial"/>
        </w:rPr>
      </w:pPr>
    </w:p>
    <w:p w14:paraId="392777C2" w14:textId="6D1DFD58" w:rsidR="0079505A" w:rsidRDefault="0079505A" w:rsidP="009911B3">
      <w:pPr>
        <w:pStyle w:val="Body"/>
        <w:spacing w:after="0"/>
        <w:rPr>
          <w:rFonts w:ascii="Arial" w:hAnsi="Arial" w:cs="Arial"/>
        </w:rPr>
      </w:pPr>
    </w:p>
    <w:p w14:paraId="328D1CB2" w14:textId="77777777" w:rsidR="0093237B" w:rsidRDefault="0093237B" w:rsidP="009911B3">
      <w:pPr>
        <w:pStyle w:val="Body"/>
        <w:spacing w:after="0"/>
        <w:rPr>
          <w:rFonts w:ascii="Arial" w:hAnsi="Arial" w:cs="Arial"/>
        </w:rPr>
      </w:pPr>
    </w:p>
    <w:p w14:paraId="7D382BE8" w14:textId="0757D328" w:rsidR="0093237B" w:rsidRDefault="0093237B" w:rsidP="009911B3">
      <w:pPr>
        <w:pStyle w:val="Body"/>
        <w:spacing w:after="0"/>
        <w:rPr>
          <w:rFonts w:ascii="Arial" w:hAnsi="Arial" w:cs="Arial"/>
        </w:rPr>
      </w:pPr>
    </w:p>
    <w:p w14:paraId="4F4C6346" w14:textId="77777777" w:rsidR="00F24954" w:rsidRDefault="00F24954" w:rsidP="009911B3">
      <w:pPr>
        <w:pStyle w:val="Body"/>
        <w:spacing w:after="0"/>
        <w:rPr>
          <w:rFonts w:ascii="Arial" w:hAnsi="Arial" w:cs="Arial"/>
        </w:rPr>
      </w:pPr>
    </w:p>
    <w:p w14:paraId="3E262E0C" w14:textId="3A99995C" w:rsidR="00DE1B58" w:rsidRDefault="00EF09E0" w:rsidP="00F24954">
      <w:pPr>
        <w:pStyle w:val="Body"/>
        <w:spacing w:after="0"/>
        <w:rPr>
          <w:rFonts w:ascii="Arial" w:hAnsi="Arial" w:cs="Arial"/>
          <w:b/>
          <w:bCs/>
        </w:rPr>
      </w:pPr>
      <w:r w:rsidRPr="00EF09E0">
        <w:rPr>
          <w:rFonts w:ascii="Arial" w:hAnsi="Arial" w:cs="Arial"/>
          <w:b/>
          <w:bCs/>
        </w:rPr>
        <w:t>Fig 2. Effect of sowing depth and soil type on the first day of Bambara groundnut seedling emergence (FDE).</w:t>
      </w:r>
      <w:r w:rsidR="00DE1B58">
        <w:rPr>
          <w:rFonts w:ascii="Arial" w:hAnsi="Arial" w:cs="Arial"/>
          <w:b/>
          <w:bCs/>
        </w:rPr>
        <w:t xml:space="preserve"> </w:t>
      </w:r>
    </w:p>
    <w:p w14:paraId="71250DCD" w14:textId="24445296" w:rsidR="00AB62AA" w:rsidRPr="00DE1B58" w:rsidRDefault="003D05D4" w:rsidP="00DE1B58">
      <w:pPr>
        <w:pStyle w:val="Body"/>
        <w:rPr>
          <w:rFonts w:ascii="Arial" w:hAnsi="Arial" w:cs="Arial"/>
          <w:i/>
          <w:iCs/>
          <w:sz w:val="18"/>
          <w:szCs w:val="18"/>
        </w:rPr>
      </w:pPr>
      <w:r w:rsidRPr="003D05D4">
        <w:rPr>
          <w:rFonts w:ascii="Arial" w:hAnsi="Arial" w:cs="Arial"/>
          <w:i/>
          <w:sz w:val="18"/>
          <w:szCs w:val="18"/>
        </w:rPr>
        <w:t xml:space="preserve">Cl: Clayed soil; Gr: Gravelly </w:t>
      </w:r>
      <w:r>
        <w:rPr>
          <w:rFonts w:ascii="Arial" w:hAnsi="Arial" w:cs="Arial"/>
          <w:i/>
          <w:sz w:val="18"/>
          <w:szCs w:val="18"/>
        </w:rPr>
        <w:t xml:space="preserve">sand </w:t>
      </w:r>
      <w:r w:rsidRPr="003D05D4">
        <w:rPr>
          <w:rFonts w:ascii="Arial" w:hAnsi="Arial" w:cs="Arial"/>
          <w:i/>
          <w:sz w:val="18"/>
          <w:szCs w:val="18"/>
        </w:rPr>
        <w:t>soil; Sa: Sandy soil;</w:t>
      </w:r>
      <w:r w:rsidR="00EF09E0" w:rsidRPr="00DE1B58">
        <w:rPr>
          <w:rFonts w:ascii="Arial" w:hAnsi="Arial" w:cs="Arial"/>
          <w:i/>
          <w:iCs/>
          <w:sz w:val="18"/>
          <w:szCs w:val="18"/>
        </w:rPr>
        <w:t xml:space="preserve"> Different letters indicate significant differences between means as determined by the Student-Newman-Keuls (SNK) post hoc test at the 5% significance level</w:t>
      </w:r>
    </w:p>
    <w:p w14:paraId="7E8CB8AD" w14:textId="396B83AB" w:rsidR="009911B3" w:rsidRDefault="0093237B"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6704" behindDoc="0" locked="0" layoutInCell="1" allowOverlap="1" wp14:anchorId="287C915E" wp14:editId="5537D538">
            <wp:simplePos x="0" y="0"/>
            <wp:positionH relativeFrom="margin">
              <wp:posOffset>594360</wp:posOffset>
            </wp:positionH>
            <wp:positionV relativeFrom="paragraph">
              <wp:posOffset>6985</wp:posOffset>
            </wp:positionV>
            <wp:extent cx="3870960" cy="3040380"/>
            <wp:effectExtent l="0" t="0" r="0" b="0"/>
            <wp:wrapSquare wrapText="bothSides"/>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D739ADC" w14:textId="5989BAA1" w:rsidR="00C52AFA" w:rsidRDefault="00C52AFA" w:rsidP="009911B3">
      <w:pPr>
        <w:pStyle w:val="Body"/>
        <w:spacing w:after="0"/>
        <w:rPr>
          <w:rFonts w:ascii="Arial" w:hAnsi="Arial" w:cs="Arial"/>
        </w:rPr>
      </w:pPr>
    </w:p>
    <w:p w14:paraId="13C994A2" w14:textId="542407F1" w:rsidR="00C52AFA" w:rsidRDefault="00C52AFA" w:rsidP="009911B3">
      <w:pPr>
        <w:pStyle w:val="Body"/>
        <w:spacing w:after="0"/>
        <w:rPr>
          <w:rFonts w:ascii="Arial" w:hAnsi="Arial" w:cs="Arial"/>
        </w:rPr>
      </w:pPr>
    </w:p>
    <w:p w14:paraId="1BF14FAD" w14:textId="6E687C0A" w:rsidR="00C52AFA" w:rsidRDefault="00C52AFA" w:rsidP="009911B3">
      <w:pPr>
        <w:pStyle w:val="Body"/>
        <w:spacing w:after="0"/>
        <w:rPr>
          <w:rFonts w:ascii="Arial" w:hAnsi="Arial" w:cs="Arial"/>
        </w:rPr>
      </w:pPr>
    </w:p>
    <w:p w14:paraId="57FB6054" w14:textId="302B864F" w:rsidR="00C52AFA" w:rsidRDefault="00C52AFA" w:rsidP="009911B3">
      <w:pPr>
        <w:pStyle w:val="Body"/>
        <w:spacing w:after="0"/>
        <w:rPr>
          <w:rFonts w:ascii="Arial" w:hAnsi="Arial" w:cs="Arial"/>
        </w:rPr>
      </w:pPr>
    </w:p>
    <w:p w14:paraId="10CC5D45" w14:textId="609E0648" w:rsidR="00C52AFA" w:rsidRDefault="00C52AFA" w:rsidP="009911B3">
      <w:pPr>
        <w:pStyle w:val="Body"/>
        <w:spacing w:after="0"/>
        <w:rPr>
          <w:rFonts w:ascii="Arial" w:hAnsi="Arial" w:cs="Arial"/>
        </w:rPr>
      </w:pPr>
    </w:p>
    <w:p w14:paraId="2963E4BB" w14:textId="70B0C874" w:rsidR="00C52AFA" w:rsidRDefault="00C52AFA" w:rsidP="009911B3">
      <w:pPr>
        <w:pStyle w:val="Body"/>
        <w:spacing w:after="0"/>
        <w:rPr>
          <w:rFonts w:ascii="Arial" w:hAnsi="Arial" w:cs="Arial"/>
        </w:rPr>
      </w:pPr>
    </w:p>
    <w:p w14:paraId="490706E5" w14:textId="5577F286" w:rsidR="00C52AFA" w:rsidRDefault="00C52AFA" w:rsidP="009911B3">
      <w:pPr>
        <w:pStyle w:val="Body"/>
        <w:spacing w:after="0"/>
        <w:rPr>
          <w:rFonts w:ascii="Arial" w:hAnsi="Arial" w:cs="Arial"/>
        </w:rPr>
      </w:pPr>
    </w:p>
    <w:p w14:paraId="759FE002" w14:textId="4511E297" w:rsidR="00C52AFA" w:rsidRDefault="00C52AFA" w:rsidP="009911B3">
      <w:pPr>
        <w:pStyle w:val="Body"/>
        <w:spacing w:after="0"/>
        <w:rPr>
          <w:rFonts w:ascii="Arial" w:hAnsi="Arial" w:cs="Arial"/>
        </w:rPr>
      </w:pPr>
    </w:p>
    <w:p w14:paraId="5A2E85C8" w14:textId="13A87D2C" w:rsidR="00C52AFA" w:rsidRDefault="00C52AFA" w:rsidP="009911B3">
      <w:pPr>
        <w:pStyle w:val="Body"/>
        <w:spacing w:after="0"/>
        <w:rPr>
          <w:rFonts w:ascii="Arial" w:hAnsi="Arial" w:cs="Arial"/>
        </w:rPr>
      </w:pPr>
    </w:p>
    <w:p w14:paraId="41D6CE63" w14:textId="10691B02" w:rsidR="00C52AFA" w:rsidRDefault="00C52AFA" w:rsidP="009911B3">
      <w:pPr>
        <w:pStyle w:val="Body"/>
        <w:spacing w:after="0"/>
        <w:rPr>
          <w:rFonts w:ascii="Arial" w:hAnsi="Arial" w:cs="Arial"/>
        </w:rPr>
      </w:pPr>
    </w:p>
    <w:p w14:paraId="2B3DC5EA" w14:textId="38134559" w:rsidR="00C52AFA" w:rsidRDefault="00C52AFA" w:rsidP="009911B3">
      <w:pPr>
        <w:pStyle w:val="Body"/>
        <w:spacing w:after="0"/>
        <w:rPr>
          <w:rFonts w:ascii="Arial" w:hAnsi="Arial" w:cs="Arial"/>
        </w:rPr>
      </w:pPr>
    </w:p>
    <w:p w14:paraId="56582F0A" w14:textId="32DEB426" w:rsidR="00C52AFA" w:rsidRDefault="00C52AFA" w:rsidP="009911B3">
      <w:pPr>
        <w:pStyle w:val="Body"/>
        <w:spacing w:after="0"/>
        <w:rPr>
          <w:rFonts w:ascii="Arial" w:hAnsi="Arial" w:cs="Arial"/>
        </w:rPr>
      </w:pPr>
    </w:p>
    <w:p w14:paraId="24B1EE72" w14:textId="66FDBCDF" w:rsidR="00C52AFA" w:rsidRDefault="00C52AFA" w:rsidP="009911B3">
      <w:pPr>
        <w:pStyle w:val="Body"/>
        <w:spacing w:after="0"/>
        <w:rPr>
          <w:rFonts w:ascii="Arial" w:hAnsi="Arial" w:cs="Arial"/>
        </w:rPr>
      </w:pPr>
    </w:p>
    <w:p w14:paraId="2F439905" w14:textId="7A379791" w:rsidR="00C52AFA" w:rsidRDefault="00C52AFA" w:rsidP="009911B3">
      <w:pPr>
        <w:pStyle w:val="Body"/>
        <w:spacing w:after="0"/>
        <w:rPr>
          <w:rFonts w:ascii="Arial" w:hAnsi="Arial" w:cs="Arial"/>
        </w:rPr>
      </w:pPr>
    </w:p>
    <w:p w14:paraId="41BE804D" w14:textId="1DE76E58" w:rsidR="00C52AFA" w:rsidRDefault="00C52AFA" w:rsidP="009911B3">
      <w:pPr>
        <w:pStyle w:val="Body"/>
        <w:spacing w:after="0"/>
        <w:rPr>
          <w:rFonts w:ascii="Arial" w:hAnsi="Arial" w:cs="Arial"/>
        </w:rPr>
      </w:pPr>
    </w:p>
    <w:p w14:paraId="5280F6D1" w14:textId="09DCC05F" w:rsidR="0093237B" w:rsidRDefault="0093237B" w:rsidP="009911B3">
      <w:pPr>
        <w:pStyle w:val="Body"/>
        <w:spacing w:after="0"/>
        <w:rPr>
          <w:rFonts w:ascii="Arial" w:hAnsi="Arial" w:cs="Arial"/>
        </w:rPr>
      </w:pPr>
    </w:p>
    <w:p w14:paraId="74CCC347" w14:textId="06C7D5C4" w:rsidR="0093237B" w:rsidRDefault="0093237B" w:rsidP="009911B3">
      <w:pPr>
        <w:pStyle w:val="Body"/>
        <w:spacing w:after="0"/>
        <w:rPr>
          <w:rFonts w:ascii="Arial" w:hAnsi="Arial" w:cs="Arial"/>
        </w:rPr>
      </w:pPr>
    </w:p>
    <w:p w14:paraId="3B607B8C" w14:textId="3B47759D" w:rsidR="0093237B" w:rsidRDefault="0093237B" w:rsidP="009911B3">
      <w:pPr>
        <w:pStyle w:val="Body"/>
        <w:spacing w:after="0"/>
        <w:rPr>
          <w:rFonts w:ascii="Arial" w:hAnsi="Arial" w:cs="Arial"/>
        </w:rPr>
      </w:pPr>
    </w:p>
    <w:p w14:paraId="3F77DD14" w14:textId="73CB64A1" w:rsidR="0093237B" w:rsidRDefault="0093237B" w:rsidP="009911B3">
      <w:pPr>
        <w:pStyle w:val="Body"/>
        <w:spacing w:after="0"/>
        <w:rPr>
          <w:rFonts w:ascii="Arial" w:hAnsi="Arial" w:cs="Arial"/>
        </w:rPr>
      </w:pPr>
    </w:p>
    <w:p w14:paraId="5CE06D6C" w14:textId="4A7B8B60" w:rsidR="0093237B" w:rsidRDefault="0093237B" w:rsidP="009911B3">
      <w:pPr>
        <w:pStyle w:val="Body"/>
        <w:spacing w:after="0"/>
        <w:rPr>
          <w:rFonts w:ascii="Arial" w:hAnsi="Arial" w:cs="Arial"/>
        </w:rPr>
      </w:pPr>
    </w:p>
    <w:p w14:paraId="46A74F5C" w14:textId="33F92A7E" w:rsidR="003D05D4" w:rsidRPr="003D05D4" w:rsidRDefault="003D05D4" w:rsidP="003D05D4">
      <w:pPr>
        <w:rPr>
          <w:rFonts w:ascii="Arial" w:hAnsi="Arial" w:cs="Arial"/>
          <w:b/>
          <w:bCs/>
        </w:rPr>
      </w:pPr>
      <w:r w:rsidRPr="003D05D4">
        <w:rPr>
          <w:rFonts w:ascii="Arial" w:hAnsi="Arial" w:cs="Arial"/>
          <w:b/>
          <w:bCs/>
        </w:rPr>
        <w:t>Fig 3. Effect of sowing depth and soil type on the last day of Bambara groundnut seedling emergence (LDE)</w:t>
      </w:r>
    </w:p>
    <w:p w14:paraId="1B9C4B06" w14:textId="71F15970" w:rsidR="003D05D4" w:rsidRPr="003D05D4" w:rsidRDefault="003D05D4" w:rsidP="003D05D4">
      <w:pPr>
        <w:rPr>
          <w:rFonts w:ascii="Arial" w:hAnsi="Arial" w:cs="Arial"/>
          <w:i/>
          <w:sz w:val="18"/>
          <w:szCs w:val="18"/>
        </w:rPr>
      </w:pPr>
      <w:r w:rsidRPr="003D05D4">
        <w:rPr>
          <w:rFonts w:ascii="Arial" w:hAnsi="Arial" w:cs="Arial"/>
          <w:i/>
          <w:sz w:val="18"/>
          <w:szCs w:val="18"/>
        </w:rPr>
        <w:t xml:space="preserve">Cl: Clayed soil; Gr: Gravelly </w:t>
      </w:r>
      <w:r>
        <w:rPr>
          <w:rFonts w:ascii="Arial" w:hAnsi="Arial" w:cs="Arial"/>
          <w:i/>
          <w:sz w:val="18"/>
          <w:szCs w:val="18"/>
        </w:rPr>
        <w:t xml:space="preserve">sand </w:t>
      </w:r>
      <w:r w:rsidRPr="003D05D4">
        <w:rPr>
          <w:rFonts w:ascii="Arial" w:hAnsi="Arial" w:cs="Arial"/>
          <w:i/>
          <w:sz w:val="18"/>
          <w:szCs w:val="18"/>
        </w:rPr>
        <w:t xml:space="preserve">soil; Sa: Sandy soil; </w:t>
      </w:r>
      <w:bookmarkStart w:id="1" w:name="_Hlk220166242"/>
      <w:r w:rsidRPr="003D05D4">
        <w:rPr>
          <w:rFonts w:ascii="Arial" w:hAnsi="Arial" w:cs="Arial"/>
          <w:i/>
          <w:sz w:val="18"/>
          <w:szCs w:val="18"/>
        </w:rPr>
        <w:t>Different letters indicate significant differences (</w:t>
      </w:r>
      <w:r>
        <w:rPr>
          <w:rFonts w:ascii="Arial" w:hAnsi="Arial" w:cs="Arial"/>
          <w:i/>
          <w:sz w:val="18"/>
          <w:szCs w:val="18"/>
        </w:rPr>
        <w:t>P</w:t>
      </w:r>
      <w:r w:rsidRPr="003D05D4">
        <w:rPr>
          <w:rFonts w:ascii="Arial" w:hAnsi="Arial" w:cs="Arial"/>
          <w:i/>
          <w:sz w:val="18"/>
          <w:szCs w:val="18"/>
        </w:rPr>
        <w:t xml:space="preserve"> &lt; 0.05)</w:t>
      </w:r>
    </w:p>
    <w:bookmarkEnd w:id="1"/>
    <w:p w14:paraId="009EBCEB" w14:textId="00B59036" w:rsidR="0093237B" w:rsidRDefault="0093237B" w:rsidP="009911B3">
      <w:pPr>
        <w:pStyle w:val="Body"/>
        <w:spacing w:after="0"/>
        <w:rPr>
          <w:rFonts w:ascii="Arial" w:hAnsi="Arial" w:cs="Arial"/>
        </w:rPr>
      </w:pPr>
    </w:p>
    <w:p w14:paraId="7795AECB" w14:textId="7A64BD49" w:rsidR="009911B3" w:rsidRPr="00892AE1" w:rsidRDefault="00892AE1"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9911B3" w:rsidRPr="00892AE1">
        <w:rPr>
          <w:rFonts w:ascii="Arial" w:hAnsi="Arial" w:cs="Arial"/>
          <w:b/>
          <w:sz w:val="22"/>
        </w:rPr>
        <w:t>Emergence synchrony: Time Spread of Emergence (TSE)</w:t>
      </w:r>
    </w:p>
    <w:p w14:paraId="445F9BF4" w14:textId="77777777" w:rsidR="009911B3" w:rsidRPr="009911B3" w:rsidRDefault="009911B3" w:rsidP="009911B3">
      <w:pPr>
        <w:pStyle w:val="Body"/>
        <w:spacing w:after="0"/>
        <w:rPr>
          <w:rFonts w:ascii="Arial" w:hAnsi="Arial" w:cs="Arial"/>
        </w:rPr>
      </w:pPr>
    </w:p>
    <w:p w14:paraId="28479704" w14:textId="44BED690" w:rsidR="009911B3" w:rsidRDefault="009911B3" w:rsidP="009911B3">
      <w:pPr>
        <w:pStyle w:val="Body"/>
        <w:spacing w:after="0"/>
        <w:rPr>
          <w:rFonts w:ascii="Arial" w:hAnsi="Arial" w:cs="Arial"/>
        </w:rPr>
      </w:pPr>
      <w:r w:rsidRPr="009911B3">
        <w:rPr>
          <w:rFonts w:ascii="Arial" w:hAnsi="Arial" w:cs="Arial"/>
        </w:rPr>
        <w:t xml:space="preserve">Time Spread of Emergence (TSE) decreased markedly between sowing depths of two and </w:t>
      </w:r>
      <w:r w:rsidR="00892AE1">
        <w:rPr>
          <w:rFonts w:ascii="Arial" w:hAnsi="Arial" w:cs="Arial"/>
        </w:rPr>
        <w:t>6 cm</w:t>
      </w:r>
      <w:r w:rsidRPr="009911B3">
        <w:rPr>
          <w:rFonts w:ascii="Arial" w:hAnsi="Arial" w:cs="Arial"/>
        </w:rPr>
        <w:t xml:space="preserve">, indicating improved </w:t>
      </w:r>
      <w:r w:rsidR="00892AE1" w:rsidRPr="009911B3">
        <w:rPr>
          <w:rFonts w:ascii="Arial" w:hAnsi="Arial" w:cs="Arial"/>
        </w:rPr>
        <w:t>synchronization</w:t>
      </w:r>
      <w:r w:rsidRPr="009911B3">
        <w:rPr>
          <w:rFonts w:ascii="Arial" w:hAnsi="Arial" w:cs="Arial"/>
        </w:rPr>
        <w:t xml:space="preserve"> of seedling emergence at moderate depths (Figure 4). This suggests that, within this depth range, environmental conditions were sufficiently homogeneous to allow coordinated seedling development. At </w:t>
      </w:r>
      <w:r w:rsidR="00892AE1">
        <w:rPr>
          <w:rFonts w:ascii="Arial" w:hAnsi="Arial" w:cs="Arial"/>
        </w:rPr>
        <w:t>7 cm</w:t>
      </w:r>
      <w:r w:rsidRPr="009911B3">
        <w:rPr>
          <w:rFonts w:ascii="Arial" w:hAnsi="Arial" w:cs="Arial"/>
        </w:rPr>
        <w:t>, however, TSE increased again, reflecting greater variability in emergence timing due to intensified mechanical constraints and micro-environmental heterogeneity.</w:t>
      </w:r>
      <w:r w:rsidR="00892AE1">
        <w:rPr>
          <w:rFonts w:ascii="Arial" w:hAnsi="Arial" w:cs="Arial"/>
        </w:rPr>
        <w:t xml:space="preserve"> </w:t>
      </w:r>
      <w:r w:rsidRPr="009911B3">
        <w:rPr>
          <w:rFonts w:ascii="Arial" w:hAnsi="Arial" w:cs="Arial"/>
        </w:rPr>
        <w:t xml:space="preserve">Soil texture strongly influenced emergence synchrony. Sandy soil consistently exhibited the narrowest emergence period, whereas gravelly and clayey soils produced more extended emergence durations. This agrees with findings reported by </w:t>
      </w:r>
      <w:proofErr w:type="spellStart"/>
      <w:r w:rsidRPr="009911B3">
        <w:rPr>
          <w:rFonts w:ascii="Arial" w:hAnsi="Arial" w:cs="Arial"/>
        </w:rPr>
        <w:t>Gerrano</w:t>
      </w:r>
      <w:proofErr w:type="spellEnd"/>
      <w:r w:rsidRPr="009911B3">
        <w:rPr>
          <w:rFonts w:ascii="Arial" w:hAnsi="Arial" w:cs="Arial"/>
        </w:rPr>
        <w:t xml:space="preserve"> et al. (2021), who demonstrated that lighter-textured soils enhance emergence uniformity and early crop competitiveness. The loose structure and continuous pore network of sandy soil likely promote uniform moisture distribution and reduce physical barriers, thereby supporting synchronous seedling emergence.</w:t>
      </w:r>
    </w:p>
    <w:p w14:paraId="683A23D5" w14:textId="6ED3A412" w:rsidR="003D05D4" w:rsidRDefault="003D05D4" w:rsidP="009911B3">
      <w:pPr>
        <w:pStyle w:val="Body"/>
        <w:spacing w:after="0"/>
        <w:rPr>
          <w:rFonts w:ascii="Arial" w:hAnsi="Arial" w:cs="Arial"/>
        </w:rPr>
      </w:pPr>
    </w:p>
    <w:p w14:paraId="484A2AB8" w14:textId="336D3287" w:rsidR="003D05D4" w:rsidRDefault="003D05D4" w:rsidP="009911B3">
      <w:pPr>
        <w:pStyle w:val="Body"/>
        <w:spacing w:after="0"/>
        <w:rPr>
          <w:rFonts w:ascii="Arial" w:hAnsi="Arial" w:cs="Arial"/>
        </w:rPr>
      </w:pPr>
    </w:p>
    <w:p w14:paraId="7CA957D3" w14:textId="7F2A3F60" w:rsidR="003D05D4" w:rsidRDefault="00D23C1D"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7728" behindDoc="0" locked="0" layoutInCell="1" allowOverlap="1" wp14:anchorId="0940811B" wp14:editId="578C6205">
            <wp:simplePos x="0" y="0"/>
            <wp:positionH relativeFrom="margin">
              <wp:posOffset>670560</wp:posOffset>
            </wp:positionH>
            <wp:positionV relativeFrom="paragraph">
              <wp:posOffset>0</wp:posOffset>
            </wp:positionV>
            <wp:extent cx="3870960" cy="2987040"/>
            <wp:effectExtent l="0" t="0" r="0" b="0"/>
            <wp:wrapSquare wrapText="bothSides"/>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E7710CA" w14:textId="30105F71" w:rsidR="003D05D4" w:rsidRDefault="003D05D4" w:rsidP="009911B3">
      <w:pPr>
        <w:pStyle w:val="Body"/>
        <w:spacing w:after="0"/>
        <w:rPr>
          <w:rFonts w:ascii="Arial" w:hAnsi="Arial" w:cs="Arial"/>
        </w:rPr>
      </w:pPr>
    </w:p>
    <w:p w14:paraId="436C4098" w14:textId="4D234309" w:rsidR="003D05D4" w:rsidRDefault="003D05D4" w:rsidP="009911B3">
      <w:pPr>
        <w:pStyle w:val="Body"/>
        <w:spacing w:after="0"/>
        <w:rPr>
          <w:rFonts w:ascii="Arial" w:hAnsi="Arial" w:cs="Arial"/>
        </w:rPr>
      </w:pPr>
    </w:p>
    <w:p w14:paraId="5CCF83D0" w14:textId="6B07FEE9" w:rsidR="003D05D4" w:rsidRDefault="003D05D4" w:rsidP="009911B3">
      <w:pPr>
        <w:pStyle w:val="Body"/>
        <w:spacing w:after="0"/>
        <w:rPr>
          <w:rFonts w:ascii="Arial" w:hAnsi="Arial" w:cs="Arial"/>
        </w:rPr>
      </w:pPr>
    </w:p>
    <w:p w14:paraId="2CCB2BFA" w14:textId="069746FD" w:rsidR="003D05D4" w:rsidRDefault="003D05D4" w:rsidP="009911B3">
      <w:pPr>
        <w:pStyle w:val="Body"/>
        <w:spacing w:after="0"/>
        <w:rPr>
          <w:rFonts w:ascii="Arial" w:hAnsi="Arial" w:cs="Arial"/>
        </w:rPr>
      </w:pPr>
    </w:p>
    <w:p w14:paraId="748B1A38" w14:textId="40C3E11D" w:rsidR="003D05D4" w:rsidRDefault="003D05D4" w:rsidP="009911B3">
      <w:pPr>
        <w:pStyle w:val="Body"/>
        <w:spacing w:after="0"/>
        <w:rPr>
          <w:rFonts w:ascii="Arial" w:hAnsi="Arial" w:cs="Arial"/>
        </w:rPr>
      </w:pPr>
    </w:p>
    <w:p w14:paraId="359FDA06" w14:textId="48E4AD8E" w:rsidR="003D05D4" w:rsidRDefault="003D05D4" w:rsidP="009911B3">
      <w:pPr>
        <w:pStyle w:val="Body"/>
        <w:spacing w:after="0"/>
        <w:rPr>
          <w:rFonts w:ascii="Arial" w:hAnsi="Arial" w:cs="Arial"/>
        </w:rPr>
      </w:pPr>
    </w:p>
    <w:p w14:paraId="07E2F3FC" w14:textId="1DDFB428" w:rsidR="003D05D4" w:rsidRDefault="003D05D4" w:rsidP="009911B3">
      <w:pPr>
        <w:pStyle w:val="Body"/>
        <w:spacing w:after="0"/>
        <w:rPr>
          <w:rFonts w:ascii="Arial" w:hAnsi="Arial" w:cs="Arial"/>
        </w:rPr>
      </w:pPr>
    </w:p>
    <w:p w14:paraId="2A0F2F09" w14:textId="011E034A" w:rsidR="003D05D4" w:rsidRDefault="003D05D4" w:rsidP="009911B3">
      <w:pPr>
        <w:pStyle w:val="Body"/>
        <w:spacing w:after="0"/>
        <w:rPr>
          <w:rFonts w:ascii="Arial" w:hAnsi="Arial" w:cs="Arial"/>
        </w:rPr>
      </w:pPr>
    </w:p>
    <w:p w14:paraId="7770E673" w14:textId="042A0DB0" w:rsidR="003D05D4" w:rsidRDefault="003D05D4" w:rsidP="009911B3">
      <w:pPr>
        <w:pStyle w:val="Body"/>
        <w:spacing w:after="0"/>
        <w:rPr>
          <w:rFonts w:ascii="Arial" w:hAnsi="Arial" w:cs="Arial"/>
        </w:rPr>
      </w:pPr>
    </w:p>
    <w:p w14:paraId="5C5BC4C5" w14:textId="388E122F" w:rsidR="003D05D4" w:rsidRDefault="003D05D4" w:rsidP="009911B3">
      <w:pPr>
        <w:pStyle w:val="Body"/>
        <w:spacing w:after="0"/>
        <w:rPr>
          <w:rFonts w:ascii="Arial" w:hAnsi="Arial" w:cs="Arial"/>
        </w:rPr>
      </w:pPr>
    </w:p>
    <w:p w14:paraId="3D5C6686" w14:textId="697F5AA3" w:rsidR="003D05D4" w:rsidRDefault="003D05D4" w:rsidP="009911B3">
      <w:pPr>
        <w:pStyle w:val="Body"/>
        <w:spacing w:after="0"/>
        <w:rPr>
          <w:rFonts w:ascii="Arial" w:hAnsi="Arial" w:cs="Arial"/>
        </w:rPr>
      </w:pPr>
    </w:p>
    <w:p w14:paraId="55C50591" w14:textId="4C533A3A" w:rsidR="003D05D4" w:rsidRDefault="003D05D4" w:rsidP="009911B3">
      <w:pPr>
        <w:pStyle w:val="Body"/>
        <w:spacing w:after="0"/>
        <w:rPr>
          <w:rFonts w:ascii="Arial" w:hAnsi="Arial" w:cs="Arial"/>
        </w:rPr>
      </w:pPr>
    </w:p>
    <w:p w14:paraId="2FED9A23" w14:textId="5FEEA6C9" w:rsidR="003D05D4" w:rsidRDefault="003D05D4" w:rsidP="009911B3">
      <w:pPr>
        <w:pStyle w:val="Body"/>
        <w:spacing w:after="0"/>
        <w:rPr>
          <w:rFonts w:ascii="Arial" w:hAnsi="Arial" w:cs="Arial"/>
        </w:rPr>
      </w:pPr>
    </w:p>
    <w:p w14:paraId="61814F66" w14:textId="2A184AA5" w:rsidR="003D05D4" w:rsidRDefault="003D05D4" w:rsidP="009911B3">
      <w:pPr>
        <w:pStyle w:val="Body"/>
        <w:spacing w:after="0"/>
        <w:rPr>
          <w:rFonts w:ascii="Arial" w:hAnsi="Arial" w:cs="Arial"/>
        </w:rPr>
      </w:pPr>
    </w:p>
    <w:p w14:paraId="00F455F1" w14:textId="69CA8C85" w:rsidR="003D05D4" w:rsidRDefault="003D05D4" w:rsidP="009911B3">
      <w:pPr>
        <w:pStyle w:val="Body"/>
        <w:spacing w:after="0"/>
        <w:rPr>
          <w:rFonts w:ascii="Arial" w:hAnsi="Arial" w:cs="Arial"/>
        </w:rPr>
      </w:pPr>
    </w:p>
    <w:p w14:paraId="1A7DCBDF" w14:textId="33FD29F3" w:rsidR="003D05D4" w:rsidRDefault="003D05D4" w:rsidP="009911B3">
      <w:pPr>
        <w:pStyle w:val="Body"/>
        <w:spacing w:after="0"/>
        <w:rPr>
          <w:rFonts w:ascii="Arial" w:hAnsi="Arial" w:cs="Arial"/>
        </w:rPr>
      </w:pPr>
    </w:p>
    <w:p w14:paraId="123F1B08" w14:textId="40D16027" w:rsidR="003D05D4" w:rsidRDefault="003D05D4" w:rsidP="009911B3">
      <w:pPr>
        <w:pStyle w:val="Body"/>
        <w:spacing w:after="0"/>
        <w:rPr>
          <w:rFonts w:ascii="Arial" w:hAnsi="Arial" w:cs="Arial"/>
        </w:rPr>
      </w:pPr>
    </w:p>
    <w:p w14:paraId="3B628F76" w14:textId="0CACAEDA" w:rsidR="003D05D4" w:rsidRDefault="003D05D4" w:rsidP="009911B3">
      <w:pPr>
        <w:pStyle w:val="Body"/>
        <w:spacing w:after="0"/>
        <w:rPr>
          <w:rFonts w:ascii="Arial" w:hAnsi="Arial" w:cs="Arial"/>
        </w:rPr>
      </w:pPr>
    </w:p>
    <w:p w14:paraId="57BCA741" w14:textId="2DB9A42C" w:rsidR="003D05D4" w:rsidRDefault="003D05D4" w:rsidP="009911B3">
      <w:pPr>
        <w:pStyle w:val="Body"/>
        <w:spacing w:after="0"/>
        <w:rPr>
          <w:rFonts w:ascii="Arial" w:hAnsi="Arial" w:cs="Arial"/>
        </w:rPr>
      </w:pPr>
    </w:p>
    <w:p w14:paraId="45DBF377" w14:textId="17D17D22" w:rsidR="003D05D4" w:rsidRDefault="003D05D4" w:rsidP="009911B3">
      <w:pPr>
        <w:pStyle w:val="Body"/>
        <w:spacing w:after="0"/>
        <w:rPr>
          <w:rFonts w:ascii="Arial" w:hAnsi="Arial" w:cs="Arial"/>
        </w:rPr>
      </w:pPr>
    </w:p>
    <w:p w14:paraId="2704CD2C" w14:textId="0205785D" w:rsidR="00EC7F71" w:rsidRPr="00EC7F71" w:rsidRDefault="00EC7F71" w:rsidP="00EC7F71">
      <w:pPr>
        <w:pStyle w:val="Body"/>
        <w:spacing w:after="0"/>
        <w:rPr>
          <w:rFonts w:ascii="Arial" w:hAnsi="Arial" w:cs="Arial"/>
          <w:b/>
          <w:bCs/>
        </w:rPr>
      </w:pPr>
      <w:r w:rsidRPr="00EC7F71">
        <w:rPr>
          <w:rFonts w:ascii="Arial" w:hAnsi="Arial" w:cs="Arial"/>
          <w:b/>
          <w:bCs/>
        </w:rPr>
        <w:t>Fig 4. Time Spread of Emergence (TSE) of Bambara groundnut seedlings as affected by sowing depth and soil type</w:t>
      </w:r>
    </w:p>
    <w:p w14:paraId="5ABA3D85" w14:textId="3F436A36" w:rsidR="00D23C1D" w:rsidRPr="00EC7F71" w:rsidRDefault="00EC7F71" w:rsidP="00EC7F71">
      <w:pPr>
        <w:pStyle w:val="Body"/>
        <w:spacing w:after="0"/>
        <w:rPr>
          <w:rFonts w:ascii="Arial" w:hAnsi="Arial" w:cs="Arial"/>
          <w:i/>
          <w:iCs/>
          <w:sz w:val="18"/>
          <w:szCs w:val="18"/>
        </w:rPr>
      </w:pPr>
      <w:r w:rsidRPr="00EC7F71">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EC7F71">
        <w:rPr>
          <w:rFonts w:ascii="Arial" w:hAnsi="Arial" w:cs="Arial"/>
          <w:i/>
          <w:iCs/>
          <w:sz w:val="18"/>
          <w:szCs w:val="18"/>
        </w:rPr>
        <w:t xml:space="preserve"> &lt; 0.05)</w:t>
      </w:r>
    </w:p>
    <w:p w14:paraId="41966A51" w14:textId="77777777" w:rsidR="00D23C1D" w:rsidRPr="00EC7F71" w:rsidRDefault="00D23C1D" w:rsidP="009911B3">
      <w:pPr>
        <w:pStyle w:val="Body"/>
        <w:spacing w:after="0"/>
        <w:rPr>
          <w:rFonts w:ascii="Arial" w:hAnsi="Arial" w:cs="Arial"/>
          <w:i/>
          <w:iCs/>
          <w:sz w:val="18"/>
          <w:szCs w:val="18"/>
        </w:rPr>
      </w:pPr>
    </w:p>
    <w:p w14:paraId="5D794DC4" w14:textId="77777777" w:rsidR="009911B3" w:rsidRPr="009911B3" w:rsidRDefault="009911B3" w:rsidP="009911B3">
      <w:pPr>
        <w:pStyle w:val="Body"/>
        <w:spacing w:after="0"/>
        <w:rPr>
          <w:rFonts w:ascii="Arial" w:hAnsi="Arial" w:cs="Arial"/>
        </w:rPr>
      </w:pPr>
    </w:p>
    <w:p w14:paraId="11A945D4" w14:textId="1008ED15" w:rsidR="009911B3" w:rsidRPr="00892AE1" w:rsidRDefault="00892AE1"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9911B3" w:rsidRPr="00892AE1">
        <w:rPr>
          <w:rFonts w:ascii="Arial" w:hAnsi="Arial" w:cs="Arial"/>
          <w:b/>
          <w:sz w:val="22"/>
        </w:rPr>
        <w:t>Emergence success: Emergence Percentage (EP)</w:t>
      </w:r>
    </w:p>
    <w:p w14:paraId="25E87F87" w14:textId="77777777" w:rsidR="009911B3" w:rsidRPr="009911B3" w:rsidRDefault="009911B3" w:rsidP="009911B3">
      <w:pPr>
        <w:pStyle w:val="Body"/>
        <w:spacing w:after="0"/>
        <w:rPr>
          <w:rFonts w:ascii="Arial" w:hAnsi="Arial" w:cs="Arial"/>
        </w:rPr>
      </w:pPr>
    </w:p>
    <w:p w14:paraId="0F1F041A" w14:textId="212C2C8E" w:rsidR="009911B3" w:rsidRDefault="009911B3" w:rsidP="009911B3">
      <w:pPr>
        <w:pStyle w:val="Body"/>
        <w:spacing w:after="0"/>
        <w:rPr>
          <w:rFonts w:ascii="Arial" w:hAnsi="Arial" w:cs="Arial"/>
        </w:rPr>
      </w:pPr>
      <w:r w:rsidRPr="009911B3">
        <w:rPr>
          <w:rFonts w:ascii="Arial" w:hAnsi="Arial" w:cs="Arial"/>
        </w:rPr>
        <w:t xml:space="preserve">Emergence Percentage (EP) declined significantly with increasing sowing depth (Figure 5), highlighting the detrimental effects of excessive burial on establishment success. At shallow depths of </w:t>
      </w:r>
      <w:r w:rsidR="00892AE1">
        <w:rPr>
          <w:rFonts w:ascii="Arial" w:hAnsi="Arial" w:cs="Arial"/>
        </w:rPr>
        <w:t>2</w:t>
      </w:r>
      <w:r w:rsidRPr="009911B3">
        <w:rPr>
          <w:rFonts w:ascii="Arial" w:hAnsi="Arial" w:cs="Arial"/>
        </w:rPr>
        <w:t xml:space="preserve"> and </w:t>
      </w:r>
      <w:r w:rsidR="00892AE1">
        <w:rPr>
          <w:rFonts w:ascii="Arial" w:hAnsi="Arial" w:cs="Arial"/>
        </w:rPr>
        <w:t>3</w:t>
      </w:r>
      <w:r w:rsidRPr="009911B3">
        <w:rPr>
          <w:rFonts w:ascii="Arial" w:hAnsi="Arial" w:cs="Arial"/>
        </w:rPr>
        <w:t xml:space="preserve"> </w:t>
      </w:r>
      <w:r w:rsidR="00892AE1">
        <w:rPr>
          <w:rFonts w:ascii="Arial" w:hAnsi="Arial" w:cs="Arial"/>
        </w:rPr>
        <w:t>cm</w:t>
      </w:r>
      <w:r w:rsidRPr="009911B3">
        <w:rPr>
          <w:rFonts w:ascii="Arial" w:hAnsi="Arial" w:cs="Arial"/>
        </w:rPr>
        <w:t xml:space="preserve">, emergence exceeded ninety percent across all soil types, indicating optimal conditions for seedling establishment. Beyond </w:t>
      </w:r>
      <w:r w:rsidR="00892AE1">
        <w:rPr>
          <w:rFonts w:ascii="Arial" w:hAnsi="Arial" w:cs="Arial"/>
        </w:rPr>
        <w:t>4 cm</w:t>
      </w:r>
      <w:r w:rsidRPr="009911B3">
        <w:rPr>
          <w:rFonts w:ascii="Arial" w:hAnsi="Arial" w:cs="Arial"/>
        </w:rPr>
        <w:t xml:space="preserve">, marked differences emerged among soil textures: sandy soil maintained high emergence rates, even at </w:t>
      </w:r>
      <w:r w:rsidR="00D62B40">
        <w:rPr>
          <w:rFonts w:ascii="Arial" w:hAnsi="Arial" w:cs="Arial"/>
        </w:rPr>
        <w:t>6 cm</w:t>
      </w:r>
      <w:r w:rsidRPr="009911B3">
        <w:rPr>
          <w:rFonts w:ascii="Arial" w:hAnsi="Arial" w:cs="Arial"/>
        </w:rPr>
        <w:t xml:space="preserve">, while gravelly and clayey soils showed pronounced declines, particularly from depths of </w:t>
      </w:r>
      <w:r w:rsidR="00D62B40">
        <w:rPr>
          <w:rFonts w:ascii="Arial" w:hAnsi="Arial" w:cs="Arial"/>
        </w:rPr>
        <w:t>4 cm</w:t>
      </w:r>
      <w:r w:rsidRPr="009911B3">
        <w:rPr>
          <w:rFonts w:ascii="Arial" w:hAnsi="Arial" w:cs="Arial"/>
        </w:rPr>
        <w:t xml:space="preserve"> onwards.</w:t>
      </w:r>
      <w:r w:rsidR="004D522E">
        <w:rPr>
          <w:rFonts w:ascii="Arial" w:hAnsi="Arial" w:cs="Arial"/>
        </w:rPr>
        <w:t xml:space="preserve"> </w:t>
      </w:r>
      <w:r w:rsidRPr="009911B3">
        <w:rPr>
          <w:rFonts w:ascii="Arial" w:hAnsi="Arial" w:cs="Arial"/>
        </w:rPr>
        <w:t xml:space="preserve">These results are consistent with previous studies reporting depth-related reductions in emergence for </w:t>
      </w:r>
      <w:proofErr w:type="spellStart"/>
      <w:r w:rsidRPr="004D522E">
        <w:rPr>
          <w:rFonts w:ascii="Arial" w:hAnsi="Arial" w:cs="Arial"/>
          <w:i/>
          <w:iCs/>
        </w:rPr>
        <w:t>Merwilla</w:t>
      </w:r>
      <w:proofErr w:type="spellEnd"/>
      <w:r w:rsidRPr="004D522E">
        <w:rPr>
          <w:rFonts w:ascii="Arial" w:hAnsi="Arial" w:cs="Arial"/>
          <w:i/>
          <w:iCs/>
        </w:rPr>
        <w:t xml:space="preserve"> </w:t>
      </w:r>
      <w:proofErr w:type="spellStart"/>
      <w:r w:rsidRPr="004D522E">
        <w:rPr>
          <w:rFonts w:ascii="Arial" w:hAnsi="Arial" w:cs="Arial"/>
          <w:i/>
          <w:iCs/>
        </w:rPr>
        <w:t>natalensis</w:t>
      </w:r>
      <w:proofErr w:type="spellEnd"/>
      <w:r w:rsidRPr="009911B3">
        <w:rPr>
          <w:rFonts w:ascii="Arial" w:hAnsi="Arial" w:cs="Arial"/>
        </w:rPr>
        <w:t xml:space="preserve"> (</w:t>
      </w:r>
      <w:proofErr w:type="spellStart"/>
      <w:r w:rsidRPr="009911B3">
        <w:rPr>
          <w:rFonts w:ascii="Arial" w:hAnsi="Arial" w:cs="Arial"/>
        </w:rPr>
        <w:t>Sparg</w:t>
      </w:r>
      <w:proofErr w:type="spellEnd"/>
      <w:r w:rsidRPr="009911B3">
        <w:rPr>
          <w:rFonts w:ascii="Arial" w:hAnsi="Arial" w:cs="Arial"/>
        </w:rPr>
        <w:t xml:space="preserve"> et al.</w:t>
      </w:r>
      <w:r w:rsidR="004D522E">
        <w:rPr>
          <w:rFonts w:ascii="Arial" w:hAnsi="Arial" w:cs="Arial"/>
        </w:rPr>
        <w:t>,</w:t>
      </w:r>
      <w:r w:rsidRPr="009911B3">
        <w:rPr>
          <w:rFonts w:ascii="Arial" w:hAnsi="Arial" w:cs="Arial"/>
        </w:rPr>
        <w:t xml:space="preserve"> 2005), rice (</w:t>
      </w:r>
      <w:r w:rsidRPr="004D522E">
        <w:rPr>
          <w:rFonts w:ascii="Arial" w:hAnsi="Arial" w:cs="Arial"/>
          <w:i/>
          <w:iCs/>
        </w:rPr>
        <w:t>Oryza sativa</w:t>
      </w:r>
      <w:r w:rsidRPr="009911B3">
        <w:rPr>
          <w:rFonts w:ascii="Arial" w:hAnsi="Arial" w:cs="Arial"/>
        </w:rPr>
        <w:t>) (Yang et al.</w:t>
      </w:r>
      <w:r w:rsidR="004D522E">
        <w:rPr>
          <w:rFonts w:ascii="Arial" w:hAnsi="Arial" w:cs="Arial"/>
        </w:rPr>
        <w:t>,</w:t>
      </w:r>
      <w:r w:rsidRPr="009911B3">
        <w:rPr>
          <w:rFonts w:ascii="Arial" w:hAnsi="Arial" w:cs="Arial"/>
        </w:rPr>
        <w:t xml:space="preserve"> 2022), and several weed species (Pereira de Moura et al.</w:t>
      </w:r>
      <w:r w:rsidR="004D522E">
        <w:rPr>
          <w:rFonts w:ascii="Arial" w:hAnsi="Arial" w:cs="Arial"/>
        </w:rPr>
        <w:t>,</w:t>
      </w:r>
      <w:r w:rsidRPr="009911B3">
        <w:rPr>
          <w:rFonts w:ascii="Arial" w:hAnsi="Arial" w:cs="Arial"/>
        </w:rPr>
        <w:t xml:space="preserve"> 2024). Higher emergence at shallow depths is likely associated with improved oxygen diffusion, greater thermal stability, and adequate moisture availability near the soil surface (Johnson et al.</w:t>
      </w:r>
      <w:r w:rsidR="004D522E">
        <w:rPr>
          <w:rFonts w:ascii="Arial" w:hAnsi="Arial" w:cs="Arial"/>
        </w:rPr>
        <w:t>,</w:t>
      </w:r>
      <w:r w:rsidRPr="009911B3">
        <w:rPr>
          <w:rFonts w:ascii="Arial" w:hAnsi="Arial" w:cs="Arial"/>
        </w:rPr>
        <w:t xml:space="preserve"> 2019). In contrast, deeper sowing increases the energetic cost of emergence, potentially exhausting seed reserves before seedlings reach the surface.</w:t>
      </w:r>
      <w:r w:rsidR="004D522E">
        <w:rPr>
          <w:rFonts w:ascii="Arial" w:hAnsi="Arial" w:cs="Arial"/>
        </w:rPr>
        <w:t xml:space="preserve"> </w:t>
      </w:r>
      <w:r w:rsidRPr="009911B3">
        <w:rPr>
          <w:rFonts w:ascii="Arial" w:hAnsi="Arial" w:cs="Arial"/>
        </w:rPr>
        <w:t xml:space="preserve">The lower emergence observed in gravelly soil may be linked to irregular pore distribution and </w:t>
      </w:r>
      <w:proofErr w:type="spellStart"/>
      <w:r w:rsidRPr="009911B3">
        <w:rPr>
          <w:rFonts w:ascii="Arial" w:hAnsi="Arial" w:cs="Arial"/>
        </w:rPr>
        <w:t>localised</w:t>
      </w:r>
      <w:proofErr w:type="spellEnd"/>
      <w:r w:rsidRPr="009911B3">
        <w:rPr>
          <w:rFonts w:ascii="Arial" w:hAnsi="Arial" w:cs="Arial"/>
        </w:rPr>
        <w:t xml:space="preserve"> desiccation, while the compact structure of clayey soil likely restricts aeration and increases mechanical resistance, leading to transient hypoxia around germinating seeds (Dürr et al.</w:t>
      </w:r>
      <w:r w:rsidR="004D522E">
        <w:rPr>
          <w:rFonts w:ascii="Arial" w:hAnsi="Arial" w:cs="Arial"/>
        </w:rPr>
        <w:t>,</w:t>
      </w:r>
      <w:r w:rsidRPr="009911B3">
        <w:rPr>
          <w:rFonts w:ascii="Arial" w:hAnsi="Arial" w:cs="Arial"/>
        </w:rPr>
        <w:t xml:space="preserve"> 2001; Zuo et al.</w:t>
      </w:r>
      <w:r w:rsidR="004D522E">
        <w:rPr>
          <w:rFonts w:ascii="Arial" w:hAnsi="Arial" w:cs="Arial"/>
        </w:rPr>
        <w:t>,</w:t>
      </w:r>
      <w:r w:rsidRPr="009911B3">
        <w:rPr>
          <w:rFonts w:ascii="Arial" w:hAnsi="Arial" w:cs="Arial"/>
        </w:rPr>
        <w:t xml:space="preserve"> 2017).</w:t>
      </w:r>
    </w:p>
    <w:p w14:paraId="36B61748" w14:textId="11C8F816" w:rsidR="00A74E33" w:rsidRDefault="00A74E33" w:rsidP="009911B3">
      <w:pPr>
        <w:pStyle w:val="Body"/>
        <w:spacing w:after="0"/>
        <w:rPr>
          <w:rFonts w:ascii="Arial" w:hAnsi="Arial" w:cs="Arial"/>
        </w:rPr>
      </w:pPr>
    </w:p>
    <w:p w14:paraId="452AAA00" w14:textId="56A9FE6E" w:rsidR="00A74E33" w:rsidRDefault="00F24954"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9776" behindDoc="0" locked="0" layoutInCell="1" allowOverlap="1" wp14:anchorId="6EC6591C" wp14:editId="1919EFE2">
            <wp:simplePos x="0" y="0"/>
            <wp:positionH relativeFrom="margin">
              <wp:posOffset>655320</wp:posOffset>
            </wp:positionH>
            <wp:positionV relativeFrom="paragraph">
              <wp:posOffset>1270</wp:posOffset>
            </wp:positionV>
            <wp:extent cx="3992880" cy="3048000"/>
            <wp:effectExtent l="0" t="0" r="0" b="0"/>
            <wp:wrapSquare wrapText="bothSides"/>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F9852E1" w14:textId="51F8F3B3" w:rsidR="00A74E33" w:rsidRDefault="00A74E33" w:rsidP="009911B3">
      <w:pPr>
        <w:pStyle w:val="Body"/>
        <w:spacing w:after="0"/>
        <w:rPr>
          <w:rFonts w:ascii="Arial" w:hAnsi="Arial" w:cs="Arial"/>
        </w:rPr>
      </w:pPr>
    </w:p>
    <w:p w14:paraId="4B6177A8" w14:textId="34589209" w:rsidR="00A74E33" w:rsidRDefault="00A74E33" w:rsidP="009911B3">
      <w:pPr>
        <w:pStyle w:val="Body"/>
        <w:spacing w:after="0"/>
        <w:rPr>
          <w:rFonts w:ascii="Arial" w:hAnsi="Arial" w:cs="Arial"/>
        </w:rPr>
      </w:pPr>
    </w:p>
    <w:p w14:paraId="44E72AD3" w14:textId="7C06C644" w:rsidR="00A74E33" w:rsidRDefault="00A74E33" w:rsidP="009911B3">
      <w:pPr>
        <w:pStyle w:val="Body"/>
        <w:spacing w:after="0"/>
        <w:rPr>
          <w:rFonts w:ascii="Arial" w:hAnsi="Arial" w:cs="Arial"/>
        </w:rPr>
      </w:pPr>
    </w:p>
    <w:p w14:paraId="2EB002CE" w14:textId="736ACBA4" w:rsidR="00A74E33" w:rsidRDefault="00A74E33" w:rsidP="009911B3">
      <w:pPr>
        <w:pStyle w:val="Body"/>
        <w:spacing w:after="0"/>
        <w:rPr>
          <w:rFonts w:ascii="Arial" w:hAnsi="Arial" w:cs="Arial"/>
        </w:rPr>
      </w:pPr>
    </w:p>
    <w:p w14:paraId="6313381B" w14:textId="5EC56E34" w:rsidR="00A74E33" w:rsidRDefault="00A74E33" w:rsidP="009911B3">
      <w:pPr>
        <w:pStyle w:val="Body"/>
        <w:spacing w:after="0"/>
        <w:rPr>
          <w:rFonts w:ascii="Arial" w:hAnsi="Arial" w:cs="Arial"/>
        </w:rPr>
      </w:pPr>
    </w:p>
    <w:p w14:paraId="57219E8D" w14:textId="5230A014" w:rsidR="00A74E33" w:rsidRDefault="00A74E33" w:rsidP="009911B3">
      <w:pPr>
        <w:pStyle w:val="Body"/>
        <w:spacing w:after="0"/>
        <w:rPr>
          <w:rFonts w:ascii="Arial" w:hAnsi="Arial" w:cs="Arial"/>
        </w:rPr>
      </w:pPr>
    </w:p>
    <w:p w14:paraId="2E7A0744" w14:textId="5BA46101" w:rsidR="00A74E33" w:rsidRDefault="00A74E33" w:rsidP="009911B3">
      <w:pPr>
        <w:pStyle w:val="Body"/>
        <w:spacing w:after="0"/>
        <w:rPr>
          <w:rFonts w:ascii="Arial" w:hAnsi="Arial" w:cs="Arial"/>
        </w:rPr>
      </w:pPr>
    </w:p>
    <w:p w14:paraId="4C2A449F" w14:textId="3888F361" w:rsidR="00A74E33" w:rsidRDefault="00A74E33" w:rsidP="009911B3">
      <w:pPr>
        <w:pStyle w:val="Body"/>
        <w:spacing w:after="0"/>
        <w:rPr>
          <w:rFonts w:ascii="Arial" w:hAnsi="Arial" w:cs="Arial"/>
        </w:rPr>
      </w:pPr>
    </w:p>
    <w:p w14:paraId="78EDAAAC" w14:textId="1D9FF07D" w:rsidR="00A74E33" w:rsidRDefault="00A74E33" w:rsidP="009911B3">
      <w:pPr>
        <w:pStyle w:val="Body"/>
        <w:spacing w:after="0"/>
        <w:rPr>
          <w:rFonts w:ascii="Arial" w:hAnsi="Arial" w:cs="Arial"/>
        </w:rPr>
      </w:pPr>
    </w:p>
    <w:p w14:paraId="1BD9B152" w14:textId="22D7ABA7" w:rsidR="00A74E33" w:rsidRDefault="00A74E33" w:rsidP="009911B3">
      <w:pPr>
        <w:pStyle w:val="Body"/>
        <w:spacing w:after="0"/>
        <w:rPr>
          <w:rFonts w:ascii="Arial" w:hAnsi="Arial" w:cs="Arial"/>
        </w:rPr>
      </w:pPr>
    </w:p>
    <w:p w14:paraId="46E0DC71" w14:textId="7A3523E9" w:rsidR="00A74E33" w:rsidRDefault="00A74E33" w:rsidP="009911B3">
      <w:pPr>
        <w:pStyle w:val="Body"/>
        <w:spacing w:after="0"/>
        <w:rPr>
          <w:rFonts w:ascii="Arial" w:hAnsi="Arial" w:cs="Arial"/>
        </w:rPr>
      </w:pPr>
    </w:p>
    <w:p w14:paraId="63AFAB23" w14:textId="55B47F8F" w:rsidR="00A74E33" w:rsidRDefault="00A74E33" w:rsidP="009911B3">
      <w:pPr>
        <w:pStyle w:val="Body"/>
        <w:spacing w:after="0"/>
        <w:rPr>
          <w:rFonts w:ascii="Arial" w:hAnsi="Arial" w:cs="Arial"/>
        </w:rPr>
      </w:pPr>
    </w:p>
    <w:p w14:paraId="088E816C" w14:textId="16708C18" w:rsidR="00A74E33" w:rsidRDefault="00A74E33" w:rsidP="009911B3">
      <w:pPr>
        <w:pStyle w:val="Body"/>
        <w:spacing w:after="0"/>
        <w:rPr>
          <w:rFonts w:ascii="Arial" w:hAnsi="Arial" w:cs="Arial"/>
        </w:rPr>
      </w:pPr>
    </w:p>
    <w:p w14:paraId="76BB2438" w14:textId="3C671523" w:rsidR="00A74E33" w:rsidRDefault="00A74E33" w:rsidP="009911B3">
      <w:pPr>
        <w:pStyle w:val="Body"/>
        <w:spacing w:after="0"/>
        <w:rPr>
          <w:rFonts w:ascii="Arial" w:hAnsi="Arial" w:cs="Arial"/>
        </w:rPr>
      </w:pPr>
    </w:p>
    <w:p w14:paraId="59A2BA27" w14:textId="1FC08EF8" w:rsidR="00A74E33" w:rsidRDefault="00A74E33" w:rsidP="009911B3">
      <w:pPr>
        <w:pStyle w:val="Body"/>
        <w:spacing w:after="0"/>
        <w:rPr>
          <w:rFonts w:ascii="Arial" w:hAnsi="Arial" w:cs="Arial"/>
        </w:rPr>
      </w:pPr>
    </w:p>
    <w:p w14:paraId="393978F7" w14:textId="5276ABDF" w:rsidR="00A74E33" w:rsidRDefault="00A74E33" w:rsidP="009911B3">
      <w:pPr>
        <w:pStyle w:val="Body"/>
        <w:spacing w:after="0"/>
        <w:rPr>
          <w:rFonts w:ascii="Arial" w:hAnsi="Arial" w:cs="Arial"/>
        </w:rPr>
      </w:pPr>
    </w:p>
    <w:p w14:paraId="2DAC620E" w14:textId="55AF4B3D" w:rsidR="00A74E33" w:rsidRDefault="00A74E33" w:rsidP="009911B3">
      <w:pPr>
        <w:pStyle w:val="Body"/>
        <w:spacing w:after="0"/>
        <w:rPr>
          <w:rFonts w:ascii="Arial" w:hAnsi="Arial" w:cs="Arial"/>
        </w:rPr>
      </w:pPr>
    </w:p>
    <w:p w14:paraId="40E64A30" w14:textId="608D30C5" w:rsidR="00A74E33" w:rsidRDefault="00A74E33" w:rsidP="009911B3">
      <w:pPr>
        <w:pStyle w:val="Body"/>
        <w:spacing w:after="0"/>
        <w:rPr>
          <w:rFonts w:ascii="Arial" w:hAnsi="Arial" w:cs="Arial"/>
        </w:rPr>
      </w:pPr>
    </w:p>
    <w:p w14:paraId="2394F0E7" w14:textId="4695212B" w:rsidR="00A74E33" w:rsidRDefault="00A74E33" w:rsidP="009911B3">
      <w:pPr>
        <w:pStyle w:val="Body"/>
        <w:spacing w:after="0"/>
        <w:rPr>
          <w:rFonts w:ascii="Arial" w:hAnsi="Arial" w:cs="Arial"/>
        </w:rPr>
      </w:pPr>
    </w:p>
    <w:p w14:paraId="62264FBA" w14:textId="70DB4CD0" w:rsidR="00A74E33" w:rsidRDefault="00A74E33" w:rsidP="009911B3">
      <w:pPr>
        <w:pStyle w:val="Body"/>
        <w:spacing w:after="0"/>
        <w:rPr>
          <w:rFonts w:ascii="Arial" w:hAnsi="Arial" w:cs="Arial"/>
        </w:rPr>
      </w:pPr>
    </w:p>
    <w:p w14:paraId="19583EF2" w14:textId="3338159A" w:rsidR="00A74E33" w:rsidRPr="00A74E33" w:rsidRDefault="00A74E33" w:rsidP="00A74E33">
      <w:pPr>
        <w:pStyle w:val="Body"/>
        <w:spacing w:after="0"/>
        <w:rPr>
          <w:rFonts w:ascii="Arial" w:hAnsi="Arial" w:cs="Arial"/>
          <w:b/>
          <w:bCs/>
        </w:rPr>
      </w:pPr>
      <w:r w:rsidRPr="00A74E33">
        <w:rPr>
          <w:rFonts w:ascii="Arial" w:hAnsi="Arial" w:cs="Arial"/>
          <w:b/>
          <w:bCs/>
        </w:rPr>
        <w:t>Fig 5. Effect of sowing depth and soil type on seedling Emergence Percentage (EP) of Bambara groundnut</w:t>
      </w:r>
    </w:p>
    <w:p w14:paraId="6502C5A0" w14:textId="28A67C48" w:rsidR="00A74E33" w:rsidRPr="00A74E33" w:rsidRDefault="00A74E33" w:rsidP="00A74E33">
      <w:pPr>
        <w:pStyle w:val="Body"/>
        <w:spacing w:after="0"/>
        <w:rPr>
          <w:rFonts w:ascii="Arial" w:hAnsi="Arial" w:cs="Arial"/>
          <w:i/>
          <w:iCs/>
          <w:sz w:val="18"/>
          <w:szCs w:val="18"/>
        </w:rPr>
      </w:pPr>
      <w:r w:rsidRPr="00A74E33">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A74E33">
        <w:rPr>
          <w:rFonts w:ascii="Arial" w:hAnsi="Arial" w:cs="Arial"/>
          <w:i/>
          <w:iCs/>
          <w:sz w:val="18"/>
          <w:szCs w:val="18"/>
        </w:rPr>
        <w:t xml:space="preserve"> &lt; 0.05)</w:t>
      </w:r>
    </w:p>
    <w:p w14:paraId="3B70A10F" w14:textId="3BC79948" w:rsidR="00A74E33" w:rsidRDefault="00A74E33" w:rsidP="009911B3">
      <w:pPr>
        <w:pStyle w:val="Body"/>
        <w:spacing w:after="0"/>
        <w:rPr>
          <w:rFonts w:ascii="Arial" w:hAnsi="Arial" w:cs="Arial"/>
        </w:rPr>
      </w:pPr>
    </w:p>
    <w:p w14:paraId="264F5FD7" w14:textId="37B1457A" w:rsidR="009911B3" w:rsidRPr="00391FCC" w:rsidRDefault="00391FCC"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9911B3" w:rsidRPr="00391FCC">
        <w:rPr>
          <w:rFonts w:ascii="Arial" w:hAnsi="Arial" w:cs="Arial"/>
          <w:b/>
          <w:sz w:val="22"/>
        </w:rPr>
        <w:t>Emergence rate: Mean Emergence Time (MET) and Coefficient of Velocity of Emergence (CVE)</w:t>
      </w:r>
    </w:p>
    <w:p w14:paraId="4E1C9372" w14:textId="77777777" w:rsidR="009911B3" w:rsidRPr="009911B3" w:rsidRDefault="009911B3" w:rsidP="009911B3">
      <w:pPr>
        <w:pStyle w:val="Body"/>
        <w:spacing w:after="0"/>
        <w:rPr>
          <w:rFonts w:ascii="Arial" w:hAnsi="Arial" w:cs="Arial"/>
        </w:rPr>
      </w:pPr>
    </w:p>
    <w:p w14:paraId="6668D48A" w14:textId="650192AB" w:rsidR="002E7BDE" w:rsidRDefault="009911B3" w:rsidP="009911B3">
      <w:pPr>
        <w:pStyle w:val="Body"/>
        <w:spacing w:after="0"/>
        <w:rPr>
          <w:rFonts w:ascii="Arial" w:hAnsi="Arial" w:cs="Arial"/>
        </w:rPr>
      </w:pPr>
      <w:r w:rsidRPr="009911B3">
        <w:rPr>
          <w:rFonts w:ascii="Arial" w:hAnsi="Arial" w:cs="Arial"/>
        </w:rPr>
        <w:t xml:space="preserve">Mean Emergence Time (MET) increased steadily with sowing depth, from approximately 7.5 days at </w:t>
      </w:r>
      <w:r w:rsidR="00391FCC">
        <w:rPr>
          <w:rFonts w:ascii="Arial" w:hAnsi="Arial" w:cs="Arial"/>
        </w:rPr>
        <w:t>2 cm</w:t>
      </w:r>
      <w:r w:rsidRPr="009911B3">
        <w:rPr>
          <w:rFonts w:ascii="Arial" w:hAnsi="Arial" w:cs="Arial"/>
        </w:rPr>
        <w:t xml:space="preserve"> to more than 10.5 days at </w:t>
      </w:r>
      <w:r w:rsidR="00391FCC">
        <w:rPr>
          <w:rFonts w:ascii="Arial" w:hAnsi="Arial" w:cs="Arial"/>
        </w:rPr>
        <w:t>7 cm</w:t>
      </w:r>
      <w:r w:rsidRPr="009911B3">
        <w:rPr>
          <w:rFonts w:ascii="Arial" w:hAnsi="Arial" w:cs="Arial"/>
        </w:rPr>
        <w:t xml:space="preserve"> (Figure 6). Differences among soil textures were relatively small and became statistically non-significant at depths greater than </w:t>
      </w:r>
      <w:r w:rsidR="00391FCC">
        <w:rPr>
          <w:rFonts w:ascii="Arial" w:hAnsi="Arial" w:cs="Arial"/>
        </w:rPr>
        <w:t>6 cm</w:t>
      </w:r>
      <w:r w:rsidRPr="009911B3">
        <w:rPr>
          <w:rFonts w:ascii="Arial" w:hAnsi="Arial" w:cs="Arial"/>
        </w:rPr>
        <w:t>, confirming that sowing depth was the dominant factor controlling emergence speed</w:t>
      </w:r>
      <w:r w:rsidR="00F0422D">
        <w:rPr>
          <w:rFonts w:ascii="Arial" w:hAnsi="Arial" w:cs="Arial"/>
        </w:rPr>
        <w:t xml:space="preserve">, </w:t>
      </w:r>
      <w:r w:rsidR="00F0422D">
        <w:t>overriding the influence of soil texture under deep burial conditions</w:t>
      </w:r>
      <w:r w:rsidR="00F0422D" w:rsidRPr="009911B3">
        <w:rPr>
          <w:rFonts w:ascii="Arial" w:hAnsi="Arial" w:cs="Arial"/>
        </w:rPr>
        <w:t xml:space="preserve"> </w:t>
      </w:r>
      <w:r w:rsidRPr="009911B3">
        <w:rPr>
          <w:rFonts w:ascii="Arial" w:hAnsi="Arial" w:cs="Arial"/>
        </w:rPr>
        <w:t xml:space="preserve">Shallow sowing, particularly at depths not exceeding </w:t>
      </w:r>
      <w:r w:rsidR="00391FCC">
        <w:rPr>
          <w:rFonts w:ascii="Arial" w:hAnsi="Arial" w:cs="Arial"/>
        </w:rPr>
        <w:t>4 cm</w:t>
      </w:r>
      <w:r w:rsidRPr="009911B3">
        <w:rPr>
          <w:rFonts w:ascii="Arial" w:hAnsi="Arial" w:cs="Arial"/>
        </w:rPr>
        <w:t xml:space="preserve">, clearly enhanced the rate of seedling establishment, whereas deeper sowing, especially beyond </w:t>
      </w:r>
      <w:r w:rsidR="00391FCC">
        <w:rPr>
          <w:rFonts w:ascii="Arial" w:hAnsi="Arial" w:cs="Arial"/>
        </w:rPr>
        <w:t>5 cm</w:t>
      </w:r>
      <w:r w:rsidRPr="009911B3">
        <w:rPr>
          <w:rFonts w:ascii="Arial" w:hAnsi="Arial" w:cs="Arial"/>
        </w:rPr>
        <w:t>, substantially slowed the process.</w:t>
      </w:r>
      <w:r w:rsidR="00391FCC">
        <w:rPr>
          <w:rFonts w:ascii="Arial" w:hAnsi="Arial" w:cs="Arial"/>
        </w:rPr>
        <w:t xml:space="preserve"> </w:t>
      </w:r>
      <w:r w:rsidR="00F0422D" w:rsidRPr="00F0422D">
        <w:rPr>
          <w:rFonts w:ascii="Arial" w:hAnsi="Arial" w:cs="Arial"/>
        </w:rPr>
        <w:t>In parallel, the Coefficient of Velocity of Emergence (CVE) declined progressively with increasing sowing depth, with the highest values recorded at shallow depths</w:t>
      </w:r>
      <w:r w:rsidR="00F0422D">
        <w:rPr>
          <w:rFonts w:ascii="Arial" w:hAnsi="Arial" w:cs="Arial"/>
        </w:rPr>
        <w:t xml:space="preserve"> (Figure 7)</w:t>
      </w:r>
      <w:r w:rsidR="00F0422D" w:rsidRPr="00F0422D">
        <w:rPr>
          <w:rFonts w:ascii="Arial" w:hAnsi="Arial" w:cs="Arial"/>
        </w:rPr>
        <w:t>. This decline indicates that deeper sowing not only delayed emergence but also reduced its uniformity. High CVE values at shallow depths reflect rapid and synchronized emergence, which is essential for uniform stand establishment and early crop competitiveness. Comparable findings have been reported in grain legumes and oilseed crops, where shallow sowing improved emergence velocity by minimizing mechanical constraints and maintaining favorable soil physical conditions around the seed (Zuo et al., 2017).</w:t>
      </w:r>
    </w:p>
    <w:p w14:paraId="599EF6CF" w14:textId="3A5D841A" w:rsidR="002E7BDE" w:rsidRDefault="006F7966"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64896" behindDoc="0" locked="0" layoutInCell="1" allowOverlap="1" wp14:anchorId="187B05EB" wp14:editId="0BDAEEC3">
            <wp:simplePos x="0" y="0"/>
            <wp:positionH relativeFrom="column">
              <wp:posOffset>944880</wp:posOffset>
            </wp:positionH>
            <wp:positionV relativeFrom="paragraph">
              <wp:posOffset>0</wp:posOffset>
            </wp:positionV>
            <wp:extent cx="3832860" cy="3116580"/>
            <wp:effectExtent l="0" t="0" r="0" b="0"/>
            <wp:wrapSquare wrapText="bothSides"/>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DACE08D" w14:textId="3162E7A5" w:rsidR="000260DD" w:rsidRDefault="000260DD" w:rsidP="009911B3">
      <w:pPr>
        <w:pStyle w:val="Body"/>
        <w:spacing w:after="0"/>
        <w:rPr>
          <w:rFonts w:ascii="Arial" w:hAnsi="Arial" w:cs="Arial"/>
        </w:rPr>
      </w:pPr>
    </w:p>
    <w:p w14:paraId="36ECCF38" w14:textId="7D50CE48" w:rsidR="000260DD" w:rsidRDefault="000260DD" w:rsidP="009911B3">
      <w:pPr>
        <w:pStyle w:val="Body"/>
        <w:spacing w:after="0"/>
        <w:rPr>
          <w:rFonts w:ascii="Arial" w:hAnsi="Arial" w:cs="Arial"/>
        </w:rPr>
      </w:pPr>
    </w:p>
    <w:p w14:paraId="2C97D8C6" w14:textId="2E0F494A" w:rsidR="000260DD" w:rsidRDefault="000260DD" w:rsidP="009911B3">
      <w:pPr>
        <w:pStyle w:val="Body"/>
        <w:spacing w:after="0"/>
        <w:rPr>
          <w:rFonts w:ascii="Arial" w:hAnsi="Arial" w:cs="Arial"/>
        </w:rPr>
      </w:pPr>
    </w:p>
    <w:p w14:paraId="1B7B664A" w14:textId="43E82464" w:rsidR="000260DD" w:rsidRDefault="000260DD" w:rsidP="009911B3">
      <w:pPr>
        <w:pStyle w:val="Body"/>
        <w:spacing w:after="0"/>
        <w:rPr>
          <w:rFonts w:ascii="Arial" w:hAnsi="Arial" w:cs="Arial"/>
        </w:rPr>
      </w:pPr>
    </w:p>
    <w:p w14:paraId="3BC8DA95" w14:textId="7CE5A0FF" w:rsidR="000260DD" w:rsidRDefault="000260DD" w:rsidP="009911B3">
      <w:pPr>
        <w:pStyle w:val="Body"/>
        <w:spacing w:after="0"/>
        <w:rPr>
          <w:rFonts w:ascii="Arial" w:hAnsi="Arial" w:cs="Arial"/>
        </w:rPr>
      </w:pPr>
    </w:p>
    <w:p w14:paraId="105E5AF7" w14:textId="46D457DC" w:rsidR="000260DD" w:rsidRDefault="000260DD" w:rsidP="009911B3">
      <w:pPr>
        <w:pStyle w:val="Body"/>
        <w:spacing w:after="0"/>
        <w:rPr>
          <w:rFonts w:ascii="Arial" w:hAnsi="Arial" w:cs="Arial"/>
        </w:rPr>
      </w:pPr>
    </w:p>
    <w:p w14:paraId="5B3B62DE" w14:textId="1EA492E7" w:rsidR="000260DD" w:rsidRDefault="000260DD" w:rsidP="009911B3">
      <w:pPr>
        <w:pStyle w:val="Body"/>
        <w:spacing w:after="0"/>
        <w:rPr>
          <w:rFonts w:ascii="Arial" w:hAnsi="Arial" w:cs="Arial"/>
        </w:rPr>
      </w:pPr>
    </w:p>
    <w:p w14:paraId="2AA47745" w14:textId="6DDF65B1" w:rsidR="000260DD" w:rsidRDefault="000260DD" w:rsidP="009911B3">
      <w:pPr>
        <w:pStyle w:val="Body"/>
        <w:spacing w:after="0"/>
        <w:rPr>
          <w:rFonts w:ascii="Arial" w:hAnsi="Arial" w:cs="Arial"/>
        </w:rPr>
      </w:pPr>
    </w:p>
    <w:p w14:paraId="2E4D21C6" w14:textId="6351055A" w:rsidR="000260DD" w:rsidRDefault="000260DD" w:rsidP="009911B3">
      <w:pPr>
        <w:pStyle w:val="Body"/>
        <w:spacing w:after="0"/>
        <w:rPr>
          <w:rFonts w:ascii="Arial" w:hAnsi="Arial" w:cs="Arial"/>
        </w:rPr>
      </w:pPr>
    </w:p>
    <w:p w14:paraId="36473E04" w14:textId="6F4B19D2" w:rsidR="000260DD" w:rsidRDefault="000260DD" w:rsidP="009911B3">
      <w:pPr>
        <w:pStyle w:val="Body"/>
        <w:spacing w:after="0"/>
        <w:rPr>
          <w:rFonts w:ascii="Arial" w:hAnsi="Arial" w:cs="Arial"/>
        </w:rPr>
      </w:pPr>
    </w:p>
    <w:p w14:paraId="2F2A71D8" w14:textId="1FBD5862" w:rsidR="000260DD" w:rsidRDefault="000260DD" w:rsidP="009911B3">
      <w:pPr>
        <w:pStyle w:val="Body"/>
        <w:spacing w:after="0"/>
        <w:rPr>
          <w:rFonts w:ascii="Arial" w:hAnsi="Arial" w:cs="Arial"/>
        </w:rPr>
      </w:pPr>
    </w:p>
    <w:p w14:paraId="3DF4595B" w14:textId="0219B503" w:rsidR="000260DD" w:rsidRDefault="000260DD" w:rsidP="009911B3">
      <w:pPr>
        <w:pStyle w:val="Body"/>
        <w:spacing w:after="0"/>
        <w:rPr>
          <w:rFonts w:ascii="Arial" w:hAnsi="Arial" w:cs="Arial"/>
        </w:rPr>
      </w:pPr>
    </w:p>
    <w:p w14:paraId="2F41EDB6" w14:textId="04D7186C" w:rsidR="000260DD" w:rsidRDefault="000260DD" w:rsidP="009911B3">
      <w:pPr>
        <w:pStyle w:val="Body"/>
        <w:spacing w:after="0"/>
        <w:rPr>
          <w:rFonts w:ascii="Arial" w:hAnsi="Arial" w:cs="Arial"/>
        </w:rPr>
      </w:pPr>
    </w:p>
    <w:p w14:paraId="4AD09CF5" w14:textId="17EA5D71" w:rsidR="000260DD" w:rsidRDefault="000260DD" w:rsidP="009911B3">
      <w:pPr>
        <w:pStyle w:val="Body"/>
        <w:spacing w:after="0"/>
        <w:rPr>
          <w:rFonts w:ascii="Arial" w:hAnsi="Arial" w:cs="Arial"/>
        </w:rPr>
      </w:pPr>
    </w:p>
    <w:p w14:paraId="150F7DE3" w14:textId="210C95AF" w:rsidR="000260DD" w:rsidRDefault="000260DD" w:rsidP="009911B3">
      <w:pPr>
        <w:pStyle w:val="Body"/>
        <w:spacing w:after="0"/>
        <w:rPr>
          <w:rFonts w:ascii="Arial" w:hAnsi="Arial" w:cs="Arial"/>
        </w:rPr>
      </w:pPr>
    </w:p>
    <w:p w14:paraId="7AD72619" w14:textId="055B96B7" w:rsidR="000260DD" w:rsidRDefault="000260DD" w:rsidP="009911B3">
      <w:pPr>
        <w:pStyle w:val="Body"/>
        <w:spacing w:after="0"/>
        <w:rPr>
          <w:rFonts w:ascii="Arial" w:hAnsi="Arial" w:cs="Arial"/>
        </w:rPr>
      </w:pPr>
    </w:p>
    <w:p w14:paraId="25B1A7D9" w14:textId="22EF8281" w:rsidR="000260DD" w:rsidRDefault="000260DD" w:rsidP="009911B3">
      <w:pPr>
        <w:pStyle w:val="Body"/>
        <w:spacing w:after="0"/>
        <w:rPr>
          <w:rFonts w:ascii="Arial" w:hAnsi="Arial" w:cs="Arial"/>
        </w:rPr>
      </w:pPr>
    </w:p>
    <w:p w14:paraId="596E5BAA" w14:textId="5D271D57" w:rsidR="000260DD" w:rsidRDefault="000260DD" w:rsidP="009911B3">
      <w:pPr>
        <w:pStyle w:val="Body"/>
        <w:spacing w:after="0"/>
        <w:rPr>
          <w:rFonts w:ascii="Arial" w:hAnsi="Arial" w:cs="Arial"/>
        </w:rPr>
      </w:pPr>
    </w:p>
    <w:p w14:paraId="519FC562" w14:textId="7D7C627B" w:rsidR="000260DD" w:rsidRDefault="000260DD" w:rsidP="009911B3">
      <w:pPr>
        <w:pStyle w:val="Body"/>
        <w:spacing w:after="0"/>
        <w:rPr>
          <w:rFonts w:ascii="Arial" w:hAnsi="Arial" w:cs="Arial"/>
        </w:rPr>
      </w:pPr>
    </w:p>
    <w:p w14:paraId="27DB15B3" w14:textId="77777777" w:rsidR="006F7966" w:rsidRDefault="006F7966" w:rsidP="009911B3">
      <w:pPr>
        <w:pStyle w:val="Body"/>
        <w:spacing w:after="0"/>
        <w:rPr>
          <w:rFonts w:ascii="Arial" w:hAnsi="Arial" w:cs="Arial"/>
        </w:rPr>
      </w:pPr>
    </w:p>
    <w:p w14:paraId="12468B26" w14:textId="77777777" w:rsidR="002E7BDE" w:rsidRDefault="002E7BDE" w:rsidP="009911B3">
      <w:pPr>
        <w:pStyle w:val="Body"/>
        <w:spacing w:after="0"/>
        <w:rPr>
          <w:rFonts w:ascii="Arial" w:hAnsi="Arial" w:cs="Arial"/>
        </w:rPr>
      </w:pPr>
    </w:p>
    <w:p w14:paraId="7894D9E4" w14:textId="77777777" w:rsidR="00AB4470" w:rsidRPr="00AB4470" w:rsidRDefault="00AB4470" w:rsidP="00AB4470">
      <w:pPr>
        <w:pStyle w:val="Body"/>
        <w:spacing w:after="0"/>
        <w:rPr>
          <w:rFonts w:ascii="Arial" w:hAnsi="Arial" w:cs="Arial"/>
          <w:b/>
          <w:bCs/>
        </w:rPr>
      </w:pPr>
      <w:r w:rsidRPr="00AB4470">
        <w:rPr>
          <w:rFonts w:ascii="Arial" w:hAnsi="Arial" w:cs="Arial"/>
          <w:b/>
          <w:bCs/>
        </w:rPr>
        <w:t>Figure 6. Mean emergence time (MET) of Bambara groundnut seedlings in response to sowing depth and soil type</w:t>
      </w:r>
    </w:p>
    <w:p w14:paraId="7C258C3D" w14:textId="3A8A5D16" w:rsidR="000260DD" w:rsidRPr="00AB4470" w:rsidRDefault="00AB4470" w:rsidP="00AB4470">
      <w:pPr>
        <w:pStyle w:val="Body"/>
        <w:spacing w:after="0"/>
        <w:rPr>
          <w:rFonts w:ascii="Arial" w:hAnsi="Arial" w:cs="Arial"/>
          <w:i/>
          <w:iCs/>
          <w:sz w:val="18"/>
          <w:szCs w:val="18"/>
        </w:rPr>
      </w:pPr>
      <w:r w:rsidRPr="00AB4470">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AB4470">
        <w:rPr>
          <w:rFonts w:ascii="Arial" w:hAnsi="Arial" w:cs="Arial"/>
          <w:i/>
          <w:iCs/>
          <w:sz w:val="18"/>
          <w:szCs w:val="18"/>
        </w:rPr>
        <w:t xml:space="preserve"> &lt; 0.05)</w:t>
      </w:r>
    </w:p>
    <w:p w14:paraId="2A7E8B27" w14:textId="2369E755" w:rsidR="000260DD" w:rsidRDefault="000260DD" w:rsidP="009911B3">
      <w:pPr>
        <w:pStyle w:val="Body"/>
        <w:spacing w:after="0"/>
        <w:rPr>
          <w:rFonts w:ascii="Arial" w:hAnsi="Arial" w:cs="Arial"/>
        </w:rPr>
      </w:pPr>
      <w:bookmarkStart w:id="2" w:name="_GoBack"/>
      <w:bookmarkEnd w:id="2"/>
    </w:p>
    <w:p w14:paraId="30DC6878" w14:textId="30E9330B" w:rsidR="000260DD" w:rsidRDefault="002E7BDE" w:rsidP="009911B3">
      <w:pPr>
        <w:pStyle w:val="Body"/>
        <w:spacing w:after="0"/>
        <w:rPr>
          <w:rFonts w:ascii="Arial" w:hAnsi="Arial" w:cs="Arial"/>
        </w:rPr>
      </w:pPr>
      <w:r w:rsidRPr="009E728F">
        <w:rPr>
          <w:rFonts w:ascii="Times New Roman" w:hAnsi="Times New Roman"/>
          <w:noProof/>
          <w:sz w:val="24"/>
          <w:szCs w:val="24"/>
          <w:lang w:val="fr-FR" w:eastAsia="fr-FR"/>
        </w:rPr>
        <w:drawing>
          <wp:anchor distT="0" distB="0" distL="114300" distR="114300" simplePos="0" relativeHeight="251668992" behindDoc="0" locked="0" layoutInCell="1" allowOverlap="1" wp14:anchorId="28BD2888" wp14:editId="66662AC1">
            <wp:simplePos x="0" y="0"/>
            <wp:positionH relativeFrom="column">
              <wp:posOffset>967740</wp:posOffset>
            </wp:positionH>
            <wp:positionV relativeFrom="paragraph">
              <wp:posOffset>9525</wp:posOffset>
            </wp:positionV>
            <wp:extent cx="3840480" cy="3116580"/>
            <wp:effectExtent l="0" t="0" r="0" b="0"/>
            <wp:wrapSquare wrapText="bothSides"/>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0E875320" w14:textId="45D4836A" w:rsidR="000260DD" w:rsidRDefault="000260DD" w:rsidP="009911B3">
      <w:pPr>
        <w:pStyle w:val="Body"/>
        <w:spacing w:after="0"/>
        <w:rPr>
          <w:rFonts w:ascii="Arial" w:hAnsi="Arial" w:cs="Arial"/>
        </w:rPr>
      </w:pPr>
    </w:p>
    <w:p w14:paraId="04C24351" w14:textId="3D318C89" w:rsidR="000260DD" w:rsidRDefault="000260DD" w:rsidP="009911B3">
      <w:pPr>
        <w:pStyle w:val="Body"/>
        <w:spacing w:after="0"/>
        <w:rPr>
          <w:rFonts w:ascii="Arial" w:hAnsi="Arial" w:cs="Arial"/>
        </w:rPr>
      </w:pPr>
    </w:p>
    <w:p w14:paraId="055ABA11" w14:textId="0EB5FF30" w:rsidR="000260DD" w:rsidRDefault="000260DD" w:rsidP="009911B3">
      <w:pPr>
        <w:pStyle w:val="Body"/>
        <w:spacing w:after="0"/>
        <w:rPr>
          <w:rFonts w:ascii="Arial" w:hAnsi="Arial" w:cs="Arial"/>
        </w:rPr>
      </w:pPr>
    </w:p>
    <w:p w14:paraId="770B8D28" w14:textId="317AB8A7" w:rsidR="000260DD" w:rsidRDefault="000260DD" w:rsidP="009911B3">
      <w:pPr>
        <w:pStyle w:val="Body"/>
        <w:spacing w:after="0"/>
        <w:rPr>
          <w:rFonts w:ascii="Arial" w:hAnsi="Arial" w:cs="Arial"/>
        </w:rPr>
      </w:pPr>
    </w:p>
    <w:p w14:paraId="36E24FF7" w14:textId="79AB5CFE" w:rsidR="000260DD" w:rsidRDefault="000260DD" w:rsidP="009911B3">
      <w:pPr>
        <w:pStyle w:val="Body"/>
        <w:spacing w:after="0"/>
        <w:rPr>
          <w:rFonts w:ascii="Arial" w:hAnsi="Arial" w:cs="Arial"/>
        </w:rPr>
      </w:pPr>
    </w:p>
    <w:p w14:paraId="7420A4C7" w14:textId="0D919782" w:rsidR="000260DD" w:rsidRDefault="000260DD" w:rsidP="009911B3">
      <w:pPr>
        <w:pStyle w:val="Body"/>
        <w:spacing w:after="0"/>
        <w:rPr>
          <w:rFonts w:ascii="Arial" w:hAnsi="Arial" w:cs="Arial"/>
        </w:rPr>
      </w:pPr>
    </w:p>
    <w:p w14:paraId="256E10BF" w14:textId="63002D6B" w:rsidR="000260DD" w:rsidRDefault="000260DD" w:rsidP="009911B3">
      <w:pPr>
        <w:pStyle w:val="Body"/>
        <w:spacing w:after="0"/>
        <w:rPr>
          <w:rFonts w:ascii="Arial" w:hAnsi="Arial" w:cs="Arial"/>
        </w:rPr>
      </w:pPr>
    </w:p>
    <w:p w14:paraId="18DB5783" w14:textId="21C4B9F8" w:rsidR="000260DD" w:rsidRDefault="000260DD" w:rsidP="009911B3">
      <w:pPr>
        <w:pStyle w:val="Body"/>
        <w:spacing w:after="0"/>
        <w:rPr>
          <w:rFonts w:ascii="Arial" w:hAnsi="Arial" w:cs="Arial"/>
        </w:rPr>
      </w:pPr>
    </w:p>
    <w:p w14:paraId="131F32F1" w14:textId="167AC7F6" w:rsidR="000260DD" w:rsidRDefault="000260DD" w:rsidP="009911B3">
      <w:pPr>
        <w:pStyle w:val="Body"/>
        <w:spacing w:after="0"/>
        <w:rPr>
          <w:rFonts w:ascii="Arial" w:hAnsi="Arial" w:cs="Arial"/>
        </w:rPr>
      </w:pPr>
    </w:p>
    <w:p w14:paraId="7F55E462" w14:textId="36C319CA" w:rsidR="000260DD" w:rsidRDefault="000260DD" w:rsidP="009911B3">
      <w:pPr>
        <w:pStyle w:val="Body"/>
        <w:spacing w:after="0"/>
        <w:rPr>
          <w:rFonts w:ascii="Arial" w:hAnsi="Arial" w:cs="Arial"/>
        </w:rPr>
      </w:pPr>
    </w:p>
    <w:p w14:paraId="75C13618" w14:textId="6DC68390" w:rsidR="000260DD" w:rsidRDefault="000260DD" w:rsidP="009911B3">
      <w:pPr>
        <w:pStyle w:val="Body"/>
        <w:spacing w:after="0"/>
        <w:rPr>
          <w:rFonts w:ascii="Arial" w:hAnsi="Arial" w:cs="Arial"/>
        </w:rPr>
      </w:pPr>
    </w:p>
    <w:p w14:paraId="73B2267E" w14:textId="2C99777D" w:rsidR="000260DD" w:rsidRDefault="000260DD" w:rsidP="009911B3">
      <w:pPr>
        <w:pStyle w:val="Body"/>
        <w:spacing w:after="0"/>
        <w:rPr>
          <w:rFonts w:ascii="Arial" w:hAnsi="Arial" w:cs="Arial"/>
        </w:rPr>
      </w:pPr>
    </w:p>
    <w:p w14:paraId="1689B19B" w14:textId="36E8F157" w:rsidR="000260DD" w:rsidRDefault="000260DD" w:rsidP="009911B3">
      <w:pPr>
        <w:pStyle w:val="Body"/>
        <w:spacing w:after="0"/>
        <w:rPr>
          <w:rFonts w:ascii="Arial" w:hAnsi="Arial" w:cs="Arial"/>
        </w:rPr>
      </w:pPr>
    </w:p>
    <w:p w14:paraId="217F619C" w14:textId="1E69151A" w:rsidR="000260DD" w:rsidRDefault="000260DD" w:rsidP="009911B3">
      <w:pPr>
        <w:pStyle w:val="Body"/>
        <w:spacing w:after="0"/>
        <w:rPr>
          <w:rFonts w:ascii="Arial" w:hAnsi="Arial" w:cs="Arial"/>
        </w:rPr>
      </w:pPr>
    </w:p>
    <w:p w14:paraId="405B3F8A" w14:textId="2E976986" w:rsidR="000260DD" w:rsidRDefault="000260DD" w:rsidP="009911B3">
      <w:pPr>
        <w:pStyle w:val="Body"/>
        <w:spacing w:after="0"/>
        <w:rPr>
          <w:rFonts w:ascii="Arial" w:hAnsi="Arial" w:cs="Arial"/>
        </w:rPr>
      </w:pPr>
    </w:p>
    <w:p w14:paraId="01B80A02" w14:textId="7553F59C" w:rsidR="000260DD" w:rsidRDefault="000260DD" w:rsidP="009911B3">
      <w:pPr>
        <w:pStyle w:val="Body"/>
        <w:spacing w:after="0"/>
        <w:rPr>
          <w:rFonts w:ascii="Arial" w:hAnsi="Arial" w:cs="Arial"/>
        </w:rPr>
      </w:pPr>
    </w:p>
    <w:p w14:paraId="31024973" w14:textId="15F5B249" w:rsidR="000260DD" w:rsidRDefault="000260DD" w:rsidP="009911B3">
      <w:pPr>
        <w:pStyle w:val="Body"/>
        <w:spacing w:after="0"/>
        <w:rPr>
          <w:rFonts w:ascii="Arial" w:hAnsi="Arial" w:cs="Arial"/>
        </w:rPr>
      </w:pPr>
    </w:p>
    <w:p w14:paraId="0DC553C5" w14:textId="38983E69" w:rsidR="000260DD" w:rsidRDefault="000260DD" w:rsidP="009911B3">
      <w:pPr>
        <w:pStyle w:val="Body"/>
        <w:spacing w:after="0"/>
        <w:rPr>
          <w:rFonts w:ascii="Arial" w:hAnsi="Arial" w:cs="Arial"/>
        </w:rPr>
      </w:pPr>
    </w:p>
    <w:p w14:paraId="439F0727" w14:textId="0028D625" w:rsidR="000260DD" w:rsidRDefault="000260DD" w:rsidP="009911B3">
      <w:pPr>
        <w:pStyle w:val="Body"/>
        <w:spacing w:after="0"/>
        <w:rPr>
          <w:rFonts w:ascii="Arial" w:hAnsi="Arial" w:cs="Arial"/>
        </w:rPr>
      </w:pPr>
    </w:p>
    <w:p w14:paraId="39ABF341" w14:textId="035D45E7" w:rsidR="000260DD" w:rsidRDefault="000260DD" w:rsidP="009911B3">
      <w:pPr>
        <w:pStyle w:val="Body"/>
        <w:spacing w:after="0"/>
        <w:rPr>
          <w:rFonts w:ascii="Arial" w:hAnsi="Arial" w:cs="Arial"/>
        </w:rPr>
      </w:pPr>
    </w:p>
    <w:p w14:paraId="2C4F68EA" w14:textId="4FA8C165" w:rsidR="000260DD" w:rsidRDefault="000260DD" w:rsidP="009911B3">
      <w:pPr>
        <w:pStyle w:val="Body"/>
        <w:spacing w:after="0"/>
        <w:rPr>
          <w:rFonts w:ascii="Arial" w:hAnsi="Arial" w:cs="Arial"/>
        </w:rPr>
      </w:pPr>
    </w:p>
    <w:p w14:paraId="5E810F0A" w14:textId="77777777" w:rsidR="002E7BDE" w:rsidRDefault="002E7BDE" w:rsidP="007F271C">
      <w:pPr>
        <w:pStyle w:val="Body"/>
        <w:spacing w:after="0"/>
        <w:rPr>
          <w:rFonts w:ascii="Arial" w:hAnsi="Arial" w:cs="Arial"/>
          <w:b/>
          <w:bCs/>
        </w:rPr>
      </w:pPr>
      <w:r w:rsidRPr="002E7BDE">
        <w:rPr>
          <w:rFonts w:ascii="Arial" w:hAnsi="Arial" w:cs="Arial"/>
          <w:b/>
          <w:bCs/>
        </w:rPr>
        <w:t>Figure 7. Coefficient of velocity of emergence (CVE) of Bambara groundnut seedlings as influenced by sowing depth and soil type</w:t>
      </w:r>
      <w:r>
        <w:rPr>
          <w:rFonts w:ascii="Arial" w:hAnsi="Arial" w:cs="Arial"/>
          <w:b/>
          <w:bCs/>
        </w:rPr>
        <w:t xml:space="preserve"> </w:t>
      </w:r>
    </w:p>
    <w:p w14:paraId="06046582" w14:textId="31D549E8" w:rsidR="000260DD" w:rsidRPr="002E7BDE" w:rsidRDefault="002E7BDE" w:rsidP="007F271C">
      <w:pPr>
        <w:pStyle w:val="Body"/>
        <w:spacing w:after="0"/>
        <w:rPr>
          <w:rFonts w:ascii="Arial" w:hAnsi="Arial" w:cs="Arial"/>
          <w:b/>
          <w:bCs/>
        </w:rPr>
      </w:pPr>
      <w:r w:rsidRPr="002E7BDE">
        <w:rPr>
          <w:rFonts w:ascii="Arial" w:hAnsi="Arial" w:cs="Arial"/>
          <w:i/>
          <w:iCs/>
          <w:sz w:val="18"/>
          <w:szCs w:val="18"/>
        </w:rPr>
        <w:t>Cl: Clayed soil; Gr: Gravelly soil; Sa: Sandy soil; Different letters indicate significant differences (p &lt; 0.05)</w:t>
      </w:r>
    </w:p>
    <w:p w14:paraId="1C7338D3" w14:textId="558B7818" w:rsidR="000260DD" w:rsidRPr="002E7BDE" w:rsidRDefault="000260DD" w:rsidP="009911B3">
      <w:pPr>
        <w:pStyle w:val="Body"/>
        <w:spacing w:after="0"/>
        <w:rPr>
          <w:rFonts w:ascii="Arial" w:hAnsi="Arial" w:cs="Arial"/>
          <w:i/>
          <w:iCs/>
          <w:sz w:val="18"/>
          <w:szCs w:val="18"/>
        </w:rPr>
      </w:pPr>
    </w:p>
    <w:p w14:paraId="31B2626B" w14:textId="6FAC555D" w:rsidR="009911B3" w:rsidRPr="002E60DB" w:rsidRDefault="002E60DB" w:rsidP="009911B3">
      <w:pPr>
        <w:pStyle w:val="Body"/>
        <w:spacing w:after="0"/>
        <w:rPr>
          <w:rFonts w:ascii="Arial" w:hAnsi="Arial" w:cs="Arial"/>
          <w:b/>
          <w:sz w:val="22"/>
        </w:rPr>
      </w:pPr>
      <w:r w:rsidRPr="002E60DB">
        <w:rPr>
          <w:rFonts w:ascii="Arial" w:hAnsi="Arial" w:cs="Arial"/>
          <w:b/>
          <w:sz w:val="22"/>
        </w:rPr>
        <w:lastRenderedPageBreak/>
        <w:t xml:space="preserve">3.5 </w:t>
      </w:r>
      <w:r w:rsidR="009911B3" w:rsidRPr="002E60DB">
        <w:rPr>
          <w:rFonts w:ascii="Arial" w:hAnsi="Arial" w:cs="Arial"/>
          <w:b/>
          <w:sz w:val="22"/>
        </w:rPr>
        <w:t>Agronomic implications</w:t>
      </w:r>
    </w:p>
    <w:p w14:paraId="23766CF1" w14:textId="77777777" w:rsidR="009911B3" w:rsidRPr="009911B3" w:rsidRDefault="009911B3" w:rsidP="009911B3">
      <w:pPr>
        <w:pStyle w:val="Body"/>
        <w:spacing w:after="0"/>
        <w:rPr>
          <w:rFonts w:ascii="Arial" w:hAnsi="Arial" w:cs="Arial"/>
        </w:rPr>
      </w:pPr>
    </w:p>
    <w:p w14:paraId="0F4E670E" w14:textId="3555984F" w:rsidR="00B95236" w:rsidRDefault="009911B3" w:rsidP="009911B3">
      <w:pPr>
        <w:pStyle w:val="Body"/>
        <w:spacing w:after="0"/>
        <w:rPr>
          <w:rFonts w:ascii="Arial" w:hAnsi="Arial" w:cs="Arial"/>
        </w:rPr>
      </w:pPr>
      <w:r w:rsidRPr="009911B3">
        <w:rPr>
          <w:rFonts w:ascii="Arial" w:hAnsi="Arial" w:cs="Arial"/>
        </w:rPr>
        <w:t xml:space="preserve">Overall, sandy soil provided the most </w:t>
      </w:r>
      <w:r w:rsidR="00391FCC" w:rsidRPr="009911B3">
        <w:rPr>
          <w:rFonts w:ascii="Arial" w:hAnsi="Arial" w:cs="Arial"/>
        </w:rPr>
        <w:t>favorable</w:t>
      </w:r>
      <w:r w:rsidRPr="009911B3">
        <w:rPr>
          <w:rFonts w:ascii="Arial" w:hAnsi="Arial" w:cs="Arial"/>
        </w:rPr>
        <w:t xml:space="preserve"> environment for Bambara groundnut emergence, combining rapid, uniform, and high-percentage seedling establishment. Gravelly and clayey soils, in contrast, imposed physical and aeration-related constraints that limited emergence success beyond moderate sowing depths. These findings highlight the necessity of adjusting sowing depth according to soil texture. Under sandy conditions, sowing depths ranging between </w:t>
      </w:r>
      <w:r w:rsidR="00391FCC">
        <w:rPr>
          <w:rFonts w:ascii="Arial" w:hAnsi="Arial" w:cs="Arial"/>
        </w:rPr>
        <w:t>3</w:t>
      </w:r>
      <w:r w:rsidRPr="009911B3">
        <w:rPr>
          <w:rFonts w:ascii="Arial" w:hAnsi="Arial" w:cs="Arial"/>
        </w:rPr>
        <w:t xml:space="preserve"> and </w:t>
      </w:r>
      <w:r w:rsidR="00391FCC">
        <w:rPr>
          <w:rFonts w:ascii="Arial" w:hAnsi="Arial" w:cs="Arial"/>
        </w:rPr>
        <w:t>5 cm</w:t>
      </w:r>
      <w:r w:rsidRPr="009911B3">
        <w:rPr>
          <w:rFonts w:ascii="Arial" w:hAnsi="Arial" w:cs="Arial"/>
        </w:rPr>
        <w:t xml:space="preserve"> appear optimal, whereas in heavier or gravelly soils, shallower sowing, generally not exceeding </w:t>
      </w:r>
      <w:r w:rsidR="00391FCC">
        <w:rPr>
          <w:rFonts w:ascii="Arial" w:hAnsi="Arial" w:cs="Arial"/>
        </w:rPr>
        <w:t>4 cm</w:t>
      </w:r>
      <w:r w:rsidRPr="009911B3">
        <w:rPr>
          <w:rFonts w:ascii="Arial" w:hAnsi="Arial" w:cs="Arial"/>
        </w:rPr>
        <w:t xml:space="preserve">, is required to </w:t>
      </w:r>
      <w:r w:rsidR="00391FCC" w:rsidRPr="009911B3">
        <w:rPr>
          <w:rFonts w:ascii="Arial" w:hAnsi="Arial" w:cs="Arial"/>
        </w:rPr>
        <w:t>minimize</w:t>
      </w:r>
      <w:r w:rsidRPr="009911B3">
        <w:rPr>
          <w:rFonts w:ascii="Arial" w:hAnsi="Arial" w:cs="Arial"/>
        </w:rPr>
        <w:t xml:space="preserve"> mechanical resistance and ensure uniform emergence.</w:t>
      </w:r>
    </w:p>
    <w:p w14:paraId="4DD449C5" w14:textId="77777777" w:rsidR="00790ADA" w:rsidRDefault="00790ADA" w:rsidP="00441B6F">
      <w:pPr>
        <w:pStyle w:val="Body"/>
        <w:spacing w:after="0"/>
        <w:rPr>
          <w:rFonts w:ascii="Arial" w:hAnsi="Arial" w:cs="Arial"/>
        </w:rPr>
      </w:pPr>
    </w:p>
    <w:p w14:paraId="1CBEF98E" w14:textId="77777777" w:rsidR="00790ADA" w:rsidRPr="00FB3A86" w:rsidRDefault="00790ADA" w:rsidP="00441B6F">
      <w:pPr>
        <w:pStyle w:val="Body"/>
        <w:spacing w:after="0"/>
        <w:rPr>
          <w:rFonts w:ascii="Arial" w:hAnsi="Arial" w:cs="Arial"/>
        </w:rPr>
      </w:pPr>
    </w:p>
    <w:p w14:paraId="657870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75A739" w14:textId="77777777" w:rsidR="00790ADA" w:rsidRPr="00FB3A86" w:rsidRDefault="00790ADA" w:rsidP="00441B6F">
      <w:pPr>
        <w:pStyle w:val="ConcHead"/>
        <w:spacing w:after="0"/>
        <w:jc w:val="both"/>
        <w:rPr>
          <w:rFonts w:ascii="Arial" w:hAnsi="Arial" w:cs="Arial"/>
        </w:rPr>
      </w:pPr>
    </w:p>
    <w:p w14:paraId="338C3280" w14:textId="77777777" w:rsidR="00D5069D" w:rsidRDefault="002E60DB" w:rsidP="00D5069D">
      <w:pPr>
        <w:pStyle w:val="Body"/>
        <w:spacing w:after="0"/>
        <w:rPr>
          <w:rFonts w:ascii="Arial" w:hAnsi="Arial" w:cs="Arial"/>
        </w:rPr>
      </w:pPr>
      <w:r w:rsidRPr="002E60DB">
        <w:rPr>
          <w:rFonts w:ascii="Arial" w:hAnsi="Arial" w:cs="Arial"/>
        </w:rPr>
        <w:t xml:space="preserve">Sowing depth was identified as the primary factor governing the dynamics of Bambara groundnut seedling emergence, influencing the timing, rate, synchrony, and overall success of establishment. Shallow sowing, particularly at depths of </w:t>
      </w:r>
      <w:r w:rsidR="005F6F4C">
        <w:rPr>
          <w:rFonts w:ascii="Arial" w:hAnsi="Arial" w:cs="Arial"/>
        </w:rPr>
        <w:t>4 cm</w:t>
      </w:r>
      <w:r w:rsidRPr="002E60DB">
        <w:rPr>
          <w:rFonts w:ascii="Arial" w:hAnsi="Arial" w:cs="Arial"/>
        </w:rPr>
        <w:t xml:space="preserve"> or less, consistently promoted rapid, uniform, and high-percentage emergence, whereas deeper placement resulted in delayed and less efficient emergence.</w:t>
      </w:r>
      <w:r w:rsidR="005F6F4C">
        <w:rPr>
          <w:rFonts w:ascii="Arial" w:hAnsi="Arial" w:cs="Arial"/>
        </w:rPr>
        <w:t xml:space="preserve"> </w:t>
      </w:r>
      <w:r w:rsidRPr="002E60DB">
        <w:rPr>
          <w:rFonts w:ascii="Arial" w:hAnsi="Arial" w:cs="Arial"/>
        </w:rPr>
        <w:t xml:space="preserve">Although soil texture played a secondary role, its influence became increasingly important as sowing depth increased. Sandy soil provided the most </w:t>
      </w:r>
      <w:r w:rsidR="005F6F4C" w:rsidRPr="002E60DB">
        <w:rPr>
          <w:rFonts w:ascii="Arial" w:hAnsi="Arial" w:cs="Arial"/>
        </w:rPr>
        <w:t>favorable</w:t>
      </w:r>
      <w:r w:rsidRPr="002E60DB">
        <w:rPr>
          <w:rFonts w:ascii="Arial" w:hAnsi="Arial" w:cs="Arial"/>
        </w:rPr>
        <w:t xml:space="preserve"> conditions for seedling progression and allowed successful emergence at depths of up to </w:t>
      </w:r>
      <w:r w:rsidR="005F6F4C">
        <w:rPr>
          <w:rFonts w:ascii="Arial" w:hAnsi="Arial" w:cs="Arial"/>
        </w:rPr>
        <w:t>6 cm.</w:t>
      </w:r>
      <w:r w:rsidRPr="002E60DB">
        <w:rPr>
          <w:rFonts w:ascii="Arial" w:hAnsi="Arial" w:cs="Arial"/>
        </w:rPr>
        <w:t xml:space="preserve"> In contrast, gravelly and clayey soils imposed greater mechanical and aeration constraints, making sowing depths not exceeding </w:t>
      </w:r>
      <w:r w:rsidR="005F6F4C">
        <w:rPr>
          <w:rFonts w:ascii="Arial" w:hAnsi="Arial" w:cs="Arial"/>
        </w:rPr>
        <w:t>4 cm</w:t>
      </w:r>
      <w:r w:rsidRPr="002E60DB">
        <w:rPr>
          <w:rFonts w:ascii="Arial" w:hAnsi="Arial" w:cs="Arial"/>
        </w:rPr>
        <w:t xml:space="preserve"> more suitable for optimal emergence.</w:t>
      </w:r>
      <w:r w:rsidR="005F6F4C">
        <w:rPr>
          <w:rFonts w:ascii="Arial" w:hAnsi="Arial" w:cs="Arial"/>
        </w:rPr>
        <w:t xml:space="preserve"> </w:t>
      </w:r>
      <w:r w:rsidRPr="002E60DB">
        <w:rPr>
          <w:rFonts w:ascii="Arial" w:hAnsi="Arial" w:cs="Arial"/>
        </w:rPr>
        <w:t>These results underline the importance of adjusting sowing depth according to soil texture to improve stand establishment, which is a critical prerequisite for vigorous early growth, uniform crop development, and enhanced yield potential in Bambara groundnut production systems.</w:t>
      </w:r>
    </w:p>
    <w:p w14:paraId="1052033C" w14:textId="77777777" w:rsidR="00D5069D" w:rsidRDefault="00D5069D" w:rsidP="00D5069D">
      <w:pPr>
        <w:pStyle w:val="Body"/>
        <w:spacing w:after="0"/>
        <w:rPr>
          <w:rFonts w:ascii="Arial" w:hAnsi="Arial" w:cs="Arial"/>
        </w:rPr>
      </w:pPr>
    </w:p>
    <w:p w14:paraId="548F3ED2" w14:textId="77777777" w:rsidR="00D04C2F" w:rsidRDefault="00D04C2F" w:rsidP="00F40076">
      <w:pPr>
        <w:pStyle w:val="Body"/>
        <w:spacing w:after="0"/>
        <w:rPr>
          <w:rFonts w:ascii="Arial" w:hAnsi="Arial" w:cs="Arial"/>
        </w:rPr>
      </w:pPr>
    </w:p>
    <w:p w14:paraId="1B33A943" w14:textId="77777777" w:rsidR="00D04C2F" w:rsidRPr="00D04C2F" w:rsidRDefault="00D04C2F" w:rsidP="00D04C2F">
      <w:pPr>
        <w:pStyle w:val="Body"/>
        <w:rPr>
          <w:rFonts w:ascii="Arial" w:hAnsi="Arial" w:cs="Arial"/>
        </w:rPr>
      </w:pPr>
      <w:r w:rsidRPr="00D04C2F">
        <w:rPr>
          <w:rFonts w:ascii="Arial" w:hAnsi="Arial" w:cs="Arial"/>
        </w:rPr>
        <w:t>COMPETING INTERESTS DISCLAIMER:</w:t>
      </w:r>
    </w:p>
    <w:p w14:paraId="71519796" w14:textId="27F121D8" w:rsidR="00D04C2F" w:rsidRPr="00F40076" w:rsidRDefault="00D04C2F" w:rsidP="00D04C2F">
      <w:pPr>
        <w:pStyle w:val="Body"/>
        <w:spacing w:after="0"/>
        <w:rPr>
          <w:rFonts w:ascii="Arial" w:hAnsi="Arial" w:cs="Arial"/>
        </w:rPr>
      </w:pPr>
      <w:r w:rsidRPr="00D04C2F">
        <w:rPr>
          <w:rFonts w:ascii="Arial" w:hAnsi="Arial" w:cs="Arial"/>
        </w:rPr>
        <w:t>Authors have declared that they have no known competing financial interests OR non-financial interests OR personal relationships that could have appeared to influence the work reported in this paper.</w:t>
      </w:r>
    </w:p>
    <w:p w14:paraId="5D686DF8" w14:textId="77777777" w:rsidR="00371FB6" w:rsidRPr="00371FB6" w:rsidRDefault="00371FB6" w:rsidP="00441B6F">
      <w:pPr>
        <w:pStyle w:val="ReferHead"/>
        <w:spacing w:after="0"/>
        <w:jc w:val="both"/>
        <w:rPr>
          <w:rFonts w:ascii="Arial" w:hAnsi="Arial" w:cs="Arial"/>
          <w:bCs/>
        </w:rPr>
      </w:pPr>
    </w:p>
    <w:p w14:paraId="3529505A" w14:textId="77777777" w:rsidR="00860000" w:rsidRDefault="00860000" w:rsidP="00441B6F">
      <w:pPr>
        <w:pStyle w:val="ReferHead"/>
        <w:spacing w:after="0"/>
        <w:jc w:val="both"/>
        <w:rPr>
          <w:rFonts w:ascii="Arial" w:hAnsi="Arial" w:cs="Arial"/>
        </w:rPr>
      </w:pPr>
    </w:p>
    <w:p w14:paraId="0CFC62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5780CA"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Azam-Ali, S. N.</w:t>
      </w:r>
      <w:r w:rsidRPr="00124014">
        <w:rPr>
          <w:rFonts w:ascii="Arial" w:hAnsi="Arial" w:cs="Arial"/>
          <w:sz w:val="20"/>
          <w:szCs w:val="20"/>
          <w:lang w:val="en-US"/>
        </w:rPr>
        <w:t xml:space="preserve"> (1992). Evaluating the potential of Bambara groundnut as a food crop for semi-arid Africa. In </w:t>
      </w:r>
      <w:r w:rsidRPr="00124014">
        <w:rPr>
          <w:rStyle w:val="Emphasis"/>
          <w:rFonts w:ascii="Arial" w:hAnsi="Arial" w:cs="Arial"/>
          <w:sz w:val="20"/>
          <w:szCs w:val="20"/>
          <w:lang w:val="en-US"/>
        </w:rPr>
        <w:t>Proceedings of the Third SADC Regional Conference on Land and Water Management</w:t>
      </w:r>
      <w:r w:rsidRPr="00124014">
        <w:rPr>
          <w:rFonts w:ascii="Arial" w:hAnsi="Arial" w:cs="Arial"/>
          <w:sz w:val="20"/>
          <w:szCs w:val="20"/>
          <w:lang w:val="en-US"/>
        </w:rPr>
        <w:t>, Harare, Zimbabwe, pp. 203-217.</w:t>
      </w:r>
    </w:p>
    <w:p w14:paraId="78F48644" w14:textId="6BA50DED"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 xml:space="preserve">Dürr, C., </w:t>
      </w:r>
      <w:proofErr w:type="spellStart"/>
      <w:r w:rsidRPr="00124014">
        <w:rPr>
          <w:rStyle w:val="Strong"/>
          <w:rFonts w:ascii="Arial" w:hAnsi="Arial" w:cs="Arial"/>
          <w:b w:val="0"/>
          <w:bCs w:val="0"/>
          <w:sz w:val="20"/>
          <w:szCs w:val="20"/>
          <w:lang w:val="en-US"/>
        </w:rPr>
        <w:t>Aubertot</w:t>
      </w:r>
      <w:proofErr w:type="spellEnd"/>
      <w:r w:rsidRPr="00124014">
        <w:rPr>
          <w:rStyle w:val="Strong"/>
          <w:rFonts w:ascii="Arial" w:hAnsi="Arial" w:cs="Arial"/>
          <w:b w:val="0"/>
          <w:bCs w:val="0"/>
          <w:sz w:val="20"/>
          <w:szCs w:val="20"/>
          <w:lang w:val="en-US"/>
        </w:rPr>
        <w:t xml:space="preserve">, J. N., Richard, G., &amp; </w:t>
      </w:r>
      <w:proofErr w:type="spellStart"/>
      <w:r w:rsidRPr="00124014">
        <w:rPr>
          <w:rStyle w:val="Strong"/>
          <w:rFonts w:ascii="Arial" w:hAnsi="Arial" w:cs="Arial"/>
          <w:b w:val="0"/>
          <w:bCs w:val="0"/>
          <w:sz w:val="20"/>
          <w:szCs w:val="20"/>
          <w:lang w:val="en-US"/>
        </w:rPr>
        <w:t>Boiffin</w:t>
      </w:r>
      <w:proofErr w:type="spellEnd"/>
      <w:r w:rsidRPr="00124014">
        <w:rPr>
          <w:rStyle w:val="Strong"/>
          <w:rFonts w:ascii="Arial" w:hAnsi="Arial" w:cs="Arial"/>
          <w:b w:val="0"/>
          <w:bCs w:val="0"/>
          <w:sz w:val="20"/>
          <w:szCs w:val="20"/>
          <w:lang w:val="en-US"/>
        </w:rPr>
        <w:t>, J.</w:t>
      </w:r>
      <w:r w:rsidRPr="00124014">
        <w:rPr>
          <w:rFonts w:ascii="Arial" w:hAnsi="Arial" w:cs="Arial"/>
          <w:sz w:val="20"/>
          <w:szCs w:val="20"/>
          <w:lang w:val="en-US"/>
        </w:rPr>
        <w:t xml:space="preserve"> (2001). SIMPLE: A model for simulation of plant emergence predicting the effects of soil tillage and sowing operations. </w:t>
      </w:r>
      <w:r w:rsidRPr="00124014">
        <w:rPr>
          <w:rStyle w:val="Emphasis"/>
          <w:rFonts w:ascii="Arial" w:hAnsi="Arial" w:cs="Arial"/>
          <w:sz w:val="20"/>
          <w:szCs w:val="20"/>
          <w:lang w:val="en-US"/>
        </w:rPr>
        <w:t>Soil Science Society of America Journal</w:t>
      </w:r>
      <w:r w:rsidRPr="00124014">
        <w:rPr>
          <w:rFonts w:ascii="Arial" w:hAnsi="Arial" w:cs="Arial"/>
          <w:sz w:val="20"/>
          <w:szCs w:val="20"/>
          <w:lang w:val="en-US"/>
        </w:rPr>
        <w:t>, 65(2), 414-423.</w:t>
      </w:r>
      <w:r>
        <w:rPr>
          <w:rFonts w:ascii="Arial" w:hAnsi="Arial" w:cs="Arial"/>
          <w:sz w:val="20"/>
          <w:szCs w:val="20"/>
          <w:lang w:val="en-US"/>
        </w:rPr>
        <w:t xml:space="preserve"> </w:t>
      </w:r>
      <w:hyperlink r:id="rId21" w:history="1">
        <w:r w:rsidRPr="004B5F4A">
          <w:rPr>
            <w:rStyle w:val="Hyperlink"/>
            <w:rFonts w:ascii="Arial" w:hAnsi="Arial" w:cs="Arial"/>
            <w:sz w:val="20"/>
            <w:szCs w:val="20"/>
            <w:lang w:val="en-US"/>
          </w:rPr>
          <w:t>https://doi.org/10.2136/sssaj2001.652414x</w:t>
        </w:r>
      </w:hyperlink>
    </w:p>
    <w:p w14:paraId="57CFEA71"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lang w:val="en-US"/>
        </w:rPr>
        <w:t xml:space="preserve">Gerrano, A. S., </w:t>
      </w:r>
      <w:proofErr w:type="spellStart"/>
      <w:r w:rsidRPr="00124014">
        <w:rPr>
          <w:rStyle w:val="Strong"/>
          <w:rFonts w:ascii="Arial" w:hAnsi="Arial" w:cs="Arial"/>
          <w:b w:val="0"/>
          <w:bCs w:val="0"/>
          <w:sz w:val="20"/>
          <w:szCs w:val="20"/>
          <w:lang w:val="en-US"/>
        </w:rPr>
        <w:t>Eifediyi</w:t>
      </w:r>
      <w:proofErr w:type="spellEnd"/>
      <w:r w:rsidRPr="00124014">
        <w:rPr>
          <w:rStyle w:val="Strong"/>
          <w:rFonts w:ascii="Arial" w:hAnsi="Arial" w:cs="Arial"/>
          <w:b w:val="0"/>
          <w:bCs w:val="0"/>
          <w:sz w:val="20"/>
          <w:szCs w:val="20"/>
          <w:lang w:val="en-US"/>
        </w:rPr>
        <w:t xml:space="preserve">, E. K., Labuschagne, M., </w:t>
      </w:r>
      <w:proofErr w:type="spellStart"/>
      <w:r w:rsidRPr="00124014">
        <w:rPr>
          <w:rStyle w:val="Strong"/>
          <w:rFonts w:ascii="Arial" w:hAnsi="Arial" w:cs="Arial"/>
          <w:b w:val="0"/>
          <w:bCs w:val="0"/>
          <w:sz w:val="20"/>
          <w:szCs w:val="20"/>
          <w:lang w:val="en-US"/>
        </w:rPr>
        <w:t>Ogedegbe</w:t>
      </w:r>
      <w:proofErr w:type="spellEnd"/>
      <w:r w:rsidRPr="00124014">
        <w:rPr>
          <w:rStyle w:val="Strong"/>
          <w:rFonts w:ascii="Arial" w:hAnsi="Arial" w:cs="Arial"/>
          <w:b w:val="0"/>
          <w:bCs w:val="0"/>
          <w:sz w:val="20"/>
          <w:szCs w:val="20"/>
          <w:lang w:val="en-US"/>
        </w:rPr>
        <w:t>, F. O., &amp; Hassen, A. I.</w:t>
      </w:r>
      <w:r w:rsidRPr="00124014">
        <w:rPr>
          <w:rFonts w:ascii="Arial" w:hAnsi="Arial" w:cs="Arial"/>
          <w:b/>
          <w:bCs/>
          <w:sz w:val="20"/>
          <w:szCs w:val="20"/>
          <w:lang w:val="en-US"/>
        </w:rPr>
        <w:t xml:space="preserve"> </w:t>
      </w:r>
      <w:r w:rsidRPr="00124014">
        <w:rPr>
          <w:rFonts w:ascii="Arial" w:hAnsi="Arial" w:cs="Arial"/>
          <w:sz w:val="20"/>
          <w:szCs w:val="20"/>
          <w:lang w:val="en-US"/>
        </w:rPr>
        <w:t xml:space="preserve">(2021). Production practices of Bambara groundnut. In </w:t>
      </w:r>
      <w:proofErr w:type="spellStart"/>
      <w:r w:rsidRPr="00124014">
        <w:rPr>
          <w:rStyle w:val="Strong"/>
          <w:rFonts w:ascii="Arial" w:hAnsi="Arial" w:cs="Arial"/>
          <w:b w:val="0"/>
          <w:bCs w:val="0"/>
          <w:sz w:val="20"/>
          <w:szCs w:val="20"/>
          <w:lang w:val="en-US"/>
        </w:rPr>
        <w:t>Oyeyinka</w:t>
      </w:r>
      <w:proofErr w:type="spellEnd"/>
      <w:r w:rsidRPr="00124014">
        <w:rPr>
          <w:rStyle w:val="Strong"/>
          <w:rFonts w:ascii="Arial" w:hAnsi="Arial" w:cs="Arial"/>
          <w:b w:val="0"/>
          <w:bCs w:val="0"/>
          <w:sz w:val="20"/>
          <w:szCs w:val="20"/>
          <w:lang w:val="en-US"/>
        </w:rPr>
        <w:t>, S. A., &amp; Ade-</w:t>
      </w:r>
      <w:proofErr w:type="spellStart"/>
      <w:r w:rsidRPr="00124014">
        <w:rPr>
          <w:rStyle w:val="Strong"/>
          <w:rFonts w:ascii="Arial" w:hAnsi="Arial" w:cs="Arial"/>
          <w:b w:val="0"/>
          <w:bCs w:val="0"/>
          <w:sz w:val="20"/>
          <w:szCs w:val="20"/>
          <w:lang w:val="en-US"/>
        </w:rPr>
        <w:t>Omowaye</w:t>
      </w:r>
      <w:proofErr w:type="spellEnd"/>
      <w:r w:rsidRPr="00124014">
        <w:rPr>
          <w:rStyle w:val="Strong"/>
          <w:rFonts w:ascii="Arial" w:hAnsi="Arial" w:cs="Arial"/>
          <w:b w:val="0"/>
          <w:bCs w:val="0"/>
          <w:sz w:val="20"/>
          <w:szCs w:val="20"/>
          <w:lang w:val="en-US"/>
        </w:rPr>
        <w:t>, B. I. O.</w:t>
      </w:r>
      <w:r w:rsidRPr="00124014">
        <w:rPr>
          <w:rFonts w:ascii="Arial" w:hAnsi="Arial" w:cs="Arial"/>
          <w:sz w:val="20"/>
          <w:szCs w:val="20"/>
          <w:lang w:val="en-US"/>
        </w:rPr>
        <w:t xml:space="preserve"> (Eds.), </w:t>
      </w:r>
      <w:r w:rsidRPr="00124014">
        <w:rPr>
          <w:rStyle w:val="Emphasis"/>
          <w:rFonts w:ascii="Arial" w:hAnsi="Arial" w:cs="Arial"/>
          <w:sz w:val="20"/>
          <w:szCs w:val="20"/>
          <w:lang w:val="en-US"/>
        </w:rPr>
        <w:t>Food and Potential Industrial Applications of Bambara Groundnut</w:t>
      </w:r>
      <w:r w:rsidRPr="00124014">
        <w:rPr>
          <w:rFonts w:ascii="Arial" w:hAnsi="Arial" w:cs="Arial"/>
          <w:sz w:val="20"/>
          <w:szCs w:val="20"/>
          <w:lang w:val="en-US"/>
        </w:rPr>
        <w:t xml:space="preserve"> (pp. 7-25). </w:t>
      </w:r>
      <w:r w:rsidRPr="00124014">
        <w:rPr>
          <w:rFonts w:ascii="Arial" w:hAnsi="Arial" w:cs="Arial"/>
          <w:sz w:val="20"/>
          <w:szCs w:val="20"/>
        </w:rPr>
        <w:t xml:space="preserve">Springer, Cham. </w:t>
      </w:r>
      <w:hyperlink r:id="rId22" w:history="1">
        <w:r w:rsidRPr="00124014">
          <w:rPr>
            <w:rStyle w:val="Hyperlink"/>
            <w:rFonts w:ascii="Arial" w:hAnsi="Arial" w:cs="Arial"/>
            <w:sz w:val="20"/>
            <w:szCs w:val="20"/>
          </w:rPr>
          <w:t>https://doi.org/10.1007/978-3-030-73920-12</w:t>
        </w:r>
      </w:hyperlink>
    </w:p>
    <w:p w14:paraId="5E61E81C"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rPr>
        <w:lastRenderedPageBreak/>
        <w:t xml:space="preserve">Johnson, B. N., Quashie, A. M. L., Radji, R., </w:t>
      </w:r>
      <w:proofErr w:type="spellStart"/>
      <w:r w:rsidRPr="00124014">
        <w:rPr>
          <w:rStyle w:val="Strong"/>
          <w:rFonts w:ascii="Arial" w:hAnsi="Arial" w:cs="Arial"/>
          <w:b w:val="0"/>
          <w:bCs w:val="0"/>
          <w:sz w:val="20"/>
          <w:szCs w:val="20"/>
        </w:rPr>
        <w:t>Segla</w:t>
      </w:r>
      <w:proofErr w:type="spellEnd"/>
      <w:r w:rsidRPr="00124014">
        <w:rPr>
          <w:rStyle w:val="Strong"/>
          <w:rFonts w:ascii="Arial" w:hAnsi="Arial" w:cs="Arial"/>
          <w:b w:val="0"/>
          <w:bCs w:val="0"/>
          <w:sz w:val="20"/>
          <w:szCs w:val="20"/>
        </w:rPr>
        <w:t xml:space="preserve">, K. N., </w:t>
      </w:r>
      <w:proofErr w:type="spellStart"/>
      <w:r w:rsidRPr="00124014">
        <w:rPr>
          <w:rStyle w:val="Strong"/>
          <w:rFonts w:ascii="Arial" w:hAnsi="Arial" w:cs="Arial"/>
          <w:b w:val="0"/>
          <w:bCs w:val="0"/>
          <w:sz w:val="20"/>
          <w:szCs w:val="20"/>
        </w:rPr>
        <w:t>Adjonou</w:t>
      </w:r>
      <w:proofErr w:type="spellEnd"/>
      <w:r w:rsidRPr="00124014">
        <w:rPr>
          <w:rStyle w:val="Strong"/>
          <w:rFonts w:ascii="Arial" w:hAnsi="Arial" w:cs="Arial"/>
          <w:b w:val="0"/>
          <w:bCs w:val="0"/>
          <w:sz w:val="20"/>
          <w:szCs w:val="20"/>
        </w:rPr>
        <w:t xml:space="preserve">, K., &amp; </w:t>
      </w:r>
      <w:proofErr w:type="spellStart"/>
      <w:r w:rsidRPr="00124014">
        <w:rPr>
          <w:rStyle w:val="Strong"/>
          <w:rFonts w:ascii="Arial" w:hAnsi="Arial" w:cs="Arial"/>
          <w:b w:val="0"/>
          <w:bCs w:val="0"/>
          <w:sz w:val="20"/>
          <w:szCs w:val="20"/>
        </w:rPr>
        <w:t>Kokutse</w:t>
      </w:r>
      <w:proofErr w:type="spellEnd"/>
      <w:r w:rsidRPr="00124014">
        <w:rPr>
          <w:rStyle w:val="Strong"/>
          <w:rFonts w:ascii="Arial" w:hAnsi="Arial" w:cs="Arial"/>
          <w:b w:val="0"/>
          <w:bCs w:val="0"/>
          <w:sz w:val="20"/>
          <w:szCs w:val="20"/>
        </w:rPr>
        <w:t>, A. D. et al.</w:t>
      </w:r>
      <w:r w:rsidRPr="00124014">
        <w:rPr>
          <w:rFonts w:ascii="Arial" w:hAnsi="Arial" w:cs="Arial"/>
          <w:sz w:val="20"/>
          <w:szCs w:val="20"/>
        </w:rPr>
        <w:t xml:space="preserve"> (2019). Étude de la germination de </w:t>
      </w:r>
      <w:proofErr w:type="spellStart"/>
      <w:r w:rsidRPr="00124014">
        <w:rPr>
          <w:rStyle w:val="Emphasis"/>
          <w:rFonts w:ascii="Arial" w:hAnsi="Arial" w:cs="Arial"/>
          <w:sz w:val="20"/>
          <w:szCs w:val="20"/>
        </w:rPr>
        <w:t>Lawsonia</w:t>
      </w:r>
      <w:proofErr w:type="spellEnd"/>
      <w:r w:rsidRPr="00124014">
        <w:rPr>
          <w:rStyle w:val="Emphasis"/>
          <w:rFonts w:ascii="Arial" w:hAnsi="Arial" w:cs="Arial"/>
          <w:sz w:val="20"/>
          <w:szCs w:val="20"/>
        </w:rPr>
        <w:t xml:space="preserve"> </w:t>
      </w:r>
      <w:proofErr w:type="spellStart"/>
      <w:r w:rsidRPr="00124014">
        <w:rPr>
          <w:rStyle w:val="Emphasis"/>
          <w:rFonts w:ascii="Arial" w:hAnsi="Arial" w:cs="Arial"/>
          <w:sz w:val="20"/>
          <w:szCs w:val="20"/>
        </w:rPr>
        <w:t>inermis</w:t>
      </w:r>
      <w:proofErr w:type="spellEnd"/>
      <w:r w:rsidRPr="00124014">
        <w:rPr>
          <w:rFonts w:ascii="Arial" w:hAnsi="Arial" w:cs="Arial"/>
          <w:sz w:val="20"/>
          <w:szCs w:val="20"/>
        </w:rPr>
        <w:t xml:space="preserve"> L. sous différentes contraintes abiotiques. </w:t>
      </w:r>
      <w:r w:rsidRPr="00124014">
        <w:rPr>
          <w:rStyle w:val="Emphasis"/>
          <w:rFonts w:ascii="Arial" w:hAnsi="Arial" w:cs="Arial"/>
          <w:sz w:val="20"/>
          <w:szCs w:val="20"/>
          <w:lang w:val="en-US"/>
        </w:rPr>
        <w:t>International Journal of Biological and Chemical Sciences</w:t>
      </w:r>
      <w:r w:rsidRPr="00124014">
        <w:rPr>
          <w:rFonts w:ascii="Arial" w:hAnsi="Arial" w:cs="Arial"/>
          <w:sz w:val="20"/>
          <w:szCs w:val="20"/>
          <w:lang w:val="en-US"/>
        </w:rPr>
        <w:t xml:space="preserve">, 13(2), 745-758. </w:t>
      </w:r>
      <w:hyperlink r:id="rId23" w:history="1">
        <w:r w:rsidRPr="00124014">
          <w:rPr>
            <w:rStyle w:val="Hyperlink"/>
            <w:rFonts w:ascii="Arial" w:hAnsi="Arial" w:cs="Arial"/>
            <w:sz w:val="20"/>
            <w:szCs w:val="20"/>
            <w:lang w:val="en-US"/>
          </w:rPr>
          <w:t>https://doi.org/10.4314/ijbcs.v13i2.14</w:t>
        </w:r>
      </w:hyperlink>
    </w:p>
    <w:p w14:paraId="6D126C0F"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Kanno, N., Kumar, V., &amp; Kato, Y.</w:t>
      </w:r>
      <w:r w:rsidRPr="00124014">
        <w:rPr>
          <w:rFonts w:ascii="Arial" w:hAnsi="Arial" w:cs="Arial"/>
          <w:sz w:val="20"/>
          <w:szCs w:val="20"/>
          <w:lang w:val="en-US"/>
        </w:rPr>
        <w:t xml:space="preserve"> (2025). Modeling the response of crop emergence to sowing depth and soil water deficit in direct-seeded rice. </w:t>
      </w:r>
      <w:r w:rsidRPr="00124014">
        <w:rPr>
          <w:rStyle w:val="Emphasis"/>
          <w:rFonts w:ascii="Arial" w:hAnsi="Arial" w:cs="Arial"/>
          <w:sz w:val="20"/>
          <w:szCs w:val="20"/>
          <w:lang w:val="en-US"/>
        </w:rPr>
        <w:t>Plant and Soil</w:t>
      </w:r>
      <w:r w:rsidRPr="00124014">
        <w:rPr>
          <w:rFonts w:ascii="Arial" w:hAnsi="Arial" w:cs="Arial"/>
          <w:sz w:val="20"/>
          <w:szCs w:val="20"/>
          <w:lang w:val="en-US"/>
        </w:rPr>
        <w:t>, 511, 357-370.</w:t>
      </w:r>
      <w:r w:rsidRPr="00124014">
        <w:rPr>
          <w:rFonts w:ascii="Arial" w:hAnsi="Arial" w:cs="Arial"/>
          <w:sz w:val="20"/>
          <w:szCs w:val="20"/>
          <w:lang w:val="en-US"/>
        </w:rPr>
        <w:br/>
      </w:r>
      <w:hyperlink r:id="rId24" w:tgtFrame="_new" w:history="1">
        <w:r w:rsidRPr="00124014">
          <w:rPr>
            <w:rStyle w:val="Hyperlink"/>
            <w:rFonts w:ascii="Arial" w:hAnsi="Arial" w:cs="Arial"/>
            <w:sz w:val="20"/>
            <w:szCs w:val="20"/>
            <w:lang w:val="en-US"/>
          </w:rPr>
          <w:t>https://doi.org/10.1007/s11104-024-06996-x</w:t>
        </w:r>
      </w:hyperlink>
    </w:p>
    <w:p w14:paraId="76C87F3F"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Mabhaudhi, T., &amp; Modi, A. T.</w:t>
      </w:r>
      <w:r w:rsidRPr="00124014">
        <w:rPr>
          <w:rFonts w:ascii="Arial" w:hAnsi="Arial" w:cs="Arial"/>
          <w:sz w:val="20"/>
          <w:szCs w:val="20"/>
          <w:lang w:val="en-US"/>
        </w:rPr>
        <w:t xml:space="preserve"> (2013). Growth, phenological and yield responses of a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landrace to imposed water stress under field conditions. </w:t>
      </w:r>
      <w:r w:rsidRPr="00124014">
        <w:rPr>
          <w:rStyle w:val="Emphasis"/>
          <w:rFonts w:ascii="Arial" w:hAnsi="Arial" w:cs="Arial"/>
          <w:sz w:val="20"/>
          <w:szCs w:val="20"/>
          <w:lang w:val="en-US"/>
        </w:rPr>
        <w:t>South African Journal of Plant and Soil</w:t>
      </w:r>
      <w:r w:rsidRPr="00124014">
        <w:rPr>
          <w:rFonts w:ascii="Arial" w:hAnsi="Arial" w:cs="Arial"/>
          <w:sz w:val="20"/>
          <w:szCs w:val="20"/>
          <w:lang w:val="en-US"/>
        </w:rPr>
        <w:t>, 30(2), 69-79.</w:t>
      </w:r>
      <w:r w:rsidRPr="00124014">
        <w:rPr>
          <w:rFonts w:ascii="Arial" w:hAnsi="Arial" w:cs="Arial"/>
          <w:sz w:val="20"/>
          <w:szCs w:val="20"/>
          <w:lang w:val="en-US"/>
        </w:rPr>
        <w:br/>
      </w:r>
      <w:hyperlink r:id="rId25" w:tgtFrame="_new" w:history="1">
        <w:r w:rsidRPr="00124014">
          <w:rPr>
            <w:rStyle w:val="Hyperlink"/>
            <w:rFonts w:ascii="Arial" w:hAnsi="Arial" w:cs="Arial"/>
            <w:sz w:val="20"/>
            <w:szCs w:val="20"/>
            <w:lang w:val="en-US"/>
          </w:rPr>
          <w:t>https://doi.org/10.1080/02571862.2013.790492</w:t>
        </w:r>
      </w:hyperlink>
    </w:p>
    <w:p w14:paraId="04C68136"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lang w:val="en-US"/>
        </w:rPr>
        <w:t>Majola, N. G., Gerrano, A. S., &amp; Shimelis, H.</w:t>
      </w:r>
      <w:r w:rsidRPr="00124014">
        <w:rPr>
          <w:rFonts w:ascii="Arial" w:hAnsi="Arial" w:cs="Arial"/>
          <w:sz w:val="20"/>
          <w:szCs w:val="20"/>
          <w:lang w:val="en-US"/>
        </w:rPr>
        <w:t xml:space="preserve"> (2021).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production, </w:t>
      </w:r>
      <w:proofErr w:type="spellStart"/>
      <w:r w:rsidRPr="00124014">
        <w:rPr>
          <w:rFonts w:ascii="Arial" w:hAnsi="Arial" w:cs="Arial"/>
          <w:sz w:val="20"/>
          <w:szCs w:val="20"/>
          <w:lang w:val="en-US"/>
        </w:rPr>
        <w:t>utilisation</w:t>
      </w:r>
      <w:proofErr w:type="spellEnd"/>
      <w:r w:rsidRPr="00124014">
        <w:rPr>
          <w:rFonts w:ascii="Arial" w:hAnsi="Arial" w:cs="Arial"/>
          <w:sz w:val="20"/>
          <w:szCs w:val="20"/>
          <w:lang w:val="en-US"/>
        </w:rPr>
        <w:t xml:space="preserve"> and genetic improvement in sub-Saharan Africa. </w:t>
      </w:r>
      <w:proofErr w:type="spellStart"/>
      <w:r w:rsidRPr="00124014">
        <w:rPr>
          <w:rStyle w:val="Emphasis"/>
          <w:rFonts w:ascii="Arial" w:hAnsi="Arial" w:cs="Arial"/>
          <w:sz w:val="20"/>
          <w:szCs w:val="20"/>
        </w:rPr>
        <w:t>Agronomy</w:t>
      </w:r>
      <w:proofErr w:type="spellEnd"/>
      <w:r w:rsidRPr="00124014">
        <w:rPr>
          <w:rFonts w:ascii="Arial" w:hAnsi="Arial" w:cs="Arial"/>
          <w:sz w:val="20"/>
          <w:szCs w:val="20"/>
        </w:rPr>
        <w:t xml:space="preserve">, 11(7), 1345. </w:t>
      </w:r>
      <w:hyperlink r:id="rId26" w:history="1">
        <w:r w:rsidRPr="00124014">
          <w:rPr>
            <w:rStyle w:val="Hyperlink"/>
            <w:rFonts w:ascii="Arial" w:hAnsi="Arial" w:cs="Arial"/>
            <w:sz w:val="20"/>
            <w:szCs w:val="20"/>
          </w:rPr>
          <w:t>https://doi.org/10.3390/agronomy11071345</w:t>
        </w:r>
      </w:hyperlink>
    </w:p>
    <w:p w14:paraId="4E57A8B1"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rPr>
        <w:t xml:space="preserve">Mateva, K. I., Tan, X. L., Halimi, R. A., Chai, H. H., </w:t>
      </w:r>
      <w:proofErr w:type="spellStart"/>
      <w:r w:rsidRPr="00124014">
        <w:rPr>
          <w:rStyle w:val="Strong"/>
          <w:rFonts w:ascii="Arial" w:hAnsi="Arial" w:cs="Arial"/>
          <w:b w:val="0"/>
          <w:bCs w:val="0"/>
          <w:sz w:val="20"/>
          <w:szCs w:val="20"/>
        </w:rPr>
        <w:t>Makonya</w:t>
      </w:r>
      <w:proofErr w:type="spellEnd"/>
      <w:r w:rsidRPr="00124014">
        <w:rPr>
          <w:rStyle w:val="Strong"/>
          <w:rFonts w:ascii="Arial" w:hAnsi="Arial" w:cs="Arial"/>
          <w:b w:val="0"/>
          <w:bCs w:val="0"/>
          <w:sz w:val="20"/>
          <w:szCs w:val="20"/>
        </w:rPr>
        <w:t>, G. M., &amp; Gao, X. et al.</w:t>
      </w:r>
      <w:r w:rsidRPr="00124014">
        <w:rPr>
          <w:rFonts w:ascii="Arial" w:hAnsi="Arial" w:cs="Arial"/>
          <w:sz w:val="20"/>
          <w:szCs w:val="20"/>
        </w:rPr>
        <w:t xml:space="preserve"> </w:t>
      </w:r>
      <w:r w:rsidRPr="00124014">
        <w:rPr>
          <w:rFonts w:ascii="Arial" w:hAnsi="Arial" w:cs="Arial"/>
          <w:sz w:val="20"/>
          <w:szCs w:val="20"/>
          <w:lang w:val="en-US"/>
        </w:rPr>
        <w:t>(2023).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In </w:t>
      </w:r>
      <w:r w:rsidRPr="00124014">
        <w:rPr>
          <w:rStyle w:val="Strong"/>
          <w:rFonts w:ascii="Arial" w:hAnsi="Arial" w:cs="Arial"/>
          <w:b w:val="0"/>
          <w:bCs w:val="0"/>
          <w:sz w:val="20"/>
          <w:szCs w:val="20"/>
          <w:lang w:val="en-US"/>
        </w:rPr>
        <w:t>Farooq, M., &amp; Siddique, K. H. M.</w:t>
      </w:r>
      <w:r w:rsidRPr="00124014">
        <w:rPr>
          <w:rFonts w:ascii="Arial" w:hAnsi="Arial" w:cs="Arial"/>
          <w:sz w:val="20"/>
          <w:szCs w:val="20"/>
          <w:lang w:val="en-US"/>
        </w:rPr>
        <w:t xml:space="preserve"> (Eds.), </w:t>
      </w:r>
      <w:r w:rsidRPr="00124014">
        <w:rPr>
          <w:rStyle w:val="Emphasis"/>
          <w:rFonts w:ascii="Arial" w:hAnsi="Arial" w:cs="Arial"/>
          <w:sz w:val="20"/>
          <w:szCs w:val="20"/>
          <w:lang w:val="en-US"/>
        </w:rPr>
        <w:t>Neglected and Underutilized Crops</w:t>
      </w:r>
      <w:r w:rsidRPr="00124014">
        <w:rPr>
          <w:rFonts w:ascii="Arial" w:hAnsi="Arial" w:cs="Arial"/>
          <w:sz w:val="20"/>
          <w:szCs w:val="20"/>
          <w:lang w:val="en-US"/>
        </w:rPr>
        <w:t xml:space="preserve"> (pp. 557-615). Academic Press, London. </w:t>
      </w:r>
      <w:hyperlink r:id="rId27" w:history="1">
        <w:r w:rsidRPr="00124014">
          <w:rPr>
            <w:rStyle w:val="Hyperlink"/>
            <w:rFonts w:ascii="Arial" w:hAnsi="Arial" w:cs="Arial"/>
            <w:sz w:val="20"/>
            <w:szCs w:val="20"/>
            <w:lang w:val="en-US"/>
          </w:rPr>
          <w:t>https://doi.org/10.1016/B978-0-323-90537-4.00021-1</w:t>
        </w:r>
      </w:hyperlink>
    </w:p>
    <w:p w14:paraId="13EF715C"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Onana, M. H.</w:t>
      </w:r>
      <w:r w:rsidRPr="00124014">
        <w:rPr>
          <w:rFonts w:ascii="Arial" w:hAnsi="Arial" w:cs="Arial"/>
          <w:sz w:val="20"/>
          <w:szCs w:val="20"/>
          <w:lang w:val="en-US"/>
        </w:rPr>
        <w:t xml:space="preserve"> (2009). </w:t>
      </w:r>
      <w:r w:rsidRPr="00124014">
        <w:rPr>
          <w:rStyle w:val="Emphasis"/>
          <w:rFonts w:ascii="Arial" w:hAnsi="Arial" w:cs="Arial"/>
          <w:sz w:val="20"/>
          <w:szCs w:val="20"/>
          <w:lang w:val="en-US"/>
        </w:rPr>
        <w:t xml:space="preserve">Silviculture and natural regeneration of </w:t>
      </w:r>
      <w:proofErr w:type="spellStart"/>
      <w:r w:rsidRPr="00124014">
        <w:rPr>
          <w:rStyle w:val="Emphasis"/>
          <w:rFonts w:ascii="Arial" w:hAnsi="Arial" w:cs="Arial"/>
          <w:sz w:val="20"/>
          <w:szCs w:val="20"/>
          <w:lang w:val="en-US"/>
        </w:rPr>
        <w:t>Pericopsis</w:t>
      </w:r>
      <w:proofErr w:type="spellEnd"/>
      <w:r w:rsidRPr="00124014">
        <w:rPr>
          <w:rStyle w:val="Emphasis"/>
          <w:rFonts w:ascii="Arial" w:hAnsi="Arial" w:cs="Arial"/>
          <w:sz w:val="20"/>
          <w:szCs w:val="20"/>
          <w:lang w:val="en-US"/>
        </w:rPr>
        <w:t xml:space="preserve"> </w:t>
      </w:r>
      <w:proofErr w:type="spellStart"/>
      <w:r w:rsidRPr="00124014">
        <w:rPr>
          <w:rStyle w:val="Emphasis"/>
          <w:rFonts w:ascii="Arial" w:hAnsi="Arial" w:cs="Arial"/>
          <w:sz w:val="20"/>
          <w:szCs w:val="20"/>
          <w:lang w:val="en-US"/>
        </w:rPr>
        <w:t>elata</w:t>
      </w:r>
      <w:proofErr w:type="spellEnd"/>
      <w:r w:rsidRPr="00124014">
        <w:rPr>
          <w:rStyle w:val="Emphasis"/>
          <w:rFonts w:ascii="Arial" w:hAnsi="Arial" w:cs="Arial"/>
          <w:sz w:val="20"/>
          <w:szCs w:val="20"/>
          <w:lang w:val="en-US"/>
        </w:rPr>
        <w:t xml:space="preserve"> (Harms) </w:t>
      </w:r>
      <w:proofErr w:type="spellStart"/>
      <w:r w:rsidRPr="00124014">
        <w:rPr>
          <w:rStyle w:val="Emphasis"/>
          <w:rFonts w:ascii="Arial" w:hAnsi="Arial" w:cs="Arial"/>
          <w:sz w:val="20"/>
          <w:szCs w:val="20"/>
          <w:lang w:val="en-US"/>
        </w:rPr>
        <w:t>Meeuwen</w:t>
      </w:r>
      <w:proofErr w:type="spellEnd"/>
      <w:r w:rsidRPr="00124014">
        <w:rPr>
          <w:rStyle w:val="Emphasis"/>
          <w:rFonts w:ascii="Arial" w:hAnsi="Arial" w:cs="Arial"/>
          <w:sz w:val="20"/>
          <w:szCs w:val="20"/>
          <w:lang w:val="en-US"/>
        </w:rPr>
        <w:t xml:space="preserve"> in plantation: the case of the eastern and southern regions</w:t>
      </w:r>
      <w:r w:rsidRPr="00124014">
        <w:rPr>
          <w:rFonts w:ascii="Arial" w:hAnsi="Arial" w:cs="Arial"/>
          <w:sz w:val="20"/>
          <w:szCs w:val="20"/>
          <w:lang w:val="en-US"/>
        </w:rPr>
        <w:t xml:space="preserve">. Engineer Thesis, University of </w:t>
      </w:r>
      <w:proofErr w:type="spellStart"/>
      <w:r w:rsidRPr="00124014">
        <w:rPr>
          <w:rFonts w:ascii="Arial" w:hAnsi="Arial" w:cs="Arial"/>
          <w:sz w:val="20"/>
          <w:szCs w:val="20"/>
          <w:lang w:val="en-US"/>
        </w:rPr>
        <w:t>Dschang</w:t>
      </w:r>
      <w:proofErr w:type="spellEnd"/>
      <w:r w:rsidRPr="00124014">
        <w:rPr>
          <w:rFonts w:ascii="Arial" w:hAnsi="Arial" w:cs="Arial"/>
          <w:sz w:val="20"/>
          <w:szCs w:val="20"/>
          <w:lang w:val="en-US"/>
        </w:rPr>
        <w:t>, Cameroon, 88 p.</w:t>
      </w:r>
    </w:p>
    <w:p w14:paraId="63DC8ED7"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 xml:space="preserve">Pereira de Moura, V. G., </w:t>
      </w:r>
      <w:proofErr w:type="spellStart"/>
      <w:r w:rsidRPr="00124014">
        <w:rPr>
          <w:rStyle w:val="Strong"/>
          <w:rFonts w:ascii="Arial" w:hAnsi="Arial" w:cs="Arial"/>
          <w:b w:val="0"/>
          <w:bCs w:val="0"/>
          <w:sz w:val="20"/>
          <w:szCs w:val="20"/>
          <w:lang w:val="en-US"/>
        </w:rPr>
        <w:t>Salviato</w:t>
      </w:r>
      <w:proofErr w:type="spellEnd"/>
      <w:r w:rsidRPr="00124014">
        <w:rPr>
          <w:rStyle w:val="Strong"/>
          <w:rFonts w:ascii="Arial" w:hAnsi="Arial" w:cs="Arial"/>
          <w:b w:val="0"/>
          <w:bCs w:val="0"/>
          <w:sz w:val="20"/>
          <w:szCs w:val="20"/>
          <w:lang w:val="en-US"/>
        </w:rPr>
        <w:t xml:space="preserve"> Vieira, J. P. U., </w:t>
      </w:r>
      <w:proofErr w:type="spellStart"/>
      <w:r w:rsidRPr="00124014">
        <w:rPr>
          <w:rStyle w:val="Strong"/>
          <w:rFonts w:ascii="Arial" w:hAnsi="Arial" w:cs="Arial"/>
          <w:b w:val="0"/>
          <w:bCs w:val="0"/>
          <w:sz w:val="20"/>
          <w:szCs w:val="20"/>
          <w:lang w:val="en-US"/>
        </w:rPr>
        <w:t>Schedenffeldt</w:t>
      </w:r>
      <w:proofErr w:type="spellEnd"/>
      <w:r w:rsidRPr="00124014">
        <w:rPr>
          <w:rStyle w:val="Strong"/>
          <w:rFonts w:ascii="Arial" w:hAnsi="Arial" w:cs="Arial"/>
          <w:b w:val="0"/>
          <w:bCs w:val="0"/>
          <w:sz w:val="20"/>
          <w:szCs w:val="20"/>
          <w:lang w:val="en-US"/>
        </w:rPr>
        <w:t>, B. F., Silva Hirata, A. C., &amp; Monq, P. A.</w:t>
      </w:r>
      <w:r w:rsidRPr="00124014">
        <w:rPr>
          <w:rFonts w:ascii="Arial" w:hAnsi="Arial" w:cs="Arial"/>
          <w:sz w:val="20"/>
          <w:szCs w:val="20"/>
          <w:lang w:val="en-US"/>
        </w:rPr>
        <w:t xml:space="preserve"> (2024). Effect of temperature, light, seeding depth and mulch on germination of </w:t>
      </w:r>
      <w:proofErr w:type="spellStart"/>
      <w:r w:rsidRPr="00124014">
        <w:rPr>
          <w:rStyle w:val="Emphasis"/>
          <w:rFonts w:ascii="Arial" w:hAnsi="Arial" w:cs="Arial"/>
          <w:sz w:val="20"/>
          <w:szCs w:val="20"/>
          <w:lang w:val="en-US"/>
        </w:rPr>
        <w:t>Commelina</w:t>
      </w:r>
      <w:proofErr w:type="spellEnd"/>
      <w:r w:rsidRPr="00124014">
        <w:rPr>
          <w:rStyle w:val="Emphasis"/>
          <w:rFonts w:ascii="Arial" w:hAnsi="Arial" w:cs="Arial"/>
          <w:sz w:val="20"/>
          <w:szCs w:val="20"/>
          <w:lang w:val="en-US"/>
        </w:rPr>
        <w:t xml:space="preserve"> </w:t>
      </w:r>
      <w:proofErr w:type="spellStart"/>
      <w:r w:rsidRPr="00124014">
        <w:rPr>
          <w:rStyle w:val="Emphasis"/>
          <w:rFonts w:ascii="Arial" w:hAnsi="Arial" w:cs="Arial"/>
          <w:sz w:val="20"/>
          <w:szCs w:val="20"/>
          <w:lang w:val="en-US"/>
        </w:rPr>
        <w:t>benghalensis</w:t>
      </w:r>
      <w:proofErr w:type="spellEnd"/>
      <w:r w:rsidRPr="00124014">
        <w:rPr>
          <w:rFonts w:ascii="Arial" w:hAnsi="Arial" w:cs="Arial"/>
          <w:sz w:val="20"/>
          <w:szCs w:val="20"/>
          <w:lang w:val="en-US"/>
        </w:rPr>
        <w:t xml:space="preserve"> and </w:t>
      </w:r>
      <w:r w:rsidRPr="00124014">
        <w:rPr>
          <w:rStyle w:val="Emphasis"/>
          <w:rFonts w:ascii="Arial" w:hAnsi="Arial" w:cs="Arial"/>
          <w:sz w:val="20"/>
          <w:szCs w:val="20"/>
          <w:lang w:val="en-US"/>
        </w:rPr>
        <w:t xml:space="preserve">Richardia </w:t>
      </w:r>
      <w:proofErr w:type="spellStart"/>
      <w:r w:rsidRPr="00124014">
        <w:rPr>
          <w:rStyle w:val="Emphasis"/>
          <w:rFonts w:ascii="Arial" w:hAnsi="Arial" w:cs="Arial"/>
          <w:sz w:val="20"/>
          <w:szCs w:val="20"/>
          <w:lang w:val="en-US"/>
        </w:rPr>
        <w:t>brasiliensis</w:t>
      </w:r>
      <w:proofErr w:type="spellEnd"/>
      <w:r w:rsidRPr="00124014">
        <w:rPr>
          <w:rFonts w:ascii="Arial" w:hAnsi="Arial" w:cs="Arial"/>
          <w:sz w:val="20"/>
          <w:szCs w:val="20"/>
          <w:lang w:val="en-US"/>
        </w:rPr>
        <w:t xml:space="preserve">. </w:t>
      </w:r>
      <w:r w:rsidRPr="00124014">
        <w:rPr>
          <w:rStyle w:val="Emphasis"/>
          <w:rFonts w:ascii="Arial" w:hAnsi="Arial" w:cs="Arial"/>
          <w:sz w:val="20"/>
          <w:szCs w:val="20"/>
          <w:lang w:val="en-US"/>
        </w:rPr>
        <w:t>Brazilian Journal of Biology</w:t>
      </w:r>
      <w:r w:rsidRPr="00124014">
        <w:rPr>
          <w:rFonts w:ascii="Arial" w:hAnsi="Arial" w:cs="Arial"/>
          <w:sz w:val="20"/>
          <w:szCs w:val="20"/>
          <w:lang w:val="en-US"/>
        </w:rPr>
        <w:t xml:space="preserve">, 84, 1-8. </w:t>
      </w:r>
      <w:hyperlink r:id="rId28" w:history="1">
        <w:r w:rsidRPr="00124014">
          <w:rPr>
            <w:rStyle w:val="Hyperlink"/>
            <w:rFonts w:ascii="Arial" w:hAnsi="Arial" w:cs="Arial"/>
            <w:sz w:val="20"/>
            <w:szCs w:val="20"/>
            <w:lang w:val="en-US"/>
          </w:rPr>
          <w:t>https://doi.org/10.1590/1519-6984.281402</w:t>
        </w:r>
      </w:hyperlink>
    </w:p>
    <w:p w14:paraId="1F60C5B1" w14:textId="77777777" w:rsidR="00124014" w:rsidRPr="00124014" w:rsidRDefault="00124014" w:rsidP="00124014">
      <w:pPr>
        <w:pStyle w:val="NormalWeb"/>
        <w:jc w:val="both"/>
        <w:rPr>
          <w:rFonts w:ascii="Arial" w:hAnsi="Arial" w:cs="Arial"/>
          <w:sz w:val="20"/>
          <w:szCs w:val="20"/>
          <w:lang w:val="en-US"/>
        </w:rPr>
      </w:pPr>
      <w:proofErr w:type="spellStart"/>
      <w:r w:rsidRPr="00124014">
        <w:rPr>
          <w:rStyle w:val="Strong"/>
          <w:rFonts w:ascii="Arial" w:hAnsi="Arial" w:cs="Arial"/>
          <w:b w:val="0"/>
          <w:bCs w:val="0"/>
          <w:sz w:val="20"/>
          <w:szCs w:val="20"/>
          <w:lang w:val="en-US"/>
        </w:rPr>
        <w:t>Silué</w:t>
      </w:r>
      <w:proofErr w:type="spellEnd"/>
      <w:r w:rsidRPr="00124014">
        <w:rPr>
          <w:rStyle w:val="Strong"/>
          <w:rFonts w:ascii="Arial" w:hAnsi="Arial" w:cs="Arial"/>
          <w:b w:val="0"/>
          <w:bCs w:val="0"/>
          <w:sz w:val="20"/>
          <w:szCs w:val="20"/>
          <w:lang w:val="en-US"/>
        </w:rPr>
        <w:t>, P. A., Koffi, K. A. D., Koffi, A. B., &amp; Kouassi, K. E.</w:t>
      </w:r>
      <w:r w:rsidRPr="00124014">
        <w:rPr>
          <w:rFonts w:ascii="Arial" w:hAnsi="Arial" w:cs="Arial"/>
          <w:sz w:val="20"/>
          <w:szCs w:val="20"/>
          <w:lang w:val="en-US"/>
        </w:rPr>
        <w:t xml:space="preserve"> (2021). </w:t>
      </w:r>
      <w:r w:rsidRPr="00124014">
        <w:rPr>
          <w:rFonts w:ascii="Arial" w:hAnsi="Arial" w:cs="Arial"/>
          <w:sz w:val="20"/>
          <w:szCs w:val="20"/>
        </w:rPr>
        <w:t xml:space="preserve">Essais de germination et suivi des performances de croissance des plants de </w:t>
      </w:r>
      <w:proofErr w:type="spellStart"/>
      <w:r w:rsidRPr="00124014">
        <w:rPr>
          <w:rStyle w:val="Emphasis"/>
          <w:rFonts w:ascii="Arial" w:hAnsi="Arial" w:cs="Arial"/>
          <w:sz w:val="20"/>
          <w:szCs w:val="20"/>
        </w:rPr>
        <w:t>Khaya</w:t>
      </w:r>
      <w:proofErr w:type="spellEnd"/>
      <w:r w:rsidRPr="00124014">
        <w:rPr>
          <w:rStyle w:val="Emphasis"/>
          <w:rFonts w:ascii="Arial" w:hAnsi="Arial" w:cs="Arial"/>
          <w:sz w:val="20"/>
          <w:szCs w:val="20"/>
        </w:rPr>
        <w:t xml:space="preserve"> senegalensis</w:t>
      </w:r>
      <w:r w:rsidRPr="00124014">
        <w:rPr>
          <w:rFonts w:ascii="Arial" w:hAnsi="Arial" w:cs="Arial"/>
          <w:sz w:val="20"/>
          <w:szCs w:val="20"/>
        </w:rPr>
        <w:t xml:space="preserve"> (</w:t>
      </w:r>
      <w:proofErr w:type="spellStart"/>
      <w:r w:rsidRPr="00124014">
        <w:rPr>
          <w:rFonts w:ascii="Arial" w:hAnsi="Arial" w:cs="Arial"/>
          <w:sz w:val="20"/>
          <w:szCs w:val="20"/>
        </w:rPr>
        <w:t>Desv</w:t>
      </w:r>
      <w:proofErr w:type="spellEnd"/>
      <w:r w:rsidRPr="00124014">
        <w:rPr>
          <w:rFonts w:ascii="Arial" w:hAnsi="Arial" w:cs="Arial"/>
          <w:sz w:val="20"/>
          <w:szCs w:val="20"/>
        </w:rPr>
        <w:t xml:space="preserve">.) A. Juss., en zone soudanienne (Côte d’Ivoire). </w:t>
      </w:r>
      <w:r w:rsidRPr="00124014">
        <w:rPr>
          <w:rStyle w:val="Emphasis"/>
          <w:rFonts w:ascii="Arial" w:hAnsi="Arial" w:cs="Arial"/>
          <w:sz w:val="20"/>
          <w:szCs w:val="20"/>
          <w:lang w:val="en-US"/>
        </w:rPr>
        <w:t>Journal of Animal and Plant Sciences</w:t>
      </w:r>
      <w:r w:rsidRPr="00124014">
        <w:rPr>
          <w:rFonts w:ascii="Arial" w:hAnsi="Arial" w:cs="Arial"/>
          <w:sz w:val="20"/>
          <w:szCs w:val="20"/>
          <w:lang w:val="en-US"/>
        </w:rPr>
        <w:t xml:space="preserve">, 48(2), 8673-8685. </w:t>
      </w:r>
      <w:hyperlink r:id="rId29" w:history="1">
        <w:r w:rsidRPr="00124014">
          <w:rPr>
            <w:rStyle w:val="Hyperlink"/>
            <w:rFonts w:ascii="Arial" w:hAnsi="Arial" w:cs="Arial"/>
            <w:sz w:val="20"/>
            <w:szCs w:val="20"/>
            <w:lang w:val="en-US"/>
          </w:rPr>
          <w:t>https://doi.org/10.35759/JAnmPlSci.v48-2.4</w:t>
        </w:r>
      </w:hyperlink>
    </w:p>
    <w:p w14:paraId="5E8CED3E" w14:textId="582F2035" w:rsidR="00124014" w:rsidRPr="00124014" w:rsidRDefault="00124014" w:rsidP="00124014">
      <w:pPr>
        <w:pStyle w:val="NormalWeb"/>
        <w:jc w:val="both"/>
        <w:rPr>
          <w:rFonts w:ascii="Arial" w:hAnsi="Arial" w:cs="Arial"/>
          <w:sz w:val="20"/>
          <w:szCs w:val="20"/>
          <w:lang w:val="en-US"/>
        </w:rPr>
      </w:pPr>
      <w:proofErr w:type="spellStart"/>
      <w:r w:rsidRPr="00124014">
        <w:rPr>
          <w:rStyle w:val="Strong"/>
          <w:rFonts w:ascii="Arial" w:hAnsi="Arial" w:cs="Arial"/>
          <w:b w:val="0"/>
          <w:bCs w:val="0"/>
          <w:sz w:val="20"/>
          <w:szCs w:val="20"/>
          <w:lang w:val="en-US"/>
        </w:rPr>
        <w:t>Sparg</w:t>
      </w:r>
      <w:proofErr w:type="spellEnd"/>
      <w:r w:rsidRPr="00124014">
        <w:rPr>
          <w:rStyle w:val="Strong"/>
          <w:rFonts w:ascii="Arial" w:hAnsi="Arial" w:cs="Arial"/>
          <w:b w:val="0"/>
          <w:bCs w:val="0"/>
          <w:sz w:val="20"/>
          <w:szCs w:val="20"/>
          <w:lang w:val="en-US"/>
        </w:rPr>
        <w:t>, S. G., Kulkarni, M. G., &amp; Van Staden, J.</w:t>
      </w:r>
      <w:r w:rsidRPr="00124014">
        <w:rPr>
          <w:rFonts w:ascii="Arial" w:hAnsi="Arial" w:cs="Arial"/>
          <w:sz w:val="20"/>
          <w:szCs w:val="20"/>
          <w:lang w:val="en-US"/>
        </w:rPr>
        <w:t xml:space="preserve"> (2005). Germination and seedling establishment strategies for </w:t>
      </w:r>
      <w:proofErr w:type="spellStart"/>
      <w:r w:rsidRPr="00124014">
        <w:rPr>
          <w:rStyle w:val="Emphasis"/>
          <w:rFonts w:ascii="Arial" w:hAnsi="Arial" w:cs="Arial"/>
          <w:sz w:val="20"/>
          <w:szCs w:val="20"/>
          <w:lang w:val="en-US"/>
        </w:rPr>
        <w:t>Merwilla</w:t>
      </w:r>
      <w:proofErr w:type="spellEnd"/>
      <w:r w:rsidRPr="00124014">
        <w:rPr>
          <w:rStyle w:val="Emphasis"/>
          <w:rFonts w:ascii="Arial" w:hAnsi="Arial" w:cs="Arial"/>
          <w:sz w:val="20"/>
          <w:szCs w:val="20"/>
          <w:lang w:val="en-US"/>
        </w:rPr>
        <w:t xml:space="preserve"> </w:t>
      </w:r>
      <w:proofErr w:type="spellStart"/>
      <w:r w:rsidRPr="00124014">
        <w:rPr>
          <w:rStyle w:val="Emphasis"/>
          <w:rFonts w:ascii="Arial" w:hAnsi="Arial" w:cs="Arial"/>
          <w:sz w:val="20"/>
          <w:szCs w:val="20"/>
          <w:lang w:val="en-US"/>
        </w:rPr>
        <w:t>natalensis</w:t>
      </w:r>
      <w:proofErr w:type="spellEnd"/>
      <w:r w:rsidRPr="00124014">
        <w:rPr>
          <w:rFonts w:ascii="Arial" w:hAnsi="Arial" w:cs="Arial"/>
          <w:sz w:val="20"/>
          <w:szCs w:val="20"/>
          <w:lang w:val="en-US"/>
        </w:rPr>
        <w:t xml:space="preserve">, a South African medicinal plant in high demand. </w:t>
      </w:r>
      <w:r w:rsidRPr="00124014">
        <w:rPr>
          <w:rStyle w:val="Emphasis"/>
          <w:rFonts w:ascii="Arial" w:hAnsi="Arial" w:cs="Arial"/>
          <w:sz w:val="20"/>
          <w:szCs w:val="20"/>
          <w:lang w:val="en-US"/>
        </w:rPr>
        <w:t>South African Journal of Science</w:t>
      </w:r>
      <w:r w:rsidRPr="00124014">
        <w:rPr>
          <w:rFonts w:ascii="Arial" w:hAnsi="Arial" w:cs="Arial"/>
          <w:sz w:val="20"/>
          <w:szCs w:val="20"/>
          <w:lang w:val="en-US"/>
        </w:rPr>
        <w:t>, 101, 205-208.</w:t>
      </w:r>
      <w:r>
        <w:rPr>
          <w:rFonts w:ascii="Arial" w:hAnsi="Arial" w:cs="Arial"/>
          <w:sz w:val="20"/>
          <w:szCs w:val="20"/>
          <w:lang w:val="en-US"/>
        </w:rPr>
        <w:t xml:space="preserve"> </w:t>
      </w:r>
      <w:hyperlink r:id="rId30" w:history="1">
        <w:r w:rsidRPr="004B5F4A">
          <w:rPr>
            <w:rStyle w:val="Hyperlink"/>
            <w:rFonts w:ascii="Arial" w:hAnsi="Arial" w:cs="Arial"/>
            <w:sz w:val="20"/>
            <w:szCs w:val="20"/>
            <w:lang w:val="en-US"/>
          </w:rPr>
          <w:t>https://hdl.handle.net/10520/EJC96366</w:t>
        </w:r>
      </w:hyperlink>
    </w:p>
    <w:p w14:paraId="5F764A79" w14:textId="0644098F"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Tang, J., Busso, C. A., Jiang, D., Wang, Y., Wu, D., &amp; Musa, A. et al.</w:t>
      </w:r>
      <w:r w:rsidRPr="00124014">
        <w:rPr>
          <w:rFonts w:ascii="Arial" w:hAnsi="Arial" w:cs="Arial"/>
          <w:sz w:val="20"/>
          <w:szCs w:val="20"/>
          <w:lang w:val="en-US"/>
        </w:rPr>
        <w:t xml:space="preserve"> (2016). Seed burial depth and soil water content affect seedling emergence and growth of </w:t>
      </w:r>
      <w:r w:rsidRPr="00124014">
        <w:rPr>
          <w:rStyle w:val="Emphasis"/>
          <w:rFonts w:ascii="Arial" w:hAnsi="Arial" w:cs="Arial"/>
          <w:sz w:val="20"/>
          <w:szCs w:val="20"/>
          <w:lang w:val="en-US"/>
        </w:rPr>
        <w:t>Ulmus pumila</w:t>
      </w:r>
      <w:r w:rsidRPr="00124014">
        <w:rPr>
          <w:rFonts w:ascii="Arial" w:hAnsi="Arial" w:cs="Arial"/>
          <w:sz w:val="20"/>
          <w:szCs w:val="20"/>
          <w:lang w:val="en-US"/>
        </w:rPr>
        <w:t xml:space="preserve"> var. </w:t>
      </w:r>
      <w:proofErr w:type="spellStart"/>
      <w:r w:rsidRPr="00124014">
        <w:rPr>
          <w:rStyle w:val="Emphasis"/>
          <w:rFonts w:ascii="Arial" w:hAnsi="Arial" w:cs="Arial"/>
          <w:sz w:val="20"/>
          <w:szCs w:val="20"/>
          <w:lang w:val="en-US"/>
        </w:rPr>
        <w:t>sabulosa</w:t>
      </w:r>
      <w:proofErr w:type="spellEnd"/>
      <w:r w:rsidRPr="00124014">
        <w:rPr>
          <w:rFonts w:ascii="Arial" w:hAnsi="Arial" w:cs="Arial"/>
          <w:sz w:val="20"/>
          <w:szCs w:val="20"/>
          <w:lang w:val="en-US"/>
        </w:rPr>
        <w:t xml:space="preserve"> in the </w:t>
      </w:r>
      <w:proofErr w:type="spellStart"/>
      <w:r w:rsidRPr="00124014">
        <w:rPr>
          <w:rFonts w:ascii="Arial" w:hAnsi="Arial" w:cs="Arial"/>
          <w:sz w:val="20"/>
          <w:szCs w:val="20"/>
          <w:lang w:val="en-US"/>
        </w:rPr>
        <w:t>Horqin</w:t>
      </w:r>
      <w:proofErr w:type="spellEnd"/>
      <w:r w:rsidRPr="00124014">
        <w:rPr>
          <w:rFonts w:ascii="Arial" w:hAnsi="Arial" w:cs="Arial"/>
          <w:sz w:val="20"/>
          <w:szCs w:val="20"/>
          <w:lang w:val="en-US"/>
        </w:rPr>
        <w:t xml:space="preserve"> Sandy Land. </w:t>
      </w:r>
      <w:r w:rsidRPr="00124014">
        <w:rPr>
          <w:rStyle w:val="Emphasis"/>
          <w:rFonts w:ascii="Arial" w:hAnsi="Arial" w:cs="Arial"/>
          <w:sz w:val="20"/>
          <w:szCs w:val="20"/>
          <w:lang w:val="en-US"/>
        </w:rPr>
        <w:t>Sustainability</w:t>
      </w:r>
      <w:r w:rsidRPr="00124014">
        <w:rPr>
          <w:rFonts w:ascii="Arial" w:hAnsi="Arial" w:cs="Arial"/>
          <w:sz w:val="20"/>
          <w:szCs w:val="20"/>
          <w:lang w:val="en-US"/>
        </w:rPr>
        <w:t>, 8(1), 68.</w:t>
      </w:r>
      <w:r>
        <w:rPr>
          <w:rFonts w:ascii="Arial" w:hAnsi="Arial" w:cs="Arial"/>
          <w:sz w:val="20"/>
          <w:szCs w:val="20"/>
          <w:lang w:val="en-US"/>
        </w:rPr>
        <w:t xml:space="preserve"> </w:t>
      </w:r>
      <w:hyperlink r:id="rId31" w:history="1">
        <w:r w:rsidRPr="004B5F4A">
          <w:rPr>
            <w:rStyle w:val="Hyperlink"/>
            <w:rFonts w:ascii="Arial" w:hAnsi="Arial" w:cs="Arial"/>
            <w:sz w:val="20"/>
            <w:szCs w:val="20"/>
            <w:lang w:val="en-US"/>
          </w:rPr>
          <w:t>https://doi.org/10.3390/su8010068</w:t>
        </w:r>
      </w:hyperlink>
    </w:p>
    <w:p w14:paraId="5813F3D3" w14:textId="77777777" w:rsidR="00124014" w:rsidRPr="00124014" w:rsidRDefault="00124014" w:rsidP="00124014">
      <w:pPr>
        <w:pStyle w:val="NormalWeb"/>
        <w:jc w:val="both"/>
        <w:rPr>
          <w:rFonts w:ascii="Arial" w:hAnsi="Arial" w:cs="Arial"/>
          <w:sz w:val="20"/>
          <w:szCs w:val="20"/>
          <w:lang w:val="en-US"/>
        </w:rPr>
      </w:pPr>
      <w:r w:rsidRPr="0086195C">
        <w:rPr>
          <w:rStyle w:val="Strong"/>
          <w:rFonts w:ascii="Arial" w:hAnsi="Arial" w:cs="Arial"/>
          <w:b w:val="0"/>
          <w:bCs w:val="0"/>
          <w:sz w:val="20"/>
          <w:szCs w:val="20"/>
          <w:lang w:val="en-US"/>
        </w:rPr>
        <w:t>Touré, Y., Koné, M., Kouakou, T. H., &amp; Koné, D.</w:t>
      </w:r>
      <w:r w:rsidRPr="0086195C">
        <w:rPr>
          <w:rFonts w:ascii="Arial" w:hAnsi="Arial" w:cs="Arial"/>
          <w:sz w:val="20"/>
          <w:szCs w:val="20"/>
          <w:lang w:val="en-US"/>
        </w:rPr>
        <w:t xml:space="preserve"> (2012). </w:t>
      </w:r>
      <w:proofErr w:type="spellStart"/>
      <w:r w:rsidRPr="00124014">
        <w:rPr>
          <w:rFonts w:ascii="Arial" w:hAnsi="Arial" w:cs="Arial"/>
          <w:sz w:val="20"/>
          <w:szCs w:val="20"/>
          <w:lang w:val="en-US"/>
        </w:rPr>
        <w:t>Agromorphological</w:t>
      </w:r>
      <w:proofErr w:type="spellEnd"/>
      <w:r w:rsidRPr="00124014">
        <w:rPr>
          <w:rFonts w:ascii="Arial" w:hAnsi="Arial" w:cs="Arial"/>
          <w:sz w:val="20"/>
          <w:szCs w:val="20"/>
          <w:lang w:val="en-US"/>
        </w:rPr>
        <w:t xml:space="preserve"> and phenological variability of ten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(Fabaceae)) landraces cultivated in the Ivory Coast. </w:t>
      </w:r>
      <w:proofErr w:type="spellStart"/>
      <w:r w:rsidRPr="00124014">
        <w:rPr>
          <w:rStyle w:val="Emphasis"/>
          <w:rFonts w:ascii="Arial" w:hAnsi="Arial" w:cs="Arial"/>
          <w:sz w:val="20"/>
          <w:szCs w:val="20"/>
          <w:lang w:val="en-US"/>
        </w:rPr>
        <w:t>Tropicultura</w:t>
      </w:r>
      <w:proofErr w:type="spellEnd"/>
      <w:r w:rsidRPr="00124014">
        <w:rPr>
          <w:rFonts w:ascii="Arial" w:hAnsi="Arial" w:cs="Arial"/>
          <w:sz w:val="20"/>
          <w:szCs w:val="20"/>
          <w:lang w:val="en-US"/>
        </w:rPr>
        <w:t>, 30(4), 216-221.</w:t>
      </w:r>
      <w:r w:rsidRPr="00124014">
        <w:rPr>
          <w:rFonts w:ascii="Arial" w:hAnsi="Arial" w:cs="Arial"/>
          <w:sz w:val="20"/>
          <w:szCs w:val="20"/>
          <w:lang w:val="en-US"/>
        </w:rPr>
        <w:br/>
      </w:r>
      <w:hyperlink r:id="rId32" w:tgtFrame="_new" w:history="1">
        <w:r w:rsidRPr="00124014">
          <w:rPr>
            <w:rStyle w:val="Hyperlink"/>
            <w:rFonts w:ascii="Arial" w:hAnsi="Arial" w:cs="Arial"/>
            <w:sz w:val="20"/>
            <w:szCs w:val="20"/>
            <w:lang w:val="en-US"/>
          </w:rPr>
          <w:t>http://www.tropicultura.org/text/v30n4/216.pdf</w:t>
        </w:r>
      </w:hyperlink>
    </w:p>
    <w:p w14:paraId="107DC6C3"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rPr>
        <w:lastRenderedPageBreak/>
        <w:t xml:space="preserve">Touré, Y., Koné, M., </w:t>
      </w:r>
      <w:proofErr w:type="spellStart"/>
      <w:r w:rsidRPr="00124014">
        <w:rPr>
          <w:rStyle w:val="Strong"/>
          <w:rFonts w:ascii="Arial" w:hAnsi="Arial" w:cs="Arial"/>
          <w:b w:val="0"/>
          <w:bCs w:val="0"/>
          <w:sz w:val="20"/>
          <w:szCs w:val="20"/>
        </w:rPr>
        <w:t>Silué</w:t>
      </w:r>
      <w:proofErr w:type="spellEnd"/>
      <w:r w:rsidRPr="00124014">
        <w:rPr>
          <w:rStyle w:val="Strong"/>
          <w:rFonts w:ascii="Arial" w:hAnsi="Arial" w:cs="Arial"/>
          <w:b w:val="0"/>
          <w:bCs w:val="0"/>
          <w:sz w:val="20"/>
          <w:szCs w:val="20"/>
        </w:rPr>
        <w:t>, S., &amp; Kouadio, Y. J.</w:t>
      </w:r>
      <w:r w:rsidRPr="00124014">
        <w:rPr>
          <w:rFonts w:ascii="Arial" w:hAnsi="Arial" w:cs="Arial"/>
          <w:sz w:val="20"/>
          <w:szCs w:val="20"/>
        </w:rPr>
        <w:t xml:space="preserve"> (2013). Prospection, collecte et caractérisation </w:t>
      </w:r>
      <w:proofErr w:type="spellStart"/>
      <w:r w:rsidRPr="00124014">
        <w:rPr>
          <w:rFonts w:ascii="Arial" w:hAnsi="Arial" w:cs="Arial"/>
          <w:sz w:val="20"/>
          <w:szCs w:val="20"/>
        </w:rPr>
        <w:t>agromorphologique</w:t>
      </w:r>
      <w:proofErr w:type="spellEnd"/>
      <w:r w:rsidRPr="00124014">
        <w:rPr>
          <w:rFonts w:ascii="Arial" w:hAnsi="Arial" w:cs="Arial"/>
          <w:sz w:val="20"/>
          <w:szCs w:val="20"/>
        </w:rPr>
        <w:t xml:space="preserve"> des morphotypes de voandzou (</w:t>
      </w:r>
      <w:proofErr w:type="spellStart"/>
      <w:r w:rsidRPr="00124014">
        <w:rPr>
          <w:rStyle w:val="Emphasis"/>
          <w:rFonts w:ascii="Arial" w:hAnsi="Arial" w:cs="Arial"/>
          <w:sz w:val="20"/>
          <w:szCs w:val="20"/>
        </w:rPr>
        <w:t>Vigna</w:t>
      </w:r>
      <w:proofErr w:type="spellEnd"/>
      <w:r w:rsidRPr="00124014">
        <w:rPr>
          <w:rStyle w:val="Emphasis"/>
          <w:rFonts w:ascii="Arial" w:hAnsi="Arial" w:cs="Arial"/>
          <w:sz w:val="20"/>
          <w:szCs w:val="20"/>
        </w:rPr>
        <w:t xml:space="preserve"> </w:t>
      </w:r>
      <w:proofErr w:type="spellStart"/>
      <w:r w:rsidRPr="00124014">
        <w:rPr>
          <w:rStyle w:val="Emphasis"/>
          <w:rFonts w:ascii="Arial" w:hAnsi="Arial" w:cs="Arial"/>
          <w:sz w:val="20"/>
          <w:szCs w:val="20"/>
        </w:rPr>
        <w:t>subterranea</w:t>
      </w:r>
      <w:proofErr w:type="spellEnd"/>
      <w:r w:rsidRPr="00124014">
        <w:rPr>
          <w:rFonts w:ascii="Arial" w:hAnsi="Arial" w:cs="Arial"/>
          <w:sz w:val="20"/>
          <w:szCs w:val="20"/>
        </w:rPr>
        <w:t xml:space="preserve"> (L.) </w:t>
      </w:r>
      <w:proofErr w:type="spellStart"/>
      <w:r w:rsidRPr="00124014">
        <w:rPr>
          <w:rFonts w:ascii="Arial" w:hAnsi="Arial" w:cs="Arial"/>
          <w:sz w:val="20"/>
          <w:szCs w:val="20"/>
        </w:rPr>
        <w:t>Verdc</w:t>
      </w:r>
      <w:proofErr w:type="spellEnd"/>
      <w:r w:rsidRPr="00124014">
        <w:rPr>
          <w:rFonts w:ascii="Arial" w:hAnsi="Arial" w:cs="Arial"/>
          <w:sz w:val="20"/>
          <w:szCs w:val="20"/>
        </w:rPr>
        <w:t>. (</w:t>
      </w:r>
      <w:proofErr w:type="spellStart"/>
      <w:r w:rsidRPr="00124014">
        <w:rPr>
          <w:rFonts w:ascii="Arial" w:hAnsi="Arial" w:cs="Arial"/>
          <w:sz w:val="20"/>
          <w:szCs w:val="20"/>
        </w:rPr>
        <w:t>Fabaceae</w:t>
      </w:r>
      <w:proofErr w:type="spellEnd"/>
      <w:r w:rsidRPr="00124014">
        <w:rPr>
          <w:rFonts w:ascii="Arial" w:hAnsi="Arial" w:cs="Arial"/>
          <w:sz w:val="20"/>
          <w:szCs w:val="20"/>
        </w:rPr>
        <w:t xml:space="preserve">)) de la zone savanicole en Côte d’Ivoire. </w:t>
      </w:r>
      <w:proofErr w:type="spellStart"/>
      <w:r w:rsidRPr="00124014">
        <w:rPr>
          <w:rStyle w:val="Emphasis"/>
          <w:rFonts w:ascii="Arial" w:hAnsi="Arial" w:cs="Arial"/>
          <w:sz w:val="20"/>
          <w:szCs w:val="20"/>
        </w:rPr>
        <w:t>European</w:t>
      </w:r>
      <w:proofErr w:type="spellEnd"/>
      <w:r w:rsidRPr="00124014">
        <w:rPr>
          <w:rStyle w:val="Emphasis"/>
          <w:rFonts w:ascii="Arial" w:hAnsi="Arial" w:cs="Arial"/>
          <w:sz w:val="20"/>
          <w:szCs w:val="20"/>
        </w:rPr>
        <w:t xml:space="preserve"> Scientific Journal</w:t>
      </w:r>
      <w:r w:rsidRPr="00124014">
        <w:rPr>
          <w:rFonts w:ascii="Arial" w:hAnsi="Arial" w:cs="Arial"/>
          <w:sz w:val="20"/>
          <w:szCs w:val="20"/>
        </w:rPr>
        <w:t>, 9(24), 308-325.</w:t>
      </w:r>
    </w:p>
    <w:p w14:paraId="443EE9E7"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rPr>
        <w:t xml:space="preserve">Ugwu, E. C., </w:t>
      </w:r>
      <w:proofErr w:type="spellStart"/>
      <w:r w:rsidRPr="00124014">
        <w:rPr>
          <w:rStyle w:val="Strong"/>
          <w:rFonts w:ascii="Arial" w:hAnsi="Arial" w:cs="Arial"/>
          <w:b w:val="0"/>
          <w:bCs w:val="0"/>
          <w:sz w:val="20"/>
          <w:szCs w:val="20"/>
        </w:rPr>
        <w:t>Sugri</w:t>
      </w:r>
      <w:proofErr w:type="spellEnd"/>
      <w:r w:rsidRPr="00124014">
        <w:rPr>
          <w:rStyle w:val="Strong"/>
          <w:rFonts w:ascii="Arial" w:hAnsi="Arial" w:cs="Arial"/>
          <w:b w:val="0"/>
          <w:bCs w:val="0"/>
          <w:sz w:val="20"/>
          <w:szCs w:val="20"/>
        </w:rPr>
        <w:t xml:space="preserve">, I., </w:t>
      </w:r>
      <w:proofErr w:type="spellStart"/>
      <w:r w:rsidRPr="00124014">
        <w:rPr>
          <w:rStyle w:val="Strong"/>
          <w:rFonts w:ascii="Arial" w:hAnsi="Arial" w:cs="Arial"/>
          <w:b w:val="0"/>
          <w:bCs w:val="0"/>
          <w:sz w:val="20"/>
          <w:szCs w:val="20"/>
        </w:rPr>
        <w:t>Ayenan</w:t>
      </w:r>
      <w:proofErr w:type="spellEnd"/>
      <w:r w:rsidRPr="00124014">
        <w:rPr>
          <w:rStyle w:val="Strong"/>
          <w:rFonts w:ascii="Arial" w:hAnsi="Arial" w:cs="Arial"/>
          <w:b w:val="0"/>
          <w:bCs w:val="0"/>
          <w:sz w:val="20"/>
          <w:szCs w:val="20"/>
        </w:rPr>
        <w:t>, M. A. T., Danquah, A., &amp; Danquah, E. Y.</w:t>
      </w:r>
      <w:r w:rsidRPr="00124014">
        <w:rPr>
          <w:rFonts w:ascii="Arial" w:hAnsi="Arial" w:cs="Arial"/>
          <w:sz w:val="20"/>
          <w:szCs w:val="20"/>
        </w:rPr>
        <w:t xml:space="preserve"> (2025). </w:t>
      </w:r>
      <w:r w:rsidRPr="00124014">
        <w:rPr>
          <w:rFonts w:ascii="Arial" w:hAnsi="Arial" w:cs="Arial"/>
          <w:sz w:val="20"/>
          <w:szCs w:val="20"/>
          <w:lang w:val="en-US"/>
        </w:rPr>
        <w:t>Assessment of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w:t>
      </w:r>
      <w:proofErr w:type="spellStart"/>
      <w:r w:rsidRPr="00124014">
        <w:rPr>
          <w:rFonts w:ascii="Arial" w:hAnsi="Arial" w:cs="Arial"/>
          <w:sz w:val="20"/>
          <w:szCs w:val="20"/>
          <w:lang w:val="en-US"/>
        </w:rPr>
        <w:t>Verdcourt</w:t>
      </w:r>
      <w:proofErr w:type="spellEnd"/>
      <w:r w:rsidRPr="00124014">
        <w:rPr>
          <w:rFonts w:ascii="Arial" w:hAnsi="Arial" w:cs="Arial"/>
          <w:sz w:val="20"/>
          <w:szCs w:val="20"/>
          <w:lang w:val="en-US"/>
        </w:rPr>
        <w:t xml:space="preserve">) seed systems and farmers’ seed-saving practices on seed quality. </w:t>
      </w:r>
      <w:r w:rsidRPr="00124014">
        <w:rPr>
          <w:rStyle w:val="Emphasis"/>
          <w:rFonts w:ascii="Arial" w:hAnsi="Arial" w:cs="Arial"/>
          <w:sz w:val="20"/>
          <w:szCs w:val="20"/>
        </w:rPr>
        <w:t>Seeds</w:t>
      </w:r>
      <w:r w:rsidRPr="00124014">
        <w:rPr>
          <w:rFonts w:ascii="Arial" w:hAnsi="Arial" w:cs="Arial"/>
          <w:sz w:val="20"/>
          <w:szCs w:val="20"/>
        </w:rPr>
        <w:t xml:space="preserve">, 4, 65. </w:t>
      </w:r>
      <w:hyperlink r:id="rId33" w:history="1">
        <w:r w:rsidRPr="00124014">
          <w:rPr>
            <w:rStyle w:val="Hyperlink"/>
            <w:rFonts w:ascii="Arial" w:hAnsi="Arial" w:cs="Arial"/>
            <w:sz w:val="20"/>
            <w:szCs w:val="20"/>
          </w:rPr>
          <w:t>https://doi.org/10.3390/seeds4040065</w:t>
        </w:r>
      </w:hyperlink>
    </w:p>
    <w:p w14:paraId="3CA00C33"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rPr>
        <w:t>Yang, W., Xu, D., Li, S., Tang, X., Pan, S., &amp; Chen, X. et al.</w:t>
      </w:r>
      <w:r w:rsidRPr="00124014">
        <w:rPr>
          <w:rFonts w:ascii="Arial" w:hAnsi="Arial" w:cs="Arial"/>
          <w:b/>
          <w:bCs/>
          <w:sz w:val="20"/>
          <w:szCs w:val="20"/>
        </w:rPr>
        <w:t xml:space="preserve"> </w:t>
      </w:r>
      <w:r w:rsidRPr="00124014">
        <w:rPr>
          <w:rFonts w:ascii="Arial" w:hAnsi="Arial" w:cs="Arial"/>
          <w:sz w:val="20"/>
          <w:szCs w:val="20"/>
          <w:lang w:val="en-US"/>
        </w:rPr>
        <w:t xml:space="preserve">(2022). Emergence and seedling establishment of rice varieties at different sowing depths. </w:t>
      </w:r>
      <w:r w:rsidRPr="00124014">
        <w:rPr>
          <w:rStyle w:val="Emphasis"/>
          <w:rFonts w:ascii="Arial" w:hAnsi="Arial" w:cs="Arial"/>
          <w:sz w:val="20"/>
          <w:szCs w:val="20"/>
          <w:lang w:val="en-US"/>
        </w:rPr>
        <w:t>Journal of Plant Growth Regulation</w:t>
      </w:r>
      <w:r w:rsidRPr="00124014">
        <w:rPr>
          <w:rFonts w:ascii="Arial" w:hAnsi="Arial" w:cs="Arial"/>
          <w:sz w:val="20"/>
          <w:szCs w:val="20"/>
          <w:lang w:val="en-US"/>
        </w:rPr>
        <w:t>, 41, 1672-1686.</w:t>
      </w:r>
      <w:hyperlink r:id="rId34" w:history="1">
        <w:r w:rsidRPr="00124014">
          <w:rPr>
            <w:rStyle w:val="Hyperlink"/>
            <w:rFonts w:ascii="Arial" w:hAnsi="Arial" w:cs="Arial"/>
            <w:sz w:val="20"/>
            <w:szCs w:val="20"/>
            <w:lang w:val="en-US"/>
          </w:rPr>
          <w:t>https://doi.org/10.1007/s00344-021-10408-0</w:t>
        </w:r>
      </w:hyperlink>
    </w:p>
    <w:p w14:paraId="170D9613" w14:textId="63D81BC3" w:rsidR="008B459E"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Zuo, Q., Kuai, J., Zhao, L., Hu, Z., Wu, J., &amp; Zhou, G.</w:t>
      </w:r>
      <w:r w:rsidRPr="00124014">
        <w:rPr>
          <w:rFonts w:ascii="Arial" w:hAnsi="Arial" w:cs="Arial"/>
          <w:sz w:val="20"/>
          <w:szCs w:val="20"/>
          <w:lang w:val="en-US"/>
        </w:rPr>
        <w:t xml:space="preserve"> (2017). The effect of sowing depth and soil compaction on the growth and yield of rapeseed in rice straw returning field. </w:t>
      </w:r>
      <w:r w:rsidRPr="00124014">
        <w:rPr>
          <w:rStyle w:val="Emphasis"/>
          <w:rFonts w:ascii="Arial" w:hAnsi="Arial" w:cs="Arial"/>
          <w:sz w:val="20"/>
          <w:szCs w:val="20"/>
          <w:lang w:val="en-US"/>
        </w:rPr>
        <w:t>Field Crops Research</w:t>
      </w:r>
      <w:r w:rsidRPr="00124014">
        <w:rPr>
          <w:rFonts w:ascii="Arial" w:hAnsi="Arial" w:cs="Arial"/>
          <w:sz w:val="20"/>
          <w:szCs w:val="20"/>
          <w:lang w:val="en-US"/>
        </w:rPr>
        <w:t xml:space="preserve">, 203, 47-54. </w:t>
      </w:r>
      <w:hyperlink r:id="rId35" w:history="1">
        <w:r w:rsidRPr="00124014">
          <w:rPr>
            <w:rStyle w:val="Hyperlink"/>
            <w:rFonts w:ascii="Arial" w:hAnsi="Arial" w:cs="Arial"/>
            <w:sz w:val="20"/>
            <w:szCs w:val="20"/>
            <w:lang w:val="en-US"/>
          </w:rPr>
          <w:t>https://doi.org/10.1016/j.fcr.2016.12.016</w:t>
        </w:r>
      </w:hyperlink>
    </w:p>
    <w:sectPr w:rsidR="008B459E" w:rsidRPr="00124014" w:rsidSect="00CD7F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33660" w14:textId="77777777" w:rsidR="00B2338E" w:rsidRDefault="00B2338E" w:rsidP="00C37E61">
      <w:r>
        <w:separator/>
      </w:r>
    </w:p>
  </w:endnote>
  <w:endnote w:type="continuationSeparator" w:id="0">
    <w:p w14:paraId="5585DB26" w14:textId="77777777" w:rsidR="00B2338E" w:rsidRDefault="00B233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64AB" w14:textId="77777777" w:rsidR="00CD7F30" w:rsidRDefault="00CD7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178F" w14:textId="77777777" w:rsidR="00CD7F30" w:rsidRDefault="00CD7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3E38" w14:textId="77777777" w:rsidR="009E048A" w:rsidRDefault="009E048A">
    <w:pPr>
      <w:pStyle w:val="Footer"/>
      <w:rPr>
        <w:rFonts w:ascii="Arial" w:hAnsi="Arial" w:cs="Arial"/>
        <w:sz w:val="16"/>
      </w:rPr>
    </w:pPr>
  </w:p>
  <w:p w14:paraId="4D5CB3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6F4CCF" w14:textId="77777777" w:rsidR="009E048A" w:rsidRDefault="009E048A">
    <w:pPr>
      <w:pStyle w:val="Footer"/>
      <w:rPr>
        <w:rFonts w:ascii="Arial" w:hAnsi="Arial" w:cs="Arial"/>
        <w:sz w:val="16"/>
      </w:rPr>
    </w:pPr>
  </w:p>
  <w:p w14:paraId="60E2868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CF1A1" w14:textId="77777777" w:rsidR="00B2338E" w:rsidRDefault="00B2338E" w:rsidP="00C37E61">
      <w:r>
        <w:separator/>
      </w:r>
    </w:p>
  </w:footnote>
  <w:footnote w:type="continuationSeparator" w:id="0">
    <w:p w14:paraId="08FAE0EA" w14:textId="77777777" w:rsidR="00B2338E" w:rsidRDefault="00B233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339A" w14:textId="2A7B3B5F" w:rsidR="00CD7F30" w:rsidRDefault="00CD7F30">
    <w:pPr>
      <w:pStyle w:val="Header"/>
    </w:pPr>
    <w:r>
      <w:rPr>
        <w:noProof/>
      </w:rPr>
      <w:pict w14:anchorId="259A4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84A9" w14:textId="095C1506" w:rsidR="00CD7F30" w:rsidRDefault="00CD7F30">
    <w:pPr>
      <w:pStyle w:val="Header"/>
    </w:pPr>
    <w:r>
      <w:rPr>
        <w:noProof/>
      </w:rPr>
      <w:pict w14:anchorId="7A682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C197" w14:textId="53AC1871" w:rsidR="00296529" w:rsidRPr="00296529" w:rsidRDefault="00CD7F30" w:rsidP="00296529">
    <w:pPr>
      <w:ind w:left="2160"/>
      <w:jc w:val="center"/>
      <w:rPr>
        <w:rFonts w:ascii="Times New Roman" w:eastAsia="Calibri" w:hAnsi="Times New Roman"/>
        <w:i/>
        <w:sz w:val="18"/>
        <w:szCs w:val="22"/>
      </w:rPr>
    </w:pPr>
    <w:r>
      <w:rPr>
        <w:noProof/>
      </w:rPr>
      <w:pict w14:anchorId="1C6E6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4D88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7133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E3DC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1B8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8B56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0AFF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2B"/>
    <w:rsid w:val="00012A41"/>
    <w:rsid w:val="00023907"/>
    <w:rsid w:val="000260DD"/>
    <w:rsid w:val="00030174"/>
    <w:rsid w:val="0004579C"/>
    <w:rsid w:val="00095648"/>
    <w:rsid w:val="000A1A8C"/>
    <w:rsid w:val="000A47FA"/>
    <w:rsid w:val="000A65D3"/>
    <w:rsid w:val="000B1E33"/>
    <w:rsid w:val="000D689F"/>
    <w:rsid w:val="000E7B7B"/>
    <w:rsid w:val="000E7D62"/>
    <w:rsid w:val="00103357"/>
    <w:rsid w:val="00123C9F"/>
    <w:rsid w:val="00124014"/>
    <w:rsid w:val="00126190"/>
    <w:rsid w:val="00130F17"/>
    <w:rsid w:val="001320BF"/>
    <w:rsid w:val="00163BC4"/>
    <w:rsid w:val="00170FA5"/>
    <w:rsid w:val="00191062"/>
    <w:rsid w:val="00192B72"/>
    <w:rsid w:val="001A29D8"/>
    <w:rsid w:val="001A5CAA"/>
    <w:rsid w:val="001B0427"/>
    <w:rsid w:val="001B6052"/>
    <w:rsid w:val="001C670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60DB"/>
    <w:rsid w:val="002E7BDE"/>
    <w:rsid w:val="00315186"/>
    <w:rsid w:val="0033343E"/>
    <w:rsid w:val="00336733"/>
    <w:rsid w:val="0034347E"/>
    <w:rsid w:val="00344C3A"/>
    <w:rsid w:val="003512C2"/>
    <w:rsid w:val="00371FB6"/>
    <w:rsid w:val="003763C1"/>
    <w:rsid w:val="00376BBE"/>
    <w:rsid w:val="00380A46"/>
    <w:rsid w:val="00391FCC"/>
    <w:rsid w:val="0039224F"/>
    <w:rsid w:val="003A3C4D"/>
    <w:rsid w:val="003A43A4"/>
    <w:rsid w:val="003A7E18"/>
    <w:rsid w:val="003C4C86"/>
    <w:rsid w:val="003C6258"/>
    <w:rsid w:val="003D05D4"/>
    <w:rsid w:val="003D3712"/>
    <w:rsid w:val="003E2904"/>
    <w:rsid w:val="003F3B59"/>
    <w:rsid w:val="00401927"/>
    <w:rsid w:val="0041027F"/>
    <w:rsid w:val="00412475"/>
    <w:rsid w:val="00423789"/>
    <w:rsid w:val="00440F43"/>
    <w:rsid w:val="00441B6F"/>
    <w:rsid w:val="0044551F"/>
    <w:rsid w:val="00446221"/>
    <w:rsid w:val="00447ED3"/>
    <w:rsid w:val="00450E62"/>
    <w:rsid w:val="004539DB"/>
    <w:rsid w:val="00471A80"/>
    <w:rsid w:val="004B01BC"/>
    <w:rsid w:val="004D305E"/>
    <w:rsid w:val="004D4277"/>
    <w:rsid w:val="004D522E"/>
    <w:rsid w:val="00502516"/>
    <w:rsid w:val="00505F06"/>
    <w:rsid w:val="00506828"/>
    <w:rsid w:val="0053056E"/>
    <w:rsid w:val="00554FDA"/>
    <w:rsid w:val="00571C7C"/>
    <w:rsid w:val="005C784C"/>
    <w:rsid w:val="005D17F6"/>
    <w:rsid w:val="005E5539"/>
    <w:rsid w:val="005F6F4C"/>
    <w:rsid w:val="00601D0E"/>
    <w:rsid w:val="00602BF5"/>
    <w:rsid w:val="00617FDD"/>
    <w:rsid w:val="00633614"/>
    <w:rsid w:val="00633F68"/>
    <w:rsid w:val="00636EB2"/>
    <w:rsid w:val="006375B8"/>
    <w:rsid w:val="006501C4"/>
    <w:rsid w:val="0066510A"/>
    <w:rsid w:val="00673F9F"/>
    <w:rsid w:val="006852BE"/>
    <w:rsid w:val="00686953"/>
    <w:rsid w:val="00687DEA"/>
    <w:rsid w:val="00687E67"/>
    <w:rsid w:val="006967F7"/>
    <w:rsid w:val="006A1D8E"/>
    <w:rsid w:val="006A250C"/>
    <w:rsid w:val="006B21D3"/>
    <w:rsid w:val="006B57D0"/>
    <w:rsid w:val="006D30FF"/>
    <w:rsid w:val="006D6940"/>
    <w:rsid w:val="006F11EC"/>
    <w:rsid w:val="006F7966"/>
    <w:rsid w:val="0070082C"/>
    <w:rsid w:val="0070567B"/>
    <w:rsid w:val="00721426"/>
    <w:rsid w:val="00727B00"/>
    <w:rsid w:val="00727E79"/>
    <w:rsid w:val="007369E6"/>
    <w:rsid w:val="00746E59"/>
    <w:rsid w:val="00754C9A"/>
    <w:rsid w:val="0075599A"/>
    <w:rsid w:val="00761D52"/>
    <w:rsid w:val="0077749E"/>
    <w:rsid w:val="00790ADA"/>
    <w:rsid w:val="0079505A"/>
    <w:rsid w:val="007D2288"/>
    <w:rsid w:val="007E088F"/>
    <w:rsid w:val="007E457E"/>
    <w:rsid w:val="007F271C"/>
    <w:rsid w:val="007F7B32"/>
    <w:rsid w:val="00804BC2"/>
    <w:rsid w:val="0081431A"/>
    <w:rsid w:val="0083216F"/>
    <w:rsid w:val="00860000"/>
    <w:rsid w:val="0086195C"/>
    <w:rsid w:val="00863BD3"/>
    <w:rsid w:val="008641ED"/>
    <w:rsid w:val="00866D66"/>
    <w:rsid w:val="008671C6"/>
    <w:rsid w:val="00875803"/>
    <w:rsid w:val="00892AE1"/>
    <w:rsid w:val="008B459E"/>
    <w:rsid w:val="008E13AE"/>
    <w:rsid w:val="008E1506"/>
    <w:rsid w:val="008E710C"/>
    <w:rsid w:val="008F69D6"/>
    <w:rsid w:val="00902823"/>
    <w:rsid w:val="00915CA6"/>
    <w:rsid w:val="00927834"/>
    <w:rsid w:val="0093237B"/>
    <w:rsid w:val="009500A6"/>
    <w:rsid w:val="00957C18"/>
    <w:rsid w:val="009659BA"/>
    <w:rsid w:val="00983040"/>
    <w:rsid w:val="009911B3"/>
    <w:rsid w:val="009A609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F42"/>
    <w:rsid w:val="00A51431"/>
    <w:rsid w:val="00A539AD"/>
    <w:rsid w:val="00A74E33"/>
    <w:rsid w:val="00A94063"/>
    <w:rsid w:val="00AA6219"/>
    <w:rsid w:val="00AA74E0"/>
    <w:rsid w:val="00AB4470"/>
    <w:rsid w:val="00AB50EB"/>
    <w:rsid w:val="00AB62AA"/>
    <w:rsid w:val="00AB703F"/>
    <w:rsid w:val="00AC33C7"/>
    <w:rsid w:val="00AC6BB8"/>
    <w:rsid w:val="00AE008F"/>
    <w:rsid w:val="00AF7F2D"/>
    <w:rsid w:val="00B01FCD"/>
    <w:rsid w:val="00B1776C"/>
    <w:rsid w:val="00B2338E"/>
    <w:rsid w:val="00B52583"/>
    <w:rsid w:val="00B52896"/>
    <w:rsid w:val="00B90029"/>
    <w:rsid w:val="00B95236"/>
    <w:rsid w:val="00B96BD9"/>
    <w:rsid w:val="00BA1B01"/>
    <w:rsid w:val="00BA2641"/>
    <w:rsid w:val="00BA5EAF"/>
    <w:rsid w:val="00BB37AA"/>
    <w:rsid w:val="00BB64CD"/>
    <w:rsid w:val="00BC53A0"/>
    <w:rsid w:val="00BE62AD"/>
    <w:rsid w:val="00BF121F"/>
    <w:rsid w:val="00BF1F80"/>
    <w:rsid w:val="00C11216"/>
    <w:rsid w:val="00C13106"/>
    <w:rsid w:val="00C166EF"/>
    <w:rsid w:val="00C16CBD"/>
    <w:rsid w:val="00C17EB0"/>
    <w:rsid w:val="00C27F5F"/>
    <w:rsid w:val="00C30A0F"/>
    <w:rsid w:val="00C37E61"/>
    <w:rsid w:val="00C52AFA"/>
    <w:rsid w:val="00C70F1B"/>
    <w:rsid w:val="00C71A47"/>
    <w:rsid w:val="00C7464C"/>
    <w:rsid w:val="00C85588"/>
    <w:rsid w:val="00CD5F5C"/>
    <w:rsid w:val="00CD6755"/>
    <w:rsid w:val="00CD6856"/>
    <w:rsid w:val="00CD7F30"/>
    <w:rsid w:val="00CE0089"/>
    <w:rsid w:val="00CE793C"/>
    <w:rsid w:val="00CF193C"/>
    <w:rsid w:val="00CF2CF7"/>
    <w:rsid w:val="00CF2D59"/>
    <w:rsid w:val="00D0337E"/>
    <w:rsid w:val="00D04C2F"/>
    <w:rsid w:val="00D12332"/>
    <w:rsid w:val="00D173F1"/>
    <w:rsid w:val="00D23C1D"/>
    <w:rsid w:val="00D5069D"/>
    <w:rsid w:val="00D62B40"/>
    <w:rsid w:val="00D74CB0"/>
    <w:rsid w:val="00D814BB"/>
    <w:rsid w:val="00D8295D"/>
    <w:rsid w:val="00D92941"/>
    <w:rsid w:val="00D96269"/>
    <w:rsid w:val="00DA48A1"/>
    <w:rsid w:val="00DB2139"/>
    <w:rsid w:val="00DC2A65"/>
    <w:rsid w:val="00DE15F0"/>
    <w:rsid w:val="00DE1B58"/>
    <w:rsid w:val="00DE5663"/>
    <w:rsid w:val="00DE78AA"/>
    <w:rsid w:val="00E053D0"/>
    <w:rsid w:val="00E066D1"/>
    <w:rsid w:val="00E15994"/>
    <w:rsid w:val="00E3114E"/>
    <w:rsid w:val="00E31A70"/>
    <w:rsid w:val="00E35B02"/>
    <w:rsid w:val="00E52E40"/>
    <w:rsid w:val="00E66496"/>
    <w:rsid w:val="00E66B35"/>
    <w:rsid w:val="00E66E10"/>
    <w:rsid w:val="00E769F6"/>
    <w:rsid w:val="00E8407C"/>
    <w:rsid w:val="00E84F3C"/>
    <w:rsid w:val="00EA012C"/>
    <w:rsid w:val="00EA291A"/>
    <w:rsid w:val="00EA7FB2"/>
    <w:rsid w:val="00EB247E"/>
    <w:rsid w:val="00EC6A55"/>
    <w:rsid w:val="00EC7F71"/>
    <w:rsid w:val="00ED0288"/>
    <w:rsid w:val="00ED7AA4"/>
    <w:rsid w:val="00EE52CB"/>
    <w:rsid w:val="00EF09E0"/>
    <w:rsid w:val="00EF581D"/>
    <w:rsid w:val="00EF7FD8"/>
    <w:rsid w:val="00F0422D"/>
    <w:rsid w:val="00F06F59"/>
    <w:rsid w:val="00F17988"/>
    <w:rsid w:val="00F24954"/>
    <w:rsid w:val="00F40076"/>
    <w:rsid w:val="00F45E68"/>
    <w:rsid w:val="00F469F0"/>
    <w:rsid w:val="00F53273"/>
    <w:rsid w:val="00F7461B"/>
    <w:rsid w:val="00F755E4"/>
    <w:rsid w:val="00F77D02"/>
    <w:rsid w:val="00F9215A"/>
    <w:rsid w:val="00FB1528"/>
    <w:rsid w:val="00FB3A86"/>
    <w:rsid w:val="00FD36C8"/>
    <w:rsid w:val="00FF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8CC0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F40076"/>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24014"/>
    <w:rPr>
      <w:b/>
      <w:bCs/>
    </w:rPr>
  </w:style>
  <w:style w:type="paragraph" w:styleId="NormalWeb">
    <w:name w:val="Normal (Web)"/>
    <w:basedOn w:val="Normal"/>
    <w:uiPriority w:val="99"/>
    <w:unhideWhenUsed/>
    <w:rsid w:val="00124014"/>
    <w:pPr>
      <w:spacing w:before="100" w:beforeAutospacing="1" w:after="100" w:afterAutospacing="1"/>
    </w:pPr>
    <w:rPr>
      <w:rFonts w:ascii="Times New Roman" w:hAnsi="Times New Roman"/>
      <w:sz w:val="24"/>
      <w:szCs w:val="24"/>
      <w:lang w:val="fr-FR" w:eastAsia="fr-FR"/>
    </w:rPr>
  </w:style>
  <w:style w:type="paragraph" w:styleId="ListParagraph">
    <w:name w:val="List Paragraph"/>
    <w:basedOn w:val="Normal"/>
    <w:uiPriority w:val="34"/>
    <w:qFormat/>
    <w:rsid w:val="009A6092"/>
    <w:pPr>
      <w:spacing w:line="360" w:lineRule="auto"/>
      <w:ind w:left="720"/>
      <w:contextualSpacing/>
      <w:jc w:val="both"/>
    </w:pPr>
    <w:rPr>
      <w:rFonts w:ascii="Arial" w:hAnsi="Arial" w:cs="Arial"/>
      <w:bCs/>
      <w:sz w:val="22"/>
      <w:szCs w:val="2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3390/agronomy11071345" TargetMode="External"/><Relationship Id="rId21" Type="http://schemas.openxmlformats.org/officeDocument/2006/relationships/hyperlink" Target="https://doi.org/10.2136/sssaj2001.652414x" TargetMode="External"/><Relationship Id="rId34" Type="http://schemas.openxmlformats.org/officeDocument/2006/relationships/hyperlink" Target="https://doi.org/10.1007/s00344-021-10408-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1080/02571862.2013.790492" TargetMode="External"/><Relationship Id="rId33" Type="http://schemas.openxmlformats.org/officeDocument/2006/relationships/hyperlink" Target="https://doi.org/10.3390/seeds4040065"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doi.org/10.35759/JAnmPlSci.v48-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104-024-06996-x" TargetMode="External"/><Relationship Id="rId32" Type="http://schemas.openxmlformats.org/officeDocument/2006/relationships/hyperlink" Target="http://www.tropicultura.org/text/v30n4/216.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4314/ijbcs.v13i2.14" TargetMode="External"/><Relationship Id="rId28" Type="http://schemas.openxmlformats.org/officeDocument/2006/relationships/hyperlink" Target="https://doi.org/10.1590/1519-6984.281402"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hyperlink" Target="https://doi.org/10.3390/su80100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978-3-030-73920-12" TargetMode="External"/><Relationship Id="rId27" Type="http://schemas.openxmlformats.org/officeDocument/2006/relationships/hyperlink" Target="https://doi.org/10.1016/B978-0-323-90537-4.00021-1" TargetMode="External"/><Relationship Id="rId30" Type="http://schemas.openxmlformats.org/officeDocument/2006/relationships/hyperlink" Target="https://hdl.handle.net/10520/EJC96366" TargetMode="External"/><Relationship Id="rId35" Type="http://schemas.openxmlformats.org/officeDocument/2006/relationships/hyperlink" Target="https://doi.org/10.1016/j.fcr.2016.12.01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52967397670332"/>
          <c:y val="9.2412198475190596E-2"/>
          <c:w val="0.79016228070175443"/>
          <c:h val="0.67521841019872531"/>
        </c:manualLayout>
      </c:layout>
      <c:barChart>
        <c:barDir val="col"/>
        <c:grouping val="clustered"/>
        <c:varyColors val="0"/>
        <c:ser>
          <c:idx val="0"/>
          <c:order val="0"/>
          <c:spPr>
            <a:solidFill>
              <a:schemeClr val="bg1">
                <a:lumMod val="75000"/>
              </a:schemeClr>
            </a:solidFill>
            <a:ln>
              <a:solidFill>
                <a:schemeClr val="tx1"/>
              </a:solidFill>
            </a:ln>
            <a:effectLst/>
          </c:spPr>
          <c:invertIfNegative val="0"/>
          <c:dPt>
            <c:idx val="0"/>
            <c:invertIfNegative val="0"/>
            <c:bubble3D val="0"/>
            <c:spPr>
              <a:solidFill>
                <a:schemeClr val="bg1"/>
              </a:solidFill>
              <a:ln>
                <a:solidFill>
                  <a:schemeClr val="tx1">
                    <a:alpha val="94000"/>
                  </a:schemeClr>
                </a:solidFill>
              </a:ln>
              <a:effectLst/>
            </c:spPr>
            <c:extLst>
              <c:ext xmlns:c16="http://schemas.microsoft.com/office/drawing/2014/chart" uri="{C3380CC4-5D6E-409C-BE32-E72D297353CC}">
                <c16:uniqueId val="{00000001-9DC7-4929-855C-837C03CFED17}"/>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9DC7-4929-855C-837C03CFED17}"/>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F-9DC7-4929-855C-837C03CFED17}"/>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5-9DC7-4929-855C-837C03CFED17}"/>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7-9DC7-4929-855C-837C03CFED17}"/>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E-9DC7-4929-855C-837C03CFED17}"/>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9-9DC7-4929-855C-837C03CFED17}"/>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B-9DC7-4929-855C-837C03CFED17}"/>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9DC7-4929-855C-837C03CFED17}"/>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0D-9DC7-4929-855C-837C03CFED17}"/>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9DC7-4929-855C-837C03CFED17}"/>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C-9DC7-4929-855C-837C03CFED17}"/>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1-9DC7-4929-855C-837C03CFED17}"/>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3-9DC7-4929-855C-837C03CFED17}"/>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B-9DC7-4929-855C-837C03CFED17}"/>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5-9DC7-4929-855C-837C03CFED17}"/>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7-9DC7-4929-855C-837C03CFED17}"/>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A-9DC7-4929-855C-837C03CFED17}"/>
              </c:ext>
            </c:extLst>
          </c:dPt>
          <c:cat>
            <c:multiLvlStrRef>
              <c:f>Graphiques!$A$3:$B$25</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Graphiques!$C$3:$C$25</c:f>
              <c:numCache>
                <c:formatCode>General</c:formatCode>
                <c:ptCount val="23"/>
                <c:pt idx="0">
                  <c:v>6</c:v>
                </c:pt>
                <c:pt idx="1">
                  <c:v>6</c:v>
                </c:pt>
                <c:pt idx="2">
                  <c:v>6</c:v>
                </c:pt>
                <c:pt idx="4">
                  <c:v>7</c:v>
                </c:pt>
                <c:pt idx="5">
                  <c:v>6.77</c:v>
                </c:pt>
                <c:pt idx="6">
                  <c:v>6.77</c:v>
                </c:pt>
                <c:pt idx="8">
                  <c:v>7.33</c:v>
                </c:pt>
                <c:pt idx="9">
                  <c:v>7.33</c:v>
                </c:pt>
                <c:pt idx="10">
                  <c:v>7.44</c:v>
                </c:pt>
                <c:pt idx="12">
                  <c:v>7.77</c:v>
                </c:pt>
                <c:pt idx="13">
                  <c:v>8.33</c:v>
                </c:pt>
                <c:pt idx="14">
                  <c:v>7.66</c:v>
                </c:pt>
                <c:pt idx="16">
                  <c:v>8.5500000000000007</c:v>
                </c:pt>
                <c:pt idx="17">
                  <c:v>8.8800000000000008</c:v>
                </c:pt>
                <c:pt idx="18">
                  <c:v>8.11</c:v>
                </c:pt>
                <c:pt idx="20">
                  <c:v>9</c:v>
                </c:pt>
                <c:pt idx="21">
                  <c:v>8.8800000000000008</c:v>
                </c:pt>
                <c:pt idx="22">
                  <c:v>8.5500000000000007</c:v>
                </c:pt>
              </c:numCache>
            </c:numRef>
          </c:val>
          <c:extLst>
            <c:ext xmlns:c16="http://schemas.microsoft.com/office/drawing/2014/chart" uri="{C3380CC4-5D6E-409C-BE32-E72D297353CC}">
              <c16:uniqueId val="{00000018-9DC7-4929-855C-837C03CFED17}"/>
            </c:ext>
          </c:extLst>
        </c:ser>
        <c:dLbls>
          <c:showLegendKey val="0"/>
          <c:showVal val="0"/>
          <c:showCatName val="0"/>
          <c:showSerName val="0"/>
          <c:showPercent val="0"/>
          <c:showBubbleSize val="0"/>
        </c:dLbls>
        <c:gapWidth val="0"/>
        <c:overlap val="-27"/>
        <c:axId val="-871979824"/>
        <c:axId val="-871991792"/>
      </c:barChart>
      <c:catAx>
        <c:axId val="-871979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91792"/>
        <c:crosses val="autoZero"/>
        <c:auto val="1"/>
        <c:lblAlgn val="ctr"/>
        <c:lblOffset val="100"/>
        <c:noMultiLvlLbl val="0"/>
      </c:catAx>
      <c:valAx>
        <c:axId val="-8719917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First Day of Emergence (day) </a:t>
                </a:r>
              </a:p>
            </c:rich>
          </c:tx>
          <c:layout>
            <c:manualLayout>
              <c:xMode val="edge"/>
              <c:yMode val="edge"/>
              <c:x val="6.4805806815470379E-2"/>
              <c:y val="0.203148981377327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9824"/>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4219510729099"/>
          <c:y val="4.901953045343016E-2"/>
          <c:w val="0.82983185069423571"/>
          <c:h val="0.71950578546102795"/>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C78D-4476-954E-23C4993C7D8B}"/>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C78D-4476-954E-23C4993C7D8B}"/>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5-C78D-4476-954E-23C4993C7D8B}"/>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7-C78D-4476-954E-23C4993C7D8B}"/>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C78D-4476-954E-23C4993C7D8B}"/>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C78D-4476-954E-23C4993C7D8B}"/>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D-C78D-4476-954E-23C4993C7D8B}"/>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C78D-4476-954E-23C4993C7D8B}"/>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C78D-4476-954E-23C4993C7D8B}"/>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13-C78D-4476-954E-23C4993C7D8B}"/>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C78D-4476-954E-23C4993C7D8B}"/>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C78D-4476-954E-23C4993C7D8B}"/>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9-C78D-4476-954E-23C4993C7D8B}"/>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B-C78D-4476-954E-23C4993C7D8B}"/>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C78D-4476-954E-23C4993C7D8B}"/>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F-C78D-4476-954E-23C4993C7D8B}"/>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21-C78D-4476-954E-23C4993C7D8B}"/>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C78D-4476-954E-23C4993C7D8B}"/>
              </c:ext>
            </c:extLst>
          </c:dPt>
          <c:cat>
            <c:multiLvlStrRef>
              <c:f>Graphiques!$A$27:$B$49</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Graphiques!$C$27:$C$49</c:f>
              <c:numCache>
                <c:formatCode>General</c:formatCode>
                <c:ptCount val="23"/>
                <c:pt idx="0">
                  <c:v>9.66</c:v>
                </c:pt>
                <c:pt idx="1">
                  <c:v>9.77</c:v>
                </c:pt>
                <c:pt idx="2">
                  <c:v>9</c:v>
                </c:pt>
                <c:pt idx="4">
                  <c:v>10.77</c:v>
                </c:pt>
                <c:pt idx="5">
                  <c:v>10.44</c:v>
                </c:pt>
                <c:pt idx="6">
                  <c:v>10</c:v>
                </c:pt>
                <c:pt idx="8">
                  <c:v>10.11</c:v>
                </c:pt>
                <c:pt idx="9">
                  <c:v>10.77</c:v>
                </c:pt>
                <c:pt idx="10">
                  <c:v>9.8800000000000008</c:v>
                </c:pt>
                <c:pt idx="12">
                  <c:v>11.33</c:v>
                </c:pt>
                <c:pt idx="13">
                  <c:v>10.44</c:v>
                </c:pt>
                <c:pt idx="14">
                  <c:v>10.44</c:v>
                </c:pt>
                <c:pt idx="16">
                  <c:v>11.33</c:v>
                </c:pt>
                <c:pt idx="17">
                  <c:v>11</c:v>
                </c:pt>
                <c:pt idx="18">
                  <c:v>10.44</c:v>
                </c:pt>
                <c:pt idx="20">
                  <c:v>11.77</c:v>
                </c:pt>
                <c:pt idx="21">
                  <c:v>12</c:v>
                </c:pt>
                <c:pt idx="22">
                  <c:v>11.77</c:v>
                </c:pt>
              </c:numCache>
            </c:numRef>
          </c:val>
          <c:extLst>
            <c:ext xmlns:c16="http://schemas.microsoft.com/office/drawing/2014/chart" uri="{C3380CC4-5D6E-409C-BE32-E72D297353CC}">
              <c16:uniqueId val="{00000024-C78D-4476-954E-23C4993C7D8B}"/>
            </c:ext>
          </c:extLst>
        </c:ser>
        <c:dLbls>
          <c:showLegendKey val="0"/>
          <c:showVal val="0"/>
          <c:showCatName val="0"/>
          <c:showSerName val="0"/>
          <c:showPercent val="0"/>
          <c:showBubbleSize val="0"/>
        </c:dLbls>
        <c:gapWidth val="0"/>
        <c:overlap val="-27"/>
        <c:axId val="-871966224"/>
        <c:axId val="-871968400"/>
      </c:barChart>
      <c:catAx>
        <c:axId val="-871966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8400"/>
        <c:crosses val="autoZero"/>
        <c:auto val="1"/>
        <c:lblAlgn val="ctr"/>
        <c:lblOffset val="100"/>
        <c:noMultiLvlLbl val="0"/>
      </c:catAx>
      <c:valAx>
        <c:axId val="-8719684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Last day</a:t>
                </a:r>
                <a:r>
                  <a:rPr lang="fr-FR" sz="900" b="1" baseline="0">
                    <a:latin typeface="Arial" panose="020B0604020202020204" pitchFamily="34" charset="0"/>
                    <a:cs typeface="Arial" panose="020B0604020202020204" pitchFamily="34" charset="0"/>
                  </a:rPr>
                  <a:t> of Emergence</a:t>
                </a:r>
                <a:r>
                  <a:rPr lang="fr-FR" sz="900" b="1">
                    <a:latin typeface="Arial" panose="020B0604020202020204" pitchFamily="34" charset="0"/>
                    <a:cs typeface="Arial" panose="020B0604020202020204" pitchFamily="34" charset="0"/>
                  </a:rPr>
                  <a:t> (day)</a:t>
                </a:r>
              </a:p>
            </c:rich>
          </c:tx>
          <c:layout>
            <c:manualLayout>
              <c:xMode val="edge"/>
              <c:yMode val="edge"/>
              <c:x val="3.4268998817895864E-2"/>
              <c:y val="0.170218044268530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62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23070246140494"/>
          <c:y val="4.6768707482993201E-2"/>
          <c:w val="0.81268005869345072"/>
          <c:h val="0.74997857410680813"/>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6650-4290-A230-5E7120A61674}"/>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6650-4290-A230-5E7120A61674}"/>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5-6650-4290-A230-5E7120A61674}"/>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7-6650-4290-A230-5E7120A61674}"/>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6650-4290-A230-5E7120A61674}"/>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6650-4290-A230-5E7120A61674}"/>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D-6650-4290-A230-5E7120A61674}"/>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6650-4290-A230-5E7120A61674}"/>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6650-4290-A230-5E7120A61674}"/>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13-6650-4290-A230-5E7120A61674}"/>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6650-4290-A230-5E7120A61674}"/>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6650-4290-A230-5E7120A61674}"/>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9-6650-4290-A230-5E7120A61674}"/>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B-6650-4290-A230-5E7120A61674}"/>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6650-4290-A230-5E7120A61674}"/>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F-6650-4290-A230-5E7120A61674}"/>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21-6650-4290-A230-5E7120A61674}"/>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6650-4290-A230-5E7120A61674}"/>
              </c:ext>
            </c:extLst>
          </c:dPt>
          <c:cat>
            <c:multiLvlStrRef>
              <c:f>Graphiques!$A$51:$B$73</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Graphiques!$C$51:$C$73</c:f>
              <c:numCache>
                <c:formatCode>General</c:formatCode>
                <c:ptCount val="23"/>
                <c:pt idx="0">
                  <c:v>3.66</c:v>
                </c:pt>
                <c:pt idx="1">
                  <c:v>3.77</c:v>
                </c:pt>
                <c:pt idx="2">
                  <c:v>3</c:v>
                </c:pt>
                <c:pt idx="4">
                  <c:v>3.77</c:v>
                </c:pt>
                <c:pt idx="5">
                  <c:v>3.66</c:v>
                </c:pt>
                <c:pt idx="6">
                  <c:v>3.22</c:v>
                </c:pt>
                <c:pt idx="8">
                  <c:v>2.77</c:v>
                </c:pt>
                <c:pt idx="9">
                  <c:v>3.44</c:v>
                </c:pt>
                <c:pt idx="10">
                  <c:v>2.2200000000000002</c:v>
                </c:pt>
                <c:pt idx="12">
                  <c:v>3.55</c:v>
                </c:pt>
                <c:pt idx="13">
                  <c:v>2.77</c:v>
                </c:pt>
                <c:pt idx="14">
                  <c:v>2.11</c:v>
                </c:pt>
                <c:pt idx="16">
                  <c:v>3</c:v>
                </c:pt>
                <c:pt idx="17">
                  <c:v>2.5499999999999998</c:v>
                </c:pt>
                <c:pt idx="18">
                  <c:v>2.11</c:v>
                </c:pt>
                <c:pt idx="20">
                  <c:v>2.88</c:v>
                </c:pt>
                <c:pt idx="21">
                  <c:v>3.11</c:v>
                </c:pt>
                <c:pt idx="22">
                  <c:v>2.88</c:v>
                </c:pt>
              </c:numCache>
            </c:numRef>
          </c:val>
          <c:extLst>
            <c:ext xmlns:c16="http://schemas.microsoft.com/office/drawing/2014/chart" uri="{C3380CC4-5D6E-409C-BE32-E72D297353CC}">
              <c16:uniqueId val="{00000024-6650-4290-A230-5E7120A61674}"/>
            </c:ext>
          </c:extLst>
        </c:ser>
        <c:dLbls>
          <c:showLegendKey val="0"/>
          <c:showVal val="0"/>
          <c:showCatName val="0"/>
          <c:showSerName val="0"/>
          <c:showPercent val="0"/>
          <c:showBubbleSize val="0"/>
        </c:dLbls>
        <c:gapWidth val="0"/>
        <c:overlap val="-27"/>
        <c:axId val="-871961872"/>
        <c:axId val="-871965680"/>
      </c:barChart>
      <c:catAx>
        <c:axId val="-8719618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5680"/>
        <c:crosses val="autoZero"/>
        <c:auto val="1"/>
        <c:lblAlgn val="ctr"/>
        <c:lblOffset val="100"/>
        <c:noMultiLvlLbl val="0"/>
      </c:catAx>
      <c:valAx>
        <c:axId val="-871965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Tmie Spread of Emergence</a:t>
                </a:r>
                <a:r>
                  <a:rPr lang="fr-FR" sz="900" b="1" baseline="0">
                    <a:latin typeface="Arial" panose="020B0604020202020204" pitchFamily="34" charset="0"/>
                    <a:cs typeface="Arial" panose="020B0604020202020204" pitchFamily="34" charset="0"/>
                  </a:rPr>
                  <a:t> </a:t>
                </a:r>
                <a:r>
                  <a:rPr lang="fr-FR" sz="900" b="1">
                    <a:latin typeface="Arial" panose="020B0604020202020204" pitchFamily="34" charset="0"/>
                    <a:cs typeface="Arial" panose="020B0604020202020204" pitchFamily="34" charset="0"/>
                  </a:rPr>
                  <a:t>(day)</a:t>
                </a:r>
              </a:p>
            </c:rich>
          </c:tx>
          <c:layout>
            <c:manualLayout>
              <c:xMode val="edge"/>
              <c:yMode val="edge"/>
              <c:x val="3.6133413933494535E-2"/>
              <c:y val="0.1410292463442069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1872"/>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0831059483901"/>
          <c:y val="4.6296296296296294E-2"/>
          <c:w val="0.79948805904212472"/>
          <c:h val="0.76058026530467471"/>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09BB-41F8-B833-FE0DDB66A5D1}"/>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09BB-41F8-B833-FE0DDB66A5D1}"/>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09BB-41F8-B833-FE0DDB66A5D1}"/>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09BB-41F8-B833-FE0DDB66A5D1}"/>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09BB-41F8-B833-FE0DDB66A5D1}"/>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09BB-41F8-B833-FE0DDB66A5D1}"/>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09BB-41F8-B833-FE0DDB66A5D1}"/>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09BB-41F8-B833-FE0DDB66A5D1}"/>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09BB-41F8-B833-FE0DDB66A5D1}"/>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09BB-41F8-B833-FE0DDB66A5D1}"/>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09BB-41F8-B833-FE0DDB66A5D1}"/>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09BB-41F8-B833-FE0DDB66A5D1}"/>
              </c:ext>
            </c:extLst>
          </c:dPt>
          <c:cat>
            <c:multiLvlStrRef>
              <c:f>Graphiques!$A$75:$B$97</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Graphiques!$C$75:$C$97</c:f>
              <c:numCache>
                <c:formatCode>General</c:formatCode>
                <c:ptCount val="23"/>
                <c:pt idx="0">
                  <c:v>92.22</c:v>
                </c:pt>
                <c:pt idx="1">
                  <c:v>96.66</c:v>
                </c:pt>
                <c:pt idx="2">
                  <c:v>98.88</c:v>
                </c:pt>
                <c:pt idx="4">
                  <c:v>91.11</c:v>
                </c:pt>
                <c:pt idx="5">
                  <c:v>92.22</c:v>
                </c:pt>
                <c:pt idx="6">
                  <c:v>94.44</c:v>
                </c:pt>
                <c:pt idx="8">
                  <c:v>77.77</c:v>
                </c:pt>
                <c:pt idx="9">
                  <c:v>84.44</c:v>
                </c:pt>
                <c:pt idx="10">
                  <c:v>96.66</c:v>
                </c:pt>
                <c:pt idx="12">
                  <c:v>57.77</c:v>
                </c:pt>
                <c:pt idx="13">
                  <c:v>85.55</c:v>
                </c:pt>
                <c:pt idx="14">
                  <c:v>93.33</c:v>
                </c:pt>
                <c:pt idx="16">
                  <c:v>58.88</c:v>
                </c:pt>
                <c:pt idx="17">
                  <c:v>82.22</c:v>
                </c:pt>
                <c:pt idx="18">
                  <c:v>93.33</c:v>
                </c:pt>
                <c:pt idx="20">
                  <c:v>55.55</c:v>
                </c:pt>
                <c:pt idx="21">
                  <c:v>85.55</c:v>
                </c:pt>
                <c:pt idx="22">
                  <c:v>87.77</c:v>
                </c:pt>
              </c:numCache>
            </c:numRef>
          </c:val>
          <c:extLst>
            <c:ext xmlns:c16="http://schemas.microsoft.com/office/drawing/2014/chart" uri="{C3380CC4-5D6E-409C-BE32-E72D297353CC}">
              <c16:uniqueId val="{00000018-09BB-41F8-B833-FE0DDB66A5D1}"/>
            </c:ext>
          </c:extLst>
        </c:ser>
        <c:dLbls>
          <c:showLegendKey val="0"/>
          <c:showVal val="0"/>
          <c:showCatName val="0"/>
          <c:showSerName val="0"/>
          <c:showPercent val="0"/>
          <c:showBubbleSize val="0"/>
        </c:dLbls>
        <c:gapWidth val="0"/>
        <c:overlap val="-27"/>
        <c:axId val="-871974384"/>
        <c:axId val="-871967856"/>
      </c:barChart>
      <c:catAx>
        <c:axId val="-8719743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7856"/>
        <c:crosses val="autoZero"/>
        <c:auto val="1"/>
        <c:lblAlgn val="ctr"/>
        <c:lblOffset val="100"/>
        <c:noMultiLvlLbl val="0"/>
      </c:catAx>
      <c:valAx>
        <c:axId val="-8719678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Emergence Percentage (%)</a:t>
                </a:r>
              </a:p>
            </c:rich>
          </c:tx>
          <c:layout>
            <c:manualLayout>
              <c:xMode val="edge"/>
              <c:yMode val="edge"/>
              <c:x val="4.5409356725146198E-2"/>
              <c:y val="0.1454666666666666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4384"/>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1115217740636"/>
          <c:y val="7.9588014981273408E-2"/>
          <c:w val="0.81037388183619907"/>
          <c:h val="0.66638576779026215"/>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1F13-4D78-B5E1-57C99B584C1C}"/>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1F13-4D78-B5E1-57C99B584C1C}"/>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1F13-4D78-B5E1-57C99B584C1C}"/>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1F13-4D78-B5E1-57C99B584C1C}"/>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1F13-4D78-B5E1-57C99B584C1C}"/>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1F13-4D78-B5E1-57C99B584C1C}"/>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1F13-4D78-B5E1-57C99B584C1C}"/>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1F13-4D78-B5E1-57C99B584C1C}"/>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1F13-4D78-B5E1-57C99B584C1C}"/>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1F13-4D78-B5E1-57C99B584C1C}"/>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1F13-4D78-B5E1-57C99B584C1C}"/>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1F13-4D78-B5E1-57C99B584C1C}"/>
              </c:ext>
            </c:extLst>
          </c:dPt>
          <c:cat>
            <c:multiLvlStrRef>
              <c:f>Graphiques!$A$99:$B$121</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Graphiques!$C$99:$C$121</c:f>
              <c:numCache>
                <c:formatCode>General</c:formatCode>
                <c:ptCount val="23"/>
                <c:pt idx="0">
                  <c:v>7.85</c:v>
                </c:pt>
                <c:pt idx="1">
                  <c:v>8.0399999999999991</c:v>
                </c:pt>
                <c:pt idx="2">
                  <c:v>7.72</c:v>
                </c:pt>
                <c:pt idx="4">
                  <c:v>8.6300000000000008</c:v>
                </c:pt>
                <c:pt idx="5">
                  <c:v>8.67</c:v>
                </c:pt>
                <c:pt idx="6">
                  <c:v>8.64</c:v>
                </c:pt>
                <c:pt idx="8">
                  <c:v>8.26</c:v>
                </c:pt>
                <c:pt idx="9">
                  <c:v>8.8699999999999992</c:v>
                </c:pt>
                <c:pt idx="10">
                  <c:v>8.81</c:v>
                </c:pt>
                <c:pt idx="12">
                  <c:v>9.41</c:v>
                </c:pt>
                <c:pt idx="13">
                  <c:v>9.42</c:v>
                </c:pt>
                <c:pt idx="14">
                  <c:v>8.98</c:v>
                </c:pt>
                <c:pt idx="16">
                  <c:v>9.6199999999999992</c:v>
                </c:pt>
                <c:pt idx="17">
                  <c:v>9.69</c:v>
                </c:pt>
                <c:pt idx="18">
                  <c:v>9.32</c:v>
                </c:pt>
                <c:pt idx="20">
                  <c:v>10.07</c:v>
                </c:pt>
                <c:pt idx="21">
                  <c:v>10.220000000000001</c:v>
                </c:pt>
                <c:pt idx="22">
                  <c:v>10.24</c:v>
                </c:pt>
              </c:numCache>
            </c:numRef>
          </c:val>
          <c:extLst>
            <c:ext xmlns:c16="http://schemas.microsoft.com/office/drawing/2014/chart" uri="{C3380CC4-5D6E-409C-BE32-E72D297353CC}">
              <c16:uniqueId val="{00000018-1F13-4D78-B5E1-57C99B584C1C}"/>
            </c:ext>
          </c:extLst>
        </c:ser>
        <c:dLbls>
          <c:showLegendKey val="0"/>
          <c:showVal val="0"/>
          <c:showCatName val="0"/>
          <c:showSerName val="0"/>
          <c:showPercent val="0"/>
          <c:showBubbleSize val="0"/>
        </c:dLbls>
        <c:gapWidth val="0"/>
        <c:overlap val="-27"/>
        <c:axId val="-871967312"/>
        <c:axId val="-871970576"/>
      </c:barChart>
      <c:catAx>
        <c:axId val="-8719673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 texture and sowing depth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0576"/>
        <c:crosses val="autoZero"/>
        <c:auto val="1"/>
        <c:lblAlgn val="ctr"/>
        <c:lblOffset val="100"/>
        <c:noMultiLvlLbl val="0"/>
      </c:catAx>
      <c:valAx>
        <c:axId val="-8719705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Mean Emergence Time (day)</a:t>
                </a:r>
              </a:p>
            </c:rich>
          </c:tx>
          <c:layout>
            <c:manualLayout>
              <c:xMode val="edge"/>
              <c:yMode val="edge"/>
              <c:x val="4.1695906432748536E-2"/>
              <c:y val="0.102696153846153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alpha val="9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73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8490946207481"/>
          <c:y val="5.5698371893744644E-2"/>
          <c:w val="0.81617805350088812"/>
          <c:h val="0.7094899769919506"/>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BFC6-4710-975A-8906E3BEA37F}"/>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BFC6-4710-975A-8906E3BEA37F}"/>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BFC6-4710-975A-8906E3BEA37F}"/>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BFC6-4710-975A-8906E3BEA37F}"/>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BFC6-4710-975A-8906E3BEA37F}"/>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BFC6-4710-975A-8906E3BEA37F}"/>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BFC6-4710-975A-8906E3BEA37F}"/>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BFC6-4710-975A-8906E3BEA37F}"/>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BFC6-4710-975A-8906E3BEA37F}"/>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BFC6-4710-975A-8906E3BEA37F}"/>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BFC6-4710-975A-8906E3BEA37F}"/>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BFC6-4710-975A-8906E3BEA37F}"/>
              </c:ext>
            </c:extLst>
          </c:dPt>
          <c:cat>
            <c:multiLvlStrRef>
              <c:f>Graphiques!$A$171:$B$193</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Graphiques!$C$171:$C$193</c:f>
              <c:numCache>
                <c:formatCode>General</c:formatCode>
                <c:ptCount val="23"/>
                <c:pt idx="0">
                  <c:v>12.75</c:v>
                </c:pt>
                <c:pt idx="1">
                  <c:v>12.45</c:v>
                </c:pt>
                <c:pt idx="2">
                  <c:v>12.95</c:v>
                </c:pt>
                <c:pt idx="4">
                  <c:v>11.62</c:v>
                </c:pt>
                <c:pt idx="5">
                  <c:v>11.54</c:v>
                </c:pt>
                <c:pt idx="6">
                  <c:v>11.85</c:v>
                </c:pt>
                <c:pt idx="8">
                  <c:v>12.12</c:v>
                </c:pt>
                <c:pt idx="9">
                  <c:v>11.27</c:v>
                </c:pt>
                <c:pt idx="10">
                  <c:v>11.37</c:v>
                </c:pt>
                <c:pt idx="12">
                  <c:v>10.65</c:v>
                </c:pt>
                <c:pt idx="13">
                  <c:v>10.64</c:v>
                </c:pt>
                <c:pt idx="14">
                  <c:v>11.15</c:v>
                </c:pt>
                <c:pt idx="16">
                  <c:v>10.41</c:v>
                </c:pt>
                <c:pt idx="17">
                  <c:v>10.32</c:v>
                </c:pt>
                <c:pt idx="18">
                  <c:v>10.74</c:v>
                </c:pt>
                <c:pt idx="20">
                  <c:v>9.9499999999999993</c:v>
                </c:pt>
                <c:pt idx="21">
                  <c:v>9.7799999999999994</c:v>
                </c:pt>
                <c:pt idx="22">
                  <c:v>9.76</c:v>
                </c:pt>
              </c:numCache>
            </c:numRef>
          </c:val>
          <c:extLst>
            <c:ext xmlns:c16="http://schemas.microsoft.com/office/drawing/2014/chart" uri="{C3380CC4-5D6E-409C-BE32-E72D297353CC}">
              <c16:uniqueId val="{00000018-BFC6-4710-975A-8906E3BEA37F}"/>
            </c:ext>
          </c:extLst>
        </c:ser>
        <c:dLbls>
          <c:showLegendKey val="0"/>
          <c:showVal val="0"/>
          <c:showCatName val="0"/>
          <c:showSerName val="0"/>
          <c:showPercent val="0"/>
          <c:showBubbleSize val="0"/>
        </c:dLbls>
        <c:gapWidth val="0"/>
        <c:overlap val="-27"/>
        <c:axId val="-871966768"/>
        <c:axId val="-871965136"/>
      </c:barChart>
      <c:catAx>
        <c:axId val="-8719667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 texture and sowing depth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5136"/>
        <c:crosses val="autoZero"/>
        <c:auto val="1"/>
        <c:lblAlgn val="ctr"/>
        <c:lblOffset val="100"/>
        <c:noMultiLvlLbl val="0"/>
      </c:catAx>
      <c:valAx>
        <c:axId val="-8719651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Coefficient of Velocity of Emergence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67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0.28873</cdr:x>
      <cdr:y>0.24389</cdr:y>
    </cdr:from>
    <cdr:to>
      <cdr:x>0.37525</cdr:x>
      <cdr:y>0.33326</cdr:y>
    </cdr:to>
    <cdr:sp macro="" textlink="">
      <cdr:nvSpPr>
        <cdr:cNvPr id="5" name="ZoneTexte 1"/>
        <cdr:cNvSpPr txBox="1"/>
      </cdr:nvSpPr>
      <cdr:spPr>
        <a:xfrm xmlns:a="http://schemas.openxmlformats.org/drawingml/2006/main">
          <a:off x="983692" y="578802"/>
          <a:ext cx="294775" cy="2120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0.49505</cdr:x>
      <cdr:y>0.20997</cdr:y>
    </cdr:from>
    <cdr:to>
      <cdr:x>0.58515</cdr:x>
      <cdr:y>0.29934</cdr:y>
    </cdr:to>
    <cdr:sp macro="" textlink="">
      <cdr:nvSpPr>
        <cdr:cNvPr id="10" name="ZoneTexte 1"/>
        <cdr:cNvSpPr txBox="1"/>
      </cdr:nvSpPr>
      <cdr:spPr>
        <a:xfrm xmlns:a="http://schemas.openxmlformats.org/drawingml/2006/main">
          <a:off x="1686616" y="498303"/>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0.60394</cdr:x>
      <cdr:y>0.14795</cdr:y>
    </cdr:from>
    <cdr:to>
      <cdr:x>0.67227</cdr:x>
      <cdr:y>0.23732</cdr:y>
    </cdr:to>
    <cdr:sp macro="" textlink="">
      <cdr:nvSpPr>
        <cdr:cNvPr id="11" name="ZoneTexte 1"/>
        <cdr:cNvSpPr txBox="1"/>
      </cdr:nvSpPr>
      <cdr:spPr>
        <a:xfrm xmlns:a="http://schemas.openxmlformats.org/drawingml/2006/main">
          <a:off x="2057610" y="35111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0.64257</cdr:x>
      <cdr:y>0.19426</cdr:y>
    </cdr:from>
    <cdr:to>
      <cdr:x>0.7109</cdr:x>
      <cdr:y>0.28363</cdr:y>
    </cdr:to>
    <cdr:sp macro="" textlink="">
      <cdr:nvSpPr>
        <cdr:cNvPr id="12" name="ZoneTexte 1"/>
        <cdr:cNvSpPr txBox="1"/>
      </cdr:nvSpPr>
      <cdr:spPr>
        <a:xfrm xmlns:a="http://schemas.openxmlformats.org/drawingml/2006/main">
          <a:off x="2189221" y="461020"/>
          <a:ext cx="23279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0.57223</cdr:x>
      <cdr:y>0.18271</cdr:y>
    </cdr:from>
    <cdr:to>
      <cdr:x>0.64056</cdr:x>
      <cdr:y>0.27208</cdr:y>
    </cdr:to>
    <cdr:sp macro="" textlink="">
      <cdr:nvSpPr>
        <cdr:cNvPr id="13" name="ZoneTexte 1"/>
        <cdr:cNvSpPr txBox="1"/>
      </cdr:nvSpPr>
      <cdr:spPr>
        <a:xfrm xmlns:a="http://schemas.openxmlformats.org/drawingml/2006/main">
          <a:off x="1949574" y="433610"/>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0.73785</cdr:x>
      <cdr:y>0.11438</cdr:y>
    </cdr:from>
    <cdr:to>
      <cdr:x>0.80619</cdr:x>
      <cdr:y>0.20375</cdr:y>
    </cdr:to>
    <cdr:sp macro="" textlink="">
      <cdr:nvSpPr>
        <cdr:cNvPr id="14" name="ZoneTexte 1"/>
        <cdr:cNvSpPr txBox="1"/>
      </cdr:nvSpPr>
      <cdr:spPr>
        <a:xfrm xmlns:a="http://schemas.openxmlformats.org/drawingml/2006/main">
          <a:off x="2918020" y="366077"/>
          <a:ext cx="270270" cy="2860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0.69525</cdr:x>
      <cdr:y>0.12891</cdr:y>
    </cdr:from>
    <cdr:to>
      <cdr:x>0.77716</cdr:x>
      <cdr:y>0.21828</cdr:y>
    </cdr:to>
    <cdr:sp macro="" textlink="">
      <cdr:nvSpPr>
        <cdr:cNvPr id="15" name="ZoneTexte 1"/>
        <cdr:cNvSpPr txBox="1"/>
      </cdr:nvSpPr>
      <cdr:spPr>
        <a:xfrm xmlns:a="http://schemas.openxmlformats.org/drawingml/2006/main">
          <a:off x="2368715" y="305930"/>
          <a:ext cx="279052"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0.77627</cdr:x>
      <cdr:y>0.15626</cdr:y>
    </cdr:from>
    <cdr:to>
      <cdr:x>0.8446</cdr:x>
      <cdr:y>0.24563</cdr:y>
    </cdr:to>
    <cdr:sp macro="" textlink="">
      <cdr:nvSpPr>
        <cdr:cNvPr id="16" name="ZoneTexte 1"/>
        <cdr:cNvSpPr txBox="1"/>
      </cdr:nvSpPr>
      <cdr:spPr>
        <a:xfrm xmlns:a="http://schemas.openxmlformats.org/drawingml/2006/main">
          <a:off x="2644731" y="370839"/>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0.84365</cdr:x>
      <cdr:y>0.09747</cdr:y>
    </cdr:from>
    <cdr:to>
      <cdr:x>0.91199</cdr:x>
      <cdr:y>0.18684</cdr:y>
    </cdr:to>
    <cdr:sp macro="" textlink="">
      <cdr:nvSpPr>
        <cdr:cNvPr id="17" name="ZoneTexte 1"/>
        <cdr:cNvSpPr txBox="1"/>
      </cdr:nvSpPr>
      <cdr:spPr>
        <a:xfrm xmlns:a="http://schemas.openxmlformats.org/drawingml/2006/main">
          <a:off x="2874292" y="231316"/>
          <a:ext cx="232832"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0.87985</cdr:x>
      <cdr:y>0.10167</cdr:y>
    </cdr:from>
    <cdr:to>
      <cdr:x>0.97768</cdr:x>
      <cdr:y>0.19104</cdr:y>
    </cdr:to>
    <cdr:sp macro="" textlink="">
      <cdr:nvSpPr>
        <cdr:cNvPr id="18" name="ZoneTexte 1"/>
        <cdr:cNvSpPr txBox="1"/>
      </cdr:nvSpPr>
      <cdr:spPr>
        <a:xfrm xmlns:a="http://schemas.openxmlformats.org/drawingml/2006/main">
          <a:off x="2997634" y="241284"/>
          <a:ext cx="333304"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0.91744</cdr:x>
      <cdr:y>0.13058</cdr:y>
    </cdr:from>
    <cdr:to>
      <cdr:x>0.98577</cdr:x>
      <cdr:y>0.21995</cdr:y>
    </cdr:to>
    <cdr:sp macro="" textlink="">
      <cdr:nvSpPr>
        <cdr:cNvPr id="19" name="ZoneTexte 1"/>
        <cdr:cNvSpPr txBox="1"/>
      </cdr:nvSpPr>
      <cdr:spPr>
        <a:xfrm xmlns:a="http://schemas.openxmlformats.org/drawingml/2006/main">
          <a:off x="3125697" y="309893"/>
          <a:ext cx="23279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0.42782</cdr:x>
      <cdr:y>0.21653</cdr:y>
    </cdr:from>
    <cdr:to>
      <cdr:x>0.51792</cdr:x>
      <cdr:y>0.3059</cdr:y>
    </cdr:to>
    <cdr:sp macro="" textlink="">
      <cdr:nvSpPr>
        <cdr:cNvPr id="20" name="ZoneTexte 1"/>
        <cdr:cNvSpPr txBox="1"/>
      </cdr:nvSpPr>
      <cdr:spPr>
        <a:xfrm xmlns:a="http://schemas.openxmlformats.org/drawingml/2006/main">
          <a:off x="1457569" y="513862"/>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0.46223</cdr:x>
      <cdr:y>0.21653</cdr:y>
    </cdr:from>
    <cdr:to>
      <cdr:x>0.55233</cdr:x>
      <cdr:y>0.3059</cdr:y>
    </cdr:to>
    <cdr:sp macro="" textlink="">
      <cdr:nvSpPr>
        <cdr:cNvPr id="21" name="ZoneTexte 1"/>
        <cdr:cNvSpPr txBox="1"/>
      </cdr:nvSpPr>
      <cdr:spPr>
        <a:xfrm xmlns:a="http://schemas.openxmlformats.org/drawingml/2006/main">
          <a:off x="1574800" y="513861"/>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0.36244</cdr:x>
      <cdr:y>0.25604</cdr:y>
    </cdr:from>
    <cdr:to>
      <cdr:x>0.43077</cdr:x>
      <cdr:y>0.34541</cdr:y>
    </cdr:to>
    <cdr:sp macro="" textlink="">
      <cdr:nvSpPr>
        <cdr:cNvPr id="22" name="ZoneTexte 1"/>
        <cdr:cNvSpPr txBox="1"/>
      </cdr:nvSpPr>
      <cdr:spPr>
        <a:xfrm xmlns:a="http://schemas.openxmlformats.org/drawingml/2006/main">
          <a:off x="1234831" y="60764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0.32975</cdr:x>
      <cdr:y>0.25604</cdr:y>
    </cdr:from>
    <cdr:to>
      <cdr:x>0.39808</cdr:x>
      <cdr:y>0.34541</cdr:y>
    </cdr:to>
    <cdr:sp macro="" textlink="">
      <cdr:nvSpPr>
        <cdr:cNvPr id="23" name="ZoneTexte 1"/>
        <cdr:cNvSpPr txBox="1"/>
      </cdr:nvSpPr>
      <cdr:spPr>
        <a:xfrm xmlns:a="http://schemas.openxmlformats.org/drawingml/2006/main">
          <a:off x="1123461" y="60764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0.15599</cdr:x>
      <cdr:y>0.31532</cdr:y>
    </cdr:from>
    <cdr:to>
      <cdr:x>0.22432</cdr:x>
      <cdr:y>0.40469</cdr:y>
    </cdr:to>
    <cdr:sp macro="" textlink="">
      <cdr:nvSpPr>
        <cdr:cNvPr id="24" name="ZoneTexte 1"/>
        <cdr:cNvSpPr txBox="1"/>
      </cdr:nvSpPr>
      <cdr:spPr>
        <a:xfrm xmlns:a="http://schemas.openxmlformats.org/drawingml/2006/main">
          <a:off x="531446" y="748323"/>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0.1925</cdr:x>
      <cdr:y>0.31501</cdr:y>
    </cdr:from>
    <cdr:to>
      <cdr:x>0.26083</cdr:x>
      <cdr:y>0.40438</cdr:y>
    </cdr:to>
    <cdr:sp macro="" textlink="">
      <cdr:nvSpPr>
        <cdr:cNvPr id="25" name="ZoneTexte 1"/>
        <cdr:cNvSpPr txBox="1"/>
      </cdr:nvSpPr>
      <cdr:spPr>
        <a:xfrm xmlns:a="http://schemas.openxmlformats.org/drawingml/2006/main">
          <a:off x="658437" y="741247"/>
          <a:ext cx="233714" cy="2102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0.22825</cdr:x>
      <cdr:y>0.31038</cdr:y>
    </cdr:from>
    <cdr:to>
      <cdr:x>0.29658</cdr:x>
      <cdr:y>0.39975</cdr:y>
    </cdr:to>
    <cdr:sp macro="" textlink="">
      <cdr:nvSpPr>
        <cdr:cNvPr id="26" name="ZoneTexte 1"/>
        <cdr:cNvSpPr txBox="1"/>
      </cdr:nvSpPr>
      <cdr:spPr>
        <a:xfrm xmlns:a="http://schemas.openxmlformats.org/drawingml/2006/main">
          <a:off x="777631" y="736600"/>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2.xml><?xml version="1.0" encoding="utf-8"?>
<c:userShapes xmlns:c="http://schemas.openxmlformats.org/drawingml/2006/chart">
  <cdr:relSizeAnchor xmlns:cdr="http://schemas.openxmlformats.org/drawingml/2006/chartDrawing">
    <cdr:from>
      <cdr:x>0.69136</cdr:x>
      <cdr:y>0.13212</cdr:y>
    </cdr:from>
    <cdr:to>
      <cdr:x>0.78075</cdr:x>
      <cdr:y>0.22209</cdr:y>
    </cdr:to>
    <cdr:sp macro="" textlink="">
      <cdr:nvSpPr>
        <cdr:cNvPr id="14" name="ZoneTexte 1"/>
        <cdr:cNvSpPr txBox="1"/>
      </cdr:nvSpPr>
      <cdr:spPr>
        <a:xfrm xmlns:a="http://schemas.openxmlformats.org/drawingml/2006/main">
          <a:off x="2368732" y="308799"/>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0.82798</cdr:x>
      <cdr:y>0.11095</cdr:y>
    </cdr:from>
    <cdr:to>
      <cdr:x>0.92489</cdr:x>
      <cdr:y>0.20092</cdr:y>
    </cdr:to>
    <cdr:sp macro="" textlink="">
      <cdr:nvSpPr>
        <cdr:cNvPr id="17" name="ZoneTexte 1"/>
        <cdr:cNvSpPr txBox="1"/>
      </cdr:nvSpPr>
      <cdr:spPr>
        <a:xfrm xmlns:a="http://schemas.openxmlformats.org/drawingml/2006/main">
          <a:off x="2836817" y="259314"/>
          <a:ext cx="33201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0.88041</cdr:x>
      <cdr:y>0.09419</cdr:y>
    </cdr:from>
    <cdr:to>
      <cdr:x>0.94865</cdr:x>
      <cdr:y>0.18416</cdr:y>
    </cdr:to>
    <cdr:sp macro="" textlink="">
      <cdr:nvSpPr>
        <cdr:cNvPr id="18" name="ZoneTexte 1"/>
        <cdr:cNvSpPr txBox="1"/>
      </cdr:nvSpPr>
      <cdr:spPr>
        <a:xfrm xmlns:a="http://schemas.openxmlformats.org/drawingml/2006/main">
          <a:off x="3515386" y="286366"/>
          <a:ext cx="272474"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0.91562</cdr:x>
      <cdr:y>0.11095</cdr:y>
    </cdr:from>
    <cdr:to>
      <cdr:x>1</cdr:x>
      <cdr:y>0.20092</cdr:y>
    </cdr:to>
    <cdr:sp macro="" textlink="">
      <cdr:nvSpPr>
        <cdr:cNvPr id="19" name="ZoneTexte 1"/>
        <cdr:cNvSpPr txBox="1"/>
      </cdr:nvSpPr>
      <cdr:spPr>
        <a:xfrm xmlns:a="http://schemas.openxmlformats.org/drawingml/2006/main">
          <a:off x="3655961" y="337330"/>
          <a:ext cx="336919"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0.55495</cdr:x>
      <cdr:y>0.13351</cdr:y>
    </cdr:from>
    <cdr:to>
      <cdr:x>0.64434</cdr:x>
      <cdr:y>0.22348</cdr:y>
    </cdr:to>
    <cdr:sp macro="" textlink="">
      <cdr:nvSpPr>
        <cdr:cNvPr id="20" name="ZoneTexte 1"/>
        <cdr:cNvSpPr txBox="1"/>
      </cdr:nvSpPr>
      <cdr:spPr>
        <a:xfrm xmlns:a="http://schemas.openxmlformats.org/drawingml/2006/main">
          <a:off x="1901371" y="3120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0.7297</cdr:x>
      <cdr:y>0.15214</cdr:y>
    </cdr:from>
    <cdr:to>
      <cdr:x>0.81909</cdr:x>
      <cdr:y>0.24211</cdr:y>
    </cdr:to>
    <cdr:sp macro="" textlink="">
      <cdr:nvSpPr>
        <cdr:cNvPr id="21" name="ZoneTexte 1"/>
        <cdr:cNvSpPr txBox="1"/>
      </cdr:nvSpPr>
      <cdr:spPr>
        <a:xfrm xmlns:a="http://schemas.openxmlformats.org/drawingml/2006/main">
          <a:off x="2500086" y="355600"/>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0.27218</cdr:x>
      <cdr:y>0.16378</cdr:y>
    </cdr:from>
    <cdr:to>
      <cdr:x>0.36157</cdr:x>
      <cdr:y>0.25375</cdr:y>
    </cdr:to>
    <cdr:sp macro="" textlink="">
      <cdr:nvSpPr>
        <cdr:cNvPr id="22" name="ZoneTexte 1"/>
        <cdr:cNvSpPr txBox="1"/>
      </cdr:nvSpPr>
      <cdr:spPr>
        <a:xfrm xmlns:a="http://schemas.openxmlformats.org/drawingml/2006/main">
          <a:off x="932543" y="382815"/>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0.44693</cdr:x>
      <cdr:y>0.16378</cdr:y>
    </cdr:from>
    <cdr:to>
      <cdr:x>0.53631</cdr:x>
      <cdr:y>0.25375</cdr:y>
    </cdr:to>
    <cdr:sp macro="" textlink="">
      <cdr:nvSpPr>
        <cdr:cNvPr id="23" name="ZoneTexte 1"/>
        <cdr:cNvSpPr txBox="1"/>
      </cdr:nvSpPr>
      <cdr:spPr>
        <a:xfrm xmlns:a="http://schemas.openxmlformats.org/drawingml/2006/main">
          <a:off x="1531257" y="382815"/>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0.31349</cdr:x>
      <cdr:y>0.18241</cdr:y>
    </cdr:from>
    <cdr:to>
      <cdr:x>0.40287</cdr:x>
      <cdr:y>0.27238</cdr:y>
    </cdr:to>
    <cdr:sp macro="" textlink="">
      <cdr:nvSpPr>
        <cdr:cNvPr id="24" name="ZoneTexte 1"/>
        <cdr:cNvSpPr txBox="1"/>
      </cdr:nvSpPr>
      <cdr:spPr>
        <a:xfrm xmlns:a="http://schemas.openxmlformats.org/drawingml/2006/main">
          <a:off x="1074057"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0.5899</cdr:x>
      <cdr:y>0.18241</cdr:y>
    </cdr:from>
    <cdr:to>
      <cdr:x>0.67929</cdr:x>
      <cdr:y>0.27238</cdr:y>
    </cdr:to>
    <cdr:sp macro="" textlink="">
      <cdr:nvSpPr>
        <cdr:cNvPr id="25" name="ZoneTexte 1"/>
        <cdr:cNvSpPr txBox="1"/>
      </cdr:nvSpPr>
      <cdr:spPr>
        <a:xfrm xmlns:a="http://schemas.openxmlformats.org/drawingml/2006/main">
          <a:off x="2021115"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0.62327</cdr:x>
      <cdr:y>0.18241</cdr:y>
    </cdr:from>
    <cdr:to>
      <cdr:x>0.71265</cdr:x>
      <cdr:y>0.27238</cdr:y>
    </cdr:to>
    <cdr:sp macro="" textlink="">
      <cdr:nvSpPr>
        <cdr:cNvPr id="26" name="ZoneTexte 1"/>
        <cdr:cNvSpPr txBox="1"/>
      </cdr:nvSpPr>
      <cdr:spPr>
        <a:xfrm xmlns:a="http://schemas.openxmlformats.org/drawingml/2006/main">
          <a:off x="2135415"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0.77865</cdr:x>
      <cdr:y>0.17973</cdr:y>
    </cdr:from>
    <cdr:to>
      <cdr:x>0.86804</cdr:x>
      <cdr:y>0.2697</cdr:y>
    </cdr:to>
    <cdr:sp macro="" textlink="">
      <cdr:nvSpPr>
        <cdr:cNvPr id="27" name="ZoneTexte 1"/>
        <cdr:cNvSpPr txBox="1"/>
      </cdr:nvSpPr>
      <cdr:spPr>
        <a:xfrm xmlns:a="http://schemas.openxmlformats.org/drawingml/2006/main">
          <a:off x="3109038" y="546440"/>
          <a:ext cx="356924"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0.41357</cdr:x>
      <cdr:y>0.20104</cdr:y>
    </cdr:from>
    <cdr:to>
      <cdr:x>0.50295</cdr:x>
      <cdr:y>0.29101</cdr:y>
    </cdr:to>
    <cdr:sp macro="" textlink="">
      <cdr:nvSpPr>
        <cdr:cNvPr id="28" name="ZoneTexte 1"/>
        <cdr:cNvSpPr txBox="1"/>
      </cdr:nvSpPr>
      <cdr:spPr>
        <a:xfrm xmlns:a="http://schemas.openxmlformats.org/drawingml/2006/main">
          <a:off x="1416957" y="469900"/>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0.35002</cdr:x>
      <cdr:y>0.20337</cdr:y>
    </cdr:from>
    <cdr:to>
      <cdr:x>0.43941</cdr:x>
      <cdr:y>0.29334</cdr:y>
    </cdr:to>
    <cdr:sp macro="" textlink="">
      <cdr:nvSpPr>
        <cdr:cNvPr id="29" name="ZoneTexte 1"/>
        <cdr:cNvSpPr txBox="1"/>
      </cdr:nvSpPr>
      <cdr:spPr>
        <a:xfrm xmlns:a="http://schemas.openxmlformats.org/drawingml/2006/main">
          <a:off x="1199243" y="475343"/>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0.48506</cdr:x>
      <cdr:y>0.2057</cdr:y>
    </cdr:from>
    <cdr:to>
      <cdr:x>0.57444</cdr:x>
      <cdr:y>0.29567</cdr:y>
    </cdr:to>
    <cdr:sp macro="" textlink="">
      <cdr:nvSpPr>
        <cdr:cNvPr id="30" name="ZoneTexte 1"/>
        <cdr:cNvSpPr txBox="1"/>
      </cdr:nvSpPr>
      <cdr:spPr>
        <a:xfrm xmlns:a="http://schemas.openxmlformats.org/drawingml/2006/main">
          <a:off x="1661886" y="480786"/>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0.20131</cdr:x>
      <cdr:y>0.24762</cdr:y>
    </cdr:from>
    <cdr:to>
      <cdr:x>0.26305</cdr:x>
      <cdr:y>0.33759</cdr:y>
    </cdr:to>
    <cdr:sp macro="" textlink="">
      <cdr:nvSpPr>
        <cdr:cNvPr id="31" name="ZoneTexte 1"/>
        <cdr:cNvSpPr txBox="1"/>
      </cdr:nvSpPr>
      <cdr:spPr>
        <a:xfrm xmlns:a="http://schemas.openxmlformats.org/drawingml/2006/main">
          <a:off x="803818" y="752859"/>
          <a:ext cx="246520"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a:t>
          </a:r>
        </a:p>
      </cdr:txBody>
    </cdr:sp>
  </cdr:relSizeAnchor>
  <cdr:relSizeAnchor xmlns:cdr="http://schemas.openxmlformats.org/drawingml/2006/chartDrawing">
    <cdr:from>
      <cdr:x>0.1295</cdr:x>
      <cdr:y>0.21949</cdr:y>
    </cdr:from>
    <cdr:to>
      <cdr:x>0.19125</cdr:x>
      <cdr:y>0.30946</cdr:y>
    </cdr:to>
    <cdr:sp macro="" textlink="">
      <cdr:nvSpPr>
        <cdr:cNvPr id="32" name="ZoneTexte 1"/>
        <cdr:cNvSpPr txBox="1"/>
      </cdr:nvSpPr>
      <cdr:spPr>
        <a:xfrm xmlns:a="http://schemas.openxmlformats.org/drawingml/2006/main">
          <a:off x="517096" y="667344"/>
          <a:ext cx="246560"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0.16286</cdr:x>
      <cdr:y>0.21303</cdr:y>
    </cdr:from>
    <cdr:to>
      <cdr:x>0.22461</cdr:x>
      <cdr:y>0.28494</cdr:y>
    </cdr:to>
    <cdr:sp macro="" textlink="">
      <cdr:nvSpPr>
        <cdr:cNvPr id="33" name="ZoneTexte 1"/>
        <cdr:cNvSpPr txBox="1"/>
      </cdr:nvSpPr>
      <cdr:spPr>
        <a:xfrm xmlns:a="http://schemas.openxmlformats.org/drawingml/2006/main">
          <a:off x="650298" y="647700"/>
          <a:ext cx="246560" cy="2186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3.xml><?xml version="1.0" encoding="utf-8"?>
<c:userShapes xmlns:c="http://schemas.openxmlformats.org/drawingml/2006/chart">
  <cdr:relSizeAnchor xmlns:cdr="http://schemas.openxmlformats.org/drawingml/2006/chartDrawing">
    <cdr:from>
      <cdr:x>0.87158</cdr:x>
      <cdr:y>0.14986</cdr:y>
    </cdr:from>
    <cdr:to>
      <cdr:x>0.93963</cdr:x>
      <cdr:y>0.23961</cdr:y>
    </cdr:to>
    <cdr:sp macro="" textlink="">
      <cdr:nvSpPr>
        <cdr:cNvPr id="18" name="ZoneTexte 17"/>
        <cdr:cNvSpPr txBox="1"/>
      </cdr:nvSpPr>
      <cdr:spPr>
        <a:xfrm xmlns:a="http://schemas.openxmlformats.org/drawingml/2006/main">
          <a:off x="2980814" y="350681"/>
          <a:ext cx="232724" cy="2100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fr-FR"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0.17171</cdr:x>
      <cdr:y>0.03283</cdr:y>
    </cdr:from>
    <cdr:to>
      <cdr:x>0.23328</cdr:x>
      <cdr:y>0.12303</cdr:y>
    </cdr:to>
    <cdr:sp macro="" textlink="">
      <cdr:nvSpPr>
        <cdr:cNvPr id="20" name="ZoneTexte 1"/>
        <cdr:cNvSpPr txBox="1"/>
      </cdr:nvSpPr>
      <cdr:spPr>
        <a:xfrm xmlns:a="http://schemas.openxmlformats.org/drawingml/2006/main">
          <a:off x="664690" y="84537"/>
          <a:ext cx="238335" cy="232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0.28884</cdr:x>
      <cdr:y>0.03813</cdr:y>
    </cdr:from>
    <cdr:to>
      <cdr:x>0.35042</cdr:x>
      <cdr:y>0.12832</cdr:y>
    </cdr:to>
    <cdr:sp macro="" textlink="">
      <cdr:nvSpPr>
        <cdr:cNvPr id="21" name="ZoneTexte 1"/>
        <cdr:cNvSpPr txBox="1"/>
      </cdr:nvSpPr>
      <cdr:spPr>
        <a:xfrm xmlns:a="http://schemas.openxmlformats.org/drawingml/2006/main">
          <a:off x="992414" y="88901"/>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0.13446</cdr:x>
      <cdr:y>0.05322</cdr:y>
    </cdr:from>
    <cdr:to>
      <cdr:x>0.22011</cdr:x>
      <cdr:y>0.14341</cdr:y>
    </cdr:to>
    <cdr:sp macro="" textlink="">
      <cdr:nvSpPr>
        <cdr:cNvPr id="22" name="ZoneTexte 1"/>
        <cdr:cNvSpPr txBox="1"/>
      </cdr:nvSpPr>
      <cdr:spPr>
        <a:xfrm xmlns:a="http://schemas.openxmlformats.org/drawingml/2006/main">
          <a:off x="520485" y="137041"/>
          <a:ext cx="331548" cy="232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0.31894</cdr:x>
      <cdr:y>0.05914</cdr:y>
    </cdr:from>
    <cdr:to>
      <cdr:x>0.40459</cdr:x>
      <cdr:y>0.14933</cdr:y>
    </cdr:to>
    <cdr:sp macro="" textlink="">
      <cdr:nvSpPr>
        <cdr:cNvPr id="23" name="ZoneTexte 1"/>
        <cdr:cNvSpPr txBox="1"/>
      </cdr:nvSpPr>
      <cdr:spPr>
        <a:xfrm xmlns:a="http://schemas.openxmlformats.org/drawingml/2006/main">
          <a:off x="1095828" y="137887"/>
          <a:ext cx="29427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0.55181</cdr:x>
      <cdr:y>0.07781</cdr:y>
    </cdr:from>
    <cdr:to>
      <cdr:x>0.68182</cdr:x>
      <cdr:y>0.16801</cdr:y>
    </cdr:to>
    <cdr:sp macro="" textlink="">
      <cdr:nvSpPr>
        <cdr:cNvPr id="24" name="ZoneTexte 1"/>
        <cdr:cNvSpPr txBox="1"/>
      </cdr:nvSpPr>
      <cdr:spPr>
        <a:xfrm xmlns:a="http://schemas.openxmlformats.org/drawingml/2006/main">
          <a:off x="1895927" y="181430"/>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abc</a:t>
          </a:r>
        </a:p>
      </cdr:txBody>
    </cdr:sp>
  </cdr:relSizeAnchor>
  <cdr:relSizeAnchor xmlns:cdr="http://schemas.openxmlformats.org/drawingml/2006/chartDrawing">
    <cdr:from>
      <cdr:x>0.45043</cdr:x>
      <cdr:y>0.09649</cdr:y>
    </cdr:from>
    <cdr:to>
      <cdr:x>0.58044</cdr:x>
      <cdr:y>0.18668</cdr:y>
    </cdr:to>
    <cdr:sp macro="" textlink="">
      <cdr:nvSpPr>
        <cdr:cNvPr id="25" name="ZoneTexte 1"/>
        <cdr:cNvSpPr txBox="1"/>
      </cdr:nvSpPr>
      <cdr:spPr>
        <a:xfrm xmlns:a="http://schemas.openxmlformats.org/drawingml/2006/main">
          <a:off x="1547584" y="224973"/>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abc</a:t>
          </a:r>
        </a:p>
      </cdr:txBody>
    </cdr:sp>
  </cdr:relSizeAnchor>
  <cdr:relSizeAnchor xmlns:cdr="http://schemas.openxmlformats.org/drawingml/2006/chartDrawing">
    <cdr:from>
      <cdr:x>0.35538</cdr:x>
      <cdr:y>0.13151</cdr:y>
    </cdr:from>
    <cdr:to>
      <cdr:x>0.48539</cdr:x>
      <cdr:y>0.2217</cdr:y>
    </cdr:to>
    <cdr:sp macro="" textlink="">
      <cdr:nvSpPr>
        <cdr:cNvPr id="26" name="ZoneTexte 1"/>
        <cdr:cNvSpPr txBox="1"/>
      </cdr:nvSpPr>
      <cdr:spPr>
        <a:xfrm xmlns:a="http://schemas.openxmlformats.org/drawingml/2006/main">
          <a:off x="1221012" y="306616"/>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0.84964</cdr:x>
      <cdr:y>0.15718</cdr:y>
    </cdr:from>
    <cdr:to>
      <cdr:x>0.97964</cdr:x>
      <cdr:y>0.24738</cdr:y>
    </cdr:to>
    <cdr:sp macro="" textlink="">
      <cdr:nvSpPr>
        <cdr:cNvPr id="27" name="ZoneTexte 1"/>
        <cdr:cNvSpPr txBox="1"/>
      </cdr:nvSpPr>
      <cdr:spPr>
        <a:xfrm xmlns:a="http://schemas.openxmlformats.org/drawingml/2006/main">
          <a:off x="2919183" y="366488"/>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0.20493</cdr:x>
      <cdr:y>0.17819</cdr:y>
    </cdr:from>
    <cdr:to>
      <cdr:x>0.33494</cdr:x>
      <cdr:y>0.26839</cdr:y>
    </cdr:to>
    <cdr:sp macro="" textlink="">
      <cdr:nvSpPr>
        <cdr:cNvPr id="28" name="ZoneTexte 1"/>
        <cdr:cNvSpPr txBox="1"/>
      </cdr:nvSpPr>
      <cdr:spPr>
        <a:xfrm xmlns:a="http://schemas.openxmlformats.org/drawingml/2006/main">
          <a:off x="793260" y="458826"/>
          <a:ext cx="503264" cy="232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0.68013</cdr:x>
      <cdr:y>0.17586</cdr:y>
    </cdr:from>
    <cdr:to>
      <cdr:x>0.81014</cdr:x>
      <cdr:y>0.26605</cdr:y>
    </cdr:to>
    <cdr:sp macro="" textlink="">
      <cdr:nvSpPr>
        <cdr:cNvPr id="29" name="ZoneTexte 1"/>
        <cdr:cNvSpPr txBox="1"/>
      </cdr:nvSpPr>
      <cdr:spPr>
        <a:xfrm xmlns:a="http://schemas.openxmlformats.org/drawingml/2006/main">
          <a:off x="2336798" y="410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0.81479</cdr:x>
      <cdr:y>0.20154</cdr:y>
    </cdr:from>
    <cdr:to>
      <cdr:x>0.94479</cdr:x>
      <cdr:y>0.29173</cdr:y>
    </cdr:to>
    <cdr:sp macro="" textlink="">
      <cdr:nvSpPr>
        <cdr:cNvPr id="30" name="ZoneTexte 1"/>
        <cdr:cNvSpPr txBox="1"/>
      </cdr:nvSpPr>
      <cdr:spPr>
        <a:xfrm xmlns:a="http://schemas.openxmlformats.org/drawingml/2006/main">
          <a:off x="2799440" y="469903"/>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0.9036</cdr:x>
      <cdr:y>0.20154</cdr:y>
    </cdr:from>
    <cdr:to>
      <cdr:x>1</cdr:x>
      <cdr:y>0.29173</cdr:y>
    </cdr:to>
    <cdr:sp macro="" textlink="">
      <cdr:nvSpPr>
        <cdr:cNvPr id="31" name="ZoneTexte 1"/>
        <cdr:cNvSpPr txBox="1"/>
      </cdr:nvSpPr>
      <cdr:spPr>
        <a:xfrm xmlns:a="http://schemas.openxmlformats.org/drawingml/2006/main">
          <a:off x="3104606" y="469903"/>
          <a:ext cx="33119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0.40449</cdr:x>
      <cdr:y>0.22021</cdr:y>
    </cdr:from>
    <cdr:to>
      <cdr:x>0.5345</cdr:x>
      <cdr:y>0.31041</cdr:y>
    </cdr:to>
    <cdr:sp macro="" textlink="">
      <cdr:nvSpPr>
        <cdr:cNvPr id="32" name="ZoneTexte 1"/>
        <cdr:cNvSpPr txBox="1"/>
      </cdr:nvSpPr>
      <cdr:spPr>
        <a:xfrm xmlns:a="http://schemas.openxmlformats.org/drawingml/2006/main">
          <a:off x="1389741" y="513445"/>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0.62785</cdr:x>
      <cdr:y>0.33927</cdr:y>
    </cdr:from>
    <cdr:to>
      <cdr:x>0.75786</cdr:x>
      <cdr:y>0.42946</cdr:y>
    </cdr:to>
    <cdr:sp macro="" textlink="">
      <cdr:nvSpPr>
        <cdr:cNvPr id="33" name="ZoneTexte 1"/>
        <cdr:cNvSpPr txBox="1"/>
      </cdr:nvSpPr>
      <cdr:spPr>
        <a:xfrm xmlns:a="http://schemas.openxmlformats.org/drawingml/2006/main">
          <a:off x="2157184" y="791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0.75142</cdr:x>
      <cdr:y>0.33927</cdr:y>
    </cdr:from>
    <cdr:to>
      <cdr:x>0.88143</cdr:x>
      <cdr:y>0.42946</cdr:y>
    </cdr:to>
    <cdr:sp macro="" textlink="">
      <cdr:nvSpPr>
        <cdr:cNvPr id="34" name="ZoneTexte 1"/>
        <cdr:cNvSpPr txBox="1"/>
      </cdr:nvSpPr>
      <cdr:spPr>
        <a:xfrm xmlns:a="http://schemas.openxmlformats.org/drawingml/2006/main">
          <a:off x="2581727" y="791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baseline="0">
              <a:latin typeface="Arial" panose="020B0604020202020204" pitchFamily="34" charset="0"/>
              <a:cs typeface="Arial" panose="020B0604020202020204" pitchFamily="34" charset="0"/>
            </a:rPr>
            <a:t>  </a:t>
          </a:r>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0.47419</cdr:x>
      <cdr:y>0.31359</cdr:y>
    </cdr:from>
    <cdr:to>
      <cdr:x>0.6042</cdr:x>
      <cdr:y>0.40378</cdr:y>
    </cdr:to>
    <cdr:sp macro="" textlink="">
      <cdr:nvSpPr>
        <cdr:cNvPr id="35" name="ZoneTexte 1"/>
        <cdr:cNvSpPr txBox="1"/>
      </cdr:nvSpPr>
      <cdr:spPr>
        <a:xfrm xmlns:a="http://schemas.openxmlformats.org/drawingml/2006/main">
          <a:off x="1629227" y="731159"/>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baseline="0">
              <a:latin typeface="Arial" panose="020B0604020202020204" pitchFamily="34" charset="0"/>
              <a:cs typeface="Arial" panose="020B0604020202020204" pitchFamily="34" charset="0"/>
            </a:rPr>
            <a:t>  </a:t>
          </a:r>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0.59934</cdr:x>
      <cdr:y>0.22021</cdr:y>
    </cdr:from>
    <cdr:to>
      <cdr:x>0.66091</cdr:x>
      <cdr:y>0.31041</cdr:y>
    </cdr:to>
    <cdr:sp macro="" textlink="">
      <cdr:nvSpPr>
        <cdr:cNvPr id="36" name="ZoneTexte 1"/>
        <cdr:cNvSpPr txBox="1"/>
      </cdr:nvSpPr>
      <cdr:spPr>
        <a:xfrm xmlns:a="http://schemas.openxmlformats.org/drawingml/2006/main">
          <a:off x="2059214" y="51344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0.73399</cdr:x>
      <cdr:y>0.26223</cdr:y>
    </cdr:from>
    <cdr:to>
      <cdr:x>0.79556</cdr:x>
      <cdr:y>0.35242</cdr:y>
    </cdr:to>
    <cdr:sp macro="" textlink="">
      <cdr:nvSpPr>
        <cdr:cNvPr id="37" name="ZoneTexte 1"/>
        <cdr:cNvSpPr txBox="1"/>
      </cdr:nvSpPr>
      <cdr:spPr>
        <a:xfrm xmlns:a="http://schemas.openxmlformats.org/drawingml/2006/main">
          <a:off x="2521857" y="61141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userShapes>
</file>

<file path=word/drawings/drawing4.xml><?xml version="1.0" encoding="utf-8"?>
<c:userShapes xmlns:c="http://schemas.openxmlformats.org/drawingml/2006/chart">
  <cdr:relSizeAnchor xmlns:cdr="http://schemas.openxmlformats.org/drawingml/2006/chartDrawing">
    <cdr:from>
      <cdr:x>0.22548</cdr:x>
      <cdr:y>0.11944</cdr:y>
    </cdr:from>
    <cdr:to>
      <cdr:x>0.28705</cdr:x>
      <cdr:y>0.20933</cdr:y>
    </cdr:to>
    <cdr:sp macro="" textlink="">
      <cdr:nvSpPr>
        <cdr:cNvPr id="20" name="ZoneTexte 1"/>
        <cdr:cNvSpPr txBox="1"/>
      </cdr:nvSpPr>
      <cdr:spPr>
        <a:xfrm xmlns:a="http://schemas.openxmlformats.org/drawingml/2006/main">
          <a:off x="774700" y="2794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0.18587</cdr:x>
      <cdr:y>0.13805</cdr:y>
    </cdr:from>
    <cdr:to>
      <cdr:x>0.26709</cdr:x>
      <cdr:y>0.22794</cdr:y>
    </cdr:to>
    <cdr:sp macro="" textlink="">
      <cdr:nvSpPr>
        <cdr:cNvPr id="21" name="ZoneTexte 1"/>
        <cdr:cNvSpPr txBox="1"/>
      </cdr:nvSpPr>
      <cdr:spPr>
        <a:xfrm xmlns:a="http://schemas.openxmlformats.org/drawingml/2006/main">
          <a:off x="638628" y="322943"/>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0.49637</cdr:x>
      <cdr:y>0.13805</cdr:y>
    </cdr:from>
    <cdr:to>
      <cdr:x>0.57758</cdr:x>
      <cdr:y>0.22794</cdr:y>
    </cdr:to>
    <cdr:sp macro="" textlink="">
      <cdr:nvSpPr>
        <cdr:cNvPr id="22" name="ZoneTexte 1"/>
        <cdr:cNvSpPr txBox="1"/>
      </cdr:nvSpPr>
      <cdr:spPr>
        <a:xfrm xmlns:a="http://schemas.openxmlformats.org/drawingml/2006/main">
          <a:off x="1705428" y="322943"/>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0.35696</cdr:x>
      <cdr:y>0.15201</cdr:y>
    </cdr:from>
    <cdr:to>
      <cdr:x>0.43818</cdr:x>
      <cdr:y>0.24191</cdr:y>
    </cdr:to>
    <cdr:sp macro="" textlink="">
      <cdr:nvSpPr>
        <cdr:cNvPr id="23" name="ZoneTexte 1"/>
        <cdr:cNvSpPr txBox="1"/>
      </cdr:nvSpPr>
      <cdr:spPr>
        <a:xfrm xmlns:a="http://schemas.openxmlformats.org/drawingml/2006/main">
          <a:off x="1226457" y="355600"/>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0.62944</cdr:x>
      <cdr:y>0.15666</cdr:y>
    </cdr:from>
    <cdr:to>
      <cdr:x>0.71065</cdr:x>
      <cdr:y>0.24656</cdr:y>
    </cdr:to>
    <cdr:sp macro="" textlink="">
      <cdr:nvSpPr>
        <cdr:cNvPr id="24" name="ZoneTexte 1"/>
        <cdr:cNvSpPr txBox="1"/>
      </cdr:nvSpPr>
      <cdr:spPr>
        <a:xfrm xmlns:a="http://schemas.openxmlformats.org/drawingml/2006/main">
          <a:off x="2162628" y="366486"/>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0.76409</cdr:x>
      <cdr:y>0.15667</cdr:y>
    </cdr:from>
    <cdr:to>
      <cdr:x>0.84531</cdr:x>
      <cdr:y>0.24656</cdr:y>
    </cdr:to>
    <cdr:sp macro="" textlink="">
      <cdr:nvSpPr>
        <cdr:cNvPr id="25" name="ZoneTexte 1"/>
        <cdr:cNvSpPr txBox="1"/>
      </cdr:nvSpPr>
      <cdr:spPr>
        <a:xfrm xmlns:a="http://schemas.openxmlformats.org/drawingml/2006/main">
          <a:off x="2625271" y="366487"/>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0.13993</cdr:x>
      <cdr:y>0.16597</cdr:y>
    </cdr:from>
    <cdr:to>
      <cdr:x>0.24333</cdr:x>
      <cdr:y>0.25587</cdr:y>
    </cdr:to>
    <cdr:sp macro="" textlink="">
      <cdr:nvSpPr>
        <cdr:cNvPr id="26" name="ZoneTexte 1"/>
        <cdr:cNvSpPr txBox="1"/>
      </cdr:nvSpPr>
      <cdr:spPr>
        <a:xfrm xmlns:a="http://schemas.openxmlformats.org/drawingml/2006/main">
          <a:off x="480785" y="388259"/>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0.30944</cdr:x>
      <cdr:y>0.16365</cdr:y>
    </cdr:from>
    <cdr:to>
      <cdr:x>0.41283</cdr:x>
      <cdr:y>0.25354</cdr:y>
    </cdr:to>
    <cdr:sp macro="" textlink="">
      <cdr:nvSpPr>
        <cdr:cNvPr id="27" name="ZoneTexte 1"/>
        <cdr:cNvSpPr txBox="1"/>
      </cdr:nvSpPr>
      <cdr:spPr>
        <a:xfrm xmlns:a="http://schemas.openxmlformats.org/drawingml/2006/main">
          <a:off x="1063171" y="382816"/>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0.89661</cdr:x>
      <cdr:y>0.18924</cdr:y>
    </cdr:from>
    <cdr:to>
      <cdr:x>1</cdr:x>
      <cdr:y>0.27913</cdr:y>
    </cdr:to>
    <cdr:sp macro="" textlink="">
      <cdr:nvSpPr>
        <cdr:cNvPr id="28" name="ZoneTexte 1"/>
        <cdr:cNvSpPr txBox="1"/>
      </cdr:nvSpPr>
      <cdr:spPr>
        <a:xfrm xmlns:a="http://schemas.openxmlformats.org/drawingml/2006/main">
          <a:off x="3080564" y="442687"/>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0.2635</cdr:x>
      <cdr:y>0.17063</cdr:y>
    </cdr:from>
    <cdr:to>
      <cdr:x>0.36689</cdr:x>
      <cdr:y>0.26052</cdr:y>
    </cdr:to>
    <cdr:sp macro="" textlink="">
      <cdr:nvSpPr>
        <cdr:cNvPr id="29" name="ZoneTexte 1"/>
        <cdr:cNvSpPr txBox="1"/>
      </cdr:nvSpPr>
      <cdr:spPr>
        <a:xfrm xmlns:a="http://schemas.openxmlformats.org/drawingml/2006/main">
          <a:off x="905329" y="399144"/>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0.58075</cdr:x>
      <cdr:y>0.20553</cdr:y>
    </cdr:from>
    <cdr:to>
      <cdr:x>0.68</cdr:x>
      <cdr:y>0.29542</cdr:y>
    </cdr:to>
    <cdr:sp macro="" textlink="">
      <cdr:nvSpPr>
        <cdr:cNvPr id="30" name="ZoneTexte 1"/>
        <cdr:cNvSpPr txBox="1"/>
      </cdr:nvSpPr>
      <cdr:spPr>
        <a:xfrm xmlns:a="http://schemas.openxmlformats.org/drawingml/2006/main">
          <a:off x="1995351" y="480787"/>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0.85323</cdr:x>
      <cdr:y>0.20553</cdr:y>
    </cdr:from>
    <cdr:to>
      <cdr:x>0.95248</cdr:x>
      <cdr:y>0.29542</cdr:y>
    </cdr:to>
    <cdr:sp macro="" textlink="">
      <cdr:nvSpPr>
        <cdr:cNvPr id="31" name="ZoneTexte 1"/>
        <cdr:cNvSpPr txBox="1"/>
      </cdr:nvSpPr>
      <cdr:spPr>
        <a:xfrm xmlns:a="http://schemas.openxmlformats.org/drawingml/2006/main">
          <a:off x="2931523" y="480787"/>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0.4461</cdr:x>
      <cdr:y>0.20785</cdr:y>
    </cdr:from>
    <cdr:to>
      <cdr:x>0.54535</cdr:x>
      <cdr:y>0.29775</cdr:y>
    </cdr:to>
    <cdr:sp macro="" textlink="">
      <cdr:nvSpPr>
        <cdr:cNvPr id="32" name="ZoneTexte 1"/>
        <cdr:cNvSpPr txBox="1"/>
      </cdr:nvSpPr>
      <cdr:spPr>
        <a:xfrm xmlns:a="http://schemas.openxmlformats.org/drawingml/2006/main">
          <a:off x="1532709" y="486230"/>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0.72924</cdr:x>
      <cdr:y>0.22879</cdr:y>
    </cdr:from>
    <cdr:to>
      <cdr:x>0.81046</cdr:x>
      <cdr:y>0.31869</cdr:y>
    </cdr:to>
    <cdr:sp macro="" textlink="">
      <cdr:nvSpPr>
        <cdr:cNvPr id="33" name="ZoneTexte 1"/>
        <cdr:cNvSpPr txBox="1"/>
      </cdr:nvSpPr>
      <cdr:spPr>
        <a:xfrm xmlns:a="http://schemas.openxmlformats.org/drawingml/2006/main">
          <a:off x="2505528" y="535215"/>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0.43459</cdr:x>
      <cdr:y>0.25439</cdr:y>
    </cdr:from>
    <cdr:to>
      <cdr:x>0.49616</cdr:x>
      <cdr:y>0.34428</cdr:y>
    </cdr:to>
    <cdr:sp macro="" textlink="">
      <cdr:nvSpPr>
        <cdr:cNvPr id="34" name="ZoneTexte 1"/>
        <cdr:cNvSpPr txBox="1"/>
      </cdr:nvSpPr>
      <cdr:spPr>
        <a:xfrm xmlns:a="http://schemas.openxmlformats.org/drawingml/2006/main">
          <a:off x="1493157" y="59508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0.56766</cdr:x>
      <cdr:y>0.37538</cdr:y>
    </cdr:from>
    <cdr:to>
      <cdr:x>0.62923</cdr:x>
      <cdr:y>0.46527</cdr:y>
    </cdr:to>
    <cdr:sp macro="" textlink="">
      <cdr:nvSpPr>
        <cdr:cNvPr id="35" name="ZoneTexte 1"/>
        <cdr:cNvSpPr txBox="1"/>
      </cdr:nvSpPr>
      <cdr:spPr>
        <a:xfrm xmlns:a="http://schemas.openxmlformats.org/drawingml/2006/main">
          <a:off x="1950356" y="8781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0.70706</cdr:x>
      <cdr:y>0.36839</cdr:y>
    </cdr:from>
    <cdr:to>
      <cdr:x>0.76863</cdr:x>
      <cdr:y>0.45829</cdr:y>
    </cdr:to>
    <cdr:sp macro="" textlink="">
      <cdr:nvSpPr>
        <cdr:cNvPr id="36" name="ZoneTexte 1"/>
        <cdr:cNvSpPr txBox="1"/>
      </cdr:nvSpPr>
      <cdr:spPr>
        <a:xfrm xmlns:a="http://schemas.openxmlformats.org/drawingml/2006/main">
          <a:off x="2429328" y="861785"/>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0.84013</cdr:x>
      <cdr:y>0.39166</cdr:y>
    </cdr:from>
    <cdr:to>
      <cdr:x>0.9017</cdr:x>
      <cdr:y>0.48156</cdr:y>
    </cdr:to>
    <cdr:sp macro="" textlink="">
      <cdr:nvSpPr>
        <cdr:cNvPr id="37" name="ZoneTexte 1"/>
        <cdr:cNvSpPr txBox="1"/>
      </cdr:nvSpPr>
      <cdr:spPr>
        <a:xfrm xmlns:a="http://schemas.openxmlformats.org/drawingml/2006/main">
          <a:off x="2886528" y="9162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5.xml><?xml version="1.0" encoding="utf-8"?>
<c:userShapes xmlns:c="http://schemas.openxmlformats.org/drawingml/2006/chart">
  <cdr:relSizeAnchor xmlns:cdr="http://schemas.openxmlformats.org/drawingml/2006/chartDrawing">
    <cdr:from>
      <cdr:x>0.90592</cdr:x>
      <cdr:y>0.10332</cdr:y>
    </cdr:from>
    <cdr:to>
      <cdr:x>0.96754</cdr:x>
      <cdr:y>0.19336</cdr:y>
    </cdr:to>
    <cdr:sp macro="" textlink="">
      <cdr:nvSpPr>
        <cdr:cNvPr id="56" name="ZoneTexte 1"/>
        <cdr:cNvSpPr txBox="1"/>
      </cdr:nvSpPr>
      <cdr:spPr>
        <a:xfrm xmlns:a="http://schemas.openxmlformats.org/drawingml/2006/main">
          <a:off x="3109685" y="2413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0.8742</cdr:x>
      <cdr:y>0.10565</cdr:y>
    </cdr:from>
    <cdr:to>
      <cdr:x>0.93583</cdr:x>
      <cdr:y>0.19569</cdr:y>
    </cdr:to>
    <cdr:sp macro="" textlink="">
      <cdr:nvSpPr>
        <cdr:cNvPr id="57" name="ZoneTexte 1"/>
        <cdr:cNvSpPr txBox="1"/>
      </cdr:nvSpPr>
      <cdr:spPr>
        <a:xfrm xmlns:a="http://schemas.openxmlformats.org/drawingml/2006/main">
          <a:off x="3000827" y="246743"/>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0.83773</cdr:x>
      <cdr:y>0.11497</cdr:y>
    </cdr:from>
    <cdr:to>
      <cdr:x>0.89936</cdr:x>
      <cdr:y>0.20502</cdr:y>
    </cdr:to>
    <cdr:sp macro="" textlink="">
      <cdr:nvSpPr>
        <cdr:cNvPr id="58" name="ZoneTexte 1"/>
        <cdr:cNvSpPr txBox="1"/>
      </cdr:nvSpPr>
      <cdr:spPr>
        <a:xfrm xmlns:a="http://schemas.openxmlformats.org/drawingml/2006/main">
          <a:off x="2875642" y="2685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0.72991</cdr:x>
      <cdr:y>0.13595</cdr:y>
    </cdr:from>
    <cdr:to>
      <cdr:x>0.79154</cdr:x>
      <cdr:y>0.22599</cdr:y>
    </cdr:to>
    <cdr:sp macro="" textlink="">
      <cdr:nvSpPr>
        <cdr:cNvPr id="59" name="ZoneTexte 1"/>
        <cdr:cNvSpPr txBox="1"/>
      </cdr:nvSpPr>
      <cdr:spPr>
        <a:xfrm xmlns:a="http://schemas.openxmlformats.org/drawingml/2006/main">
          <a:off x="2505527" y="3175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0.69979</cdr:x>
      <cdr:y>0.14061</cdr:y>
    </cdr:from>
    <cdr:to>
      <cdr:x>0.76141</cdr:x>
      <cdr:y>0.23065</cdr:y>
    </cdr:to>
    <cdr:sp macro="" textlink="">
      <cdr:nvSpPr>
        <cdr:cNvPr id="60" name="ZoneTexte 1"/>
        <cdr:cNvSpPr txBox="1"/>
      </cdr:nvSpPr>
      <cdr:spPr>
        <a:xfrm xmlns:a="http://schemas.openxmlformats.org/drawingml/2006/main">
          <a:off x="2402113" y="328385"/>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0.55148</cdr:x>
      <cdr:y>0.15459</cdr:y>
    </cdr:from>
    <cdr:to>
      <cdr:x>0.63552</cdr:x>
      <cdr:y>0.24464</cdr:y>
    </cdr:to>
    <cdr:sp macro="" textlink="">
      <cdr:nvSpPr>
        <cdr:cNvPr id="61" name="ZoneTexte 1"/>
        <cdr:cNvSpPr txBox="1"/>
      </cdr:nvSpPr>
      <cdr:spPr>
        <a:xfrm xmlns:a="http://schemas.openxmlformats.org/drawingml/2006/main">
          <a:off x="1893027" y="3610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0.58319</cdr:x>
      <cdr:y>0.15459</cdr:y>
    </cdr:from>
    <cdr:to>
      <cdr:x>0.66723</cdr:x>
      <cdr:y>0.24464</cdr:y>
    </cdr:to>
    <cdr:sp macro="" textlink="">
      <cdr:nvSpPr>
        <cdr:cNvPr id="62" name="ZoneTexte 1"/>
        <cdr:cNvSpPr txBox="1"/>
      </cdr:nvSpPr>
      <cdr:spPr>
        <a:xfrm xmlns:a="http://schemas.openxmlformats.org/drawingml/2006/main">
          <a:off x="2001884" y="3610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0.76078</cdr:x>
      <cdr:y>0.15925</cdr:y>
    </cdr:from>
    <cdr:to>
      <cdr:x>0.84482</cdr:x>
      <cdr:y>0.2493</cdr:y>
    </cdr:to>
    <cdr:sp macro="" textlink="">
      <cdr:nvSpPr>
        <cdr:cNvPr id="63" name="ZoneTexte 1"/>
        <cdr:cNvSpPr txBox="1"/>
      </cdr:nvSpPr>
      <cdr:spPr>
        <a:xfrm xmlns:a="http://schemas.openxmlformats.org/drawingml/2006/main">
          <a:off x="2611484" y="371929"/>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0.62125</cdr:x>
      <cdr:y>0.18256</cdr:y>
    </cdr:from>
    <cdr:to>
      <cdr:x>0.70528</cdr:x>
      <cdr:y>0.2726</cdr:y>
    </cdr:to>
    <cdr:sp macro="" textlink="">
      <cdr:nvSpPr>
        <cdr:cNvPr id="64" name="ZoneTexte 1"/>
        <cdr:cNvSpPr txBox="1"/>
      </cdr:nvSpPr>
      <cdr:spPr>
        <a:xfrm xmlns:a="http://schemas.openxmlformats.org/drawingml/2006/main">
          <a:off x="2132513" y="426357"/>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0.45401</cdr:x>
      <cdr:y>0.18489</cdr:y>
    </cdr:from>
    <cdr:to>
      <cdr:x>0.51564</cdr:x>
      <cdr:y>0.27493</cdr:y>
    </cdr:to>
    <cdr:sp macro="" textlink="">
      <cdr:nvSpPr>
        <cdr:cNvPr id="65" name="ZoneTexte 1"/>
        <cdr:cNvSpPr txBox="1"/>
      </cdr:nvSpPr>
      <cdr:spPr>
        <a:xfrm xmlns:a="http://schemas.openxmlformats.org/drawingml/2006/main">
          <a:off x="1558470" y="4318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0.49048</cdr:x>
      <cdr:y>0.18955</cdr:y>
    </cdr:from>
    <cdr:to>
      <cdr:x>0.55211</cdr:x>
      <cdr:y>0.27959</cdr:y>
    </cdr:to>
    <cdr:sp macro="" textlink="">
      <cdr:nvSpPr>
        <cdr:cNvPr id="66" name="ZoneTexte 1"/>
        <cdr:cNvSpPr txBox="1"/>
      </cdr:nvSpPr>
      <cdr:spPr>
        <a:xfrm xmlns:a="http://schemas.openxmlformats.org/drawingml/2006/main">
          <a:off x="1683656" y="44268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0.1408</cdr:x>
      <cdr:y>0.25015</cdr:y>
    </cdr:from>
    <cdr:to>
      <cdr:x>0.22484</cdr:x>
      <cdr:y>0.34019</cdr:y>
    </cdr:to>
    <cdr:sp macro="" textlink="">
      <cdr:nvSpPr>
        <cdr:cNvPr id="67" name="ZoneTexte 1"/>
        <cdr:cNvSpPr txBox="1"/>
      </cdr:nvSpPr>
      <cdr:spPr>
        <a:xfrm xmlns:a="http://schemas.openxmlformats.org/drawingml/2006/main">
          <a:off x="483327" y="5842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fg</a:t>
          </a:r>
        </a:p>
      </cdr:txBody>
    </cdr:sp>
  </cdr:relSizeAnchor>
  <cdr:relSizeAnchor xmlns:cdr="http://schemas.openxmlformats.org/drawingml/2006/chartDrawing">
    <cdr:from>
      <cdr:x>0.30412</cdr:x>
      <cdr:y>0.2012</cdr:y>
    </cdr:from>
    <cdr:to>
      <cdr:x>0.38816</cdr:x>
      <cdr:y>0.29125</cdr:y>
    </cdr:to>
    <cdr:sp macro="" textlink="">
      <cdr:nvSpPr>
        <cdr:cNvPr id="68" name="ZoneTexte 1"/>
        <cdr:cNvSpPr txBox="1"/>
      </cdr:nvSpPr>
      <cdr:spPr>
        <a:xfrm xmlns:a="http://schemas.openxmlformats.org/drawingml/2006/main">
          <a:off x="1043941" y="4699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0.34376</cdr:x>
      <cdr:y>0.2012</cdr:y>
    </cdr:from>
    <cdr:to>
      <cdr:x>0.4278</cdr:x>
      <cdr:y>0.29125</cdr:y>
    </cdr:to>
    <cdr:sp macro="" textlink="">
      <cdr:nvSpPr>
        <cdr:cNvPr id="69" name="ZoneTexte 1"/>
        <cdr:cNvSpPr txBox="1"/>
      </cdr:nvSpPr>
      <cdr:spPr>
        <a:xfrm xmlns:a="http://schemas.openxmlformats.org/drawingml/2006/main">
          <a:off x="1180013" y="4699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0.41194</cdr:x>
      <cdr:y>0.22684</cdr:y>
    </cdr:from>
    <cdr:to>
      <cdr:x>0.49598</cdr:x>
      <cdr:y>0.31688</cdr:y>
    </cdr:to>
    <cdr:sp macro="" textlink="">
      <cdr:nvSpPr>
        <cdr:cNvPr id="70" name="ZoneTexte 1"/>
        <cdr:cNvSpPr txBox="1"/>
      </cdr:nvSpPr>
      <cdr:spPr>
        <a:xfrm xmlns:a="http://schemas.openxmlformats.org/drawingml/2006/main">
          <a:off x="1414056" y="529771"/>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0.274</cdr:x>
      <cdr:y>0.20354</cdr:y>
    </cdr:from>
    <cdr:to>
      <cdr:x>0.35803</cdr:x>
      <cdr:y>0.29358</cdr:y>
    </cdr:to>
    <cdr:sp macro="" textlink="">
      <cdr:nvSpPr>
        <cdr:cNvPr id="71" name="ZoneTexte 1"/>
        <cdr:cNvSpPr txBox="1"/>
      </cdr:nvSpPr>
      <cdr:spPr>
        <a:xfrm xmlns:a="http://schemas.openxmlformats.org/drawingml/2006/main">
          <a:off x="940527" y="4753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0.17252</cdr:x>
      <cdr:y>0.22684</cdr:y>
    </cdr:from>
    <cdr:to>
      <cdr:x>0.25655</cdr:x>
      <cdr:y>0.31688</cdr:y>
    </cdr:to>
    <cdr:sp macro="" textlink="">
      <cdr:nvSpPr>
        <cdr:cNvPr id="72" name="ZoneTexte 1"/>
        <cdr:cNvSpPr txBox="1"/>
      </cdr:nvSpPr>
      <cdr:spPr>
        <a:xfrm xmlns:a="http://schemas.openxmlformats.org/drawingml/2006/main">
          <a:off x="592184" y="529771"/>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fg</a:t>
          </a:r>
        </a:p>
      </cdr:txBody>
    </cdr:sp>
  </cdr:relSizeAnchor>
  <cdr:relSizeAnchor xmlns:cdr="http://schemas.openxmlformats.org/drawingml/2006/chartDrawing">
    <cdr:from>
      <cdr:x>0.21374</cdr:x>
      <cdr:y>0.24548</cdr:y>
    </cdr:from>
    <cdr:to>
      <cdr:x>0.29778</cdr:x>
      <cdr:y>0.33553</cdr:y>
    </cdr:to>
    <cdr:sp macro="" textlink="">
      <cdr:nvSpPr>
        <cdr:cNvPr id="73" name="ZoneTexte 1"/>
        <cdr:cNvSpPr txBox="1"/>
      </cdr:nvSpPr>
      <cdr:spPr>
        <a:xfrm xmlns:a="http://schemas.openxmlformats.org/drawingml/2006/main">
          <a:off x="733698" y="573314"/>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a:t>
          </a:r>
        </a:p>
      </cdr:txBody>
    </cdr:sp>
  </cdr:relSizeAnchor>
</c:userShapes>
</file>

<file path=word/drawings/drawing6.xml><?xml version="1.0" encoding="utf-8"?>
<c:userShapes xmlns:c="http://schemas.openxmlformats.org/drawingml/2006/chart">
  <cdr:relSizeAnchor xmlns:cdr="http://schemas.openxmlformats.org/drawingml/2006/chartDrawing">
    <cdr:from>
      <cdr:x>0.41924</cdr:x>
      <cdr:y>0.09318</cdr:y>
    </cdr:from>
    <cdr:to>
      <cdr:x>0.50328</cdr:x>
      <cdr:y>0.18307</cdr:y>
    </cdr:to>
    <cdr:sp macro="" textlink="">
      <cdr:nvSpPr>
        <cdr:cNvPr id="2" name="ZoneTexte 1"/>
        <cdr:cNvSpPr txBox="1"/>
      </cdr:nvSpPr>
      <cdr:spPr>
        <a:xfrm xmlns:a="http://schemas.openxmlformats.org/drawingml/2006/main">
          <a:off x="1490033" y="237812"/>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0.20818</cdr:x>
      <cdr:y>0.04964</cdr:y>
    </cdr:from>
    <cdr:to>
      <cdr:x>0.29221</cdr:x>
      <cdr:y>0.13953</cdr:y>
    </cdr:to>
    <cdr:sp macro="" textlink="">
      <cdr:nvSpPr>
        <cdr:cNvPr id="3" name="ZoneTexte 2"/>
        <cdr:cNvSpPr txBox="1"/>
      </cdr:nvSpPr>
      <cdr:spPr>
        <a:xfrm xmlns:a="http://schemas.openxmlformats.org/drawingml/2006/main">
          <a:off x="739891" y="126685"/>
          <a:ext cx="298651"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0.14213</cdr:x>
      <cdr:y>0.06127</cdr:y>
    </cdr:from>
    <cdr:to>
      <cdr:x>0.22617</cdr:x>
      <cdr:y>0.15116</cdr:y>
    </cdr:to>
    <cdr:sp macro="" textlink="">
      <cdr:nvSpPr>
        <cdr:cNvPr id="4" name="ZoneTexte 3"/>
        <cdr:cNvSpPr txBox="1"/>
      </cdr:nvSpPr>
      <cdr:spPr>
        <a:xfrm xmlns:a="http://schemas.openxmlformats.org/drawingml/2006/main">
          <a:off x="505157" y="156365"/>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0.17226</cdr:x>
      <cdr:y>0.07589</cdr:y>
    </cdr:from>
    <cdr:to>
      <cdr:x>0.2563</cdr:x>
      <cdr:y>0.16579</cdr:y>
    </cdr:to>
    <cdr:sp macro="" textlink="">
      <cdr:nvSpPr>
        <cdr:cNvPr id="5" name="ZoneTexte 4"/>
        <cdr:cNvSpPr txBox="1"/>
      </cdr:nvSpPr>
      <cdr:spPr>
        <a:xfrm xmlns:a="http://schemas.openxmlformats.org/drawingml/2006/main">
          <a:off x="612242" y="193666"/>
          <a:ext cx="298686" cy="2294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0.28177</cdr:x>
      <cdr:y>0.12176</cdr:y>
    </cdr:from>
    <cdr:to>
      <cdr:x>0.3658</cdr:x>
      <cdr:y>0.21166</cdr:y>
    </cdr:to>
    <cdr:sp macro="" textlink="">
      <cdr:nvSpPr>
        <cdr:cNvPr id="6" name="ZoneTexte 5"/>
        <cdr:cNvSpPr txBox="1"/>
      </cdr:nvSpPr>
      <cdr:spPr>
        <a:xfrm xmlns:a="http://schemas.openxmlformats.org/drawingml/2006/main">
          <a:off x="1001423" y="310739"/>
          <a:ext cx="298650" cy="229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0.3145</cdr:x>
      <cdr:y>0.12642</cdr:y>
    </cdr:from>
    <cdr:to>
      <cdr:x>0.39854</cdr:x>
      <cdr:y>0.21631</cdr:y>
    </cdr:to>
    <cdr:sp macro="" textlink="">
      <cdr:nvSpPr>
        <cdr:cNvPr id="7" name="ZoneTexte 6"/>
        <cdr:cNvSpPr txBox="1"/>
      </cdr:nvSpPr>
      <cdr:spPr>
        <a:xfrm xmlns:a="http://schemas.openxmlformats.org/drawingml/2006/main">
          <a:off x="1117770" y="322632"/>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0.34733</cdr:x>
      <cdr:y>0.11013</cdr:y>
    </cdr:from>
    <cdr:to>
      <cdr:x>0.43137</cdr:x>
      <cdr:y>0.20002</cdr:y>
    </cdr:to>
    <cdr:sp macro="" textlink="">
      <cdr:nvSpPr>
        <cdr:cNvPr id="8" name="ZoneTexte 7"/>
        <cdr:cNvSpPr txBox="1"/>
      </cdr:nvSpPr>
      <cdr:spPr>
        <a:xfrm xmlns:a="http://schemas.openxmlformats.org/drawingml/2006/main">
          <a:off x="1234444" y="281059"/>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0.49283</cdr:x>
      <cdr:y>0.1334</cdr:y>
    </cdr:from>
    <cdr:to>
      <cdr:x>0.57687</cdr:x>
      <cdr:y>0.22329</cdr:y>
    </cdr:to>
    <cdr:sp macro="" textlink="">
      <cdr:nvSpPr>
        <cdr:cNvPr id="9" name="ZoneTexte 8"/>
        <cdr:cNvSpPr txBox="1"/>
      </cdr:nvSpPr>
      <cdr:spPr>
        <a:xfrm xmlns:a="http://schemas.openxmlformats.org/drawingml/2006/main">
          <a:off x="1751564" y="340445"/>
          <a:ext cx="298687" cy="229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0.45636</cdr:x>
      <cdr:y>0.13739</cdr:y>
    </cdr:from>
    <cdr:to>
      <cdr:x>0.5404</cdr:x>
      <cdr:y>0.22728</cdr:y>
    </cdr:to>
    <cdr:sp macro="" textlink="">
      <cdr:nvSpPr>
        <cdr:cNvPr id="10" name="ZoneTexte 9"/>
        <cdr:cNvSpPr txBox="1"/>
      </cdr:nvSpPr>
      <cdr:spPr>
        <a:xfrm xmlns:a="http://schemas.openxmlformats.org/drawingml/2006/main">
          <a:off x="1621947" y="350639"/>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0.62088</cdr:x>
      <cdr:y>0.1427</cdr:y>
    </cdr:from>
    <cdr:to>
      <cdr:x>0.72849</cdr:x>
      <cdr:y>0.2326</cdr:y>
    </cdr:to>
    <cdr:sp macro="" textlink="">
      <cdr:nvSpPr>
        <cdr:cNvPr id="11" name="ZoneTexte 10"/>
        <cdr:cNvSpPr txBox="1"/>
      </cdr:nvSpPr>
      <cdr:spPr>
        <a:xfrm xmlns:a="http://schemas.openxmlformats.org/drawingml/2006/main">
          <a:off x="2206666" y="364180"/>
          <a:ext cx="382457" cy="2294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0.7648</cdr:x>
      <cdr:y>0.16364</cdr:y>
    </cdr:from>
    <cdr:to>
      <cdr:x>0.87241</cdr:x>
      <cdr:y>0.25354</cdr:y>
    </cdr:to>
    <cdr:sp macro="" textlink="">
      <cdr:nvSpPr>
        <cdr:cNvPr id="12" name="ZoneTexte 11"/>
        <cdr:cNvSpPr txBox="1"/>
      </cdr:nvSpPr>
      <cdr:spPr>
        <a:xfrm xmlns:a="http://schemas.openxmlformats.org/drawingml/2006/main">
          <a:off x="2625271" y="382812"/>
          <a:ext cx="36938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def</a:t>
          </a:r>
        </a:p>
      </cdr:txBody>
    </cdr:sp>
  </cdr:relSizeAnchor>
  <cdr:relSizeAnchor xmlns:cdr="http://schemas.openxmlformats.org/drawingml/2006/chartDrawing">
    <cdr:from>
      <cdr:x>0.54515</cdr:x>
      <cdr:y>0.17295</cdr:y>
    </cdr:from>
    <cdr:to>
      <cdr:x>0.63374</cdr:x>
      <cdr:y>0.26284</cdr:y>
    </cdr:to>
    <cdr:sp macro="" textlink="">
      <cdr:nvSpPr>
        <cdr:cNvPr id="13" name="ZoneTexte 12"/>
        <cdr:cNvSpPr txBox="1"/>
      </cdr:nvSpPr>
      <cdr:spPr>
        <a:xfrm xmlns:a="http://schemas.openxmlformats.org/drawingml/2006/main">
          <a:off x="1937515" y="441380"/>
          <a:ext cx="314857"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ef </a:t>
          </a:r>
        </a:p>
      </cdr:txBody>
    </cdr:sp>
  </cdr:relSizeAnchor>
  <cdr:relSizeAnchor xmlns:cdr="http://schemas.openxmlformats.org/drawingml/2006/chartDrawing">
    <cdr:from>
      <cdr:x>0.58386</cdr:x>
      <cdr:y>0.16763</cdr:y>
    </cdr:from>
    <cdr:to>
      <cdr:x>0.67244</cdr:x>
      <cdr:y>0.25753</cdr:y>
    </cdr:to>
    <cdr:sp macro="" textlink="">
      <cdr:nvSpPr>
        <cdr:cNvPr id="14" name="ZoneTexte 13"/>
        <cdr:cNvSpPr txBox="1"/>
      </cdr:nvSpPr>
      <cdr:spPr>
        <a:xfrm xmlns:a="http://schemas.openxmlformats.org/drawingml/2006/main">
          <a:off x="2075080" y="427813"/>
          <a:ext cx="314821" cy="229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ef </a:t>
          </a:r>
        </a:p>
      </cdr:txBody>
    </cdr:sp>
  </cdr:relSizeAnchor>
  <cdr:relSizeAnchor xmlns:cdr="http://schemas.openxmlformats.org/drawingml/2006/chartDrawing">
    <cdr:from>
      <cdr:x>0.68748</cdr:x>
      <cdr:y>0.17993</cdr:y>
    </cdr:from>
    <cdr:to>
      <cdr:x>0.77606</cdr:x>
      <cdr:y>0.26982</cdr:y>
    </cdr:to>
    <cdr:sp macro="" textlink="">
      <cdr:nvSpPr>
        <cdr:cNvPr id="15" name="ZoneTexte 14"/>
        <cdr:cNvSpPr txBox="1"/>
      </cdr:nvSpPr>
      <cdr:spPr>
        <a:xfrm xmlns:a="http://schemas.openxmlformats.org/drawingml/2006/main">
          <a:off x="2443369" y="459193"/>
          <a:ext cx="314822"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fg</a:t>
          </a:r>
        </a:p>
      </cdr:txBody>
    </cdr:sp>
  </cdr:relSizeAnchor>
  <cdr:relSizeAnchor xmlns:cdr="http://schemas.openxmlformats.org/drawingml/2006/chartDrawing">
    <cdr:from>
      <cdr:x>0.73308</cdr:x>
      <cdr:y>0.18458</cdr:y>
    </cdr:from>
    <cdr:to>
      <cdr:x>0.82167</cdr:x>
      <cdr:y>0.27448</cdr:y>
    </cdr:to>
    <cdr:sp macro="" textlink="">
      <cdr:nvSpPr>
        <cdr:cNvPr id="16" name="ZoneTexte 15"/>
        <cdr:cNvSpPr txBox="1"/>
      </cdr:nvSpPr>
      <cdr:spPr>
        <a:xfrm xmlns:a="http://schemas.openxmlformats.org/drawingml/2006/main">
          <a:off x="2516414" y="431797"/>
          <a:ext cx="304075"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fg</a:t>
          </a:r>
        </a:p>
      </cdr:txBody>
    </cdr:sp>
  </cdr:relSizeAnchor>
  <cdr:relSizeAnchor xmlns:cdr="http://schemas.openxmlformats.org/drawingml/2006/chartDrawing">
    <cdr:from>
      <cdr:x>0.82981</cdr:x>
      <cdr:y>0.2032</cdr:y>
    </cdr:from>
    <cdr:to>
      <cdr:x>0.91839</cdr:x>
      <cdr:y>0.29309</cdr:y>
    </cdr:to>
    <cdr:sp macro="" textlink="">
      <cdr:nvSpPr>
        <cdr:cNvPr id="17" name="ZoneTexte 16"/>
        <cdr:cNvSpPr txBox="1"/>
      </cdr:nvSpPr>
      <cdr:spPr>
        <a:xfrm xmlns:a="http://schemas.openxmlformats.org/drawingml/2006/main">
          <a:off x="2848428" y="475340"/>
          <a:ext cx="304075"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gh</a:t>
          </a:r>
        </a:p>
      </cdr:txBody>
    </cdr:sp>
  </cdr:relSizeAnchor>
  <cdr:relSizeAnchor xmlns:cdr="http://schemas.openxmlformats.org/drawingml/2006/chartDrawing">
    <cdr:from>
      <cdr:x>0.87262</cdr:x>
      <cdr:y>0.21716</cdr:y>
    </cdr:from>
    <cdr:to>
      <cdr:x>0.95666</cdr:x>
      <cdr:y>0.30705</cdr:y>
    </cdr:to>
    <cdr:sp macro="" textlink="">
      <cdr:nvSpPr>
        <cdr:cNvPr id="18" name="ZoneTexte 17"/>
        <cdr:cNvSpPr txBox="1"/>
      </cdr:nvSpPr>
      <cdr:spPr>
        <a:xfrm xmlns:a="http://schemas.openxmlformats.org/drawingml/2006/main">
          <a:off x="2995386" y="5080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h</a:t>
          </a:r>
        </a:p>
      </cdr:txBody>
    </cdr:sp>
  </cdr:relSizeAnchor>
  <cdr:relSizeAnchor xmlns:cdr="http://schemas.openxmlformats.org/drawingml/2006/chartDrawing">
    <cdr:from>
      <cdr:x>0.90433</cdr:x>
      <cdr:y>0.21716</cdr:y>
    </cdr:from>
    <cdr:to>
      <cdr:x>0.98837</cdr:x>
      <cdr:y>0.30705</cdr:y>
    </cdr:to>
    <cdr:sp macro="" textlink="">
      <cdr:nvSpPr>
        <cdr:cNvPr id="19" name="ZoneTexte 18"/>
        <cdr:cNvSpPr txBox="1"/>
      </cdr:nvSpPr>
      <cdr:spPr>
        <a:xfrm xmlns:a="http://schemas.openxmlformats.org/drawingml/2006/main">
          <a:off x="3104243" y="5080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6295-7914-4932-9EED-F0D7C594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12</Pages>
  <Words>3818</Words>
  <Characters>21768</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25535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2026-01-24T18:33:00Z</dcterms:created>
  <dcterms:modified xsi:type="dcterms:W3CDTF">2026-01-27T11:55:00Z</dcterms:modified>
</cp:coreProperties>
</file>