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375DD" w14:textId="77777777" w:rsidR="00450094" w:rsidRDefault="00450094" w:rsidP="00BF4A41">
      <w:pPr>
        <w:pStyle w:val="Heading1"/>
        <w:shd w:val="clear" w:color="auto" w:fill="FFFFFF"/>
        <w:spacing w:after="240" w:line="360" w:lineRule="auto"/>
        <w:jc w:val="both"/>
        <w:rPr>
          <w:rStyle w:val="Strong"/>
          <w:rFonts w:asciiTheme="majorBidi" w:hAnsiTheme="majorBidi"/>
          <w:color w:val="0F1115"/>
          <w:sz w:val="24"/>
          <w:szCs w:val="24"/>
        </w:rPr>
      </w:pPr>
      <w:r w:rsidRPr="00450094">
        <w:rPr>
          <w:rStyle w:val="Strong"/>
          <w:rFonts w:asciiTheme="majorBidi" w:hAnsiTheme="majorBidi"/>
          <w:color w:val="0F1115"/>
          <w:sz w:val="24"/>
          <w:szCs w:val="24"/>
        </w:rPr>
        <w:t xml:space="preserve">Original Research Article </w:t>
      </w:r>
    </w:p>
    <w:p w14:paraId="2F07B05C" w14:textId="77777777" w:rsidR="00450094" w:rsidRDefault="00450094" w:rsidP="00BF4A41">
      <w:pPr>
        <w:pStyle w:val="Heading1"/>
        <w:shd w:val="clear" w:color="auto" w:fill="FFFFFF"/>
        <w:spacing w:after="240" w:line="360" w:lineRule="auto"/>
        <w:jc w:val="both"/>
        <w:rPr>
          <w:rStyle w:val="Strong"/>
          <w:rFonts w:asciiTheme="majorBidi" w:hAnsiTheme="majorBidi"/>
          <w:color w:val="0F1115"/>
          <w:sz w:val="24"/>
          <w:szCs w:val="24"/>
        </w:rPr>
      </w:pPr>
    </w:p>
    <w:p w14:paraId="7C3CE41B" w14:textId="7BBD7A3F" w:rsidR="00BF4A41" w:rsidRPr="00BF4A41" w:rsidRDefault="00BF4A41" w:rsidP="00BF4A41">
      <w:pPr>
        <w:pStyle w:val="Heading1"/>
        <w:shd w:val="clear" w:color="auto" w:fill="FFFFFF"/>
        <w:spacing w:after="240" w:line="360" w:lineRule="auto"/>
        <w:jc w:val="both"/>
        <w:rPr>
          <w:rFonts w:asciiTheme="majorBidi" w:hAnsiTheme="majorBidi"/>
          <w:b/>
          <w:bCs/>
          <w:color w:val="0F1115"/>
          <w:sz w:val="24"/>
          <w:szCs w:val="24"/>
        </w:rPr>
      </w:pPr>
      <w:r w:rsidRPr="00BF4A41">
        <w:rPr>
          <w:rStyle w:val="Strong"/>
          <w:rFonts w:asciiTheme="majorBidi" w:hAnsiTheme="majorBidi"/>
          <w:color w:val="0F1115"/>
          <w:sz w:val="24"/>
          <w:szCs w:val="24"/>
        </w:rPr>
        <w:t>Seroprevalence of Human Herpesvirus-6 (HHV-6) IgM among Healthy Blood Donors in Eastern Sudan: A Cross-Sectional Study</w:t>
      </w:r>
    </w:p>
    <w:p w14:paraId="4707EBD9" w14:textId="77777777" w:rsidR="00BF4A41" w:rsidRPr="00BF4A41" w:rsidRDefault="00BF4A41" w:rsidP="00BF4A41"/>
    <w:p w14:paraId="21F68E85" w14:textId="77777777" w:rsidR="00860FD8" w:rsidRDefault="00860FD8" w:rsidP="00860FD8">
      <w:pPr>
        <w:spacing w:line="276" w:lineRule="auto"/>
        <w:jc w:val="both"/>
        <w:rPr>
          <w:rFonts w:asciiTheme="majorBidi" w:hAnsiTheme="majorBidi" w:cstheme="majorBidi"/>
          <w:sz w:val="24"/>
          <w:szCs w:val="24"/>
          <w:rtl/>
        </w:rPr>
      </w:pPr>
    </w:p>
    <w:p w14:paraId="0AC650D2" w14:textId="77777777" w:rsidR="00102092" w:rsidRPr="00780438"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sidRPr="00780438">
        <w:rPr>
          <w:rStyle w:val="Strong"/>
          <w:rFonts w:asciiTheme="majorBidi" w:hAnsiTheme="majorBidi" w:cstheme="majorBidi"/>
          <w:b/>
          <w:bCs/>
          <w:color w:val="0F1115"/>
          <w:sz w:val="24"/>
          <w:szCs w:val="24"/>
        </w:rPr>
        <w:t>ABSTRACT</w:t>
      </w:r>
    </w:p>
    <w:p w14:paraId="75174D38" w14:textId="77777777" w:rsidR="00490C81" w:rsidRPr="00141D7B" w:rsidRDefault="00490C81" w:rsidP="0094181F">
      <w:pPr>
        <w:pStyle w:val="NormalWeb"/>
        <w:spacing w:before="0" w:beforeAutospacing="0" w:after="0" w:afterAutospacing="0" w:line="360" w:lineRule="auto"/>
        <w:jc w:val="both"/>
      </w:pPr>
      <w:r>
        <w:rPr>
          <w:rStyle w:val="Strong"/>
        </w:rPr>
        <w:t>Background:</w:t>
      </w:r>
      <w:r>
        <w:t xml:space="preserve"> Human herpesvirus 6 (HHV-6) is a ubiquitous β-herpesvirus that establishes lifelong latency following primary infection, usually acquired during early childhood. Although infection is often asymptomatic in immunocompetent individuals, HHV-6 may pose a transfusion-transmitted risk, particularly for immunocompromised recipients, in whom viral reactivation can lead to severe complications. Data on HHV-6 exposure among Sudanese blood donors are scarce. This study aimed to determine the seroprevalence of HHV-6 IgM antibodies among healthy blood donors in Eastern Sudan. </w:t>
      </w:r>
      <w:r>
        <w:rPr>
          <w:rStyle w:val="Strong"/>
        </w:rPr>
        <w:t>Methods:</w:t>
      </w:r>
      <w:r>
        <w:t xml:space="preserve"> A cross-sectional study was conducted between 2022 and 2025 among 180 apparently healthy male blood donors attending Kassala Teaching Hospital, Eastern Sudan. Anti-HHV-6 IgM antibodies were detected using a commercial enzyme-linked immunosorbent assay (ELISA). Demographic characteristics and hematological parameters were recorded. Statistical analysis was performed using SPSS version 28, and associations were assessed using the chi-square test, with statistical significance set at </w:t>
      </w:r>
      <w:r>
        <w:rPr>
          <w:rStyle w:val="Emphasis"/>
        </w:rPr>
        <w:t>p</w:t>
      </w:r>
      <w:r>
        <w:t xml:space="preserve"> &lt; 0.05. </w:t>
      </w:r>
      <w:r>
        <w:rPr>
          <w:rStyle w:val="Strong"/>
        </w:rPr>
        <w:t>Results:</w:t>
      </w:r>
      <w:r>
        <w:br/>
        <w:t>HHV-6 IgM antibodies were detected in 5 out of 180 donors, yielding a seroprevalence of 2.78%. No statistically significant associations were observed between HHV-6 IgM seropositivity and age, region of residence, or ABO/Rh blood groups. Most hematological parameters were comparable between IgM-positive and IgM-negative donors; however, monocyte counts showed a statistically significant difference (</w:t>
      </w:r>
      <w:r>
        <w:rPr>
          <w:rStyle w:val="Emphasis"/>
        </w:rPr>
        <w:t>p</w:t>
      </w:r>
      <w:r>
        <w:t xml:space="preserve"> = 0.043). </w:t>
      </w:r>
      <w:r>
        <w:rPr>
          <w:rStyle w:val="Strong"/>
        </w:rPr>
        <w:t>Conclusion:</w:t>
      </w:r>
      <w:r>
        <w:t xml:space="preserve"> The low seroprevalence of HHV-6 IgM suggests limited evidence of recent or active infection among healthy blood donors in this setting. Nevertheless, the low sensitivity of the serological assay used may underestimate the true </w:t>
      </w:r>
      <w:r>
        <w:lastRenderedPageBreak/>
        <w:t>prevalence. These findings highlight the need for larger, multicenter studies incorporating high-sensitivity molecular techniques to better assess the transfusion-related risk of HHV-6 in Sudan.</w:t>
      </w:r>
    </w:p>
    <w:p w14:paraId="19FA61BF" w14:textId="77777777" w:rsidR="00C8611B" w:rsidRPr="006452C4" w:rsidRDefault="00102092" w:rsidP="0094181F">
      <w:pPr>
        <w:pStyle w:val="ds-markdown-paragraph"/>
        <w:shd w:val="clear" w:color="auto" w:fill="FFFFFF"/>
        <w:spacing w:before="240" w:beforeAutospacing="0" w:after="240" w:afterAutospacing="0" w:line="360" w:lineRule="auto"/>
        <w:jc w:val="both"/>
        <w:rPr>
          <w:rFonts w:asciiTheme="majorBidi" w:hAnsiTheme="majorBidi" w:cstheme="majorBidi"/>
          <w:i/>
          <w:iCs/>
          <w:color w:val="0F1115"/>
        </w:rPr>
      </w:pPr>
      <w:r w:rsidRPr="00497697">
        <w:rPr>
          <w:rStyle w:val="Strong"/>
          <w:rFonts w:asciiTheme="majorBidi" w:hAnsiTheme="majorBidi" w:cstheme="majorBidi"/>
          <w:i/>
          <w:iCs/>
          <w:color w:val="0F1115"/>
        </w:rPr>
        <w:t>Keywords:</w:t>
      </w:r>
      <w:r w:rsidR="00490C81">
        <w:rPr>
          <w:rStyle w:val="Strong"/>
          <w:rFonts w:asciiTheme="majorBidi" w:hAnsiTheme="majorBidi" w:cstheme="majorBidi"/>
          <w:i/>
          <w:iCs/>
          <w:color w:val="0F1115"/>
        </w:rPr>
        <w:t xml:space="preserve"> </w:t>
      </w:r>
      <w:r w:rsidR="00490C81" w:rsidRPr="00490C81">
        <w:rPr>
          <w:rFonts w:asciiTheme="majorBidi" w:hAnsiTheme="majorBidi" w:cstheme="majorBidi"/>
          <w:i/>
          <w:iCs/>
          <w:color w:val="0F1115"/>
        </w:rPr>
        <w:t>Human herpesvirus 6; HHV-6 IgM; Blood donors; Seroprevalence; ELISA; Transfusion-transmitted infections; Sudan</w:t>
      </w:r>
    </w:p>
    <w:p w14:paraId="35848E5D" w14:textId="77777777" w:rsidR="00102092" w:rsidRPr="00780438" w:rsidRDefault="00C94A8F" w:rsidP="00780438">
      <w:pPr>
        <w:pStyle w:val="Heading2"/>
        <w:shd w:val="clear" w:color="auto" w:fill="FFFFFF"/>
        <w:spacing w:before="480" w:beforeAutospacing="0" w:after="240" w:afterAutospacing="0" w:line="360" w:lineRule="auto"/>
        <w:jc w:val="both"/>
        <w:rPr>
          <w:rFonts w:asciiTheme="majorBidi" w:hAnsiTheme="majorBidi" w:cstheme="majorBidi"/>
          <w:color w:val="0F1115"/>
          <w:sz w:val="24"/>
          <w:szCs w:val="24"/>
        </w:rPr>
      </w:pPr>
      <w:r>
        <w:rPr>
          <w:rStyle w:val="Strong"/>
          <w:rFonts w:asciiTheme="majorBidi" w:hAnsiTheme="majorBidi" w:cstheme="majorBidi"/>
          <w:b/>
          <w:bCs/>
          <w:color w:val="0F1115"/>
          <w:sz w:val="24"/>
          <w:szCs w:val="24"/>
        </w:rPr>
        <w:t xml:space="preserve">1. </w:t>
      </w:r>
      <w:r w:rsidRPr="00780438">
        <w:rPr>
          <w:rStyle w:val="Strong"/>
          <w:rFonts w:asciiTheme="majorBidi" w:hAnsiTheme="majorBidi" w:cstheme="majorBidi"/>
          <w:b/>
          <w:bCs/>
          <w:color w:val="0F1115"/>
          <w:sz w:val="24"/>
          <w:szCs w:val="24"/>
        </w:rPr>
        <w:t>INTRODUCTION</w:t>
      </w:r>
    </w:p>
    <w:p w14:paraId="3956658B" w14:textId="77777777" w:rsidR="00E11D0E" w:rsidRPr="00E11D0E" w:rsidRDefault="00E11D0E" w:rsidP="00E11D0E">
      <w:pPr>
        <w:pStyle w:val="NormalWeb"/>
        <w:spacing w:before="0" w:beforeAutospacing="0" w:after="0" w:afterAutospacing="0" w:line="360" w:lineRule="auto"/>
        <w:jc w:val="both"/>
      </w:pPr>
      <w:r>
        <w:t xml:space="preserve">Blood transfusion is a life-saving medical intervention; however, it carries an inherent risk of transmitting infectious agents from asymptomatic donors to recipients. Transfusion-transmitted infections (TTIs) remain a major public health concern, particularly in low- and middle-income countries where diagnostic resources and surveillance systems are often limited. Although routine screening for major blood-borne pathogens such as human immunodeficiency virus (HIV), hepatitis B virus (HBV), hepatitis C virus (HCV), and </w:t>
      </w:r>
      <w:r>
        <w:rPr>
          <w:rStyle w:val="Emphasis"/>
        </w:rPr>
        <w:t>Treponema pallidum</w:t>
      </w:r>
      <w:r>
        <w:t xml:space="preserve"> has significantly reduced the burden of classical TTIs, emerging and neglected pathogens continue to pose challenges to transfusion safety [1]. Human herpesvirus 6 (HHV-6) is a ubiquitous β-herpesvirus comprising two closely related species, HHV-6A and HHV-6B. Primary infection usually occurs during early childhood, after which the virus establishes lifelong latency [2]. HHV-6B is the etiological agent of exanthema </w:t>
      </w:r>
      <w:proofErr w:type="spellStart"/>
      <w:r>
        <w:t>subitum</w:t>
      </w:r>
      <w:proofErr w:type="spellEnd"/>
      <w:r>
        <w:t xml:space="preserve"> (roseola infantum), whereas HHV-6A is less well characterized but is increasingly associated with neurotropic and immunomodulatory effects [3]. Following primary infection, HHV-6 persists in various cell types, including monocytes and macrophages, and may integrate into human chromosomal telomeres, resulting in chromosomally integrated HHV-6 (ciHHV-6), a condition reported in approximately 1% of the general population [4]. In immunocompetent individuals, HHV-6 infection is usually asymptomatic or self-limiting. However, in immunocompromised patients—such as hematopoietic stem cell and solid-organ transplant recipients, individuals with hematological malignancies, and those living with HIV—viral reactivation or primary infection can lead to severe clinical manifestations, including encephalitis, hepatitis, pneumonitis, bone marrow suppression, and graft dysfunction [5–8]. Several studies have documented transfusion-transmitted HHV-6, highlighting the potential risk associated with blood transfusion, particularly in settings where transfusion recipients often include immunosuppressed patients. Globally, HHV-6 IgG seroprevalence ranges from 60% to 90%, reflecting widespread early-life exposure [9]. In contrast, detection of HHV-6 IgM </w:t>
      </w:r>
      <w:r>
        <w:lastRenderedPageBreak/>
        <w:t xml:space="preserve">antibodies, which indicates recent or active infection, is less common and varies by geographic region, population characteristics, and diagnostic methods. For example, a study conducted in Qatar reported an HHV-6 IgG seroprevalence of 71.7% [9], while a recent study from Pakistan detected HHV-6 IgM antibodies in 8% of healthy blood donors [10]. In Sudan, routine screening for HHV-6 is not performed, and epidemiological data on HHV-6 infection among blood donors are scarce. Kassala State, located in Eastern Sudan near international borders, is characterized by high population mobility and limited infectious disease surveillance. Understanding the </w:t>
      </w:r>
      <w:proofErr w:type="spellStart"/>
      <w:r>
        <w:t>sero</w:t>
      </w:r>
      <w:proofErr w:type="spellEnd"/>
      <w:r>
        <w:t>-epidemiology of HHV-6 in this region is therefore essential for assessing potential transfusion-related risks. Accordingly, this study aimed to determine the seroprevalence of HHV-6 IgM antibodies among healthy Sudanese blood donors attending Kassala Teaching Hospital, thereby providing baseline data to inform blood transfusion safety policies in Sudan.</w:t>
      </w:r>
    </w:p>
    <w:p w14:paraId="42826495" w14:textId="77777777" w:rsidR="006452C4" w:rsidRDefault="006452C4" w:rsidP="00896850">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Pr>
      </w:pPr>
    </w:p>
    <w:p w14:paraId="1F596EDD" w14:textId="77777777" w:rsidR="00102092" w:rsidRPr="00780438" w:rsidRDefault="0018008F" w:rsidP="00896850">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Pr>
      </w:pPr>
      <w:r w:rsidRPr="0018008F">
        <w:rPr>
          <w:rStyle w:val="Strong"/>
          <w:rFonts w:asciiTheme="majorBidi" w:hAnsiTheme="majorBidi" w:cstheme="majorBidi"/>
          <w:b/>
          <w:bCs/>
          <w:color w:val="0F1115"/>
          <w:sz w:val="24"/>
          <w:szCs w:val="24"/>
        </w:rPr>
        <w:t>2. MATERIALS AND METHODS</w:t>
      </w:r>
    </w:p>
    <w:p w14:paraId="44FED9BE"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Study Design and Setting</w:t>
      </w:r>
    </w:p>
    <w:p w14:paraId="7FF43678" w14:textId="77777777" w:rsidR="00234391" w:rsidRPr="00234391" w:rsidRDefault="00234391" w:rsidP="00234391">
      <w:pPr>
        <w:pStyle w:val="NormalWeb"/>
        <w:spacing w:before="0" w:beforeAutospacing="0" w:after="0" w:afterAutospacing="0" w:line="360" w:lineRule="auto"/>
        <w:jc w:val="both"/>
      </w:pPr>
      <w:r w:rsidRPr="00234391">
        <w:t>A cross-sectional study was conducted at Kassala Teaching Hospital, Kassala State, Eastern Sudan, between 2022 and 2025.</w:t>
      </w:r>
    </w:p>
    <w:p w14:paraId="56DAA1BD"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Study Population and Sampling</w:t>
      </w:r>
    </w:p>
    <w:p w14:paraId="1C7BAB26" w14:textId="77777777" w:rsidR="00234391" w:rsidRPr="00234391" w:rsidRDefault="00234391" w:rsidP="00234391">
      <w:pPr>
        <w:pStyle w:val="NormalWeb"/>
        <w:spacing w:before="0" w:beforeAutospacing="0" w:after="0" w:afterAutospacing="0" w:line="360" w:lineRule="auto"/>
        <w:jc w:val="both"/>
      </w:pPr>
      <w:r w:rsidRPr="00234391">
        <w:t>A total of 180 apparently healthy male blood donors were enrolled using a non-probability convenience sampling technique. Participants were recruited consecutively after routine donor screening at the blood bank. All donors met the World Health Organization (WHO) eligibility criteria for blood donation [11]. The sample size was determined based on donor availability during the study period and was comparable to sample sizes used in similar studies conducted in the region.</w:t>
      </w:r>
    </w:p>
    <w:p w14:paraId="4F61A253"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Inclusion and Exclusion Criteria</w:t>
      </w:r>
    </w:p>
    <w:p w14:paraId="6F9D3BF7" w14:textId="77777777" w:rsidR="00234391" w:rsidRPr="00234391" w:rsidRDefault="00234391" w:rsidP="00234391">
      <w:pPr>
        <w:pStyle w:val="NormalWeb"/>
        <w:spacing w:before="0" w:beforeAutospacing="0" w:after="0" w:afterAutospacing="0" w:line="360" w:lineRule="auto"/>
        <w:jc w:val="both"/>
      </w:pPr>
      <w:r w:rsidRPr="00234391">
        <w:t>Sudanese male voluntary or replacement blood donors who provided written informed consent were included in the study. Donors were excluded if they tested positive for any mandatory transfusion-transmissible infections, including HIV, HBV, HCV, or syphilis, or if they were non-Sudanese nationals.</w:t>
      </w:r>
    </w:p>
    <w:p w14:paraId="7E126F8F"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Data Collection</w:t>
      </w:r>
    </w:p>
    <w:p w14:paraId="244EB278" w14:textId="77777777" w:rsidR="00234391" w:rsidRPr="00234391" w:rsidRDefault="00234391" w:rsidP="00234391">
      <w:pPr>
        <w:pStyle w:val="NormalWeb"/>
        <w:spacing w:before="0" w:beforeAutospacing="0" w:after="0" w:afterAutospacing="0" w:line="360" w:lineRule="auto"/>
        <w:jc w:val="both"/>
      </w:pPr>
      <w:r w:rsidRPr="00234391">
        <w:lastRenderedPageBreak/>
        <w:t>Sociodemographic data, including age and region of residence, were collected using a structured interviewer-administered questionnaire. Additional clinical information was obtained from donor medical records when necessary to ensure data completeness and accuracy.</w:t>
      </w:r>
    </w:p>
    <w:p w14:paraId="7A216042"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Specimen Collection and Hematological Analysis</w:t>
      </w:r>
    </w:p>
    <w:p w14:paraId="6D76CCCB" w14:textId="77777777" w:rsidR="00234391" w:rsidRPr="00234391" w:rsidRDefault="00234391" w:rsidP="00234391">
      <w:pPr>
        <w:pStyle w:val="NormalWeb"/>
        <w:spacing w:before="0" w:beforeAutospacing="0" w:after="0" w:afterAutospacing="0" w:line="360" w:lineRule="auto"/>
        <w:jc w:val="both"/>
      </w:pPr>
      <w:r w:rsidRPr="00234391">
        <w:t>Approximately 5 mL of venous blood was collected aseptically from each donor into ethylenediaminetetraacetic acid (EDTA) tubes. Samples were centrifuged at 3000 rpm for 5 minutes, and plasma was separated and stored according to standard laboratory procedures until serological analysis. Complete blood counts were performed using an automated hematology analyzer (Mindray BC-30s) following the manufacturer’s instructions and routine quality-control measures.</w:t>
      </w:r>
    </w:p>
    <w:p w14:paraId="019B7BAA"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Serological Detection of HHV-6 IgM Antibodies</w:t>
      </w:r>
    </w:p>
    <w:p w14:paraId="44E3DC3C" w14:textId="77777777" w:rsidR="00234391" w:rsidRPr="00234391" w:rsidRDefault="00234391" w:rsidP="00234391">
      <w:pPr>
        <w:pStyle w:val="NormalWeb"/>
        <w:spacing w:before="0" w:beforeAutospacing="0" w:after="0" w:afterAutospacing="0" w:line="360" w:lineRule="auto"/>
        <w:jc w:val="both"/>
      </w:pPr>
      <w:r w:rsidRPr="00234391">
        <w:t>Anti-HHV-6 IgM antibodies were detected using a commercial enzyme-linked immunosorbent assay (ELISA) kit (Bioassay Technology Laboratory, China), in accordance with the manufacturer’s instructions. Optical density values were measured at 450–630 nm. Results were interpreted using the recommended cut-off values, with samples considered positive at concentrations ≥ 1.0 U/mL and negative at &lt; 0.10 U/</w:t>
      </w:r>
      <w:proofErr w:type="spellStart"/>
      <w:r w:rsidRPr="00234391">
        <w:t>mL.</w:t>
      </w:r>
      <w:proofErr w:type="spellEnd"/>
      <w:r w:rsidRPr="00234391">
        <w:t xml:space="preserve"> The reported sensitivity and specificity of the assay were 40% and 98%, respectively, and these performance characteristics were considered during interpretation of the results.</w:t>
      </w:r>
    </w:p>
    <w:p w14:paraId="7484BB78" w14:textId="77777777" w:rsidR="00234391" w:rsidRPr="00234391" w:rsidRDefault="00234391" w:rsidP="00234391">
      <w:pPr>
        <w:pStyle w:val="Heading3"/>
        <w:spacing w:before="0" w:beforeAutospacing="0" w:after="0" w:afterAutospacing="0" w:line="360" w:lineRule="auto"/>
        <w:jc w:val="both"/>
        <w:rPr>
          <w:sz w:val="24"/>
          <w:szCs w:val="24"/>
        </w:rPr>
      </w:pPr>
      <w:r w:rsidRPr="00234391">
        <w:rPr>
          <w:sz w:val="24"/>
          <w:szCs w:val="24"/>
        </w:rPr>
        <w:t>Statistical Analysis</w:t>
      </w:r>
    </w:p>
    <w:p w14:paraId="2318CF73" w14:textId="77777777" w:rsidR="00234391" w:rsidRPr="00234391" w:rsidRDefault="00234391" w:rsidP="00234391">
      <w:pPr>
        <w:pStyle w:val="NormalWeb"/>
        <w:spacing w:before="0" w:beforeAutospacing="0" w:after="0" w:afterAutospacing="0" w:line="360" w:lineRule="auto"/>
        <w:jc w:val="both"/>
      </w:pPr>
      <w:r w:rsidRPr="00234391">
        <w:t xml:space="preserve">Data were analyzed using SPSS version 28. Descriptive statistics were used to summarize demographic characteristics, serological findings, and hematological parameters. Associations between HHV-6 IgM seropositivity and categorical variables were assessed using the chi-square test. Statistical significance was set at </w:t>
      </w:r>
      <w:r w:rsidRPr="00234391">
        <w:rPr>
          <w:rStyle w:val="Emphasis"/>
        </w:rPr>
        <w:t>p</w:t>
      </w:r>
      <w:r w:rsidRPr="00234391">
        <w:t xml:space="preserve"> &lt; 0.05. Given the small number of seropositive cases, results were interpreted with caution.</w:t>
      </w:r>
    </w:p>
    <w:p w14:paraId="09DB3523" w14:textId="77777777" w:rsidR="00102092" w:rsidRDefault="007A5D79" w:rsidP="001E41CD">
      <w:pPr>
        <w:pStyle w:val="Heading2"/>
        <w:shd w:val="clear" w:color="auto" w:fill="FFFFFF"/>
        <w:spacing w:before="0" w:beforeAutospacing="0" w:after="0" w:afterAutospacing="0" w:line="360" w:lineRule="auto"/>
        <w:jc w:val="both"/>
        <w:rPr>
          <w:rStyle w:val="Strong"/>
          <w:rFonts w:asciiTheme="majorBidi" w:hAnsiTheme="majorBidi" w:cstheme="majorBidi"/>
          <w:b/>
          <w:bCs/>
          <w:color w:val="0F1115"/>
          <w:sz w:val="24"/>
          <w:szCs w:val="24"/>
          <w:rtl/>
        </w:rPr>
      </w:pPr>
      <w:r w:rsidRPr="007A5D79">
        <w:rPr>
          <w:rStyle w:val="Strong"/>
          <w:rFonts w:asciiTheme="majorBidi" w:hAnsiTheme="majorBidi" w:cstheme="majorBidi"/>
          <w:b/>
          <w:bCs/>
          <w:color w:val="0F1115"/>
          <w:sz w:val="24"/>
          <w:szCs w:val="24"/>
        </w:rPr>
        <w:t>3. RESULTS</w:t>
      </w:r>
    </w:p>
    <w:p w14:paraId="399248B2" w14:textId="77777777" w:rsidR="00107141" w:rsidRPr="000C7F53" w:rsidRDefault="00234391" w:rsidP="000C7F53">
      <w:pPr>
        <w:pStyle w:val="NormalWeb"/>
        <w:spacing w:before="0" w:beforeAutospacing="0" w:after="0" w:afterAutospacing="0" w:line="360" w:lineRule="auto"/>
        <w:jc w:val="both"/>
      </w:pPr>
      <w:r>
        <w:t xml:space="preserve">A total of 180 apparently healthy male blood donors were included in the study. The overall seroprevalence of anti-HHV-6 IgM antibodies was 2.78% (5/180). Figure 1 illustrates the distribution of HHV-6 IgM seropositivity among the study population. The distribution of HHV-6 IgM seropositivity according to demographic characteristics </w:t>
      </w:r>
      <w:r w:rsidRPr="00107141">
        <w:rPr>
          <w:b/>
          <w:bCs/>
        </w:rPr>
        <w:t>(Table 1).</w:t>
      </w:r>
      <w:r>
        <w:t xml:space="preserve"> No statistically significant associations were observed between HHV-6 IgM seropositivity and age group (χ² = 2.34, </w:t>
      </w:r>
      <w:r>
        <w:rPr>
          <w:rStyle w:val="Emphasis"/>
        </w:rPr>
        <w:t>p</w:t>
      </w:r>
      <w:r>
        <w:t xml:space="preserve"> = 0.126), region of residence (χ² = 0.147, </w:t>
      </w:r>
      <w:r>
        <w:rPr>
          <w:rStyle w:val="Emphasis"/>
        </w:rPr>
        <w:t>p</w:t>
      </w:r>
      <w:r>
        <w:t xml:space="preserve"> = 0.986), or ABO/Rh blood group (χ² = 2.657, </w:t>
      </w:r>
      <w:r>
        <w:rPr>
          <w:rStyle w:val="Emphasis"/>
        </w:rPr>
        <w:lastRenderedPageBreak/>
        <w:t>p</w:t>
      </w:r>
      <w:r>
        <w:t xml:space="preserve"> = 0.753). Although most IgM-positive donors were aged 19–35 years, this distribution did not indicate a meaningful epidemiological trend. A comparative analysis of hematological parameters between HHV-6 IgM–positive and IgM–negative donors </w:t>
      </w:r>
      <w:r w:rsidR="00107141" w:rsidRPr="00107141">
        <w:rPr>
          <w:b/>
          <w:bCs/>
        </w:rPr>
        <w:t>(</w:t>
      </w:r>
      <w:r w:rsidRPr="00107141">
        <w:rPr>
          <w:b/>
          <w:bCs/>
        </w:rPr>
        <w:t>Table 2</w:t>
      </w:r>
      <w:r w:rsidR="00107141" w:rsidRPr="00107141">
        <w:rPr>
          <w:b/>
          <w:bCs/>
        </w:rPr>
        <w:t>)</w:t>
      </w:r>
      <w:r w:rsidRPr="00107141">
        <w:rPr>
          <w:b/>
          <w:bCs/>
        </w:rPr>
        <w:t>.</w:t>
      </w:r>
      <w:r>
        <w:t xml:space="preserve"> No significant differences were observed in total white blood cell counts, neutrophil counts, lymphocyte counts, or platelet counts. However, monocyte counts showed a statistically significant difference between the two groups (</w:t>
      </w:r>
      <w:r>
        <w:rPr>
          <w:rStyle w:val="Emphasis"/>
        </w:rPr>
        <w:t>p</w:t>
      </w:r>
      <w:r>
        <w:t xml:space="preserve"> = 0.043). Overall, the findings indicate a low prevalence of recent HHV-6 infection among healthy blood donors, with no clear demographic predictors of seropositivity in this population.</w:t>
      </w:r>
    </w:p>
    <w:p w14:paraId="3BFBAB5B" w14:textId="77777777" w:rsidR="00107141" w:rsidRDefault="000C7F53" w:rsidP="000C7F53">
      <w:pPr>
        <w:pStyle w:val="ds-markdown-paragraph"/>
        <w:shd w:val="clear" w:color="auto" w:fill="FFFFFF"/>
        <w:spacing w:before="240" w:beforeAutospacing="0" w:after="0" w:afterAutospacing="0" w:line="360" w:lineRule="auto"/>
        <w:jc w:val="center"/>
        <w:rPr>
          <w:b/>
          <w:bCs/>
        </w:rPr>
      </w:pPr>
      <w:r w:rsidRPr="000C7F53">
        <w:rPr>
          <w:b/>
          <w:bCs/>
        </w:rPr>
        <w:t>Table 1. Demographic Characteristics of the Study Population</w:t>
      </w:r>
      <w:r w:rsidR="00056213">
        <w:rPr>
          <w:b/>
          <w:bCs/>
        </w:rPr>
        <w:t>.</w:t>
      </w:r>
    </w:p>
    <w:tbl>
      <w:tblPr>
        <w:tblStyle w:val="TableGrid"/>
        <w:tblW w:w="8545" w:type="dxa"/>
        <w:jc w:val="center"/>
        <w:tblLook w:val="04A0" w:firstRow="1" w:lastRow="0" w:firstColumn="1" w:lastColumn="0" w:noHBand="0" w:noVBand="1"/>
      </w:tblPr>
      <w:tblGrid>
        <w:gridCol w:w="1580"/>
        <w:gridCol w:w="1611"/>
        <w:gridCol w:w="1411"/>
        <w:gridCol w:w="1756"/>
        <w:gridCol w:w="756"/>
        <w:gridCol w:w="1431"/>
      </w:tblGrid>
      <w:tr w:rsidR="009920C0" w:rsidRPr="009920C0" w14:paraId="77A637FA" w14:textId="77777777" w:rsidTr="00606979">
        <w:trPr>
          <w:jc w:val="center"/>
        </w:trPr>
        <w:tc>
          <w:tcPr>
            <w:tcW w:w="1580" w:type="dxa"/>
            <w:hideMark/>
          </w:tcPr>
          <w:p w14:paraId="40E9A1F8" w14:textId="77777777" w:rsidR="009920C0" w:rsidRPr="009920C0" w:rsidRDefault="009920C0" w:rsidP="009920C0">
            <w:pPr>
              <w:rPr>
                <w:rFonts w:asciiTheme="majorBidi" w:hAnsiTheme="majorBidi" w:cstheme="majorBidi"/>
                <w:b/>
                <w:bCs/>
                <w:sz w:val="24"/>
                <w:szCs w:val="24"/>
                <w:lang w:bidi="ar-OM"/>
              </w:rPr>
            </w:pPr>
            <w:r w:rsidRPr="009920C0">
              <w:rPr>
                <w:rFonts w:asciiTheme="majorBidi" w:hAnsiTheme="majorBidi" w:cstheme="majorBidi"/>
                <w:b/>
                <w:bCs/>
                <w:sz w:val="24"/>
                <w:szCs w:val="24"/>
                <w:lang w:bidi="ar-OM"/>
              </w:rPr>
              <w:t>Variable</w:t>
            </w:r>
          </w:p>
        </w:tc>
        <w:tc>
          <w:tcPr>
            <w:tcW w:w="1611" w:type="dxa"/>
            <w:hideMark/>
          </w:tcPr>
          <w:p w14:paraId="5DF76DC0" w14:textId="77777777" w:rsidR="009920C0" w:rsidRPr="009920C0" w:rsidRDefault="009920C0" w:rsidP="009920C0">
            <w:pPr>
              <w:jc w:val="center"/>
              <w:rPr>
                <w:rFonts w:asciiTheme="majorBidi" w:hAnsiTheme="majorBidi" w:cstheme="majorBidi"/>
                <w:b/>
                <w:bCs/>
                <w:sz w:val="24"/>
                <w:szCs w:val="24"/>
                <w:lang w:bidi="ar-OM"/>
              </w:rPr>
            </w:pPr>
            <w:r w:rsidRPr="009920C0">
              <w:rPr>
                <w:rFonts w:asciiTheme="majorBidi" w:hAnsiTheme="majorBidi" w:cstheme="majorBidi"/>
                <w:b/>
                <w:bCs/>
                <w:sz w:val="24"/>
                <w:szCs w:val="24"/>
                <w:lang w:bidi="ar-OM"/>
              </w:rPr>
              <w:t>Category</w:t>
            </w:r>
          </w:p>
        </w:tc>
        <w:tc>
          <w:tcPr>
            <w:tcW w:w="1411" w:type="dxa"/>
            <w:hideMark/>
          </w:tcPr>
          <w:p w14:paraId="783A439A" w14:textId="77777777" w:rsidR="009920C0" w:rsidRPr="009920C0" w:rsidRDefault="009920C0" w:rsidP="009920C0">
            <w:pPr>
              <w:jc w:val="center"/>
              <w:rPr>
                <w:rFonts w:asciiTheme="majorBidi" w:hAnsiTheme="majorBidi" w:cstheme="majorBidi"/>
                <w:b/>
                <w:bCs/>
                <w:sz w:val="24"/>
                <w:szCs w:val="24"/>
                <w:lang w:bidi="ar-OM"/>
              </w:rPr>
            </w:pPr>
            <w:r w:rsidRPr="009920C0">
              <w:rPr>
                <w:rFonts w:asciiTheme="majorBidi" w:hAnsiTheme="majorBidi" w:cstheme="majorBidi"/>
                <w:b/>
                <w:bCs/>
                <w:sz w:val="24"/>
                <w:szCs w:val="24"/>
                <w:lang w:bidi="ar-OM"/>
              </w:rPr>
              <w:t>Total Samples</w:t>
            </w:r>
          </w:p>
        </w:tc>
        <w:tc>
          <w:tcPr>
            <w:tcW w:w="1756" w:type="dxa"/>
            <w:hideMark/>
          </w:tcPr>
          <w:p w14:paraId="6E405784" w14:textId="77777777" w:rsidR="009920C0" w:rsidRPr="009920C0" w:rsidRDefault="009920C0" w:rsidP="009920C0">
            <w:pPr>
              <w:jc w:val="center"/>
              <w:rPr>
                <w:rFonts w:asciiTheme="majorBidi" w:hAnsiTheme="majorBidi" w:cstheme="majorBidi"/>
                <w:b/>
                <w:bCs/>
                <w:sz w:val="24"/>
                <w:szCs w:val="24"/>
                <w:lang w:bidi="ar-OM"/>
              </w:rPr>
            </w:pPr>
            <w:r w:rsidRPr="009920C0">
              <w:rPr>
                <w:rFonts w:asciiTheme="majorBidi" w:hAnsiTheme="majorBidi" w:cstheme="majorBidi"/>
                <w:b/>
                <w:bCs/>
                <w:sz w:val="24"/>
                <w:szCs w:val="24"/>
                <w:lang w:bidi="ar-OM"/>
              </w:rPr>
              <w:t>HHV-6 Positive, n (%)</w:t>
            </w:r>
          </w:p>
        </w:tc>
        <w:tc>
          <w:tcPr>
            <w:tcW w:w="756" w:type="dxa"/>
          </w:tcPr>
          <w:p w14:paraId="356A4470" w14:textId="77777777" w:rsidR="009920C0" w:rsidRPr="009920C0" w:rsidRDefault="009920C0" w:rsidP="009C47D6">
            <w:pPr>
              <w:jc w:val="right"/>
              <w:rPr>
                <w:rFonts w:asciiTheme="majorBidi" w:hAnsiTheme="majorBidi" w:cstheme="majorBidi"/>
                <w:b/>
                <w:bCs/>
                <w:sz w:val="24"/>
                <w:szCs w:val="24"/>
                <w:lang w:bidi="ar-OM"/>
              </w:rPr>
            </w:pPr>
            <w:r w:rsidRPr="009920C0">
              <w:rPr>
                <w:rFonts w:asciiTheme="majorBidi" w:hAnsiTheme="majorBidi" w:cstheme="majorBidi"/>
                <w:sz w:val="24"/>
                <w:szCs w:val="24"/>
                <w:lang w:bidi="ar-OM"/>
              </w:rPr>
              <w:t>X</w:t>
            </w:r>
            <w:r w:rsidRPr="009920C0">
              <w:rPr>
                <w:rFonts w:asciiTheme="majorBidi" w:hAnsiTheme="majorBidi" w:cstheme="majorBidi"/>
                <w:sz w:val="24"/>
                <w:szCs w:val="24"/>
                <w:vertAlign w:val="superscript"/>
                <w:lang w:bidi="ar-OM"/>
              </w:rPr>
              <w:t>2</w:t>
            </w:r>
          </w:p>
        </w:tc>
        <w:tc>
          <w:tcPr>
            <w:tcW w:w="1431" w:type="dxa"/>
          </w:tcPr>
          <w:p w14:paraId="48D03C4D" w14:textId="77777777" w:rsidR="009920C0" w:rsidRPr="009920C0" w:rsidRDefault="009920C0" w:rsidP="009C47D6">
            <w:pPr>
              <w:jc w:val="right"/>
              <w:rPr>
                <w:rFonts w:asciiTheme="majorBidi" w:hAnsiTheme="majorBidi" w:cstheme="majorBidi"/>
                <w:b/>
                <w:bCs/>
                <w:sz w:val="24"/>
                <w:szCs w:val="24"/>
                <w:lang w:bidi="ar-OM"/>
              </w:rPr>
            </w:pPr>
            <w:r w:rsidRPr="009920C0">
              <w:rPr>
                <w:rFonts w:asciiTheme="majorBidi" w:hAnsiTheme="majorBidi" w:cstheme="majorBidi"/>
                <w:b/>
                <w:bCs/>
                <w:sz w:val="24"/>
                <w:szCs w:val="24"/>
                <w:lang w:bidi="ar-OM"/>
              </w:rPr>
              <w:t>P-value</w:t>
            </w:r>
          </w:p>
        </w:tc>
      </w:tr>
      <w:tr w:rsidR="009920C0" w:rsidRPr="009920C0" w14:paraId="69662CFE" w14:textId="77777777" w:rsidTr="00606979">
        <w:trPr>
          <w:jc w:val="center"/>
        </w:trPr>
        <w:tc>
          <w:tcPr>
            <w:tcW w:w="1580" w:type="dxa"/>
            <w:vMerge w:val="restart"/>
            <w:hideMark/>
          </w:tcPr>
          <w:p w14:paraId="3EBE6223"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b/>
                <w:bCs/>
                <w:sz w:val="24"/>
                <w:szCs w:val="24"/>
                <w:lang w:bidi="ar-OM"/>
              </w:rPr>
              <w:t>Age Group (years)</w:t>
            </w:r>
          </w:p>
        </w:tc>
        <w:tc>
          <w:tcPr>
            <w:tcW w:w="1611" w:type="dxa"/>
            <w:hideMark/>
          </w:tcPr>
          <w:p w14:paraId="28C7BD58"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19–35</w:t>
            </w:r>
          </w:p>
        </w:tc>
        <w:tc>
          <w:tcPr>
            <w:tcW w:w="1411" w:type="dxa"/>
            <w:hideMark/>
          </w:tcPr>
          <w:p w14:paraId="11B7B0A3"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152</w:t>
            </w:r>
          </w:p>
        </w:tc>
        <w:tc>
          <w:tcPr>
            <w:tcW w:w="1756" w:type="dxa"/>
            <w:hideMark/>
          </w:tcPr>
          <w:p w14:paraId="4F00249F"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3 (60%)</w:t>
            </w:r>
          </w:p>
        </w:tc>
        <w:tc>
          <w:tcPr>
            <w:tcW w:w="756" w:type="dxa"/>
            <w:vMerge w:val="restart"/>
          </w:tcPr>
          <w:p w14:paraId="5389C592"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2.34</w:t>
            </w:r>
          </w:p>
        </w:tc>
        <w:tc>
          <w:tcPr>
            <w:tcW w:w="1431" w:type="dxa"/>
            <w:vMerge w:val="restart"/>
          </w:tcPr>
          <w:p w14:paraId="676D5BC3" w14:textId="77777777" w:rsidR="009920C0" w:rsidRPr="009920C0" w:rsidRDefault="009920C0" w:rsidP="009920C0">
            <w:pPr>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9920C0">
              <w:rPr>
                <w:rFonts w:asciiTheme="majorBidi" w:hAnsiTheme="majorBidi" w:cstheme="majorBidi"/>
                <w:sz w:val="24"/>
                <w:szCs w:val="24"/>
                <w:lang w:bidi="ar-OM"/>
              </w:rPr>
              <w:t>.126</w:t>
            </w:r>
          </w:p>
        </w:tc>
      </w:tr>
      <w:tr w:rsidR="009920C0" w:rsidRPr="009920C0" w14:paraId="7EF4A210" w14:textId="77777777" w:rsidTr="00606979">
        <w:trPr>
          <w:jc w:val="center"/>
        </w:trPr>
        <w:tc>
          <w:tcPr>
            <w:tcW w:w="1580" w:type="dxa"/>
            <w:vMerge/>
            <w:hideMark/>
          </w:tcPr>
          <w:p w14:paraId="0FD8EE5C" w14:textId="77777777" w:rsidR="009920C0" w:rsidRPr="009920C0" w:rsidRDefault="009920C0" w:rsidP="009920C0">
            <w:pPr>
              <w:rPr>
                <w:rFonts w:asciiTheme="majorBidi" w:hAnsiTheme="majorBidi" w:cstheme="majorBidi"/>
                <w:sz w:val="24"/>
                <w:szCs w:val="24"/>
                <w:lang w:bidi="ar-OM"/>
              </w:rPr>
            </w:pPr>
          </w:p>
        </w:tc>
        <w:tc>
          <w:tcPr>
            <w:tcW w:w="1611" w:type="dxa"/>
            <w:hideMark/>
          </w:tcPr>
          <w:p w14:paraId="103CE9FC"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36–52</w:t>
            </w:r>
          </w:p>
        </w:tc>
        <w:tc>
          <w:tcPr>
            <w:tcW w:w="1411" w:type="dxa"/>
            <w:hideMark/>
          </w:tcPr>
          <w:p w14:paraId="0BE9229F"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28</w:t>
            </w:r>
          </w:p>
        </w:tc>
        <w:tc>
          <w:tcPr>
            <w:tcW w:w="1756" w:type="dxa"/>
            <w:hideMark/>
          </w:tcPr>
          <w:p w14:paraId="09E1D879"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2 (40%)</w:t>
            </w:r>
          </w:p>
        </w:tc>
        <w:tc>
          <w:tcPr>
            <w:tcW w:w="756" w:type="dxa"/>
            <w:vMerge/>
          </w:tcPr>
          <w:p w14:paraId="383A61F7" w14:textId="77777777" w:rsidR="009920C0" w:rsidRPr="009920C0" w:rsidRDefault="009920C0" w:rsidP="009920C0">
            <w:pPr>
              <w:jc w:val="center"/>
              <w:rPr>
                <w:rFonts w:asciiTheme="majorBidi" w:hAnsiTheme="majorBidi" w:cstheme="majorBidi"/>
                <w:sz w:val="24"/>
                <w:szCs w:val="24"/>
                <w:lang w:bidi="ar-OM"/>
              </w:rPr>
            </w:pPr>
          </w:p>
        </w:tc>
        <w:tc>
          <w:tcPr>
            <w:tcW w:w="1431" w:type="dxa"/>
            <w:vMerge/>
          </w:tcPr>
          <w:p w14:paraId="32CD0990" w14:textId="77777777" w:rsidR="009920C0" w:rsidRPr="009920C0" w:rsidRDefault="009920C0" w:rsidP="009920C0">
            <w:pPr>
              <w:jc w:val="center"/>
              <w:rPr>
                <w:rFonts w:asciiTheme="majorBidi" w:hAnsiTheme="majorBidi" w:cstheme="majorBidi"/>
                <w:sz w:val="24"/>
                <w:szCs w:val="24"/>
                <w:lang w:bidi="ar-OM"/>
              </w:rPr>
            </w:pPr>
          </w:p>
        </w:tc>
      </w:tr>
      <w:tr w:rsidR="009920C0" w:rsidRPr="009920C0" w14:paraId="5B48F3E9" w14:textId="77777777" w:rsidTr="00606979">
        <w:trPr>
          <w:jc w:val="center"/>
        </w:trPr>
        <w:tc>
          <w:tcPr>
            <w:tcW w:w="1580" w:type="dxa"/>
            <w:vMerge w:val="restart"/>
            <w:hideMark/>
          </w:tcPr>
          <w:p w14:paraId="09FA4E54"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b/>
                <w:bCs/>
                <w:sz w:val="24"/>
                <w:szCs w:val="24"/>
                <w:lang w:bidi="ar-OM"/>
              </w:rPr>
              <w:t>Region</w:t>
            </w:r>
          </w:p>
        </w:tc>
        <w:tc>
          <w:tcPr>
            <w:tcW w:w="1611" w:type="dxa"/>
            <w:hideMark/>
          </w:tcPr>
          <w:p w14:paraId="629BB292"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Kassala</w:t>
            </w:r>
          </w:p>
        </w:tc>
        <w:tc>
          <w:tcPr>
            <w:tcW w:w="1411" w:type="dxa"/>
            <w:hideMark/>
          </w:tcPr>
          <w:p w14:paraId="0A1E84E0"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175</w:t>
            </w:r>
          </w:p>
        </w:tc>
        <w:tc>
          <w:tcPr>
            <w:tcW w:w="1756" w:type="dxa"/>
            <w:hideMark/>
          </w:tcPr>
          <w:p w14:paraId="4FDC4630"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5 (100%)</w:t>
            </w:r>
          </w:p>
        </w:tc>
        <w:tc>
          <w:tcPr>
            <w:tcW w:w="756" w:type="dxa"/>
            <w:vMerge w:val="restart"/>
          </w:tcPr>
          <w:p w14:paraId="507D7DD9" w14:textId="77777777" w:rsidR="009920C0" w:rsidRPr="009920C0" w:rsidRDefault="009920C0" w:rsidP="009920C0">
            <w:pPr>
              <w:jc w:val="center"/>
              <w:rPr>
                <w:rFonts w:asciiTheme="majorBidi" w:hAnsiTheme="majorBidi" w:cstheme="majorBidi"/>
                <w:sz w:val="24"/>
                <w:szCs w:val="24"/>
                <w:lang w:bidi="ar-OM"/>
              </w:rPr>
            </w:pPr>
          </w:p>
          <w:p w14:paraId="7951C293" w14:textId="77777777" w:rsidR="009920C0" w:rsidRPr="009920C0" w:rsidRDefault="009920C0" w:rsidP="009920C0">
            <w:pPr>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9920C0">
              <w:rPr>
                <w:rFonts w:asciiTheme="majorBidi" w:hAnsiTheme="majorBidi" w:cstheme="majorBidi"/>
                <w:sz w:val="24"/>
                <w:szCs w:val="24"/>
                <w:lang w:bidi="ar-OM"/>
              </w:rPr>
              <w:t>.147</w:t>
            </w:r>
          </w:p>
        </w:tc>
        <w:tc>
          <w:tcPr>
            <w:tcW w:w="1431" w:type="dxa"/>
            <w:vMerge w:val="restart"/>
          </w:tcPr>
          <w:p w14:paraId="50A26BF3" w14:textId="77777777" w:rsidR="009920C0" w:rsidRPr="009920C0" w:rsidRDefault="009920C0" w:rsidP="009920C0">
            <w:pPr>
              <w:jc w:val="center"/>
              <w:rPr>
                <w:rFonts w:asciiTheme="majorBidi" w:hAnsiTheme="majorBidi" w:cstheme="majorBidi"/>
                <w:sz w:val="24"/>
                <w:szCs w:val="24"/>
                <w:lang w:bidi="ar-OM"/>
              </w:rPr>
            </w:pPr>
          </w:p>
          <w:p w14:paraId="02142E82" w14:textId="77777777" w:rsidR="009920C0" w:rsidRPr="009920C0" w:rsidRDefault="009920C0" w:rsidP="009920C0">
            <w:pPr>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9920C0">
              <w:rPr>
                <w:rFonts w:asciiTheme="majorBidi" w:hAnsiTheme="majorBidi" w:cstheme="majorBidi"/>
                <w:sz w:val="24"/>
                <w:szCs w:val="24"/>
                <w:lang w:bidi="ar-OM"/>
              </w:rPr>
              <w:t>986</w:t>
            </w:r>
          </w:p>
        </w:tc>
      </w:tr>
      <w:tr w:rsidR="009920C0" w:rsidRPr="009920C0" w14:paraId="62277851" w14:textId="77777777" w:rsidTr="00606979">
        <w:trPr>
          <w:jc w:val="center"/>
        </w:trPr>
        <w:tc>
          <w:tcPr>
            <w:tcW w:w="1580" w:type="dxa"/>
            <w:vMerge/>
            <w:hideMark/>
          </w:tcPr>
          <w:p w14:paraId="18C224D0" w14:textId="77777777" w:rsidR="009920C0" w:rsidRPr="009920C0" w:rsidRDefault="009920C0" w:rsidP="009920C0">
            <w:pPr>
              <w:rPr>
                <w:rFonts w:asciiTheme="majorBidi" w:hAnsiTheme="majorBidi" w:cstheme="majorBidi"/>
                <w:sz w:val="24"/>
                <w:szCs w:val="24"/>
                <w:lang w:bidi="ar-OM"/>
              </w:rPr>
            </w:pPr>
          </w:p>
        </w:tc>
        <w:tc>
          <w:tcPr>
            <w:tcW w:w="1611" w:type="dxa"/>
            <w:hideMark/>
          </w:tcPr>
          <w:p w14:paraId="6B0B1102"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Khartoum</w:t>
            </w:r>
          </w:p>
        </w:tc>
        <w:tc>
          <w:tcPr>
            <w:tcW w:w="1411" w:type="dxa"/>
            <w:hideMark/>
          </w:tcPr>
          <w:p w14:paraId="22986494"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2</w:t>
            </w:r>
          </w:p>
        </w:tc>
        <w:tc>
          <w:tcPr>
            <w:tcW w:w="1756" w:type="dxa"/>
            <w:hideMark/>
          </w:tcPr>
          <w:p w14:paraId="4B573624"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0 (0.0%)</w:t>
            </w:r>
          </w:p>
        </w:tc>
        <w:tc>
          <w:tcPr>
            <w:tcW w:w="756" w:type="dxa"/>
            <w:vMerge/>
          </w:tcPr>
          <w:p w14:paraId="6BC4DBA4" w14:textId="77777777" w:rsidR="009920C0" w:rsidRPr="009920C0" w:rsidRDefault="009920C0" w:rsidP="009920C0">
            <w:pPr>
              <w:jc w:val="center"/>
              <w:rPr>
                <w:rFonts w:asciiTheme="majorBidi" w:hAnsiTheme="majorBidi" w:cstheme="majorBidi"/>
                <w:sz w:val="24"/>
                <w:szCs w:val="24"/>
                <w:lang w:bidi="ar-OM"/>
              </w:rPr>
            </w:pPr>
          </w:p>
        </w:tc>
        <w:tc>
          <w:tcPr>
            <w:tcW w:w="1431" w:type="dxa"/>
            <w:vMerge/>
          </w:tcPr>
          <w:p w14:paraId="7A2B173D" w14:textId="77777777" w:rsidR="009920C0" w:rsidRPr="009920C0" w:rsidRDefault="009920C0" w:rsidP="009920C0">
            <w:pPr>
              <w:jc w:val="center"/>
              <w:rPr>
                <w:rFonts w:asciiTheme="majorBidi" w:hAnsiTheme="majorBidi" w:cstheme="majorBidi"/>
                <w:sz w:val="24"/>
                <w:szCs w:val="24"/>
                <w:lang w:bidi="ar-OM"/>
              </w:rPr>
            </w:pPr>
          </w:p>
        </w:tc>
      </w:tr>
      <w:tr w:rsidR="009920C0" w:rsidRPr="009920C0" w14:paraId="164E946C" w14:textId="77777777" w:rsidTr="00606979">
        <w:trPr>
          <w:jc w:val="center"/>
        </w:trPr>
        <w:tc>
          <w:tcPr>
            <w:tcW w:w="1580" w:type="dxa"/>
            <w:vMerge/>
            <w:hideMark/>
          </w:tcPr>
          <w:p w14:paraId="1F3FB0B1" w14:textId="77777777" w:rsidR="009920C0" w:rsidRPr="009920C0" w:rsidRDefault="009920C0" w:rsidP="009920C0">
            <w:pPr>
              <w:rPr>
                <w:rFonts w:asciiTheme="majorBidi" w:hAnsiTheme="majorBidi" w:cstheme="majorBidi"/>
                <w:sz w:val="24"/>
                <w:szCs w:val="24"/>
                <w:lang w:bidi="ar-OM"/>
              </w:rPr>
            </w:pPr>
          </w:p>
        </w:tc>
        <w:tc>
          <w:tcPr>
            <w:tcW w:w="1611" w:type="dxa"/>
            <w:hideMark/>
          </w:tcPr>
          <w:p w14:paraId="696A340A"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Al-Jazeera</w:t>
            </w:r>
          </w:p>
        </w:tc>
        <w:tc>
          <w:tcPr>
            <w:tcW w:w="1411" w:type="dxa"/>
            <w:hideMark/>
          </w:tcPr>
          <w:p w14:paraId="2A5B5740"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2</w:t>
            </w:r>
          </w:p>
        </w:tc>
        <w:tc>
          <w:tcPr>
            <w:tcW w:w="1756" w:type="dxa"/>
            <w:hideMark/>
          </w:tcPr>
          <w:p w14:paraId="0D2EF025"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0 (0.0%)</w:t>
            </w:r>
          </w:p>
        </w:tc>
        <w:tc>
          <w:tcPr>
            <w:tcW w:w="756" w:type="dxa"/>
            <w:vMerge/>
          </w:tcPr>
          <w:p w14:paraId="5CBF7044" w14:textId="77777777" w:rsidR="009920C0" w:rsidRPr="009920C0" w:rsidRDefault="009920C0" w:rsidP="009920C0">
            <w:pPr>
              <w:jc w:val="center"/>
              <w:rPr>
                <w:rFonts w:asciiTheme="majorBidi" w:hAnsiTheme="majorBidi" w:cstheme="majorBidi"/>
                <w:sz w:val="24"/>
                <w:szCs w:val="24"/>
                <w:lang w:bidi="ar-OM"/>
              </w:rPr>
            </w:pPr>
          </w:p>
        </w:tc>
        <w:tc>
          <w:tcPr>
            <w:tcW w:w="1431" w:type="dxa"/>
            <w:vMerge/>
          </w:tcPr>
          <w:p w14:paraId="3742BCB7" w14:textId="77777777" w:rsidR="009920C0" w:rsidRPr="009920C0" w:rsidRDefault="009920C0" w:rsidP="009920C0">
            <w:pPr>
              <w:jc w:val="center"/>
              <w:rPr>
                <w:rFonts w:asciiTheme="majorBidi" w:hAnsiTheme="majorBidi" w:cstheme="majorBidi"/>
                <w:sz w:val="24"/>
                <w:szCs w:val="24"/>
                <w:lang w:bidi="ar-OM"/>
              </w:rPr>
            </w:pPr>
          </w:p>
        </w:tc>
      </w:tr>
      <w:tr w:rsidR="009920C0" w:rsidRPr="009920C0" w14:paraId="5C86CFDE" w14:textId="77777777" w:rsidTr="00606979">
        <w:trPr>
          <w:jc w:val="center"/>
        </w:trPr>
        <w:tc>
          <w:tcPr>
            <w:tcW w:w="1580" w:type="dxa"/>
            <w:vMerge/>
            <w:hideMark/>
          </w:tcPr>
          <w:p w14:paraId="5FA0A1D7" w14:textId="77777777" w:rsidR="009920C0" w:rsidRPr="009920C0" w:rsidRDefault="009920C0" w:rsidP="009920C0">
            <w:pPr>
              <w:rPr>
                <w:rFonts w:asciiTheme="majorBidi" w:hAnsiTheme="majorBidi" w:cstheme="majorBidi"/>
                <w:sz w:val="24"/>
                <w:szCs w:val="24"/>
                <w:lang w:bidi="ar-OM"/>
              </w:rPr>
            </w:pPr>
          </w:p>
        </w:tc>
        <w:tc>
          <w:tcPr>
            <w:tcW w:w="1611" w:type="dxa"/>
            <w:hideMark/>
          </w:tcPr>
          <w:p w14:paraId="306D8E32"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Darfur</w:t>
            </w:r>
          </w:p>
        </w:tc>
        <w:tc>
          <w:tcPr>
            <w:tcW w:w="1411" w:type="dxa"/>
            <w:hideMark/>
          </w:tcPr>
          <w:p w14:paraId="75F4ECE0"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1</w:t>
            </w:r>
          </w:p>
        </w:tc>
        <w:tc>
          <w:tcPr>
            <w:tcW w:w="1756" w:type="dxa"/>
            <w:hideMark/>
          </w:tcPr>
          <w:p w14:paraId="50304FF9"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0 (0.0%)</w:t>
            </w:r>
          </w:p>
        </w:tc>
        <w:tc>
          <w:tcPr>
            <w:tcW w:w="756" w:type="dxa"/>
            <w:vMerge/>
          </w:tcPr>
          <w:p w14:paraId="6878F45F" w14:textId="77777777" w:rsidR="009920C0" w:rsidRPr="009920C0" w:rsidRDefault="009920C0" w:rsidP="009920C0">
            <w:pPr>
              <w:jc w:val="center"/>
              <w:rPr>
                <w:rFonts w:asciiTheme="majorBidi" w:hAnsiTheme="majorBidi" w:cstheme="majorBidi"/>
                <w:sz w:val="24"/>
                <w:szCs w:val="24"/>
                <w:lang w:bidi="ar-OM"/>
              </w:rPr>
            </w:pPr>
          </w:p>
        </w:tc>
        <w:tc>
          <w:tcPr>
            <w:tcW w:w="1431" w:type="dxa"/>
            <w:vMerge/>
          </w:tcPr>
          <w:p w14:paraId="0343D674" w14:textId="77777777" w:rsidR="009920C0" w:rsidRPr="009920C0" w:rsidRDefault="009920C0" w:rsidP="009920C0">
            <w:pPr>
              <w:jc w:val="center"/>
              <w:rPr>
                <w:rFonts w:asciiTheme="majorBidi" w:hAnsiTheme="majorBidi" w:cstheme="majorBidi"/>
                <w:sz w:val="24"/>
                <w:szCs w:val="24"/>
                <w:lang w:bidi="ar-OM"/>
              </w:rPr>
            </w:pPr>
          </w:p>
        </w:tc>
      </w:tr>
      <w:tr w:rsidR="009920C0" w:rsidRPr="009920C0" w14:paraId="49A0D65A" w14:textId="77777777" w:rsidTr="00606979">
        <w:trPr>
          <w:jc w:val="center"/>
        </w:trPr>
        <w:tc>
          <w:tcPr>
            <w:tcW w:w="1580" w:type="dxa"/>
            <w:vMerge w:val="restart"/>
            <w:hideMark/>
          </w:tcPr>
          <w:p w14:paraId="3AE16C8A"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b/>
                <w:bCs/>
                <w:sz w:val="24"/>
                <w:szCs w:val="24"/>
                <w:lang w:bidi="ar-OM"/>
              </w:rPr>
              <w:t>Blood Group</w:t>
            </w:r>
          </w:p>
        </w:tc>
        <w:tc>
          <w:tcPr>
            <w:tcW w:w="1611" w:type="dxa"/>
            <w:hideMark/>
          </w:tcPr>
          <w:p w14:paraId="750DC265"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O+</w:t>
            </w:r>
          </w:p>
        </w:tc>
        <w:tc>
          <w:tcPr>
            <w:tcW w:w="1411" w:type="dxa"/>
            <w:hideMark/>
          </w:tcPr>
          <w:p w14:paraId="2BE79BD9"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85</w:t>
            </w:r>
          </w:p>
        </w:tc>
        <w:tc>
          <w:tcPr>
            <w:tcW w:w="1756" w:type="dxa"/>
            <w:hideMark/>
          </w:tcPr>
          <w:p w14:paraId="6F5290BF"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2 (40%)</w:t>
            </w:r>
          </w:p>
        </w:tc>
        <w:tc>
          <w:tcPr>
            <w:tcW w:w="756" w:type="dxa"/>
            <w:vMerge w:val="restart"/>
          </w:tcPr>
          <w:p w14:paraId="4D87E313" w14:textId="77777777" w:rsidR="009920C0" w:rsidRPr="009920C0" w:rsidRDefault="009920C0" w:rsidP="009920C0">
            <w:pPr>
              <w:jc w:val="center"/>
              <w:rPr>
                <w:rFonts w:asciiTheme="majorBidi" w:hAnsiTheme="majorBidi" w:cstheme="majorBidi"/>
                <w:sz w:val="24"/>
                <w:szCs w:val="24"/>
                <w:lang w:bidi="ar-OM"/>
              </w:rPr>
            </w:pPr>
          </w:p>
          <w:p w14:paraId="711F3B1F"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rtl/>
              </w:rPr>
              <w:t>2.657</w:t>
            </w:r>
          </w:p>
          <w:p w14:paraId="562C11B1" w14:textId="77777777" w:rsidR="009920C0" w:rsidRPr="009920C0" w:rsidRDefault="009920C0" w:rsidP="009920C0">
            <w:pPr>
              <w:jc w:val="center"/>
              <w:rPr>
                <w:rFonts w:asciiTheme="majorBidi" w:hAnsiTheme="majorBidi" w:cstheme="majorBidi"/>
                <w:sz w:val="24"/>
                <w:szCs w:val="24"/>
                <w:lang w:bidi="ar-OM"/>
              </w:rPr>
            </w:pPr>
          </w:p>
        </w:tc>
        <w:tc>
          <w:tcPr>
            <w:tcW w:w="1431" w:type="dxa"/>
            <w:vMerge w:val="restart"/>
          </w:tcPr>
          <w:p w14:paraId="73AF8FD6" w14:textId="77777777" w:rsidR="009920C0" w:rsidRPr="009920C0" w:rsidRDefault="009920C0" w:rsidP="009920C0">
            <w:pPr>
              <w:jc w:val="center"/>
              <w:rPr>
                <w:rFonts w:asciiTheme="majorBidi" w:hAnsiTheme="majorBidi" w:cstheme="majorBidi"/>
                <w:sz w:val="24"/>
                <w:szCs w:val="24"/>
                <w:lang w:bidi="ar-OM"/>
              </w:rPr>
            </w:pPr>
          </w:p>
          <w:p w14:paraId="312DEB18" w14:textId="77777777" w:rsidR="009920C0" w:rsidRPr="009920C0" w:rsidRDefault="009920C0" w:rsidP="009920C0">
            <w:pPr>
              <w:jc w:val="center"/>
              <w:rPr>
                <w:rFonts w:asciiTheme="majorBidi" w:hAnsiTheme="majorBidi" w:cstheme="majorBidi"/>
                <w:sz w:val="24"/>
                <w:szCs w:val="24"/>
                <w:lang w:bidi="ar-OM"/>
              </w:rPr>
            </w:pPr>
            <w:r>
              <w:rPr>
                <w:rFonts w:asciiTheme="majorBidi" w:hAnsiTheme="majorBidi" w:cstheme="majorBidi"/>
                <w:sz w:val="24"/>
                <w:szCs w:val="24"/>
              </w:rPr>
              <w:t>0.</w:t>
            </w:r>
            <w:r w:rsidRPr="009920C0">
              <w:rPr>
                <w:rFonts w:asciiTheme="majorBidi" w:hAnsiTheme="majorBidi" w:cstheme="majorBidi"/>
                <w:sz w:val="24"/>
                <w:szCs w:val="24"/>
                <w:rtl/>
              </w:rPr>
              <w:t>753</w:t>
            </w:r>
          </w:p>
        </w:tc>
      </w:tr>
      <w:tr w:rsidR="009920C0" w:rsidRPr="009920C0" w14:paraId="773D7A07" w14:textId="77777777" w:rsidTr="00606979">
        <w:trPr>
          <w:jc w:val="center"/>
        </w:trPr>
        <w:tc>
          <w:tcPr>
            <w:tcW w:w="1580" w:type="dxa"/>
            <w:vMerge/>
            <w:hideMark/>
          </w:tcPr>
          <w:p w14:paraId="3A4C2458" w14:textId="77777777" w:rsidR="009920C0" w:rsidRPr="009920C0" w:rsidRDefault="009920C0" w:rsidP="009C47D6">
            <w:pPr>
              <w:jc w:val="right"/>
              <w:rPr>
                <w:rFonts w:asciiTheme="majorBidi" w:hAnsiTheme="majorBidi" w:cstheme="majorBidi"/>
                <w:sz w:val="24"/>
                <w:szCs w:val="24"/>
                <w:lang w:bidi="ar-OM"/>
              </w:rPr>
            </w:pPr>
          </w:p>
        </w:tc>
        <w:tc>
          <w:tcPr>
            <w:tcW w:w="1611" w:type="dxa"/>
            <w:hideMark/>
          </w:tcPr>
          <w:p w14:paraId="161B2228"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B+</w:t>
            </w:r>
          </w:p>
        </w:tc>
        <w:tc>
          <w:tcPr>
            <w:tcW w:w="1411" w:type="dxa"/>
            <w:hideMark/>
          </w:tcPr>
          <w:p w14:paraId="29FA185F"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60</w:t>
            </w:r>
          </w:p>
        </w:tc>
        <w:tc>
          <w:tcPr>
            <w:tcW w:w="1756" w:type="dxa"/>
            <w:hideMark/>
          </w:tcPr>
          <w:p w14:paraId="7A85C50E"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2 (40%)</w:t>
            </w:r>
          </w:p>
        </w:tc>
        <w:tc>
          <w:tcPr>
            <w:tcW w:w="756" w:type="dxa"/>
            <w:vMerge/>
          </w:tcPr>
          <w:p w14:paraId="78E5B467" w14:textId="77777777" w:rsidR="009920C0" w:rsidRPr="009920C0" w:rsidRDefault="009920C0" w:rsidP="009C47D6">
            <w:pPr>
              <w:jc w:val="right"/>
              <w:rPr>
                <w:rFonts w:asciiTheme="majorBidi" w:hAnsiTheme="majorBidi" w:cstheme="majorBidi"/>
                <w:sz w:val="24"/>
                <w:szCs w:val="24"/>
                <w:lang w:bidi="ar-OM"/>
              </w:rPr>
            </w:pPr>
          </w:p>
        </w:tc>
        <w:tc>
          <w:tcPr>
            <w:tcW w:w="1431" w:type="dxa"/>
            <w:vMerge/>
          </w:tcPr>
          <w:p w14:paraId="1F46B93F" w14:textId="77777777" w:rsidR="009920C0" w:rsidRPr="009920C0" w:rsidRDefault="009920C0" w:rsidP="009C47D6">
            <w:pPr>
              <w:jc w:val="right"/>
              <w:rPr>
                <w:rFonts w:asciiTheme="majorBidi" w:hAnsiTheme="majorBidi" w:cstheme="majorBidi"/>
                <w:sz w:val="24"/>
                <w:szCs w:val="24"/>
                <w:lang w:bidi="ar-OM"/>
              </w:rPr>
            </w:pPr>
          </w:p>
        </w:tc>
      </w:tr>
      <w:tr w:rsidR="009920C0" w:rsidRPr="009920C0" w14:paraId="0B8B3D66" w14:textId="77777777" w:rsidTr="00606979">
        <w:trPr>
          <w:jc w:val="center"/>
        </w:trPr>
        <w:tc>
          <w:tcPr>
            <w:tcW w:w="1580" w:type="dxa"/>
            <w:vMerge/>
            <w:hideMark/>
          </w:tcPr>
          <w:p w14:paraId="0C7F5E13" w14:textId="77777777" w:rsidR="009920C0" w:rsidRPr="009920C0" w:rsidRDefault="009920C0" w:rsidP="009C47D6">
            <w:pPr>
              <w:jc w:val="right"/>
              <w:rPr>
                <w:rFonts w:asciiTheme="majorBidi" w:hAnsiTheme="majorBidi" w:cstheme="majorBidi"/>
                <w:sz w:val="24"/>
                <w:szCs w:val="24"/>
                <w:lang w:bidi="ar-OM"/>
              </w:rPr>
            </w:pPr>
          </w:p>
        </w:tc>
        <w:tc>
          <w:tcPr>
            <w:tcW w:w="1611" w:type="dxa"/>
            <w:hideMark/>
          </w:tcPr>
          <w:p w14:paraId="0D48B860"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A+</w:t>
            </w:r>
          </w:p>
        </w:tc>
        <w:tc>
          <w:tcPr>
            <w:tcW w:w="1411" w:type="dxa"/>
            <w:hideMark/>
          </w:tcPr>
          <w:p w14:paraId="39D5FA91"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25</w:t>
            </w:r>
          </w:p>
        </w:tc>
        <w:tc>
          <w:tcPr>
            <w:tcW w:w="1756" w:type="dxa"/>
            <w:hideMark/>
          </w:tcPr>
          <w:p w14:paraId="60FA4F49"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1 (20%)</w:t>
            </w:r>
          </w:p>
        </w:tc>
        <w:tc>
          <w:tcPr>
            <w:tcW w:w="756" w:type="dxa"/>
            <w:vMerge/>
          </w:tcPr>
          <w:p w14:paraId="7DC08FB6" w14:textId="77777777" w:rsidR="009920C0" w:rsidRPr="009920C0" w:rsidRDefault="009920C0" w:rsidP="009C47D6">
            <w:pPr>
              <w:jc w:val="right"/>
              <w:rPr>
                <w:rFonts w:asciiTheme="majorBidi" w:hAnsiTheme="majorBidi" w:cstheme="majorBidi"/>
                <w:sz w:val="24"/>
                <w:szCs w:val="24"/>
                <w:lang w:bidi="ar-OM"/>
              </w:rPr>
            </w:pPr>
          </w:p>
        </w:tc>
        <w:tc>
          <w:tcPr>
            <w:tcW w:w="1431" w:type="dxa"/>
            <w:vMerge/>
          </w:tcPr>
          <w:p w14:paraId="5F564468" w14:textId="77777777" w:rsidR="009920C0" w:rsidRPr="009920C0" w:rsidRDefault="009920C0" w:rsidP="009C47D6">
            <w:pPr>
              <w:jc w:val="right"/>
              <w:rPr>
                <w:rFonts w:asciiTheme="majorBidi" w:hAnsiTheme="majorBidi" w:cstheme="majorBidi"/>
                <w:sz w:val="24"/>
                <w:szCs w:val="24"/>
                <w:lang w:bidi="ar-OM"/>
              </w:rPr>
            </w:pPr>
          </w:p>
        </w:tc>
      </w:tr>
      <w:tr w:rsidR="009920C0" w:rsidRPr="009920C0" w14:paraId="6D4827DD" w14:textId="77777777" w:rsidTr="00606979">
        <w:trPr>
          <w:trHeight w:val="85"/>
          <w:jc w:val="center"/>
        </w:trPr>
        <w:tc>
          <w:tcPr>
            <w:tcW w:w="1580" w:type="dxa"/>
            <w:vMerge/>
            <w:hideMark/>
          </w:tcPr>
          <w:p w14:paraId="77BF2FF1" w14:textId="77777777" w:rsidR="009920C0" w:rsidRPr="009920C0" w:rsidRDefault="009920C0" w:rsidP="009C47D6">
            <w:pPr>
              <w:jc w:val="right"/>
              <w:rPr>
                <w:rFonts w:asciiTheme="majorBidi" w:hAnsiTheme="majorBidi" w:cstheme="majorBidi"/>
                <w:sz w:val="24"/>
                <w:szCs w:val="24"/>
                <w:lang w:bidi="ar-OM"/>
              </w:rPr>
            </w:pPr>
          </w:p>
        </w:tc>
        <w:tc>
          <w:tcPr>
            <w:tcW w:w="1611" w:type="dxa"/>
            <w:hideMark/>
          </w:tcPr>
          <w:p w14:paraId="7C9F3219"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AB+</w:t>
            </w:r>
          </w:p>
        </w:tc>
        <w:tc>
          <w:tcPr>
            <w:tcW w:w="1411" w:type="dxa"/>
            <w:hideMark/>
          </w:tcPr>
          <w:p w14:paraId="0251EB89"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5</w:t>
            </w:r>
          </w:p>
        </w:tc>
        <w:tc>
          <w:tcPr>
            <w:tcW w:w="1756" w:type="dxa"/>
            <w:hideMark/>
          </w:tcPr>
          <w:p w14:paraId="1BC5A364"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0 (0.0%)</w:t>
            </w:r>
          </w:p>
        </w:tc>
        <w:tc>
          <w:tcPr>
            <w:tcW w:w="756" w:type="dxa"/>
            <w:vMerge/>
          </w:tcPr>
          <w:p w14:paraId="0819E4C9" w14:textId="77777777" w:rsidR="009920C0" w:rsidRPr="009920C0" w:rsidRDefault="009920C0" w:rsidP="009C47D6">
            <w:pPr>
              <w:jc w:val="right"/>
              <w:rPr>
                <w:rFonts w:asciiTheme="majorBidi" w:hAnsiTheme="majorBidi" w:cstheme="majorBidi"/>
                <w:sz w:val="24"/>
                <w:szCs w:val="24"/>
                <w:lang w:bidi="ar-OM"/>
              </w:rPr>
            </w:pPr>
          </w:p>
        </w:tc>
        <w:tc>
          <w:tcPr>
            <w:tcW w:w="1431" w:type="dxa"/>
            <w:vMerge/>
          </w:tcPr>
          <w:p w14:paraId="646AB900" w14:textId="77777777" w:rsidR="009920C0" w:rsidRPr="009920C0" w:rsidRDefault="009920C0" w:rsidP="009C47D6">
            <w:pPr>
              <w:jc w:val="right"/>
              <w:rPr>
                <w:rFonts w:asciiTheme="majorBidi" w:hAnsiTheme="majorBidi" w:cstheme="majorBidi"/>
                <w:sz w:val="24"/>
                <w:szCs w:val="24"/>
                <w:lang w:bidi="ar-OM"/>
              </w:rPr>
            </w:pPr>
          </w:p>
        </w:tc>
      </w:tr>
      <w:tr w:rsidR="009920C0" w:rsidRPr="009920C0" w14:paraId="5CF9FAC3" w14:textId="77777777" w:rsidTr="00606979">
        <w:trPr>
          <w:jc w:val="center"/>
        </w:trPr>
        <w:tc>
          <w:tcPr>
            <w:tcW w:w="1580" w:type="dxa"/>
            <w:vMerge/>
            <w:hideMark/>
          </w:tcPr>
          <w:p w14:paraId="042E3496" w14:textId="77777777" w:rsidR="009920C0" w:rsidRPr="009920C0" w:rsidRDefault="009920C0" w:rsidP="009C47D6">
            <w:pPr>
              <w:jc w:val="right"/>
              <w:rPr>
                <w:rFonts w:asciiTheme="majorBidi" w:hAnsiTheme="majorBidi" w:cstheme="majorBidi"/>
                <w:sz w:val="24"/>
                <w:szCs w:val="24"/>
                <w:lang w:bidi="ar-OM"/>
              </w:rPr>
            </w:pPr>
          </w:p>
        </w:tc>
        <w:tc>
          <w:tcPr>
            <w:tcW w:w="1611" w:type="dxa"/>
            <w:hideMark/>
          </w:tcPr>
          <w:p w14:paraId="7BA41629" w14:textId="77777777" w:rsidR="009920C0" w:rsidRPr="009920C0" w:rsidRDefault="009920C0" w:rsidP="009920C0">
            <w:pPr>
              <w:rPr>
                <w:rFonts w:asciiTheme="majorBidi" w:hAnsiTheme="majorBidi" w:cstheme="majorBidi"/>
                <w:sz w:val="24"/>
                <w:szCs w:val="24"/>
                <w:lang w:bidi="ar-OM"/>
              </w:rPr>
            </w:pPr>
            <w:r w:rsidRPr="009920C0">
              <w:rPr>
                <w:rFonts w:asciiTheme="majorBidi" w:hAnsiTheme="majorBidi" w:cstheme="majorBidi"/>
                <w:sz w:val="24"/>
                <w:szCs w:val="24"/>
                <w:lang w:bidi="ar-OM"/>
              </w:rPr>
              <w:t>Rh− (O−, B−)</w:t>
            </w:r>
          </w:p>
        </w:tc>
        <w:tc>
          <w:tcPr>
            <w:tcW w:w="1411" w:type="dxa"/>
            <w:hideMark/>
          </w:tcPr>
          <w:p w14:paraId="60F32186"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5</w:t>
            </w:r>
          </w:p>
        </w:tc>
        <w:tc>
          <w:tcPr>
            <w:tcW w:w="1756" w:type="dxa"/>
            <w:hideMark/>
          </w:tcPr>
          <w:p w14:paraId="6A59EA9E" w14:textId="77777777" w:rsidR="009920C0" w:rsidRPr="009920C0" w:rsidRDefault="009920C0" w:rsidP="009920C0">
            <w:pPr>
              <w:jc w:val="center"/>
              <w:rPr>
                <w:rFonts w:asciiTheme="majorBidi" w:hAnsiTheme="majorBidi" w:cstheme="majorBidi"/>
                <w:sz w:val="24"/>
                <w:szCs w:val="24"/>
                <w:lang w:bidi="ar-OM"/>
              </w:rPr>
            </w:pPr>
            <w:r w:rsidRPr="009920C0">
              <w:rPr>
                <w:rFonts w:asciiTheme="majorBidi" w:hAnsiTheme="majorBidi" w:cstheme="majorBidi"/>
                <w:sz w:val="24"/>
                <w:szCs w:val="24"/>
                <w:lang w:bidi="ar-OM"/>
              </w:rPr>
              <w:t>0 (0.0%)</w:t>
            </w:r>
          </w:p>
        </w:tc>
        <w:tc>
          <w:tcPr>
            <w:tcW w:w="756" w:type="dxa"/>
            <w:vMerge/>
          </w:tcPr>
          <w:p w14:paraId="168AA08B" w14:textId="77777777" w:rsidR="009920C0" w:rsidRPr="009920C0" w:rsidRDefault="009920C0" w:rsidP="009C47D6">
            <w:pPr>
              <w:jc w:val="right"/>
              <w:rPr>
                <w:rFonts w:asciiTheme="majorBidi" w:hAnsiTheme="majorBidi" w:cstheme="majorBidi"/>
                <w:sz w:val="24"/>
                <w:szCs w:val="24"/>
                <w:lang w:bidi="ar-OM"/>
              </w:rPr>
            </w:pPr>
          </w:p>
        </w:tc>
        <w:tc>
          <w:tcPr>
            <w:tcW w:w="1431" w:type="dxa"/>
            <w:vMerge/>
          </w:tcPr>
          <w:p w14:paraId="5F3DB29C" w14:textId="77777777" w:rsidR="009920C0" w:rsidRPr="009920C0" w:rsidRDefault="009920C0" w:rsidP="009C47D6">
            <w:pPr>
              <w:jc w:val="right"/>
              <w:rPr>
                <w:rFonts w:asciiTheme="majorBidi" w:hAnsiTheme="majorBidi" w:cstheme="majorBidi"/>
                <w:sz w:val="24"/>
                <w:szCs w:val="24"/>
                <w:lang w:bidi="ar-OM"/>
              </w:rPr>
            </w:pPr>
          </w:p>
        </w:tc>
      </w:tr>
    </w:tbl>
    <w:p w14:paraId="7D1600D9" w14:textId="77777777" w:rsidR="00606979" w:rsidRDefault="00606979" w:rsidP="00606979">
      <w:pPr>
        <w:jc w:val="right"/>
        <w:rPr>
          <w:rFonts w:asciiTheme="majorBidi" w:hAnsiTheme="majorBidi" w:cstheme="majorBidi"/>
          <w:b/>
          <w:bCs/>
          <w:sz w:val="28"/>
          <w:szCs w:val="28"/>
          <w:lang w:bidi="ar-OM"/>
        </w:rPr>
      </w:pPr>
    </w:p>
    <w:p w14:paraId="502B8841" w14:textId="77777777" w:rsidR="00606979" w:rsidRDefault="00606979" w:rsidP="00606979">
      <w:pPr>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Table 2. Hematological parameters among HHV-6- IgM positive</w:t>
      </w:r>
      <w:r>
        <w:rPr>
          <w:rFonts w:asciiTheme="majorBidi" w:hAnsiTheme="majorBidi" w:cstheme="majorBidi"/>
          <w:b/>
          <w:bCs/>
          <w:sz w:val="24"/>
          <w:szCs w:val="24"/>
          <w:lang w:bidi="ar-OM"/>
        </w:rPr>
        <w:t>.</w:t>
      </w:r>
    </w:p>
    <w:tbl>
      <w:tblPr>
        <w:tblStyle w:val="TableGrid"/>
        <w:tblW w:w="8275" w:type="dxa"/>
        <w:jc w:val="center"/>
        <w:tblLayout w:type="fixed"/>
        <w:tblLook w:val="04A0" w:firstRow="1" w:lastRow="0" w:firstColumn="1" w:lastColumn="0" w:noHBand="0" w:noVBand="1"/>
      </w:tblPr>
      <w:tblGrid>
        <w:gridCol w:w="1885"/>
        <w:gridCol w:w="900"/>
        <w:gridCol w:w="1170"/>
        <w:gridCol w:w="990"/>
        <w:gridCol w:w="1620"/>
        <w:gridCol w:w="1710"/>
      </w:tblGrid>
      <w:tr w:rsidR="00606979" w:rsidRPr="00606979" w14:paraId="63202294" w14:textId="77777777" w:rsidTr="00606979">
        <w:trPr>
          <w:trHeight w:val="445"/>
          <w:jc w:val="center"/>
        </w:trPr>
        <w:tc>
          <w:tcPr>
            <w:tcW w:w="1885" w:type="dxa"/>
            <w:vMerge w:val="restart"/>
            <w:hideMark/>
          </w:tcPr>
          <w:p w14:paraId="31171688" w14:textId="77777777" w:rsidR="00606979" w:rsidRPr="00606979" w:rsidRDefault="00606979" w:rsidP="00606979">
            <w:pPr>
              <w:spacing w:line="360" w:lineRule="auto"/>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Parameter</w:t>
            </w:r>
          </w:p>
        </w:tc>
        <w:tc>
          <w:tcPr>
            <w:tcW w:w="900" w:type="dxa"/>
            <w:vMerge w:val="restart"/>
            <w:hideMark/>
          </w:tcPr>
          <w:p w14:paraId="5DC82EFB" w14:textId="77777777" w:rsidR="00606979" w:rsidRPr="00606979" w:rsidRDefault="00606979" w:rsidP="00606979">
            <w:pPr>
              <w:spacing w:line="360" w:lineRule="auto"/>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P</w:t>
            </w:r>
          </w:p>
        </w:tc>
        <w:tc>
          <w:tcPr>
            <w:tcW w:w="1170" w:type="dxa"/>
            <w:vMerge w:val="restart"/>
          </w:tcPr>
          <w:p w14:paraId="63BF2946" w14:textId="77777777" w:rsidR="00606979" w:rsidRPr="00606979" w:rsidRDefault="00606979" w:rsidP="00606979">
            <w:pPr>
              <w:spacing w:line="360" w:lineRule="auto"/>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X</w:t>
            </w:r>
            <w:r w:rsidRPr="00606979">
              <w:rPr>
                <w:rFonts w:asciiTheme="majorBidi" w:hAnsiTheme="majorBidi" w:cstheme="majorBidi"/>
                <w:b/>
                <w:bCs/>
                <w:sz w:val="24"/>
                <w:szCs w:val="24"/>
                <w:vertAlign w:val="superscript"/>
                <w:lang w:bidi="ar-OM"/>
              </w:rPr>
              <w:t>2</w:t>
            </w:r>
          </w:p>
        </w:tc>
        <w:tc>
          <w:tcPr>
            <w:tcW w:w="990" w:type="dxa"/>
            <w:vMerge w:val="restart"/>
          </w:tcPr>
          <w:p w14:paraId="379F5752" w14:textId="77777777" w:rsidR="00606979" w:rsidRPr="00606979" w:rsidRDefault="00606979" w:rsidP="00606979">
            <w:pPr>
              <w:spacing w:line="360" w:lineRule="auto"/>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OR</w:t>
            </w:r>
          </w:p>
        </w:tc>
        <w:tc>
          <w:tcPr>
            <w:tcW w:w="3330" w:type="dxa"/>
            <w:gridSpan w:val="2"/>
          </w:tcPr>
          <w:p w14:paraId="76E5A60C" w14:textId="77777777" w:rsidR="00606979" w:rsidRPr="00606979" w:rsidRDefault="00606979" w:rsidP="00606979">
            <w:pPr>
              <w:spacing w:line="360" w:lineRule="auto"/>
              <w:jc w:val="center"/>
              <w:rPr>
                <w:rFonts w:asciiTheme="majorBidi" w:hAnsiTheme="majorBidi" w:cstheme="majorBidi"/>
                <w:b/>
                <w:bCs/>
                <w:sz w:val="24"/>
                <w:szCs w:val="24"/>
                <w:lang w:bidi="ar-OM"/>
              </w:rPr>
            </w:pPr>
            <w:r w:rsidRPr="00606979">
              <w:rPr>
                <w:rFonts w:asciiTheme="majorBidi" w:hAnsiTheme="majorBidi" w:cstheme="majorBidi"/>
                <w:b/>
                <w:bCs/>
                <w:sz w:val="24"/>
                <w:szCs w:val="24"/>
                <w:lang w:bidi="ar-OM"/>
              </w:rPr>
              <w:t>95% Confidence Interval</w:t>
            </w:r>
          </w:p>
        </w:tc>
      </w:tr>
      <w:tr w:rsidR="00606979" w:rsidRPr="00606979" w14:paraId="117B924D" w14:textId="77777777" w:rsidTr="00606979">
        <w:trPr>
          <w:trHeight w:val="179"/>
          <w:jc w:val="center"/>
        </w:trPr>
        <w:tc>
          <w:tcPr>
            <w:tcW w:w="1885" w:type="dxa"/>
            <w:vMerge/>
            <w:hideMark/>
          </w:tcPr>
          <w:p w14:paraId="62DB6A4B" w14:textId="77777777" w:rsidR="00606979" w:rsidRPr="00606979" w:rsidRDefault="00606979" w:rsidP="00606979">
            <w:pPr>
              <w:spacing w:line="360" w:lineRule="auto"/>
              <w:rPr>
                <w:rFonts w:asciiTheme="majorBidi" w:hAnsiTheme="majorBidi" w:cstheme="majorBidi"/>
                <w:b/>
                <w:bCs/>
                <w:sz w:val="24"/>
                <w:szCs w:val="24"/>
                <w:lang w:bidi="ar-OM"/>
              </w:rPr>
            </w:pPr>
          </w:p>
        </w:tc>
        <w:tc>
          <w:tcPr>
            <w:tcW w:w="900" w:type="dxa"/>
            <w:vMerge/>
            <w:hideMark/>
          </w:tcPr>
          <w:p w14:paraId="1689B9FB" w14:textId="77777777" w:rsidR="00606979" w:rsidRPr="00606979" w:rsidRDefault="00606979" w:rsidP="00606979">
            <w:pPr>
              <w:spacing w:line="360" w:lineRule="auto"/>
              <w:jc w:val="right"/>
              <w:rPr>
                <w:rFonts w:asciiTheme="majorBidi" w:hAnsiTheme="majorBidi" w:cstheme="majorBidi"/>
                <w:sz w:val="24"/>
                <w:szCs w:val="24"/>
                <w:lang w:bidi="ar-OM"/>
              </w:rPr>
            </w:pPr>
          </w:p>
        </w:tc>
        <w:tc>
          <w:tcPr>
            <w:tcW w:w="1170" w:type="dxa"/>
            <w:vMerge/>
          </w:tcPr>
          <w:p w14:paraId="3CB099E4" w14:textId="77777777" w:rsidR="00606979" w:rsidRPr="00606979" w:rsidRDefault="00606979" w:rsidP="00606979">
            <w:pPr>
              <w:spacing w:line="360" w:lineRule="auto"/>
              <w:jc w:val="right"/>
              <w:rPr>
                <w:rFonts w:asciiTheme="majorBidi" w:hAnsiTheme="majorBidi" w:cstheme="majorBidi"/>
                <w:sz w:val="24"/>
                <w:szCs w:val="24"/>
                <w:lang w:bidi="ar-OM"/>
              </w:rPr>
            </w:pPr>
          </w:p>
        </w:tc>
        <w:tc>
          <w:tcPr>
            <w:tcW w:w="990" w:type="dxa"/>
            <w:vMerge/>
          </w:tcPr>
          <w:p w14:paraId="5E0C9326" w14:textId="77777777" w:rsidR="00606979" w:rsidRPr="00606979" w:rsidRDefault="00606979" w:rsidP="00606979">
            <w:pPr>
              <w:spacing w:line="360" w:lineRule="auto"/>
              <w:jc w:val="right"/>
              <w:rPr>
                <w:rFonts w:asciiTheme="majorBidi" w:hAnsiTheme="majorBidi" w:cstheme="majorBidi"/>
                <w:sz w:val="24"/>
                <w:szCs w:val="24"/>
                <w:lang w:bidi="ar-OM"/>
              </w:rPr>
            </w:pPr>
          </w:p>
        </w:tc>
        <w:tc>
          <w:tcPr>
            <w:tcW w:w="1620" w:type="dxa"/>
          </w:tcPr>
          <w:p w14:paraId="2375F20C"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Lower</w:t>
            </w:r>
          </w:p>
        </w:tc>
        <w:tc>
          <w:tcPr>
            <w:tcW w:w="1710" w:type="dxa"/>
          </w:tcPr>
          <w:p w14:paraId="7ED376A5"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Upper</w:t>
            </w:r>
          </w:p>
        </w:tc>
      </w:tr>
      <w:tr w:rsidR="00606979" w:rsidRPr="00606979" w14:paraId="0C2173CD" w14:textId="77777777" w:rsidTr="00606979">
        <w:trPr>
          <w:jc w:val="center"/>
        </w:trPr>
        <w:tc>
          <w:tcPr>
            <w:tcW w:w="1885" w:type="dxa"/>
            <w:hideMark/>
          </w:tcPr>
          <w:p w14:paraId="4CA85F46" w14:textId="77777777" w:rsidR="00606979" w:rsidRPr="00606979" w:rsidRDefault="00606979" w:rsidP="00606979">
            <w:pPr>
              <w:spacing w:line="360" w:lineRule="auto"/>
              <w:rPr>
                <w:rFonts w:asciiTheme="majorBidi" w:hAnsiTheme="majorBidi" w:cstheme="majorBidi"/>
                <w:sz w:val="24"/>
                <w:szCs w:val="24"/>
                <w:lang w:bidi="ar-OM"/>
              </w:rPr>
            </w:pPr>
            <w:r w:rsidRPr="00606979">
              <w:rPr>
                <w:rFonts w:asciiTheme="majorBidi" w:hAnsiTheme="majorBidi" w:cstheme="majorBidi"/>
                <w:b/>
                <w:bCs/>
                <w:sz w:val="24"/>
                <w:szCs w:val="24"/>
                <w:lang w:bidi="ar-OM"/>
              </w:rPr>
              <w:t>TWBCs</w:t>
            </w:r>
          </w:p>
        </w:tc>
        <w:tc>
          <w:tcPr>
            <w:tcW w:w="900" w:type="dxa"/>
          </w:tcPr>
          <w:p w14:paraId="725BEF52"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.1839</w:t>
            </w:r>
          </w:p>
        </w:tc>
        <w:tc>
          <w:tcPr>
            <w:tcW w:w="1170" w:type="dxa"/>
          </w:tcPr>
          <w:p w14:paraId="4BF91666" w14:textId="77777777" w:rsidR="00606979" w:rsidRPr="00606979" w:rsidRDefault="00606979" w:rsidP="00606979">
            <w:pPr>
              <w:spacing w:line="360" w:lineRule="auto"/>
              <w:jc w:val="right"/>
              <w:rPr>
                <w:rFonts w:asciiTheme="majorBidi" w:hAnsiTheme="majorBidi" w:cstheme="majorBidi"/>
                <w:sz w:val="24"/>
                <w:szCs w:val="24"/>
                <w:lang w:bidi="ar-OM"/>
              </w:rPr>
            </w:pPr>
            <w:r w:rsidRPr="00606979">
              <w:rPr>
                <w:rFonts w:asciiTheme="majorBidi" w:hAnsiTheme="majorBidi" w:cstheme="majorBidi"/>
                <w:sz w:val="24"/>
                <w:szCs w:val="24"/>
                <w:lang w:bidi="ar-OM"/>
              </w:rPr>
              <w:t>1.765</w:t>
            </w:r>
          </w:p>
        </w:tc>
        <w:tc>
          <w:tcPr>
            <w:tcW w:w="990" w:type="dxa"/>
          </w:tcPr>
          <w:p w14:paraId="2DDD1967" w14:textId="77777777" w:rsidR="00606979" w:rsidRPr="00606979" w:rsidRDefault="00606979" w:rsidP="00606979">
            <w:pPr>
              <w:spacing w:line="360" w:lineRule="auto"/>
              <w:jc w:val="right"/>
              <w:rPr>
                <w:rFonts w:asciiTheme="majorBidi" w:hAnsiTheme="majorBidi" w:cstheme="majorBidi"/>
                <w:sz w:val="24"/>
                <w:szCs w:val="24"/>
                <w:lang w:bidi="ar-OM"/>
              </w:rPr>
            </w:pPr>
            <w:r w:rsidRPr="00606979">
              <w:rPr>
                <w:rFonts w:asciiTheme="majorBidi" w:hAnsiTheme="majorBidi" w:cstheme="majorBidi"/>
                <w:sz w:val="24"/>
                <w:szCs w:val="24"/>
                <w:lang w:bidi="ar-OM"/>
              </w:rPr>
              <w:t>3.950</w:t>
            </w:r>
          </w:p>
        </w:tc>
        <w:tc>
          <w:tcPr>
            <w:tcW w:w="1620" w:type="dxa"/>
          </w:tcPr>
          <w:p w14:paraId="16244FCC" w14:textId="77777777" w:rsidR="00606979" w:rsidRPr="00606979" w:rsidRDefault="00606979" w:rsidP="00606979">
            <w:pPr>
              <w:spacing w:line="360" w:lineRule="auto"/>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.2141</w:t>
            </w:r>
          </w:p>
        </w:tc>
        <w:tc>
          <w:tcPr>
            <w:tcW w:w="1710" w:type="dxa"/>
          </w:tcPr>
          <w:p w14:paraId="0A16149D"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72.88</w:t>
            </w:r>
          </w:p>
        </w:tc>
      </w:tr>
      <w:tr w:rsidR="00606979" w:rsidRPr="00606979" w14:paraId="0E066218" w14:textId="77777777" w:rsidTr="00606979">
        <w:trPr>
          <w:jc w:val="center"/>
        </w:trPr>
        <w:tc>
          <w:tcPr>
            <w:tcW w:w="1885" w:type="dxa"/>
            <w:hideMark/>
          </w:tcPr>
          <w:p w14:paraId="7A642BC1" w14:textId="77777777" w:rsidR="00606979" w:rsidRPr="00606979" w:rsidRDefault="00606979" w:rsidP="00606979">
            <w:pPr>
              <w:spacing w:line="360" w:lineRule="auto"/>
              <w:rPr>
                <w:rFonts w:asciiTheme="majorBidi" w:hAnsiTheme="majorBidi" w:cstheme="majorBidi"/>
                <w:sz w:val="24"/>
                <w:szCs w:val="24"/>
                <w:lang w:bidi="ar-OM"/>
              </w:rPr>
            </w:pPr>
            <w:r w:rsidRPr="00606979">
              <w:rPr>
                <w:rFonts w:asciiTheme="majorBidi" w:hAnsiTheme="majorBidi" w:cstheme="majorBidi"/>
                <w:b/>
                <w:bCs/>
                <w:sz w:val="24"/>
                <w:szCs w:val="24"/>
                <w:lang w:bidi="ar-OM"/>
              </w:rPr>
              <w:t>Neutrophils</w:t>
            </w:r>
          </w:p>
        </w:tc>
        <w:tc>
          <w:tcPr>
            <w:tcW w:w="900" w:type="dxa"/>
          </w:tcPr>
          <w:p w14:paraId="6FEF725D"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.4144</w:t>
            </w:r>
          </w:p>
        </w:tc>
        <w:tc>
          <w:tcPr>
            <w:tcW w:w="1170" w:type="dxa"/>
          </w:tcPr>
          <w:p w14:paraId="50033F50"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.6663</w:t>
            </w:r>
          </w:p>
        </w:tc>
        <w:tc>
          <w:tcPr>
            <w:tcW w:w="990" w:type="dxa"/>
          </w:tcPr>
          <w:p w14:paraId="27A0BEB3"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.4771</w:t>
            </w:r>
          </w:p>
        </w:tc>
        <w:tc>
          <w:tcPr>
            <w:tcW w:w="1620" w:type="dxa"/>
          </w:tcPr>
          <w:p w14:paraId="5CC09C50" w14:textId="77777777" w:rsidR="00606979" w:rsidRPr="00606979" w:rsidRDefault="00606979" w:rsidP="00606979">
            <w:pPr>
              <w:spacing w:line="360" w:lineRule="auto"/>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.077</w:t>
            </w:r>
          </w:p>
        </w:tc>
        <w:tc>
          <w:tcPr>
            <w:tcW w:w="1710" w:type="dxa"/>
          </w:tcPr>
          <w:p w14:paraId="6439873F"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2.9929</w:t>
            </w:r>
          </w:p>
        </w:tc>
      </w:tr>
      <w:tr w:rsidR="00606979" w:rsidRPr="00606979" w14:paraId="7D040FF9" w14:textId="77777777" w:rsidTr="00606979">
        <w:trPr>
          <w:jc w:val="center"/>
        </w:trPr>
        <w:tc>
          <w:tcPr>
            <w:tcW w:w="1885" w:type="dxa"/>
            <w:hideMark/>
          </w:tcPr>
          <w:p w14:paraId="25EDDCE8" w14:textId="77777777" w:rsidR="00606979" w:rsidRPr="00606979" w:rsidRDefault="00606979" w:rsidP="00606979">
            <w:pPr>
              <w:spacing w:line="360" w:lineRule="auto"/>
              <w:rPr>
                <w:rFonts w:asciiTheme="majorBidi" w:hAnsiTheme="majorBidi" w:cstheme="majorBidi"/>
                <w:sz w:val="24"/>
                <w:szCs w:val="24"/>
                <w:lang w:bidi="ar-OM"/>
              </w:rPr>
            </w:pPr>
            <w:r w:rsidRPr="00606979">
              <w:rPr>
                <w:rFonts w:asciiTheme="majorBidi" w:hAnsiTheme="majorBidi" w:cstheme="majorBidi"/>
                <w:b/>
                <w:bCs/>
                <w:sz w:val="24"/>
                <w:szCs w:val="24"/>
                <w:lang w:bidi="ar-OM"/>
              </w:rPr>
              <w:t>Lymphocytes</w:t>
            </w:r>
          </w:p>
        </w:tc>
        <w:tc>
          <w:tcPr>
            <w:tcW w:w="900" w:type="dxa"/>
          </w:tcPr>
          <w:p w14:paraId="31406DE0"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.4191</w:t>
            </w:r>
          </w:p>
        </w:tc>
        <w:tc>
          <w:tcPr>
            <w:tcW w:w="1170" w:type="dxa"/>
          </w:tcPr>
          <w:p w14:paraId="0FC3E9B1"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.6528</w:t>
            </w:r>
          </w:p>
        </w:tc>
        <w:tc>
          <w:tcPr>
            <w:tcW w:w="990" w:type="dxa"/>
          </w:tcPr>
          <w:p w14:paraId="69E8F16E"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.4129</w:t>
            </w:r>
          </w:p>
        </w:tc>
        <w:tc>
          <w:tcPr>
            <w:tcW w:w="1620" w:type="dxa"/>
          </w:tcPr>
          <w:p w14:paraId="288309C4" w14:textId="77777777" w:rsidR="00606979" w:rsidRPr="00606979" w:rsidRDefault="00606979" w:rsidP="00606979">
            <w:pPr>
              <w:spacing w:line="360" w:lineRule="auto"/>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.04515</w:t>
            </w:r>
          </w:p>
        </w:tc>
        <w:tc>
          <w:tcPr>
            <w:tcW w:w="1710" w:type="dxa"/>
          </w:tcPr>
          <w:p w14:paraId="461A60E5"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3.775</w:t>
            </w:r>
          </w:p>
        </w:tc>
      </w:tr>
      <w:tr w:rsidR="00606979" w:rsidRPr="00606979" w14:paraId="00B721FE" w14:textId="77777777" w:rsidTr="00606979">
        <w:trPr>
          <w:jc w:val="center"/>
        </w:trPr>
        <w:tc>
          <w:tcPr>
            <w:tcW w:w="1885" w:type="dxa"/>
            <w:hideMark/>
          </w:tcPr>
          <w:p w14:paraId="1FE5BB0B" w14:textId="77777777" w:rsidR="00606979" w:rsidRPr="00606979" w:rsidRDefault="00606979" w:rsidP="00606979">
            <w:pPr>
              <w:spacing w:line="360" w:lineRule="auto"/>
              <w:rPr>
                <w:rFonts w:asciiTheme="majorBidi" w:hAnsiTheme="majorBidi" w:cstheme="majorBidi"/>
                <w:sz w:val="24"/>
                <w:szCs w:val="24"/>
                <w:lang w:bidi="ar-OM"/>
              </w:rPr>
            </w:pPr>
            <w:r w:rsidRPr="00606979">
              <w:rPr>
                <w:rFonts w:asciiTheme="majorBidi" w:hAnsiTheme="majorBidi" w:cstheme="majorBidi"/>
                <w:b/>
                <w:bCs/>
                <w:sz w:val="24"/>
                <w:szCs w:val="24"/>
                <w:lang w:bidi="ar-OM"/>
              </w:rPr>
              <w:t>Monocytes</w:t>
            </w:r>
          </w:p>
        </w:tc>
        <w:tc>
          <w:tcPr>
            <w:tcW w:w="900" w:type="dxa"/>
          </w:tcPr>
          <w:p w14:paraId="4B456AF0" w14:textId="77777777" w:rsidR="00606979" w:rsidRPr="00606979" w:rsidRDefault="00606979" w:rsidP="00606979">
            <w:pPr>
              <w:spacing w:line="360" w:lineRule="auto"/>
              <w:jc w:val="right"/>
              <w:rPr>
                <w:rFonts w:asciiTheme="majorBidi" w:hAnsiTheme="majorBidi" w:cstheme="majorBidi"/>
                <w:sz w:val="24"/>
                <w:szCs w:val="24"/>
                <w:lang w:bidi="ar-OM"/>
              </w:rPr>
            </w:pPr>
            <w:r w:rsidRPr="00606979">
              <w:rPr>
                <w:rFonts w:asciiTheme="majorBidi" w:hAnsiTheme="majorBidi" w:cstheme="majorBidi"/>
                <w:sz w:val="24"/>
                <w:szCs w:val="24"/>
                <w:lang w:bidi="ar-OM"/>
              </w:rPr>
              <w:t>0.043</w:t>
            </w:r>
          </w:p>
        </w:tc>
        <w:tc>
          <w:tcPr>
            <w:tcW w:w="1170" w:type="dxa"/>
          </w:tcPr>
          <w:p w14:paraId="41246024" w14:textId="77777777" w:rsidR="00606979" w:rsidRPr="00606979" w:rsidRDefault="00606979" w:rsidP="00606979">
            <w:pPr>
              <w:spacing w:line="360" w:lineRule="auto"/>
              <w:jc w:val="right"/>
              <w:rPr>
                <w:rFonts w:asciiTheme="majorBidi" w:hAnsiTheme="majorBidi" w:cstheme="majorBidi"/>
                <w:sz w:val="24"/>
                <w:szCs w:val="24"/>
                <w:lang w:bidi="ar-OM"/>
              </w:rPr>
            </w:pPr>
            <w:r w:rsidRPr="00606979">
              <w:rPr>
                <w:rFonts w:asciiTheme="majorBidi" w:hAnsiTheme="majorBidi" w:cstheme="majorBidi"/>
                <w:sz w:val="24"/>
                <w:szCs w:val="24"/>
                <w:lang w:bidi="ar-OM"/>
              </w:rPr>
              <w:t>4.006</w:t>
            </w:r>
          </w:p>
        </w:tc>
        <w:tc>
          <w:tcPr>
            <w:tcW w:w="990" w:type="dxa"/>
          </w:tcPr>
          <w:p w14:paraId="2B890E96"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.1827</w:t>
            </w:r>
          </w:p>
        </w:tc>
        <w:tc>
          <w:tcPr>
            <w:tcW w:w="1620" w:type="dxa"/>
          </w:tcPr>
          <w:p w14:paraId="44014B3C" w14:textId="77777777" w:rsidR="00606979" w:rsidRPr="00606979" w:rsidRDefault="00606979" w:rsidP="00606979">
            <w:pPr>
              <w:spacing w:line="360" w:lineRule="auto"/>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02867</w:t>
            </w:r>
          </w:p>
        </w:tc>
        <w:tc>
          <w:tcPr>
            <w:tcW w:w="1710" w:type="dxa"/>
          </w:tcPr>
          <w:p w14:paraId="00B0263A"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1.164</w:t>
            </w:r>
          </w:p>
        </w:tc>
      </w:tr>
      <w:tr w:rsidR="00606979" w:rsidRPr="00606979" w14:paraId="5DE1A7A3" w14:textId="77777777" w:rsidTr="00606979">
        <w:trPr>
          <w:jc w:val="center"/>
        </w:trPr>
        <w:tc>
          <w:tcPr>
            <w:tcW w:w="1885" w:type="dxa"/>
            <w:hideMark/>
          </w:tcPr>
          <w:p w14:paraId="0C9FB31E" w14:textId="77777777" w:rsidR="00606979" w:rsidRPr="00606979" w:rsidRDefault="00606979" w:rsidP="00606979">
            <w:pPr>
              <w:spacing w:line="360" w:lineRule="auto"/>
              <w:rPr>
                <w:rFonts w:asciiTheme="majorBidi" w:hAnsiTheme="majorBidi" w:cstheme="majorBidi"/>
                <w:sz w:val="24"/>
                <w:szCs w:val="24"/>
                <w:lang w:bidi="ar-OM"/>
              </w:rPr>
            </w:pPr>
            <w:r w:rsidRPr="00606979">
              <w:rPr>
                <w:rFonts w:asciiTheme="majorBidi" w:hAnsiTheme="majorBidi" w:cstheme="majorBidi"/>
                <w:b/>
                <w:bCs/>
                <w:sz w:val="24"/>
                <w:szCs w:val="24"/>
                <w:lang w:bidi="ar-OM"/>
              </w:rPr>
              <w:t>Platelets</w:t>
            </w:r>
          </w:p>
        </w:tc>
        <w:tc>
          <w:tcPr>
            <w:tcW w:w="900" w:type="dxa"/>
          </w:tcPr>
          <w:p w14:paraId="65A73A75"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.4131</w:t>
            </w:r>
          </w:p>
        </w:tc>
        <w:tc>
          <w:tcPr>
            <w:tcW w:w="1170" w:type="dxa"/>
          </w:tcPr>
          <w:p w14:paraId="5B7A80AD"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.6700</w:t>
            </w:r>
          </w:p>
        </w:tc>
        <w:tc>
          <w:tcPr>
            <w:tcW w:w="990" w:type="dxa"/>
          </w:tcPr>
          <w:p w14:paraId="05A75C58" w14:textId="77777777" w:rsidR="00606979" w:rsidRPr="00606979" w:rsidRDefault="00606979" w:rsidP="00606979">
            <w:pPr>
              <w:spacing w:line="360" w:lineRule="auto"/>
              <w:jc w:val="right"/>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.4025</w:t>
            </w:r>
          </w:p>
        </w:tc>
        <w:tc>
          <w:tcPr>
            <w:tcW w:w="1620" w:type="dxa"/>
          </w:tcPr>
          <w:p w14:paraId="008E5A3D" w14:textId="77777777" w:rsidR="00606979" w:rsidRPr="00606979" w:rsidRDefault="00606979" w:rsidP="00606979">
            <w:pPr>
              <w:spacing w:line="360" w:lineRule="auto"/>
              <w:jc w:val="center"/>
              <w:rPr>
                <w:rFonts w:asciiTheme="majorBidi" w:hAnsiTheme="majorBidi" w:cstheme="majorBidi"/>
                <w:sz w:val="24"/>
                <w:szCs w:val="24"/>
                <w:lang w:bidi="ar-OM"/>
              </w:rPr>
            </w:pPr>
            <w:r>
              <w:rPr>
                <w:rFonts w:asciiTheme="majorBidi" w:hAnsiTheme="majorBidi" w:cstheme="majorBidi"/>
                <w:sz w:val="24"/>
                <w:szCs w:val="24"/>
                <w:lang w:bidi="ar-OM"/>
              </w:rPr>
              <w:t>0</w:t>
            </w:r>
            <w:r w:rsidRPr="00606979">
              <w:rPr>
                <w:rFonts w:asciiTheme="majorBidi" w:hAnsiTheme="majorBidi" w:cstheme="majorBidi"/>
                <w:sz w:val="24"/>
                <w:szCs w:val="24"/>
                <w:lang w:bidi="ar-OM"/>
              </w:rPr>
              <w:t>.04237</w:t>
            </w:r>
          </w:p>
        </w:tc>
        <w:tc>
          <w:tcPr>
            <w:tcW w:w="1710" w:type="dxa"/>
          </w:tcPr>
          <w:p w14:paraId="70288776" w14:textId="77777777" w:rsidR="00606979" w:rsidRPr="00606979" w:rsidRDefault="00606979" w:rsidP="00606979">
            <w:pPr>
              <w:spacing w:line="360" w:lineRule="auto"/>
              <w:jc w:val="center"/>
              <w:rPr>
                <w:rFonts w:asciiTheme="majorBidi" w:hAnsiTheme="majorBidi" w:cstheme="majorBidi"/>
                <w:sz w:val="24"/>
                <w:szCs w:val="24"/>
                <w:lang w:bidi="ar-OM"/>
              </w:rPr>
            </w:pPr>
            <w:r w:rsidRPr="00606979">
              <w:rPr>
                <w:rFonts w:asciiTheme="majorBidi" w:hAnsiTheme="majorBidi" w:cstheme="majorBidi"/>
                <w:sz w:val="24"/>
                <w:szCs w:val="24"/>
                <w:lang w:bidi="ar-OM"/>
              </w:rPr>
              <w:t>3.824</w:t>
            </w:r>
          </w:p>
        </w:tc>
      </w:tr>
    </w:tbl>
    <w:p w14:paraId="34E901A4" w14:textId="77777777" w:rsidR="00056213" w:rsidRDefault="00056213" w:rsidP="0094181F">
      <w:pPr>
        <w:pStyle w:val="ds-markdown-paragraph"/>
        <w:shd w:val="clear" w:color="auto" w:fill="FFFFFF"/>
        <w:spacing w:before="240" w:beforeAutospacing="0" w:after="0" w:afterAutospacing="0" w:line="360" w:lineRule="auto"/>
        <w:rPr>
          <w:b/>
          <w:bCs/>
        </w:rPr>
      </w:pPr>
    </w:p>
    <w:p w14:paraId="69F0B9DB" w14:textId="77777777" w:rsidR="00102092" w:rsidRPr="00780438" w:rsidRDefault="00536110" w:rsidP="00606979">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Pr>
      </w:pPr>
      <w:r>
        <w:rPr>
          <w:rStyle w:val="Strong"/>
          <w:rFonts w:asciiTheme="majorBidi" w:hAnsiTheme="majorBidi" w:cstheme="majorBidi"/>
          <w:b/>
          <w:bCs/>
          <w:color w:val="0F1115"/>
          <w:sz w:val="24"/>
          <w:szCs w:val="24"/>
        </w:rPr>
        <w:t xml:space="preserve"> </w:t>
      </w:r>
      <w:r w:rsidRPr="00536110">
        <w:rPr>
          <w:rStyle w:val="Strong"/>
          <w:rFonts w:asciiTheme="majorBidi" w:hAnsiTheme="majorBidi" w:cstheme="majorBidi"/>
          <w:b/>
          <w:bCs/>
          <w:color w:val="0F1115"/>
          <w:sz w:val="24"/>
          <w:szCs w:val="24"/>
        </w:rPr>
        <w:t>4. DISCUSSION</w:t>
      </w:r>
    </w:p>
    <w:p w14:paraId="5316F920" w14:textId="77777777" w:rsidR="00606979" w:rsidRDefault="00606979" w:rsidP="00606979">
      <w:pPr>
        <w:pStyle w:val="NormalWeb"/>
        <w:spacing w:before="0" w:beforeAutospacing="0" w:after="0" w:afterAutospacing="0" w:line="360" w:lineRule="auto"/>
        <w:jc w:val="both"/>
      </w:pPr>
      <w:r>
        <w:lastRenderedPageBreak/>
        <w:t xml:space="preserve">This study provides the first serological evidence of HHV-6 IgM antibodies among healthy blood donors in Sudan, contributing important baseline data to an area where epidemiological information is extremely limited. The overall seroprevalence of HHV-6 IgM antibodies (2.78%) observed in this cohort suggests a low level of recent or active HHV-6 infection among apparently healthy male donors attending Kassala Teaching Hospital. The low IgM seropositivity rate reported in the present study is consistent with findings from several regional and international studies involving blood donor populations. Obeid et al. [12] reported no detectable HHV-6 IgM antibodies among healthy blood donors in Saudi Arabia, while a higher prevalence was observed among transplant recipients, likely reflecting immunosuppression-related viral reactivation. In contrast, a study conducted in Pakistan by Iftikhar et al. [10] reported an HHV-6 IgM seroprevalence of 8% among healthy blood donors, indicating geographical variation in HHV-6 epidemiology. Differences in seroprevalence across studies may be attributed to variations in population characteristics, sample size, diagnostic assays, and regional exposure patterns. The absence of statistically significant associations between HHV-6 IgM seropositivity and demographic factors such as age, region of residence, and ABO/Rh blood group suggests that recent HHV-6 infection is sporadic and not strongly influenced by these variables in the studied population. Although most IgM-positive donors were within the younger age group (19–35 years), this finding did not reach statistical significance and may reflect the overall age distribution of the donor population rather than a true epidemiological trend. Analysis of hematological parameters revealed no significant differences between HHV-6 IgM–positive and IgM–negative donors, except for monocyte counts, which were significantly different between the two groups. This observation may be biologically plausible, as monocytes and macrophage-lineage cells are recognized reservoirs for HHV-6 latency and replication. Similar associations between HHV-6 infection and monocyte involvement have been described in previous studies [4]. However, given the small number of seropositive cases, this finding should be interpreted cautiously and warrants confirmation in larger studies. From a transfusion safety perspective, the detection of HHV-6 IgM antibodies among blood donors, even at a low frequency, is clinically relevant. HHV-6 can be transmitted through blood components, and although infection is typically asymptomatic in immunocompetent recipients, transfusion-transmitted HHV-6 may have serious consequences for immunocompromised patients, including transplant recipients and individuals with hematological malignancies [5–8]. The absence of routine HHV-6 screening in Sudanese blood banks </w:t>
      </w:r>
      <w:r>
        <w:lastRenderedPageBreak/>
        <w:t>underscores the need for targeted surveillance and risk assessment. Importantly, the low seroprevalence observed in this study may underestimate the true burden of HHV-6 infection due to the limited sensitivity (40%) of the ELISA assay used. Serological detection of IgM antibodies may fail to identify latent or low-level infections, particularly in cases of viral integration or intermittent reactivation. Molecular techniques such as polymerase chain reaction (PCR) are more sensitive and would provide a more accurate assessment of HHV-6 prevalence and transfusion-related risk.</w:t>
      </w:r>
    </w:p>
    <w:p w14:paraId="3360100D" w14:textId="77777777" w:rsidR="00606979" w:rsidRDefault="00606979" w:rsidP="002103A2">
      <w:pPr>
        <w:pStyle w:val="ds-markdown-paragraph"/>
        <w:shd w:val="clear" w:color="auto" w:fill="FFFFFF"/>
        <w:spacing w:before="0" w:beforeAutospacing="0" w:after="0" w:afterAutospacing="0" w:line="360" w:lineRule="auto"/>
        <w:jc w:val="both"/>
        <w:rPr>
          <w:rFonts w:asciiTheme="majorBidi" w:hAnsiTheme="majorBidi" w:cstheme="majorBidi"/>
          <w:color w:val="0F1115"/>
        </w:rPr>
      </w:pPr>
    </w:p>
    <w:p w14:paraId="07548AE2" w14:textId="77777777" w:rsidR="002103A2" w:rsidRPr="002103A2" w:rsidRDefault="00104332" w:rsidP="002103A2">
      <w:pPr>
        <w:pStyle w:val="ds-markdown-paragraph"/>
        <w:shd w:val="clear" w:color="auto" w:fill="FFFFFF"/>
        <w:spacing w:before="0" w:beforeAutospacing="0" w:after="0" w:afterAutospacing="0" w:line="360" w:lineRule="auto"/>
        <w:jc w:val="both"/>
        <w:rPr>
          <w:rFonts w:asciiTheme="majorBidi" w:hAnsiTheme="majorBidi" w:cstheme="majorBidi"/>
          <w:b/>
          <w:bCs/>
          <w:color w:val="0F1115"/>
          <w:rtl/>
          <w:lang w:bidi="ar-QA"/>
        </w:rPr>
      </w:pPr>
      <w:r>
        <w:rPr>
          <w:rFonts w:asciiTheme="majorBidi" w:hAnsiTheme="majorBidi" w:cstheme="majorBidi"/>
          <w:b/>
          <w:bCs/>
          <w:color w:val="0F1115"/>
        </w:rPr>
        <w:t xml:space="preserve">5. </w:t>
      </w:r>
      <w:r w:rsidRPr="002103A2">
        <w:rPr>
          <w:rFonts w:asciiTheme="majorBidi" w:hAnsiTheme="majorBidi" w:cstheme="majorBidi"/>
          <w:b/>
          <w:bCs/>
          <w:color w:val="0F1115"/>
        </w:rPr>
        <w:t xml:space="preserve">LIMITATIONS </w:t>
      </w:r>
    </w:p>
    <w:p w14:paraId="5160B081" w14:textId="77777777" w:rsidR="00606979" w:rsidRDefault="00606979" w:rsidP="00606979">
      <w:pPr>
        <w:pStyle w:val="NormalWeb"/>
        <w:spacing w:before="0" w:beforeAutospacing="0" w:after="0" w:afterAutospacing="0" w:line="360" w:lineRule="auto"/>
        <w:jc w:val="both"/>
      </w:pPr>
      <w:r>
        <w:t>This study has several limitations that should be considered when interpreting the results. First, the study was conducted at a single center, which limits the generalizability of the findings to other regions of Sudan. Second, only male blood donors were included, and therefore</w:t>
      </w:r>
      <w:r w:rsidR="00990C13">
        <w:t>,</w:t>
      </w:r>
      <w:r>
        <w:t xml:space="preserve"> the results may not reflect the seroprevalence of HHV-6 among female donors or the general population. Third, the relatively small sample size and the low number of HHV-6 IgM–positive cases reduced the statistical power to detect significant associations with demographic or hematological variables.</w:t>
      </w:r>
    </w:p>
    <w:p w14:paraId="05602BBE" w14:textId="77777777" w:rsidR="00606979" w:rsidRDefault="00606979" w:rsidP="00990C13">
      <w:pPr>
        <w:pStyle w:val="NormalWeb"/>
        <w:spacing w:before="0" w:beforeAutospacing="0" w:after="0" w:afterAutospacing="0" w:line="360" w:lineRule="auto"/>
        <w:jc w:val="both"/>
      </w:pPr>
      <w:r>
        <w:t xml:space="preserve">Additionally, the reliance on a serological assay with low analytical sensitivity may have resulted in underestimation of the true prevalence of HHV-6 infection. The absence of molecular diagnostic methods, such as PCR for viral DNA detection and viral load quantification, further limited the ability to differentiate between latent, reactivated, and active infections. </w:t>
      </w:r>
    </w:p>
    <w:p w14:paraId="557ADA8F" w14:textId="77777777" w:rsidR="00102092" w:rsidRPr="00780438" w:rsidRDefault="000231FE" w:rsidP="001E6704">
      <w:pPr>
        <w:pStyle w:val="Heading2"/>
        <w:shd w:val="clear" w:color="auto" w:fill="FFFFFF"/>
        <w:spacing w:before="0" w:beforeAutospacing="0" w:after="0" w:afterAutospacing="0" w:line="360" w:lineRule="auto"/>
        <w:jc w:val="both"/>
        <w:rPr>
          <w:rFonts w:asciiTheme="majorBidi" w:hAnsiTheme="majorBidi" w:cstheme="majorBidi"/>
          <w:color w:val="0F1115"/>
          <w:sz w:val="24"/>
          <w:szCs w:val="24"/>
          <w:rtl/>
          <w:lang w:bidi="ar-QA"/>
        </w:rPr>
      </w:pPr>
      <w:r>
        <w:rPr>
          <w:rStyle w:val="Strong"/>
          <w:rFonts w:asciiTheme="majorBidi" w:hAnsiTheme="majorBidi" w:cstheme="majorBidi"/>
          <w:b/>
          <w:bCs/>
          <w:color w:val="0F1115"/>
          <w:sz w:val="24"/>
          <w:szCs w:val="24"/>
        </w:rPr>
        <w:t xml:space="preserve">6. </w:t>
      </w:r>
      <w:r w:rsidRPr="00780438">
        <w:rPr>
          <w:rStyle w:val="Strong"/>
          <w:rFonts w:asciiTheme="majorBidi" w:hAnsiTheme="majorBidi" w:cstheme="majorBidi"/>
          <w:b/>
          <w:bCs/>
          <w:color w:val="0F1115"/>
          <w:sz w:val="24"/>
          <w:szCs w:val="24"/>
        </w:rPr>
        <w:t>CONCLUSION</w:t>
      </w:r>
    </w:p>
    <w:p w14:paraId="651F852D" w14:textId="77777777" w:rsidR="00606979" w:rsidRPr="00780438" w:rsidRDefault="00990C13" w:rsidP="00990C13">
      <w:pPr>
        <w:pStyle w:val="ds-markdown-paragraph"/>
        <w:shd w:val="clear" w:color="auto" w:fill="FFFFFF"/>
        <w:spacing w:before="0" w:beforeAutospacing="0" w:after="0" w:afterAutospacing="0" w:line="360" w:lineRule="auto"/>
        <w:jc w:val="both"/>
        <w:rPr>
          <w:rFonts w:asciiTheme="majorBidi" w:hAnsiTheme="majorBidi" w:cstheme="majorBidi"/>
          <w:color w:val="0F1115"/>
        </w:rPr>
      </w:pPr>
      <w:r>
        <w:t xml:space="preserve">Despite the low observed seroprevalence of HHV-6 IgM antibodies, HHV-6 remains a clinically relevant transfusion-transmissible pathogen, particularly for immunocompromised patients who are at risk of severe complications such as encephalitis, bone marrow suppression, and graft dysfunction. The lack of routine HHV-6 screening and the scarcity of epidemiological data in Sudan represent important gaps in current transfusion safety practices. The findings of this study highlight the need for expanded </w:t>
      </w:r>
      <w:proofErr w:type="spellStart"/>
      <w:r>
        <w:t>sero</w:t>
      </w:r>
      <w:proofErr w:type="spellEnd"/>
      <w:r>
        <w:t>-epidemiological surveillance of HHV-6 among blood donors in Sudan, incorporating multicenter designs, inclusion of both male and female donors, and the use of high-sensitivity molecular diagnostic methods. Strengthening diagnostic capacity and generating robust epidemiological data will be essential for informing evidence-based blood transfusion policies and enhancing the safety of blood supplies for high-risk patient populations.</w:t>
      </w:r>
    </w:p>
    <w:p w14:paraId="6D6872BF" w14:textId="77777777" w:rsidR="00102092" w:rsidRDefault="00102092" w:rsidP="00780438">
      <w:pPr>
        <w:pStyle w:val="Heading2"/>
        <w:shd w:val="clear" w:color="auto" w:fill="FFFFFF"/>
        <w:spacing w:before="480" w:beforeAutospacing="0" w:after="240" w:afterAutospacing="0" w:line="360" w:lineRule="auto"/>
        <w:jc w:val="both"/>
        <w:rPr>
          <w:rStyle w:val="Strong"/>
          <w:rFonts w:asciiTheme="majorBidi" w:hAnsiTheme="majorBidi" w:cstheme="majorBidi"/>
          <w:b/>
          <w:bCs/>
          <w:color w:val="0F1115"/>
          <w:sz w:val="24"/>
          <w:szCs w:val="24"/>
        </w:rPr>
      </w:pPr>
      <w:bookmarkStart w:id="0" w:name="_GoBack"/>
      <w:bookmarkEnd w:id="0"/>
      <w:r w:rsidRPr="00780438">
        <w:rPr>
          <w:rStyle w:val="Strong"/>
          <w:rFonts w:asciiTheme="majorBidi" w:hAnsiTheme="majorBidi" w:cstheme="majorBidi"/>
          <w:b/>
          <w:bCs/>
          <w:color w:val="0F1115"/>
          <w:sz w:val="24"/>
          <w:szCs w:val="24"/>
        </w:rPr>
        <w:lastRenderedPageBreak/>
        <w:t>References</w:t>
      </w:r>
    </w:p>
    <w:p w14:paraId="5B06FCA0" w14:textId="77777777" w:rsidR="00D3642E" w:rsidRPr="00D3642E" w:rsidRDefault="00452605" w:rsidP="00D3642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452605">
        <w:rPr>
          <w:rFonts w:asciiTheme="majorBidi" w:hAnsiTheme="majorBidi" w:cstheme="majorBidi"/>
          <w:b w:val="0"/>
          <w:bCs w:val="0"/>
          <w:color w:val="212121"/>
          <w:sz w:val="24"/>
          <w:szCs w:val="24"/>
          <w:shd w:val="clear" w:color="auto" w:fill="FFFFFF"/>
        </w:rPr>
        <w:t>Deshmukh, Suchita et al. “Prevalence of Transfusion-Transmissible Infections Among Voluntary Blood Donors in a Tertiary Care Hospital.” </w:t>
      </w:r>
      <w:r w:rsidRPr="00452605">
        <w:rPr>
          <w:rFonts w:asciiTheme="majorBidi" w:hAnsiTheme="majorBidi" w:cstheme="majorBidi"/>
          <w:b w:val="0"/>
          <w:bCs w:val="0"/>
          <w:i/>
          <w:iCs/>
          <w:color w:val="212121"/>
          <w:sz w:val="24"/>
          <w:szCs w:val="24"/>
          <w:shd w:val="clear" w:color="auto" w:fill="FFFFFF"/>
        </w:rPr>
        <w:t>Cureus</w:t>
      </w:r>
      <w:r w:rsidRPr="00452605">
        <w:rPr>
          <w:rFonts w:asciiTheme="majorBidi" w:hAnsiTheme="majorBidi" w:cstheme="majorBidi"/>
          <w:b w:val="0"/>
          <w:bCs w:val="0"/>
          <w:color w:val="212121"/>
          <w:sz w:val="24"/>
          <w:szCs w:val="24"/>
          <w:shd w:val="clear" w:color="auto" w:fill="FFFFFF"/>
        </w:rPr>
        <w:t> vol. 16,9 e70469. 29 Sep. 2024, doi:10.7759/cureus.70469</w:t>
      </w:r>
      <w:r>
        <w:rPr>
          <w:rFonts w:asciiTheme="majorBidi" w:hAnsiTheme="majorBidi" w:cstheme="majorBidi"/>
          <w:b w:val="0"/>
          <w:bCs w:val="0"/>
          <w:color w:val="212121"/>
          <w:sz w:val="24"/>
          <w:szCs w:val="24"/>
          <w:shd w:val="clear" w:color="auto" w:fill="FFFFFF"/>
        </w:rPr>
        <w:t>.</w:t>
      </w:r>
    </w:p>
    <w:p w14:paraId="36166E0D" w14:textId="77777777" w:rsidR="00382C65" w:rsidRDefault="00D3642E" w:rsidP="00382C65">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3642E">
        <w:rPr>
          <w:rFonts w:asciiTheme="majorBidi" w:hAnsiTheme="majorBidi" w:cstheme="majorBidi"/>
          <w:b w:val="0"/>
          <w:bCs w:val="0"/>
          <w:color w:val="222222"/>
          <w:sz w:val="24"/>
          <w:szCs w:val="24"/>
        </w:rPr>
        <w:t xml:space="preserve">King O, Syed HA, Al Khalili Y. Human Herpesvirus 6. [Updated 2025 May 5]. In: </w:t>
      </w:r>
      <w:proofErr w:type="spellStart"/>
      <w:r w:rsidRPr="00D3642E">
        <w:rPr>
          <w:rFonts w:asciiTheme="majorBidi" w:hAnsiTheme="majorBidi" w:cstheme="majorBidi"/>
          <w:b w:val="0"/>
          <w:bCs w:val="0"/>
          <w:color w:val="222222"/>
          <w:sz w:val="24"/>
          <w:szCs w:val="24"/>
        </w:rPr>
        <w:t>StatPearls</w:t>
      </w:r>
      <w:proofErr w:type="spellEnd"/>
      <w:r w:rsidRPr="00D3642E">
        <w:rPr>
          <w:rFonts w:asciiTheme="majorBidi" w:hAnsiTheme="majorBidi" w:cstheme="majorBidi"/>
          <w:b w:val="0"/>
          <w:bCs w:val="0"/>
          <w:color w:val="222222"/>
          <w:sz w:val="24"/>
          <w:szCs w:val="24"/>
        </w:rPr>
        <w:t xml:space="preserve"> [Internet]. Treasure Island (FL): </w:t>
      </w:r>
      <w:proofErr w:type="spellStart"/>
      <w:r w:rsidRPr="00D3642E">
        <w:rPr>
          <w:rFonts w:asciiTheme="majorBidi" w:hAnsiTheme="majorBidi" w:cstheme="majorBidi"/>
          <w:b w:val="0"/>
          <w:bCs w:val="0"/>
          <w:color w:val="222222"/>
          <w:sz w:val="24"/>
          <w:szCs w:val="24"/>
        </w:rPr>
        <w:t>StatPearls</w:t>
      </w:r>
      <w:proofErr w:type="spellEnd"/>
      <w:r w:rsidRPr="00D3642E">
        <w:rPr>
          <w:rFonts w:asciiTheme="majorBidi" w:hAnsiTheme="majorBidi" w:cstheme="majorBidi"/>
          <w:b w:val="0"/>
          <w:bCs w:val="0"/>
          <w:color w:val="222222"/>
          <w:sz w:val="24"/>
          <w:szCs w:val="24"/>
        </w:rPr>
        <w:t xml:space="preserve"> Publishing; 2025 Jan-. Available from: </w:t>
      </w:r>
      <w:hyperlink r:id="rId7" w:history="1">
        <w:r w:rsidRPr="00873A49">
          <w:rPr>
            <w:rStyle w:val="Hyperlink"/>
            <w:rFonts w:asciiTheme="majorBidi" w:hAnsiTheme="majorBidi" w:cstheme="majorBidi"/>
            <w:b w:val="0"/>
            <w:bCs w:val="0"/>
            <w:sz w:val="24"/>
            <w:szCs w:val="24"/>
          </w:rPr>
          <w:t>https://www.ncbi.nlm.nih.gov/books/NBK540998/</w:t>
        </w:r>
      </w:hyperlink>
      <w:r>
        <w:rPr>
          <w:rFonts w:asciiTheme="majorBidi" w:hAnsiTheme="majorBidi" w:cstheme="majorBidi"/>
          <w:b w:val="0"/>
          <w:bCs w:val="0"/>
          <w:color w:val="222222"/>
          <w:sz w:val="24"/>
          <w:szCs w:val="24"/>
        </w:rPr>
        <w:t xml:space="preserve">. </w:t>
      </w:r>
    </w:p>
    <w:p w14:paraId="1588C018" w14:textId="77777777" w:rsidR="002C6B9D" w:rsidRPr="002C6B9D" w:rsidRDefault="00382C65" w:rsidP="002C6B9D">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382C65">
        <w:rPr>
          <w:rFonts w:asciiTheme="majorBidi" w:hAnsiTheme="majorBidi" w:cstheme="majorBidi"/>
          <w:b w:val="0"/>
          <w:bCs w:val="0"/>
          <w:color w:val="212121"/>
          <w:sz w:val="24"/>
          <w:szCs w:val="24"/>
          <w:shd w:val="clear" w:color="auto" w:fill="FFFFFF"/>
        </w:rPr>
        <w:t>De Bolle, Leen et al. “Update on human herpesvirus 6 biology, clinical features, and therapy.” </w:t>
      </w:r>
      <w:r w:rsidRPr="00382C65">
        <w:rPr>
          <w:rFonts w:asciiTheme="majorBidi" w:hAnsiTheme="majorBidi" w:cstheme="majorBidi"/>
          <w:b w:val="0"/>
          <w:bCs w:val="0"/>
          <w:i/>
          <w:iCs/>
          <w:color w:val="212121"/>
          <w:sz w:val="24"/>
          <w:szCs w:val="24"/>
          <w:shd w:val="clear" w:color="auto" w:fill="FFFFFF"/>
        </w:rPr>
        <w:t>Clinical microbiology reviews</w:t>
      </w:r>
      <w:r w:rsidRPr="00382C65">
        <w:rPr>
          <w:rFonts w:asciiTheme="majorBidi" w:hAnsiTheme="majorBidi" w:cstheme="majorBidi"/>
          <w:b w:val="0"/>
          <w:bCs w:val="0"/>
          <w:color w:val="212121"/>
          <w:sz w:val="24"/>
          <w:szCs w:val="24"/>
          <w:shd w:val="clear" w:color="auto" w:fill="FFFFFF"/>
        </w:rPr>
        <w:t> vol. 18,1 (2005): 217-45. doi:10.1128/CMR.18.1.217-245.2005</w:t>
      </w:r>
      <w:r w:rsidR="002C6B9D">
        <w:rPr>
          <w:rFonts w:asciiTheme="majorBidi" w:hAnsiTheme="majorBidi" w:cstheme="majorBidi"/>
          <w:b w:val="0"/>
          <w:bCs w:val="0"/>
          <w:color w:val="212121"/>
          <w:sz w:val="24"/>
          <w:szCs w:val="24"/>
          <w:shd w:val="clear" w:color="auto" w:fill="FFFFFF"/>
        </w:rPr>
        <w:t>.</w:t>
      </w:r>
    </w:p>
    <w:p w14:paraId="3A3E0441" w14:textId="77777777" w:rsidR="0048669E" w:rsidRDefault="002C6B9D" w:rsidP="0048669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2C6B9D">
        <w:rPr>
          <w:rFonts w:asciiTheme="majorBidi" w:hAnsiTheme="majorBidi" w:cstheme="majorBidi"/>
          <w:b w:val="0"/>
          <w:bCs w:val="0"/>
          <w:color w:val="212121"/>
          <w:sz w:val="24"/>
          <w:szCs w:val="24"/>
          <w:shd w:val="clear" w:color="auto" w:fill="FFFFFF"/>
        </w:rPr>
        <w:t>Pantry, Shara N, and Peter G Medveczky. “Latency, Integration, and Reactivation of Human Herpesvirus-6.” </w:t>
      </w:r>
      <w:r w:rsidRPr="002C6B9D">
        <w:rPr>
          <w:rFonts w:asciiTheme="majorBidi" w:hAnsiTheme="majorBidi" w:cstheme="majorBidi"/>
          <w:b w:val="0"/>
          <w:bCs w:val="0"/>
          <w:i/>
          <w:iCs/>
          <w:color w:val="212121"/>
          <w:sz w:val="24"/>
          <w:szCs w:val="24"/>
          <w:shd w:val="clear" w:color="auto" w:fill="FFFFFF"/>
        </w:rPr>
        <w:t>Viruses</w:t>
      </w:r>
      <w:r w:rsidRPr="002C6B9D">
        <w:rPr>
          <w:rFonts w:asciiTheme="majorBidi" w:hAnsiTheme="majorBidi" w:cstheme="majorBidi"/>
          <w:b w:val="0"/>
          <w:bCs w:val="0"/>
          <w:color w:val="212121"/>
          <w:sz w:val="24"/>
          <w:szCs w:val="24"/>
          <w:shd w:val="clear" w:color="auto" w:fill="FFFFFF"/>
        </w:rPr>
        <w:t> vol. 9,7 194. 24 Jul. 2017, doi:10.3390/v9070194</w:t>
      </w:r>
      <w:r>
        <w:rPr>
          <w:rFonts w:asciiTheme="majorBidi" w:hAnsiTheme="majorBidi" w:cstheme="majorBidi"/>
          <w:b w:val="0"/>
          <w:bCs w:val="0"/>
          <w:color w:val="212121"/>
          <w:sz w:val="24"/>
          <w:szCs w:val="24"/>
          <w:shd w:val="clear" w:color="auto" w:fill="FFFFFF"/>
        </w:rPr>
        <w:t>.</w:t>
      </w:r>
    </w:p>
    <w:p w14:paraId="7835F98B" w14:textId="77777777" w:rsidR="00DF16EE" w:rsidRDefault="0048669E" w:rsidP="00DF16E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48669E">
        <w:rPr>
          <w:rFonts w:asciiTheme="majorBidi" w:hAnsiTheme="majorBidi" w:cstheme="majorBidi"/>
          <w:b w:val="0"/>
          <w:bCs w:val="0"/>
          <w:color w:val="212121"/>
          <w:sz w:val="24"/>
          <w:szCs w:val="24"/>
          <w:shd w:val="clear" w:color="auto" w:fill="FFFFFF"/>
        </w:rPr>
        <w:t>Traore, Lassina et al. “Molecular diagnostic of cytomegalovirus, Epstein Barr virus and Herpes virus 6 infections among blood donors by multiplex real-time PCR in Ouagadougou, Burkina Faso.” </w:t>
      </w:r>
      <w:r w:rsidRPr="0048669E">
        <w:rPr>
          <w:rFonts w:asciiTheme="majorBidi" w:hAnsiTheme="majorBidi" w:cstheme="majorBidi"/>
          <w:b w:val="0"/>
          <w:bCs w:val="0"/>
          <w:i/>
          <w:iCs/>
          <w:color w:val="212121"/>
          <w:sz w:val="24"/>
          <w:szCs w:val="24"/>
          <w:shd w:val="clear" w:color="auto" w:fill="FFFFFF"/>
        </w:rPr>
        <w:t>The Pan African medical journal</w:t>
      </w:r>
      <w:r w:rsidRPr="0048669E">
        <w:rPr>
          <w:rFonts w:asciiTheme="majorBidi" w:hAnsiTheme="majorBidi" w:cstheme="majorBidi"/>
          <w:b w:val="0"/>
          <w:bCs w:val="0"/>
          <w:color w:val="212121"/>
          <w:sz w:val="24"/>
          <w:szCs w:val="24"/>
          <w:shd w:val="clear" w:color="auto" w:fill="FFFFFF"/>
        </w:rPr>
        <w:t> vol. 24 298. 3 Aug. 2016, doi:10.11604/pamj.2016.24.298.6578</w:t>
      </w:r>
      <w:r>
        <w:rPr>
          <w:rFonts w:asciiTheme="majorBidi" w:hAnsiTheme="majorBidi" w:cstheme="majorBidi"/>
          <w:b w:val="0"/>
          <w:bCs w:val="0"/>
          <w:color w:val="212121"/>
          <w:sz w:val="24"/>
          <w:szCs w:val="24"/>
          <w:shd w:val="clear" w:color="auto" w:fill="FFFFFF"/>
        </w:rPr>
        <w:t>.</w:t>
      </w:r>
    </w:p>
    <w:p w14:paraId="49B331B9" w14:textId="77777777" w:rsidR="00DF16EE" w:rsidRDefault="00DF16EE" w:rsidP="00DF16E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F16EE">
        <w:rPr>
          <w:rFonts w:asciiTheme="majorBidi" w:hAnsiTheme="majorBidi" w:cstheme="majorBidi"/>
          <w:b w:val="0"/>
          <w:bCs w:val="0"/>
          <w:color w:val="212121"/>
          <w:sz w:val="24"/>
          <w:szCs w:val="24"/>
          <w:shd w:val="clear" w:color="auto" w:fill="FFFFFF"/>
        </w:rPr>
        <w:t xml:space="preserve">Hentrich, Marcus et al. “Impact of human herpesvirus-6 after </w:t>
      </w:r>
      <w:proofErr w:type="spellStart"/>
      <w:r w:rsidRPr="00DF16EE">
        <w:rPr>
          <w:rFonts w:asciiTheme="majorBidi" w:hAnsiTheme="majorBidi" w:cstheme="majorBidi"/>
          <w:b w:val="0"/>
          <w:bCs w:val="0"/>
          <w:color w:val="212121"/>
          <w:sz w:val="24"/>
          <w:szCs w:val="24"/>
          <w:shd w:val="clear" w:color="auto" w:fill="FFFFFF"/>
        </w:rPr>
        <w:t>haematopoietic</w:t>
      </w:r>
      <w:proofErr w:type="spellEnd"/>
      <w:r w:rsidRPr="00DF16EE">
        <w:rPr>
          <w:rFonts w:asciiTheme="majorBidi" w:hAnsiTheme="majorBidi" w:cstheme="majorBidi"/>
          <w:b w:val="0"/>
          <w:bCs w:val="0"/>
          <w:color w:val="212121"/>
          <w:sz w:val="24"/>
          <w:szCs w:val="24"/>
          <w:shd w:val="clear" w:color="auto" w:fill="FFFFFF"/>
        </w:rPr>
        <w:t xml:space="preserve"> stem cell transplantation.” </w:t>
      </w:r>
      <w:r w:rsidRPr="00DF16EE">
        <w:rPr>
          <w:rFonts w:asciiTheme="majorBidi" w:hAnsiTheme="majorBidi" w:cstheme="majorBidi"/>
          <w:b w:val="0"/>
          <w:bCs w:val="0"/>
          <w:i/>
          <w:iCs/>
          <w:color w:val="212121"/>
          <w:sz w:val="24"/>
          <w:szCs w:val="24"/>
          <w:shd w:val="clear" w:color="auto" w:fill="FFFFFF"/>
        </w:rPr>
        <w:t xml:space="preserve">British journal of </w:t>
      </w:r>
      <w:proofErr w:type="spellStart"/>
      <w:r w:rsidRPr="00DF16EE">
        <w:rPr>
          <w:rFonts w:asciiTheme="majorBidi" w:hAnsiTheme="majorBidi" w:cstheme="majorBidi"/>
          <w:b w:val="0"/>
          <w:bCs w:val="0"/>
          <w:i/>
          <w:iCs/>
          <w:color w:val="212121"/>
          <w:sz w:val="24"/>
          <w:szCs w:val="24"/>
          <w:shd w:val="clear" w:color="auto" w:fill="FFFFFF"/>
        </w:rPr>
        <w:t>haematology</w:t>
      </w:r>
      <w:proofErr w:type="spellEnd"/>
      <w:r w:rsidRPr="00DF16EE">
        <w:rPr>
          <w:rFonts w:asciiTheme="majorBidi" w:hAnsiTheme="majorBidi" w:cstheme="majorBidi"/>
          <w:b w:val="0"/>
          <w:bCs w:val="0"/>
          <w:color w:val="212121"/>
          <w:sz w:val="24"/>
          <w:szCs w:val="24"/>
          <w:shd w:val="clear" w:color="auto" w:fill="FFFFFF"/>
        </w:rPr>
        <w:t> vol. 128,1 (2005): 66-72. doi:10.1111/j.1365-2141.</w:t>
      </w:r>
      <w:proofErr w:type="gramStart"/>
      <w:r w:rsidRPr="00DF16EE">
        <w:rPr>
          <w:rFonts w:asciiTheme="majorBidi" w:hAnsiTheme="majorBidi" w:cstheme="majorBidi"/>
          <w:b w:val="0"/>
          <w:bCs w:val="0"/>
          <w:color w:val="212121"/>
          <w:sz w:val="24"/>
          <w:szCs w:val="24"/>
          <w:shd w:val="clear" w:color="auto" w:fill="FFFFFF"/>
        </w:rPr>
        <w:t>2004.05254.x</w:t>
      </w:r>
      <w:proofErr w:type="gramEnd"/>
    </w:p>
    <w:p w14:paraId="7A875328" w14:textId="77777777" w:rsidR="00DF16EE" w:rsidRPr="00DF16EE" w:rsidRDefault="00DF16EE" w:rsidP="00DF16E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F16EE">
        <w:rPr>
          <w:rFonts w:asciiTheme="majorBidi" w:hAnsiTheme="majorBidi" w:cstheme="majorBidi"/>
          <w:b w:val="0"/>
          <w:bCs w:val="0"/>
          <w:color w:val="212121"/>
          <w:sz w:val="24"/>
          <w:szCs w:val="24"/>
          <w:shd w:val="clear" w:color="auto" w:fill="FFFFFF"/>
        </w:rPr>
        <w:t>Wang, Xin et al. “Post-allogeneic hematopoietic stem cell transplantation viral reactivations and viremias: a focused review on human herpesvirus-6, BK virus and adenovirus.” </w:t>
      </w:r>
      <w:r w:rsidRPr="00DF16EE">
        <w:rPr>
          <w:rFonts w:asciiTheme="majorBidi" w:hAnsiTheme="majorBidi" w:cstheme="majorBidi"/>
          <w:b w:val="0"/>
          <w:bCs w:val="0"/>
          <w:i/>
          <w:iCs/>
          <w:color w:val="212121"/>
          <w:sz w:val="24"/>
          <w:szCs w:val="24"/>
          <w:shd w:val="clear" w:color="auto" w:fill="FFFFFF"/>
        </w:rPr>
        <w:t>Therapeutic advances in infectious disease</w:t>
      </w:r>
      <w:r w:rsidRPr="00DF16EE">
        <w:rPr>
          <w:rFonts w:asciiTheme="majorBidi" w:hAnsiTheme="majorBidi" w:cstheme="majorBidi"/>
          <w:b w:val="0"/>
          <w:bCs w:val="0"/>
          <w:color w:val="212121"/>
          <w:sz w:val="24"/>
          <w:szCs w:val="24"/>
          <w:shd w:val="clear" w:color="auto" w:fill="FFFFFF"/>
        </w:rPr>
        <w:t> vol. 8 20499361211018027. 24 May. 2021, doi:10.1177/20499361211018027</w:t>
      </w:r>
      <w:r>
        <w:rPr>
          <w:rFonts w:asciiTheme="majorBidi" w:hAnsiTheme="majorBidi" w:cstheme="majorBidi"/>
          <w:b w:val="0"/>
          <w:bCs w:val="0"/>
          <w:color w:val="212121"/>
          <w:sz w:val="24"/>
          <w:szCs w:val="24"/>
          <w:shd w:val="clear" w:color="auto" w:fill="FFFFFF"/>
        </w:rPr>
        <w:t>.</w:t>
      </w:r>
    </w:p>
    <w:p w14:paraId="348E1447" w14:textId="77777777" w:rsidR="00DF16EE" w:rsidRDefault="00DF16EE" w:rsidP="00DF16EE">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F16EE">
        <w:rPr>
          <w:rFonts w:asciiTheme="majorBidi" w:hAnsiTheme="majorBidi" w:cstheme="majorBidi"/>
          <w:b w:val="0"/>
          <w:bCs w:val="0"/>
          <w:color w:val="212121"/>
          <w:sz w:val="24"/>
          <w:szCs w:val="24"/>
          <w:shd w:val="clear" w:color="auto" w:fill="FFFFFF"/>
        </w:rPr>
        <w:t>Raouf, May Moheb Eldin et al. “Human herpesvirus-6 in hematopoietic stem cell transplant recipients: a prospective cohort study in Egypt.” </w:t>
      </w:r>
      <w:r w:rsidRPr="00DF16EE">
        <w:rPr>
          <w:rFonts w:asciiTheme="majorBidi" w:hAnsiTheme="majorBidi" w:cstheme="majorBidi"/>
          <w:b w:val="0"/>
          <w:bCs w:val="0"/>
          <w:i/>
          <w:iCs/>
          <w:color w:val="212121"/>
          <w:sz w:val="24"/>
          <w:szCs w:val="24"/>
          <w:shd w:val="clear" w:color="auto" w:fill="FFFFFF"/>
        </w:rPr>
        <w:t>Virology journal</w:t>
      </w:r>
      <w:r w:rsidRPr="00DF16EE">
        <w:rPr>
          <w:rFonts w:asciiTheme="majorBidi" w:hAnsiTheme="majorBidi" w:cstheme="majorBidi"/>
          <w:b w:val="0"/>
          <w:bCs w:val="0"/>
          <w:color w:val="212121"/>
          <w:sz w:val="24"/>
          <w:szCs w:val="24"/>
          <w:shd w:val="clear" w:color="auto" w:fill="FFFFFF"/>
        </w:rPr>
        <w:t> vol. 20,1 20. 4 Feb. 2023, doi:10.1186/s12985-023-01980-w</w:t>
      </w:r>
      <w:r>
        <w:rPr>
          <w:rFonts w:asciiTheme="majorBidi" w:hAnsiTheme="majorBidi" w:cstheme="majorBidi"/>
          <w:b w:val="0"/>
          <w:bCs w:val="0"/>
          <w:color w:val="212121"/>
          <w:sz w:val="24"/>
          <w:szCs w:val="24"/>
          <w:shd w:val="clear" w:color="auto" w:fill="FFFFFF"/>
        </w:rPr>
        <w:t>.</w:t>
      </w:r>
    </w:p>
    <w:p w14:paraId="49ACAD40" w14:textId="77777777" w:rsidR="00231724" w:rsidRPr="00231724" w:rsidRDefault="00DF16EE" w:rsidP="00231724">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F16EE">
        <w:rPr>
          <w:rFonts w:asciiTheme="majorBidi" w:hAnsiTheme="majorBidi" w:cstheme="majorBidi"/>
          <w:b w:val="0"/>
          <w:bCs w:val="0"/>
          <w:color w:val="212121"/>
          <w:sz w:val="24"/>
          <w:szCs w:val="24"/>
          <w:shd w:val="clear" w:color="auto" w:fill="FFFFFF"/>
        </w:rPr>
        <w:t>Al-Sadeq, Duaa W et al. “Human herpes simplex virus-6 (HHV-6) detection and seroprevalence among Qatari nationals and immigrants residing in Qatar.” </w:t>
      </w:r>
      <w:r w:rsidRPr="00DF16EE">
        <w:rPr>
          <w:rFonts w:asciiTheme="majorBidi" w:hAnsiTheme="majorBidi" w:cstheme="majorBidi"/>
          <w:b w:val="0"/>
          <w:bCs w:val="0"/>
          <w:i/>
          <w:iCs/>
          <w:color w:val="212121"/>
          <w:sz w:val="24"/>
          <w:szCs w:val="24"/>
          <w:shd w:val="clear" w:color="auto" w:fill="FFFFFF"/>
        </w:rPr>
        <w:t>IJID regions</w:t>
      </w:r>
      <w:r w:rsidRPr="00DF16EE">
        <w:rPr>
          <w:rFonts w:asciiTheme="majorBidi" w:hAnsiTheme="majorBidi" w:cstheme="majorBidi"/>
          <w:b w:val="0"/>
          <w:bCs w:val="0"/>
          <w:color w:val="212121"/>
          <w:sz w:val="24"/>
          <w:szCs w:val="24"/>
          <w:shd w:val="clear" w:color="auto" w:fill="FFFFFF"/>
        </w:rPr>
        <w:t xml:space="preserve"> vol. 2 90-95. 16 Dec. 2021, </w:t>
      </w:r>
      <w:proofErr w:type="gramStart"/>
      <w:r w:rsidRPr="00DF16EE">
        <w:rPr>
          <w:rFonts w:asciiTheme="majorBidi" w:hAnsiTheme="majorBidi" w:cstheme="majorBidi"/>
          <w:b w:val="0"/>
          <w:bCs w:val="0"/>
          <w:color w:val="212121"/>
          <w:sz w:val="24"/>
          <w:szCs w:val="24"/>
          <w:shd w:val="clear" w:color="auto" w:fill="FFFFFF"/>
        </w:rPr>
        <w:t>doi:10.1016/j.ijregi</w:t>
      </w:r>
      <w:proofErr w:type="gramEnd"/>
      <w:r w:rsidRPr="00DF16EE">
        <w:rPr>
          <w:rFonts w:asciiTheme="majorBidi" w:hAnsiTheme="majorBidi" w:cstheme="majorBidi"/>
          <w:b w:val="0"/>
          <w:bCs w:val="0"/>
          <w:color w:val="212121"/>
          <w:sz w:val="24"/>
          <w:szCs w:val="24"/>
          <w:shd w:val="clear" w:color="auto" w:fill="FFFFFF"/>
        </w:rPr>
        <w:t>.2021.12.005</w:t>
      </w:r>
      <w:r>
        <w:rPr>
          <w:rFonts w:asciiTheme="majorBidi" w:hAnsiTheme="majorBidi" w:cstheme="majorBidi"/>
          <w:b w:val="0"/>
          <w:bCs w:val="0"/>
          <w:color w:val="212121"/>
          <w:sz w:val="24"/>
          <w:szCs w:val="24"/>
          <w:shd w:val="clear" w:color="auto" w:fill="FFFFFF"/>
        </w:rPr>
        <w:t>.</w:t>
      </w:r>
    </w:p>
    <w:p w14:paraId="007F58B4" w14:textId="77777777" w:rsidR="00231724" w:rsidRDefault="00231724" w:rsidP="00231724">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231724">
        <w:rPr>
          <w:rFonts w:asciiTheme="majorBidi" w:hAnsiTheme="majorBidi" w:cstheme="majorBidi"/>
          <w:b w:val="0"/>
          <w:bCs w:val="0"/>
          <w:sz w:val="24"/>
          <w:szCs w:val="24"/>
        </w:rPr>
        <w:t xml:space="preserve">Iftikhar, N., Khattak, A. A., Awan, U. A., Saeed, A., Ayaz, H., Hajra Iqbal Khan, Bibi, M., Javed, F., Farukh, U., &amp; Muhammad Subhan Fareed. (2025). </w:t>
      </w:r>
      <w:proofErr w:type="spellStart"/>
      <w:r w:rsidRPr="00231724">
        <w:rPr>
          <w:rFonts w:asciiTheme="majorBidi" w:hAnsiTheme="majorBidi" w:cstheme="majorBidi"/>
          <w:b w:val="0"/>
          <w:bCs w:val="0"/>
          <w:sz w:val="24"/>
          <w:szCs w:val="24"/>
        </w:rPr>
        <w:t>Seroepidemiology</w:t>
      </w:r>
      <w:proofErr w:type="spellEnd"/>
      <w:r w:rsidRPr="00231724">
        <w:rPr>
          <w:rFonts w:asciiTheme="majorBidi" w:hAnsiTheme="majorBidi" w:cstheme="majorBidi"/>
          <w:b w:val="0"/>
          <w:bCs w:val="0"/>
          <w:sz w:val="24"/>
          <w:szCs w:val="24"/>
        </w:rPr>
        <w:t xml:space="preserve"> of Human </w:t>
      </w:r>
      <w:r w:rsidRPr="00231724">
        <w:rPr>
          <w:rFonts w:asciiTheme="majorBidi" w:hAnsiTheme="majorBidi" w:cstheme="majorBidi"/>
          <w:b w:val="0"/>
          <w:bCs w:val="0"/>
          <w:sz w:val="24"/>
          <w:szCs w:val="24"/>
        </w:rPr>
        <w:lastRenderedPageBreak/>
        <w:t>Cytomegalovirus and Human Herpesvirus 6 in a Cohort of Healthy Blood Donors from Abbottabad, Pakistan. </w:t>
      </w:r>
      <w:proofErr w:type="spellStart"/>
      <w:r w:rsidRPr="00231724">
        <w:rPr>
          <w:rFonts w:asciiTheme="majorBidi" w:hAnsiTheme="majorBidi" w:cstheme="majorBidi"/>
          <w:b w:val="0"/>
          <w:bCs w:val="0"/>
          <w:i/>
          <w:iCs/>
          <w:sz w:val="24"/>
          <w:szCs w:val="24"/>
        </w:rPr>
        <w:t>BioScientific</w:t>
      </w:r>
      <w:proofErr w:type="spellEnd"/>
      <w:r w:rsidRPr="00231724">
        <w:rPr>
          <w:rFonts w:asciiTheme="majorBidi" w:hAnsiTheme="majorBidi" w:cstheme="majorBidi"/>
          <w:b w:val="0"/>
          <w:bCs w:val="0"/>
          <w:i/>
          <w:iCs/>
          <w:sz w:val="24"/>
          <w:szCs w:val="24"/>
        </w:rPr>
        <w:t xml:space="preserve"> Review</w:t>
      </w:r>
      <w:r w:rsidRPr="00231724">
        <w:rPr>
          <w:rFonts w:asciiTheme="majorBidi" w:hAnsiTheme="majorBidi" w:cstheme="majorBidi"/>
          <w:b w:val="0"/>
          <w:bCs w:val="0"/>
          <w:sz w:val="24"/>
          <w:szCs w:val="24"/>
        </w:rPr>
        <w:t>, </w:t>
      </w:r>
      <w:r w:rsidRPr="00231724">
        <w:rPr>
          <w:rFonts w:asciiTheme="majorBidi" w:hAnsiTheme="majorBidi" w:cstheme="majorBidi"/>
          <w:b w:val="0"/>
          <w:bCs w:val="0"/>
          <w:i/>
          <w:iCs/>
          <w:sz w:val="24"/>
          <w:szCs w:val="24"/>
        </w:rPr>
        <w:t>7</w:t>
      </w:r>
      <w:r>
        <w:rPr>
          <w:rFonts w:asciiTheme="majorBidi" w:hAnsiTheme="majorBidi" w:cstheme="majorBidi"/>
          <w:b w:val="0"/>
          <w:bCs w:val="0"/>
          <w:sz w:val="24"/>
          <w:szCs w:val="24"/>
        </w:rPr>
        <w:t xml:space="preserve">(2), 21-31. </w:t>
      </w:r>
      <w:hyperlink r:id="rId8" w:history="1">
        <w:r w:rsidRPr="00873A49">
          <w:rPr>
            <w:rStyle w:val="Hyperlink"/>
            <w:rFonts w:asciiTheme="majorBidi" w:hAnsiTheme="majorBidi" w:cstheme="majorBidi"/>
            <w:b w:val="0"/>
            <w:bCs w:val="0"/>
            <w:sz w:val="24"/>
            <w:szCs w:val="24"/>
          </w:rPr>
          <w:t>https://doi.org/10.32350/bsr.72.03</w:t>
        </w:r>
      </w:hyperlink>
      <w:r>
        <w:rPr>
          <w:rFonts w:asciiTheme="majorBidi" w:hAnsiTheme="majorBidi" w:cstheme="majorBidi"/>
          <w:b w:val="0"/>
          <w:bCs w:val="0"/>
          <w:sz w:val="24"/>
          <w:szCs w:val="24"/>
        </w:rPr>
        <w:t xml:space="preserve"> </w:t>
      </w:r>
    </w:p>
    <w:p w14:paraId="307AACCF" w14:textId="77777777" w:rsidR="00DF16EE" w:rsidRPr="00231724" w:rsidRDefault="00231724" w:rsidP="00231724">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231724">
        <w:rPr>
          <w:rFonts w:asciiTheme="majorBidi" w:hAnsiTheme="majorBidi" w:cstheme="majorBidi"/>
          <w:b w:val="0"/>
          <w:bCs w:val="0"/>
          <w:i/>
          <w:iCs/>
          <w:color w:val="212121"/>
          <w:sz w:val="24"/>
          <w:szCs w:val="24"/>
          <w:shd w:val="clear" w:color="auto" w:fill="FFFFFF"/>
        </w:rPr>
        <w:t>Blood Donor Selection: Guidelines on Assessing Donor Suitability for Blood Donation</w:t>
      </w:r>
      <w:r w:rsidRPr="00231724">
        <w:rPr>
          <w:rFonts w:asciiTheme="majorBidi" w:hAnsiTheme="majorBidi" w:cstheme="majorBidi"/>
          <w:b w:val="0"/>
          <w:bCs w:val="0"/>
          <w:color w:val="212121"/>
          <w:sz w:val="24"/>
          <w:szCs w:val="24"/>
          <w:shd w:val="clear" w:color="auto" w:fill="FFFFFF"/>
        </w:rPr>
        <w:t>. World Health Organization, 2012.</w:t>
      </w:r>
    </w:p>
    <w:p w14:paraId="6D445C9C" w14:textId="77777777" w:rsidR="00231724" w:rsidRPr="00231724" w:rsidRDefault="00D16380" w:rsidP="00D16380">
      <w:pPr>
        <w:pStyle w:val="Heading2"/>
        <w:numPr>
          <w:ilvl w:val="0"/>
          <w:numId w:val="18"/>
        </w:numPr>
        <w:shd w:val="clear" w:color="auto" w:fill="FFFFFF"/>
        <w:spacing w:before="0" w:beforeAutospacing="0" w:after="0" w:afterAutospacing="0" w:line="360" w:lineRule="auto"/>
        <w:jc w:val="both"/>
        <w:rPr>
          <w:rFonts w:asciiTheme="majorBidi" w:hAnsiTheme="majorBidi" w:cstheme="majorBidi"/>
          <w:b w:val="0"/>
          <w:bCs w:val="0"/>
          <w:color w:val="0F1115"/>
          <w:sz w:val="24"/>
          <w:szCs w:val="24"/>
        </w:rPr>
      </w:pPr>
      <w:r w:rsidRPr="00D16380">
        <w:rPr>
          <w:rFonts w:asciiTheme="majorBidi" w:hAnsiTheme="majorBidi" w:cstheme="majorBidi"/>
          <w:b w:val="0"/>
          <w:bCs w:val="0"/>
          <w:color w:val="0F1115"/>
          <w:sz w:val="24"/>
          <w:szCs w:val="24"/>
        </w:rPr>
        <w:t>Obeid EO. Prevalence of human herpesvirus-6 antibodies and viral DNA in Saudi renal transplant recipients. Int Res J Microbiol. 2011;2(6):159–162.</w:t>
      </w:r>
    </w:p>
    <w:p w14:paraId="72A1C916" w14:textId="77777777" w:rsidR="007A6987" w:rsidRPr="00780438" w:rsidRDefault="007A6987" w:rsidP="00055176">
      <w:pPr>
        <w:pStyle w:val="ds-markdown-paragraph"/>
        <w:shd w:val="clear" w:color="auto" w:fill="FFFFFF"/>
        <w:tabs>
          <w:tab w:val="left" w:pos="180"/>
        </w:tabs>
        <w:spacing w:after="0" w:afterAutospacing="0" w:line="360" w:lineRule="auto"/>
        <w:ind w:left="540"/>
        <w:jc w:val="both"/>
        <w:rPr>
          <w:rFonts w:asciiTheme="majorBidi" w:hAnsiTheme="majorBidi" w:cstheme="majorBidi"/>
        </w:rPr>
      </w:pPr>
    </w:p>
    <w:sectPr w:rsidR="007A6987" w:rsidRPr="007804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FEBC7" w14:textId="77777777" w:rsidR="00F32033" w:rsidRDefault="00F32033" w:rsidP="004D0483">
      <w:pPr>
        <w:spacing w:after="0" w:line="240" w:lineRule="auto"/>
      </w:pPr>
      <w:r>
        <w:separator/>
      </w:r>
    </w:p>
  </w:endnote>
  <w:endnote w:type="continuationSeparator" w:id="0">
    <w:p w14:paraId="06D101DC" w14:textId="77777777" w:rsidR="00F32033" w:rsidRDefault="00F32033" w:rsidP="004D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2BEF" w14:textId="77777777" w:rsidR="004D0483" w:rsidRDefault="004D0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86BF" w14:textId="77777777" w:rsidR="004D0483" w:rsidRDefault="004D0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53AAE" w14:textId="77777777" w:rsidR="004D0483" w:rsidRDefault="004D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45790" w14:textId="77777777" w:rsidR="00F32033" w:rsidRDefault="00F32033" w:rsidP="004D0483">
      <w:pPr>
        <w:spacing w:after="0" w:line="240" w:lineRule="auto"/>
      </w:pPr>
      <w:r>
        <w:separator/>
      </w:r>
    </w:p>
  </w:footnote>
  <w:footnote w:type="continuationSeparator" w:id="0">
    <w:p w14:paraId="391BCFA2" w14:textId="77777777" w:rsidR="00F32033" w:rsidRDefault="00F32033" w:rsidP="004D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4EB9" w14:textId="3207256E" w:rsidR="004D0483" w:rsidRDefault="004D0483">
    <w:pPr>
      <w:pStyle w:val="Header"/>
    </w:pPr>
    <w:r>
      <w:rPr>
        <w:noProof/>
      </w:rPr>
      <w:pict w14:anchorId="33FAA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92B3" w14:textId="24156C1B" w:rsidR="004D0483" w:rsidRDefault="004D0483">
    <w:pPr>
      <w:pStyle w:val="Header"/>
    </w:pPr>
    <w:r>
      <w:rPr>
        <w:noProof/>
      </w:rPr>
      <w:pict w14:anchorId="34C92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BE6C3" w14:textId="3340D877" w:rsidR="004D0483" w:rsidRDefault="004D0483">
    <w:pPr>
      <w:pStyle w:val="Header"/>
    </w:pPr>
    <w:r>
      <w:rPr>
        <w:noProof/>
      </w:rPr>
      <w:pict w14:anchorId="54D96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242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F2D"/>
    <w:multiLevelType w:val="multilevel"/>
    <w:tmpl w:val="38A4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F178B"/>
    <w:multiLevelType w:val="multilevel"/>
    <w:tmpl w:val="D17E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7910"/>
    <w:multiLevelType w:val="multilevel"/>
    <w:tmpl w:val="45E4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934AE"/>
    <w:multiLevelType w:val="multilevel"/>
    <w:tmpl w:val="561C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0411D"/>
    <w:multiLevelType w:val="multilevel"/>
    <w:tmpl w:val="B6E85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12F0A"/>
    <w:multiLevelType w:val="multilevel"/>
    <w:tmpl w:val="B5DE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03ABF"/>
    <w:multiLevelType w:val="multilevel"/>
    <w:tmpl w:val="FA14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30437"/>
    <w:multiLevelType w:val="multilevel"/>
    <w:tmpl w:val="BDD4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811E1"/>
    <w:multiLevelType w:val="multilevel"/>
    <w:tmpl w:val="5306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3791A"/>
    <w:multiLevelType w:val="multilevel"/>
    <w:tmpl w:val="C99290E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F74F78"/>
    <w:multiLevelType w:val="multilevel"/>
    <w:tmpl w:val="D09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F93707"/>
    <w:multiLevelType w:val="hybridMultilevel"/>
    <w:tmpl w:val="A88C8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90949"/>
    <w:multiLevelType w:val="multilevel"/>
    <w:tmpl w:val="EA34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2664D"/>
    <w:multiLevelType w:val="multilevel"/>
    <w:tmpl w:val="BCE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3827CF"/>
    <w:multiLevelType w:val="multilevel"/>
    <w:tmpl w:val="F97E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CA4A8D"/>
    <w:multiLevelType w:val="multilevel"/>
    <w:tmpl w:val="8208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6208E1"/>
    <w:multiLevelType w:val="multilevel"/>
    <w:tmpl w:val="9D06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013D1B"/>
    <w:multiLevelType w:val="multilevel"/>
    <w:tmpl w:val="D4042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15"/>
  </w:num>
  <w:num w:numId="4">
    <w:abstractNumId w:val="8"/>
  </w:num>
  <w:num w:numId="5">
    <w:abstractNumId w:val="2"/>
  </w:num>
  <w:num w:numId="6">
    <w:abstractNumId w:val="17"/>
  </w:num>
  <w:num w:numId="7">
    <w:abstractNumId w:val="7"/>
  </w:num>
  <w:num w:numId="8">
    <w:abstractNumId w:val="9"/>
  </w:num>
  <w:num w:numId="9">
    <w:abstractNumId w:val="0"/>
  </w:num>
  <w:num w:numId="10">
    <w:abstractNumId w:val="1"/>
  </w:num>
  <w:num w:numId="11">
    <w:abstractNumId w:val="5"/>
  </w:num>
  <w:num w:numId="12">
    <w:abstractNumId w:val="3"/>
  </w:num>
  <w:num w:numId="13">
    <w:abstractNumId w:val="16"/>
  </w:num>
  <w:num w:numId="14">
    <w:abstractNumId w:val="10"/>
  </w:num>
  <w:num w:numId="15">
    <w:abstractNumId w:val="14"/>
  </w:num>
  <w:num w:numId="16">
    <w:abstractNumId w:val="1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15"/>
    <w:rsid w:val="000231FE"/>
    <w:rsid w:val="00055176"/>
    <w:rsid w:val="00056213"/>
    <w:rsid w:val="00065F5C"/>
    <w:rsid w:val="000701D5"/>
    <w:rsid w:val="00074B2F"/>
    <w:rsid w:val="000C7F53"/>
    <w:rsid w:val="000E7E15"/>
    <w:rsid w:val="00102092"/>
    <w:rsid w:val="00104332"/>
    <w:rsid w:val="00107141"/>
    <w:rsid w:val="001309F1"/>
    <w:rsid w:val="00141770"/>
    <w:rsid w:val="00141D7B"/>
    <w:rsid w:val="0018008F"/>
    <w:rsid w:val="001E41CD"/>
    <w:rsid w:val="001E6704"/>
    <w:rsid w:val="002103A2"/>
    <w:rsid w:val="00231724"/>
    <w:rsid w:val="00234391"/>
    <w:rsid w:val="00262389"/>
    <w:rsid w:val="002704B1"/>
    <w:rsid w:val="002A3563"/>
    <w:rsid w:val="002C58D7"/>
    <w:rsid w:val="002C6B9D"/>
    <w:rsid w:val="00307222"/>
    <w:rsid w:val="0037520D"/>
    <w:rsid w:val="00382C65"/>
    <w:rsid w:val="003A6A0E"/>
    <w:rsid w:val="003C5352"/>
    <w:rsid w:val="004021E0"/>
    <w:rsid w:val="004033C6"/>
    <w:rsid w:val="00450094"/>
    <w:rsid w:val="00452605"/>
    <w:rsid w:val="0048669E"/>
    <w:rsid w:val="00490C81"/>
    <w:rsid w:val="00497697"/>
    <w:rsid w:val="004A4475"/>
    <w:rsid w:val="004C4D35"/>
    <w:rsid w:val="004D0483"/>
    <w:rsid w:val="004E324E"/>
    <w:rsid w:val="004E5360"/>
    <w:rsid w:val="004F7EAB"/>
    <w:rsid w:val="00536110"/>
    <w:rsid w:val="00544C0E"/>
    <w:rsid w:val="00567B1B"/>
    <w:rsid w:val="005923F2"/>
    <w:rsid w:val="005A067A"/>
    <w:rsid w:val="005C40F6"/>
    <w:rsid w:val="00606979"/>
    <w:rsid w:val="0062217C"/>
    <w:rsid w:val="006452C4"/>
    <w:rsid w:val="00645965"/>
    <w:rsid w:val="006A6774"/>
    <w:rsid w:val="006B5690"/>
    <w:rsid w:val="006D66D7"/>
    <w:rsid w:val="0074054C"/>
    <w:rsid w:val="00762F2A"/>
    <w:rsid w:val="00780438"/>
    <w:rsid w:val="007A2B27"/>
    <w:rsid w:val="007A5D79"/>
    <w:rsid w:val="007A6987"/>
    <w:rsid w:val="007D1022"/>
    <w:rsid w:val="00860FD8"/>
    <w:rsid w:val="00865969"/>
    <w:rsid w:val="00896850"/>
    <w:rsid w:val="008B701F"/>
    <w:rsid w:val="008D6E22"/>
    <w:rsid w:val="008D71AA"/>
    <w:rsid w:val="009249B6"/>
    <w:rsid w:val="0094181F"/>
    <w:rsid w:val="00982295"/>
    <w:rsid w:val="00990C13"/>
    <w:rsid w:val="009920C0"/>
    <w:rsid w:val="009F7D7C"/>
    <w:rsid w:val="00AC4CFF"/>
    <w:rsid w:val="00AE0B19"/>
    <w:rsid w:val="00AF117A"/>
    <w:rsid w:val="00B0467F"/>
    <w:rsid w:val="00B41650"/>
    <w:rsid w:val="00B63784"/>
    <w:rsid w:val="00B8276C"/>
    <w:rsid w:val="00B94550"/>
    <w:rsid w:val="00BF4A41"/>
    <w:rsid w:val="00C3667B"/>
    <w:rsid w:val="00C37945"/>
    <w:rsid w:val="00C8611B"/>
    <w:rsid w:val="00C94A8F"/>
    <w:rsid w:val="00CE13D2"/>
    <w:rsid w:val="00CF3F8E"/>
    <w:rsid w:val="00CF56D3"/>
    <w:rsid w:val="00D16380"/>
    <w:rsid w:val="00D3642E"/>
    <w:rsid w:val="00D95555"/>
    <w:rsid w:val="00DF0288"/>
    <w:rsid w:val="00DF16EE"/>
    <w:rsid w:val="00E10F56"/>
    <w:rsid w:val="00E11D0E"/>
    <w:rsid w:val="00E15254"/>
    <w:rsid w:val="00E23BA7"/>
    <w:rsid w:val="00E2724E"/>
    <w:rsid w:val="00F07D07"/>
    <w:rsid w:val="00F32033"/>
    <w:rsid w:val="00F675ED"/>
    <w:rsid w:val="00FB1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917A2"/>
  <w15:chartTrackingRefBased/>
  <w15:docId w15:val="{48BE48B5-9ED3-4589-8DDC-95F7797D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B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459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9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59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9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9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5965"/>
    <w:rPr>
      <w:rFonts w:ascii="Times New Roman" w:eastAsia="Times New Roman" w:hAnsi="Times New Roman" w:cs="Times New Roman"/>
      <w:b/>
      <w:bCs/>
      <w:sz w:val="24"/>
      <w:szCs w:val="24"/>
    </w:rPr>
  </w:style>
  <w:style w:type="paragraph" w:customStyle="1" w:styleId="ds-markdown-paragraph">
    <w:name w:val="ds-markdown-paragraph"/>
    <w:basedOn w:val="Normal"/>
    <w:rsid w:val="00645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965"/>
    <w:rPr>
      <w:b/>
      <w:bCs/>
    </w:rPr>
  </w:style>
  <w:style w:type="character" w:styleId="Hyperlink">
    <w:name w:val="Hyperlink"/>
    <w:basedOn w:val="DefaultParagraphFont"/>
    <w:uiPriority w:val="99"/>
    <w:unhideWhenUsed/>
    <w:rsid w:val="00645965"/>
    <w:rPr>
      <w:color w:val="0000FF"/>
      <w:u w:val="single"/>
    </w:rPr>
  </w:style>
  <w:style w:type="character" w:styleId="Emphasis">
    <w:name w:val="Emphasis"/>
    <w:basedOn w:val="DefaultParagraphFont"/>
    <w:uiPriority w:val="20"/>
    <w:qFormat/>
    <w:rsid w:val="00645965"/>
    <w:rPr>
      <w:i/>
      <w:iCs/>
    </w:rPr>
  </w:style>
  <w:style w:type="character" w:customStyle="1" w:styleId="Heading1Char">
    <w:name w:val="Heading 1 Char"/>
    <w:basedOn w:val="DefaultParagraphFont"/>
    <w:link w:val="Heading1"/>
    <w:uiPriority w:val="9"/>
    <w:rsid w:val="007A2B2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67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187F"/>
    <w:rPr>
      <w:rFonts w:ascii="Arial-BoldMT" w:hAnsi="Arial-BoldMT" w:hint="default"/>
      <w:b/>
      <w:bCs/>
      <w:i w:val="0"/>
      <w:iCs w:val="0"/>
      <w:color w:val="000000"/>
      <w:sz w:val="22"/>
      <w:szCs w:val="22"/>
    </w:rPr>
  </w:style>
  <w:style w:type="character" w:customStyle="1" w:styleId="fontstyle11">
    <w:name w:val="fontstyle11"/>
    <w:basedOn w:val="DefaultParagraphFont"/>
    <w:rsid w:val="00FB187F"/>
    <w:rPr>
      <w:rFonts w:ascii="ArialMT" w:hAnsi="ArialMT" w:hint="default"/>
      <w:b w:val="0"/>
      <w:bCs w:val="0"/>
      <w:i w:val="0"/>
      <w:iCs w:val="0"/>
      <w:color w:val="0E101A"/>
      <w:sz w:val="20"/>
      <w:szCs w:val="20"/>
    </w:rPr>
  </w:style>
  <w:style w:type="character" w:customStyle="1" w:styleId="bkciteavail">
    <w:name w:val="bk_cite_avail"/>
    <w:basedOn w:val="DefaultParagraphFont"/>
    <w:rsid w:val="00D3642E"/>
  </w:style>
  <w:style w:type="paragraph" w:styleId="ListParagraph">
    <w:name w:val="List Paragraph"/>
    <w:basedOn w:val="Normal"/>
    <w:uiPriority w:val="34"/>
    <w:qFormat/>
    <w:rsid w:val="00D3642E"/>
    <w:pPr>
      <w:ind w:left="720"/>
      <w:contextualSpacing/>
    </w:pPr>
  </w:style>
  <w:style w:type="character" w:styleId="UnresolvedMention">
    <w:name w:val="Unresolved Mention"/>
    <w:basedOn w:val="DefaultParagraphFont"/>
    <w:uiPriority w:val="99"/>
    <w:semiHidden/>
    <w:unhideWhenUsed/>
    <w:rsid w:val="005A067A"/>
    <w:rPr>
      <w:color w:val="605E5C"/>
      <w:shd w:val="clear" w:color="auto" w:fill="E1DFDD"/>
    </w:rPr>
  </w:style>
  <w:style w:type="paragraph" w:styleId="Header">
    <w:name w:val="header"/>
    <w:basedOn w:val="Normal"/>
    <w:link w:val="HeaderChar"/>
    <w:uiPriority w:val="99"/>
    <w:unhideWhenUsed/>
    <w:rsid w:val="004D0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483"/>
  </w:style>
  <w:style w:type="paragraph" w:styleId="Footer">
    <w:name w:val="footer"/>
    <w:basedOn w:val="Normal"/>
    <w:link w:val="FooterChar"/>
    <w:uiPriority w:val="99"/>
    <w:unhideWhenUsed/>
    <w:rsid w:val="004D0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2589">
      <w:bodyDiv w:val="1"/>
      <w:marLeft w:val="0"/>
      <w:marRight w:val="0"/>
      <w:marTop w:val="0"/>
      <w:marBottom w:val="0"/>
      <w:divBdr>
        <w:top w:val="none" w:sz="0" w:space="0" w:color="auto"/>
        <w:left w:val="none" w:sz="0" w:space="0" w:color="auto"/>
        <w:bottom w:val="none" w:sz="0" w:space="0" w:color="auto"/>
        <w:right w:val="none" w:sz="0" w:space="0" w:color="auto"/>
      </w:divBdr>
    </w:div>
    <w:div w:id="87623376">
      <w:bodyDiv w:val="1"/>
      <w:marLeft w:val="0"/>
      <w:marRight w:val="0"/>
      <w:marTop w:val="0"/>
      <w:marBottom w:val="0"/>
      <w:divBdr>
        <w:top w:val="none" w:sz="0" w:space="0" w:color="auto"/>
        <w:left w:val="none" w:sz="0" w:space="0" w:color="auto"/>
        <w:bottom w:val="none" w:sz="0" w:space="0" w:color="auto"/>
        <w:right w:val="none" w:sz="0" w:space="0" w:color="auto"/>
      </w:divBdr>
    </w:div>
    <w:div w:id="100539630">
      <w:bodyDiv w:val="1"/>
      <w:marLeft w:val="0"/>
      <w:marRight w:val="0"/>
      <w:marTop w:val="0"/>
      <w:marBottom w:val="0"/>
      <w:divBdr>
        <w:top w:val="none" w:sz="0" w:space="0" w:color="auto"/>
        <w:left w:val="none" w:sz="0" w:space="0" w:color="auto"/>
        <w:bottom w:val="none" w:sz="0" w:space="0" w:color="auto"/>
        <w:right w:val="none" w:sz="0" w:space="0" w:color="auto"/>
      </w:divBdr>
    </w:div>
    <w:div w:id="374163570">
      <w:bodyDiv w:val="1"/>
      <w:marLeft w:val="0"/>
      <w:marRight w:val="0"/>
      <w:marTop w:val="0"/>
      <w:marBottom w:val="0"/>
      <w:divBdr>
        <w:top w:val="none" w:sz="0" w:space="0" w:color="auto"/>
        <w:left w:val="none" w:sz="0" w:space="0" w:color="auto"/>
        <w:bottom w:val="none" w:sz="0" w:space="0" w:color="auto"/>
        <w:right w:val="none" w:sz="0" w:space="0" w:color="auto"/>
      </w:divBdr>
      <w:divsChild>
        <w:div w:id="920413874">
          <w:marLeft w:val="0"/>
          <w:marRight w:val="0"/>
          <w:marTop w:val="0"/>
          <w:marBottom w:val="0"/>
          <w:divBdr>
            <w:top w:val="none" w:sz="0" w:space="0" w:color="auto"/>
            <w:left w:val="none" w:sz="0" w:space="0" w:color="auto"/>
            <w:bottom w:val="none" w:sz="0" w:space="0" w:color="auto"/>
            <w:right w:val="none" w:sz="0" w:space="0" w:color="auto"/>
          </w:divBdr>
        </w:div>
        <w:div w:id="1459645706">
          <w:marLeft w:val="0"/>
          <w:marRight w:val="0"/>
          <w:marTop w:val="0"/>
          <w:marBottom w:val="0"/>
          <w:divBdr>
            <w:top w:val="none" w:sz="0" w:space="0" w:color="auto"/>
            <w:left w:val="none" w:sz="0" w:space="0" w:color="auto"/>
            <w:bottom w:val="none" w:sz="0" w:space="0" w:color="auto"/>
            <w:right w:val="none" w:sz="0" w:space="0" w:color="auto"/>
          </w:divBdr>
        </w:div>
      </w:divsChild>
    </w:div>
    <w:div w:id="536091883">
      <w:bodyDiv w:val="1"/>
      <w:marLeft w:val="0"/>
      <w:marRight w:val="0"/>
      <w:marTop w:val="0"/>
      <w:marBottom w:val="0"/>
      <w:divBdr>
        <w:top w:val="none" w:sz="0" w:space="0" w:color="auto"/>
        <w:left w:val="none" w:sz="0" w:space="0" w:color="auto"/>
        <w:bottom w:val="none" w:sz="0" w:space="0" w:color="auto"/>
        <w:right w:val="none" w:sz="0" w:space="0" w:color="auto"/>
      </w:divBdr>
    </w:div>
    <w:div w:id="596326634">
      <w:bodyDiv w:val="1"/>
      <w:marLeft w:val="0"/>
      <w:marRight w:val="0"/>
      <w:marTop w:val="0"/>
      <w:marBottom w:val="0"/>
      <w:divBdr>
        <w:top w:val="none" w:sz="0" w:space="0" w:color="auto"/>
        <w:left w:val="none" w:sz="0" w:space="0" w:color="auto"/>
        <w:bottom w:val="none" w:sz="0" w:space="0" w:color="auto"/>
        <w:right w:val="none" w:sz="0" w:space="0" w:color="auto"/>
      </w:divBdr>
    </w:div>
    <w:div w:id="633028036">
      <w:bodyDiv w:val="1"/>
      <w:marLeft w:val="0"/>
      <w:marRight w:val="0"/>
      <w:marTop w:val="0"/>
      <w:marBottom w:val="0"/>
      <w:divBdr>
        <w:top w:val="none" w:sz="0" w:space="0" w:color="auto"/>
        <w:left w:val="none" w:sz="0" w:space="0" w:color="auto"/>
        <w:bottom w:val="none" w:sz="0" w:space="0" w:color="auto"/>
        <w:right w:val="none" w:sz="0" w:space="0" w:color="auto"/>
      </w:divBdr>
    </w:div>
    <w:div w:id="752169153">
      <w:bodyDiv w:val="1"/>
      <w:marLeft w:val="0"/>
      <w:marRight w:val="0"/>
      <w:marTop w:val="0"/>
      <w:marBottom w:val="0"/>
      <w:divBdr>
        <w:top w:val="none" w:sz="0" w:space="0" w:color="auto"/>
        <w:left w:val="none" w:sz="0" w:space="0" w:color="auto"/>
        <w:bottom w:val="none" w:sz="0" w:space="0" w:color="auto"/>
        <w:right w:val="none" w:sz="0" w:space="0" w:color="auto"/>
      </w:divBdr>
      <w:divsChild>
        <w:div w:id="33241637">
          <w:marLeft w:val="0"/>
          <w:marRight w:val="0"/>
          <w:marTop w:val="0"/>
          <w:marBottom w:val="0"/>
          <w:divBdr>
            <w:top w:val="single" w:sz="18" w:space="0" w:color="3E72A6"/>
            <w:left w:val="single" w:sz="18" w:space="0" w:color="3E72A6"/>
            <w:bottom w:val="single" w:sz="18" w:space="0" w:color="3E72A6"/>
            <w:right w:val="single" w:sz="18" w:space="0" w:color="3E72A6"/>
          </w:divBdr>
          <w:divsChild>
            <w:div w:id="390470374">
              <w:marLeft w:val="0"/>
              <w:marRight w:val="0"/>
              <w:marTop w:val="0"/>
              <w:marBottom w:val="0"/>
              <w:divBdr>
                <w:top w:val="none" w:sz="0" w:space="0" w:color="auto"/>
                <w:left w:val="none" w:sz="0" w:space="0" w:color="auto"/>
                <w:bottom w:val="none" w:sz="0" w:space="0" w:color="auto"/>
                <w:right w:val="none" w:sz="0" w:space="0" w:color="auto"/>
              </w:divBdr>
              <w:divsChild>
                <w:div w:id="2412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56749">
      <w:bodyDiv w:val="1"/>
      <w:marLeft w:val="0"/>
      <w:marRight w:val="0"/>
      <w:marTop w:val="0"/>
      <w:marBottom w:val="0"/>
      <w:divBdr>
        <w:top w:val="none" w:sz="0" w:space="0" w:color="auto"/>
        <w:left w:val="none" w:sz="0" w:space="0" w:color="auto"/>
        <w:bottom w:val="none" w:sz="0" w:space="0" w:color="auto"/>
        <w:right w:val="none" w:sz="0" w:space="0" w:color="auto"/>
      </w:divBdr>
    </w:div>
    <w:div w:id="841894740">
      <w:bodyDiv w:val="1"/>
      <w:marLeft w:val="0"/>
      <w:marRight w:val="0"/>
      <w:marTop w:val="0"/>
      <w:marBottom w:val="0"/>
      <w:divBdr>
        <w:top w:val="none" w:sz="0" w:space="0" w:color="auto"/>
        <w:left w:val="none" w:sz="0" w:space="0" w:color="auto"/>
        <w:bottom w:val="none" w:sz="0" w:space="0" w:color="auto"/>
        <w:right w:val="none" w:sz="0" w:space="0" w:color="auto"/>
      </w:divBdr>
    </w:div>
    <w:div w:id="843277821">
      <w:bodyDiv w:val="1"/>
      <w:marLeft w:val="0"/>
      <w:marRight w:val="0"/>
      <w:marTop w:val="0"/>
      <w:marBottom w:val="0"/>
      <w:divBdr>
        <w:top w:val="none" w:sz="0" w:space="0" w:color="auto"/>
        <w:left w:val="none" w:sz="0" w:space="0" w:color="auto"/>
        <w:bottom w:val="none" w:sz="0" w:space="0" w:color="auto"/>
        <w:right w:val="none" w:sz="0" w:space="0" w:color="auto"/>
      </w:divBdr>
    </w:div>
    <w:div w:id="922565335">
      <w:bodyDiv w:val="1"/>
      <w:marLeft w:val="0"/>
      <w:marRight w:val="0"/>
      <w:marTop w:val="0"/>
      <w:marBottom w:val="0"/>
      <w:divBdr>
        <w:top w:val="none" w:sz="0" w:space="0" w:color="auto"/>
        <w:left w:val="none" w:sz="0" w:space="0" w:color="auto"/>
        <w:bottom w:val="none" w:sz="0" w:space="0" w:color="auto"/>
        <w:right w:val="none" w:sz="0" w:space="0" w:color="auto"/>
      </w:divBdr>
    </w:div>
    <w:div w:id="956570716">
      <w:bodyDiv w:val="1"/>
      <w:marLeft w:val="0"/>
      <w:marRight w:val="0"/>
      <w:marTop w:val="0"/>
      <w:marBottom w:val="0"/>
      <w:divBdr>
        <w:top w:val="none" w:sz="0" w:space="0" w:color="auto"/>
        <w:left w:val="none" w:sz="0" w:space="0" w:color="auto"/>
        <w:bottom w:val="none" w:sz="0" w:space="0" w:color="auto"/>
        <w:right w:val="none" w:sz="0" w:space="0" w:color="auto"/>
      </w:divBdr>
    </w:div>
    <w:div w:id="1020815149">
      <w:bodyDiv w:val="1"/>
      <w:marLeft w:val="0"/>
      <w:marRight w:val="0"/>
      <w:marTop w:val="0"/>
      <w:marBottom w:val="0"/>
      <w:divBdr>
        <w:top w:val="none" w:sz="0" w:space="0" w:color="auto"/>
        <w:left w:val="none" w:sz="0" w:space="0" w:color="auto"/>
        <w:bottom w:val="none" w:sz="0" w:space="0" w:color="auto"/>
        <w:right w:val="none" w:sz="0" w:space="0" w:color="auto"/>
      </w:divBdr>
    </w:div>
    <w:div w:id="1155879804">
      <w:bodyDiv w:val="1"/>
      <w:marLeft w:val="0"/>
      <w:marRight w:val="0"/>
      <w:marTop w:val="0"/>
      <w:marBottom w:val="0"/>
      <w:divBdr>
        <w:top w:val="none" w:sz="0" w:space="0" w:color="auto"/>
        <w:left w:val="none" w:sz="0" w:space="0" w:color="auto"/>
        <w:bottom w:val="none" w:sz="0" w:space="0" w:color="auto"/>
        <w:right w:val="none" w:sz="0" w:space="0" w:color="auto"/>
      </w:divBdr>
    </w:div>
    <w:div w:id="1179007026">
      <w:bodyDiv w:val="1"/>
      <w:marLeft w:val="0"/>
      <w:marRight w:val="0"/>
      <w:marTop w:val="0"/>
      <w:marBottom w:val="0"/>
      <w:divBdr>
        <w:top w:val="none" w:sz="0" w:space="0" w:color="auto"/>
        <w:left w:val="none" w:sz="0" w:space="0" w:color="auto"/>
        <w:bottom w:val="none" w:sz="0" w:space="0" w:color="auto"/>
        <w:right w:val="none" w:sz="0" w:space="0" w:color="auto"/>
      </w:divBdr>
    </w:div>
    <w:div w:id="1240098611">
      <w:bodyDiv w:val="1"/>
      <w:marLeft w:val="0"/>
      <w:marRight w:val="0"/>
      <w:marTop w:val="0"/>
      <w:marBottom w:val="0"/>
      <w:divBdr>
        <w:top w:val="none" w:sz="0" w:space="0" w:color="auto"/>
        <w:left w:val="none" w:sz="0" w:space="0" w:color="auto"/>
        <w:bottom w:val="none" w:sz="0" w:space="0" w:color="auto"/>
        <w:right w:val="none" w:sz="0" w:space="0" w:color="auto"/>
      </w:divBdr>
    </w:div>
    <w:div w:id="1390036483">
      <w:bodyDiv w:val="1"/>
      <w:marLeft w:val="0"/>
      <w:marRight w:val="0"/>
      <w:marTop w:val="0"/>
      <w:marBottom w:val="0"/>
      <w:divBdr>
        <w:top w:val="none" w:sz="0" w:space="0" w:color="auto"/>
        <w:left w:val="none" w:sz="0" w:space="0" w:color="auto"/>
        <w:bottom w:val="none" w:sz="0" w:space="0" w:color="auto"/>
        <w:right w:val="none" w:sz="0" w:space="0" w:color="auto"/>
      </w:divBdr>
    </w:div>
    <w:div w:id="1452940660">
      <w:bodyDiv w:val="1"/>
      <w:marLeft w:val="0"/>
      <w:marRight w:val="0"/>
      <w:marTop w:val="0"/>
      <w:marBottom w:val="0"/>
      <w:divBdr>
        <w:top w:val="none" w:sz="0" w:space="0" w:color="auto"/>
        <w:left w:val="none" w:sz="0" w:space="0" w:color="auto"/>
        <w:bottom w:val="none" w:sz="0" w:space="0" w:color="auto"/>
        <w:right w:val="none" w:sz="0" w:space="0" w:color="auto"/>
      </w:divBdr>
      <w:divsChild>
        <w:div w:id="1686394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82181">
      <w:bodyDiv w:val="1"/>
      <w:marLeft w:val="0"/>
      <w:marRight w:val="0"/>
      <w:marTop w:val="0"/>
      <w:marBottom w:val="0"/>
      <w:divBdr>
        <w:top w:val="none" w:sz="0" w:space="0" w:color="auto"/>
        <w:left w:val="none" w:sz="0" w:space="0" w:color="auto"/>
        <w:bottom w:val="none" w:sz="0" w:space="0" w:color="auto"/>
        <w:right w:val="none" w:sz="0" w:space="0" w:color="auto"/>
      </w:divBdr>
    </w:div>
    <w:div w:id="1629824641">
      <w:bodyDiv w:val="1"/>
      <w:marLeft w:val="0"/>
      <w:marRight w:val="0"/>
      <w:marTop w:val="0"/>
      <w:marBottom w:val="0"/>
      <w:divBdr>
        <w:top w:val="none" w:sz="0" w:space="0" w:color="auto"/>
        <w:left w:val="none" w:sz="0" w:space="0" w:color="auto"/>
        <w:bottom w:val="none" w:sz="0" w:space="0" w:color="auto"/>
        <w:right w:val="none" w:sz="0" w:space="0" w:color="auto"/>
      </w:divBdr>
      <w:divsChild>
        <w:div w:id="1462841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304782">
      <w:bodyDiv w:val="1"/>
      <w:marLeft w:val="0"/>
      <w:marRight w:val="0"/>
      <w:marTop w:val="0"/>
      <w:marBottom w:val="0"/>
      <w:divBdr>
        <w:top w:val="none" w:sz="0" w:space="0" w:color="auto"/>
        <w:left w:val="none" w:sz="0" w:space="0" w:color="auto"/>
        <w:bottom w:val="none" w:sz="0" w:space="0" w:color="auto"/>
        <w:right w:val="none" w:sz="0" w:space="0" w:color="auto"/>
      </w:divBdr>
      <w:divsChild>
        <w:div w:id="1769083287">
          <w:marLeft w:val="0"/>
          <w:marRight w:val="0"/>
          <w:marTop w:val="0"/>
          <w:marBottom w:val="0"/>
          <w:divBdr>
            <w:top w:val="none" w:sz="0" w:space="0" w:color="auto"/>
            <w:left w:val="none" w:sz="0" w:space="0" w:color="auto"/>
            <w:bottom w:val="none" w:sz="0" w:space="0" w:color="auto"/>
            <w:right w:val="none" w:sz="0" w:space="0" w:color="auto"/>
          </w:divBdr>
          <w:divsChild>
            <w:div w:id="196477548">
              <w:marLeft w:val="0"/>
              <w:marRight w:val="0"/>
              <w:marTop w:val="0"/>
              <w:marBottom w:val="0"/>
              <w:divBdr>
                <w:top w:val="none" w:sz="0" w:space="0" w:color="auto"/>
                <w:left w:val="none" w:sz="0" w:space="0" w:color="auto"/>
                <w:bottom w:val="none" w:sz="0" w:space="0" w:color="auto"/>
                <w:right w:val="none" w:sz="0" w:space="0" w:color="auto"/>
              </w:divBdr>
              <w:divsChild>
                <w:div w:id="6071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175">
      <w:bodyDiv w:val="1"/>
      <w:marLeft w:val="0"/>
      <w:marRight w:val="0"/>
      <w:marTop w:val="0"/>
      <w:marBottom w:val="0"/>
      <w:divBdr>
        <w:top w:val="none" w:sz="0" w:space="0" w:color="auto"/>
        <w:left w:val="none" w:sz="0" w:space="0" w:color="auto"/>
        <w:bottom w:val="none" w:sz="0" w:space="0" w:color="auto"/>
        <w:right w:val="none" w:sz="0" w:space="0" w:color="auto"/>
      </w:divBdr>
    </w:div>
    <w:div w:id="1947274471">
      <w:bodyDiv w:val="1"/>
      <w:marLeft w:val="0"/>
      <w:marRight w:val="0"/>
      <w:marTop w:val="0"/>
      <w:marBottom w:val="0"/>
      <w:divBdr>
        <w:top w:val="none" w:sz="0" w:space="0" w:color="auto"/>
        <w:left w:val="none" w:sz="0" w:space="0" w:color="auto"/>
        <w:bottom w:val="none" w:sz="0" w:space="0" w:color="auto"/>
        <w:right w:val="none" w:sz="0" w:space="0" w:color="auto"/>
      </w:divBdr>
      <w:divsChild>
        <w:div w:id="1778214414">
          <w:marLeft w:val="0"/>
          <w:marRight w:val="0"/>
          <w:marTop w:val="0"/>
          <w:marBottom w:val="0"/>
          <w:divBdr>
            <w:top w:val="none" w:sz="0" w:space="0" w:color="auto"/>
            <w:left w:val="none" w:sz="0" w:space="0" w:color="auto"/>
            <w:bottom w:val="none" w:sz="0" w:space="0" w:color="auto"/>
            <w:right w:val="none" w:sz="0" w:space="0" w:color="auto"/>
          </w:divBdr>
        </w:div>
        <w:div w:id="348532465">
          <w:marLeft w:val="0"/>
          <w:marRight w:val="0"/>
          <w:marTop w:val="0"/>
          <w:marBottom w:val="0"/>
          <w:divBdr>
            <w:top w:val="none" w:sz="0" w:space="0" w:color="auto"/>
            <w:left w:val="none" w:sz="0" w:space="0" w:color="auto"/>
            <w:bottom w:val="none" w:sz="0" w:space="0" w:color="auto"/>
            <w:right w:val="none" w:sz="0" w:space="0" w:color="auto"/>
          </w:divBdr>
        </w:div>
      </w:divsChild>
    </w:div>
    <w:div w:id="2044018930">
      <w:bodyDiv w:val="1"/>
      <w:marLeft w:val="0"/>
      <w:marRight w:val="0"/>
      <w:marTop w:val="0"/>
      <w:marBottom w:val="0"/>
      <w:divBdr>
        <w:top w:val="none" w:sz="0" w:space="0" w:color="auto"/>
        <w:left w:val="none" w:sz="0" w:space="0" w:color="auto"/>
        <w:bottom w:val="none" w:sz="0" w:space="0" w:color="auto"/>
        <w:right w:val="none" w:sz="0" w:space="0" w:color="auto"/>
      </w:divBdr>
    </w:div>
    <w:div w:id="2117207903">
      <w:bodyDiv w:val="1"/>
      <w:marLeft w:val="0"/>
      <w:marRight w:val="0"/>
      <w:marTop w:val="0"/>
      <w:marBottom w:val="0"/>
      <w:divBdr>
        <w:top w:val="none" w:sz="0" w:space="0" w:color="auto"/>
        <w:left w:val="none" w:sz="0" w:space="0" w:color="auto"/>
        <w:bottom w:val="none" w:sz="0" w:space="0" w:color="auto"/>
        <w:right w:val="none" w:sz="0" w:space="0" w:color="auto"/>
      </w:divBdr>
    </w:div>
    <w:div w:id="2134322501">
      <w:bodyDiv w:val="1"/>
      <w:marLeft w:val="0"/>
      <w:marRight w:val="0"/>
      <w:marTop w:val="0"/>
      <w:marBottom w:val="0"/>
      <w:divBdr>
        <w:top w:val="none" w:sz="0" w:space="0" w:color="auto"/>
        <w:left w:val="none" w:sz="0" w:space="0" w:color="auto"/>
        <w:bottom w:val="none" w:sz="0" w:space="0" w:color="auto"/>
        <w:right w:val="none" w:sz="0" w:space="0" w:color="auto"/>
      </w:divBdr>
      <w:divsChild>
        <w:div w:id="1618414071">
          <w:marLeft w:val="0"/>
          <w:marRight w:val="0"/>
          <w:marTop w:val="0"/>
          <w:marBottom w:val="0"/>
          <w:divBdr>
            <w:top w:val="none" w:sz="0" w:space="0" w:color="auto"/>
            <w:left w:val="none" w:sz="0" w:space="0" w:color="auto"/>
            <w:bottom w:val="none" w:sz="0" w:space="0" w:color="auto"/>
            <w:right w:val="none" w:sz="0" w:space="0" w:color="auto"/>
          </w:divBdr>
        </w:div>
        <w:div w:id="120482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bsr.72.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cbi.nlm.nih.gov/books/NBK54099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9</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105</cp:revision>
  <dcterms:created xsi:type="dcterms:W3CDTF">2025-12-18T07:28:00Z</dcterms:created>
  <dcterms:modified xsi:type="dcterms:W3CDTF">2026-01-21T10:08:00Z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f62f620d-069c-45a0-ac46-bff2f029b5ec</vt:lpwstr>
  </property>
</Properties>
</file>