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D99" w:rsidRDefault="003D5D99" w:rsidP="003D5D99">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Case report </w:t>
      </w:r>
    </w:p>
    <w:p w:rsidR="00754C9A" w:rsidRDefault="00754C9A" w:rsidP="00441B6F">
      <w:pPr>
        <w:pStyle w:val="Title"/>
        <w:spacing w:after="0"/>
        <w:jc w:val="both"/>
        <w:rPr>
          <w:rFonts w:ascii="Arial" w:hAnsi="Arial" w:cs="Arial"/>
        </w:rPr>
      </w:pPr>
    </w:p>
    <w:p w:rsidR="00E37A81" w:rsidRDefault="00E37A81" w:rsidP="00441B6F">
      <w:pPr>
        <w:pStyle w:val="Author"/>
        <w:spacing w:line="240" w:lineRule="auto"/>
        <w:rPr>
          <w:rFonts w:ascii="Arial" w:hAnsi="Arial" w:cs="Arial"/>
          <w:bCs/>
          <w:iCs/>
          <w:kern w:val="28"/>
          <w:sz w:val="36"/>
        </w:rPr>
      </w:pPr>
      <w:r w:rsidRPr="00E37A81">
        <w:rPr>
          <w:rFonts w:ascii="Arial" w:hAnsi="Arial" w:cs="Arial"/>
          <w:bCs/>
          <w:iCs/>
          <w:kern w:val="28"/>
          <w:sz w:val="36"/>
        </w:rPr>
        <w:t>A CASE STUDY ON TURNER’S SYNDROME</w:t>
      </w:r>
    </w:p>
    <w:p w:rsidR="003D5D99" w:rsidRDefault="003D5D99" w:rsidP="00441B6F">
      <w:pPr>
        <w:pStyle w:val="Author"/>
        <w:spacing w:line="240" w:lineRule="auto"/>
        <w:rPr>
          <w:rFonts w:ascii="Arial" w:hAnsi="Arial" w:cs="Arial"/>
          <w:bCs/>
          <w:iCs/>
          <w:kern w:val="28"/>
          <w:sz w:val="36"/>
        </w:rPr>
      </w:pPr>
    </w:p>
    <w:p w:rsidR="008D3566" w:rsidRPr="00E37A81" w:rsidRDefault="008D3566" w:rsidP="00E37A81">
      <w:pPr>
        <w:pStyle w:val="Author"/>
        <w:rPr>
          <w:rFonts w:ascii="Arial" w:hAnsi="Arial" w:cs="Arial"/>
          <w:b w:val="0"/>
          <w:i/>
          <w:sz w:val="16"/>
        </w:rPr>
      </w:pPr>
      <w:bookmarkStart w:id="0" w:name="_GoBack"/>
      <w:bookmarkEnd w:id="0"/>
    </w:p>
    <w:p w:rsidR="002C57D2" w:rsidRPr="00FB3A86" w:rsidRDefault="002C57D2" w:rsidP="00441B6F">
      <w:pPr>
        <w:pStyle w:val="Affiliation"/>
        <w:spacing w:after="0" w:line="240" w:lineRule="auto"/>
        <w:jc w:val="both"/>
        <w:rPr>
          <w:rFonts w:ascii="Arial" w:hAnsi="Arial" w:cs="Arial"/>
        </w:rPr>
      </w:pPr>
    </w:p>
    <w:p w:rsidR="00B01FCD" w:rsidRPr="00FB3A86" w:rsidRDefault="001401F4" w:rsidP="00441B6F">
      <w:pPr>
        <w:pStyle w:val="Copyright"/>
        <w:spacing w:after="0" w:line="240" w:lineRule="auto"/>
        <w:jc w:val="both"/>
        <w:rPr>
          <w:rFonts w:ascii="Arial" w:hAnsi="Arial" w:cs="Arial"/>
        </w:rPr>
        <w:sectPr w:rsidR="00B01FCD" w:rsidRPr="00FB3A86" w:rsidSect="000502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E37A81">
        <w:rPr>
          <w:rFonts w:ascii="Arial" w:hAnsi="Arial" w:cs="Arial"/>
        </w:rPr>
        <w:t xml:space="preserve"> </w:t>
      </w:r>
    </w:p>
    <w:p w:rsidR="00E37A81" w:rsidRPr="00E37A81" w:rsidRDefault="00E37A81" w:rsidP="00E37A81">
      <w:pPr>
        <w:pStyle w:val="NormalWeb"/>
        <w:jc w:val="both"/>
        <w:rPr>
          <w:rFonts w:ascii="Arial" w:hAnsi="Arial" w:cs="Arial"/>
          <w:sz w:val="20"/>
          <w:szCs w:val="20"/>
        </w:rPr>
      </w:pPr>
      <w:r w:rsidRPr="008F4549">
        <w:rPr>
          <w:rStyle w:val="Strong"/>
          <w:rFonts w:ascii="Arial" w:hAnsi="Arial" w:cs="Arial"/>
          <w:sz w:val="20"/>
          <w:szCs w:val="20"/>
        </w:rPr>
        <w:t>Introduction:</w:t>
      </w:r>
      <w:r>
        <w:rPr>
          <w:rFonts w:ascii="Arial" w:hAnsi="Arial" w:cs="Arial"/>
          <w:sz w:val="20"/>
          <w:szCs w:val="20"/>
        </w:rPr>
        <w:br/>
      </w:r>
      <w:r w:rsidRPr="00E37A81">
        <w:rPr>
          <w:rFonts w:ascii="Arial" w:hAnsi="Arial" w:cs="Arial"/>
          <w:sz w:val="20"/>
          <w:szCs w:val="20"/>
        </w:rPr>
        <w:t>Turner syndrome is a rare chromosomal disorder in females caused by complete or partial absence of one X chromosome. It presents with short stature, gonadal dysgenesis, primary amenorrhea, and is often associated with endocrine and autoimmune disorders, leading to delayed diagnosis.</w:t>
      </w:r>
    </w:p>
    <w:p w:rsidR="00E37A81" w:rsidRPr="00E37A81" w:rsidRDefault="00E37A81" w:rsidP="00E37A81">
      <w:pPr>
        <w:pStyle w:val="NormalWeb"/>
        <w:jc w:val="both"/>
        <w:rPr>
          <w:rFonts w:ascii="Arial" w:hAnsi="Arial" w:cs="Arial"/>
          <w:sz w:val="20"/>
          <w:szCs w:val="20"/>
        </w:rPr>
      </w:pPr>
      <w:proofErr w:type="spellStart"/>
      <w:r w:rsidRPr="00E37A81">
        <w:rPr>
          <w:rStyle w:val="Strong"/>
          <w:rFonts w:ascii="Arial" w:hAnsi="Arial" w:cs="Arial"/>
          <w:sz w:val="20"/>
          <w:szCs w:val="20"/>
        </w:rPr>
        <w:t>CasePresentation</w:t>
      </w:r>
      <w:proofErr w:type="spellEnd"/>
      <w:r w:rsidRPr="00E37A81">
        <w:rPr>
          <w:rStyle w:val="Strong"/>
          <w:rFonts w:ascii="Arial" w:hAnsi="Arial" w:cs="Arial"/>
          <w:sz w:val="20"/>
          <w:szCs w:val="20"/>
        </w:rPr>
        <w:t>:</w:t>
      </w:r>
      <w:r w:rsidRPr="00E37A81">
        <w:rPr>
          <w:rFonts w:ascii="Arial" w:hAnsi="Arial" w:cs="Arial"/>
          <w:sz w:val="20"/>
          <w:szCs w:val="20"/>
        </w:rPr>
        <w:br/>
        <w:t>A 17-year-old female presented with fever, cough with expectoration, facial puffiness, and decreased appetite. She had a history of primary amenorrhea. Clinical evaluation revealed anemia, hypotension, and hormonal abnormalities with low FSH and LH levels. Imaging showed bilateral lung opacities and absence of the uterus on ultrasonography. Ultrasonography of the neck revealed Hashimoto’s thyroiditis, supporting an autoimmune association. She was treated with antibiotics and supportive therapy.</w:t>
      </w:r>
    </w:p>
    <w:p w:rsidR="00E37A81" w:rsidRPr="00E37A81" w:rsidRDefault="00E37A81" w:rsidP="00E37A81">
      <w:pPr>
        <w:pStyle w:val="NormalWeb"/>
        <w:rPr>
          <w:rStyle w:val="Strong"/>
          <w:rFonts w:ascii="Arial" w:hAnsi="Arial" w:cs="Arial"/>
          <w:b w:val="0"/>
          <w:bCs w:val="0"/>
          <w:sz w:val="20"/>
          <w:szCs w:val="20"/>
        </w:rPr>
      </w:pPr>
      <w:r w:rsidRPr="00E37A81">
        <w:rPr>
          <w:rStyle w:val="Strong"/>
          <w:rFonts w:ascii="Arial" w:hAnsi="Arial" w:cs="Arial"/>
          <w:sz w:val="20"/>
          <w:szCs w:val="20"/>
        </w:rPr>
        <w:t>Discussion:</w:t>
      </w:r>
      <w:r w:rsidRPr="00E37A81">
        <w:rPr>
          <w:rFonts w:ascii="Arial" w:hAnsi="Arial" w:cs="Arial"/>
          <w:sz w:val="20"/>
          <w:szCs w:val="20"/>
        </w:rPr>
        <w:br/>
        <w:t>The case highlights the varied presentation of Turner syndrome and the importance of recognizing primary amenorrhea and autoimmune manifestations for early diagnosis.</w:t>
      </w:r>
    </w:p>
    <w:p w:rsidR="00E37A81" w:rsidRPr="00E37A81" w:rsidRDefault="00E37A81" w:rsidP="00E37A81">
      <w:pPr>
        <w:jc w:val="both"/>
        <w:rPr>
          <w:rFonts w:ascii="Arial" w:hAnsi="Arial" w:cs="Arial"/>
        </w:rPr>
      </w:pPr>
      <w:r w:rsidRPr="00E37A81">
        <w:rPr>
          <w:rStyle w:val="Strong"/>
          <w:rFonts w:ascii="Arial" w:hAnsi="Arial" w:cs="Arial"/>
        </w:rPr>
        <w:t>Conclusion:</w:t>
      </w:r>
      <w:r w:rsidRPr="00E37A81">
        <w:rPr>
          <w:rFonts w:ascii="Arial" w:hAnsi="Arial" w:cs="Arial"/>
        </w:rPr>
        <w:br/>
        <w:t>Early identification and multidisciplinary management of Turner syndrome improve outcomes and quality of life.</w:t>
      </w:r>
    </w:p>
    <w:p w:rsidR="00790ADA" w:rsidRPr="00FB3A86" w:rsidRDefault="00790ADA" w:rsidP="00441B6F">
      <w:pPr>
        <w:pStyle w:val="AbstHead"/>
        <w:spacing w:after="0"/>
        <w:jc w:val="both"/>
        <w:rPr>
          <w:rFonts w:ascii="Arial" w:hAnsi="Arial" w:cs="Arial"/>
        </w:rPr>
      </w:pPr>
    </w:p>
    <w:p w:rsidR="00636EB2" w:rsidRDefault="00636EB2" w:rsidP="00441B6F">
      <w:pPr>
        <w:pStyle w:val="Body"/>
        <w:spacing w:after="0"/>
        <w:rPr>
          <w:rFonts w:ascii="Arial" w:hAnsi="Arial" w:cs="Arial"/>
          <w:i/>
        </w:rPr>
      </w:pPr>
    </w:p>
    <w:p w:rsidR="00E37A81" w:rsidRPr="00E37A81" w:rsidRDefault="00E37A81" w:rsidP="00E37A81">
      <w:pPr>
        <w:rPr>
          <w:rFonts w:ascii="Arial" w:hAnsi="Arial" w:cs="Arial"/>
          <w:i/>
        </w:rPr>
      </w:pPr>
      <w:r>
        <w:rPr>
          <w:rFonts w:ascii="Arial" w:hAnsi="Arial" w:cs="Arial"/>
          <w:i/>
        </w:rPr>
        <w:t xml:space="preserve">Keywords: </w:t>
      </w:r>
      <w:r w:rsidRPr="00E37A81">
        <w:rPr>
          <w:rFonts w:ascii="Arial" w:hAnsi="Arial" w:cs="Arial"/>
          <w:i/>
        </w:rPr>
        <w:t>Turner syndrome, Primary amenorrhea, Autoimmune thyroiditis, Case study, Gonadal dysgenesis.</w:t>
      </w:r>
    </w:p>
    <w:p w:rsidR="00A24E7E" w:rsidRDefault="00A24E7E" w:rsidP="00441B6F">
      <w:pPr>
        <w:pStyle w:val="Body"/>
        <w:spacing w:after="0"/>
        <w:rPr>
          <w:rFonts w:ascii="Arial" w:hAnsi="Arial" w:cs="Arial"/>
          <w:i/>
        </w:rPr>
      </w:pPr>
    </w:p>
    <w:p w:rsidR="00790ADA" w:rsidRDefault="00790ADA"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E37A81">
        <w:rPr>
          <w:rFonts w:ascii="Arial" w:hAnsi="Arial" w:cs="Arial"/>
        </w:rPr>
        <w:t xml:space="preserve"> </w:t>
      </w:r>
    </w:p>
    <w:p w:rsidR="00E37A81" w:rsidRDefault="00E37A81" w:rsidP="00441B6F">
      <w:pPr>
        <w:pStyle w:val="Body"/>
        <w:spacing w:after="0"/>
        <w:rPr>
          <w:rFonts w:ascii="Arial" w:hAnsi="Arial" w:cs="Arial"/>
        </w:rPr>
      </w:pPr>
    </w:p>
    <w:p w:rsidR="00E37A81" w:rsidRPr="00E37A81" w:rsidRDefault="00E37A81" w:rsidP="00E37A81">
      <w:pPr>
        <w:pStyle w:val="Body"/>
        <w:rPr>
          <w:rFonts w:ascii="Arial" w:hAnsi="Arial" w:cs="Arial"/>
        </w:rPr>
      </w:pPr>
      <w:r w:rsidRPr="00E37A81">
        <w:rPr>
          <w:rFonts w:ascii="Arial" w:hAnsi="Arial" w:cs="Arial"/>
        </w:rPr>
        <w:t xml:space="preserve">Turner syndrome is a rare condition characterized by female hypergonadotropic hypogonadism, infertility, short stature, endocrine and metabolic disorders, an increased risk of autoimmune disease, as well as other medical conditions such as cardiovascular disease, The condition, which is associated with a completely or partially missing X chromosome, was first described ~100 years ago by three independent clinicians, </w:t>
      </w:r>
      <w:proofErr w:type="spellStart"/>
      <w:r w:rsidRPr="00E37A81">
        <w:rPr>
          <w:rFonts w:ascii="Arial" w:hAnsi="Arial" w:cs="Arial"/>
        </w:rPr>
        <w:t>Seresevskij</w:t>
      </w:r>
      <w:proofErr w:type="spellEnd"/>
      <w:r w:rsidRPr="00E37A81">
        <w:rPr>
          <w:rFonts w:ascii="Arial" w:hAnsi="Arial" w:cs="Arial"/>
        </w:rPr>
        <w:t>, Ullrich and Turner.</w:t>
      </w:r>
      <w:r w:rsidRPr="00E37A81">
        <w:rPr>
          <w:rFonts w:ascii="Arial" w:hAnsi="Arial" w:cs="Arial"/>
          <w:vertAlign w:val="superscript"/>
        </w:rPr>
        <w:t>[1]</w:t>
      </w:r>
      <w:r w:rsidRPr="00E37A81">
        <w:rPr>
          <w:rFonts w:ascii="Arial" w:hAnsi="Arial" w:cs="Arial"/>
        </w:rPr>
        <w:t xml:space="preserve"> TS is primarily caused by the complete or partial loss of one X chromosome, with the most common karyotype being 45.</w:t>
      </w:r>
      <w:r w:rsidRPr="00E37A81">
        <w:rPr>
          <w:rFonts w:ascii="Arial" w:hAnsi="Arial" w:cs="Arial"/>
          <w:vertAlign w:val="superscript"/>
        </w:rPr>
        <w:t>[2]</w:t>
      </w:r>
    </w:p>
    <w:p w:rsidR="00E37A81" w:rsidRPr="00E37A81" w:rsidRDefault="00E37A81" w:rsidP="00E37A81">
      <w:pPr>
        <w:pStyle w:val="Body"/>
        <w:rPr>
          <w:rFonts w:ascii="Arial" w:hAnsi="Arial" w:cs="Arial"/>
        </w:rPr>
      </w:pPr>
    </w:p>
    <w:p w:rsidR="00E37A81" w:rsidRPr="00E37A81" w:rsidRDefault="00E37A81" w:rsidP="00E37A81">
      <w:pPr>
        <w:pStyle w:val="Body"/>
        <w:rPr>
          <w:rFonts w:ascii="Arial" w:hAnsi="Arial" w:cs="Arial"/>
          <w:b/>
        </w:rPr>
      </w:pPr>
      <w:r w:rsidRPr="00E37A81">
        <w:rPr>
          <w:rFonts w:ascii="Arial" w:hAnsi="Arial" w:cs="Arial"/>
          <w:b/>
        </w:rPr>
        <w:t>Epidemiology-</w:t>
      </w:r>
    </w:p>
    <w:p w:rsidR="00E37A81" w:rsidRPr="00E37A81" w:rsidRDefault="00E37A81" w:rsidP="00E37A81">
      <w:pPr>
        <w:pStyle w:val="Body"/>
        <w:rPr>
          <w:rFonts w:ascii="Arial" w:hAnsi="Arial" w:cs="Arial"/>
        </w:rPr>
      </w:pPr>
      <w:r w:rsidRPr="00E37A81">
        <w:rPr>
          <w:rFonts w:ascii="Arial" w:hAnsi="Arial" w:cs="Arial"/>
        </w:rPr>
        <w:t xml:space="preserve">It is the only viable monosomy syndrome in humans, with an incidence of approximately 1 in 4,000 to 1 in 2,500 live female </w:t>
      </w:r>
      <w:proofErr w:type="gramStart"/>
      <w:r w:rsidRPr="00E37A81">
        <w:rPr>
          <w:rFonts w:ascii="Arial" w:hAnsi="Arial" w:cs="Arial"/>
        </w:rPr>
        <w:t>births.</w:t>
      </w:r>
      <w:r w:rsidRPr="00E37A81">
        <w:rPr>
          <w:rFonts w:ascii="Arial" w:hAnsi="Arial" w:cs="Arial"/>
          <w:vertAlign w:val="superscript"/>
        </w:rPr>
        <w:t>[</w:t>
      </w:r>
      <w:proofErr w:type="gramEnd"/>
      <w:r w:rsidRPr="00E37A81">
        <w:rPr>
          <w:rFonts w:ascii="Arial" w:hAnsi="Arial" w:cs="Arial"/>
          <w:vertAlign w:val="superscript"/>
        </w:rPr>
        <w:t>2]</w:t>
      </w:r>
    </w:p>
    <w:p w:rsidR="00E37A81" w:rsidRPr="00E37A81" w:rsidRDefault="00E37A81" w:rsidP="00E37A81">
      <w:pPr>
        <w:pStyle w:val="Body"/>
        <w:rPr>
          <w:rFonts w:ascii="Arial" w:hAnsi="Arial" w:cs="Arial"/>
        </w:rPr>
      </w:pPr>
    </w:p>
    <w:p w:rsidR="00E37A81" w:rsidRPr="00E37A81" w:rsidRDefault="00E37A81" w:rsidP="00E37A81">
      <w:pPr>
        <w:pStyle w:val="Body"/>
        <w:rPr>
          <w:rFonts w:ascii="Arial" w:hAnsi="Arial" w:cs="Arial"/>
          <w:b/>
        </w:rPr>
      </w:pPr>
      <w:r w:rsidRPr="00E37A81">
        <w:rPr>
          <w:rFonts w:ascii="Arial" w:hAnsi="Arial" w:cs="Arial"/>
          <w:b/>
        </w:rPr>
        <w:lastRenderedPageBreak/>
        <w:t>Etiology–</w:t>
      </w:r>
    </w:p>
    <w:p w:rsidR="00E37A81" w:rsidRPr="00E37A81" w:rsidRDefault="00E37A81" w:rsidP="00E37A81">
      <w:pPr>
        <w:pStyle w:val="Body"/>
        <w:rPr>
          <w:rFonts w:ascii="Arial" w:hAnsi="Arial" w:cs="Arial"/>
        </w:rPr>
      </w:pPr>
      <w:r w:rsidRPr="00E37A81">
        <w:rPr>
          <w:rFonts w:ascii="Arial" w:hAnsi="Arial" w:cs="Arial"/>
        </w:rPr>
        <w:t>Turner syndrome is caused by complete or partial absence of one X chromosome in a phenotypic female, leading to abnormal growth and gonadal development.</w:t>
      </w:r>
    </w:p>
    <w:p w:rsidR="00E37A81" w:rsidRPr="00E37A81" w:rsidRDefault="00E37A81" w:rsidP="00E37A81">
      <w:pPr>
        <w:pStyle w:val="Body"/>
        <w:rPr>
          <w:rFonts w:ascii="Arial" w:hAnsi="Arial" w:cs="Arial"/>
        </w:rPr>
      </w:pPr>
      <w:r w:rsidRPr="00E37A81">
        <w:rPr>
          <w:rFonts w:ascii="Arial" w:hAnsi="Arial" w:cs="Arial"/>
        </w:rPr>
        <w:t>Main etiological factors:</w:t>
      </w:r>
    </w:p>
    <w:p w:rsidR="00E37A81" w:rsidRPr="00E37A81" w:rsidRDefault="00E37A81" w:rsidP="00E37A81">
      <w:pPr>
        <w:pStyle w:val="Body"/>
        <w:numPr>
          <w:ilvl w:val="0"/>
          <w:numId w:val="31"/>
        </w:numPr>
        <w:rPr>
          <w:rFonts w:ascii="Arial" w:hAnsi="Arial" w:cs="Arial"/>
        </w:rPr>
      </w:pPr>
      <w:r w:rsidRPr="00E37A81">
        <w:rPr>
          <w:rFonts w:ascii="Arial" w:hAnsi="Arial" w:cs="Arial"/>
        </w:rPr>
        <w:t>Chromosomal nondisjunction- During meiosis or early mitosis (sporadic, not inherited)</w:t>
      </w:r>
    </w:p>
    <w:p w:rsidR="00E37A81" w:rsidRPr="00E37A81" w:rsidRDefault="00E37A81" w:rsidP="00E37A81">
      <w:pPr>
        <w:pStyle w:val="Body"/>
        <w:numPr>
          <w:ilvl w:val="0"/>
          <w:numId w:val="31"/>
        </w:numPr>
        <w:rPr>
          <w:rFonts w:ascii="Arial" w:hAnsi="Arial" w:cs="Arial"/>
        </w:rPr>
      </w:pPr>
      <w:r>
        <w:rPr>
          <w:rFonts w:ascii="Arial" w:hAnsi="Arial" w:cs="Arial"/>
        </w:rPr>
        <w:t xml:space="preserve">Cytogenetic abnormalities- Monosomy X (45,X) – most common, </w:t>
      </w:r>
      <w:r w:rsidRPr="00E37A81">
        <w:rPr>
          <w:rFonts w:ascii="Arial" w:hAnsi="Arial" w:cs="Arial"/>
        </w:rPr>
        <w:tab/>
        <w:t>Mosaicism (</w:t>
      </w:r>
      <w:r>
        <w:rPr>
          <w:rFonts w:ascii="Arial" w:hAnsi="Arial" w:cs="Arial"/>
        </w:rPr>
        <w:t xml:space="preserve">e.g., 45,X/46,XX or 45,X/46,XY) and </w:t>
      </w:r>
      <w:r w:rsidRPr="00E37A81">
        <w:rPr>
          <w:rFonts w:ascii="Arial" w:hAnsi="Arial" w:cs="Arial"/>
        </w:rPr>
        <w:t>Structural abnormalities of the X chromosome</w:t>
      </w:r>
    </w:p>
    <w:p w:rsidR="00E37A81" w:rsidRPr="00E37A81" w:rsidRDefault="00E37A81" w:rsidP="00E37A81">
      <w:pPr>
        <w:pStyle w:val="Body"/>
        <w:numPr>
          <w:ilvl w:val="0"/>
          <w:numId w:val="31"/>
        </w:numPr>
        <w:rPr>
          <w:rFonts w:ascii="Arial" w:hAnsi="Arial" w:cs="Arial"/>
        </w:rPr>
      </w:pPr>
      <w:r>
        <w:rPr>
          <w:rFonts w:ascii="Arial" w:hAnsi="Arial" w:cs="Arial"/>
        </w:rPr>
        <w:t xml:space="preserve">Gene haploinsufficiency- </w:t>
      </w:r>
      <w:r w:rsidRPr="00E37A81">
        <w:rPr>
          <w:rFonts w:ascii="Arial" w:hAnsi="Arial" w:cs="Arial"/>
        </w:rPr>
        <w:t>Loss of g</w:t>
      </w:r>
      <w:r>
        <w:rPr>
          <w:rFonts w:ascii="Arial" w:hAnsi="Arial" w:cs="Arial"/>
        </w:rPr>
        <w:t xml:space="preserve">enes that escape X-inactivation, </w:t>
      </w:r>
      <w:r w:rsidRPr="00E37A81">
        <w:rPr>
          <w:rFonts w:ascii="Arial" w:hAnsi="Arial" w:cs="Arial"/>
        </w:rPr>
        <w:t>Especially SHOX gene (Xp22) → short stature and skeletal abnormalities</w:t>
      </w:r>
    </w:p>
    <w:p w:rsidR="00E37A81" w:rsidRPr="00E37A81" w:rsidRDefault="00E37A81" w:rsidP="00E37A81">
      <w:pPr>
        <w:pStyle w:val="Body"/>
        <w:numPr>
          <w:ilvl w:val="0"/>
          <w:numId w:val="31"/>
        </w:numPr>
        <w:rPr>
          <w:rFonts w:ascii="Arial" w:hAnsi="Arial" w:cs="Arial"/>
        </w:rPr>
      </w:pPr>
      <w:r>
        <w:rPr>
          <w:rFonts w:ascii="Arial" w:hAnsi="Arial" w:cs="Arial"/>
        </w:rPr>
        <w:t xml:space="preserve">Ovarian determinant gene loss- </w:t>
      </w:r>
      <w:r w:rsidRPr="00E37A81">
        <w:rPr>
          <w:rFonts w:ascii="Arial" w:hAnsi="Arial" w:cs="Arial"/>
        </w:rPr>
        <w:t>Deletions involving POF1 (Xq26–q28) and POF2 (Xq13.3–q21.1)</w:t>
      </w:r>
      <w:r>
        <w:rPr>
          <w:rFonts w:ascii="Arial" w:hAnsi="Arial" w:cs="Arial"/>
        </w:rPr>
        <w:t xml:space="preserve">, </w:t>
      </w:r>
      <w:r w:rsidRPr="00E37A81">
        <w:rPr>
          <w:rFonts w:ascii="Arial" w:hAnsi="Arial" w:cs="Arial"/>
        </w:rPr>
        <w:t xml:space="preserve">Disruption of genes such as FMR1 and BMP15 → leads to gonadal failure and primary amenorrhea </w:t>
      </w:r>
      <w:r w:rsidRPr="00E37A81">
        <w:rPr>
          <w:rFonts w:ascii="Arial" w:hAnsi="Arial" w:cs="Arial"/>
          <w:vertAlign w:val="superscript"/>
        </w:rPr>
        <w:t>[3]</w:t>
      </w:r>
    </w:p>
    <w:p w:rsidR="00E37A81" w:rsidRPr="00E37A81" w:rsidRDefault="00E37A81" w:rsidP="00E37A81">
      <w:pPr>
        <w:pStyle w:val="Body"/>
        <w:rPr>
          <w:rFonts w:ascii="Arial" w:hAnsi="Arial" w:cs="Arial"/>
          <w:b/>
        </w:rPr>
      </w:pPr>
    </w:p>
    <w:p w:rsidR="00E37A81" w:rsidRPr="00E37A81" w:rsidRDefault="00E37A81" w:rsidP="00E37A81">
      <w:pPr>
        <w:pStyle w:val="Body"/>
        <w:rPr>
          <w:rFonts w:ascii="Arial" w:hAnsi="Arial" w:cs="Arial"/>
          <w:b/>
          <w:vertAlign w:val="superscript"/>
        </w:rPr>
      </w:pPr>
      <w:r w:rsidRPr="00E37A81">
        <w:rPr>
          <w:rFonts w:ascii="Arial" w:hAnsi="Arial" w:cs="Arial"/>
          <w:b/>
        </w:rPr>
        <w:t>Pathophysiology–</w:t>
      </w:r>
      <w:r w:rsidRPr="00E37A81">
        <w:rPr>
          <w:rFonts w:ascii="Arial" w:hAnsi="Arial" w:cs="Arial"/>
          <w:b/>
          <w:vertAlign w:val="superscript"/>
        </w:rPr>
        <w:t>[1]</w:t>
      </w:r>
    </w:p>
    <w:p w:rsidR="00E37A81" w:rsidRDefault="00E37A81" w:rsidP="00E37A81">
      <w:pPr>
        <w:pStyle w:val="Body"/>
        <w:jc w:val="center"/>
        <w:rPr>
          <w:rFonts w:ascii="Arial" w:hAnsi="Arial" w:cs="Arial"/>
        </w:rPr>
      </w:pPr>
      <w:r w:rsidRPr="00E37A81">
        <w:rPr>
          <w:rFonts w:ascii="Arial" w:hAnsi="Arial" w:cs="Arial"/>
          <w:noProof/>
          <w:lang w:val="en-IN" w:eastAsia="en-IN"/>
        </w:rPr>
        <w:drawing>
          <wp:inline distT="0" distB="0" distL="0" distR="0">
            <wp:extent cx="5206093" cy="5082639"/>
            <wp:effectExtent l="19050" t="0" r="0" b="0"/>
            <wp:docPr id="3" name="Picture 1" descr="WhatsApp Image 2026-01-04 at 15.37.5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1-04 at 15.37.57 (1).jpeg"/>
                    <pic:cNvPicPr/>
                  </pic:nvPicPr>
                  <pic:blipFill>
                    <a:blip r:embed="rId14" cstate="print">
                      <a:lum/>
                    </a:blip>
                    <a:srcRect t="3918"/>
                    <a:stretch>
                      <a:fillRect/>
                    </a:stretch>
                  </pic:blipFill>
                  <pic:spPr>
                    <a:xfrm>
                      <a:off x="0" y="0"/>
                      <a:ext cx="5212080" cy="5088484"/>
                    </a:xfrm>
                    <a:prstGeom prst="rect">
                      <a:avLst/>
                    </a:prstGeom>
                  </pic:spPr>
                </pic:pic>
              </a:graphicData>
            </a:graphic>
          </wp:inline>
        </w:drawing>
      </w:r>
    </w:p>
    <w:p w:rsidR="00E37A81" w:rsidRPr="00E37A81" w:rsidRDefault="00E37A81" w:rsidP="00E37A81">
      <w:pPr>
        <w:pStyle w:val="Body"/>
        <w:jc w:val="center"/>
        <w:rPr>
          <w:rFonts w:ascii="Arial" w:hAnsi="Arial" w:cs="Arial"/>
          <w:b/>
        </w:rPr>
      </w:pPr>
      <w:r w:rsidRPr="00E37A81">
        <w:rPr>
          <w:rFonts w:ascii="Arial" w:hAnsi="Arial" w:cs="Arial"/>
          <w:b/>
        </w:rPr>
        <w:t xml:space="preserve">Fig 01 – Pathophysiology of Turner’s Syndrome </w:t>
      </w:r>
    </w:p>
    <w:p w:rsidR="00E37A81" w:rsidRPr="00E37A81" w:rsidRDefault="00E37A81" w:rsidP="00E37A81">
      <w:pPr>
        <w:pStyle w:val="Body"/>
        <w:rPr>
          <w:rFonts w:ascii="Arial" w:hAnsi="Arial" w:cs="Arial"/>
          <w:b/>
        </w:rPr>
      </w:pPr>
      <w:r w:rsidRPr="00E37A81">
        <w:rPr>
          <w:rFonts w:ascii="Arial" w:hAnsi="Arial" w:cs="Arial"/>
          <w:b/>
        </w:rPr>
        <w:lastRenderedPageBreak/>
        <w:t xml:space="preserve">Clinical </w:t>
      </w:r>
      <w:proofErr w:type="gramStart"/>
      <w:r w:rsidRPr="00E37A81">
        <w:rPr>
          <w:rFonts w:ascii="Arial" w:hAnsi="Arial" w:cs="Arial"/>
          <w:b/>
        </w:rPr>
        <w:t>manifestation</w:t>
      </w:r>
      <w:r w:rsidRPr="00E37A81">
        <w:rPr>
          <w:rFonts w:ascii="Arial" w:hAnsi="Arial" w:cs="Arial"/>
          <w:b/>
          <w:vertAlign w:val="superscript"/>
        </w:rPr>
        <w:t>[</w:t>
      </w:r>
      <w:proofErr w:type="gramEnd"/>
      <w:r w:rsidRPr="00E37A81">
        <w:rPr>
          <w:rFonts w:ascii="Arial" w:hAnsi="Arial" w:cs="Arial"/>
          <w:b/>
          <w:vertAlign w:val="superscript"/>
        </w:rPr>
        <w:t xml:space="preserve">4] </w:t>
      </w:r>
      <w:r w:rsidRPr="00E37A81">
        <w:rPr>
          <w:rFonts w:ascii="Arial" w:hAnsi="Arial" w:cs="Arial"/>
          <w:b/>
        </w:rPr>
        <w:t>–</w:t>
      </w:r>
    </w:p>
    <w:p w:rsidR="00E37A81" w:rsidRPr="00E37A81" w:rsidRDefault="00E37A81" w:rsidP="00E37A81">
      <w:pPr>
        <w:pStyle w:val="Body"/>
        <w:jc w:val="center"/>
        <w:rPr>
          <w:rFonts w:ascii="Arial" w:hAnsi="Arial" w:cs="Arial"/>
        </w:rPr>
      </w:pPr>
      <w:r w:rsidRPr="00E37A81">
        <w:rPr>
          <w:rFonts w:ascii="Arial" w:hAnsi="Arial" w:cs="Arial"/>
          <w:noProof/>
          <w:lang w:val="en-IN" w:eastAsia="en-IN"/>
        </w:rPr>
        <w:drawing>
          <wp:inline distT="0" distB="0" distL="0" distR="0">
            <wp:extent cx="5479225" cy="3618297"/>
            <wp:effectExtent l="19050" t="0" r="7175" b="0"/>
            <wp:docPr id="4" name="Picture 0" descr="WhatsApp Image 2026-01-04 at 14.48.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1-04 at 14.48.10.jpeg"/>
                    <pic:cNvPicPr/>
                  </pic:nvPicPr>
                  <pic:blipFill>
                    <a:blip r:embed="rId15" cstate="print"/>
                    <a:stretch>
                      <a:fillRect/>
                    </a:stretch>
                  </pic:blipFill>
                  <pic:spPr>
                    <a:xfrm>
                      <a:off x="0" y="0"/>
                      <a:ext cx="5479225" cy="3618297"/>
                    </a:xfrm>
                    <a:prstGeom prst="rect">
                      <a:avLst/>
                    </a:prstGeom>
                  </pic:spPr>
                </pic:pic>
              </a:graphicData>
            </a:graphic>
          </wp:inline>
        </w:drawing>
      </w:r>
    </w:p>
    <w:p w:rsidR="00E37A81" w:rsidRDefault="00E37A81" w:rsidP="00E37A81">
      <w:pPr>
        <w:pStyle w:val="Body"/>
        <w:jc w:val="center"/>
        <w:rPr>
          <w:rFonts w:ascii="Arial" w:hAnsi="Arial" w:cs="Arial"/>
          <w:b/>
        </w:rPr>
      </w:pPr>
      <w:r w:rsidRPr="00E37A81">
        <w:rPr>
          <w:rFonts w:ascii="Arial" w:hAnsi="Arial" w:cs="Arial"/>
          <w:b/>
        </w:rPr>
        <w:t>Fig 02 - Clinical</w:t>
      </w:r>
      <w:r>
        <w:rPr>
          <w:rFonts w:ascii="Arial" w:hAnsi="Arial" w:cs="Arial"/>
          <w:b/>
        </w:rPr>
        <w:t xml:space="preserve"> manifestation</w:t>
      </w:r>
      <w:r w:rsidRPr="00E37A81">
        <w:rPr>
          <w:rFonts w:ascii="Arial" w:hAnsi="Arial" w:cs="Arial"/>
          <w:b/>
        </w:rPr>
        <w:t xml:space="preserve"> of Turner’s Syndrome </w:t>
      </w:r>
    </w:p>
    <w:p w:rsidR="00E37A81" w:rsidRPr="00E37A81" w:rsidRDefault="00E37A81" w:rsidP="00E37A81">
      <w:pPr>
        <w:pStyle w:val="Body"/>
        <w:jc w:val="center"/>
        <w:rPr>
          <w:rFonts w:ascii="Arial" w:hAnsi="Arial" w:cs="Arial"/>
          <w:b/>
        </w:rPr>
      </w:pPr>
    </w:p>
    <w:p w:rsidR="00E37A81" w:rsidRPr="00E37A81" w:rsidRDefault="00E37A81" w:rsidP="00E37A81">
      <w:pPr>
        <w:pStyle w:val="Body"/>
        <w:rPr>
          <w:rFonts w:ascii="Arial" w:hAnsi="Arial" w:cs="Arial"/>
          <w:b/>
        </w:rPr>
      </w:pPr>
      <w:r w:rsidRPr="00E37A81">
        <w:rPr>
          <w:rFonts w:ascii="Arial" w:hAnsi="Arial" w:cs="Arial"/>
          <w:b/>
        </w:rPr>
        <w:t>Diagnosis–</w:t>
      </w:r>
    </w:p>
    <w:p w:rsidR="00E37A81" w:rsidRPr="00E37A81" w:rsidRDefault="00E37A81" w:rsidP="00E37A81">
      <w:pPr>
        <w:pStyle w:val="Body"/>
        <w:numPr>
          <w:ilvl w:val="0"/>
          <w:numId w:val="36"/>
        </w:numPr>
        <w:rPr>
          <w:rFonts w:ascii="Arial" w:hAnsi="Arial" w:cs="Arial"/>
        </w:rPr>
      </w:pPr>
      <w:r w:rsidRPr="00E37A81">
        <w:rPr>
          <w:rFonts w:ascii="Arial" w:hAnsi="Arial" w:cs="Arial"/>
        </w:rPr>
        <w:t>Cytogenetic confirmation</w:t>
      </w:r>
      <w:r>
        <w:rPr>
          <w:rFonts w:ascii="Arial" w:hAnsi="Arial" w:cs="Arial"/>
        </w:rPr>
        <w:t xml:space="preserve">- </w:t>
      </w:r>
      <w:r w:rsidRPr="00E37A81">
        <w:rPr>
          <w:rFonts w:ascii="Arial" w:hAnsi="Arial" w:cs="Arial"/>
        </w:rPr>
        <w:t>Presence of complete or partial loss of one X chromosome</w:t>
      </w:r>
      <w:r>
        <w:rPr>
          <w:rFonts w:ascii="Arial" w:hAnsi="Arial" w:cs="Arial"/>
        </w:rPr>
        <w:t xml:space="preserve">, </w:t>
      </w:r>
      <w:r w:rsidRPr="00E37A81">
        <w:rPr>
          <w:rFonts w:ascii="Arial" w:hAnsi="Arial" w:cs="Arial"/>
        </w:rPr>
        <w:t>Confirmed by karyotype analysis</w:t>
      </w:r>
      <w:r>
        <w:rPr>
          <w:rFonts w:ascii="Arial" w:hAnsi="Arial" w:cs="Arial"/>
        </w:rPr>
        <w:t xml:space="preserve">, Common karyotypes [45,X (monosomy X), </w:t>
      </w:r>
      <w:r w:rsidRPr="00E37A81">
        <w:rPr>
          <w:rFonts w:ascii="Arial" w:hAnsi="Arial" w:cs="Arial"/>
        </w:rPr>
        <w:t>Mosaicism (</w:t>
      </w:r>
      <w:r>
        <w:rPr>
          <w:rFonts w:ascii="Arial" w:hAnsi="Arial" w:cs="Arial"/>
        </w:rPr>
        <w:t xml:space="preserve">e.g., 45,X/46,XX or 45,X/46,XY)and </w:t>
      </w:r>
      <w:r w:rsidRPr="00E37A81">
        <w:rPr>
          <w:rFonts w:ascii="Arial" w:hAnsi="Arial" w:cs="Arial"/>
        </w:rPr>
        <w:t xml:space="preserve">Structural abnormalities (ring X, isochromosome X, </w:t>
      </w:r>
      <w:proofErr w:type="spellStart"/>
      <w:r w:rsidRPr="00E37A81">
        <w:rPr>
          <w:rFonts w:ascii="Arial" w:hAnsi="Arial" w:cs="Arial"/>
        </w:rPr>
        <w:t>Xp</w:t>
      </w:r>
      <w:proofErr w:type="spellEnd"/>
      <w:r w:rsidRPr="00E37A81">
        <w:rPr>
          <w:rFonts w:ascii="Arial" w:hAnsi="Arial" w:cs="Arial"/>
        </w:rPr>
        <w:t xml:space="preserve"> or </w:t>
      </w:r>
      <w:proofErr w:type="spellStart"/>
      <w:r w:rsidRPr="00E37A81">
        <w:rPr>
          <w:rFonts w:ascii="Arial" w:hAnsi="Arial" w:cs="Arial"/>
        </w:rPr>
        <w:t>Xq</w:t>
      </w:r>
      <w:proofErr w:type="spellEnd"/>
      <w:r w:rsidRPr="00E37A81">
        <w:rPr>
          <w:rFonts w:ascii="Arial" w:hAnsi="Arial" w:cs="Arial"/>
        </w:rPr>
        <w:t xml:space="preserve"> deletions)</w:t>
      </w:r>
      <w:r>
        <w:rPr>
          <w:rFonts w:ascii="Arial" w:hAnsi="Arial" w:cs="Arial"/>
        </w:rPr>
        <w:t xml:space="preserve">], </w:t>
      </w:r>
      <w:r w:rsidRPr="00E37A81">
        <w:rPr>
          <w:rFonts w:ascii="Arial" w:hAnsi="Arial" w:cs="Arial"/>
        </w:rPr>
        <w:t>At least 30 metaphase cells should be analyzed</w:t>
      </w:r>
      <w:r>
        <w:rPr>
          <w:rFonts w:ascii="Arial" w:hAnsi="Arial" w:cs="Arial"/>
        </w:rPr>
        <w:t xml:space="preserve">, </w:t>
      </w:r>
      <w:r w:rsidRPr="00E37A81">
        <w:rPr>
          <w:rFonts w:ascii="Arial" w:hAnsi="Arial" w:cs="Arial"/>
        </w:rPr>
        <w:t>Buccal smear is insufficient</w:t>
      </w:r>
      <w:r>
        <w:rPr>
          <w:rFonts w:ascii="Arial" w:hAnsi="Arial" w:cs="Arial"/>
        </w:rPr>
        <w:t xml:space="preserve"> and </w:t>
      </w:r>
      <w:r w:rsidRPr="00E37A81">
        <w:rPr>
          <w:rFonts w:ascii="Arial" w:hAnsi="Arial" w:cs="Arial"/>
        </w:rPr>
        <w:t xml:space="preserve">If karyotype is normal but suspicion remains </w:t>
      </w:r>
      <w:r>
        <w:rPr>
          <w:rFonts w:ascii="Arial" w:hAnsi="Arial" w:cs="Arial"/>
        </w:rPr>
        <w:t xml:space="preserve">→ FISH for low-level mosaicism </w:t>
      </w:r>
    </w:p>
    <w:p w:rsidR="00E37A81" w:rsidRPr="00E37A81" w:rsidRDefault="00E37A81" w:rsidP="00E37A81">
      <w:pPr>
        <w:pStyle w:val="Body"/>
        <w:numPr>
          <w:ilvl w:val="0"/>
          <w:numId w:val="35"/>
        </w:numPr>
        <w:rPr>
          <w:rFonts w:ascii="Arial" w:hAnsi="Arial" w:cs="Arial"/>
        </w:rPr>
      </w:pPr>
      <w:r w:rsidRPr="00E37A81">
        <w:rPr>
          <w:rFonts w:ascii="Arial" w:hAnsi="Arial" w:cs="Arial"/>
        </w:rPr>
        <w:t>Phenotypic features consistent with Turner syndrome- Short stature</w:t>
      </w:r>
      <w:r>
        <w:rPr>
          <w:rFonts w:ascii="Arial" w:hAnsi="Arial" w:cs="Arial"/>
        </w:rPr>
        <w:t xml:space="preserve">, </w:t>
      </w:r>
      <w:r w:rsidRPr="00E37A81">
        <w:rPr>
          <w:rFonts w:ascii="Arial" w:hAnsi="Arial" w:cs="Arial"/>
        </w:rPr>
        <w:t>Gonadal dysgenesis or ovarian insufficiency</w:t>
      </w:r>
      <w:r>
        <w:rPr>
          <w:rFonts w:ascii="Arial" w:hAnsi="Arial" w:cs="Arial"/>
        </w:rPr>
        <w:t xml:space="preserve">, </w:t>
      </w:r>
      <w:r w:rsidRPr="00E37A81">
        <w:rPr>
          <w:rFonts w:ascii="Arial" w:hAnsi="Arial" w:cs="Arial"/>
        </w:rPr>
        <w:t>Female phenotype (males should never be diagnosed with TS)</w:t>
      </w:r>
      <w:r>
        <w:rPr>
          <w:rFonts w:ascii="Arial" w:hAnsi="Arial" w:cs="Arial"/>
        </w:rPr>
        <w:t xml:space="preserve">, </w:t>
      </w:r>
      <w:r w:rsidRPr="00E37A81">
        <w:rPr>
          <w:rFonts w:ascii="Arial" w:hAnsi="Arial" w:cs="Arial"/>
        </w:rPr>
        <w:t xml:space="preserve">May present </w:t>
      </w:r>
      <w:proofErr w:type="spellStart"/>
      <w:proofErr w:type="gramStart"/>
      <w:r w:rsidRPr="00E37A81">
        <w:rPr>
          <w:rFonts w:ascii="Arial" w:hAnsi="Arial" w:cs="Arial"/>
        </w:rPr>
        <w:t>as:Neonatal</w:t>
      </w:r>
      <w:proofErr w:type="spellEnd"/>
      <w:proofErr w:type="gramEnd"/>
      <w:r w:rsidRPr="00E37A81">
        <w:rPr>
          <w:rFonts w:ascii="Arial" w:hAnsi="Arial" w:cs="Arial"/>
        </w:rPr>
        <w:t xml:space="preserve"> lymphedema, webbed neck, Childhood short stature, Adolescent primary amenorrhea or pubertal delay.</w:t>
      </w:r>
    </w:p>
    <w:p w:rsidR="00E37A81" w:rsidRPr="00E37A81" w:rsidRDefault="00E37A81" w:rsidP="00E37A81">
      <w:pPr>
        <w:pStyle w:val="Body"/>
        <w:numPr>
          <w:ilvl w:val="0"/>
          <w:numId w:val="35"/>
        </w:numPr>
        <w:rPr>
          <w:rFonts w:ascii="Arial" w:hAnsi="Arial" w:cs="Arial"/>
        </w:rPr>
      </w:pPr>
      <w:r w:rsidRPr="00E37A81">
        <w:rPr>
          <w:rFonts w:ascii="Arial" w:hAnsi="Arial" w:cs="Arial"/>
        </w:rPr>
        <w:t>Special diagnostic considerations</w:t>
      </w:r>
      <w:r>
        <w:rPr>
          <w:rFonts w:ascii="Arial" w:hAnsi="Arial" w:cs="Arial"/>
        </w:rPr>
        <w:t xml:space="preserve">- </w:t>
      </w:r>
      <w:r w:rsidRPr="00E37A81">
        <w:rPr>
          <w:rFonts w:ascii="Arial" w:hAnsi="Arial" w:cs="Arial"/>
        </w:rPr>
        <w:t>If Y chromosome material is suspected → perform FISH or DNA studies</w:t>
      </w:r>
      <w:r>
        <w:rPr>
          <w:rFonts w:ascii="Arial" w:hAnsi="Arial" w:cs="Arial"/>
        </w:rPr>
        <w:t xml:space="preserve"> and </w:t>
      </w:r>
      <w:r w:rsidRPr="00E37A81">
        <w:rPr>
          <w:rFonts w:ascii="Arial" w:hAnsi="Arial" w:cs="Arial"/>
        </w:rPr>
        <w:t xml:space="preserve">Presence of Y material carries a risk of </w:t>
      </w:r>
      <w:proofErr w:type="spellStart"/>
      <w:r w:rsidRPr="00E37A81">
        <w:rPr>
          <w:rFonts w:ascii="Arial" w:hAnsi="Arial" w:cs="Arial"/>
        </w:rPr>
        <w:t>gonadoblastoma</w:t>
      </w:r>
      <w:proofErr w:type="spellEnd"/>
      <w:r w:rsidRPr="00E37A81">
        <w:rPr>
          <w:rFonts w:ascii="Arial" w:hAnsi="Arial" w:cs="Arial"/>
        </w:rPr>
        <w:t xml:space="preserve"> (~12%), requiring prophylactic gonadectomy.</w:t>
      </w:r>
      <w:r w:rsidRPr="00E37A81">
        <w:rPr>
          <w:rFonts w:ascii="Arial" w:hAnsi="Arial" w:cs="Arial"/>
          <w:vertAlign w:val="superscript"/>
        </w:rPr>
        <w:t>[5]</w:t>
      </w:r>
    </w:p>
    <w:p w:rsidR="00E37A81" w:rsidRPr="00E37A81" w:rsidRDefault="00E37A81" w:rsidP="00E37A81">
      <w:pPr>
        <w:pStyle w:val="Body"/>
        <w:rPr>
          <w:rFonts w:ascii="Arial" w:hAnsi="Arial" w:cs="Arial"/>
        </w:rPr>
      </w:pPr>
    </w:p>
    <w:p w:rsidR="00E37A81" w:rsidRPr="00E37A81" w:rsidRDefault="00E37A81" w:rsidP="00E37A81">
      <w:pPr>
        <w:pStyle w:val="Body"/>
        <w:rPr>
          <w:rFonts w:ascii="Arial" w:hAnsi="Arial" w:cs="Arial"/>
          <w:b/>
        </w:rPr>
      </w:pPr>
      <w:r w:rsidRPr="00E37A81">
        <w:rPr>
          <w:rFonts w:ascii="Arial" w:hAnsi="Arial" w:cs="Arial"/>
          <w:b/>
        </w:rPr>
        <w:t xml:space="preserve">Treatment– </w:t>
      </w:r>
    </w:p>
    <w:p w:rsidR="00E37A81" w:rsidRPr="00E37A81" w:rsidRDefault="00E37A81" w:rsidP="00E37A81">
      <w:pPr>
        <w:pStyle w:val="Body"/>
        <w:rPr>
          <w:rFonts w:ascii="Arial" w:hAnsi="Arial" w:cs="Arial"/>
        </w:rPr>
      </w:pPr>
      <w:r w:rsidRPr="00E37A81">
        <w:rPr>
          <w:rFonts w:ascii="Arial" w:hAnsi="Arial" w:cs="Arial"/>
        </w:rPr>
        <w:t>TS is a multifaceted condition that affects multiple organ systems in females, necessitating a multidisciplinary approach to patient care</w:t>
      </w:r>
    </w:p>
    <w:p w:rsidR="00E37A81" w:rsidRPr="00E37A81" w:rsidRDefault="00E37A81" w:rsidP="00E37A81">
      <w:pPr>
        <w:pStyle w:val="Body"/>
        <w:numPr>
          <w:ilvl w:val="0"/>
          <w:numId w:val="39"/>
        </w:numPr>
        <w:rPr>
          <w:rFonts w:ascii="Arial" w:hAnsi="Arial" w:cs="Arial"/>
        </w:rPr>
      </w:pPr>
      <w:r>
        <w:rPr>
          <w:rFonts w:ascii="Arial" w:hAnsi="Arial" w:cs="Arial"/>
        </w:rPr>
        <w:t xml:space="preserve">Growth Promotion- </w:t>
      </w:r>
      <w:r w:rsidRPr="00E37A81">
        <w:rPr>
          <w:rFonts w:ascii="Arial" w:hAnsi="Arial" w:cs="Arial"/>
        </w:rPr>
        <w:t xml:space="preserve">Growth Hormone (GH) therapy- Started in early childhood when growth failure is </w:t>
      </w:r>
      <w:proofErr w:type="spellStart"/>
      <w:r w:rsidRPr="00E37A81">
        <w:rPr>
          <w:rFonts w:ascii="Arial" w:hAnsi="Arial" w:cs="Arial"/>
        </w:rPr>
        <w:t>evidentand</w:t>
      </w:r>
      <w:proofErr w:type="spellEnd"/>
      <w:r w:rsidRPr="00E37A81">
        <w:rPr>
          <w:rFonts w:ascii="Arial" w:hAnsi="Arial" w:cs="Arial"/>
        </w:rPr>
        <w:t xml:space="preserve"> improves growth velocity and increases final adult height</w:t>
      </w:r>
    </w:p>
    <w:p w:rsidR="00E37A81" w:rsidRPr="00E37A81" w:rsidRDefault="00E37A81" w:rsidP="00E37A81">
      <w:pPr>
        <w:pStyle w:val="Body"/>
        <w:numPr>
          <w:ilvl w:val="0"/>
          <w:numId w:val="39"/>
        </w:numPr>
        <w:rPr>
          <w:rFonts w:ascii="Arial" w:hAnsi="Arial" w:cs="Arial"/>
        </w:rPr>
      </w:pPr>
      <w:r w:rsidRPr="00E37A81">
        <w:rPr>
          <w:rFonts w:ascii="Arial" w:hAnsi="Arial" w:cs="Arial"/>
        </w:rPr>
        <w:t>Pub</w:t>
      </w:r>
      <w:r>
        <w:rPr>
          <w:rFonts w:ascii="Arial" w:hAnsi="Arial" w:cs="Arial"/>
        </w:rPr>
        <w:t xml:space="preserve">erty Induction &amp; Maintenance- </w:t>
      </w:r>
      <w:r w:rsidRPr="00E37A81">
        <w:rPr>
          <w:rFonts w:ascii="Arial" w:hAnsi="Arial" w:cs="Arial"/>
        </w:rPr>
        <w:t>Estrogen replacement therapy- Initiated around 11–12 years of age and induces secondary sexual character</w:t>
      </w:r>
      <w:r>
        <w:rPr>
          <w:rFonts w:ascii="Arial" w:hAnsi="Arial" w:cs="Arial"/>
        </w:rPr>
        <w:t xml:space="preserve">istics and pubertal development, </w:t>
      </w:r>
      <w:r w:rsidRPr="00E37A81">
        <w:rPr>
          <w:rFonts w:ascii="Arial" w:hAnsi="Arial" w:cs="Arial"/>
        </w:rPr>
        <w:t>Progesterone- Added after estrogen-induced uterine development or onset of breakthrough bleeding and maintains regular menstrual cycles</w:t>
      </w:r>
    </w:p>
    <w:p w:rsidR="00E37A81" w:rsidRPr="00E37A81" w:rsidRDefault="00E37A81" w:rsidP="00E37A81">
      <w:pPr>
        <w:pStyle w:val="Body"/>
        <w:numPr>
          <w:ilvl w:val="0"/>
          <w:numId w:val="39"/>
        </w:numPr>
        <w:rPr>
          <w:rFonts w:ascii="Arial" w:hAnsi="Arial" w:cs="Arial"/>
        </w:rPr>
      </w:pPr>
      <w:r>
        <w:rPr>
          <w:rFonts w:ascii="Arial" w:hAnsi="Arial" w:cs="Arial"/>
        </w:rPr>
        <w:lastRenderedPageBreak/>
        <w:t xml:space="preserve">Gonadal &amp; Fertility Management- </w:t>
      </w:r>
      <w:r w:rsidRPr="00E37A81">
        <w:rPr>
          <w:rFonts w:ascii="Arial" w:hAnsi="Arial" w:cs="Arial"/>
        </w:rPr>
        <w:t>Mos</w:t>
      </w:r>
      <w:r>
        <w:rPr>
          <w:rFonts w:ascii="Arial" w:hAnsi="Arial" w:cs="Arial"/>
        </w:rPr>
        <w:t xml:space="preserve">t patients have ovarian failure and </w:t>
      </w:r>
      <w:r w:rsidRPr="00E37A81">
        <w:rPr>
          <w:rFonts w:ascii="Arial" w:hAnsi="Arial" w:cs="Arial"/>
        </w:rPr>
        <w:t>Fertility options</w:t>
      </w:r>
    </w:p>
    <w:p w:rsidR="00E37A81" w:rsidRPr="00E37A81" w:rsidRDefault="00E37A81" w:rsidP="00E37A81">
      <w:pPr>
        <w:pStyle w:val="Body"/>
        <w:numPr>
          <w:ilvl w:val="0"/>
          <w:numId w:val="39"/>
        </w:numPr>
        <w:rPr>
          <w:rFonts w:ascii="Arial" w:hAnsi="Arial" w:cs="Arial"/>
        </w:rPr>
      </w:pPr>
      <w:r>
        <w:rPr>
          <w:rFonts w:ascii="Arial" w:hAnsi="Arial" w:cs="Arial"/>
        </w:rPr>
        <w:t xml:space="preserve">Prevention of Osteoporosis- Adequate estrogen replacement, </w:t>
      </w:r>
      <w:r w:rsidRPr="00E37A81">
        <w:rPr>
          <w:rFonts w:ascii="Arial" w:hAnsi="Arial" w:cs="Arial"/>
        </w:rPr>
        <w:t>Calciu</w:t>
      </w:r>
      <w:r>
        <w:rPr>
          <w:rFonts w:ascii="Arial" w:hAnsi="Arial" w:cs="Arial"/>
        </w:rPr>
        <w:t xml:space="preserve">m and vitamin D supplementation and </w:t>
      </w:r>
      <w:r w:rsidRPr="00E37A81">
        <w:rPr>
          <w:rFonts w:ascii="Arial" w:hAnsi="Arial" w:cs="Arial"/>
        </w:rPr>
        <w:t>Weight-bearing exercises</w:t>
      </w:r>
    </w:p>
    <w:p w:rsidR="00E37A81" w:rsidRPr="00E37A81" w:rsidRDefault="00E37A81" w:rsidP="00E37A81">
      <w:pPr>
        <w:pStyle w:val="Body"/>
        <w:numPr>
          <w:ilvl w:val="0"/>
          <w:numId w:val="39"/>
        </w:numPr>
        <w:rPr>
          <w:rFonts w:ascii="Arial" w:hAnsi="Arial" w:cs="Arial"/>
        </w:rPr>
      </w:pPr>
      <w:r w:rsidRPr="00E37A81">
        <w:rPr>
          <w:rFonts w:ascii="Arial" w:hAnsi="Arial" w:cs="Arial"/>
        </w:rPr>
        <w:t>Mana</w:t>
      </w:r>
      <w:r>
        <w:rPr>
          <w:rFonts w:ascii="Arial" w:hAnsi="Arial" w:cs="Arial"/>
        </w:rPr>
        <w:t xml:space="preserve">gement of Associated Conditions- </w:t>
      </w:r>
      <w:r w:rsidRPr="00E37A81">
        <w:rPr>
          <w:rFonts w:ascii="Arial" w:hAnsi="Arial" w:cs="Arial"/>
        </w:rPr>
        <w:t>Cardiac anomalies</w:t>
      </w:r>
      <w:r>
        <w:rPr>
          <w:rFonts w:ascii="Arial" w:hAnsi="Arial" w:cs="Arial"/>
        </w:rPr>
        <w:t xml:space="preserve"> → regular cardiology follow-up, </w:t>
      </w:r>
      <w:r w:rsidRPr="00E37A81">
        <w:rPr>
          <w:rFonts w:ascii="Arial" w:hAnsi="Arial" w:cs="Arial"/>
        </w:rPr>
        <w:t>Ren</w:t>
      </w:r>
      <w:r>
        <w:rPr>
          <w:rFonts w:ascii="Arial" w:hAnsi="Arial" w:cs="Arial"/>
        </w:rPr>
        <w:t xml:space="preserve">al anomalies → renal evaluation, </w:t>
      </w:r>
      <w:r w:rsidRPr="00E37A81">
        <w:rPr>
          <w:rFonts w:ascii="Arial" w:hAnsi="Arial" w:cs="Arial"/>
        </w:rPr>
        <w:t>Thyroid disord</w:t>
      </w:r>
      <w:r>
        <w:rPr>
          <w:rFonts w:ascii="Arial" w:hAnsi="Arial" w:cs="Arial"/>
        </w:rPr>
        <w:t xml:space="preserve">ers → regular thyroid screening, </w:t>
      </w:r>
      <w:r w:rsidRPr="00E37A81">
        <w:rPr>
          <w:rFonts w:ascii="Arial" w:hAnsi="Arial" w:cs="Arial"/>
        </w:rPr>
        <w:t>Hearing and vision</w:t>
      </w:r>
      <w:r>
        <w:rPr>
          <w:rFonts w:ascii="Arial" w:hAnsi="Arial" w:cs="Arial"/>
        </w:rPr>
        <w:t xml:space="preserve"> problems → periodic assessment and </w:t>
      </w:r>
      <w:r w:rsidRPr="00E37A81">
        <w:rPr>
          <w:rFonts w:ascii="Arial" w:hAnsi="Arial" w:cs="Arial"/>
        </w:rPr>
        <w:t>Metabolic issues (obesity, diabetes, hypertension) → lifestyle modification and medical management</w:t>
      </w:r>
    </w:p>
    <w:p w:rsidR="00E37A81" w:rsidRDefault="00E37A81" w:rsidP="00E37A81">
      <w:pPr>
        <w:pStyle w:val="Body"/>
        <w:numPr>
          <w:ilvl w:val="0"/>
          <w:numId w:val="39"/>
        </w:numPr>
        <w:rPr>
          <w:rFonts w:ascii="Arial" w:hAnsi="Arial" w:cs="Arial"/>
        </w:rPr>
      </w:pPr>
      <w:r>
        <w:rPr>
          <w:rFonts w:ascii="Arial" w:hAnsi="Arial" w:cs="Arial"/>
        </w:rPr>
        <w:t xml:space="preserve">Psychosocial Support- </w:t>
      </w:r>
      <w:r w:rsidRPr="00E37A81">
        <w:rPr>
          <w:rFonts w:ascii="Arial" w:hAnsi="Arial" w:cs="Arial"/>
        </w:rPr>
        <w:t>Educat</w:t>
      </w:r>
      <w:r>
        <w:rPr>
          <w:rFonts w:ascii="Arial" w:hAnsi="Arial" w:cs="Arial"/>
        </w:rPr>
        <w:t xml:space="preserve">ional and psychological support and </w:t>
      </w:r>
      <w:r w:rsidRPr="00E37A81">
        <w:rPr>
          <w:rFonts w:ascii="Arial" w:hAnsi="Arial" w:cs="Arial"/>
        </w:rPr>
        <w:t xml:space="preserve">Counseling for self-esteem, social skills, and transition to adult care </w:t>
      </w:r>
      <w:r w:rsidRPr="00E37A81">
        <w:rPr>
          <w:rFonts w:ascii="Arial" w:hAnsi="Arial" w:cs="Arial"/>
          <w:vertAlign w:val="superscript"/>
        </w:rPr>
        <w:t>[6]</w:t>
      </w:r>
    </w:p>
    <w:p w:rsidR="00790ADA" w:rsidRPr="00FB3A86" w:rsidRDefault="00790ADA" w:rsidP="00441B6F">
      <w:pPr>
        <w:pStyle w:val="Body"/>
        <w:spacing w:after="0"/>
        <w:rPr>
          <w:rFonts w:ascii="Arial" w:hAnsi="Arial" w:cs="Arial"/>
        </w:rPr>
      </w:pPr>
    </w:p>
    <w:p w:rsidR="00790ADA" w:rsidRPr="00FB3A86" w:rsidRDefault="00902823" w:rsidP="00441B6F">
      <w:pPr>
        <w:pStyle w:val="AbstHead"/>
        <w:spacing w:after="0"/>
        <w:jc w:val="both"/>
        <w:rPr>
          <w:rFonts w:ascii="Arial" w:hAnsi="Arial" w:cs="Arial"/>
        </w:rPr>
      </w:pPr>
      <w:r>
        <w:rPr>
          <w:rFonts w:ascii="Arial" w:hAnsi="Arial" w:cs="Arial"/>
        </w:rPr>
        <w:t>2.</w:t>
      </w:r>
      <w:r w:rsidR="00E37A81" w:rsidRPr="00E37A81">
        <w:t xml:space="preserve"> </w:t>
      </w:r>
      <w:r w:rsidR="00E37A81">
        <w:rPr>
          <w:rFonts w:ascii="Arial" w:hAnsi="Arial" w:cs="Arial"/>
        </w:rPr>
        <w:t>CASE PRESENTATION-</w:t>
      </w:r>
    </w:p>
    <w:p w:rsidR="00E37A81" w:rsidRPr="00E37A81" w:rsidRDefault="00E37A81" w:rsidP="00E37A81">
      <w:pPr>
        <w:pStyle w:val="Body"/>
        <w:rPr>
          <w:rFonts w:ascii="Arial" w:eastAsia="Calibri" w:hAnsi="Arial" w:cs="Arial"/>
          <w:szCs w:val="22"/>
        </w:rPr>
      </w:pPr>
      <w:r w:rsidRPr="00E37A81">
        <w:rPr>
          <w:rFonts w:ascii="Arial" w:eastAsia="Calibri" w:hAnsi="Arial" w:cs="Arial"/>
          <w:szCs w:val="22"/>
        </w:rPr>
        <w:t xml:space="preserve">A 17-year-old female patient was admitted to </w:t>
      </w:r>
      <w:proofErr w:type="spellStart"/>
      <w:r w:rsidRPr="00E37A81">
        <w:rPr>
          <w:rFonts w:ascii="Arial" w:eastAsia="Calibri" w:hAnsi="Arial" w:cs="Arial"/>
          <w:szCs w:val="22"/>
        </w:rPr>
        <w:t>vijayanagara</w:t>
      </w:r>
      <w:proofErr w:type="spellEnd"/>
      <w:r w:rsidRPr="00E37A81">
        <w:rPr>
          <w:rFonts w:ascii="Arial" w:eastAsia="Calibri" w:hAnsi="Arial" w:cs="Arial"/>
          <w:szCs w:val="22"/>
        </w:rPr>
        <w:t xml:space="preserve"> institute of medical science (VIMS), </w:t>
      </w:r>
      <w:proofErr w:type="spellStart"/>
      <w:r w:rsidRPr="00E37A81">
        <w:rPr>
          <w:rFonts w:ascii="Arial" w:eastAsia="Calibri" w:hAnsi="Arial" w:cs="Arial"/>
          <w:szCs w:val="22"/>
        </w:rPr>
        <w:t>Ballari</w:t>
      </w:r>
      <w:proofErr w:type="spellEnd"/>
      <w:r w:rsidRPr="00E37A81">
        <w:rPr>
          <w:rFonts w:ascii="Arial" w:eastAsia="Calibri" w:hAnsi="Arial" w:cs="Arial"/>
          <w:szCs w:val="22"/>
        </w:rPr>
        <w:t xml:space="preserve"> (Karnataka) with chief complaints of cough with expectoration since 15 days, fever since 15 days – mild to moderate grade and raise of temperature in the evening, decreased appetite since 15 days and facial puffiness since 5 days. </w:t>
      </w:r>
    </w:p>
    <w:p w:rsidR="00E37A81" w:rsidRPr="00E37A81" w:rsidRDefault="00E37A81" w:rsidP="00E37A81">
      <w:pPr>
        <w:pStyle w:val="Body"/>
        <w:rPr>
          <w:rFonts w:ascii="Arial" w:eastAsia="Calibri" w:hAnsi="Arial" w:cs="Arial"/>
          <w:szCs w:val="22"/>
        </w:rPr>
      </w:pPr>
      <w:r>
        <w:rPr>
          <w:rFonts w:ascii="Arial" w:eastAsia="Calibri" w:hAnsi="Arial" w:cs="Arial"/>
          <w:szCs w:val="22"/>
        </w:rPr>
        <w:t>Social history</w:t>
      </w:r>
      <w:r w:rsidRPr="00E37A81">
        <w:rPr>
          <w:rFonts w:ascii="Arial" w:eastAsia="Calibri" w:hAnsi="Arial" w:cs="Arial"/>
          <w:szCs w:val="22"/>
        </w:rPr>
        <w:t xml:space="preserve"> – No habits.</w:t>
      </w:r>
    </w:p>
    <w:p w:rsidR="00E37A81" w:rsidRPr="00E37A81" w:rsidRDefault="00E37A81" w:rsidP="00E37A81">
      <w:pPr>
        <w:pStyle w:val="Body"/>
        <w:rPr>
          <w:rFonts w:ascii="Arial" w:eastAsia="Calibri" w:hAnsi="Arial" w:cs="Arial"/>
          <w:szCs w:val="22"/>
        </w:rPr>
      </w:pPr>
      <w:r>
        <w:rPr>
          <w:rFonts w:ascii="Arial" w:eastAsia="Calibri" w:hAnsi="Arial" w:cs="Arial"/>
          <w:szCs w:val="22"/>
        </w:rPr>
        <w:t>Past history</w:t>
      </w:r>
      <w:r w:rsidRPr="00E37A81">
        <w:rPr>
          <w:rFonts w:ascii="Arial" w:eastAsia="Calibri" w:hAnsi="Arial" w:cs="Arial"/>
          <w:szCs w:val="22"/>
        </w:rPr>
        <w:t xml:space="preserve"> – H/O Primary Amenorrhea</w:t>
      </w:r>
      <w:r>
        <w:rPr>
          <w:rFonts w:ascii="Arial" w:eastAsia="Calibri" w:hAnsi="Arial" w:cs="Arial"/>
          <w:szCs w:val="22"/>
        </w:rPr>
        <w:t xml:space="preserve"> </w:t>
      </w:r>
      <w:proofErr w:type="gramStart"/>
      <w:r>
        <w:rPr>
          <w:rFonts w:ascii="Arial" w:eastAsia="Calibri" w:hAnsi="Arial" w:cs="Arial"/>
          <w:szCs w:val="22"/>
        </w:rPr>
        <w:t xml:space="preserve">and  </w:t>
      </w:r>
      <w:r w:rsidRPr="00E37A81">
        <w:rPr>
          <w:rFonts w:ascii="Arial" w:eastAsia="Calibri" w:hAnsi="Arial" w:cs="Arial"/>
          <w:szCs w:val="22"/>
        </w:rPr>
        <w:t>K</w:t>
      </w:r>
      <w:proofErr w:type="gramEnd"/>
      <w:r w:rsidRPr="00E37A81">
        <w:rPr>
          <w:rFonts w:ascii="Arial" w:eastAsia="Calibri" w:hAnsi="Arial" w:cs="Arial"/>
          <w:szCs w:val="22"/>
        </w:rPr>
        <w:t>/C/O Admission for similar complaints 1 year back.</w:t>
      </w:r>
    </w:p>
    <w:p w:rsidR="00E37A81" w:rsidRDefault="00E37A81" w:rsidP="00E37A81">
      <w:pPr>
        <w:pStyle w:val="Body"/>
        <w:spacing w:after="0"/>
        <w:rPr>
          <w:rFonts w:ascii="Arial" w:eastAsia="Calibri" w:hAnsi="Arial" w:cs="Arial"/>
          <w:szCs w:val="22"/>
        </w:rPr>
      </w:pPr>
      <w:proofErr w:type="gramStart"/>
      <w:r>
        <w:rPr>
          <w:rFonts w:ascii="Arial" w:eastAsia="Calibri" w:hAnsi="Arial" w:cs="Arial"/>
          <w:szCs w:val="22"/>
        </w:rPr>
        <w:t>Family  history</w:t>
      </w:r>
      <w:proofErr w:type="gramEnd"/>
      <w:r w:rsidRPr="00E37A81">
        <w:rPr>
          <w:rFonts w:ascii="Arial" w:eastAsia="Calibri" w:hAnsi="Arial" w:cs="Arial"/>
          <w:szCs w:val="22"/>
        </w:rPr>
        <w:t xml:space="preserve"> – Nothing significant.</w:t>
      </w:r>
    </w:p>
    <w:p w:rsidR="00E37A81" w:rsidRPr="00E37A81" w:rsidRDefault="00E37A81" w:rsidP="00E37A81">
      <w:pPr>
        <w:pStyle w:val="Body"/>
        <w:rPr>
          <w:rFonts w:ascii="Arial" w:eastAsia="Calibri" w:hAnsi="Arial" w:cs="Arial"/>
          <w:szCs w:val="22"/>
        </w:rPr>
      </w:pPr>
      <w:r w:rsidRPr="00E37A81">
        <w:rPr>
          <w:rFonts w:ascii="Arial" w:eastAsia="Calibri" w:hAnsi="Arial" w:cs="Arial"/>
          <w:szCs w:val="22"/>
        </w:rPr>
        <w:t>On Examination -</w:t>
      </w:r>
    </w:p>
    <w:p w:rsidR="00E37A81" w:rsidRDefault="00E37A81" w:rsidP="00E37A81">
      <w:pPr>
        <w:pStyle w:val="Body"/>
        <w:spacing w:after="0"/>
        <w:rPr>
          <w:rFonts w:ascii="Arial" w:eastAsia="Calibri" w:hAnsi="Arial" w:cs="Arial"/>
          <w:szCs w:val="22"/>
        </w:rPr>
      </w:pPr>
      <w:r w:rsidRPr="00E37A81">
        <w:rPr>
          <w:rFonts w:ascii="Arial" w:eastAsia="Calibri" w:hAnsi="Arial" w:cs="Arial"/>
          <w:szCs w:val="22"/>
        </w:rPr>
        <w:t>The patient’s blood pressure was recorded at 90/60</w:t>
      </w:r>
      <w:r>
        <w:rPr>
          <w:rFonts w:ascii="Arial" w:eastAsia="Calibri" w:hAnsi="Arial" w:cs="Arial"/>
          <w:szCs w:val="22"/>
        </w:rPr>
        <w:t xml:space="preserve"> mmHg, and the pulse rate was 130</w:t>
      </w:r>
      <w:r w:rsidRPr="00E37A81">
        <w:rPr>
          <w:rFonts w:ascii="Arial" w:eastAsia="Calibri" w:hAnsi="Arial" w:cs="Arial"/>
          <w:szCs w:val="22"/>
        </w:rPr>
        <w:t xml:space="preserve"> beats per </w:t>
      </w:r>
      <w:r>
        <w:rPr>
          <w:rFonts w:ascii="Arial" w:eastAsia="Calibri" w:hAnsi="Arial" w:cs="Arial"/>
          <w:szCs w:val="22"/>
        </w:rPr>
        <w:t>minute. Oxygen saturation was 90</w:t>
      </w:r>
      <w:r w:rsidRPr="00E37A81">
        <w:rPr>
          <w:rFonts w:ascii="Arial" w:eastAsia="Calibri" w:hAnsi="Arial" w:cs="Arial"/>
          <w:szCs w:val="22"/>
        </w:rPr>
        <w:t>% on room air. The r</w:t>
      </w:r>
      <w:r>
        <w:rPr>
          <w:rFonts w:ascii="Arial" w:eastAsia="Calibri" w:hAnsi="Arial" w:cs="Arial"/>
          <w:szCs w:val="22"/>
        </w:rPr>
        <w:t>andom blood glucose level was 118</w:t>
      </w:r>
      <w:r w:rsidRPr="00E37A81">
        <w:rPr>
          <w:rFonts w:ascii="Arial" w:eastAsia="Calibri" w:hAnsi="Arial" w:cs="Arial"/>
          <w:szCs w:val="22"/>
        </w:rPr>
        <w:t xml:space="preserve"> mg/dL. The patient was conscious and oriented. On respiratory examination, bilateral normal vesicular breath sounds were present. Cardiovascular examination revealed normal S1 and S2 heart sounds. Per abdominal examination showed a soft and non-tender abdomen.</w:t>
      </w:r>
    </w:p>
    <w:p w:rsidR="00E37A81" w:rsidRDefault="00E37A81" w:rsidP="00E37A81">
      <w:pPr>
        <w:pStyle w:val="Body"/>
        <w:rPr>
          <w:rFonts w:ascii="Arial" w:hAnsi="Arial" w:cs="Arial"/>
          <w:b/>
        </w:rPr>
      </w:pPr>
    </w:p>
    <w:p w:rsidR="00E37A81" w:rsidRPr="00BE7EDE" w:rsidRDefault="00E37A81" w:rsidP="00E37A81">
      <w:pPr>
        <w:pStyle w:val="Body"/>
        <w:rPr>
          <w:rFonts w:ascii="Arial" w:hAnsi="Arial" w:cs="Arial"/>
          <w:b/>
        </w:rPr>
      </w:pPr>
    </w:p>
    <w:tbl>
      <w:tblPr>
        <w:tblStyle w:val="TableGrid"/>
        <w:tblW w:w="10349"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1301"/>
        <w:gridCol w:w="1333"/>
        <w:gridCol w:w="1301"/>
        <w:gridCol w:w="3200"/>
      </w:tblGrid>
      <w:tr w:rsidR="00E37A81" w:rsidTr="00E37A81">
        <w:tc>
          <w:tcPr>
            <w:tcW w:w="3214"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b/>
                <w:color w:val="000000" w:themeColor="text1"/>
                <w:sz w:val="20"/>
                <w:szCs w:val="20"/>
                <w:lang w:val="en-GB"/>
              </w:rPr>
            </w:pPr>
            <w:r w:rsidRPr="00E37A81">
              <w:rPr>
                <w:rFonts w:ascii="Arial" w:eastAsiaTheme="minorHAnsi" w:hAnsi="Arial" w:cs="Arial"/>
                <w:b/>
                <w:color w:val="000000" w:themeColor="text1"/>
                <w:sz w:val="20"/>
                <w:szCs w:val="20"/>
                <w:lang w:val="en-GB"/>
              </w:rPr>
              <w:t>PARAMETERS</w:t>
            </w:r>
          </w:p>
        </w:tc>
        <w:tc>
          <w:tcPr>
            <w:tcW w:w="1301"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b/>
                <w:color w:val="000000" w:themeColor="text1"/>
                <w:sz w:val="20"/>
                <w:szCs w:val="20"/>
                <w:lang w:val="en-GB"/>
              </w:rPr>
            </w:pPr>
            <w:r w:rsidRPr="00E37A81">
              <w:rPr>
                <w:rFonts w:ascii="Arial" w:eastAsiaTheme="minorHAnsi" w:hAnsi="Arial" w:cs="Arial"/>
                <w:b/>
                <w:color w:val="000000" w:themeColor="text1"/>
                <w:sz w:val="20"/>
                <w:szCs w:val="20"/>
                <w:lang w:val="en-GB"/>
              </w:rPr>
              <w:t>RESULT (23-12-25)</w:t>
            </w:r>
          </w:p>
        </w:tc>
        <w:tc>
          <w:tcPr>
            <w:tcW w:w="1333"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b/>
                <w:color w:val="000000" w:themeColor="text1"/>
                <w:sz w:val="20"/>
                <w:szCs w:val="20"/>
                <w:lang w:val="en-GB"/>
              </w:rPr>
            </w:pPr>
            <w:r w:rsidRPr="00E37A81">
              <w:rPr>
                <w:rFonts w:ascii="Arial" w:eastAsiaTheme="minorHAnsi" w:hAnsi="Arial" w:cs="Arial"/>
                <w:b/>
                <w:color w:val="000000" w:themeColor="text1"/>
                <w:sz w:val="20"/>
                <w:szCs w:val="20"/>
                <w:lang w:val="en-GB"/>
              </w:rPr>
              <w:t>RESULT (24-12-25)</w:t>
            </w:r>
          </w:p>
        </w:tc>
        <w:tc>
          <w:tcPr>
            <w:tcW w:w="1301"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b/>
                <w:color w:val="000000" w:themeColor="text1"/>
                <w:sz w:val="20"/>
                <w:szCs w:val="20"/>
                <w:lang w:val="en-GB"/>
              </w:rPr>
            </w:pPr>
            <w:r w:rsidRPr="00E37A81">
              <w:rPr>
                <w:rFonts w:ascii="Arial" w:eastAsiaTheme="minorHAnsi" w:hAnsi="Arial" w:cs="Arial"/>
                <w:b/>
                <w:color w:val="000000" w:themeColor="text1"/>
                <w:sz w:val="20"/>
                <w:szCs w:val="20"/>
                <w:lang w:val="en-GB"/>
              </w:rPr>
              <w:t>RESULT (25-12-25)</w:t>
            </w:r>
          </w:p>
        </w:tc>
        <w:tc>
          <w:tcPr>
            <w:tcW w:w="3200"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b/>
                <w:color w:val="000000" w:themeColor="text1"/>
                <w:sz w:val="20"/>
                <w:szCs w:val="20"/>
                <w:lang w:val="en-GB"/>
              </w:rPr>
            </w:pPr>
            <w:r w:rsidRPr="00E37A81">
              <w:rPr>
                <w:rFonts w:ascii="Arial" w:eastAsiaTheme="minorHAnsi" w:hAnsi="Arial" w:cs="Arial"/>
                <w:b/>
                <w:color w:val="000000" w:themeColor="text1"/>
                <w:sz w:val="20"/>
                <w:szCs w:val="20"/>
                <w:lang w:val="en-GB"/>
              </w:rPr>
              <w:t>REFERENCE RANGE</w:t>
            </w:r>
          </w:p>
        </w:tc>
      </w:tr>
      <w:tr w:rsidR="00E37A81" w:rsidTr="00E37A81">
        <w:tc>
          <w:tcPr>
            <w:tcW w:w="3214" w:type="dxa"/>
            <w:tcBorders>
              <w:top w:val="single" w:sz="4" w:space="0" w:color="auto"/>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Haemoglobin</w:t>
            </w:r>
          </w:p>
        </w:tc>
        <w:tc>
          <w:tcPr>
            <w:tcW w:w="1301" w:type="dxa"/>
            <w:tcBorders>
              <w:top w:val="single" w:sz="4" w:space="0" w:color="auto"/>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7.8</w:t>
            </w:r>
          </w:p>
        </w:tc>
        <w:tc>
          <w:tcPr>
            <w:tcW w:w="1333" w:type="dxa"/>
            <w:tcBorders>
              <w:top w:val="single" w:sz="4" w:space="0" w:color="auto"/>
            </w:tcBorders>
          </w:tcPr>
          <w:p w:rsidR="00E37A81" w:rsidRPr="00E37A81" w:rsidRDefault="00E37A81" w:rsidP="00E37A81">
            <w:pPr>
              <w:pStyle w:val="NormalWeb"/>
              <w:spacing w:line="360" w:lineRule="auto"/>
              <w:jc w:val="both"/>
              <w:rPr>
                <w:rFonts w:ascii="Arial" w:eastAsiaTheme="minorHAnsi" w:hAnsi="Arial" w:cs="Arial"/>
                <w:color w:val="000000" w:themeColor="text1"/>
                <w:sz w:val="20"/>
                <w:szCs w:val="20"/>
                <w:lang w:val="en-GB"/>
              </w:rPr>
            </w:pPr>
          </w:p>
        </w:tc>
        <w:tc>
          <w:tcPr>
            <w:tcW w:w="1301" w:type="dxa"/>
            <w:tcBorders>
              <w:top w:val="single" w:sz="4" w:space="0" w:color="auto"/>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Borders>
              <w:top w:val="single" w:sz="4" w:space="0" w:color="auto"/>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13-18gm/dl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WBC</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11410</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4000-11000 cells/</w:t>
            </w:r>
            <w:proofErr w:type="spellStart"/>
            <w:r w:rsidRPr="00E37A81">
              <w:rPr>
                <w:rFonts w:ascii="Arial" w:eastAsiaTheme="minorHAnsi" w:hAnsi="Arial" w:cs="Arial"/>
                <w:color w:val="000000" w:themeColor="text1"/>
                <w:sz w:val="20"/>
                <w:szCs w:val="20"/>
                <w:lang w:val="en-GB"/>
              </w:rPr>
              <w:t>cumm</w:t>
            </w:r>
            <w:proofErr w:type="spellEnd"/>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Platelet</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5.39</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1.5-4.5 lacs/</w:t>
            </w:r>
            <w:proofErr w:type="spellStart"/>
            <w:r w:rsidRPr="00E37A81">
              <w:rPr>
                <w:rFonts w:ascii="Arial" w:eastAsiaTheme="minorHAnsi" w:hAnsi="Arial" w:cs="Arial"/>
                <w:color w:val="000000" w:themeColor="text1"/>
                <w:sz w:val="20"/>
                <w:szCs w:val="20"/>
                <w:lang w:val="en-GB"/>
              </w:rPr>
              <w:t>cumm</w:t>
            </w:r>
            <w:proofErr w:type="spellEnd"/>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Blood Urea</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20</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15-45mg/dl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Serum creatinine</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0.7</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0.7-1.4mg/dl</w:t>
            </w:r>
          </w:p>
        </w:tc>
      </w:tr>
      <w:tr w:rsidR="00E37A81" w:rsidTr="00E37A81">
        <w:tc>
          <w:tcPr>
            <w:tcW w:w="3214" w:type="dxa"/>
            <w:tcBorders>
              <w:top w:val="nil"/>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Total bilirubin</w:t>
            </w:r>
          </w:p>
        </w:tc>
        <w:tc>
          <w:tcPr>
            <w:tcW w:w="1301" w:type="dxa"/>
            <w:tcBorders>
              <w:top w:val="nil"/>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2634" w:type="dxa"/>
            <w:gridSpan w:val="2"/>
            <w:tcBorders>
              <w:top w:val="nil"/>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0.6</w:t>
            </w:r>
          </w:p>
        </w:tc>
        <w:tc>
          <w:tcPr>
            <w:tcW w:w="3200" w:type="dxa"/>
            <w:tcBorders>
              <w:top w:val="nil"/>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0.1-1 mg/dl</w:t>
            </w:r>
          </w:p>
        </w:tc>
      </w:tr>
      <w:tr w:rsidR="00E37A81" w:rsidTr="00E37A81">
        <w:tc>
          <w:tcPr>
            <w:tcW w:w="3214" w:type="dxa"/>
          </w:tcPr>
          <w:p w:rsidR="00E37A81" w:rsidRPr="00E37A81" w:rsidRDefault="00E37A81" w:rsidP="00465D6B">
            <w:pPr>
              <w:pStyle w:val="NormalWeb"/>
              <w:tabs>
                <w:tab w:val="right" w:pos="2304"/>
              </w:tabs>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SGPT/ALT</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17</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0-35 U/L</w:t>
            </w:r>
          </w:p>
        </w:tc>
      </w:tr>
      <w:tr w:rsidR="00E37A81" w:rsidTr="00E37A81">
        <w:tc>
          <w:tcPr>
            <w:tcW w:w="3214" w:type="dxa"/>
            <w:tcBorders>
              <w:top w:val="nil"/>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SGOT/AST</w:t>
            </w:r>
          </w:p>
        </w:tc>
        <w:tc>
          <w:tcPr>
            <w:tcW w:w="1301" w:type="dxa"/>
            <w:tcBorders>
              <w:top w:val="nil"/>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Borders>
              <w:top w:val="nil"/>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27</w:t>
            </w:r>
          </w:p>
        </w:tc>
        <w:tc>
          <w:tcPr>
            <w:tcW w:w="1301" w:type="dxa"/>
            <w:tcBorders>
              <w:top w:val="nil"/>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Borders>
              <w:top w:val="nil"/>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0-35 U/L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Alkaline Phosphatase (ALP)</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233</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30-120 U/L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Total protein</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7.1</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6-8.3 g/dl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Albumin</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3.5</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3.2-5.4 g/dl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CRP</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76.4</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0-6 mg/dl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FSH  (Follicle Stimulating Hormone)</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1.99</w:t>
            </w: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4-10 IU/mL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LH (Luteinizing Hormone)</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0.43</w:t>
            </w: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2-12 IU/mL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lastRenderedPageBreak/>
              <w:t>Cortisol</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25.1</w:t>
            </w: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5-25 microgram/dl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vertAlign w:val="subscript"/>
                <w:lang w:val="en-GB"/>
              </w:rPr>
            </w:pPr>
            <w:r w:rsidRPr="00E37A81">
              <w:rPr>
                <w:rFonts w:ascii="Arial" w:eastAsiaTheme="minorHAnsi" w:hAnsi="Arial" w:cs="Arial"/>
                <w:color w:val="000000" w:themeColor="text1"/>
                <w:sz w:val="20"/>
                <w:szCs w:val="20"/>
                <w:lang w:val="en-GB"/>
              </w:rPr>
              <w:t>FT</w:t>
            </w:r>
            <w:r w:rsidRPr="00E37A81">
              <w:rPr>
                <w:rFonts w:ascii="Arial" w:eastAsiaTheme="minorHAnsi" w:hAnsi="Arial" w:cs="Arial"/>
                <w:color w:val="000000" w:themeColor="text1"/>
                <w:sz w:val="20"/>
                <w:szCs w:val="20"/>
                <w:vertAlign w:val="subscript"/>
                <w:lang w:val="en-GB"/>
              </w:rPr>
              <w:t>3</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2.28</w:t>
            </w: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2.0-4.4 pg/ml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TSH</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1.81</w:t>
            </w: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 xml:space="preserve">0.4-4.0 </w:t>
            </w:r>
            <w:proofErr w:type="spellStart"/>
            <w:r w:rsidRPr="00E37A81">
              <w:rPr>
                <w:rFonts w:ascii="Arial" w:eastAsiaTheme="minorHAnsi" w:hAnsi="Arial" w:cs="Arial"/>
                <w:color w:val="000000" w:themeColor="text1"/>
                <w:sz w:val="20"/>
                <w:szCs w:val="20"/>
                <w:lang w:val="en-GB"/>
              </w:rPr>
              <w:t>mIU</w:t>
            </w:r>
            <w:proofErr w:type="spellEnd"/>
            <w:r w:rsidRPr="00E37A81">
              <w:rPr>
                <w:rFonts w:ascii="Arial" w:eastAsiaTheme="minorHAnsi" w:hAnsi="Arial" w:cs="Arial"/>
                <w:color w:val="000000" w:themeColor="text1"/>
                <w:sz w:val="20"/>
                <w:szCs w:val="20"/>
                <w:lang w:val="en-GB"/>
              </w:rPr>
              <w:t>/L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vertAlign w:val="subscript"/>
                <w:lang w:val="en-GB"/>
              </w:rPr>
            </w:pPr>
            <w:r w:rsidRPr="00E37A81">
              <w:rPr>
                <w:rFonts w:ascii="Arial" w:eastAsiaTheme="minorHAnsi" w:hAnsi="Arial" w:cs="Arial"/>
                <w:color w:val="000000" w:themeColor="text1"/>
                <w:sz w:val="20"/>
                <w:szCs w:val="20"/>
                <w:lang w:val="en-GB"/>
              </w:rPr>
              <w:t>FT</w:t>
            </w:r>
            <w:r w:rsidRPr="00E37A81">
              <w:rPr>
                <w:rFonts w:ascii="Arial" w:eastAsiaTheme="minorHAnsi" w:hAnsi="Arial" w:cs="Arial"/>
                <w:color w:val="000000" w:themeColor="text1"/>
                <w:sz w:val="20"/>
                <w:szCs w:val="20"/>
                <w:vertAlign w:val="subscript"/>
                <w:lang w:val="en-GB"/>
              </w:rPr>
              <w:t>4</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0.67</w:t>
            </w: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0.8-1.8 ng/dl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 xml:space="preserve">Urine albumin </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Traces</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Urine microscopy</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1-2 pus cells</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 xml:space="preserve">LDH </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680</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140-280 U/L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Serum folic acid</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8.46</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2.5-20 ng/ml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Serum ferritin</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2455</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11-307 ng/ml</w:t>
            </w:r>
          </w:p>
        </w:tc>
      </w:tr>
      <w:tr w:rsidR="00E37A81" w:rsidTr="00E37A81">
        <w:tc>
          <w:tcPr>
            <w:tcW w:w="3214"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Vitamin B</w:t>
            </w:r>
            <w:r w:rsidRPr="00E37A81">
              <w:rPr>
                <w:rFonts w:ascii="Arial" w:eastAsiaTheme="minorHAnsi" w:hAnsi="Arial" w:cs="Arial"/>
                <w:color w:val="000000" w:themeColor="text1"/>
                <w:sz w:val="20"/>
                <w:szCs w:val="20"/>
                <w:vertAlign w:val="subscript"/>
                <w:lang w:val="en-GB"/>
              </w:rPr>
              <w:t>12</w:t>
            </w:r>
          </w:p>
        </w:tc>
        <w:tc>
          <w:tcPr>
            <w:tcW w:w="1301"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523</w:t>
            </w:r>
          </w:p>
        </w:tc>
        <w:tc>
          <w:tcPr>
            <w:tcW w:w="1333"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211-911 pg/ml</w:t>
            </w:r>
          </w:p>
        </w:tc>
      </w:tr>
    </w:tbl>
    <w:p w:rsidR="00E37A81" w:rsidRDefault="00E37A81" w:rsidP="00E37A81">
      <w:pPr>
        <w:pStyle w:val="Body"/>
        <w:jc w:val="center"/>
        <w:rPr>
          <w:rFonts w:ascii="Arial" w:hAnsi="Arial" w:cs="Arial"/>
          <w:b/>
        </w:rPr>
      </w:pPr>
      <w:r>
        <w:rPr>
          <w:rFonts w:ascii="Arial" w:hAnsi="Arial" w:cs="Arial"/>
          <w:b/>
        </w:rPr>
        <w:t>Table 1. Laboratory examination of the patient</w:t>
      </w:r>
    </w:p>
    <w:p w:rsidR="00E37A81" w:rsidRPr="00E37A81" w:rsidRDefault="00E37A81" w:rsidP="00E37A81">
      <w:pPr>
        <w:pStyle w:val="Body"/>
        <w:numPr>
          <w:ilvl w:val="0"/>
          <w:numId w:val="40"/>
        </w:numPr>
        <w:rPr>
          <w:rFonts w:ascii="Arial" w:hAnsi="Arial" w:cs="Arial"/>
          <w:b/>
        </w:rPr>
      </w:pPr>
      <w:r w:rsidRPr="00E37A81">
        <w:rPr>
          <w:rFonts w:ascii="Arial" w:hAnsi="Arial" w:cs="Arial"/>
          <w:b/>
        </w:rPr>
        <w:t>Other investigations –</w:t>
      </w:r>
      <w:r>
        <w:rPr>
          <w:rFonts w:ascii="Arial" w:hAnsi="Arial" w:cs="Arial"/>
          <w:b/>
        </w:rPr>
        <w:t xml:space="preserve"> </w:t>
      </w:r>
      <w:r w:rsidRPr="00E37A81">
        <w:rPr>
          <w:rFonts w:ascii="Arial" w:hAnsi="Arial" w:cs="Arial"/>
        </w:rPr>
        <w:t xml:space="preserve">Chest X – </w:t>
      </w:r>
      <w:proofErr w:type="gramStart"/>
      <w:r w:rsidRPr="00E37A81">
        <w:rPr>
          <w:rFonts w:ascii="Arial" w:hAnsi="Arial" w:cs="Arial"/>
        </w:rPr>
        <w:t>ray :</w:t>
      </w:r>
      <w:proofErr w:type="gramEnd"/>
      <w:r w:rsidRPr="00E37A81">
        <w:rPr>
          <w:rFonts w:ascii="Arial" w:hAnsi="Arial" w:cs="Arial"/>
        </w:rPr>
        <w:t>- B/L Non-homogenous opacities, USG abdomen &amp; pelvis :- Uterus absent, Peripheral smear study :- Microcytic Hypochromic and USG neck :- Hashimoto’s Thyroiditis.</w:t>
      </w:r>
    </w:p>
    <w:p w:rsidR="00E37A81" w:rsidRPr="00E37A81" w:rsidRDefault="00E37A81" w:rsidP="00E37A81">
      <w:pPr>
        <w:pStyle w:val="Body"/>
        <w:ind w:left="720"/>
        <w:rPr>
          <w:rFonts w:ascii="Arial" w:hAnsi="Arial" w:cs="Arial"/>
          <w:b/>
        </w:rPr>
      </w:pPr>
    </w:p>
    <w:tbl>
      <w:tblPr>
        <w:tblStyle w:val="TableGrid"/>
        <w:tblW w:w="1031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0"/>
        <w:gridCol w:w="3573"/>
        <w:gridCol w:w="1417"/>
        <w:gridCol w:w="1208"/>
        <w:gridCol w:w="3186"/>
      </w:tblGrid>
      <w:tr w:rsidR="00E37A81" w:rsidTr="00E37A81">
        <w:trPr>
          <w:trHeight w:val="468"/>
        </w:trPr>
        <w:tc>
          <w:tcPr>
            <w:tcW w:w="930" w:type="dxa"/>
            <w:tcBorders>
              <w:bottom w:val="single" w:sz="4" w:space="0" w:color="auto"/>
            </w:tcBorders>
          </w:tcPr>
          <w:p w:rsidR="00E37A81" w:rsidRPr="00E37A81" w:rsidRDefault="00E37A81" w:rsidP="00465D6B">
            <w:pPr>
              <w:pStyle w:val="NormalWeb"/>
              <w:spacing w:line="360" w:lineRule="auto"/>
              <w:jc w:val="both"/>
              <w:rPr>
                <w:rFonts w:ascii="Arial" w:hAnsi="Arial" w:cs="Arial"/>
                <w:b/>
                <w:color w:val="000000" w:themeColor="text1"/>
                <w:sz w:val="20"/>
                <w:szCs w:val="20"/>
              </w:rPr>
            </w:pPr>
            <w:r w:rsidRPr="00E37A81">
              <w:rPr>
                <w:rFonts w:ascii="Arial" w:hAnsi="Arial" w:cs="Arial"/>
                <w:b/>
                <w:color w:val="000000" w:themeColor="text1"/>
                <w:sz w:val="20"/>
                <w:szCs w:val="20"/>
              </w:rPr>
              <w:t>SL.NO</w:t>
            </w:r>
          </w:p>
        </w:tc>
        <w:tc>
          <w:tcPr>
            <w:tcW w:w="3573" w:type="dxa"/>
            <w:tcBorders>
              <w:bottom w:val="single" w:sz="4" w:space="0" w:color="auto"/>
            </w:tcBorders>
          </w:tcPr>
          <w:p w:rsidR="00E37A81" w:rsidRPr="00E37A81" w:rsidRDefault="00E37A81" w:rsidP="00465D6B">
            <w:pPr>
              <w:pStyle w:val="NormalWeb"/>
              <w:spacing w:line="360" w:lineRule="auto"/>
              <w:jc w:val="both"/>
              <w:rPr>
                <w:rFonts w:ascii="Arial" w:hAnsi="Arial" w:cs="Arial"/>
                <w:b/>
                <w:color w:val="000000" w:themeColor="text1"/>
                <w:sz w:val="20"/>
                <w:szCs w:val="20"/>
              </w:rPr>
            </w:pPr>
            <w:r w:rsidRPr="00E37A81">
              <w:rPr>
                <w:rFonts w:ascii="Arial" w:hAnsi="Arial" w:cs="Arial"/>
                <w:b/>
                <w:color w:val="000000" w:themeColor="text1"/>
                <w:sz w:val="20"/>
                <w:szCs w:val="20"/>
              </w:rPr>
              <w:t>NAME OF MEDICATIONS</w:t>
            </w:r>
          </w:p>
        </w:tc>
        <w:tc>
          <w:tcPr>
            <w:tcW w:w="1417" w:type="dxa"/>
            <w:tcBorders>
              <w:bottom w:val="single" w:sz="4" w:space="0" w:color="auto"/>
            </w:tcBorders>
          </w:tcPr>
          <w:p w:rsidR="00E37A81" w:rsidRPr="00E37A81" w:rsidRDefault="00E37A81" w:rsidP="00465D6B">
            <w:pPr>
              <w:pStyle w:val="NormalWeb"/>
              <w:spacing w:line="360" w:lineRule="auto"/>
              <w:jc w:val="both"/>
              <w:rPr>
                <w:rFonts w:ascii="Arial" w:hAnsi="Arial" w:cs="Arial"/>
                <w:b/>
                <w:color w:val="000000" w:themeColor="text1"/>
                <w:sz w:val="20"/>
                <w:szCs w:val="20"/>
              </w:rPr>
            </w:pPr>
            <w:r w:rsidRPr="00E37A81">
              <w:rPr>
                <w:rFonts w:ascii="Arial" w:hAnsi="Arial" w:cs="Arial"/>
                <w:b/>
                <w:color w:val="000000" w:themeColor="text1"/>
                <w:sz w:val="20"/>
                <w:szCs w:val="20"/>
              </w:rPr>
              <w:t>DOSE</w:t>
            </w:r>
          </w:p>
        </w:tc>
        <w:tc>
          <w:tcPr>
            <w:tcW w:w="1208" w:type="dxa"/>
            <w:tcBorders>
              <w:bottom w:val="single" w:sz="4" w:space="0" w:color="auto"/>
            </w:tcBorders>
          </w:tcPr>
          <w:p w:rsidR="00E37A81" w:rsidRPr="00E37A81" w:rsidRDefault="00E37A81" w:rsidP="00465D6B">
            <w:pPr>
              <w:pStyle w:val="NormalWeb"/>
              <w:spacing w:line="360" w:lineRule="auto"/>
              <w:jc w:val="both"/>
              <w:rPr>
                <w:rFonts w:ascii="Arial" w:hAnsi="Arial" w:cs="Arial"/>
                <w:b/>
                <w:color w:val="000000" w:themeColor="text1"/>
                <w:sz w:val="20"/>
                <w:szCs w:val="20"/>
              </w:rPr>
            </w:pPr>
            <w:r w:rsidRPr="00E37A81">
              <w:rPr>
                <w:rFonts w:ascii="Arial" w:hAnsi="Arial" w:cs="Arial"/>
                <w:b/>
                <w:color w:val="000000" w:themeColor="text1"/>
                <w:sz w:val="20"/>
                <w:szCs w:val="20"/>
              </w:rPr>
              <w:t>ROUTE</w:t>
            </w:r>
          </w:p>
        </w:tc>
        <w:tc>
          <w:tcPr>
            <w:tcW w:w="3186" w:type="dxa"/>
            <w:tcBorders>
              <w:bottom w:val="single" w:sz="4" w:space="0" w:color="auto"/>
            </w:tcBorders>
          </w:tcPr>
          <w:p w:rsidR="00E37A81" w:rsidRPr="00E37A81" w:rsidRDefault="00E37A81" w:rsidP="00465D6B">
            <w:pPr>
              <w:pStyle w:val="NormalWeb"/>
              <w:spacing w:line="360" w:lineRule="auto"/>
              <w:jc w:val="both"/>
              <w:rPr>
                <w:rFonts w:ascii="Arial" w:hAnsi="Arial" w:cs="Arial"/>
                <w:b/>
                <w:color w:val="000000" w:themeColor="text1"/>
                <w:sz w:val="20"/>
                <w:szCs w:val="20"/>
              </w:rPr>
            </w:pPr>
            <w:r w:rsidRPr="00E37A81">
              <w:rPr>
                <w:rFonts w:ascii="Arial" w:hAnsi="Arial" w:cs="Arial"/>
                <w:b/>
                <w:color w:val="000000" w:themeColor="text1"/>
                <w:sz w:val="20"/>
                <w:szCs w:val="20"/>
              </w:rPr>
              <w:t>FREQUENCY</w:t>
            </w:r>
          </w:p>
        </w:tc>
      </w:tr>
      <w:tr w:rsidR="00E37A81" w:rsidTr="00E37A81">
        <w:trPr>
          <w:trHeight w:val="468"/>
        </w:trPr>
        <w:tc>
          <w:tcPr>
            <w:tcW w:w="930" w:type="dxa"/>
            <w:tcBorders>
              <w:top w:val="single" w:sz="4" w:space="0" w:color="auto"/>
            </w:tcBorders>
          </w:tcPr>
          <w:p w:rsidR="00E37A81" w:rsidRPr="00E37A81" w:rsidRDefault="00E37A81" w:rsidP="00465D6B">
            <w:pPr>
              <w:pStyle w:val="NormalWeb"/>
              <w:jc w:val="both"/>
              <w:rPr>
                <w:rFonts w:ascii="Arial" w:hAnsi="Arial" w:cs="Arial"/>
                <w:color w:val="000000" w:themeColor="text1"/>
                <w:sz w:val="20"/>
                <w:szCs w:val="20"/>
              </w:rPr>
            </w:pPr>
            <w:r w:rsidRPr="00E37A81">
              <w:rPr>
                <w:rFonts w:ascii="Arial" w:hAnsi="Arial" w:cs="Arial"/>
                <w:color w:val="000000" w:themeColor="text1"/>
                <w:sz w:val="20"/>
                <w:szCs w:val="20"/>
              </w:rPr>
              <w:t>01</w:t>
            </w:r>
          </w:p>
        </w:tc>
        <w:tc>
          <w:tcPr>
            <w:tcW w:w="3573" w:type="dxa"/>
            <w:tcBorders>
              <w:top w:val="single" w:sz="4" w:space="0" w:color="auto"/>
            </w:tcBorders>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 xml:space="preserve">INJ. CEFTRIAXONE </w:t>
            </w:r>
          </w:p>
        </w:tc>
        <w:tc>
          <w:tcPr>
            <w:tcW w:w="1417" w:type="dxa"/>
            <w:tcBorders>
              <w:top w:val="single" w:sz="4" w:space="0" w:color="auto"/>
            </w:tcBorders>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1 gm</w:t>
            </w:r>
          </w:p>
        </w:tc>
        <w:tc>
          <w:tcPr>
            <w:tcW w:w="1208" w:type="dxa"/>
            <w:tcBorders>
              <w:top w:val="single" w:sz="4" w:space="0" w:color="auto"/>
            </w:tcBorders>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IV</w:t>
            </w:r>
          </w:p>
        </w:tc>
        <w:tc>
          <w:tcPr>
            <w:tcW w:w="3186" w:type="dxa"/>
            <w:tcBorders>
              <w:top w:val="single" w:sz="4" w:space="0" w:color="auto"/>
            </w:tcBorders>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BID FOR 3 DAYS</w:t>
            </w:r>
          </w:p>
        </w:tc>
      </w:tr>
      <w:tr w:rsidR="00E37A81" w:rsidTr="00E37A81">
        <w:trPr>
          <w:trHeight w:val="468"/>
        </w:trPr>
        <w:tc>
          <w:tcPr>
            <w:tcW w:w="930"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02</w:t>
            </w:r>
          </w:p>
        </w:tc>
        <w:tc>
          <w:tcPr>
            <w:tcW w:w="3573"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INJ. PANTOPRAZOLE</w:t>
            </w:r>
          </w:p>
        </w:tc>
        <w:tc>
          <w:tcPr>
            <w:tcW w:w="1417"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40 mg</w:t>
            </w:r>
          </w:p>
        </w:tc>
        <w:tc>
          <w:tcPr>
            <w:tcW w:w="1208"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IV</w:t>
            </w:r>
          </w:p>
        </w:tc>
        <w:tc>
          <w:tcPr>
            <w:tcW w:w="3186"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OD FOR 3 DAYS</w:t>
            </w:r>
          </w:p>
        </w:tc>
      </w:tr>
      <w:tr w:rsidR="00E37A81" w:rsidTr="00E37A81">
        <w:trPr>
          <w:trHeight w:val="468"/>
        </w:trPr>
        <w:tc>
          <w:tcPr>
            <w:tcW w:w="930"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03</w:t>
            </w:r>
          </w:p>
        </w:tc>
        <w:tc>
          <w:tcPr>
            <w:tcW w:w="3573"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INJ. ONDANSETRON</w:t>
            </w:r>
          </w:p>
        </w:tc>
        <w:tc>
          <w:tcPr>
            <w:tcW w:w="1417"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4 mg</w:t>
            </w:r>
          </w:p>
        </w:tc>
        <w:tc>
          <w:tcPr>
            <w:tcW w:w="1208"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IV</w:t>
            </w:r>
          </w:p>
        </w:tc>
        <w:tc>
          <w:tcPr>
            <w:tcW w:w="3186"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BID FOR 3 DAYS</w:t>
            </w:r>
          </w:p>
        </w:tc>
      </w:tr>
      <w:tr w:rsidR="00E37A81" w:rsidTr="00E37A81">
        <w:trPr>
          <w:trHeight w:val="488"/>
        </w:trPr>
        <w:tc>
          <w:tcPr>
            <w:tcW w:w="930"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04</w:t>
            </w:r>
          </w:p>
        </w:tc>
        <w:tc>
          <w:tcPr>
            <w:tcW w:w="3573"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INJ. PARACETAMOL</w:t>
            </w:r>
          </w:p>
        </w:tc>
        <w:tc>
          <w:tcPr>
            <w:tcW w:w="1417"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100 ml</w:t>
            </w:r>
          </w:p>
        </w:tc>
        <w:tc>
          <w:tcPr>
            <w:tcW w:w="1208"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IV</w:t>
            </w:r>
          </w:p>
        </w:tc>
        <w:tc>
          <w:tcPr>
            <w:tcW w:w="3186"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TID FOR 3 DAYS</w:t>
            </w:r>
          </w:p>
        </w:tc>
      </w:tr>
      <w:tr w:rsidR="00E37A81" w:rsidTr="00E37A81">
        <w:trPr>
          <w:trHeight w:val="468"/>
        </w:trPr>
        <w:tc>
          <w:tcPr>
            <w:tcW w:w="930"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05</w:t>
            </w:r>
          </w:p>
        </w:tc>
        <w:tc>
          <w:tcPr>
            <w:tcW w:w="3573"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 xml:space="preserve">TAB. DOXYCYCLINE </w:t>
            </w:r>
          </w:p>
        </w:tc>
        <w:tc>
          <w:tcPr>
            <w:tcW w:w="1417"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100 mg</w:t>
            </w:r>
          </w:p>
        </w:tc>
        <w:tc>
          <w:tcPr>
            <w:tcW w:w="1208"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PO</w:t>
            </w:r>
          </w:p>
        </w:tc>
        <w:tc>
          <w:tcPr>
            <w:tcW w:w="3186"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BID FOR 3 DAYS</w:t>
            </w:r>
          </w:p>
        </w:tc>
      </w:tr>
      <w:tr w:rsidR="00E37A81" w:rsidTr="00E37A81">
        <w:trPr>
          <w:trHeight w:val="468"/>
        </w:trPr>
        <w:tc>
          <w:tcPr>
            <w:tcW w:w="930"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06</w:t>
            </w:r>
          </w:p>
        </w:tc>
        <w:tc>
          <w:tcPr>
            <w:tcW w:w="3573"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TAB. IRON FOLIC ACID</w:t>
            </w:r>
          </w:p>
        </w:tc>
        <w:tc>
          <w:tcPr>
            <w:tcW w:w="1417"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333 mg</w:t>
            </w:r>
          </w:p>
        </w:tc>
        <w:tc>
          <w:tcPr>
            <w:tcW w:w="1208"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PO</w:t>
            </w:r>
          </w:p>
        </w:tc>
        <w:tc>
          <w:tcPr>
            <w:tcW w:w="3186"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BID FOR 3 DAYS</w:t>
            </w:r>
          </w:p>
        </w:tc>
      </w:tr>
      <w:tr w:rsidR="00E37A81" w:rsidTr="00E37A81">
        <w:trPr>
          <w:trHeight w:val="468"/>
        </w:trPr>
        <w:tc>
          <w:tcPr>
            <w:tcW w:w="930"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07</w:t>
            </w:r>
          </w:p>
        </w:tc>
        <w:tc>
          <w:tcPr>
            <w:tcW w:w="3573"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TAB. FOLIC ACID</w:t>
            </w:r>
          </w:p>
        </w:tc>
        <w:tc>
          <w:tcPr>
            <w:tcW w:w="1417"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5 mg</w:t>
            </w:r>
          </w:p>
        </w:tc>
        <w:tc>
          <w:tcPr>
            <w:tcW w:w="1208"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PO</w:t>
            </w:r>
          </w:p>
        </w:tc>
        <w:tc>
          <w:tcPr>
            <w:tcW w:w="3186"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OD FOR 3 DAYS</w:t>
            </w:r>
          </w:p>
        </w:tc>
      </w:tr>
      <w:tr w:rsidR="00E37A81" w:rsidTr="00E37A81">
        <w:trPr>
          <w:trHeight w:val="468"/>
        </w:trPr>
        <w:tc>
          <w:tcPr>
            <w:tcW w:w="930"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08</w:t>
            </w:r>
          </w:p>
        </w:tc>
        <w:tc>
          <w:tcPr>
            <w:tcW w:w="3573"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INJ. MULTIVITAMIN</w:t>
            </w:r>
          </w:p>
        </w:tc>
        <w:tc>
          <w:tcPr>
            <w:tcW w:w="1417"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1 PINT NS</w:t>
            </w:r>
          </w:p>
        </w:tc>
        <w:tc>
          <w:tcPr>
            <w:tcW w:w="1208"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IV</w:t>
            </w:r>
          </w:p>
        </w:tc>
        <w:tc>
          <w:tcPr>
            <w:tcW w:w="3186"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OD ON 3</w:t>
            </w:r>
            <w:r w:rsidRPr="00E37A81">
              <w:rPr>
                <w:rFonts w:ascii="Arial" w:hAnsi="Arial" w:cs="Arial"/>
                <w:color w:val="000000" w:themeColor="text1"/>
                <w:sz w:val="20"/>
                <w:szCs w:val="20"/>
                <w:vertAlign w:val="superscript"/>
              </w:rPr>
              <w:t>rd</w:t>
            </w:r>
            <w:r w:rsidRPr="00E37A81">
              <w:rPr>
                <w:rFonts w:ascii="Arial" w:hAnsi="Arial" w:cs="Arial"/>
                <w:color w:val="000000" w:themeColor="text1"/>
                <w:sz w:val="20"/>
                <w:szCs w:val="20"/>
              </w:rPr>
              <w:t xml:space="preserve"> DAY</w:t>
            </w:r>
          </w:p>
        </w:tc>
      </w:tr>
    </w:tbl>
    <w:p w:rsidR="00E37A81" w:rsidRPr="006A7624" w:rsidRDefault="00E37A81" w:rsidP="00E37A81">
      <w:pPr>
        <w:pStyle w:val="Body"/>
        <w:jc w:val="center"/>
        <w:rPr>
          <w:rFonts w:ascii="Arial" w:hAnsi="Arial" w:cs="Arial"/>
          <w:b/>
        </w:rPr>
      </w:pPr>
      <w:r w:rsidRPr="006A7624">
        <w:rPr>
          <w:rFonts w:ascii="Arial" w:hAnsi="Arial" w:cs="Arial"/>
          <w:b/>
        </w:rPr>
        <w:t>Table 2. Treatment regimen in hospital</w:t>
      </w:r>
    </w:p>
    <w:p w:rsidR="00E37A81" w:rsidRPr="00BE7EDE" w:rsidRDefault="00E37A81" w:rsidP="00E37A81">
      <w:pPr>
        <w:pStyle w:val="Body"/>
        <w:jc w:val="left"/>
        <w:rPr>
          <w:rFonts w:ascii="Arial" w:hAnsi="Arial" w:cs="Arial"/>
          <w:b/>
        </w:rPr>
      </w:pPr>
    </w:p>
    <w:p w:rsidR="00E37A81" w:rsidRDefault="00E37A81" w:rsidP="00E37A81">
      <w:pPr>
        <w:pStyle w:val="Body"/>
        <w:spacing w:after="0"/>
        <w:rPr>
          <w:rFonts w:ascii="Arial" w:eastAsia="Calibri" w:hAnsi="Arial" w:cs="Arial"/>
          <w:szCs w:val="22"/>
        </w:rPr>
      </w:pPr>
    </w:p>
    <w:p w:rsidR="00790ADA" w:rsidRPr="00FB3A86" w:rsidRDefault="00000F8F" w:rsidP="00441B6F">
      <w:pPr>
        <w:pStyle w:val="Head1"/>
        <w:spacing w:after="0"/>
        <w:jc w:val="both"/>
        <w:rPr>
          <w:rFonts w:ascii="Arial" w:hAnsi="Arial" w:cs="Arial"/>
        </w:rPr>
      </w:pPr>
      <w:r>
        <w:rPr>
          <w:rFonts w:ascii="Arial" w:hAnsi="Arial" w:cs="Arial"/>
        </w:rPr>
        <w:t>3</w:t>
      </w:r>
      <w:r w:rsidR="00E37A81">
        <w:rPr>
          <w:rFonts w:ascii="Arial" w:hAnsi="Arial" w:cs="Arial"/>
        </w:rPr>
        <w:t xml:space="preserve">. </w:t>
      </w:r>
      <w:r>
        <w:rPr>
          <w:rFonts w:ascii="Arial" w:hAnsi="Arial" w:cs="Arial"/>
        </w:rPr>
        <w:t>discussion</w:t>
      </w:r>
    </w:p>
    <w:p w:rsidR="00E053D0" w:rsidRDefault="00E37A81" w:rsidP="00E37A81">
      <w:pPr>
        <w:pStyle w:val="Body"/>
        <w:spacing w:after="0"/>
        <w:rPr>
          <w:rFonts w:ascii="Arial" w:hAnsi="Arial" w:cs="Arial"/>
        </w:rPr>
      </w:pPr>
      <w:r w:rsidRPr="00E37A81">
        <w:rPr>
          <w:rFonts w:ascii="Arial" w:hAnsi="Arial" w:cs="Arial"/>
        </w:rPr>
        <w:t xml:space="preserve">Turner's syndrome is a rare chromosomal disorder commonly </w:t>
      </w:r>
      <w:proofErr w:type="spellStart"/>
      <w:r w:rsidRPr="00E37A81">
        <w:rPr>
          <w:rFonts w:ascii="Arial" w:hAnsi="Arial" w:cs="Arial"/>
        </w:rPr>
        <w:t>occuring</w:t>
      </w:r>
      <w:proofErr w:type="spellEnd"/>
      <w:r w:rsidRPr="00E37A81">
        <w:rPr>
          <w:rFonts w:ascii="Arial" w:hAnsi="Arial" w:cs="Arial"/>
        </w:rPr>
        <w:t xml:space="preserve"> in females, which is under diagnosed due to its variety of signs and symptoms. In lots of cases, patient had a known history of primary amenorrhea which is one of the significant symptom of Turner's syndrome along with other symptoms of infection. Lab investigation showed anemia, elevated CRP along with hormonal abnormalities including low FSH and LH levels indicating gonadal abnormalities. On USG scanning it is revealed absence of uterus supporting diagnosis of gonadal dysgenesis associated with Turner's syndrome. Hashimoto's thyroiditis shows presence of risk of auto immune disorder in patients with Turner's syndrome. Elevated ferritin and LDH levels shows underlying inflammation or infection. As a clinical pharmacist point of view, this case emphasizes importance of multi disciplinary management. Pharmacist can play an important role in identification of DRP's, monitoring hormonal replacement therapy, ensuring adherence and providing patient </w:t>
      </w:r>
      <w:proofErr w:type="spellStart"/>
      <w:r w:rsidRPr="00E37A81">
        <w:rPr>
          <w:rFonts w:ascii="Arial" w:hAnsi="Arial" w:cs="Arial"/>
        </w:rPr>
        <w:t>councelling</w:t>
      </w:r>
      <w:proofErr w:type="spellEnd"/>
      <w:r w:rsidRPr="00E37A81">
        <w:rPr>
          <w:rFonts w:ascii="Arial" w:hAnsi="Arial" w:cs="Arial"/>
        </w:rPr>
        <w:t xml:space="preserve"> about long term follow up and lifestyle modification</w:t>
      </w:r>
    </w:p>
    <w:p w:rsidR="00790ADA" w:rsidRPr="00FB3A86" w:rsidRDefault="00790ADA" w:rsidP="00441B6F">
      <w:pPr>
        <w:pStyle w:val="Body"/>
        <w:spacing w:after="0"/>
        <w:rPr>
          <w:rFonts w:ascii="Arial" w:hAnsi="Arial" w:cs="Arial"/>
        </w:rPr>
      </w:pPr>
    </w:p>
    <w:p w:rsidR="00790ADA" w:rsidRPr="00FB3A86"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rsidR="00E37A81" w:rsidRDefault="00E37A81" w:rsidP="00441B6F">
      <w:pPr>
        <w:pStyle w:val="Body"/>
        <w:spacing w:after="0"/>
        <w:rPr>
          <w:rFonts w:ascii="Arial" w:hAnsi="Arial" w:cs="Arial"/>
        </w:rPr>
      </w:pPr>
      <w:r w:rsidRPr="00E37A81">
        <w:rPr>
          <w:rFonts w:ascii="Arial" w:hAnsi="Arial" w:cs="Arial"/>
        </w:rPr>
        <w:t>Turner syndrome is an uncommon condition in females and may not be recognized early because its signs can be subtle and vary from person to person. This case emphasizes the importance of careful clinical assessment and appropriate investigations when a patient presents with short stature and delayed pubertal development. Early diagnosis helps in starting timely treatment, such as growth hormone and estrogen therapy, which can improve physical development and reduce long-term complications. Regular follow-up and coordinated care from multiple specialties are essential to address associated health issues and to improve the patient’s overall well-being and quality of life.</w:t>
      </w:r>
    </w:p>
    <w:p w:rsidR="00E37A81" w:rsidRDefault="00E37A81" w:rsidP="00441B6F">
      <w:pPr>
        <w:pStyle w:val="Body"/>
        <w:spacing w:after="0"/>
        <w:rPr>
          <w:rFonts w:ascii="Arial" w:hAnsi="Arial" w:cs="Arial"/>
        </w:rPr>
      </w:pPr>
    </w:p>
    <w:p w:rsidR="00E37A81" w:rsidRDefault="00E37A81" w:rsidP="00E37A81">
      <w:pPr>
        <w:pStyle w:val="Body"/>
        <w:spacing w:after="0"/>
        <w:rPr>
          <w:rFonts w:ascii="Arial" w:hAnsi="Arial" w:cs="Arial"/>
          <w:b/>
          <w:sz w:val="22"/>
          <w:szCs w:val="22"/>
        </w:rPr>
      </w:pPr>
      <w:r w:rsidRPr="00270213">
        <w:rPr>
          <w:rFonts w:ascii="Arial" w:hAnsi="Arial" w:cs="Arial"/>
          <w:b/>
          <w:sz w:val="22"/>
          <w:szCs w:val="22"/>
        </w:rPr>
        <w:t>CONSENT</w:t>
      </w:r>
    </w:p>
    <w:p w:rsidR="00E37A81" w:rsidRDefault="00E37A81" w:rsidP="00E37A81">
      <w:pPr>
        <w:pStyle w:val="Body"/>
        <w:spacing w:after="0"/>
        <w:rPr>
          <w:rFonts w:ascii="Arial" w:hAnsi="Arial" w:cs="Arial"/>
        </w:rPr>
      </w:pPr>
      <w:r>
        <w:rPr>
          <w:rFonts w:ascii="Arial" w:hAnsi="Arial" w:cs="Arial"/>
        </w:rPr>
        <w:t>As per international standards or university standards, patient(s) written consent has been collected and preserved by the author(s).</w:t>
      </w:r>
    </w:p>
    <w:p w:rsidR="00E37A81" w:rsidRDefault="00E37A81" w:rsidP="00E37A81">
      <w:pPr>
        <w:pStyle w:val="Body"/>
        <w:spacing w:after="0"/>
        <w:rPr>
          <w:rFonts w:ascii="Arial" w:hAnsi="Arial" w:cs="Arial"/>
        </w:rPr>
      </w:pPr>
    </w:p>
    <w:p w:rsidR="00E37A81" w:rsidRDefault="00E37A81" w:rsidP="00E37A81">
      <w:pPr>
        <w:pStyle w:val="Body"/>
        <w:spacing w:after="0"/>
        <w:rPr>
          <w:rFonts w:ascii="Arial" w:hAnsi="Arial" w:cs="Arial"/>
          <w:b/>
          <w:sz w:val="22"/>
          <w:szCs w:val="22"/>
        </w:rPr>
      </w:pPr>
      <w:r w:rsidRPr="00270213">
        <w:rPr>
          <w:rFonts w:ascii="Arial" w:hAnsi="Arial" w:cs="Arial"/>
          <w:b/>
          <w:sz w:val="22"/>
          <w:szCs w:val="22"/>
        </w:rPr>
        <w:t>ETHICAL APPROVAL</w:t>
      </w:r>
    </w:p>
    <w:p w:rsidR="00E37A81" w:rsidRDefault="00E37A81" w:rsidP="00E37A81">
      <w:pPr>
        <w:pStyle w:val="Body"/>
        <w:spacing w:after="0"/>
        <w:rPr>
          <w:rFonts w:ascii="Arial" w:hAnsi="Arial" w:cs="Arial"/>
        </w:rPr>
      </w:pPr>
      <w:r>
        <w:rPr>
          <w:rFonts w:ascii="Arial" w:hAnsi="Arial" w:cs="Arial"/>
        </w:rPr>
        <w:t xml:space="preserve">It is not applicable. </w:t>
      </w:r>
    </w:p>
    <w:p w:rsidR="00E37A81" w:rsidRDefault="00E37A81" w:rsidP="00E37A81">
      <w:pPr>
        <w:pStyle w:val="Body"/>
        <w:spacing w:after="0"/>
        <w:rPr>
          <w:rFonts w:ascii="Arial" w:hAnsi="Arial" w:cs="Arial"/>
        </w:rPr>
      </w:pPr>
    </w:p>
    <w:p w:rsidR="00E37A81" w:rsidRPr="00270213" w:rsidRDefault="00E37A81" w:rsidP="00E37A81">
      <w:pPr>
        <w:pStyle w:val="Body"/>
        <w:spacing w:after="0"/>
        <w:rPr>
          <w:rFonts w:ascii="Arial" w:hAnsi="Arial" w:cs="Arial"/>
          <w:b/>
          <w:sz w:val="22"/>
          <w:szCs w:val="22"/>
        </w:rPr>
      </w:pPr>
      <w:r w:rsidRPr="00270213">
        <w:rPr>
          <w:rFonts w:ascii="Arial" w:hAnsi="Arial" w:cs="Arial"/>
          <w:b/>
          <w:sz w:val="22"/>
          <w:szCs w:val="22"/>
        </w:rPr>
        <w:t>DISCLAIMER (ARTIFICIAL INTELLIGENCE)</w:t>
      </w:r>
    </w:p>
    <w:p w:rsidR="00E37A81" w:rsidRDefault="00E37A81" w:rsidP="00E37A81">
      <w:pPr>
        <w:pStyle w:val="Body"/>
        <w:spacing w:after="0"/>
        <w:rPr>
          <w:rFonts w:ascii="Arial" w:hAnsi="Arial" w:cs="Arial"/>
        </w:rPr>
      </w:pPr>
      <w:r>
        <w:rPr>
          <w:rFonts w:ascii="Arial" w:hAnsi="Arial" w:cs="Arial"/>
        </w:rPr>
        <w:t>Author(s) hereby declare that NO generative AI technologies such as Large Language Models (</w:t>
      </w:r>
      <w:proofErr w:type="spellStart"/>
      <w:r>
        <w:rPr>
          <w:rFonts w:ascii="Arial" w:hAnsi="Arial" w:cs="Arial"/>
        </w:rPr>
        <w:t>ChatGPT</w:t>
      </w:r>
      <w:proofErr w:type="spellEnd"/>
      <w:r>
        <w:rPr>
          <w:rFonts w:ascii="Arial" w:hAnsi="Arial" w:cs="Arial"/>
        </w:rPr>
        <w:t xml:space="preserve">, COPILOT, </w:t>
      </w:r>
      <w:proofErr w:type="spellStart"/>
      <w:r>
        <w:rPr>
          <w:rFonts w:ascii="Arial" w:hAnsi="Arial" w:cs="Arial"/>
        </w:rPr>
        <w:t>etc</w:t>
      </w:r>
      <w:proofErr w:type="spellEnd"/>
      <w:r>
        <w:rPr>
          <w:rFonts w:ascii="Arial" w:hAnsi="Arial" w:cs="Arial"/>
        </w:rPr>
        <w:t>) and text-to-image generators have been used during writing or editing of this manuscript.</w:t>
      </w:r>
    </w:p>
    <w:p w:rsidR="00E37A81" w:rsidRDefault="00E37A81" w:rsidP="00E37A81">
      <w:pPr>
        <w:pStyle w:val="Body"/>
        <w:spacing w:after="0"/>
        <w:rPr>
          <w:rFonts w:ascii="Arial" w:hAnsi="Arial" w:cs="Arial"/>
        </w:rPr>
      </w:pPr>
    </w:p>
    <w:p w:rsidR="00E37A81" w:rsidRDefault="00E37A81" w:rsidP="00E37A81">
      <w:pPr>
        <w:pStyle w:val="Body"/>
        <w:spacing w:after="0"/>
        <w:rPr>
          <w:rFonts w:ascii="Arial" w:hAnsi="Arial" w:cs="Arial"/>
          <w:b/>
          <w:sz w:val="22"/>
          <w:szCs w:val="22"/>
        </w:rPr>
      </w:pPr>
      <w:r w:rsidRPr="00BC0DE6">
        <w:rPr>
          <w:rFonts w:ascii="Arial" w:hAnsi="Arial" w:cs="Arial"/>
          <w:b/>
          <w:sz w:val="22"/>
          <w:szCs w:val="22"/>
        </w:rPr>
        <w:t>COMPETING INTERESTS</w:t>
      </w:r>
    </w:p>
    <w:p w:rsidR="00E37A81" w:rsidRDefault="00E37A81" w:rsidP="00E37A81">
      <w:pPr>
        <w:pStyle w:val="Body"/>
        <w:spacing w:after="0"/>
        <w:rPr>
          <w:rFonts w:ascii="Arial" w:hAnsi="Arial" w:cs="Arial"/>
        </w:rPr>
      </w:pPr>
      <w:r>
        <w:rPr>
          <w:rFonts w:ascii="Arial" w:hAnsi="Arial" w:cs="Arial"/>
        </w:rPr>
        <w:t>Authors have declared that no competing interests exists.</w:t>
      </w:r>
    </w:p>
    <w:p w:rsidR="008E0249" w:rsidRDefault="008E0249" w:rsidP="00E37A81">
      <w:pPr>
        <w:pStyle w:val="Body"/>
        <w:spacing w:after="0"/>
        <w:rPr>
          <w:rFonts w:ascii="Arial" w:hAnsi="Arial" w:cs="Arial"/>
        </w:rPr>
      </w:pPr>
    </w:p>
    <w:p w:rsidR="008E0249" w:rsidRPr="003A29C6" w:rsidRDefault="008E0249" w:rsidP="008E0249">
      <w:pPr>
        <w:jc w:val="both"/>
        <w:outlineLvl w:val="0"/>
        <w:rPr>
          <w:rFonts w:ascii="Arial" w:hAnsi="Arial" w:cs="Arial"/>
        </w:rPr>
      </w:pPr>
      <w:r w:rsidRPr="003A29C6">
        <w:rPr>
          <w:rFonts w:ascii="Arial" w:hAnsi="Arial" w:cs="Arial"/>
          <w:b/>
          <w:bCs/>
        </w:rPr>
        <w:t>COMPETING INTERESTS DISCLAIMER:</w:t>
      </w:r>
    </w:p>
    <w:p w:rsidR="008E0249" w:rsidRDefault="008E0249" w:rsidP="008E0249">
      <w:r w:rsidRPr="00A10EDE">
        <w:t>Authors have declared that they have no known competing financial interests OR non-financial interests OR personal relationships that could have appeared to influence the work reported in this paper.</w:t>
      </w:r>
    </w:p>
    <w:p w:rsidR="008E0249" w:rsidRDefault="008E0249" w:rsidP="008E0249"/>
    <w:p w:rsidR="008E0249" w:rsidRDefault="008E0249" w:rsidP="008E0249"/>
    <w:p w:rsidR="008E0249" w:rsidRDefault="008E0249" w:rsidP="00E37A81">
      <w:pPr>
        <w:pStyle w:val="Body"/>
        <w:spacing w:after="0"/>
        <w:rPr>
          <w:rFonts w:ascii="Arial" w:hAnsi="Arial" w:cs="Arial"/>
        </w:rPr>
      </w:pPr>
    </w:p>
    <w:p w:rsidR="00790ADA" w:rsidRPr="00FB3A86" w:rsidRDefault="00E37A81" w:rsidP="00441B6F">
      <w:pPr>
        <w:pStyle w:val="Body"/>
        <w:spacing w:after="0"/>
        <w:rPr>
          <w:rFonts w:ascii="Arial" w:hAnsi="Arial" w:cs="Arial"/>
        </w:rPr>
      </w:pPr>
      <w:r w:rsidRPr="00FB3A86">
        <w:rPr>
          <w:rFonts w:ascii="Arial" w:hAnsi="Arial" w:cs="Arial"/>
        </w:rPr>
        <w:t xml:space="preserve"> </w:t>
      </w:r>
    </w:p>
    <w:p w:rsidR="00E37A81" w:rsidRPr="00E37A81" w:rsidRDefault="00B01FCD" w:rsidP="00E37A81">
      <w:pPr>
        <w:pStyle w:val="ReferHead"/>
        <w:spacing w:after="0"/>
        <w:jc w:val="both"/>
        <w:rPr>
          <w:rFonts w:ascii="Arial" w:hAnsi="Arial" w:cs="Arial"/>
        </w:rPr>
      </w:pPr>
      <w:r w:rsidRPr="00FB3A86">
        <w:rPr>
          <w:rFonts w:ascii="Arial" w:hAnsi="Arial" w:cs="Arial"/>
        </w:rPr>
        <w:t>References</w:t>
      </w:r>
    </w:p>
    <w:p w:rsidR="00E37A81" w:rsidRDefault="00E37A81" w:rsidP="00E37A81">
      <w:pPr>
        <w:pStyle w:val="Body"/>
        <w:numPr>
          <w:ilvl w:val="0"/>
          <w:numId w:val="43"/>
        </w:numPr>
      </w:pPr>
      <w:proofErr w:type="spellStart"/>
      <w:r>
        <w:t>Gravholt</w:t>
      </w:r>
      <w:proofErr w:type="spellEnd"/>
      <w:r>
        <w:t xml:space="preserve"> CH, </w:t>
      </w:r>
      <w:proofErr w:type="spellStart"/>
      <w:r>
        <w:t>Viuff</w:t>
      </w:r>
      <w:proofErr w:type="spellEnd"/>
      <w:r>
        <w:t xml:space="preserve"> MH, Brun S, </w:t>
      </w:r>
      <w:proofErr w:type="spellStart"/>
      <w:r>
        <w:t>Stochholm</w:t>
      </w:r>
      <w:proofErr w:type="spellEnd"/>
      <w:r>
        <w:t xml:space="preserve"> K, Andersen NH. Turner syndrome: mechanisms and management. Nat Rev Endocrinol. 2019;15(10):601–614.</w:t>
      </w:r>
    </w:p>
    <w:p w:rsidR="00E37A81" w:rsidRDefault="00E37A81" w:rsidP="00E37A81">
      <w:pPr>
        <w:pStyle w:val="Body"/>
        <w:numPr>
          <w:ilvl w:val="0"/>
          <w:numId w:val="43"/>
        </w:numPr>
      </w:pPr>
      <w:r>
        <w:t xml:space="preserve">Ding F, Xu J, </w:t>
      </w:r>
      <w:proofErr w:type="spellStart"/>
      <w:r>
        <w:t>Xiong</w:t>
      </w:r>
      <w:proofErr w:type="spellEnd"/>
      <w:r>
        <w:t xml:space="preserve"> J, Li Q, Cheng Z, Deng L. Epidemiological analysis of Turner syndrome in children aged 0–14 years: global, regional, and national perspectives (1990–2021). Front Endocrinol (Lausanne). </w:t>
      </w:r>
      <w:proofErr w:type="gramStart"/>
      <w:r>
        <w:t>2025;16:1552300</w:t>
      </w:r>
      <w:proofErr w:type="gramEnd"/>
      <w:r>
        <w:t>.</w:t>
      </w:r>
    </w:p>
    <w:p w:rsidR="00E37A81" w:rsidRDefault="00E37A81" w:rsidP="00E37A81">
      <w:pPr>
        <w:pStyle w:val="Body"/>
        <w:numPr>
          <w:ilvl w:val="0"/>
          <w:numId w:val="43"/>
        </w:numPr>
      </w:pPr>
      <w:r>
        <w:t>Zhong Q, Layman LC. Genetic considerations in the patient with Turner syndrome—</w:t>
      </w:r>
      <w:proofErr w:type="gramStart"/>
      <w:r>
        <w:t>45,X</w:t>
      </w:r>
      <w:proofErr w:type="gramEnd"/>
      <w:r>
        <w:t xml:space="preserve"> with or without mosaicism. </w:t>
      </w:r>
      <w:proofErr w:type="spellStart"/>
      <w:r>
        <w:t>Fertil</w:t>
      </w:r>
      <w:proofErr w:type="spellEnd"/>
      <w:r>
        <w:t xml:space="preserve"> </w:t>
      </w:r>
      <w:proofErr w:type="spellStart"/>
      <w:r>
        <w:t>Steril</w:t>
      </w:r>
      <w:proofErr w:type="spellEnd"/>
      <w:r>
        <w:t>. 2012;98(4):775–779.</w:t>
      </w:r>
    </w:p>
    <w:p w:rsidR="00E37A81" w:rsidRDefault="00E37A81" w:rsidP="00E37A81">
      <w:pPr>
        <w:pStyle w:val="Body"/>
        <w:numPr>
          <w:ilvl w:val="0"/>
          <w:numId w:val="43"/>
        </w:numPr>
      </w:pPr>
      <w:proofErr w:type="spellStart"/>
      <w:r>
        <w:t>Lleo</w:t>
      </w:r>
      <w:proofErr w:type="spellEnd"/>
      <w:r>
        <w:t xml:space="preserve"> A, Moroni L, </w:t>
      </w:r>
      <w:proofErr w:type="spellStart"/>
      <w:r>
        <w:t>Caliari</w:t>
      </w:r>
      <w:proofErr w:type="spellEnd"/>
      <w:r>
        <w:t xml:space="preserve"> L, </w:t>
      </w:r>
      <w:proofErr w:type="spellStart"/>
      <w:r>
        <w:t>Invernizzi</w:t>
      </w:r>
      <w:proofErr w:type="spellEnd"/>
      <w:r>
        <w:t xml:space="preserve"> P. Autoimmunity and Turner’s syndrome. </w:t>
      </w:r>
      <w:proofErr w:type="spellStart"/>
      <w:r>
        <w:t>Autoimmun</w:t>
      </w:r>
      <w:proofErr w:type="spellEnd"/>
      <w:r>
        <w:t xml:space="preserve"> Rev. 2012;11(8</w:t>
      </w:r>
      <w:proofErr w:type="gramStart"/>
      <w:r>
        <w:t>):A</w:t>
      </w:r>
      <w:proofErr w:type="gramEnd"/>
      <w:r>
        <w:t>538–A543. doi:10.1016/j.autrev.2011.11.015.</w:t>
      </w:r>
    </w:p>
    <w:p w:rsidR="00E37A81" w:rsidRDefault="00E37A81" w:rsidP="00E37A81">
      <w:pPr>
        <w:pStyle w:val="Body"/>
        <w:numPr>
          <w:ilvl w:val="0"/>
          <w:numId w:val="43"/>
        </w:numPr>
      </w:pPr>
      <w:proofErr w:type="spellStart"/>
      <w:r>
        <w:t>Loscalzo</w:t>
      </w:r>
      <w:proofErr w:type="spellEnd"/>
      <w:r>
        <w:t xml:space="preserve"> ML. Turner syndrome. </w:t>
      </w:r>
      <w:proofErr w:type="spellStart"/>
      <w:r>
        <w:t>Pediatr</w:t>
      </w:r>
      <w:proofErr w:type="spellEnd"/>
      <w:r>
        <w:t xml:space="preserve"> Rev. 2008;29(7):219–227.</w:t>
      </w:r>
    </w:p>
    <w:p w:rsidR="00B01FCD" w:rsidRPr="00E37A81" w:rsidRDefault="00E37A81" w:rsidP="00E37A81">
      <w:pPr>
        <w:pStyle w:val="Body"/>
        <w:numPr>
          <w:ilvl w:val="0"/>
          <w:numId w:val="43"/>
        </w:numPr>
      </w:pPr>
      <w:r>
        <w:t xml:space="preserve">Khan N, Farooqui A, Ishrat R. Turner syndrome: where are we? </w:t>
      </w:r>
      <w:proofErr w:type="spellStart"/>
      <w:r>
        <w:t>Orphanet</w:t>
      </w:r>
      <w:proofErr w:type="spellEnd"/>
      <w:r>
        <w:t xml:space="preserve"> J Rare Dis. </w:t>
      </w:r>
      <w:proofErr w:type="gramStart"/>
      <w:r>
        <w:t>2024;19:314</w:t>
      </w:r>
      <w:proofErr w:type="gramEnd"/>
      <w:r>
        <w:t xml:space="preserve">. </w:t>
      </w:r>
    </w:p>
    <w:sectPr w:rsidR="00B01FCD" w:rsidRPr="00E37A81" w:rsidSect="0005024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1F4" w:rsidRDefault="001401F4" w:rsidP="00C37E61">
      <w:r>
        <w:separator/>
      </w:r>
    </w:p>
  </w:endnote>
  <w:endnote w:type="continuationSeparator" w:id="0">
    <w:p w:rsidR="001401F4" w:rsidRDefault="001401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246" w:rsidRDefault="00050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246" w:rsidRDefault="00050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1F4" w:rsidRDefault="001401F4" w:rsidP="00C37E61">
      <w:r>
        <w:separator/>
      </w:r>
    </w:p>
  </w:footnote>
  <w:footnote w:type="continuationSeparator" w:id="0">
    <w:p w:rsidR="001401F4" w:rsidRDefault="001401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246" w:rsidRDefault="000502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58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246" w:rsidRDefault="000502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58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050246"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58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246" w:rsidRDefault="000502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588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246" w:rsidRDefault="000502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588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246" w:rsidRDefault="000502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587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06516"/>
    <w:multiLevelType w:val="hybridMultilevel"/>
    <w:tmpl w:val="9AEE3BFC"/>
    <w:lvl w:ilvl="0" w:tplc="871A636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637A77"/>
    <w:multiLevelType w:val="hybridMultilevel"/>
    <w:tmpl w:val="F3E2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0565D77"/>
    <w:multiLevelType w:val="hybridMultilevel"/>
    <w:tmpl w:val="DCCC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4F05D2"/>
    <w:multiLevelType w:val="hybridMultilevel"/>
    <w:tmpl w:val="D364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02E32A0"/>
    <w:multiLevelType w:val="hybridMultilevel"/>
    <w:tmpl w:val="AD005A70"/>
    <w:lvl w:ilvl="0" w:tplc="EA64BC4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740414"/>
    <w:multiLevelType w:val="hybridMultilevel"/>
    <w:tmpl w:val="58E6F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CFD07FB"/>
    <w:multiLevelType w:val="hybridMultilevel"/>
    <w:tmpl w:val="96DA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26D1F"/>
    <w:multiLevelType w:val="hybridMultilevel"/>
    <w:tmpl w:val="0F02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FAB2151"/>
    <w:multiLevelType w:val="hybridMultilevel"/>
    <w:tmpl w:val="3CFC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77DC3"/>
    <w:multiLevelType w:val="hybridMultilevel"/>
    <w:tmpl w:val="F13A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5F4B10ED"/>
    <w:multiLevelType w:val="hybridMultilevel"/>
    <w:tmpl w:val="29C24C6C"/>
    <w:lvl w:ilvl="0" w:tplc="88AEDF8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DEB2059"/>
    <w:multiLevelType w:val="hybridMultilevel"/>
    <w:tmpl w:val="5A20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5434E21"/>
    <w:multiLevelType w:val="hybridMultilevel"/>
    <w:tmpl w:val="A63AB1B0"/>
    <w:lvl w:ilvl="0" w:tplc="984AB2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5926BB"/>
    <w:multiLevelType w:val="hybridMultilevel"/>
    <w:tmpl w:val="B754C82A"/>
    <w:lvl w:ilvl="0" w:tplc="57F25B1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8"/>
  </w:num>
  <w:num w:numId="9">
    <w:abstractNumId w:val="39"/>
  </w:num>
  <w:num w:numId="10">
    <w:abstractNumId w:val="3"/>
  </w:num>
  <w:num w:numId="11">
    <w:abstractNumId w:val="29"/>
  </w:num>
  <w:num w:numId="12">
    <w:abstractNumId w:val="4"/>
  </w:num>
  <w:num w:numId="13">
    <w:abstractNumId w:val="27"/>
  </w:num>
  <w:num w:numId="14">
    <w:abstractNumId w:val="12"/>
  </w:num>
  <w:num w:numId="15">
    <w:abstractNumId w:val="33"/>
  </w:num>
  <w:num w:numId="16">
    <w:abstractNumId w:val="6"/>
  </w:num>
  <w:num w:numId="17">
    <w:abstractNumId w:val="34"/>
  </w:num>
  <w:num w:numId="18">
    <w:abstractNumId w:val="20"/>
  </w:num>
  <w:num w:numId="19">
    <w:abstractNumId w:val="42"/>
  </w:num>
  <w:num w:numId="20">
    <w:abstractNumId w:val="17"/>
  </w:num>
  <w:num w:numId="21">
    <w:abstractNumId w:val="14"/>
  </w:num>
  <w:num w:numId="22">
    <w:abstractNumId w:val="19"/>
  </w:num>
  <w:num w:numId="23">
    <w:abstractNumId w:val="31"/>
  </w:num>
  <w:num w:numId="24">
    <w:abstractNumId w:val="40"/>
  </w:num>
  <w:num w:numId="25">
    <w:abstractNumId w:val="5"/>
  </w:num>
  <w:num w:numId="26">
    <w:abstractNumId w:val="25"/>
  </w:num>
  <w:num w:numId="27">
    <w:abstractNumId w:val="32"/>
  </w:num>
  <w:num w:numId="28">
    <w:abstractNumId w:val="41"/>
  </w:num>
  <w:num w:numId="29">
    <w:abstractNumId w:val="38"/>
  </w:num>
  <w:num w:numId="30">
    <w:abstractNumId w:val="15"/>
  </w:num>
  <w:num w:numId="31">
    <w:abstractNumId w:val="7"/>
  </w:num>
  <w:num w:numId="32">
    <w:abstractNumId w:val="28"/>
  </w:num>
  <w:num w:numId="33">
    <w:abstractNumId w:val="30"/>
  </w:num>
  <w:num w:numId="34">
    <w:abstractNumId w:val="37"/>
  </w:num>
  <w:num w:numId="35">
    <w:abstractNumId w:val="22"/>
  </w:num>
  <w:num w:numId="36">
    <w:abstractNumId w:val="9"/>
  </w:num>
  <w:num w:numId="37">
    <w:abstractNumId w:val="11"/>
  </w:num>
  <w:num w:numId="38">
    <w:abstractNumId w:val="1"/>
  </w:num>
  <w:num w:numId="39">
    <w:abstractNumId w:val="26"/>
  </w:num>
  <w:num w:numId="40">
    <w:abstractNumId w:val="21"/>
  </w:num>
  <w:num w:numId="41">
    <w:abstractNumId w:val="24"/>
  </w:num>
  <w:num w:numId="42">
    <w:abstractNumId w:val="13"/>
  </w:num>
  <w:num w:numId="43">
    <w:abstractNumId w:val="16"/>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0246"/>
    <w:rsid w:val="000A47FA"/>
    <w:rsid w:val="000A65D3"/>
    <w:rsid w:val="000B1E33"/>
    <w:rsid w:val="000D689F"/>
    <w:rsid w:val="000E7B7B"/>
    <w:rsid w:val="000E7D62"/>
    <w:rsid w:val="00103357"/>
    <w:rsid w:val="00123C9F"/>
    <w:rsid w:val="00126190"/>
    <w:rsid w:val="00130F17"/>
    <w:rsid w:val="001320BF"/>
    <w:rsid w:val="001401F4"/>
    <w:rsid w:val="00163BC4"/>
    <w:rsid w:val="00191062"/>
    <w:rsid w:val="00192B72"/>
    <w:rsid w:val="001A29D8"/>
    <w:rsid w:val="001A5CAA"/>
    <w:rsid w:val="001B0427"/>
    <w:rsid w:val="001C317D"/>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1B6F"/>
    <w:rsid w:val="00371FB6"/>
    <w:rsid w:val="003763C1"/>
    <w:rsid w:val="00376BBE"/>
    <w:rsid w:val="0039224F"/>
    <w:rsid w:val="003A43A4"/>
    <w:rsid w:val="003A7E18"/>
    <w:rsid w:val="003C4C86"/>
    <w:rsid w:val="003C6258"/>
    <w:rsid w:val="003D5D99"/>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D3566"/>
    <w:rsid w:val="008E0249"/>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274A"/>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37A8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5:docId w15:val="{F71C8A77-9448-4FC1-80BC-DB4FAA11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37A8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37A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05BA-8360-401F-B8F1-A54094A7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109</TotalTime>
  <Pages>6</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11114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2014-10-25T14:34:00Z</dcterms:created>
  <dcterms:modified xsi:type="dcterms:W3CDTF">2026-01-27T08:17:00Z</dcterms:modified>
</cp:coreProperties>
</file>