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5C4B8" w14:textId="41DA4D1E" w:rsidR="00230D10" w:rsidRPr="00B94B81" w:rsidRDefault="00B94B81" w:rsidP="00B94B81">
      <w:pPr>
        <w:pStyle w:val="Heading1"/>
        <w:rPr>
          <w:rFonts w:eastAsia="Times New Roman"/>
          <w:kern w:val="28"/>
          <w:sz w:val="48"/>
        </w:rPr>
      </w:pPr>
      <w:r w:rsidRPr="00B94B81">
        <w:rPr>
          <w:rFonts w:eastAsia="Times New Roman"/>
          <w:kern w:val="28"/>
          <w:sz w:val="48"/>
        </w:rPr>
        <w:t>Water resource Management and Flood Risk Forecasting in the Diani Watershed</w:t>
      </w:r>
    </w:p>
    <w:p w14:paraId="77F8B13D" w14:textId="77777777" w:rsidR="00D93721" w:rsidRDefault="00D93721">
      <w:pPr>
        <w:rPr>
          <w:lang w:val="en-US"/>
        </w:rPr>
      </w:pPr>
    </w:p>
    <w:p w14:paraId="1C1EA2D8" w14:textId="77777777" w:rsidR="00D93721" w:rsidRDefault="00D93721">
      <w:pPr>
        <w:rPr>
          <w:lang w:val="en-US"/>
        </w:rPr>
      </w:pPr>
      <w:bookmarkStart w:id="0" w:name="_GoBack"/>
      <w:bookmarkEnd w:id="0"/>
    </w:p>
    <w:p w14:paraId="5E59E7AC" w14:textId="77777777" w:rsidR="00D93721" w:rsidRPr="00B94B81" w:rsidRDefault="00D93721" w:rsidP="00765E28">
      <w:pPr>
        <w:spacing w:before="120" w:after="0" w:line="360" w:lineRule="auto"/>
        <w:jc w:val="both"/>
        <w:rPr>
          <w:rFonts w:ascii="Arial" w:hAnsi="Arial" w:cs="Arial"/>
          <w:b/>
          <w:sz w:val="20"/>
          <w:szCs w:val="20"/>
          <w:lang w:val="en-US"/>
        </w:rPr>
      </w:pPr>
      <w:r w:rsidRPr="00B94B81">
        <w:rPr>
          <w:rFonts w:ascii="Arial" w:hAnsi="Arial" w:cs="Arial"/>
          <w:b/>
          <w:sz w:val="20"/>
          <w:szCs w:val="20"/>
          <w:lang w:val="en-US"/>
        </w:rPr>
        <w:t>Abstract</w:t>
      </w:r>
    </w:p>
    <w:p w14:paraId="3A199BF5" w14:textId="77777777" w:rsidR="00D93721" w:rsidRPr="00B94B81" w:rsidRDefault="00D93721"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objective of this study is to estimate return periods and quantiles of extreme rainfall and discharge in order to analyze the relationship between these two variables in the Diani watershed in Guinea's Forest Region. The methodological approach consists of finding a statistical distribution of maximum annual rainfall and discharge from 1995 to 2024 by fitting them to the Gumbel distribution of extreme values. The parameters of the Gumbel extreme value distribution were estimated using the weighted moment method. The results show that the data studied fit the Gumbel extreme value distribution well. Furthermore, the annual maxima of precipitation and stream flow have return periods of 6, 12, 20, and 60 years, respectively. These return periods correspond to abnormal, highly abnormal, and exceptional events.</w:t>
      </w:r>
      <w:r w:rsidR="00093393" w:rsidRPr="00B94B81">
        <w:rPr>
          <w:rFonts w:ascii="Arial" w:hAnsi="Arial" w:cs="Arial"/>
          <w:sz w:val="20"/>
          <w:szCs w:val="20"/>
          <w:lang w:val="en-US"/>
        </w:rPr>
        <w:t xml:space="preserve"> The rainfall and flow quantiles corresponding to these events are 85.8, 99.1, 108.6, and 128.6 mm for the N’Zérékoré station; and 96.1, 113.8, 126.4, and 153.2 mm for the Macenta station, with flow rates of 195.6, 227.3, 249.9, and 297.7 m³/s respectively. Unpredictable extreme rainfall can lead to flooding, which could have serious economic and social consequences in the Diani watershed. The correlation coefficient between rainfall and flow rate is -0.041 at the N’Zérékoré station and 0.013 at the Macenta station. Indeed, these results show that there is no significant relationship between rainfall (N’Zérékoré, Macenta) and flow rates in the Diani River watershed.</w:t>
      </w:r>
    </w:p>
    <w:p w14:paraId="0380E41E" w14:textId="77777777" w:rsidR="00093393" w:rsidRPr="00B94B81" w:rsidRDefault="00093393" w:rsidP="00765E28">
      <w:pPr>
        <w:spacing w:before="120" w:after="0" w:line="360" w:lineRule="auto"/>
        <w:jc w:val="both"/>
        <w:rPr>
          <w:rFonts w:ascii="Arial" w:hAnsi="Arial" w:cs="Arial"/>
          <w:bCs/>
          <w:i/>
          <w:iCs/>
          <w:sz w:val="20"/>
          <w:szCs w:val="20"/>
          <w:lang w:val="en-US"/>
        </w:rPr>
      </w:pPr>
      <w:r w:rsidRPr="00B94B81">
        <w:rPr>
          <w:rFonts w:ascii="Arial" w:hAnsi="Arial" w:cs="Arial"/>
          <w:bCs/>
          <w:i/>
          <w:iCs/>
          <w:sz w:val="20"/>
          <w:szCs w:val="20"/>
          <w:lang w:val="en-US"/>
        </w:rPr>
        <w:t>Keywords: Management, water resources, forecasting, risks, floods, watershed</w:t>
      </w:r>
    </w:p>
    <w:p w14:paraId="02BC0BC6" w14:textId="77777777" w:rsidR="00690409" w:rsidRPr="00B94B81" w:rsidRDefault="00690409" w:rsidP="00765E28">
      <w:pPr>
        <w:spacing w:before="120" w:after="0" w:line="360" w:lineRule="auto"/>
        <w:jc w:val="both"/>
        <w:rPr>
          <w:rFonts w:ascii="Arial" w:hAnsi="Arial" w:cs="Arial"/>
          <w:b/>
          <w:lang w:val="en-US"/>
        </w:rPr>
      </w:pPr>
      <w:r w:rsidRPr="00B94B81">
        <w:rPr>
          <w:rFonts w:ascii="Arial" w:hAnsi="Arial" w:cs="Arial"/>
          <w:b/>
          <w:lang w:val="en-US"/>
        </w:rPr>
        <w:t>1. Introduction</w:t>
      </w:r>
    </w:p>
    <w:p w14:paraId="031C593D" w14:textId="3EC365AE" w:rsidR="00690409" w:rsidRDefault="00690409"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rational management of water resources at the scale of watersheds in general and ecosystems in particular requires a good knowledge of the variability of rainfall and hydrological regimes, especially during periods of crisis linke</w:t>
      </w:r>
      <w:r w:rsidR="00A309DB" w:rsidRPr="00B94B81">
        <w:rPr>
          <w:rFonts w:ascii="Arial" w:hAnsi="Arial" w:cs="Arial"/>
          <w:sz w:val="20"/>
          <w:szCs w:val="20"/>
          <w:lang w:val="en-US"/>
        </w:rPr>
        <w:t>d to flood or low water events (</w:t>
      </w:r>
      <w:r w:rsidR="00A309DB" w:rsidRPr="00B94B81">
        <w:rPr>
          <w:rFonts w:ascii="Arial" w:hAnsi="Arial" w:cs="Arial"/>
          <w:color w:val="4472C4" w:themeColor="accent5"/>
          <w:sz w:val="20"/>
          <w:szCs w:val="20"/>
          <w:lang w:val="en-US"/>
        </w:rPr>
        <w:t>Bai et al</w:t>
      </w:r>
      <w:r w:rsidR="00B94B81">
        <w:rPr>
          <w:rFonts w:ascii="Arial" w:hAnsi="Arial" w:cs="Arial"/>
          <w:color w:val="4472C4" w:themeColor="accent5"/>
          <w:sz w:val="20"/>
          <w:szCs w:val="20"/>
          <w:lang w:val="en-US"/>
        </w:rPr>
        <w:t>.</w:t>
      </w:r>
      <w:r w:rsidR="00A309DB" w:rsidRPr="00B94B81">
        <w:rPr>
          <w:rFonts w:ascii="Arial" w:hAnsi="Arial" w:cs="Arial"/>
          <w:color w:val="4472C4" w:themeColor="accent5"/>
          <w:sz w:val="20"/>
          <w:szCs w:val="20"/>
          <w:lang w:val="en-US"/>
        </w:rPr>
        <w:t>, 2020</w:t>
      </w:r>
      <w:r w:rsidR="00A309DB" w:rsidRPr="00B94B81">
        <w:rPr>
          <w:rFonts w:ascii="Arial" w:hAnsi="Arial" w:cs="Arial"/>
          <w:sz w:val="20"/>
          <w:szCs w:val="20"/>
          <w:lang w:val="en-US"/>
        </w:rPr>
        <w:t>)</w:t>
      </w:r>
      <w:r w:rsidRPr="00B94B81">
        <w:rPr>
          <w:rFonts w:ascii="Arial" w:hAnsi="Arial" w:cs="Arial"/>
          <w:sz w:val="20"/>
          <w:szCs w:val="20"/>
          <w:lang w:val="en-US"/>
        </w:rPr>
        <w:t>. In the dry tropical regions of West Africa, the development of water resources for agriculture and livestock farming through small-scale hydro-agricultural developments requires a good understanding of rainfall and hydrological patterns, and in particular the characteristics of exceptional floods, to prevent the risks of destruction of hydraulic structures and crops.</w:t>
      </w:r>
    </w:p>
    <w:p w14:paraId="6BA99FC8" w14:textId="77777777" w:rsidR="00B94B81" w:rsidRPr="00B94B81" w:rsidRDefault="00B94B81" w:rsidP="00B94B81">
      <w:pPr>
        <w:spacing w:after="0" w:line="240" w:lineRule="auto"/>
        <w:jc w:val="both"/>
        <w:rPr>
          <w:rFonts w:ascii="Arial" w:hAnsi="Arial" w:cs="Arial"/>
          <w:sz w:val="20"/>
          <w:szCs w:val="20"/>
          <w:lang w:val="en-US"/>
        </w:rPr>
      </w:pPr>
    </w:p>
    <w:p w14:paraId="71983660" w14:textId="76E6D8F3" w:rsidR="00690409" w:rsidRDefault="00690409"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potential consequences of climate change include, among other things, an increase in extreme events or hydrometeorological situations which, until now, have manifested as heavy rainfall or prolonged periods of drought.</w:t>
      </w:r>
      <w:r w:rsidR="0026693F" w:rsidRPr="00B94B81">
        <w:rPr>
          <w:rFonts w:ascii="Arial" w:hAnsi="Arial" w:cs="Arial"/>
          <w:sz w:val="20"/>
          <w:szCs w:val="20"/>
          <w:lang w:val="en-US"/>
        </w:rPr>
        <w:t xml:space="preserve"> The overall variation in rainfall, excess and poor temporal or spatio-temporal distribution over several years has significant repercussions on hydrological and agronomic levels, but also on economic, so</w:t>
      </w:r>
      <w:r w:rsidR="00660BF7" w:rsidRPr="00B94B81">
        <w:rPr>
          <w:rFonts w:ascii="Arial" w:hAnsi="Arial" w:cs="Arial"/>
          <w:sz w:val="20"/>
          <w:szCs w:val="20"/>
          <w:lang w:val="en-US"/>
        </w:rPr>
        <w:t>cial and even political levels (</w:t>
      </w:r>
      <w:r w:rsidR="00660BF7" w:rsidRPr="00B94B81">
        <w:rPr>
          <w:rFonts w:ascii="Arial" w:hAnsi="Arial" w:cs="Arial"/>
          <w:color w:val="4472C4" w:themeColor="accent5"/>
          <w:sz w:val="20"/>
          <w:szCs w:val="20"/>
          <w:lang w:val="en-US"/>
        </w:rPr>
        <w:t>Bergstrand</w:t>
      </w:r>
      <w:r w:rsidR="002B548B" w:rsidRPr="00B94B81">
        <w:rPr>
          <w:rFonts w:ascii="Arial" w:hAnsi="Arial" w:cs="Arial"/>
          <w:color w:val="4472C4" w:themeColor="accent5"/>
          <w:sz w:val="20"/>
          <w:szCs w:val="20"/>
          <w:lang w:val="en-US"/>
        </w:rPr>
        <w:t xml:space="preserve"> et al., 2014</w:t>
      </w:r>
      <w:r w:rsidR="00660BF7" w:rsidRPr="00B94B81">
        <w:rPr>
          <w:rFonts w:ascii="Arial" w:hAnsi="Arial" w:cs="Arial"/>
          <w:sz w:val="20"/>
          <w:szCs w:val="20"/>
          <w:lang w:val="en-US"/>
        </w:rPr>
        <w:t>)</w:t>
      </w:r>
      <w:r w:rsidR="0026693F" w:rsidRPr="00B94B81">
        <w:rPr>
          <w:rFonts w:ascii="Arial" w:hAnsi="Arial" w:cs="Arial"/>
          <w:sz w:val="20"/>
          <w:szCs w:val="20"/>
          <w:lang w:val="en-US"/>
        </w:rPr>
        <w:t>.</w:t>
      </w:r>
      <w:r w:rsidR="007C4635" w:rsidRPr="00B94B81">
        <w:rPr>
          <w:rFonts w:ascii="Arial" w:hAnsi="Arial" w:cs="Arial"/>
          <w:sz w:val="20"/>
          <w:szCs w:val="20"/>
          <w:lang w:val="en-US"/>
        </w:rPr>
        <w:t xml:space="preserve"> One of the most damaging consequences for the economy is the invalidity of hydrological standards used to design structures. It is therefore necessary to find a method for analyzing maximum rainfall and precipitation levels in order to have reliable management tools.</w:t>
      </w:r>
    </w:p>
    <w:p w14:paraId="3C420EA8" w14:textId="77777777" w:rsidR="00B94B81" w:rsidRPr="00B94B81" w:rsidRDefault="00B94B81" w:rsidP="00B94B81">
      <w:pPr>
        <w:spacing w:after="0" w:line="240" w:lineRule="auto"/>
        <w:jc w:val="both"/>
        <w:rPr>
          <w:rFonts w:ascii="Arial" w:hAnsi="Arial" w:cs="Arial"/>
          <w:sz w:val="20"/>
          <w:szCs w:val="20"/>
          <w:lang w:val="en-US"/>
        </w:rPr>
      </w:pPr>
    </w:p>
    <w:p w14:paraId="776B0112" w14:textId="2D537CC8" w:rsidR="007C4635" w:rsidRDefault="007C463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Furthermore, a good knowledge of rainfall and hydrological regimes makes it possible to better estimate annual volumetric inputs in order to better size storage facilities and determine their potential to contribute to development and to</w:t>
      </w:r>
      <w:r w:rsidR="002B548B" w:rsidRPr="00B94B81">
        <w:rPr>
          <w:rFonts w:ascii="Arial" w:hAnsi="Arial" w:cs="Arial"/>
          <w:sz w:val="20"/>
          <w:szCs w:val="20"/>
          <w:lang w:val="en-US"/>
        </w:rPr>
        <w:t xml:space="preserve"> meet the needs of populations (</w:t>
      </w:r>
      <w:proofErr w:type="spellStart"/>
      <w:r w:rsidR="002B548B" w:rsidRPr="00B94B81">
        <w:rPr>
          <w:rFonts w:ascii="Arial" w:hAnsi="Arial" w:cs="Arial"/>
          <w:color w:val="4472C4" w:themeColor="accent5"/>
          <w:sz w:val="20"/>
          <w:szCs w:val="20"/>
          <w:lang w:val="en-US"/>
        </w:rPr>
        <w:t>Aghakouchak</w:t>
      </w:r>
      <w:proofErr w:type="spellEnd"/>
      <w:r w:rsidR="002B548B" w:rsidRPr="00B94B81">
        <w:rPr>
          <w:rFonts w:ascii="Arial" w:hAnsi="Arial" w:cs="Arial"/>
          <w:color w:val="4472C4" w:themeColor="accent5"/>
          <w:sz w:val="20"/>
          <w:szCs w:val="20"/>
          <w:lang w:val="en-US"/>
        </w:rPr>
        <w:t xml:space="preserve"> et al., 2020</w:t>
      </w:r>
      <w:r w:rsidR="002B548B" w:rsidRPr="00B94B81">
        <w:rPr>
          <w:rFonts w:ascii="Arial" w:hAnsi="Arial" w:cs="Arial"/>
          <w:sz w:val="20"/>
          <w:szCs w:val="20"/>
          <w:lang w:val="en-US"/>
        </w:rPr>
        <w:t>)</w:t>
      </w:r>
      <w:r w:rsidRPr="00B94B81">
        <w:rPr>
          <w:rFonts w:ascii="Arial" w:hAnsi="Arial" w:cs="Arial"/>
          <w:sz w:val="20"/>
          <w:szCs w:val="20"/>
          <w:lang w:val="en-US"/>
        </w:rPr>
        <w:t>.</w:t>
      </w:r>
    </w:p>
    <w:p w14:paraId="1FD0EE52" w14:textId="77777777" w:rsidR="00B94B81" w:rsidRPr="00B94B81" w:rsidRDefault="00B94B81" w:rsidP="00B94B81">
      <w:pPr>
        <w:spacing w:after="0" w:line="240" w:lineRule="auto"/>
        <w:jc w:val="both"/>
        <w:rPr>
          <w:rFonts w:ascii="Arial" w:hAnsi="Arial" w:cs="Arial"/>
          <w:sz w:val="20"/>
          <w:szCs w:val="20"/>
          <w:lang w:val="en-US"/>
        </w:rPr>
      </w:pPr>
    </w:p>
    <w:p w14:paraId="5F150001" w14:textId="77777777" w:rsidR="007C4635" w:rsidRPr="00B94B81" w:rsidRDefault="007C463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Based on the principle that a natural risk is managed better when one has prepared for it, it is necessary, in order to prevent any hydrometeorological crisis situation, to seek to better understand and quantify the rainfall and hydrological regimes of small watersheds; this allows for a better estimation of the rainfall and hydrological parameters of these watersheds which have sufficient rainfall and hydrological data. Therefore, with a view to helping basin managers in Forest Guinea to have a better understanding of extreme hydrometeorological events at the scale of Diani, this work proposes to analyze maximum flows and rainfall, to evaluate the relationship between rainfall and characteristic flows of the basin and, finally, to formulate a model allowing the estimation of return times and quantiles of maximum flows and rainfall.</w:t>
      </w:r>
    </w:p>
    <w:p w14:paraId="43AE18EE" w14:textId="77777777" w:rsidR="005C7A95" w:rsidRPr="0026579C" w:rsidRDefault="005C7A95" w:rsidP="0026579C">
      <w:pPr>
        <w:spacing w:before="120" w:after="120" w:line="240" w:lineRule="auto"/>
        <w:jc w:val="both"/>
        <w:rPr>
          <w:rFonts w:ascii="Arial" w:hAnsi="Arial" w:cs="Arial"/>
          <w:b/>
          <w:lang w:val="en-US"/>
        </w:rPr>
      </w:pPr>
      <w:r w:rsidRPr="0026579C">
        <w:rPr>
          <w:rFonts w:ascii="Arial" w:hAnsi="Arial" w:cs="Arial"/>
          <w:b/>
          <w:lang w:val="en-US"/>
        </w:rPr>
        <w:lastRenderedPageBreak/>
        <w:t>2. Materials and Methods</w:t>
      </w:r>
    </w:p>
    <w:p w14:paraId="08FF31E3" w14:textId="77777777" w:rsidR="005C7A95" w:rsidRPr="00B94B81" w:rsidRDefault="005C7A95" w:rsidP="0026579C">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2.1. Study Setting and Data</w:t>
      </w:r>
    </w:p>
    <w:p w14:paraId="4129999F" w14:textId="01AEB9F8" w:rsidR="005C7A95" w:rsidRPr="00B94B81" w:rsidRDefault="005C7A95" w:rsidP="00B94B81">
      <w:pPr>
        <w:spacing w:after="0" w:line="240" w:lineRule="auto"/>
        <w:jc w:val="both"/>
        <w:rPr>
          <w:rFonts w:ascii="Arial" w:hAnsi="Arial" w:cs="Arial"/>
          <w:sz w:val="20"/>
          <w:szCs w:val="20"/>
          <w:lang w:val="en-US"/>
        </w:rPr>
      </w:pPr>
      <w:r w:rsidRPr="00B94B81">
        <w:rPr>
          <w:rFonts w:ascii="Arial" w:hAnsi="Arial" w:cs="Arial"/>
          <w:sz w:val="20"/>
          <w:szCs w:val="20"/>
          <w:lang w:val="en-US"/>
        </w:rPr>
        <w:t>The Diani River watershed, located in the Forest Region of Guinea (between 7°30' - 9°30' North and 8°0' - 10°30' West), is a major ecosystem covering approximately 5,200 km</w:t>
      </w:r>
      <w:r w:rsidRPr="0026579C">
        <w:rPr>
          <w:rFonts w:ascii="Arial" w:hAnsi="Arial" w:cs="Arial"/>
          <w:sz w:val="20"/>
          <w:szCs w:val="20"/>
          <w:lang w:val="en-US"/>
        </w:rPr>
        <w:t>² (</w:t>
      </w:r>
      <w:r w:rsidR="0026579C" w:rsidRPr="0026579C">
        <w:rPr>
          <w:rFonts w:ascii="Arial" w:hAnsi="Arial" w:cs="Arial"/>
          <w:sz w:val="20"/>
          <w:szCs w:val="20"/>
          <w:lang w:val="en-US"/>
        </w:rPr>
        <w:t>F</w:t>
      </w:r>
      <w:r w:rsidRPr="0026579C">
        <w:rPr>
          <w:rFonts w:ascii="Arial" w:hAnsi="Arial" w:cs="Arial"/>
          <w:sz w:val="20"/>
          <w:szCs w:val="20"/>
          <w:lang w:val="en-US"/>
        </w:rPr>
        <w:t>ig</w:t>
      </w:r>
      <w:r w:rsidR="0026579C" w:rsidRPr="0026579C">
        <w:rPr>
          <w:rFonts w:ascii="Arial" w:hAnsi="Arial" w:cs="Arial"/>
          <w:sz w:val="20"/>
          <w:szCs w:val="20"/>
          <w:lang w:val="en-US"/>
        </w:rPr>
        <w:t>.</w:t>
      </w:r>
      <w:r w:rsidRPr="0026579C">
        <w:rPr>
          <w:rFonts w:ascii="Arial" w:hAnsi="Arial" w:cs="Arial"/>
          <w:sz w:val="20"/>
          <w:szCs w:val="20"/>
          <w:lang w:val="en-US"/>
        </w:rPr>
        <w:t xml:space="preserve"> 1). It is one of the most important watercourses in the region, essential for local hydrography. It originates in the</w:t>
      </w:r>
      <w:r w:rsidRPr="00B94B81">
        <w:rPr>
          <w:rFonts w:ascii="Arial" w:hAnsi="Arial" w:cs="Arial"/>
          <w:sz w:val="20"/>
          <w:szCs w:val="20"/>
          <w:lang w:val="en-US"/>
        </w:rPr>
        <w:t xml:space="preserve"> Ziama Classified Forest (Macenta Prefecture), forms the boundary between the Macenta and N'Zérékoré Prefectures, and forms the border between Guinea and Liberia for 50 km. The basin has a reliable gauging station at the Diani Bridge, used for observations. It is subject to tropical rainfall patterns that influence its flow. The area is characterized by mountainous landscapes (Nimba Mountains, Guinean Ridge) upstream, with dense forest ecosystems. The Diani basin is crucial for water supply, agriculture, and the ecological balance of the Forest Region of Guinea. The data used in this research are based on annual rainfall and stream flow data. Rainfall data were provided by the National Meteorological Agency of Conakry and cover the period from 1995 to 2024 for two synoptic stations (Macenta and N’Zérékoré). Stream flow data were obtained from the National Directorate of Hydraulics of Conakry </w:t>
      </w:r>
      <w:r w:rsidR="00732307" w:rsidRPr="00B94B81">
        <w:rPr>
          <w:rFonts w:ascii="Arial" w:hAnsi="Arial" w:cs="Arial"/>
          <w:sz w:val="20"/>
          <w:szCs w:val="20"/>
          <w:lang w:val="en-US"/>
        </w:rPr>
        <w:t>and also cover the same period (</w:t>
      </w:r>
      <w:proofErr w:type="spellStart"/>
      <w:r w:rsidR="00732307" w:rsidRPr="00B94B81">
        <w:rPr>
          <w:rFonts w:ascii="Arial" w:hAnsi="Arial" w:cs="Arial"/>
          <w:color w:val="4472C4" w:themeColor="accent5"/>
          <w:sz w:val="20"/>
          <w:szCs w:val="20"/>
          <w:lang w:val="en-US"/>
        </w:rPr>
        <w:t>Piou</w:t>
      </w:r>
      <w:proofErr w:type="spellEnd"/>
      <w:r w:rsidR="00732307" w:rsidRPr="00B94B81">
        <w:rPr>
          <w:rFonts w:ascii="Arial" w:hAnsi="Arial" w:cs="Arial"/>
          <w:color w:val="4472C4" w:themeColor="accent5"/>
          <w:sz w:val="20"/>
          <w:szCs w:val="20"/>
          <w:lang w:val="en-US"/>
        </w:rPr>
        <w:t xml:space="preserve"> </w:t>
      </w:r>
      <w:proofErr w:type="spellStart"/>
      <w:r w:rsidR="00732307" w:rsidRPr="00B94B81">
        <w:rPr>
          <w:rFonts w:ascii="Arial" w:hAnsi="Arial" w:cs="Arial"/>
          <w:color w:val="4472C4" w:themeColor="accent5"/>
          <w:sz w:val="20"/>
          <w:szCs w:val="20"/>
          <w:lang w:val="en-US"/>
        </w:rPr>
        <w:t>Dobo</w:t>
      </w:r>
      <w:proofErr w:type="spellEnd"/>
      <w:r w:rsidR="00732307" w:rsidRPr="00B94B81">
        <w:rPr>
          <w:rFonts w:ascii="Arial" w:hAnsi="Arial" w:cs="Arial"/>
          <w:color w:val="4472C4" w:themeColor="accent5"/>
          <w:sz w:val="20"/>
          <w:szCs w:val="20"/>
          <w:lang w:val="en-US"/>
        </w:rPr>
        <w:t xml:space="preserve"> et al., 2025</w:t>
      </w:r>
      <w:r w:rsidR="00732307" w:rsidRPr="00B94B81">
        <w:rPr>
          <w:rFonts w:ascii="Arial" w:hAnsi="Arial" w:cs="Arial"/>
          <w:sz w:val="20"/>
          <w:szCs w:val="20"/>
          <w:lang w:val="en-US"/>
        </w:rPr>
        <w:t>)</w:t>
      </w:r>
      <w:r w:rsidRPr="00B94B81">
        <w:rPr>
          <w:rFonts w:ascii="Arial" w:hAnsi="Arial" w:cs="Arial"/>
          <w:sz w:val="20"/>
          <w:szCs w:val="20"/>
          <w:lang w:val="en-US"/>
        </w:rPr>
        <w:t>.</w:t>
      </w:r>
    </w:p>
    <w:p w14:paraId="73F73F87" w14:textId="29A57C9E" w:rsidR="00914F92" w:rsidRPr="00B94B81" w:rsidRDefault="00C32CCA" w:rsidP="00C32CCA">
      <w:pPr>
        <w:jc w:val="center"/>
        <w:rPr>
          <w:rFonts w:ascii="Arial" w:hAnsi="Arial" w:cs="Arial"/>
          <w:sz w:val="20"/>
          <w:szCs w:val="20"/>
          <w:lang w:val="en-US"/>
        </w:rPr>
      </w:pPr>
      <w:r>
        <w:rPr>
          <w:rFonts w:ascii="Arial" w:hAnsi="Arial" w:cs="Arial"/>
          <w:noProof/>
          <w:sz w:val="20"/>
          <w:szCs w:val="20"/>
          <w:lang w:val="en-US"/>
        </w:rPr>
        <w:drawing>
          <wp:inline distT="0" distB="0" distL="0" distR="0" wp14:anchorId="53BFB3E6" wp14:editId="08660EDC">
            <wp:extent cx="5398661" cy="3195320"/>
            <wp:effectExtent l="0" t="0" r="0" b="5080"/>
            <wp:docPr id="1709563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6984" cy="3200246"/>
                    </a:xfrm>
                    <a:prstGeom prst="rect">
                      <a:avLst/>
                    </a:prstGeom>
                    <a:noFill/>
                    <a:ln>
                      <a:noFill/>
                    </a:ln>
                  </pic:spPr>
                </pic:pic>
              </a:graphicData>
            </a:graphic>
          </wp:inline>
        </w:drawing>
      </w:r>
    </w:p>
    <w:p w14:paraId="6F4D04EB" w14:textId="5471DAFB" w:rsidR="00914F92" w:rsidRPr="00C32CCA" w:rsidRDefault="00914F92" w:rsidP="00C32CCA">
      <w:pPr>
        <w:rPr>
          <w:rFonts w:ascii="Arial" w:hAnsi="Arial" w:cs="Arial"/>
          <w:bCs/>
          <w:iCs/>
          <w:sz w:val="20"/>
          <w:szCs w:val="20"/>
          <w:lang w:val="en-US"/>
        </w:rPr>
      </w:pPr>
      <w:r w:rsidRPr="0026579C">
        <w:rPr>
          <w:rFonts w:ascii="Arial" w:hAnsi="Arial" w:cs="Arial"/>
          <w:b/>
          <w:iCs/>
          <w:sz w:val="20"/>
          <w:szCs w:val="20"/>
          <w:lang w:val="en-US"/>
        </w:rPr>
        <w:t>Fig</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1</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w:t>
      </w:r>
      <w:r w:rsidRPr="00C32CCA">
        <w:rPr>
          <w:rFonts w:ascii="Arial" w:hAnsi="Arial" w:cs="Arial"/>
          <w:bCs/>
          <w:iCs/>
          <w:sz w:val="20"/>
          <w:szCs w:val="20"/>
          <w:lang w:val="en-US"/>
        </w:rPr>
        <w:t>Location map of the Diani watershed (Source: M. Sidiki Traore)</w:t>
      </w:r>
    </w:p>
    <w:p w14:paraId="78C29458" w14:textId="77777777" w:rsidR="00914F92" w:rsidRPr="0026579C" w:rsidRDefault="00914F92"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t>2.2. Analysis Methodology</w:t>
      </w:r>
    </w:p>
    <w:p w14:paraId="5BC1E03D" w14:textId="5636FF9C" w:rsidR="00914F92" w:rsidRDefault="00914F92"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 xml:space="preserve">The availability of accurate estimates of extreme hydrometeorological events (such as floods and low water levels) is essential for the successful execution of various engineering activities, including the design of hydraulic structures, water and habitat quality management, and flood prevention. To improve these estimates, numerous methodologies have </w:t>
      </w:r>
      <w:r w:rsidR="00732307" w:rsidRPr="0026579C">
        <w:rPr>
          <w:rFonts w:ascii="Arial" w:hAnsi="Arial" w:cs="Arial"/>
          <w:sz w:val="20"/>
          <w:szCs w:val="20"/>
          <w:lang w:val="en-US"/>
        </w:rPr>
        <w:t>been developed in recent years (</w:t>
      </w:r>
      <w:proofErr w:type="spellStart"/>
      <w:r w:rsidR="00732307" w:rsidRPr="0026579C">
        <w:rPr>
          <w:rFonts w:ascii="Arial" w:hAnsi="Arial" w:cs="Arial"/>
          <w:color w:val="4472C4" w:themeColor="accent5"/>
          <w:sz w:val="20"/>
          <w:szCs w:val="20"/>
          <w:lang w:val="en-US"/>
        </w:rPr>
        <w:t>Piou</w:t>
      </w:r>
      <w:proofErr w:type="spellEnd"/>
      <w:r w:rsidR="00732307" w:rsidRPr="0026579C">
        <w:rPr>
          <w:rFonts w:ascii="Arial" w:hAnsi="Arial" w:cs="Arial"/>
          <w:color w:val="4472C4" w:themeColor="accent5"/>
          <w:sz w:val="20"/>
          <w:szCs w:val="20"/>
          <w:lang w:val="en-US"/>
        </w:rPr>
        <w:t xml:space="preserve"> </w:t>
      </w:r>
      <w:proofErr w:type="spellStart"/>
      <w:r w:rsidR="00732307" w:rsidRPr="0026579C">
        <w:rPr>
          <w:rFonts w:ascii="Arial" w:hAnsi="Arial" w:cs="Arial"/>
          <w:color w:val="4472C4" w:themeColor="accent5"/>
          <w:sz w:val="20"/>
          <w:szCs w:val="20"/>
          <w:lang w:val="en-US"/>
        </w:rPr>
        <w:t>Dobo</w:t>
      </w:r>
      <w:proofErr w:type="spellEnd"/>
      <w:r w:rsidR="00732307" w:rsidRPr="0026579C">
        <w:rPr>
          <w:rFonts w:ascii="Arial" w:hAnsi="Arial" w:cs="Arial"/>
          <w:color w:val="4472C4" w:themeColor="accent5"/>
          <w:sz w:val="20"/>
          <w:szCs w:val="20"/>
          <w:lang w:val="en-US"/>
        </w:rPr>
        <w:t xml:space="preserve"> et al..., 2025</w:t>
      </w:r>
      <w:r w:rsidR="00732307" w:rsidRPr="0026579C">
        <w:rPr>
          <w:rFonts w:ascii="Arial" w:hAnsi="Arial" w:cs="Arial"/>
          <w:sz w:val="20"/>
          <w:szCs w:val="20"/>
          <w:lang w:val="en-US"/>
        </w:rPr>
        <w:t>)</w:t>
      </w:r>
      <w:r w:rsidRPr="0026579C">
        <w:rPr>
          <w:rFonts w:ascii="Arial" w:hAnsi="Arial" w:cs="Arial"/>
          <w:sz w:val="20"/>
          <w:szCs w:val="20"/>
          <w:lang w:val="en-US"/>
        </w:rPr>
        <w:t xml:space="preserve">. In this study, a fitting law, namely the Gumbel distribution, is used. This distribution was selected based </w:t>
      </w:r>
      <w:r w:rsidR="00374697" w:rsidRPr="0026579C">
        <w:rPr>
          <w:rFonts w:ascii="Arial" w:hAnsi="Arial" w:cs="Arial"/>
          <w:sz w:val="20"/>
          <w:szCs w:val="20"/>
          <w:lang w:val="en-US"/>
        </w:rPr>
        <w:t>on the work of several authors (</w:t>
      </w:r>
      <w:r w:rsidR="00732307" w:rsidRPr="0026579C">
        <w:rPr>
          <w:rFonts w:ascii="Arial" w:hAnsi="Arial" w:cs="Arial"/>
          <w:color w:val="4472C4" w:themeColor="accent5"/>
          <w:sz w:val="20"/>
          <w:szCs w:val="20"/>
          <w:lang w:val="en-US"/>
        </w:rPr>
        <w:t xml:space="preserve">Kundzewicz et al..., 2014; </w:t>
      </w:r>
      <w:r w:rsidR="00732307" w:rsidRPr="0026579C">
        <w:rPr>
          <w:rFonts w:ascii="Arial" w:eastAsia="Times New Roman" w:hAnsi="Arial" w:cs="Arial"/>
          <w:color w:val="4472C4" w:themeColor="accent5"/>
          <w:sz w:val="20"/>
          <w:szCs w:val="20"/>
          <w:lang w:val="en-US" w:eastAsia="fr-FR"/>
        </w:rPr>
        <w:t xml:space="preserve">Amani Michel et al…, </w:t>
      </w:r>
      <w:r w:rsidR="005A220E" w:rsidRPr="0026579C">
        <w:rPr>
          <w:rFonts w:ascii="Arial" w:eastAsia="Times New Roman" w:hAnsi="Arial" w:cs="Arial"/>
          <w:color w:val="4472C4" w:themeColor="accent5"/>
          <w:sz w:val="20"/>
          <w:szCs w:val="20"/>
          <w:lang w:val="en-US" w:eastAsia="fr-FR"/>
        </w:rPr>
        <w:t>2018;</w:t>
      </w:r>
      <w:r w:rsidR="005A220E" w:rsidRPr="0026579C">
        <w:rPr>
          <w:rStyle w:val="linkbluetoblue"/>
          <w:rFonts w:ascii="Arial" w:hAnsi="Arial" w:cs="Arial"/>
          <w:color w:val="4472C4" w:themeColor="accent5"/>
          <w:sz w:val="20"/>
          <w:szCs w:val="20"/>
          <w:shd w:val="clear" w:color="auto" w:fill="FFFFFF"/>
          <w:lang w:val="en-US"/>
        </w:rPr>
        <w:t xml:space="preserve"> Belkacem Abdous et al..., 2008; </w:t>
      </w:r>
      <w:r w:rsidR="00374697" w:rsidRPr="0026579C">
        <w:rPr>
          <w:rFonts w:ascii="Arial" w:eastAsia="Times New Roman" w:hAnsi="Arial" w:cs="Arial"/>
          <w:color w:val="4472C4" w:themeColor="accent5"/>
          <w:sz w:val="20"/>
          <w:szCs w:val="20"/>
          <w:lang w:val="en-US" w:eastAsia="fr-FR"/>
        </w:rPr>
        <w:t>Gue, A., &amp; Afouda, A. 2015</w:t>
      </w:r>
      <w:r w:rsidR="0026579C">
        <w:rPr>
          <w:rFonts w:ascii="Arial" w:eastAsia="Times New Roman" w:hAnsi="Arial" w:cs="Arial"/>
          <w:color w:val="4472C4" w:themeColor="accent5"/>
          <w:sz w:val="20"/>
          <w:szCs w:val="20"/>
          <w:lang w:val="en-US" w:eastAsia="fr-FR"/>
        </w:rPr>
        <w:t xml:space="preserve"> and</w:t>
      </w:r>
      <w:r w:rsidR="005A220E" w:rsidRPr="0026579C">
        <w:rPr>
          <w:rFonts w:ascii="Arial" w:hAnsi="Arial" w:cs="Arial"/>
          <w:color w:val="4472C4" w:themeColor="accent5"/>
          <w:sz w:val="20"/>
          <w:szCs w:val="20"/>
          <w:lang w:val="en-US"/>
        </w:rPr>
        <w:t xml:space="preserve"> </w:t>
      </w:r>
      <w:r w:rsidR="005A220E" w:rsidRPr="0026579C">
        <w:rPr>
          <w:rFonts w:ascii="Arial" w:hAnsi="Arial" w:cs="Arial"/>
          <w:color w:val="4472C4" w:themeColor="accent5"/>
          <w:sz w:val="20"/>
          <w:szCs w:val="20"/>
          <w:shd w:val="clear" w:color="auto" w:fill="FFFFFF"/>
          <w:lang w:val="en-US"/>
        </w:rPr>
        <w:t xml:space="preserve">Goula et al…, </w:t>
      </w:r>
      <w:r w:rsidR="00374697" w:rsidRPr="0026579C">
        <w:rPr>
          <w:rFonts w:ascii="Arial" w:hAnsi="Arial" w:cs="Arial"/>
          <w:color w:val="4472C4" w:themeColor="accent5"/>
          <w:sz w:val="20"/>
          <w:szCs w:val="20"/>
          <w:shd w:val="clear" w:color="auto" w:fill="FFFFFF"/>
          <w:lang w:val="en-US"/>
        </w:rPr>
        <w:t>2007;</w:t>
      </w:r>
      <w:r w:rsidR="00374697" w:rsidRPr="0026579C">
        <w:rPr>
          <w:rFonts w:ascii="Arial" w:hAnsi="Arial" w:cs="Arial"/>
          <w:color w:val="000000" w:themeColor="text1"/>
          <w:sz w:val="20"/>
          <w:szCs w:val="20"/>
          <w:shd w:val="clear" w:color="auto" w:fill="FFFFFF"/>
          <w:lang w:val="en-US"/>
        </w:rPr>
        <w:t>)</w:t>
      </w:r>
      <w:r w:rsidRPr="0026579C">
        <w:rPr>
          <w:rFonts w:ascii="Arial" w:hAnsi="Arial" w:cs="Arial"/>
          <w:sz w:val="20"/>
          <w:szCs w:val="20"/>
          <w:lang w:val="en-US"/>
        </w:rPr>
        <w:t>.</w:t>
      </w:r>
    </w:p>
    <w:p w14:paraId="51BC6A5B" w14:textId="77777777" w:rsidR="0026579C" w:rsidRPr="0026579C" w:rsidRDefault="0026579C" w:rsidP="0026579C">
      <w:pPr>
        <w:spacing w:after="0" w:line="240" w:lineRule="auto"/>
        <w:jc w:val="both"/>
        <w:rPr>
          <w:rFonts w:ascii="Arial" w:hAnsi="Arial" w:cs="Arial"/>
          <w:sz w:val="20"/>
          <w:szCs w:val="20"/>
          <w:lang w:val="en-US"/>
        </w:rPr>
      </w:pPr>
    </w:p>
    <w:p w14:paraId="37C47022" w14:textId="77777777" w:rsidR="00BB39CE" w:rsidRPr="0026579C" w:rsidRDefault="00BB39CE"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Calculation of empirical frequencies</w:t>
      </w:r>
    </w:p>
    <w:p w14:paraId="060E9861" w14:textId="375CD104" w:rsidR="00BB39CE" w:rsidRDefault="00BB39CE"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In the tropical zone, Hazen's formula ha</w:t>
      </w:r>
      <w:r w:rsidR="009C77BE" w:rsidRPr="0026579C">
        <w:rPr>
          <w:rFonts w:ascii="Arial" w:hAnsi="Arial" w:cs="Arial"/>
          <w:sz w:val="20"/>
          <w:szCs w:val="20"/>
          <w:lang w:val="en-US"/>
        </w:rPr>
        <w:t>s been used by most authors (</w:t>
      </w:r>
      <w:r w:rsidR="009C77BE" w:rsidRPr="0026579C">
        <w:rPr>
          <w:rFonts w:ascii="Arial" w:hAnsi="Arial" w:cs="Arial"/>
          <w:color w:val="4472C4" w:themeColor="accent5"/>
          <w:sz w:val="20"/>
          <w:szCs w:val="20"/>
          <w:shd w:val="clear" w:color="auto" w:fill="FFFFFF"/>
          <w:lang w:val="en-US"/>
        </w:rPr>
        <w:t xml:space="preserve">Relwindé Abdoul et al…, 2021; </w:t>
      </w:r>
      <w:r w:rsidR="009C77BE" w:rsidRPr="0026579C">
        <w:rPr>
          <w:rStyle w:val="Emphasis"/>
          <w:rFonts w:ascii="Arial" w:hAnsi="Arial" w:cs="Arial"/>
          <w:bCs/>
          <w:color w:val="4472C4" w:themeColor="accent5"/>
          <w:sz w:val="20"/>
          <w:szCs w:val="20"/>
          <w:shd w:val="clear" w:color="auto" w:fill="FFFFFF"/>
          <w:lang w:val="en-US"/>
        </w:rPr>
        <w:t>H</w:t>
      </w:r>
      <w:r w:rsidR="009C77BE" w:rsidRPr="0026579C">
        <w:rPr>
          <w:rFonts w:ascii="Arial" w:hAnsi="Arial" w:cs="Arial"/>
          <w:color w:val="4472C4" w:themeColor="accent5"/>
          <w:sz w:val="20"/>
          <w:szCs w:val="20"/>
          <w:shd w:val="clear" w:color="auto" w:fill="FFFFFF"/>
          <w:lang w:val="en-US"/>
        </w:rPr>
        <w:t>., De </w:t>
      </w:r>
      <w:r w:rsidR="009C77BE" w:rsidRPr="0026579C">
        <w:rPr>
          <w:rStyle w:val="Emphasis"/>
          <w:rFonts w:ascii="Arial" w:hAnsi="Arial" w:cs="Arial"/>
          <w:bCs/>
          <w:color w:val="4472C4" w:themeColor="accent5"/>
          <w:sz w:val="20"/>
          <w:szCs w:val="20"/>
          <w:shd w:val="clear" w:color="auto" w:fill="FFFFFF"/>
          <w:lang w:val="en-US"/>
        </w:rPr>
        <w:t>Longueville</w:t>
      </w:r>
      <w:r w:rsidR="009C77BE" w:rsidRPr="0026579C">
        <w:rPr>
          <w:rFonts w:ascii="Arial" w:hAnsi="Arial" w:cs="Arial"/>
          <w:color w:val="4472C4" w:themeColor="accent5"/>
          <w:sz w:val="20"/>
          <w:szCs w:val="20"/>
          <w:shd w:val="clear" w:color="auto" w:fill="FFFFFF"/>
          <w:lang w:val="en-US"/>
        </w:rPr>
        <w:t>, </w:t>
      </w:r>
      <w:r w:rsidR="009C77BE" w:rsidRPr="0026579C">
        <w:rPr>
          <w:rStyle w:val="Emphasis"/>
          <w:rFonts w:ascii="Arial" w:hAnsi="Arial" w:cs="Arial"/>
          <w:bCs/>
          <w:color w:val="4472C4" w:themeColor="accent5"/>
          <w:sz w:val="20"/>
          <w:szCs w:val="20"/>
          <w:shd w:val="clear" w:color="auto" w:fill="FFFFFF"/>
          <w:lang w:val="en-US"/>
        </w:rPr>
        <w:t>F</w:t>
      </w:r>
      <w:r w:rsidR="009C77BE" w:rsidRPr="0026579C">
        <w:rPr>
          <w:rFonts w:ascii="Arial" w:hAnsi="Arial" w:cs="Arial"/>
          <w:color w:val="4472C4" w:themeColor="accent5"/>
          <w:sz w:val="20"/>
          <w:szCs w:val="20"/>
          <w:shd w:val="clear" w:color="auto" w:fill="FFFFFF"/>
          <w:lang w:val="en-US"/>
        </w:rPr>
        <w:t>., &amp; </w:t>
      </w:r>
      <w:r w:rsidR="009C77BE" w:rsidRPr="0026579C">
        <w:rPr>
          <w:rStyle w:val="Emphasis"/>
          <w:rFonts w:ascii="Arial" w:hAnsi="Arial" w:cs="Arial"/>
          <w:bCs/>
          <w:color w:val="4472C4" w:themeColor="accent5"/>
          <w:sz w:val="20"/>
          <w:szCs w:val="20"/>
          <w:shd w:val="clear" w:color="auto" w:fill="FFFFFF"/>
          <w:lang w:val="en-US"/>
        </w:rPr>
        <w:t>Ozer</w:t>
      </w:r>
      <w:r w:rsidR="009C77BE" w:rsidRPr="0026579C">
        <w:rPr>
          <w:rFonts w:ascii="Arial" w:hAnsi="Arial" w:cs="Arial"/>
          <w:color w:val="4472C4" w:themeColor="accent5"/>
          <w:sz w:val="20"/>
          <w:szCs w:val="20"/>
          <w:shd w:val="clear" w:color="auto" w:fill="FFFFFF"/>
          <w:lang w:val="en-US"/>
        </w:rPr>
        <w:t>, </w:t>
      </w:r>
      <w:r w:rsidR="009C77BE" w:rsidRPr="0026579C">
        <w:rPr>
          <w:rStyle w:val="Emphasis"/>
          <w:rFonts w:ascii="Arial" w:hAnsi="Arial" w:cs="Arial"/>
          <w:bCs/>
          <w:color w:val="4472C4" w:themeColor="accent5"/>
          <w:sz w:val="20"/>
          <w:szCs w:val="20"/>
          <w:shd w:val="clear" w:color="auto" w:fill="FFFFFF"/>
          <w:lang w:val="en-US"/>
        </w:rPr>
        <w:t>P</w:t>
      </w:r>
      <w:r w:rsidR="009C77BE" w:rsidRPr="0026579C">
        <w:rPr>
          <w:rFonts w:ascii="Arial" w:hAnsi="Arial" w:cs="Arial"/>
          <w:color w:val="4472C4" w:themeColor="accent5"/>
          <w:sz w:val="20"/>
          <w:szCs w:val="20"/>
          <w:shd w:val="clear" w:color="auto" w:fill="FFFFFF"/>
          <w:lang w:val="en-US"/>
        </w:rPr>
        <w:t xml:space="preserve">. </w:t>
      </w:r>
      <w:r w:rsidR="009C77BE" w:rsidRPr="0026579C">
        <w:rPr>
          <w:rStyle w:val="Emphasis"/>
          <w:rFonts w:ascii="Arial" w:hAnsi="Arial" w:cs="Arial"/>
          <w:bCs/>
          <w:color w:val="4472C4" w:themeColor="accent5"/>
          <w:sz w:val="20"/>
          <w:szCs w:val="20"/>
          <w:shd w:val="clear" w:color="auto" w:fill="FFFFFF"/>
          <w:lang w:val="en-US"/>
        </w:rPr>
        <w:t>2015</w:t>
      </w:r>
      <w:r w:rsidR="009C77BE" w:rsidRPr="0026579C">
        <w:rPr>
          <w:rFonts w:ascii="Arial" w:hAnsi="Arial" w:cs="Arial"/>
          <w:sz w:val="20"/>
          <w:szCs w:val="20"/>
          <w:lang w:val="en-US"/>
        </w:rPr>
        <w:t>)</w:t>
      </w:r>
      <w:r w:rsidRPr="0026579C">
        <w:rPr>
          <w:rFonts w:ascii="Arial" w:hAnsi="Arial" w:cs="Arial"/>
          <w:sz w:val="20"/>
          <w:szCs w:val="20"/>
          <w:lang w:val="en-US"/>
        </w:rPr>
        <w:t>. It is based on ranking a sample of maximum rainfall of size n in ascending order. The expression for the empirical or experimental non-exceedance frequency of Hazen for a value x of rank r is calculated by the equation</w:t>
      </w:r>
      <w:r w:rsidR="0026579C">
        <w:rPr>
          <w:rFonts w:ascii="Arial" w:hAnsi="Arial" w:cs="Arial"/>
          <w:sz w:val="20"/>
          <w:szCs w:val="20"/>
          <w:lang w:val="en-US"/>
        </w:rPr>
        <w:t xml:space="preserve"> 1.</w:t>
      </w:r>
    </w:p>
    <w:p w14:paraId="1E48343C" w14:textId="77777777" w:rsidR="0026579C" w:rsidRPr="0026579C" w:rsidRDefault="0026579C" w:rsidP="0026579C">
      <w:pPr>
        <w:spacing w:after="0" w:line="240" w:lineRule="auto"/>
        <w:jc w:val="both"/>
        <w:rPr>
          <w:rFonts w:ascii="Arial" w:hAnsi="Arial" w:cs="Arial"/>
          <w:sz w:val="20"/>
          <w:szCs w:val="20"/>
          <w:lang w:val="en-US"/>
        </w:rPr>
      </w:pPr>
    </w:p>
    <w:p w14:paraId="78F87469" w14:textId="77777777" w:rsidR="00BB39CE" w:rsidRPr="0026579C" w:rsidRDefault="00BB39CE" w:rsidP="0026579C">
      <w:pPr>
        <w:spacing w:after="0" w:line="240" w:lineRule="auto"/>
        <w:jc w:val="both"/>
        <w:rPr>
          <w:rFonts w:ascii="Arial" w:eastAsiaTheme="minorEastAsia" w:hAnsi="Arial" w:cs="Arial"/>
          <w:b/>
          <w:sz w:val="20"/>
          <w:szCs w:val="20"/>
        </w:rPr>
      </w:pPr>
      <m:oMathPara>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m:t>
          </m:r>
          <m:f>
            <m:fPr>
              <m:ctrlPr>
                <w:rPr>
                  <w:rFonts w:ascii="Cambria Math" w:hAnsi="Cambria Math" w:cs="Arial"/>
                  <w:b/>
                  <w:i/>
                  <w:sz w:val="20"/>
                  <w:szCs w:val="20"/>
                </w:rPr>
              </m:ctrlPr>
            </m:fPr>
            <m:num>
              <m:r>
                <m:rPr>
                  <m:sty m:val="bi"/>
                </m:rPr>
                <w:rPr>
                  <w:rFonts w:ascii="Cambria Math" w:hAnsi="Cambria Math" w:cs="Arial"/>
                  <w:sz w:val="20"/>
                  <w:szCs w:val="20"/>
                </w:rPr>
                <m:t>r-0,5</m:t>
              </m:r>
            </m:num>
            <m:den>
              <m:r>
                <m:rPr>
                  <m:sty m:val="bi"/>
                </m:rPr>
                <w:rPr>
                  <w:rFonts w:ascii="Cambria Math" w:hAnsi="Cambria Math" w:cs="Arial"/>
                  <w:sz w:val="20"/>
                  <w:szCs w:val="20"/>
                </w:rPr>
                <m:t>n</m:t>
              </m:r>
            </m:den>
          </m:f>
          <m:r>
            <m:rPr>
              <m:sty m:val="bi"/>
            </m:rPr>
            <w:rPr>
              <w:rFonts w:ascii="Cambria Math" w:hAnsi="Cambria Math" w:cs="Arial"/>
              <w:sz w:val="20"/>
              <w:szCs w:val="20"/>
            </w:rPr>
            <m:t xml:space="preserve">                (1)</m:t>
          </m:r>
        </m:oMath>
      </m:oMathPara>
    </w:p>
    <w:p w14:paraId="508BEF92" w14:textId="77777777" w:rsidR="0026579C" w:rsidRPr="0026579C" w:rsidRDefault="0026579C" w:rsidP="0026579C">
      <w:pPr>
        <w:spacing w:after="0" w:line="240" w:lineRule="auto"/>
        <w:jc w:val="both"/>
        <w:rPr>
          <w:rFonts w:ascii="Arial" w:eastAsiaTheme="minorEastAsia" w:hAnsi="Arial" w:cs="Arial"/>
          <w:b/>
          <w:sz w:val="20"/>
          <w:szCs w:val="20"/>
        </w:rPr>
      </w:pPr>
    </w:p>
    <w:p w14:paraId="6E96E2AB" w14:textId="77777777" w:rsidR="00BB39CE" w:rsidRPr="0026579C" w:rsidRDefault="00BB39CE"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Characterization of Return Times</w:t>
      </w:r>
    </w:p>
    <w:p w14:paraId="2D82A425" w14:textId="64FC51B5" w:rsidR="00BB39CE" w:rsidRDefault="00BB39CE"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lastRenderedPageBreak/>
        <w:t>The return period (or return time) characterizes the statistical time between two occurrences of a natural event of a given intensity. This term is widely used to characterize natural hazards. The estimation of different return times for an event is defined as the inverse of the probability of that event exceeding its intensity. It is given by the formula</w:t>
      </w:r>
      <w:r w:rsidR="0026579C">
        <w:rPr>
          <w:rFonts w:ascii="Arial" w:hAnsi="Arial" w:cs="Arial"/>
          <w:sz w:val="20"/>
          <w:szCs w:val="20"/>
          <w:lang w:val="en-US"/>
        </w:rPr>
        <w:t xml:space="preserve"> 2.</w:t>
      </w:r>
    </w:p>
    <w:p w14:paraId="0E4D2DD5" w14:textId="77777777" w:rsidR="0026579C" w:rsidRPr="0026579C" w:rsidRDefault="0026579C" w:rsidP="0026579C">
      <w:pPr>
        <w:spacing w:after="0" w:line="240" w:lineRule="auto"/>
        <w:jc w:val="both"/>
        <w:rPr>
          <w:rFonts w:ascii="Arial" w:hAnsi="Arial" w:cs="Arial"/>
          <w:sz w:val="20"/>
          <w:szCs w:val="20"/>
          <w:lang w:val="en-US"/>
        </w:rPr>
      </w:pPr>
    </w:p>
    <w:p w14:paraId="07DFFA2F" w14:textId="77777777" w:rsidR="005570E0" w:rsidRPr="0026579C" w:rsidRDefault="005570E0" w:rsidP="0026579C">
      <w:pPr>
        <w:autoSpaceDE w:val="0"/>
        <w:autoSpaceDN w:val="0"/>
        <w:adjustRightInd w:val="0"/>
        <w:spacing w:after="0" w:line="240" w:lineRule="auto"/>
        <w:rPr>
          <w:rFonts w:ascii="Arial" w:eastAsiaTheme="minorEastAsia" w:hAnsi="Arial" w:cs="Arial"/>
          <w:b/>
          <w:sz w:val="20"/>
          <w:szCs w:val="20"/>
        </w:rPr>
      </w:pPr>
      <m:oMathPara>
        <m:oMath>
          <m:r>
            <m:rPr>
              <m:sty m:val="bi"/>
            </m:rPr>
            <w:rPr>
              <w:rFonts w:ascii="Cambria Math" w:hAnsi="Cambria Math" w:cs="Arial"/>
              <w:sz w:val="20"/>
              <w:szCs w:val="20"/>
            </w:rPr>
            <m:t>T=</m:t>
          </m:r>
          <m:f>
            <m:fPr>
              <m:ctrlPr>
                <w:rPr>
                  <w:rFonts w:ascii="Cambria Math" w:hAnsi="Cambria Math" w:cs="Arial"/>
                  <w:b/>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1-F(x)</m:t>
              </m:r>
            </m:den>
          </m:f>
          <m:r>
            <m:rPr>
              <m:sty m:val="bi"/>
            </m:rPr>
            <w:rPr>
              <w:rFonts w:ascii="Cambria Math" w:hAnsi="Cambria Math" w:cs="Arial"/>
              <w:sz w:val="20"/>
              <w:szCs w:val="20"/>
            </w:rPr>
            <m:t xml:space="preserve">                (2) </m:t>
          </m:r>
        </m:oMath>
      </m:oMathPara>
    </w:p>
    <w:p w14:paraId="368D8F47"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Where, T: return period (years) and F: non-exceedance frequency.</w:t>
      </w:r>
    </w:p>
    <w:p w14:paraId="6FBE6517" w14:textId="76B53E76"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A rainfall event is classified as highly exceptional if its return period is over 100 years; exceptional if the return period is between 30 and 100 years; highly abnormal if the return period is between 10 and 30 years; and abnormal if the return p</w:t>
      </w:r>
      <w:r w:rsidR="0046332E" w:rsidRPr="0026579C">
        <w:rPr>
          <w:rFonts w:ascii="Arial" w:hAnsi="Arial" w:cs="Arial"/>
          <w:sz w:val="20"/>
          <w:szCs w:val="20"/>
          <w:lang w:val="en-US"/>
        </w:rPr>
        <w:t>eriod is between 1 and 6 years (</w:t>
      </w:r>
      <w:r w:rsidR="00935C18" w:rsidRPr="0026579C">
        <w:rPr>
          <w:rFonts w:ascii="Arial" w:hAnsi="Arial" w:cs="Arial"/>
          <w:color w:val="4472C4" w:themeColor="accent5"/>
          <w:sz w:val="20"/>
          <w:szCs w:val="20"/>
          <w:shd w:val="clear" w:color="auto" w:fill="FFFFFF"/>
          <w:lang w:val="en-US"/>
        </w:rPr>
        <w:t>Haan</w:t>
      </w:r>
      <w:r w:rsidR="0026579C">
        <w:rPr>
          <w:rFonts w:ascii="Arial" w:hAnsi="Arial" w:cs="Arial"/>
          <w:color w:val="4472C4" w:themeColor="accent5"/>
          <w:sz w:val="20"/>
          <w:szCs w:val="20"/>
          <w:shd w:val="clear" w:color="auto" w:fill="FFFFFF"/>
          <w:lang w:val="en-US"/>
        </w:rPr>
        <w:t xml:space="preserve"> </w:t>
      </w:r>
      <w:r w:rsidR="00935C18" w:rsidRPr="0026579C">
        <w:rPr>
          <w:rFonts w:ascii="Arial" w:hAnsi="Arial" w:cs="Arial"/>
          <w:color w:val="4472C4" w:themeColor="accent5"/>
          <w:sz w:val="20"/>
          <w:szCs w:val="20"/>
          <w:shd w:val="clear" w:color="auto" w:fill="FFFFFF"/>
          <w:lang w:val="en-US"/>
        </w:rPr>
        <w:t xml:space="preserve">and Ferreira 2006; Bergstrand et al., 2014; </w:t>
      </w:r>
      <w:proofErr w:type="spellStart"/>
      <w:r w:rsidR="00935C18" w:rsidRPr="0026579C">
        <w:rPr>
          <w:rFonts w:ascii="Arial" w:hAnsi="Arial" w:cs="Arial"/>
          <w:color w:val="4472C4" w:themeColor="accent5"/>
          <w:sz w:val="20"/>
          <w:szCs w:val="20"/>
          <w:lang w:val="en-US"/>
        </w:rPr>
        <w:t>Fougeres</w:t>
      </w:r>
      <w:proofErr w:type="spellEnd"/>
      <w:r w:rsidR="00935C18" w:rsidRPr="0026579C">
        <w:rPr>
          <w:rFonts w:ascii="Arial" w:hAnsi="Arial" w:cs="Arial"/>
          <w:color w:val="4472C4" w:themeColor="accent5"/>
          <w:sz w:val="20"/>
          <w:szCs w:val="20"/>
          <w:lang w:val="en-US"/>
        </w:rPr>
        <w:t xml:space="preserve"> et </w:t>
      </w:r>
      <w:proofErr w:type="spellStart"/>
      <w:r w:rsidR="00935C18" w:rsidRPr="0026579C">
        <w:rPr>
          <w:rFonts w:ascii="Arial" w:hAnsi="Arial" w:cs="Arial"/>
          <w:color w:val="4472C4" w:themeColor="accent5"/>
          <w:sz w:val="20"/>
          <w:szCs w:val="20"/>
          <w:lang w:val="en-US"/>
        </w:rPr>
        <w:t>Soulier</w:t>
      </w:r>
      <w:proofErr w:type="spellEnd"/>
      <w:r w:rsidR="00935C18" w:rsidRPr="0026579C">
        <w:rPr>
          <w:rFonts w:ascii="Arial" w:hAnsi="Arial" w:cs="Arial"/>
          <w:color w:val="4472C4" w:themeColor="accent5"/>
          <w:sz w:val="20"/>
          <w:szCs w:val="20"/>
          <w:lang w:val="en-US"/>
        </w:rPr>
        <w:t xml:space="preserve"> 2010; </w:t>
      </w:r>
      <w:r w:rsidR="0046332E" w:rsidRPr="0026579C">
        <w:rPr>
          <w:rStyle w:val="linkbluetoblue"/>
          <w:rFonts w:ascii="Arial" w:hAnsi="Arial" w:cs="Arial"/>
          <w:color w:val="4472C4" w:themeColor="accent5"/>
          <w:sz w:val="20"/>
          <w:szCs w:val="20"/>
          <w:shd w:val="clear" w:color="auto" w:fill="FFFFFF"/>
          <w:lang w:val="en-US"/>
        </w:rPr>
        <w:t>Belkacem et al</w:t>
      </w:r>
      <w:r w:rsidR="0026579C">
        <w:rPr>
          <w:rStyle w:val="linkbluetoblue"/>
          <w:rFonts w:ascii="Arial" w:hAnsi="Arial" w:cs="Arial"/>
          <w:color w:val="4472C4" w:themeColor="accent5"/>
          <w:sz w:val="20"/>
          <w:szCs w:val="20"/>
          <w:shd w:val="clear" w:color="auto" w:fill="FFFFFF"/>
          <w:lang w:val="en-US"/>
        </w:rPr>
        <w:t>..</w:t>
      </w:r>
      <w:r w:rsidR="0046332E" w:rsidRPr="0026579C">
        <w:rPr>
          <w:rStyle w:val="linkbluetoblue"/>
          <w:rFonts w:ascii="Arial" w:hAnsi="Arial" w:cs="Arial"/>
          <w:color w:val="4472C4" w:themeColor="accent5"/>
          <w:sz w:val="20"/>
          <w:szCs w:val="20"/>
          <w:shd w:val="clear" w:color="auto" w:fill="FFFFFF"/>
          <w:lang w:val="en-US"/>
        </w:rPr>
        <w:t xml:space="preserve">, 2008; </w:t>
      </w:r>
      <w:r w:rsidR="0046332E" w:rsidRPr="0026579C">
        <w:rPr>
          <w:rFonts w:ascii="Arial" w:hAnsi="Arial" w:cs="Arial"/>
          <w:color w:val="4472C4" w:themeColor="accent5"/>
          <w:sz w:val="20"/>
          <w:szCs w:val="20"/>
          <w:lang w:val="en-US"/>
        </w:rPr>
        <w:t xml:space="preserve">M. Schlather et </w:t>
      </w:r>
      <w:proofErr w:type="spellStart"/>
      <w:r w:rsidR="0046332E" w:rsidRPr="0026579C">
        <w:rPr>
          <w:rFonts w:ascii="Arial" w:hAnsi="Arial" w:cs="Arial"/>
          <w:color w:val="4472C4" w:themeColor="accent5"/>
          <w:sz w:val="20"/>
          <w:szCs w:val="20"/>
          <w:lang w:val="en-US"/>
        </w:rPr>
        <w:t>Tawn</w:t>
      </w:r>
      <w:proofErr w:type="spellEnd"/>
      <w:r w:rsidR="0046332E" w:rsidRPr="0026579C">
        <w:rPr>
          <w:rFonts w:ascii="Arial" w:hAnsi="Arial" w:cs="Arial"/>
          <w:color w:val="4472C4" w:themeColor="accent5"/>
          <w:sz w:val="20"/>
          <w:szCs w:val="20"/>
          <w:lang w:val="en-US"/>
        </w:rPr>
        <w:t xml:space="preserve"> 2003; </w:t>
      </w:r>
      <w:proofErr w:type="spellStart"/>
      <w:r w:rsidR="0046332E" w:rsidRPr="0026579C">
        <w:rPr>
          <w:rFonts w:ascii="Arial" w:hAnsi="Arial" w:cs="Arial"/>
          <w:color w:val="4472C4" w:themeColor="accent5"/>
          <w:sz w:val="20"/>
          <w:szCs w:val="20"/>
          <w:lang w:val="en-US"/>
        </w:rPr>
        <w:t>Kévin</w:t>
      </w:r>
      <w:proofErr w:type="spellEnd"/>
      <w:r w:rsidR="0046332E" w:rsidRPr="0026579C">
        <w:rPr>
          <w:rFonts w:ascii="Arial" w:hAnsi="Arial" w:cs="Arial"/>
          <w:color w:val="4472C4" w:themeColor="accent5"/>
          <w:sz w:val="20"/>
          <w:szCs w:val="20"/>
          <w:lang w:val="en-US"/>
        </w:rPr>
        <w:t xml:space="preserve"> Dubois et al</w:t>
      </w:r>
      <w:r w:rsidR="0026579C">
        <w:rPr>
          <w:rFonts w:ascii="Arial" w:hAnsi="Arial" w:cs="Arial"/>
          <w:color w:val="4472C4" w:themeColor="accent5"/>
          <w:sz w:val="20"/>
          <w:szCs w:val="20"/>
          <w:lang w:val="en-US"/>
        </w:rPr>
        <w:t>.</w:t>
      </w:r>
      <w:r w:rsidR="0046332E" w:rsidRPr="0026579C">
        <w:rPr>
          <w:rFonts w:ascii="Arial" w:hAnsi="Arial" w:cs="Arial"/>
          <w:color w:val="4472C4" w:themeColor="accent5"/>
          <w:sz w:val="20"/>
          <w:szCs w:val="20"/>
          <w:lang w:val="en-US"/>
        </w:rPr>
        <w:t>, 2024</w:t>
      </w:r>
      <w:r w:rsidR="0046332E" w:rsidRPr="0026579C">
        <w:rPr>
          <w:rFonts w:ascii="Arial" w:hAnsi="Arial" w:cs="Arial"/>
          <w:sz w:val="20"/>
          <w:szCs w:val="20"/>
          <w:lang w:val="en-US"/>
        </w:rPr>
        <w:t>)</w:t>
      </w:r>
      <w:r w:rsidRPr="0026579C">
        <w:rPr>
          <w:rFonts w:ascii="Arial" w:hAnsi="Arial" w:cs="Arial"/>
          <w:sz w:val="20"/>
          <w:szCs w:val="20"/>
          <w:lang w:val="en-US"/>
        </w:rPr>
        <w:t>.</w:t>
      </w:r>
    </w:p>
    <w:p w14:paraId="12D0F9B8" w14:textId="77777777" w:rsidR="0026579C" w:rsidRPr="0026579C" w:rsidRDefault="0026579C" w:rsidP="0026579C">
      <w:pPr>
        <w:spacing w:after="0" w:line="240" w:lineRule="auto"/>
        <w:jc w:val="both"/>
        <w:rPr>
          <w:rFonts w:ascii="Arial" w:hAnsi="Arial" w:cs="Arial"/>
          <w:sz w:val="20"/>
          <w:szCs w:val="20"/>
          <w:lang w:val="en-US"/>
        </w:rPr>
      </w:pPr>
    </w:p>
    <w:p w14:paraId="76391C70" w14:textId="77777777" w:rsidR="005570E0" w:rsidRPr="0026579C" w:rsidRDefault="005570E0" w:rsidP="0026579C">
      <w:pPr>
        <w:spacing w:after="0" w:line="240" w:lineRule="auto"/>
        <w:jc w:val="both"/>
        <w:rPr>
          <w:rFonts w:ascii="Arial" w:hAnsi="Arial" w:cs="Arial"/>
          <w:b/>
          <w:iCs/>
          <w:sz w:val="20"/>
          <w:szCs w:val="20"/>
          <w:lang w:val="en-US"/>
        </w:rPr>
      </w:pPr>
      <w:r w:rsidRPr="0026579C">
        <w:rPr>
          <w:rFonts w:ascii="Arial" w:hAnsi="Arial" w:cs="Arial"/>
          <w:b/>
          <w:iCs/>
          <w:sz w:val="20"/>
          <w:szCs w:val="20"/>
          <w:lang w:val="en-US"/>
        </w:rPr>
        <w:t>Pearson Correlation Test</w:t>
      </w:r>
    </w:p>
    <w:p w14:paraId="0804E2E9" w14:textId="54E52E02"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The correlation coefficient, often denoted (r), measures the strength and direction of a linear relationship between</w:t>
      </w:r>
      <w:r w:rsidR="004E47E2" w:rsidRPr="0026579C">
        <w:rPr>
          <w:rFonts w:ascii="Arial" w:hAnsi="Arial" w:cs="Arial"/>
          <w:sz w:val="20"/>
          <w:szCs w:val="20"/>
          <w:lang w:val="en-US"/>
        </w:rPr>
        <w:t xml:space="preserve"> two quantitative variables</w:t>
      </w:r>
      <w:r w:rsidRPr="0026579C">
        <w:rPr>
          <w:rFonts w:ascii="Arial" w:hAnsi="Arial" w:cs="Arial"/>
          <w:sz w:val="20"/>
          <w:szCs w:val="20"/>
          <w:lang w:val="en-US"/>
        </w:rPr>
        <w:t>. It ranges from -1 to 1. For two variables (X) and (Y), the Pearson correlation coefficient is calculated using the following formula</w:t>
      </w:r>
      <w:r w:rsidR="0026579C">
        <w:rPr>
          <w:rFonts w:ascii="Arial" w:hAnsi="Arial" w:cs="Arial"/>
          <w:sz w:val="20"/>
          <w:szCs w:val="20"/>
          <w:lang w:val="en-US"/>
        </w:rPr>
        <w:t xml:space="preserve"> 3.</w:t>
      </w:r>
    </w:p>
    <w:p w14:paraId="0FA27648" w14:textId="77777777" w:rsidR="0026579C" w:rsidRPr="0026579C" w:rsidRDefault="0026579C" w:rsidP="0026579C">
      <w:pPr>
        <w:spacing w:after="0" w:line="240" w:lineRule="auto"/>
        <w:jc w:val="both"/>
        <w:rPr>
          <w:rFonts w:ascii="Arial" w:hAnsi="Arial" w:cs="Arial"/>
          <w:sz w:val="20"/>
          <w:szCs w:val="20"/>
          <w:lang w:val="en-US"/>
        </w:rPr>
      </w:pPr>
    </w:p>
    <w:p w14:paraId="3E81BF9D" w14:textId="77777777" w:rsidR="005570E0" w:rsidRPr="0026579C" w:rsidRDefault="005570E0" w:rsidP="0026579C">
      <w:pPr>
        <w:spacing w:after="0" w:line="240" w:lineRule="auto"/>
        <w:jc w:val="both"/>
        <w:rPr>
          <w:rFonts w:ascii="Arial" w:eastAsia="Times New Roman" w:hAnsi="Arial" w:cs="Arial"/>
          <w:b/>
          <w:color w:val="000000" w:themeColor="text1"/>
          <w:sz w:val="20"/>
          <w:szCs w:val="20"/>
          <w:lang w:eastAsia="fr-FR"/>
        </w:rPr>
      </w:pPr>
      <m:oMathPara>
        <m:oMath>
          <m:r>
            <m:rPr>
              <m:sty m:val="bi"/>
            </m:rPr>
            <w:rPr>
              <w:rFonts w:ascii="Cambria Math" w:eastAsia="Times New Roman" w:hAnsi="Cambria Math" w:cs="Arial"/>
              <w:color w:val="000000" w:themeColor="text1"/>
              <w:sz w:val="20"/>
              <w:szCs w:val="20"/>
              <w:lang w:eastAsia="fr-FR"/>
            </w:rPr>
            <m:t>r=</m:t>
          </m:r>
          <m:f>
            <m:fPr>
              <m:ctrlPr>
                <w:rPr>
                  <w:rFonts w:ascii="Cambria Math" w:eastAsia="Times New Roman" w:hAnsi="Cambria Math" w:cs="Arial"/>
                  <w:b/>
                  <w:i/>
                  <w:color w:val="000000" w:themeColor="text1"/>
                  <w:sz w:val="20"/>
                  <w:szCs w:val="20"/>
                  <w:lang w:eastAsia="fr-FR"/>
                </w:rPr>
              </m:ctrlPr>
            </m:fPr>
            <m:num>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r>
                    <m:rPr>
                      <m:sty m:val="bi"/>
                    </m:rPr>
                    <w:rPr>
                      <w:rFonts w:ascii="Cambria Math" w:eastAsia="Times New Roman" w:hAnsi="Cambria Math" w:cs="Arial"/>
                      <w:color w:val="000000" w:themeColor="text1"/>
                      <w:sz w:val="20"/>
                      <w:szCs w:val="20"/>
                      <w:lang w:eastAsia="fr-FR"/>
                    </w:rPr>
                    <m:t>(X-</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X</m:t>
                      </m:r>
                    </m:e>
                  </m:acc>
                  <m:r>
                    <m:rPr>
                      <m:sty m:val="bi"/>
                    </m:rPr>
                    <w:rPr>
                      <w:rFonts w:ascii="Cambria Math" w:eastAsia="Times New Roman" w:hAnsi="Cambria Math" w:cs="Arial"/>
                      <w:color w:val="000000" w:themeColor="text1"/>
                      <w:sz w:val="20"/>
                      <w:szCs w:val="20"/>
                      <w:lang w:eastAsia="fr-FR"/>
                    </w:rPr>
                    <m:t>)(Y-</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Y</m:t>
                      </m:r>
                    </m:e>
                  </m:acc>
                  <m:r>
                    <m:rPr>
                      <m:sty m:val="bi"/>
                    </m:rPr>
                    <w:rPr>
                      <w:rFonts w:ascii="Cambria Math" w:eastAsia="Times New Roman" w:hAnsi="Cambria Math" w:cs="Arial"/>
                      <w:color w:val="000000" w:themeColor="text1"/>
                      <w:sz w:val="20"/>
                      <w:szCs w:val="20"/>
                      <w:lang w:eastAsia="fr-FR"/>
                    </w:rPr>
                    <m:t>)</m:t>
                  </m:r>
                </m:e>
              </m:nary>
            </m:num>
            <m:den>
              <m:rad>
                <m:radPr>
                  <m:degHide m:val="1"/>
                  <m:ctrlPr>
                    <w:rPr>
                      <w:rFonts w:ascii="Cambria Math" w:eastAsia="Times New Roman" w:hAnsi="Cambria Math" w:cs="Arial"/>
                      <w:b/>
                      <w:i/>
                      <w:color w:val="000000" w:themeColor="text1"/>
                      <w:sz w:val="20"/>
                      <w:szCs w:val="20"/>
                      <w:lang w:eastAsia="fr-FR"/>
                    </w:rPr>
                  </m:ctrlPr>
                </m:radPr>
                <m:deg/>
                <m:e>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sSup>
                        <m:sSupPr>
                          <m:ctrlPr>
                            <w:rPr>
                              <w:rFonts w:ascii="Cambria Math" w:eastAsia="Times New Roman" w:hAnsi="Cambria Math" w:cs="Arial"/>
                              <w:b/>
                              <w:i/>
                              <w:color w:val="000000" w:themeColor="text1"/>
                              <w:sz w:val="20"/>
                              <w:szCs w:val="20"/>
                              <w:lang w:eastAsia="fr-FR"/>
                            </w:rPr>
                          </m:ctrlPr>
                        </m:sSupPr>
                        <m:e>
                          <m:r>
                            <m:rPr>
                              <m:sty m:val="bi"/>
                            </m:rPr>
                            <w:rPr>
                              <w:rFonts w:ascii="Cambria Math" w:eastAsia="Times New Roman" w:hAnsi="Cambria Math" w:cs="Arial"/>
                              <w:color w:val="000000" w:themeColor="text1"/>
                              <w:sz w:val="20"/>
                              <w:szCs w:val="20"/>
                              <w:lang w:eastAsia="fr-FR"/>
                            </w:rPr>
                            <m:t>(X-</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X</m:t>
                              </m:r>
                            </m:e>
                          </m:acc>
                          <m:r>
                            <m:rPr>
                              <m:sty m:val="bi"/>
                            </m:rPr>
                            <w:rPr>
                              <w:rFonts w:ascii="Cambria Math" w:eastAsia="Times New Roman" w:hAnsi="Cambria Math" w:cs="Arial"/>
                              <w:color w:val="000000" w:themeColor="text1"/>
                              <w:sz w:val="20"/>
                              <w:szCs w:val="20"/>
                              <w:lang w:eastAsia="fr-FR"/>
                            </w:rPr>
                            <m:t>)</m:t>
                          </m:r>
                        </m:e>
                        <m:sup>
                          <m:r>
                            <m:rPr>
                              <m:sty m:val="bi"/>
                            </m:rPr>
                            <w:rPr>
                              <w:rFonts w:ascii="Cambria Math" w:eastAsia="Times New Roman" w:hAnsi="Cambria Math" w:cs="Arial"/>
                              <w:color w:val="000000" w:themeColor="text1"/>
                              <w:sz w:val="20"/>
                              <w:szCs w:val="20"/>
                              <w:lang w:eastAsia="fr-FR"/>
                            </w:rPr>
                            <m:t>2</m:t>
                          </m:r>
                        </m:sup>
                      </m:sSup>
                      <m:r>
                        <m:rPr>
                          <m:sty m:val="bi"/>
                        </m:rPr>
                        <w:rPr>
                          <w:rFonts w:ascii="Cambria Math" w:eastAsia="Times New Roman" w:hAnsi="Cambria Math" w:cs="Arial"/>
                          <w:color w:val="000000" w:themeColor="text1"/>
                          <w:sz w:val="20"/>
                          <w:szCs w:val="20"/>
                          <w:lang w:eastAsia="fr-FR"/>
                        </w:rPr>
                        <m:t>×</m:t>
                      </m:r>
                      <m:nary>
                        <m:naryPr>
                          <m:chr m:val="∑"/>
                          <m:limLoc m:val="undOvr"/>
                          <m:subHide m:val="1"/>
                          <m:supHide m:val="1"/>
                          <m:ctrlPr>
                            <w:rPr>
                              <w:rFonts w:ascii="Cambria Math" w:eastAsia="Times New Roman" w:hAnsi="Cambria Math" w:cs="Arial"/>
                              <w:b/>
                              <w:i/>
                              <w:color w:val="000000" w:themeColor="text1"/>
                              <w:sz w:val="20"/>
                              <w:szCs w:val="20"/>
                              <w:lang w:eastAsia="fr-FR"/>
                            </w:rPr>
                          </m:ctrlPr>
                        </m:naryPr>
                        <m:sub/>
                        <m:sup/>
                        <m:e>
                          <m:r>
                            <m:rPr>
                              <m:sty m:val="bi"/>
                            </m:rPr>
                            <w:rPr>
                              <w:rFonts w:ascii="Cambria Math" w:eastAsia="Times New Roman" w:hAnsi="Cambria Math" w:cs="Arial"/>
                              <w:color w:val="000000" w:themeColor="text1"/>
                              <w:sz w:val="20"/>
                              <w:szCs w:val="20"/>
                              <w:lang w:eastAsia="fr-FR"/>
                            </w:rPr>
                            <m:t>(</m:t>
                          </m:r>
                          <m:sSup>
                            <m:sSupPr>
                              <m:ctrlPr>
                                <w:rPr>
                                  <w:rFonts w:ascii="Cambria Math" w:eastAsia="Times New Roman" w:hAnsi="Cambria Math" w:cs="Arial"/>
                                  <w:b/>
                                  <w:i/>
                                  <w:color w:val="000000" w:themeColor="text1"/>
                                  <w:sz w:val="20"/>
                                  <w:szCs w:val="20"/>
                                  <w:lang w:eastAsia="fr-FR"/>
                                </w:rPr>
                              </m:ctrlPr>
                            </m:sSupPr>
                            <m:e>
                              <m:r>
                                <m:rPr>
                                  <m:sty m:val="bi"/>
                                </m:rPr>
                                <w:rPr>
                                  <w:rFonts w:ascii="Cambria Math" w:eastAsia="Times New Roman" w:hAnsi="Cambria Math" w:cs="Arial"/>
                                  <w:color w:val="000000" w:themeColor="text1"/>
                                  <w:sz w:val="20"/>
                                  <w:szCs w:val="20"/>
                                  <w:lang w:eastAsia="fr-FR"/>
                                </w:rPr>
                                <m:t>Y-</m:t>
                              </m:r>
                              <m:acc>
                                <m:accPr>
                                  <m:chr m:val="̅"/>
                                  <m:ctrlPr>
                                    <w:rPr>
                                      <w:rFonts w:ascii="Cambria Math" w:eastAsia="Times New Roman" w:hAnsi="Cambria Math" w:cs="Arial"/>
                                      <w:b/>
                                      <w:i/>
                                      <w:color w:val="000000" w:themeColor="text1"/>
                                      <w:sz w:val="20"/>
                                      <w:szCs w:val="20"/>
                                      <w:lang w:eastAsia="fr-FR"/>
                                    </w:rPr>
                                  </m:ctrlPr>
                                </m:accPr>
                                <m:e>
                                  <m:r>
                                    <m:rPr>
                                      <m:sty m:val="bi"/>
                                    </m:rPr>
                                    <w:rPr>
                                      <w:rFonts w:ascii="Cambria Math" w:eastAsia="Times New Roman" w:hAnsi="Cambria Math" w:cs="Arial"/>
                                      <w:color w:val="000000" w:themeColor="text1"/>
                                      <w:sz w:val="20"/>
                                      <w:szCs w:val="20"/>
                                      <w:lang w:eastAsia="fr-FR"/>
                                    </w:rPr>
                                    <m:t>Y</m:t>
                                  </m:r>
                                </m:e>
                              </m:acc>
                              <m:r>
                                <m:rPr>
                                  <m:sty m:val="bi"/>
                                </m:rPr>
                                <w:rPr>
                                  <w:rFonts w:ascii="Cambria Math" w:eastAsia="Times New Roman" w:hAnsi="Cambria Math" w:cs="Arial"/>
                                  <w:color w:val="000000" w:themeColor="text1"/>
                                  <w:sz w:val="20"/>
                                  <w:szCs w:val="20"/>
                                  <w:lang w:eastAsia="fr-FR"/>
                                </w:rPr>
                                <m:t>)</m:t>
                              </m:r>
                            </m:e>
                            <m:sup>
                              <m:r>
                                <m:rPr>
                                  <m:sty m:val="bi"/>
                                </m:rPr>
                                <w:rPr>
                                  <w:rFonts w:ascii="Cambria Math" w:eastAsia="Times New Roman" w:hAnsi="Cambria Math" w:cs="Arial"/>
                                  <w:color w:val="000000" w:themeColor="text1"/>
                                  <w:sz w:val="20"/>
                                  <w:szCs w:val="20"/>
                                  <w:lang w:eastAsia="fr-FR"/>
                                </w:rPr>
                                <m:t>2</m:t>
                              </m:r>
                            </m:sup>
                          </m:sSup>
                        </m:e>
                      </m:nary>
                    </m:e>
                  </m:nary>
                </m:e>
              </m:rad>
            </m:den>
          </m:f>
          <m:r>
            <m:rPr>
              <m:sty m:val="bi"/>
            </m:rPr>
            <w:rPr>
              <w:rFonts w:ascii="Cambria Math" w:eastAsia="Times New Roman" w:hAnsi="Cambria Math" w:cs="Arial"/>
              <w:color w:val="000000" w:themeColor="text1"/>
              <w:sz w:val="20"/>
              <w:szCs w:val="20"/>
              <w:lang w:eastAsia="fr-FR"/>
            </w:rPr>
            <m:t xml:space="preserve">               (3)</m:t>
          </m:r>
        </m:oMath>
      </m:oMathPara>
    </w:p>
    <w:p w14:paraId="327A956B" w14:textId="77777777" w:rsidR="0026579C" w:rsidRPr="0026579C" w:rsidRDefault="0026579C" w:rsidP="0026579C">
      <w:pPr>
        <w:spacing w:after="0" w:line="240" w:lineRule="auto"/>
        <w:jc w:val="both"/>
        <w:rPr>
          <w:rFonts w:ascii="Arial" w:eastAsia="Times New Roman" w:hAnsi="Arial" w:cs="Arial"/>
          <w:b/>
          <w:color w:val="000000" w:themeColor="text1"/>
          <w:sz w:val="20"/>
          <w:szCs w:val="20"/>
          <w:lang w:eastAsia="fr-FR"/>
        </w:rPr>
      </w:pPr>
    </w:p>
    <w:p w14:paraId="12A0C201"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Where X̅ and Y̅ represent the means of X and Y</w:t>
      </w:r>
    </w:p>
    <w:p w14:paraId="3C3F5D48"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1): perfect positive correlation. When (X) increases, (Y) increases proportionally.</w:t>
      </w:r>
    </w:p>
    <w:p w14:paraId="65EA607B" w14:textId="77777777" w:rsidR="005570E0" w:rsidRPr="0026579C"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-1): perfect negative correlation. When (X) increases, (Y) decreases proportionally.</w:t>
      </w:r>
    </w:p>
    <w:p w14:paraId="6B8439E7" w14:textId="77777777" w:rsidR="005570E0" w:rsidRDefault="005570E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(r = 0): no linear correlation. Changes in (X) have no predictable effect on (Y).</w:t>
      </w:r>
    </w:p>
    <w:p w14:paraId="0B277228" w14:textId="77777777" w:rsidR="0026579C" w:rsidRPr="0026579C" w:rsidRDefault="0026579C" w:rsidP="0026579C">
      <w:pPr>
        <w:spacing w:after="0" w:line="240" w:lineRule="auto"/>
        <w:jc w:val="both"/>
        <w:rPr>
          <w:rFonts w:ascii="Arial" w:hAnsi="Arial" w:cs="Arial"/>
          <w:sz w:val="20"/>
          <w:szCs w:val="20"/>
          <w:lang w:val="en-US"/>
        </w:rPr>
      </w:pPr>
    </w:p>
    <w:p w14:paraId="4AAE5059" w14:textId="77777777" w:rsidR="006A400D" w:rsidRPr="0026579C" w:rsidRDefault="006A400D" w:rsidP="0026579C">
      <w:pPr>
        <w:spacing w:before="120" w:after="120" w:line="240" w:lineRule="auto"/>
        <w:jc w:val="both"/>
        <w:rPr>
          <w:rFonts w:ascii="Arial" w:hAnsi="Arial" w:cs="Arial"/>
          <w:b/>
          <w:lang w:val="en-US"/>
        </w:rPr>
      </w:pPr>
      <w:r w:rsidRPr="0026579C">
        <w:rPr>
          <w:rFonts w:ascii="Arial" w:hAnsi="Arial" w:cs="Arial"/>
          <w:b/>
          <w:lang w:val="en-US"/>
        </w:rPr>
        <w:t>3. Results and discussion</w:t>
      </w:r>
    </w:p>
    <w:p w14:paraId="1C4D42DF" w14:textId="77777777" w:rsidR="006A400D" w:rsidRPr="0026579C" w:rsidRDefault="006A400D"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t>3.1. Estimation of extreme flood flows/precipitation for different return times using Gumbel law</w:t>
      </w:r>
    </w:p>
    <w:p w14:paraId="5B0B2500" w14:textId="77777777" w:rsidR="006A400D" w:rsidRDefault="006A400D"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The application of the statistical method (Gumbel law) to hydroclimatic data allowed us to estimate different return times for extreme precipitation and flow events, the results of which are grouped in the table below.</w:t>
      </w:r>
    </w:p>
    <w:p w14:paraId="7AD26788" w14:textId="77777777" w:rsidR="0026579C" w:rsidRPr="0026579C" w:rsidRDefault="0026579C" w:rsidP="0026579C">
      <w:pPr>
        <w:spacing w:after="0" w:line="240" w:lineRule="auto"/>
        <w:jc w:val="both"/>
        <w:rPr>
          <w:rFonts w:ascii="Arial" w:hAnsi="Arial" w:cs="Arial"/>
          <w:sz w:val="20"/>
          <w:szCs w:val="20"/>
          <w:lang w:val="en-US"/>
        </w:rPr>
      </w:pPr>
    </w:p>
    <w:p w14:paraId="55974F7C" w14:textId="0589F538" w:rsidR="006A400D" w:rsidRPr="0026579C" w:rsidRDefault="006A400D" w:rsidP="004E47E2">
      <w:pPr>
        <w:jc w:val="both"/>
        <w:rPr>
          <w:rFonts w:ascii="Arial" w:hAnsi="Arial" w:cs="Arial"/>
          <w:b/>
          <w:iCs/>
          <w:sz w:val="20"/>
          <w:szCs w:val="20"/>
          <w:lang w:val="en-US"/>
        </w:rPr>
      </w:pPr>
      <w:r w:rsidRPr="0026579C">
        <w:rPr>
          <w:rFonts w:ascii="Arial" w:hAnsi="Arial" w:cs="Arial"/>
          <w:b/>
          <w:iCs/>
          <w:sz w:val="20"/>
          <w:szCs w:val="20"/>
          <w:lang w:val="en-US"/>
        </w:rPr>
        <w:t>Table 1</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Extreme events for different return times</w:t>
      </w:r>
    </w:p>
    <w:tbl>
      <w:tblPr>
        <w:tblStyle w:val="Grilledutableau1"/>
        <w:tblW w:w="9493" w:type="dxa"/>
        <w:tblLayout w:type="fixed"/>
        <w:tblLook w:val="04A0" w:firstRow="1" w:lastRow="0" w:firstColumn="1" w:lastColumn="0" w:noHBand="0" w:noVBand="1"/>
      </w:tblPr>
      <w:tblGrid>
        <w:gridCol w:w="846"/>
        <w:gridCol w:w="1843"/>
        <w:gridCol w:w="1422"/>
        <w:gridCol w:w="1418"/>
        <w:gridCol w:w="1412"/>
        <w:gridCol w:w="1134"/>
        <w:gridCol w:w="1418"/>
      </w:tblGrid>
      <w:tr w:rsidR="006A400D" w:rsidRPr="00B94B81" w14:paraId="6AD693D7" w14:textId="77777777" w:rsidTr="006A400D">
        <w:tc>
          <w:tcPr>
            <w:tcW w:w="846" w:type="dxa"/>
            <w:vMerge w:val="restart"/>
          </w:tcPr>
          <w:p w14:paraId="28D123C3" w14:textId="77777777" w:rsidR="006A400D" w:rsidRPr="00B94B81" w:rsidRDefault="006A400D" w:rsidP="005A220E">
            <w:pPr>
              <w:jc w:val="both"/>
              <w:rPr>
                <w:rFonts w:ascii="Arial" w:hAnsi="Arial" w:cs="Arial"/>
                <w:b/>
                <w:noProof/>
                <w:color w:val="000000" w:themeColor="text1"/>
                <w:sz w:val="20"/>
                <w:szCs w:val="20"/>
                <w:lang w:eastAsia="fr-FR"/>
              </w:rPr>
            </w:pPr>
          </w:p>
          <w:p w14:paraId="7A55AFE6"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Years</w:t>
            </w:r>
          </w:p>
        </w:tc>
        <w:tc>
          <w:tcPr>
            <w:tcW w:w="1843" w:type="dxa"/>
            <w:vMerge w:val="restart"/>
          </w:tcPr>
          <w:p w14:paraId="444A165F" w14:textId="77777777" w:rsidR="006A400D" w:rsidRPr="00B94B81" w:rsidRDefault="006A400D" w:rsidP="005A220E">
            <w:pPr>
              <w:jc w:val="both"/>
              <w:rPr>
                <w:rFonts w:ascii="Arial" w:hAnsi="Arial" w:cs="Arial"/>
                <w:b/>
                <w:noProof/>
                <w:color w:val="000000" w:themeColor="text1"/>
                <w:sz w:val="20"/>
                <w:szCs w:val="20"/>
                <w:lang w:eastAsia="fr-FR"/>
              </w:rPr>
            </w:pPr>
          </w:p>
          <w:p w14:paraId="69491240"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Flow rate [m/s3]</w:t>
            </w:r>
          </w:p>
        </w:tc>
        <w:tc>
          <w:tcPr>
            <w:tcW w:w="1422" w:type="dxa"/>
            <w:vMerge w:val="restart"/>
          </w:tcPr>
          <w:p w14:paraId="334E15FD" w14:textId="77777777" w:rsidR="006A400D" w:rsidRPr="00B94B81" w:rsidRDefault="006A400D" w:rsidP="005A220E">
            <w:pPr>
              <w:jc w:val="both"/>
              <w:rPr>
                <w:rFonts w:ascii="Arial" w:hAnsi="Arial" w:cs="Arial"/>
                <w:b/>
                <w:noProof/>
                <w:color w:val="000000" w:themeColor="text1"/>
                <w:sz w:val="20"/>
                <w:szCs w:val="20"/>
                <w:lang w:eastAsia="fr-FR"/>
              </w:rPr>
            </w:pPr>
          </w:p>
          <w:p w14:paraId="55AE6499" w14:textId="77777777" w:rsidR="006A400D" w:rsidRPr="00B94B81" w:rsidRDefault="006A400D" w:rsidP="005A220E">
            <w:pPr>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c>
          <w:tcPr>
            <w:tcW w:w="5382" w:type="dxa"/>
            <w:gridSpan w:val="4"/>
          </w:tcPr>
          <w:p w14:paraId="1E562BAF" w14:textId="77777777" w:rsidR="006A400D" w:rsidRPr="00B94B81" w:rsidRDefault="008874CA" w:rsidP="0026579C">
            <w:pPr>
              <w:jc w:val="center"/>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Rainfall [mm]</w:t>
            </w:r>
          </w:p>
        </w:tc>
      </w:tr>
      <w:tr w:rsidR="006A400D" w:rsidRPr="00B94B81" w14:paraId="362265FA" w14:textId="77777777" w:rsidTr="006A400D">
        <w:tc>
          <w:tcPr>
            <w:tcW w:w="846" w:type="dxa"/>
            <w:vMerge/>
          </w:tcPr>
          <w:p w14:paraId="44F292F2"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843" w:type="dxa"/>
            <w:vMerge/>
          </w:tcPr>
          <w:p w14:paraId="28FC20DD"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422" w:type="dxa"/>
            <w:vMerge/>
          </w:tcPr>
          <w:p w14:paraId="6B8574AE" w14:textId="77777777" w:rsidR="006A400D" w:rsidRPr="00B94B81" w:rsidRDefault="006A400D" w:rsidP="005A220E">
            <w:pPr>
              <w:spacing w:before="120"/>
              <w:jc w:val="both"/>
              <w:rPr>
                <w:rFonts w:ascii="Arial" w:hAnsi="Arial" w:cs="Arial"/>
                <w:b/>
                <w:noProof/>
                <w:color w:val="000000" w:themeColor="text1"/>
                <w:sz w:val="20"/>
                <w:szCs w:val="20"/>
                <w:lang w:eastAsia="fr-FR"/>
              </w:rPr>
            </w:pPr>
          </w:p>
        </w:tc>
        <w:tc>
          <w:tcPr>
            <w:tcW w:w="1418" w:type="dxa"/>
          </w:tcPr>
          <w:p w14:paraId="79DA3277"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N’Zérékoré</w:t>
            </w:r>
          </w:p>
        </w:tc>
        <w:tc>
          <w:tcPr>
            <w:tcW w:w="1412" w:type="dxa"/>
          </w:tcPr>
          <w:p w14:paraId="42CEF7CA"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c>
          <w:tcPr>
            <w:tcW w:w="1134" w:type="dxa"/>
          </w:tcPr>
          <w:p w14:paraId="1904E444"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Macenta</w:t>
            </w:r>
          </w:p>
        </w:tc>
        <w:tc>
          <w:tcPr>
            <w:tcW w:w="1418" w:type="dxa"/>
          </w:tcPr>
          <w:p w14:paraId="6BB5BD0C" w14:textId="77777777" w:rsidR="006A400D" w:rsidRPr="00B94B81" w:rsidRDefault="006A400D" w:rsidP="005A220E">
            <w:pPr>
              <w:spacing w:before="120"/>
              <w:jc w:val="both"/>
              <w:rPr>
                <w:rFonts w:ascii="Arial" w:hAnsi="Arial" w:cs="Arial"/>
                <w:b/>
                <w:noProof/>
                <w:color w:val="000000" w:themeColor="text1"/>
                <w:sz w:val="20"/>
                <w:szCs w:val="20"/>
                <w:lang w:eastAsia="fr-FR"/>
              </w:rPr>
            </w:pPr>
            <w:r w:rsidRPr="00B94B81">
              <w:rPr>
                <w:rFonts w:ascii="Arial" w:hAnsi="Arial" w:cs="Arial"/>
                <w:b/>
                <w:noProof/>
                <w:color w:val="000000" w:themeColor="text1"/>
                <w:sz w:val="20"/>
                <w:szCs w:val="20"/>
                <w:lang w:eastAsia="fr-FR"/>
              </w:rPr>
              <w:t>Time [year]</w:t>
            </w:r>
          </w:p>
        </w:tc>
      </w:tr>
      <w:tr w:rsidR="006A400D" w:rsidRPr="00B94B81" w14:paraId="5B92EAB4" w14:textId="77777777" w:rsidTr="006A400D">
        <w:tc>
          <w:tcPr>
            <w:tcW w:w="846" w:type="dxa"/>
          </w:tcPr>
          <w:p w14:paraId="60AF01F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1995</w:t>
            </w:r>
          </w:p>
        </w:tc>
        <w:tc>
          <w:tcPr>
            <w:tcW w:w="1843" w:type="dxa"/>
          </w:tcPr>
          <w:p w14:paraId="34EB018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88,0</w:t>
            </w:r>
          </w:p>
        </w:tc>
        <w:tc>
          <w:tcPr>
            <w:tcW w:w="1422" w:type="dxa"/>
            <w:shd w:val="clear" w:color="auto" w:fill="00B0F0"/>
          </w:tcPr>
          <w:p w14:paraId="36A7472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4A608C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68,1</w:t>
            </w:r>
          </w:p>
        </w:tc>
        <w:tc>
          <w:tcPr>
            <w:tcW w:w="1412" w:type="dxa"/>
            <w:shd w:val="clear" w:color="auto" w:fill="00B0F0"/>
          </w:tcPr>
          <w:p w14:paraId="750306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c>
          <w:tcPr>
            <w:tcW w:w="1134" w:type="dxa"/>
          </w:tcPr>
          <w:p w14:paraId="100FA61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w:t>
            </w:r>
          </w:p>
        </w:tc>
        <w:tc>
          <w:tcPr>
            <w:tcW w:w="1418" w:type="dxa"/>
            <w:shd w:val="clear" w:color="auto" w:fill="00B0F0"/>
          </w:tcPr>
          <w:p w14:paraId="4363828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r>
      <w:tr w:rsidR="006A400D" w:rsidRPr="00B94B81" w14:paraId="5DA3E8DC" w14:textId="77777777" w:rsidTr="006A400D">
        <w:tc>
          <w:tcPr>
            <w:tcW w:w="846" w:type="dxa"/>
          </w:tcPr>
          <w:p w14:paraId="2E42D2AF"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1996</w:t>
            </w:r>
          </w:p>
        </w:tc>
        <w:tc>
          <w:tcPr>
            <w:tcW w:w="1843" w:type="dxa"/>
          </w:tcPr>
          <w:p w14:paraId="54994E8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186,2</w:t>
            </w:r>
          </w:p>
        </w:tc>
        <w:tc>
          <w:tcPr>
            <w:tcW w:w="1422" w:type="dxa"/>
            <w:shd w:val="clear" w:color="auto" w:fill="FF0000"/>
          </w:tcPr>
          <w:p w14:paraId="186576E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418" w:type="dxa"/>
          </w:tcPr>
          <w:p w14:paraId="078FD6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37</w:t>
            </w:r>
          </w:p>
        </w:tc>
        <w:tc>
          <w:tcPr>
            <w:tcW w:w="1412" w:type="dxa"/>
            <w:shd w:val="clear" w:color="auto" w:fill="00B0F0"/>
          </w:tcPr>
          <w:p w14:paraId="3432865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134" w:type="dxa"/>
          </w:tcPr>
          <w:p w14:paraId="1157CDC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42,2</w:t>
            </w:r>
          </w:p>
        </w:tc>
        <w:tc>
          <w:tcPr>
            <w:tcW w:w="1418" w:type="dxa"/>
            <w:shd w:val="clear" w:color="auto" w:fill="00B0F0"/>
          </w:tcPr>
          <w:p w14:paraId="707F45C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r>
      <w:tr w:rsidR="006A400D" w:rsidRPr="00B94B81" w14:paraId="2A3686FB" w14:textId="77777777" w:rsidTr="006A400D">
        <w:tc>
          <w:tcPr>
            <w:tcW w:w="846" w:type="dxa"/>
          </w:tcPr>
          <w:p w14:paraId="7429218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1997</w:t>
            </w:r>
          </w:p>
        </w:tc>
        <w:tc>
          <w:tcPr>
            <w:tcW w:w="1843" w:type="dxa"/>
          </w:tcPr>
          <w:p w14:paraId="68F9120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172,9</w:t>
            </w:r>
          </w:p>
        </w:tc>
        <w:tc>
          <w:tcPr>
            <w:tcW w:w="1422" w:type="dxa"/>
            <w:shd w:val="clear" w:color="auto" w:fill="00B0F0"/>
          </w:tcPr>
          <w:p w14:paraId="3636C2C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c>
          <w:tcPr>
            <w:tcW w:w="1418" w:type="dxa"/>
          </w:tcPr>
          <w:p w14:paraId="6DDA693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67,7</w:t>
            </w:r>
          </w:p>
        </w:tc>
        <w:tc>
          <w:tcPr>
            <w:tcW w:w="1412" w:type="dxa"/>
            <w:shd w:val="clear" w:color="auto" w:fill="00B0F0"/>
          </w:tcPr>
          <w:p w14:paraId="6F041E0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c>
          <w:tcPr>
            <w:tcW w:w="1134" w:type="dxa"/>
          </w:tcPr>
          <w:p w14:paraId="0C01D1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81,4</w:t>
            </w:r>
          </w:p>
        </w:tc>
        <w:tc>
          <w:tcPr>
            <w:tcW w:w="1418" w:type="dxa"/>
            <w:shd w:val="clear" w:color="auto" w:fill="00B0F0"/>
          </w:tcPr>
          <w:p w14:paraId="3CC69B0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r>
      <w:tr w:rsidR="006A400D" w:rsidRPr="00B94B81" w14:paraId="476C90E4" w14:textId="77777777" w:rsidTr="006A400D">
        <w:tc>
          <w:tcPr>
            <w:tcW w:w="846" w:type="dxa"/>
          </w:tcPr>
          <w:p w14:paraId="08E5157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1998</w:t>
            </w:r>
          </w:p>
        </w:tc>
        <w:tc>
          <w:tcPr>
            <w:tcW w:w="1843" w:type="dxa"/>
          </w:tcPr>
          <w:p w14:paraId="577443C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159,6</w:t>
            </w:r>
          </w:p>
        </w:tc>
        <w:tc>
          <w:tcPr>
            <w:tcW w:w="1422" w:type="dxa"/>
            <w:shd w:val="clear" w:color="auto" w:fill="00B0F0"/>
          </w:tcPr>
          <w:p w14:paraId="2258035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c>
          <w:tcPr>
            <w:tcW w:w="1418" w:type="dxa"/>
          </w:tcPr>
          <w:p w14:paraId="25847A8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95,4</w:t>
            </w:r>
          </w:p>
        </w:tc>
        <w:tc>
          <w:tcPr>
            <w:tcW w:w="1412" w:type="dxa"/>
            <w:shd w:val="clear" w:color="auto" w:fill="FFFF00"/>
          </w:tcPr>
          <w:p w14:paraId="665DF5D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c>
          <w:tcPr>
            <w:tcW w:w="1134" w:type="dxa"/>
          </w:tcPr>
          <w:p w14:paraId="3DAD470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113,3</w:t>
            </w:r>
          </w:p>
        </w:tc>
        <w:tc>
          <w:tcPr>
            <w:tcW w:w="1418" w:type="dxa"/>
            <w:shd w:val="clear" w:color="auto" w:fill="FFFF00"/>
          </w:tcPr>
          <w:p w14:paraId="3B8A65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r>
      <w:tr w:rsidR="006A400D" w:rsidRPr="00B94B81" w14:paraId="1BB2695E" w14:textId="77777777" w:rsidTr="006A400D">
        <w:tc>
          <w:tcPr>
            <w:tcW w:w="846" w:type="dxa"/>
          </w:tcPr>
          <w:p w14:paraId="2AFF6740"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1999</w:t>
            </w:r>
          </w:p>
        </w:tc>
        <w:tc>
          <w:tcPr>
            <w:tcW w:w="1843" w:type="dxa"/>
          </w:tcPr>
          <w:p w14:paraId="2328D5B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127,4</w:t>
            </w:r>
          </w:p>
        </w:tc>
        <w:tc>
          <w:tcPr>
            <w:tcW w:w="1422" w:type="dxa"/>
            <w:shd w:val="clear" w:color="auto" w:fill="00B0F0"/>
          </w:tcPr>
          <w:p w14:paraId="709BDB0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418" w:type="dxa"/>
          </w:tcPr>
          <w:p w14:paraId="262E2D3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64</w:t>
            </w:r>
          </w:p>
        </w:tc>
        <w:tc>
          <w:tcPr>
            <w:tcW w:w="1412" w:type="dxa"/>
            <w:shd w:val="clear" w:color="auto" w:fill="00B0F0"/>
          </w:tcPr>
          <w:p w14:paraId="5489DED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c>
          <w:tcPr>
            <w:tcW w:w="1134" w:type="dxa"/>
          </w:tcPr>
          <w:p w14:paraId="4835BC1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69,5</w:t>
            </w:r>
          </w:p>
        </w:tc>
        <w:tc>
          <w:tcPr>
            <w:tcW w:w="1418" w:type="dxa"/>
            <w:shd w:val="clear" w:color="auto" w:fill="00B0F0"/>
          </w:tcPr>
          <w:p w14:paraId="507E634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r>
      <w:tr w:rsidR="006A400D" w:rsidRPr="00B94B81" w14:paraId="7841A531" w14:textId="77777777" w:rsidTr="006A400D">
        <w:tc>
          <w:tcPr>
            <w:tcW w:w="846" w:type="dxa"/>
          </w:tcPr>
          <w:p w14:paraId="2680E9D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2000</w:t>
            </w:r>
          </w:p>
        </w:tc>
        <w:tc>
          <w:tcPr>
            <w:tcW w:w="1843" w:type="dxa"/>
          </w:tcPr>
          <w:p w14:paraId="3A974A1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138,0</w:t>
            </w:r>
          </w:p>
        </w:tc>
        <w:tc>
          <w:tcPr>
            <w:tcW w:w="1422" w:type="dxa"/>
            <w:shd w:val="clear" w:color="auto" w:fill="00B0F0"/>
          </w:tcPr>
          <w:p w14:paraId="59018F7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c>
          <w:tcPr>
            <w:tcW w:w="1418" w:type="dxa"/>
          </w:tcPr>
          <w:p w14:paraId="2BEAD7C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61,6</w:t>
            </w:r>
          </w:p>
        </w:tc>
        <w:tc>
          <w:tcPr>
            <w:tcW w:w="1412" w:type="dxa"/>
            <w:shd w:val="clear" w:color="auto" w:fill="00B0F0"/>
          </w:tcPr>
          <w:p w14:paraId="6B63A7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134" w:type="dxa"/>
          </w:tcPr>
          <w:p w14:paraId="6925A51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418" w:type="dxa"/>
            <w:shd w:val="clear" w:color="auto" w:fill="00B0F0"/>
          </w:tcPr>
          <w:p w14:paraId="643C4C2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r>
      <w:tr w:rsidR="006A400D" w:rsidRPr="00B94B81" w14:paraId="6FC3DD53" w14:textId="77777777" w:rsidTr="006A400D">
        <w:tc>
          <w:tcPr>
            <w:tcW w:w="846" w:type="dxa"/>
          </w:tcPr>
          <w:p w14:paraId="096B37C6"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2001</w:t>
            </w:r>
          </w:p>
        </w:tc>
        <w:tc>
          <w:tcPr>
            <w:tcW w:w="1843" w:type="dxa"/>
          </w:tcPr>
          <w:p w14:paraId="71475A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120,2</w:t>
            </w:r>
          </w:p>
        </w:tc>
        <w:tc>
          <w:tcPr>
            <w:tcW w:w="1422" w:type="dxa"/>
            <w:shd w:val="clear" w:color="auto" w:fill="00B0F0"/>
          </w:tcPr>
          <w:p w14:paraId="597558A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418" w:type="dxa"/>
          </w:tcPr>
          <w:p w14:paraId="05D7CBE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40,4</w:t>
            </w:r>
          </w:p>
        </w:tc>
        <w:tc>
          <w:tcPr>
            <w:tcW w:w="1412" w:type="dxa"/>
            <w:shd w:val="clear" w:color="auto" w:fill="00B0F0"/>
          </w:tcPr>
          <w:p w14:paraId="42B520D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134" w:type="dxa"/>
          </w:tcPr>
          <w:p w14:paraId="39BA01D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34,5</w:t>
            </w:r>
          </w:p>
        </w:tc>
        <w:tc>
          <w:tcPr>
            <w:tcW w:w="1418" w:type="dxa"/>
            <w:shd w:val="clear" w:color="auto" w:fill="00B0F0"/>
          </w:tcPr>
          <w:p w14:paraId="2FE498B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r>
      <w:tr w:rsidR="006A400D" w:rsidRPr="00B94B81" w14:paraId="32A1CCB0" w14:textId="77777777" w:rsidTr="006A400D">
        <w:tc>
          <w:tcPr>
            <w:tcW w:w="846" w:type="dxa"/>
          </w:tcPr>
          <w:p w14:paraId="480EBD7A"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2002</w:t>
            </w:r>
          </w:p>
        </w:tc>
        <w:tc>
          <w:tcPr>
            <w:tcW w:w="1843" w:type="dxa"/>
          </w:tcPr>
          <w:p w14:paraId="7887C2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137,4</w:t>
            </w:r>
          </w:p>
        </w:tc>
        <w:tc>
          <w:tcPr>
            <w:tcW w:w="1422" w:type="dxa"/>
            <w:shd w:val="clear" w:color="auto" w:fill="00B0F0"/>
          </w:tcPr>
          <w:p w14:paraId="0B47C40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c>
          <w:tcPr>
            <w:tcW w:w="1418" w:type="dxa"/>
          </w:tcPr>
          <w:p w14:paraId="5B3901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33,9</w:t>
            </w:r>
          </w:p>
        </w:tc>
        <w:tc>
          <w:tcPr>
            <w:tcW w:w="1412" w:type="dxa"/>
            <w:shd w:val="clear" w:color="auto" w:fill="00B0F0"/>
          </w:tcPr>
          <w:p w14:paraId="34F9E46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134" w:type="dxa"/>
          </w:tcPr>
          <w:p w14:paraId="71BD449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30,6</w:t>
            </w:r>
          </w:p>
        </w:tc>
        <w:tc>
          <w:tcPr>
            <w:tcW w:w="1418" w:type="dxa"/>
            <w:shd w:val="clear" w:color="auto" w:fill="00B0F0"/>
          </w:tcPr>
          <w:p w14:paraId="04FE80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r>
      <w:tr w:rsidR="006A400D" w:rsidRPr="00B94B81" w14:paraId="406D7F1E" w14:textId="77777777" w:rsidTr="006A400D">
        <w:tc>
          <w:tcPr>
            <w:tcW w:w="846" w:type="dxa"/>
          </w:tcPr>
          <w:p w14:paraId="04365D33"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2003</w:t>
            </w:r>
          </w:p>
        </w:tc>
        <w:tc>
          <w:tcPr>
            <w:tcW w:w="1843" w:type="dxa"/>
          </w:tcPr>
          <w:p w14:paraId="34A2182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126,1</w:t>
            </w:r>
          </w:p>
        </w:tc>
        <w:tc>
          <w:tcPr>
            <w:tcW w:w="1422" w:type="dxa"/>
            <w:shd w:val="clear" w:color="auto" w:fill="00B0F0"/>
          </w:tcPr>
          <w:p w14:paraId="4985C44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c>
          <w:tcPr>
            <w:tcW w:w="1418" w:type="dxa"/>
          </w:tcPr>
          <w:p w14:paraId="2BC864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30,1</w:t>
            </w:r>
          </w:p>
        </w:tc>
        <w:tc>
          <w:tcPr>
            <w:tcW w:w="1412" w:type="dxa"/>
            <w:shd w:val="clear" w:color="auto" w:fill="00B0F0"/>
          </w:tcPr>
          <w:p w14:paraId="41C6B0B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7E7561F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21,2</w:t>
            </w:r>
          </w:p>
        </w:tc>
        <w:tc>
          <w:tcPr>
            <w:tcW w:w="1418" w:type="dxa"/>
            <w:shd w:val="clear" w:color="auto" w:fill="00B0F0"/>
          </w:tcPr>
          <w:p w14:paraId="783C67F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r>
      <w:tr w:rsidR="006A400D" w:rsidRPr="00B94B81" w14:paraId="23FFC1FD" w14:textId="77777777" w:rsidTr="006A400D">
        <w:tc>
          <w:tcPr>
            <w:tcW w:w="846" w:type="dxa"/>
          </w:tcPr>
          <w:p w14:paraId="43B27CA3"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2004</w:t>
            </w:r>
          </w:p>
        </w:tc>
        <w:tc>
          <w:tcPr>
            <w:tcW w:w="1843" w:type="dxa"/>
          </w:tcPr>
          <w:p w14:paraId="316451C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128,3</w:t>
            </w:r>
          </w:p>
        </w:tc>
        <w:tc>
          <w:tcPr>
            <w:tcW w:w="1422" w:type="dxa"/>
            <w:shd w:val="clear" w:color="auto" w:fill="00B0F0"/>
          </w:tcPr>
          <w:p w14:paraId="70A233F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c>
          <w:tcPr>
            <w:tcW w:w="1418" w:type="dxa"/>
          </w:tcPr>
          <w:p w14:paraId="19B010B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29,4</w:t>
            </w:r>
          </w:p>
        </w:tc>
        <w:tc>
          <w:tcPr>
            <w:tcW w:w="1412" w:type="dxa"/>
            <w:shd w:val="clear" w:color="auto" w:fill="00B0F0"/>
          </w:tcPr>
          <w:p w14:paraId="127E776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c>
          <w:tcPr>
            <w:tcW w:w="1134" w:type="dxa"/>
          </w:tcPr>
          <w:p w14:paraId="18B871D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24,9</w:t>
            </w:r>
          </w:p>
        </w:tc>
        <w:tc>
          <w:tcPr>
            <w:tcW w:w="1418" w:type="dxa"/>
            <w:shd w:val="clear" w:color="auto" w:fill="00B0F0"/>
          </w:tcPr>
          <w:p w14:paraId="76F4AF8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78B06E1F" w14:textId="77777777" w:rsidTr="006A400D">
        <w:tc>
          <w:tcPr>
            <w:tcW w:w="846" w:type="dxa"/>
          </w:tcPr>
          <w:p w14:paraId="25C1D3D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2005</w:t>
            </w:r>
          </w:p>
        </w:tc>
        <w:tc>
          <w:tcPr>
            <w:tcW w:w="1843" w:type="dxa"/>
          </w:tcPr>
          <w:p w14:paraId="17E98DA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168,2</w:t>
            </w:r>
          </w:p>
        </w:tc>
        <w:tc>
          <w:tcPr>
            <w:tcW w:w="1422" w:type="dxa"/>
            <w:shd w:val="clear" w:color="auto" w:fill="00B0F0"/>
          </w:tcPr>
          <w:p w14:paraId="75EC9E6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c>
          <w:tcPr>
            <w:tcW w:w="1418" w:type="dxa"/>
          </w:tcPr>
          <w:p w14:paraId="1186BC7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32,5</w:t>
            </w:r>
          </w:p>
        </w:tc>
        <w:tc>
          <w:tcPr>
            <w:tcW w:w="1412" w:type="dxa"/>
            <w:shd w:val="clear" w:color="auto" w:fill="00B0F0"/>
          </w:tcPr>
          <w:p w14:paraId="78F957F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10B112D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32,6</w:t>
            </w:r>
          </w:p>
        </w:tc>
        <w:tc>
          <w:tcPr>
            <w:tcW w:w="1418" w:type="dxa"/>
            <w:shd w:val="clear" w:color="auto" w:fill="00B0F0"/>
          </w:tcPr>
          <w:p w14:paraId="742CE09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r>
      <w:tr w:rsidR="006A400D" w:rsidRPr="00B94B81" w14:paraId="4F0FE751" w14:textId="77777777" w:rsidTr="006A400D">
        <w:tc>
          <w:tcPr>
            <w:tcW w:w="846" w:type="dxa"/>
          </w:tcPr>
          <w:p w14:paraId="237D8BE2"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2006</w:t>
            </w:r>
          </w:p>
        </w:tc>
        <w:tc>
          <w:tcPr>
            <w:tcW w:w="1843" w:type="dxa"/>
          </w:tcPr>
          <w:p w14:paraId="226C10E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131,0</w:t>
            </w:r>
          </w:p>
        </w:tc>
        <w:tc>
          <w:tcPr>
            <w:tcW w:w="1422" w:type="dxa"/>
            <w:shd w:val="clear" w:color="auto" w:fill="00B0F0"/>
          </w:tcPr>
          <w:p w14:paraId="26D04EE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c>
          <w:tcPr>
            <w:tcW w:w="1418" w:type="dxa"/>
          </w:tcPr>
          <w:p w14:paraId="20707CA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33,9</w:t>
            </w:r>
          </w:p>
        </w:tc>
        <w:tc>
          <w:tcPr>
            <w:tcW w:w="1412" w:type="dxa"/>
            <w:shd w:val="clear" w:color="auto" w:fill="00B0F0"/>
          </w:tcPr>
          <w:p w14:paraId="166A6F4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134" w:type="dxa"/>
          </w:tcPr>
          <w:p w14:paraId="0C3CC10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29,6</w:t>
            </w:r>
          </w:p>
        </w:tc>
        <w:tc>
          <w:tcPr>
            <w:tcW w:w="1418" w:type="dxa"/>
            <w:shd w:val="clear" w:color="auto" w:fill="00B0F0"/>
          </w:tcPr>
          <w:p w14:paraId="11C509A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11D8FEFD" w14:textId="77777777" w:rsidTr="006A400D">
        <w:tc>
          <w:tcPr>
            <w:tcW w:w="846" w:type="dxa"/>
          </w:tcPr>
          <w:p w14:paraId="3029E93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2007</w:t>
            </w:r>
          </w:p>
        </w:tc>
        <w:tc>
          <w:tcPr>
            <w:tcW w:w="1843" w:type="dxa"/>
          </w:tcPr>
          <w:p w14:paraId="52E5A8B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206,0</w:t>
            </w:r>
          </w:p>
        </w:tc>
        <w:tc>
          <w:tcPr>
            <w:tcW w:w="1422" w:type="dxa"/>
            <w:shd w:val="clear" w:color="auto" w:fill="FFFF00"/>
          </w:tcPr>
          <w:p w14:paraId="4F857ED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c>
          <w:tcPr>
            <w:tcW w:w="1418" w:type="dxa"/>
          </w:tcPr>
          <w:p w14:paraId="4F5FF7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30,3</w:t>
            </w:r>
          </w:p>
        </w:tc>
        <w:tc>
          <w:tcPr>
            <w:tcW w:w="1412" w:type="dxa"/>
            <w:shd w:val="clear" w:color="auto" w:fill="00B0F0"/>
          </w:tcPr>
          <w:p w14:paraId="2FA93A0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134" w:type="dxa"/>
          </w:tcPr>
          <w:p w14:paraId="0A2351B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26,6</w:t>
            </w:r>
          </w:p>
        </w:tc>
        <w:tc>
          <w:tcPr>
            <w:tcW w:w="1418" w:type="dxa"/>
            <w:shd w:val="clear" w:color="auto" w:fill="00B0F0"/>
          </w:tcPr>
          <w:p w14:paraId="0803B8E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r>
      <w:tr w:rsidR="006A400D" w:rsidRPr="00B94B81" w14:paraId="2443F360" w14:textId="77777777" w:rsidTr="006A400D">
        <w:tc>
          <w:tcPr>
            <w:tcW w:w="846" w:type="dxa"/>
          </w:tcPr>
          <w:p w14:paraId="4CBAE290"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2008</w:t>
            </w:r>
          </w:p>
        </w:tc>
        <w:tc>
          <w:tcPr>
            <w:tcW w:w="1843" w:type="dxa"/>
          </w:tcPr>
          <w:p w14:paraId="3892800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347,1</w:t>
            </w:r>
          </w:p>
        </w:tc>
        <w:tc>
          <w:tcPr>
            <w:tcW w:w="1422" w:type="dxa"/>
            <w:shd w:val="clear" w:color="auto" w:fill="92D050"/>
          </w:tcPr>
          <w:p w14:paraId="67479FC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c>
          <w:tcPr>
            <w:tcW w:w="1418" w:type="dxa"/>
          </w:tcPr>
          <w:p w14:paraId="41CA924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69,5</w:t>
            </w:r>
          </w:p>
        </w:tc>
        <w:tc>
          <w:tcPr>
            <w:tcW w:w="1412" w:type="dxa"/>
            <w:shd w:val="clear" w:color="auto" w:fill="00B0F0"/>
          </w:tcPr>
          <w:p w14:paraId="135B867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c>
          <w:tcPr>
            <w:tcW w:w="1134" w:type="dxa"/>
          </w:tcPr>
          <w:p w14:paraId="39424BB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77,6</w:t>
            </w:r>
          </w:p>
        </w:tc>
        <w:tc>
          <w:tcPr>
            <w:tcW w:w="1418" w:type="dxa"/>
            <w:shd w:val="clear" w:color="auto" w:fill="00B0F0"/>
          </w:tcPr>
          <w:p w14:paraId="3F5E6B3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r>
      <w:tr w:rsidR="006A400D" w:rsidRPr="00B94B81" w14:paraId="7E9F7266" w14:textId="77777777" w:rsidTr="006A400D">
        <w:tc>
          <w:tcPr>
            <w:tcW w:w="846" w:type="dxa"/>
          </w:tcPr>
          <w:p w14:paraId="5DDC6DE9"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2009</w:t>
            </w:r>
          </w:p>
        </w:tc>
        <w:tc>
          <w:tcPr>
            <w:tcW w:w="1843" w:type="dxa"/>
          </w:tcPr>
          <w:p w14:paraId="6C715AC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275,3</w:t>
            </w:r>
          </w:p>
        </w:tc>
        <w:tc>
          <w:tcPr>
            <w:tcW w:w="1422" w:type="dxa"/>
            <w:shd w:val="clear" w:color="auto" w:fill="FFFF00"/>
          </w:tcPr>
          <w:p w14:paraId="53B4B46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20,0</w:t>
            </w:r>
          </w:p>
        </w:tc>
        <w:tc>
          <w:tcPr>
            <w:tcW w:w="1418" w:type="dxa"/>
          </w:tcPr>
          <w:p w14:paraId="56789B5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75,7</w:t>
            </w:r>
          </w:p>
        </w:tc>
        <w:tc>
          <w:tcPr>
            <w:tcW w:w="1412" w:type="dxa"/>
            <w:shd w:val="clear" w:color="auto" w:fill="00B0F0"/>
          </w:tcPr>
          <w:p w14:paraId="6BEB67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c>
          <w:tcPr>
            <w:tcW w:w="1134" w:type="dxa"/>
          </w:tcPr>
          <w:p w14:paraId="40ED0F6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100,9</w:t>
            </w:r>
          </w:p>
        </w:tc>
        <w:tc>
          <w:tcPr>
            <w:tcW w:w="1418" w:type="dxa"/>
            <w:shd w:val="clear" w:color="auto" w:fill="00B0F0"/>
          </w:tcPr>
          <w:p w14:paraId="6175C8A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r>
      <w:tr w:rsidR="006A400D" w:rsidRPr="00B94B81" w14:paraId="46C73FFA" w14:textId="77777777" w:rsidTr="006A400D">
        <w:tc>
          <w:tcPr>
            <w:tcW w:w="846" w:type="dxa"/>
          </w:tcPr>
          <w:p w14:paraId="45F4BB0D"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2010</w:t>
            </w:r>
          </w:p>
        </w:tc>
        <w:tc>
          <w:tcPr>
            <w:tcW w:w="1843" w:type="dxa"/>
          </w:tcPr>
          <w:p w14:paraId="58B8AF4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203,6</w:t>
            </w:r>
          </w:p>
        </w:tc>
        <w:tc>
          <w:tcPr>
            <w:tcW w:w="1422" w:type="dxa"/>
            <w:shd w:val="clear" w:color="auto" w:fill="FF0000"/>
          </w:tcPr>
          <w:p w14:paraId="4028EA3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c>
          <w:tcPr>
            <w:tcW w:w="1418" w:type="dxa"/>
          </w:tcPr>
          <w:p w14:paraId="7CAD4A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77,3</w:t>
            </w:r>
          </w:p>
        </w:tc>
        <w:tc>
          <w:tcPr>
            <w:tcW w:w="1412" w:type="dxa"/>
            <w:shd w:val="clear" w:color="auto" w:fill="00B0F0"/>
          </w:tcPr>
          <w:p w14:paraId="1F1E042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c>
          <w:tcPr>
            <w:tcW w:w="1134" w:type="dxa"/>
          </w:tcPr>
          <w:p w14:paraId="5D9266B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85,7</w:t>
            </w:r>
          </w:p>
        </w:tc>
        <w:tc>
          <w:tcPr>
            <w:tcW w:w="1418" w:type="dxa"/>
            <w:shd w:val="clear" w:color="auto" w:fill="00B0F0"/>
          </w:tcPr>
          <w:p w14:paraId="547C7CA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2,4</w:t>
            </w:r>
          </w:p>
        </w:tc>
      </w:tr>
      <w:tr w:rsidR="006A400D" w:rsidRPr="00B94B81" w14:paraId="02962967" w14:textId="77777777" w:rsidTr="006A400D">
        <w:tc>
          <w:tcPr>
            <w:tcW w:w="846" w:type="dxa"/>
          </w:tcPr>
          <w:p w14:paraId="64EE38D4"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2011</w:t>
            </w:r>
          </w:p>
        </w:tc>
        <w:tc>
          <w:tcPr>
            <w:tcW w:w="1843" w:type="dxa"/>
          </w:tcPr>
          <w:p w14:paraId="220703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131,9</w:t>
            </w:r>
          </w:p>
        </w:tc>
        <w:tc>
          <w:tcPr>
            <w:tcW w:w="1422" w:type="dxa"/>
            <w:shd w:val="clear" w:color="auto" w:fill="00B0F0"/>
          </w:tcPr>
          <w:p w14:paraId="02106C0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1,9</w:t>
            </w:r>
          </w:p>
        </w:tc>
        <w:tc>
          <w:tcPr>
            <w:tcW w:w="1418" w:type="dxa"/>
          </w:tcPr>
          <w:p w14:paraId="4B0CE3E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51,1</w:t>
            </w:r>
          </w:p>
        </w:tc>
        <w:tc>
          <w:tcPr>
            <w:tcW w:w="1412" w:type="dxa"/>
            <w:shd w:val="clear" w:color="auto" w:fill="00B0F0"/>
          </w:tcPr>
          <w:p w14:paraId="488F872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c>
          <w:tcPr>
            <w:tcW w:w="1134" w:type="dxa"/>
          </w:tcPr>
          <w:p w14:paraId="4540040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49</w:t>
            </w:r>
          </w:p>
        </w:tc>
        <w:tc>
          <w:tcPr>
            <w:tcW w:w="1418" w:type="dxa"/>
            <w:shd w:val="clear" w:color="auto" w:fill="00B0F0"/>
          </w:tcPr>
          <w:p w14:paraId="43E6A6B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w:t>
            </w:r>
          </w:p>
        </w:tc>
      </w:tr>
      <w:tr w:rsidR="006A400D" w:rsidRPr="00B94B81" w14:paraId="1F3286C6" w14:textId="77777777" w:rsidTr="006A400D">
        <w:tc>
          <w:tcPr>
            <w:tcW w:w="846" w:type="dxa"/>
          </w:tcPr>
          <w:p w14:paraId="55BEF802"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2012</w:t>
            </w:r>
          </w:p>
        </w:tc>
        <w:tc>
          <w:tcPr>
            <w:tcW w:w="1843" w:type="dxa"/>
          </w:tcPr>
          <w:p w14:paraId="1A3D49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60,1</w:t>
            </w:r>
          </w:p>
        </w:tc>
        <w:tc>
          <w:tcPr>
            <w:tcW w:w="1422" w:type="dxa"/>
            <w:shd w:val="clear" w:color="auto" w:fill="00B0F0"/>
          </w:tcPr>
          <w:p w14:paraId="3C3136D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w:t>
            </w:r>
          </w:p>
        </w:tc>
        <w:tc>
          <w:tcPr>
            <w:tcW w:w="1418" w:type="dxa"/>
          </w:tcPr>
          <w:p w14:paraId="4712586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60,3</w:t>
            </w:r>
          </w:p>
        </w:tc>
        <w:tc>
          <w:tcPr>
            <w:tcW w:w="1412" w:type="dxa"/>
            <w:shd w:val="clear" w:color="auto" w:fill="00B0F0"/>
          </w:tcPr>
          <w:p w14:paraId="25D585D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134" w:type="dxa"/>
          </w:tcPr>
          <w:p w14:paraId="0B7D361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69</w:t>
            </w:r>
          </w:p>
        </w:tc>
        <w:tc>
          <w:tcPr>
            <w:tcW w:w="1418" w:type="dxa"/>
            <w:shd w:val="clear" w:color="auto" w:fill="00B0F0"/>
          </w:tcPr>
          <w:p w14:paraId="5D91032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r>
      <w:tr w:rsidR="006A400D" w:rsidRPr="00B94B81" w14:paraId="50F97135" w14:textId="77777777" w:rsidTr="006A400D">
        <w:tc>
          <w:tcPr>
            <w:tcW w:w="846" w:type="dxa"/>
          </w:tcPr>
          <w:p w14:paraId="706915B8"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2013</w:t>
            </w:r>
          </w:p>
        </w:tc>
        <w:tc>
          <w:tcPr>
            <w:tcW w:w="1843" w:type="dxa"/>
          </w:tcPr>
          <w:p w14:paraId="0A73321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94,3</w:t>
            </w:r>
          </w:p>
        </w:tc>
        <w:tc>
          <w:tcPr>
            <w:tcW w:w="1422" w:type="dxa"/>
            <w:shd w:val="clear" w:color="auto" w:fill="00B0F0"/>
          </w:tcPr>
          <w:p w14:paraId="0055C57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7585650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62,7</w:t>
            </w:r>
          </w:p>
        </w:tc>
        <w:tc>
          <w:tcPr>
            <w:tcW w:w="1412" w:type="dxa"/>
            <w:shd w:val="clear" w:color="auto" w:fill="00B0F0"/>
          </w:tcPr>
          <w:p w14:paraId="1980E47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1,6</w:t>
            </w:r>
          </w:p>
        </w:tc>
        <w:tc>
          <w:tcPr>
            <w:tcW w:w="1134" w:type="dxa"/>
          </w:tcPr>
          <w:p w14:paraId="00C91F9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58,5</w:t>
            </w:r>
          </w:p>
        </w:tc>
        <w:tc>
          <w:tcPr>
            <w:tcW w:w="1418" w:type="dxa"/>
            <w:shd w:val="clear" w:color="auto" w:fill="00B0F0"/>
          </w:tcPr>
          <w:p w14:paraId="3ECCC6F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r>
      <w:tr w:rsidR="006A400D" w:rsidRPr="00B94B81" w14:paraId="2964C44D" w14:textId="77777777" w:rsidTr="006A400D">
        <w:tc>
          <w:tcPr>
            <w:tcW w:w="846" w:type="dxa"/>
          </w:tcPr>
          <w:p w14:paraId="0C78D925"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2014</w:t>
            </w:r>
          </w:p>
        </w:tc>
        <w:tc>
          <w:tcPr>
            <w:tcW w:w="1843" w:type="dxa"/>
          </w:tcPr>
          <w:p w14:paraId="132F209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119,4</w:t>
            </w:r>
          </w:p>
        </w:tc>
        <w:tc>
          <w:tcPr>
            <w:tcW w:w="1422" w:type="dxa"/>
            <w:shd w:val="clear" w:color="auto" w:fill="00B0F0"/>
          </w:tcPr>
          <w:p w14:paraId="1201BA3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w:t>
            </w:r>
          </w:p>
        </w:tc>
        <w:tc>
          <w:tcPr>
            <w:tcW w:w="1418" w:type="dxa"/>
          </w:tcPr>
          <w:p w14:paraId="675096E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91,5</w:t>
            </w:r>
          </w:p>
        </w:tc>
        <w:tc>
          <w:tcPr>
            <w:tcW w:w="1412" w:type="dxa"/>
            <w:shd w:val="clear" w:color="auto" w:fill="FF0000"/>
          </w:tcPr>
          <w:p w14:paraId="19BA297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c>
          <w:tcPr>
            <w:tcW w:w="1134" w:type="dxa"/>
          </w:tcPr>
          <w:p w14:paraId="15D54BE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99,3</w:t>
            </w:r>
          </w:p>
        </w:tc>
        <w:tc>
          <w:tcPr>
            <w:tcW w:w="1418" w:type="dxa"/>
            <w:shd w:val="clear" w:color="auto" w:fill="00B0F0"/>
          </w:tcPr>
          <w:p w14:paraId="32CE24C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r>
      <w:tr w:rsidR="006A400D" w:rsidRPr="00B94B81" w14:paraId="5F524B4E" w14:textId="77777777" w:rsidTr="006A400D">
        <w:tc>
          <w:tcPr>
            <w:tcW w:w="846" w:type="dxa"/>
          </w:tcPr>
          <w:p w14:paraId="19CB7CB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lastRenderedPageBreak/>
              <w:t>2015</w:t>
            </w:r>
          </w:p>
        </w:tc>
        <w:tc>
          <w:tcPr>
            <w:tcW w:w="1843" w:type="dxa"/>
          </w:tcPr>
          <w:p w14:paraId="2E7B470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144,4</w:t>
            </w:r>
          </w:p>
        </w:tc>
        <w:tc>
          <w:tcPr>
            <w:tcW w:w="1422" w:type="dxa"/>
            <w:shd w:val="clear" w:color="auto" w:fill="00B0F0"/>
          </w:tcPr>
          <w:p w14:paraId="4A6192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c>
          <w:tcPr>
            <w:tcW w:w="1418" w:type="dxa"/>
          </w:tcPr>
          <w:p w14:paraId="1C4849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82,5</w:t>
            </w:r>
          </w:p>
        </w:tc>
        <w:tc>
          <w:tcPr>
            <w:tcW w:w="1412" w:type="dxa"/>
            <w:shd w:val="clear" w:color="auto" w:fill="00B0F0"/>
          </w:tcPr>
          <w:p w14:paraId="1C2F63F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c>
          <w:tcPr>
            <w:tcW w:w="1134" w:type="dxa"/>
          </w:tcPr>
          <w:p w14:paraId="6119A46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95,7</w:t>
            </w:r>
          </w:p>
        </w:tc>
        <w:tc>
          <w:tcPr>
            <w:tcW w:w="1418" w:type="dxa"/>
            <w:shd w:val="clear" w:color="auto" w:fill="00B0F0"/>
          </w:tcPr>
          <w:p w14:paraId="2FC623A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r>
      <w:tr w:rsidR="006A400D" w:rsidRPr="00B94B81" w14:paraId="31F6D4DE" w14:textId="77777777" w:rsidTr="006A400D">
        <w:tc>
          <w:tcPr>
            <w:tcW w:w="846" w:type="dxa"/>
          </w:tcPr>
          <w:p w14:paraId="731FCB6C"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2016</w:t>
            </w:r>
          </w:p>
        </w:tc>
        <w:tc>
          <w:tcPr>
            <w:tcW w:w="1843" w:type="dxa"/>
          </w:tcPr>
          <w:p w14:paraId="25CBD12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138,7</w:t>
            </w:r>
          </w:p>
        </w:tc>
        <w:tc>
          <w:tcPr>
            <w:tcW w:w="1422" w:type="dxa"/>
            <w:shd w:val="clear" w:color="auto" w:fill="00B0F0"/>
          </w:tcPr>
          <w:p w14:paraId="172322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c>
          <w:tcPr>
            <w:tcW w:w="1418" w:type="dxa"/>
          </w:tcPr>
          <w:p w14:paraId="39FFB79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78,7</w:t>
            </w:r>
          </w:p>
        </w:tc>
        <w:tc>
          <w:tcPr>
            <w:tcW w:w="1412" w:type="dxa"/>
            <w:shd w:val="clear" w:color="auto" w:fill="00B0F0"/>
          </w:tcPr>
          <w:p w14:paraId="2231E48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2,9</w:t>
            </w:r>
          </w:p>
        </w:tc>
        <w:tc>
          <w:tcPr>
            <w:tcW w:w="1134" w:type="dxa"/>
          </w:tcPr>
          <w:p w14:paraId="6F1816DB"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104,4</w:t>
            </w:r>
          </w:p>
        </w:tc>
        <w:tc>
          <w:tcPr>
            <w:tcW w:w="1418" w:type="dxa"/>
            <w:shd w:val="clear" w:color="auto" w:fill="00B0F0"/>
          </w:tcPr>
          <w:p w14:paraId="0A31C247"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r>
      <w:tr w:rsidR="006A400D" w:rsidRPr="00B94B81" w14:paraId="4B8AFF51" w14:textId="77777777" w:rsidTr="006A400D">
        <w:tc>
          <w:tcPr>
            <w:tcW w:w="846" w:type="dxa"/>
          </w:tcPr>
          <w:p w14:paraId="65510F87"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2017</w:t>
            </w:r>
          </w:p>
        </w:tc>
        <w:tc>
          <w:tcPr>
            <w:tcW w:w="1843" w:type="dxa"/>
          </w:tcPr>
          <w:p w14:paraId="71CDA7C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137,4</w:t>
            </w:r>
          </w:p>
        </w:tc>
        <w:tc>
          <w:tcPr>
            <w:tcW w:w="1422" w:type="dxa"/>
            <w:shd w:val="clear" w:color="auto" w:fill="00B0F0"/>
          </w:tcPr>
          <w:p w14:paraId="79AB43A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2,2</w:t>
            </w:r>
          </w:p>
        </w:tc>
        <w:tc>
          <w:tcPr>
            <w:tcW w:w="1418" w:type="dxa"/>
          </w:tcPr>
          <w:p w14:paraId="3A504CB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64,4</w:t>
            </w:r>
          </w:p>
        </w:tc>
        <w:tc>
          <w:tcPr>
            <w:tcW w:w="1412" w:type="dxa"/>
            <w:shd w:val="clear" w:color="auto" w:fill="00B0F0"/>
          </w:tcPr>
          <w:p w14:paraId="359CE978"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1,8</w:t>
            </w:r>
          </w:p>
        </w:tc>
        <w:tc>
          <w:tcPr>
            <w:tcW w:w="1134" w:type="dxa"/>
          </w:tcPr>
          <w:p w14:paraId="5FB56F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80</w:t>
            </w:r>
          </w:p>
        </w:tc>
        <w:tc>
          <w:tcPr>
            <w:tcW w:w="1418" w:type="dxa"/>
            <w:shd w:val="clear" w:color="auto" w:fill="00B0F0"/>
          </w:tcPr>
          <w:p w14:paraId="4E7A794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2,1</w:t>
            </w:r>
          </w:p>
        </w:tc>
      </w:tr>
      <w:tr w:rsidR="006A400D" w:rsidRPr="00B94B81" w14:paraId="036471BA" w14:textId="77777777" w:rsidTr="006A400D">
        <w:tc>
          <w:tcPr>
            <w:tcW w:w="846" w:type="dxa"/>
          </w:tcPr>
          <w:p w14:paraId="2E71A98F"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2018</w:t>
            </w:r>
          </w:p>
        </w:tc>
        <w:tc>
          <w:tcPr>
            <w:tcW w:w="1843" w:type="dxa"/>
          </w:tcPr>
          <w:p w14:paraId="5982925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138,6</w:t>
            </w:r>
          </w:p>
        </w:tc>
        <w:tc>
          <w:tcPr>
            <w:tcW w:w="1422" w:type="dxa"/>
            <w:shd w:val="clear" w:color="auto" w:fill="00B0F0"/>
          </w:tcPr>
          <w:p w14:paraId="0134E0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c>
          <w:tcPr>
            <w:tcW w:w="1418" w:type="dxa"/>
          </w:tcPr>
          <w:p w14:paraId="649D561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93,6</w:t>
            </w:r>
          </w:p>
        </w:tc>
        <w:tc>
          <w:tcPr>
            <w:tcW w:w="1412" w:type="dxa"/>
            <w:shd w:val="clear" w:color="auto" w:fill="FFFF00"/>
          </w:tcPr>
          <w:p w14:paraId="02FBD3F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c>
          <w:tcPr>
            <w:tcW w:w="1134" w:type="dxa"/>
          </w:tcPr>
          <w:p w14:paraId="11FFB7D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86,5</w:t>
            </w:r>
          </w:p>
        </w:tc>
        <w:tc>
          <w:tcPr>
            <w:tcW w:w="1418" w:type="dxa"/>
            <w:shd w:val="clear" w:color="auto" w:fill="00B0F0"/>
          </w:tcPr>
          <w:p w14:paraId="1A3BCE4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2,6</w:t>
            </w:r>
          </w:p>
        </w:tc>
      </w:tr>
      <w:tr w:rsidR="006A400D" w:rsidRPr="00B94B81" w14:paraId="5290A4DA" w14:textId="77777777" w:rsidTr="006A400D">
        <w:tc>
          <w:tcPr>
            <w:tcW w:w="846" w:type="dxa"/>
          </w:tcPr>
          <w:p w14:paraId="3F6BA571"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2019</w:t>
            </w:r>
          </w:p>
        </w:tc>
        <w:tc>
          <w:tcPr>
            <w:tcW w:w="1843" w:type="dxa"/>
          </w:tcPr>
          <w:p w14:paraId="1FB6B4B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140,1</w:t>
            </w:r>
          </w:p>
        </w:tc>
        <w:tc>
          <w:tcPr>
            <w:tcW w:w="1422" w:type="dxa"/>
            <w:shd w:val="clear" w:color="auto" w:fill="00B0F0"/>
          </w:tcPr>
          <w:p w14:paraId="3F3FDA6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3,2</w:t>
            </w:r>
          </w:p>
        </w:tc>
        <w:tc>
          <w:tcPr>
            <w:tcW w:w="1418" w:type="dxa"/>
          </w:tcPr>
          <w:p w14:paraId="0FAB4A7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85,8</w:t>
            </w:r>
          </w:p>
        </w:tc>
        <w:tc>
          <w:tcPr>
            <w:tcW w:w="1412" w:type="dxa"/>
            <w:shd w:val="clear" w:color="auto" w:fill="00B0F0"/>
          </w:tcPr>
          <w:p w14:paraId="39535F1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c>
          <w:tcPr>
            <w:tcW w:w="1134" w:type="dxa"/>
          </w:tcPr>
          <w:p w14:paraId="4E72C16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103,6</w:t>
            </w:r>
          </w:p>
        </w:tc>
        <w:tc>
          <w:tcPr>
            <w:tcW w:w="1418" w:type="dxa"/>
            <w:shd w:val="clear" w:color="auto" w:fill="00B0F0"/>
          </w:tcPr>
          <w:p w14:paraId="2371748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r>
      <w:tr w:rsidR="006A400D" w:rsidRPr="00B94B81" w14:paraId="5238BD3A" w14:textId="77777777" w:rsidTr="006A400D">
        <w:tc>
          <w:tcPr>
            <w:tcW w:w="846" w:type="dxa"/>
          </w:tcPr>
          <w:p w14:paraId="12112D6B"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2020</w:t>
            </w:r>
          </w:p>
        </w:tc>
        <w:tc>
          <w:tcPr>
            <w:tcW w:w="1843" w:type="dxa"/>
          </w:tcPr>
          <w:p w14:paraId="38081CC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123,9</w:t>
            </w:r>
          </w:p>
        </w:tc>
        <w:tc>
          <w:tcPr>
            <w:tcW w:w="1422" w:type="dxa"/>
            <w:shd w:val="clear" w:color="auto" w:fill="00B0F0"/>
          </w:tcPr>
          <w:p w14:paraId="2A445C3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418" w:type="dxa"/>
          </w:tcPr>
          <w:p w14:paraId="1B91F7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86,7</w:t>
            </w:r>
          </w:p>
        </w:tc>
        <w:tc>
          <w:tcPr>
            <w:tcW w:w="1412" w:type="dxa"/>
            <w:shd w:val="clear" w:color="auto" w:fill="00B0F0"/>
          </w:tcPr>
          <w:p w14:paraId="49E1326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c>
          <w:tcPr>
            <w:tcW w:w="1134" w:type="dxa"/>
          </w:tcPr>
          <w:p w14:paraId="5F57D4E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99,6</w:t>
            </w:r>
          </w:p>
        </w:tc>
        <w:tc>
          <w:tcPr>
            <w:tcW w:w="1418" w:type="dxa"/>
            <w:shd w:val="clear" w:color="auto" w:fill="00B0F0"/>
          </w:tcPr>
          <w:p w14:paraId="478EF42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3,5</w:t>
            </w:r>
          </w:p>
        </w:tc>
      </w:tr>
      <w:tr w:rsidR="006A400D" w:rsidRPr="00B94B81" w14:paraId="0BB9A7CE" w14:textId="77777777" w:rsidTr="006A400D">
        <w:tc>
          <w:tcPr>
            <w:tcW w:w="846" w:type="dxa"/>
          </w:tcPr>
          <w:p w14:paraId="65C04418"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2021</w:t>
            </w:r>
          </w:p>
        </w:tc>
        <w:tc>
          <w:tcPr>
            <w:tcW w:w="1843" w:type="dxa"/>
          </w:tcPr>
          <w:p w14:paraId="1C01276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99,4</w:t>
            </w:r>
          </w:p>
        </w:tc>
        <w:tc>
          <w:tcPr>
            <w:tcW w:w="1422" w:type="dxa"/>
            <w:shd w:val="clear" w:color="auto" w:fill="00B0F0"/>
          </w:tcPr>
          <w:p w14:paraId="7350AC3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w:t>
            </w:r>
          </w:p>
        </w:tc>
        <w:tc>
          <w:tcPr>
            <w:tcW w:w="1418" w:type="dxa"/>
          </w:tcPr>
          <w:p w14:paraId="78EAF2F2"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86,7</w:t>
            </w:r>
          </w:p>
        </w:tc>
        <w:tc>
          <w:tcPr>
            <w:tcW w:w="1412" w:type="dxa"/>
            <w:shd w:val="clear" w:color="auto" w:fill="00B0F0"/>
          </w:tcPr>
          <w:p w14:paraId="6877269F"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4,6</w:t>
            </w:r>
          </w:p>
        </w:tc>
        <w:tc>
          <w:tcPr>
            <w:tcW w:w="1134" w:type="dxa"/>
          </w:tcPr>
          <w:p w14:paraId="3E11939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110,3</w:t>
            </w:r>
          </w:p>
        </w:tc>
        <w:tc>
          <w:tcPr>
            <w:tcW w:w="1418" w:type="dxa"/>
            <w:shd w:val="clear" w:color="auto" w:fill="FFFF00"/>
          </w:tcPr>
          <w:p w14:paraId="43576B3C"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w:t>
            </w:r>
          </w:p>
        </w:tc>
      </w:tr>
      <w:tr w:rsidR="006A400D" w:rsidRPr="00B94B81" w14:paraId="2C27AFE0" w14:textId="77777777" w:rsidTr="006A400D">
        <w:tc>
          <w:tcPr>
            <w:tcW w:w="846" w:type="dxa"/>
          </w:tcPr>
          <w:p w14:paraId="6C67367E"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2022</w:t>
            </w:r>
          </w:p>
        </w:tc>
        <w:tc>
          <w:tcPr>
            <w:tcW w:w="1843" w:type="dxa"/>
          </w:tcPr>
          <w:p w14:paraId="4EA2638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127,7</w:t>
            </w:r>
          </w:p>
        </w:tc>
        <w:tc>
          <w:tcPr>
            <w:tcW w:w="1422" w:type="dxa"/>
            <w:shd w:val="clear" w:color="auto" w:fill="00B0F0"/>
          </w:tcPr>
          <w:p w14:paraId="46D01CB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1,5</w:t>
            </w:r>
          </w:p>
        </w:tc>
        <w:tc>
          <w:tcPr>
            <w:tcW w:w="1418" w:type="dxa"/>
          </w:tcPr>
          <w:p w14:paraId="38EA4B9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100,6</w:t>
            </w:r>
          </w:p>
        </w:tc>
        <w:tc>
          <w:tcPr>
            <w:tcW w:w="1412" w:type="dxa"/>
            <w:shd w:val="clear" w:color="auto" w:fill="92D050"/>
          </w:tcPr>
          <w:p w14:paraId="0F626853"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c>
          <w:tcPr>
            <w:tcW w:w="1134" w:type="dxa"/>
          </w:tcPr>
          <w:p w14:paraId="4D48FFC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100,2</w:t>
            </w:r>
          </w:p>
        </w:tc>
        <w:tc>
          <w:tcPr>
            <w:tcW w:w="1418" w:type="dxa"/>
            <w:shd w:val="clear" w:color="auto" w:fill="00B0F0"/>
          </w:tcPr>
          <w:p w14:paraId="04898E60"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4,0</w:t>
            </w:r>
          </w:p>
        </w:tc>
      </w:tr>
      <w:tr w:rsidR="006A400D" w:rsidRPr="00B94B81" w14:paraId="7A34C1D1" w14:textId="77777777" w:rsidTr="006A400D">
        <w:tc>
          <w:tcPr>
            <w:tcW w:w="846" w:type="dxa"/>
          </w:tcPr>
          <w:p w14:paraId="0992E44B"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2023</w:t>
            </w:r>
          </w:p>
        </w:tc>
        <w:tc>
          <w:tcPr>
            <w:tcW w:w="1843" w:type="dxa"/>
          </w:tcPr>
          <w:p w14:paraId="634CC266"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120,4</w:t>
            </w:r>
          </w:p>
        </w:tc>
        <w:tc>
          <w:tcPr>
            <w:tcW w:w="1422" w:type="dxa"/>
            <w:shd w:val="clear" w:color="auto" w:fill="00B0F0"/>
          </w:tcPr>
          <w:p w14:paraId="12CAA2E4"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w:t>
            </w:r>
          </w:p>
        </w:tc>
        <w:tc>
          <w:tcPr>
            <w:tcW w:w="1418" w:type="dxa"/>
          </w:tcPr>
          <w:p w14:paraId="02D7C48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88</w:t>
            </w:r>
          </w:p>
        </w:tc>
        <w:tc>
          <w:tcPr>
            <w:tcW w:w="1412" w:type="dxa"/>
            <w:shd w:val="clear" w:color="auto" w:fill="00B0F0"/>
          </w:tcPr>
          <w:p w14:paraId="2A9AE4E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5,5</w:t>
            </w:r>
          </w:p>
        </w:tc>
        <w:tc>
          <w:tcPr>
            <w:tcW w:w="1134" w:type="dxa"/>
          </w:tcPr>
          <w:p w14:paraId="134D444D"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113,9</w:t>
            </w:r>
          </w:p>
        </w:tc>
        <w:tc>
          <w:tcPr>
            <w:tcW w:w="1418" w:type="dxa"/>
            <w:shd w:val="clear" w:color="auto" w:fill="92D050"/>
          </w:tcPr>
          <w:p w14:paraId="1641ED2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60,0</w:t>
            </w:r>
          </w:p>
        </w:tc>
      </w:tr>
      <w:tr w:rsidR="006A400D" w:rsidRPr="00B94B81" w14:paraId="562FA977" w14:textId="77777777" w:rsidTr="006A400D">
        <w:tc>
          <w:tcPr>
            <w:tcW w:w="846" w:type="dxa"/>
          </w:tcPr>
          <w:p w14:paraId="54FC7366" w14:textId="77777777" w:rsidR="006A400D" w:rsidRPr="00B94B81" w:rsidRDefault="006A400D" w:rsidP="005A220E">
            <w:pPr>
              <w:jc w:val="center"/>
              <w:rPr>
                <w:rFonts w:ascii="Arial" w:eastAsia="Times New Roman" w:hAnsi="Arial" w:cs="Arial"/>
                <w:sz w:val="20"/>
                <w:szCs w:val="20"/>
                <w:lang w:eastAsia="fr-FR"/>
              </w:rPr>
            </w:pPr>
            <w:r w:rsidRPr="00B94B81">
              <w:rPr>
                <w:rFonts w:ascii="Arial" w:eastAsia="Times New Roman" w:hAnsi="Arial" w:cs="Arial"/>
                <w:sz w:val="20"/>
                <w:szCs w:val="20"/>
                <w:lang w:eastAsia="fr-FR"/>
              </w:rPr>
              <w:t>2024</w:t>
            </w:r>
          </w:p>
        </w:tc>
        <w:tc>
          <w:tcPr>
            <w:tcW w:w="1843" w:type="dxa"/>
          </w:tcPr>
          <w:p w14:paraId="73E3EF49"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130,1</w:t>
            </w:r>
          </w:p>
        </w:tc>
        <w:tc>
          <w:tcPr>
            <w:tcW w:w="1422" w:type="dxa"/>
            <w:shd w:val="clear" w:color="auto" w:fill="00B0F0"/>
          </w:tcPr>
          <w:p w14:paraId="0A5FBE8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1,7</w:t>
            </w:r>
          </w:p>
        </w:tc>
        <w:tc>
          <w:tcPr>
            <w:tcW w:w="1418" w:type="dxa"/>
          </w:tcPr>
          <w:p w14:paraId="161E0AF5"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90,5</w:t>
            </w:r>
          </w:p>
        </w:tc>
        <w:tc>
          <w:tcPr>
            <w:tcW w:w="1412" w:type="dxa"/>
            <w:shd w:val="clear" w:color="auto" w:fill="FF0000"/>
          </w:tcPr>
          <w:p w14:paraId="1997036A"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6,7</w:t>
            </w:r>
          </w:p>
        </w:tc>
        <w:tc>
          <w:tcPr>
            <w:tcW w:w="1134" w:type="dxa"/>
          </w:tcPr>
          <w:p w14:paraId="516ACC01"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106</w:t>
            </w:r>
          </w:p>
        </w:tc>
        <w:tc>
          <w:tcPr>
            <w:tcW w:w="1418" w:type="dxa"/>
            <w:shd w:val="clear" w:color="auto" w:fill="FF0000"/>
          </w:tcPr>
          <w:p w14:paraId="09211BAE" w14:textId="77777777" w:rsidR="006A400D" w:rsidRPr="00B94B81" w:rsidRDefault="006A400D" w:rsidP="005A220E">
            <w:pPr>
              <w:jc w:val="right"/>
              <w:rPr>
                <w:rFonts w:ascii="Arial" w:hAnsi="Arial" w:cs="Arial"/>
                <w:sz w:val="20"/>
                <w:szCs w:val="20"/>
              </w:rPr>
            </w:pPr>
            <w:r w:rsidRPr="00B94B81">
              <w:rPr>
                <w:rFonts w:ascii="Arial" w:hAnsi="Arial" w:cs="Arial"/>
                <w:sz w:val="20"/>
                <w:szCs w:val="20"/>
              </w:rPr>
              <w:t>8,6</w:t>
            </w:r>
          </w:p>
        </w:tc>
      </w:tr>
    </w:tbl>
    <w:p w14:paraId="2DFC547D" w14:textId="77777777" w:rsidR="0026579C" w:rsidRDefault="0026579C" w:rsidP="0026579C">
      <w:pPr>
        <w:spacing w:after="0" w:line="240" w:lineRule="auto"/>
        <w:jc w:val="both"/>
        <w:rPr>
          <w:rFonts w:ascii="Arial" w:hAnsi="Arial" w:cs="Arial"/>
          <w:sz w:val="20"/>
          <w:szCs w:val="20"/>
          <w:lang w:val="en-US"/>
        </w:rPr>
      </w:pPr>
    </w:p>
    <w:p w14:paraId="7D853077" w14:textId="6D389015" w:rsidR="001B3100" w:rsidRPr="0026579C" w:rsidRDefault="001B3100"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 xml:space="preserve">Analysis of extreme events for different return periods (Table 1) using Gumbel law shows </w:t>
      </w:r>
      <w:proofErr w:type="gramStart"/>
      <w:r w:rsidRPr="0026579C">
        <w:rPr>
          <w:rFonts w:ascii="Arial" w:hAnsi="Arial" w:cs="Arial"/>
          <w:sz w:val="20"/>
          <w:szCs w:val="20"/>
          <w:lang w:val="en-US"/>
        </w:rPr>
        <w:t>that</w:t>
      </w:r>
      <w:r w:rsidR="0026579C" w:rsidRPr="0026579C">
        <w:rPr>
          <w:rFonts w:ascii="Arial" w:hAnsi="Arial" w:cs="Arial"/>
          <w:sz w:val="20"/>
          <w:szCs w:val="20"/>
          <w:lang w:val="en-US"/>
        </w:rPr>
        <w:t xml:space="preserve"> </w:t>
      </w:r>
      <w:r w:rsidRPr="0026579C">
        <w:rPr>
          <w:rFonts w:ascii="Arial" w:hAnsi="Arial" w:cs="Arial"/>
          <w:sz w:val="20"/>
          <w:szCs w:val="20"/>
          <w:lang w:val="en-US"/>
        </w:rPr>
        <w:t>:</w:t>
      </w:r>
      <w:proofErr w:type="gramEnd"/>
    </w:p>
    <w:p w14:paraId="79A13731" w14:textId="4AA2108D" w:rsidR="006A400D" w:rsidRPr="0026579C" w:rsidRDefault="0026579C"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w:t>
      </w:r>
      <w:r w:rsidR="001B3100" w:rsidRPr="0026579C">
        <w:rPr>
          <w:rFonts w:ascii="Arial" w:hAnsi="Arial" w:cs="Arial"/>
          <w:sz w:val="20"/>
          <w:szCs w:val="20"/>
          <w:lang w:val="en-US"/>
        </w:rPr>
        <w:t xml:space="preserve">eturn periods between </w:t>
      </w:r>
      <w:r w:rsidRPr="0026579C">
        <w:rPr>
          <w:rFonts w:ascii="Arial" w:hAnsi="Arial" w:cs="Arial"/>
          <w:sz w:val="20"/>
          <w:szCs w:val="20"/>
          <w:lang w:val="en-US"/>
        </w:rPr>
        <w:t>30- and 100-years</w:t>
      </w:r>
      <w:r w:rsidR="001B3100" w:rsidRPr="0026579C">
        <w:rPr>
          <w:rFonts w:ascii="Arial" w:hAnsi="Arial" w:cs="Arial"/>
          <w:sz w:val="20"/>
          <w:szCs w:val="20"/>
          <w:lang w:val="en-US"/>
        </w:rPr>
        <w:t xml:space="preserve"> mark exceptional events and include the 2008 flood flow with a flow rate of 347.1 m3/s and the extreme rainfall of 2022 and 2023 in N’Zérékoré and Macenta respectively, with amounts of 100.6 mm and 113.9 mm, for which the return period is 60 years;</w:t>
      </w:r>
    </w:p>
    <w:p w14:paraId="38CF5DA5" w14:textId="2E9B8ECD" w:rsidR="001B3100" w:rsidRPr="0026579C" w:rsidRDefault="001B3100"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Return periods falling within the range of 10 to 30 years constitute highly abnormal events and concern the flood flows of 2007 and 2009, with flow rates of 206.0 m³/s and 275.3 m³/s respectively, for return periods of 12 and 20 years; the extreme rainfall of 1998 for the two stations (N’Zérékoré and Macenta) with respective amounts of 95.4 mm and 113.3 mm for a return period of 20 years. There are also the rainfall events of 2018 and 2021 with respective amounts of 93.6 mm for the N’Zérékoré station and 110.3 mm for the Macenta station, with a return period of 12 years;</w:t>
      </w:r>
    </w:p>
    <w:p w14:paraId="06484CC0" w14:textId="4EDFCCCB" w:rsidR="001B3100" w:rsidRPr="0026579C" w:rsidRDefault="001B3100" w:rsidP="0026579C">
      <w:pPr>
        <w:pStyle w:val="ListParagraph"/>
        <w:numPr>
          <w:ilvl w:val="0"/>
          <w:numId w:val="3"/>
        </w:numPr>
        <w:spacing w:after="0" w:line="240" w:lineRule="auto"/>
        <w:ind w:left="426" w:hanging="284"/>
        <w:jc w:val="both"/>
        <w:rPr>
          <w:rFonts w:ascii="Arial" w:hAnsi="Arial" w:cs="Arial"/>
          <w:sz w:val="20"/>
          <w:szCs w:val="20"/>
          <w:lang w:val="en-US"/>
        </w:rPr>
      </w:pPr>
      <w:r w:rsidRPr="0026579C">
        <w:rPr>
          <w:rFonts w:ascii="Arial" w:hAnsi="Arial" w:cs="Arial"/>
          <w:sz w:val="20"/>
          <w:szCs w:val="20"/>
          <w:lang w:val="en-US"/>
        </w:rPr>
        <w:t>Return periods between 1 and 6 constitute abnormal events and concern the remaining years in Table 1, with the exception of 1996 and 2008, whose flow rates are 186.2 m³/s and 203.6 m³/s, respectively, with return periods of 6.7 years and 8.6 years. In addition, the rainfall in N’Zérékoré for the years 2014 and 2024, which have return periods of 8.6 and 6.7 years, and that of Macenta, with a return period of 8.6 years corresponding to the year 2024, are included.</w:t>
      </w:r>
    </w:p>
    <w:p w14:paraId="36960082" w14:textId="77777777" w:rsidR="0026579C" w:rsidRPr="0026579C" w:rsidRDefault="0026579C" w:rsidP="0026579C">
      <w:pPr>
        <w:spacing w:after="0" w:line="240" w:lineRule="auto"/>
        <w:jc w:val="both"/>
        <w:rPr>
          <w:rFonts w:ascii="Arial" w:hAnsi="Arial" w:cs="Arial"/>
          <w:sz w:val="20"/>
          <w:szCs w:val="20"/>
          <w:lang w:val="en-US"/>
        </w:rPr>
      </w:pPr>
    </w:p>
    <w:p w14:paraId="1EB51202" w14:textId="77777777" w:rsidR="000C57B7" w:rsidRPr="0026579C" w:rsidRDefault="000C57B7" w:rsidP="0026579C">
      <w:pPr>
        <w:spacing w:before="120" w:after="120" w:line="240" w:lineRule="auto"/>
        <w:jc w:val="both"/>
        <w:rPr>
          <w:rFonts w:ascii="Arial" w:hAnsi="Arial" w:cs="Arial"/>
          <w:b/>
          <w:sz w:val="20"/>
          <w:szCs w:val="20"/>
          <w:lang w:val="en-US"/>
        </w:rPr>
      </w:pPr>
      <w:r w:rsidRPr="0026579C">
        <w:rPr>
          <w:rFonts w:ascii="Arial" w:hAnsi="Arial" w:cs="Arial"/>
          <w:b/>
          <w:sz w:val="20"/>
          <w:szCs w:val="20"/>
          <w:lang w:val="en-US"/>
        </w:rPr>
        <w:t>3.2. Adjustment of Maximum Annual Rainfall/Flow Rates According to the Gumbel Distribution</w:t>
      </w:r>
    </w:p>
    <w:p w14:paraId="2380894E" w14:textId="75B4234D" w:rsidR="000C57B7" w:rsidRDefault="000C57B7"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 xml:space="preserve">The graphs of maximum annual rainfall and flow rate as a function of </w:t>
      </w:r>
      <w:r w:rsidR="004E47E2" w:rsidRPr="0026579C">
        <w:rPr>
          <w:rFonts w:ascii="Arial" w:hAnsi="Arial" w:cs="Arial"/>
          <w:sz w:val="20"/>
          <w:szCs w:val="20"/>
          <w:lang w:val="en-US"/>
        </w:rPr>
        <w:t>the Gumbel centered variables (</w:t>
      </w:r>
      <w:r w:rsidR="0026579C" w:rsidRPr="0026579C">
        <w:rPr>
          <w:rFonts w:ascii="Arial" w:hAnsi="Arial" w:cs="Arial"/>
          <w:sz w:val="20"/>
          <w:szCs w:val="20"/>
          <w:lang w:val="en-US"/>
        </w:rPr>
        <w:t>F</w:t>
      </w:r>
      <w:r w:rsidRPr="0026579C">
        <w:rPr>
          <w:rFonts w:ascii="Arial" w:hAnsi="Arial" w:cs="Arial"/>
          <w:sz w:val="20"/>
          <w:szCs w:val="20"/>
          <w:lang w:val="en-US"/>
        </w:rPr>
        <w:t>ig</w:t>
      </w:r>
      <w:r w:rsidR="0026579C" w:rsidRPr="0026579C">
        <w:rPr>
          <w:rFonts w:ascii="Arial" w:hAnsi="Arial" w:cs="Arial"/>
          <w:sz w:val="20"/>
          <w:szCs w:val="20"/>
          <w:lang w:val="en-US"/>
        </w:rPr>
        <w:t>.</w:t>
      </w:r>
      <w:r w:rsidRPr="0026579C">
        <w:rPr>
          <w:rFonts w:ascii="Arial" w:hAnsi="Arial" w:cs="Arial"/>
          <w:sz w:val="20"/>
          <w:szCs w:val="20"/>
          <w:lang w:val="en-US"/>
        </w:rPr>
        <w:t xml:space="preserve"> 2) yield the following equation, whose parameters, estimated by the method of moments, are: a = 55.31 and b = 17.94 for rainfall in N’Zérékoré and a = 55.29 and b = 23.96 for Macenta; for flow rates, a = 122.66 and b = 42.84. All the estimated rainfall/flow rate intensities closely follow the linear curves and fall within the confidence intervals. This demonstrates that the Gumbel distribution accurately estimates the extreme values ​​of observed annual rainfall/flow rates.</w:t>
      </w:r>
    </w:p>
    <w:p w14:paraId="18875DB9" w14:textId="77777777" w:rsidR="0026579C" w:rsidRPr="0026579C" w:rsidRDefault="0026579C" w:rsidP="0026579C">
      <w:pPr>
        <w:spacing w:after="0" w:line="240" w:lineRule="auto"/>
        <w:jc w:val="both"/>
        <w:rPr>
          <w:rFonts w:ascii="Arial" w:hAnsi="Arial" w:cs="Arial"/>
          <w:sz w:val="20"/>
          <w:szCs w:val="20"/>
          <w:lang w:val="en-US"/>
        </w:rPr>
      </w:pPr>
    </w:p>
    <w:p w14:paraId="1520401E" w14:textId="77777777" w:rsidR="00510062" w:rsidRPr="0026579C" w:rsidRDefault="00510062" w:rsidP="0026579C">
      <w:pPr>
        <w:spacing w:after="0" w:line="240" w:lineRule="auto"/>
        <w:jc w:val="both"/>
        <w:rPr>
          <w:rFonts w:ascii="Arial" w:hAnsi="Arial" w:cs="Arial"/>
          <w:sz w:val="20"/>
          <w:szCs w:val="20"/>
          <w:lang w:val="en-US"/>
        </w:rPr>
      </w:pPr>
      <w:r w:rsidRPr="0026579C">
        <w:rPr>
          <w:rFonts w:ascii="Arial" w:hAnsi="Arial" w:cs="Arial"/>
          <w:sz w:val="20"/>
          <w:szCs w:val="20"/>
          <w:lang w:val="en-US"/>
        </w:rPr>
        <w:t>In other words, the method of moments consists of equating the characteristics of the (empirical) distribution of samples with the theoretical characteristics of the law. The characteristics used to describe a distribution are the moments, the best known of which are the mean and the variance.</w:t>
      </w:r>
    </w:p>
    <w:p w14:paraId="11487D04" w14:textId="77777777" w:rsidR="00003C4A" w:rsidRPr="00B94B81" w:rsidRDefault="00003C4A" w:rsidP="00003C4A">
      <w:pPr>
        <w:spacing w:after="0" w:line="240" w:lineRule="auto"/>
        <w:rPr>
          <w:rFonts w:ascii="Arial" w:hAnsi="Arial" w:cs="Arial"/>
          <w:noProof/>
          <w:sz w:val="20"/>
          <w:szCs w:val="20"/>
          <w:lang w:eastAsia="fr-FR"/>
        </w:rPr>
      </w:pPr>
      <w:r w:rsidRPr="00B94B81">
        <w:rPr>
          <w:rFonts w:ascii="Arial" w:hAnsi="Arial" w:cs="Arial"/>
          <w:noProof/>
          <w:sz w:val="20"/>
          <w:szCs w:val="20"/>
          <w:lang w:eastAsia="fr-FR"/>
        </w:rPr>
        <w:drawing>
          <wp:inline distT="0" distB="0" distL="0" distR="0" wp14:anchorId="0C09E96D" wp14:editId="734CC320">
            <wp:extent cx="2809875" cy="2755900"/>
            <wp:effectExtent l="0" t="0" r="952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755900"/>
                    </a:xfrm>
                    <a:prstGeom prst="rect">
                      <a:avLst/>
                    </a:prstGeom>
                    <a:noFill/>
                  </pic:spPr>
                </pic:pic>
              </a:graphicData>
            </a:graphic>
          </wp:inline>
        </w:drawing>
      </w:r>
      <w:r w:rsidRPr="00B94B81">
        <w:rPr>
          <w:rFonts w:ascii="Arial" w:hAnsi="Arial" w:cs="Arial"/>
          <w:noProof/>
          <w:sz w:val="20"/>
          <w:szCs w:val="20"/>
          <w:lang w:eastAsia="fr-FR"/>
        </w:rPr>
        <w:t xml:space="preserve"> </w:t>
      </w:r>
      <w:r w:rsidRPr="00B94B81">
        <w:rPr>
          <w:rFonts w:ascii="Arial" w:hAnsi="Arial" w:cs="Arial"/>
          <w:noProof/>
          <w:sz w:val="20"/>
          <w:szCs w:val="20"/>
          <w:lang w:eastAsia="fr-FR"/>
        </w:rPr>
        <w:drawing>
          <wp:inline distT="0" distB="0" distL="0" distR="0" wp14:anchorId="62E69C3B" wp14:editId="44047C25">
            <wp:extent cx="2886075" cy="2755900"/>
            <wp:effectExtent l="0" t="0" r="952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755900"/>
                    </a:xfrm>
                    <a:prstGeom prst="rect">
                      <a:avLst/>
                    </a:prstGeom>
                    <a:noFill/>
                  </pic:spPr>
                </pic:pic>
              </a:graphicData>
            </a:graphic>
          </wp:inline>
        </w:drawing>
      </w:r>
    </w:p>
    <w:p w14:paraId="24F0CC2F" w14:textId="77777777" w:rsidR="00003C4A" w:rsidRPr="00B94B81" w:rsidRDefault="00003C4A" w:rsidP="00E2385C">
      <w:pPr>
        <w:spacing w:after="0" w:line="240" w:lineRule="auto"/>
        <w:jc w:val="both"/>
        <w:rPr>
          <w:rFonts w:ascii="Arial" w:hAnsi="Arial" w:cs="Arial"/>
          <w:sz w:val="20"/>
          <w:szCs w:val="20"/>
          <w:lang w:val="en-US"/>
        </w:rPr>
      </w:pPr>
      <w:r w:rsidRPr="00B94B81">
        <w:rPr>
          <w:rFonts w:ascii="Arial" w:hAnsi="Arial" w:cs="Arial"/>
          <w:sz w:val="20"/>
          <w:szCs w:val="20"/>
          <w:lang w:val="en-US"/>
        </w:rPr>
        <w:lastRenderedPageBreak/>
        <w:t xml:space="preserve">               </w:t>
      </w:r>
      <w:r w:rsidRPr="00B94B81">
        <w:rPr>
          <w:rFonts w:ascii="Arial" w:hAnsi="Arial" w:cs="Arial"/>
          <w:noProof/>
          <w:sz w:val="20"/>
          <w:szCs w:val="20"/>
          <w:lang w:eastAsia="fr-FR"/>
        </w:rPr>
        <w:drawing>
          <wp:inline distT="0" distB="0" distL="0" distR="0" wp14:anchorId="7B1B62D1" wp14:editId="64AAE1C9">
            <wp:extent cx="4578350" cy="27559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4D5F6B9" w14:textId="5BF82E2A" w:rsidR="00003C4A" w:rsidRPr="0026579C" w:rsidRDefault="00003C4A" w:rsidP="003C7900">
      <w:pPr>
        <w:spacing w:before="120" w:after="0" w:line="360" w:lineRule="auto"/>
        <w:jc w:val="both"/>
        <w:rPr>
          <w:rFonts w:ascii="Arial" w:hAnsi="Arial" w:cs="Arial"/>
          <w:bCs/>
          <w:iCs/>
          <w:sz w:val="20"/>
          <w:szCs w:val="20"/>
          <w:lang w:val="en-US"/>
        </w:rPr>
      </w:pPr>
      <w:r w:rsidRPr="0026579C">
        <w:rPr>
          <w:rFonts w:ascii="Arial" w:hAnsi="Arial" w:cs="Arial"/>
          <w:b/>
          <w:iCs/>
          <w:sz w:val="20"/>
          <w:szCs w:val="20"/>
          <w:lang w:val="en-US"/>
        </w:rPr>
        <w:t>Fig</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2</w:t>
      </w:r>
      <w:r w:rsidR="0026579C" w:rsidRPr="0026579C">
        <w:rPr>
          <w:rFonts w:ascii="Arial" w:hAnsi="Arial" w:cs="Arial"/>
          <w:b/>
          <w:iCs/>
          <w:sz w:val="20"/>
          <w:szCs w:val="20"/>
          <w:lang w:val="en-US"/>
        </w:rPr>
        <w:t>.</w:t>
      </w:r>
      <w:r w:rsidRPr="0026579C">
        <w:rPr>
          <w:rFonts w:ascii="Arial" w:hAnsi="Arial" w:cs="Arial"/>
          <w:b/>
          <w:iCs/>
          <w:sz w:val="20"/>
          <w:szCs w:val="20"/>
          <w:lang w:val="en-US"/>
        </w:rPr>
        <w:t xml:space="preserve"> </w:t>
      </w:r>
      <w:r w:rsidRPr="0026579C">
        <w:rPr>
          <w:rFonts w:ascii="Arial" w:hAnsi="Arial" w:cs="Arial"/>
          <w:bCs/>
          <w:iCs/>
          <w:sz w:val="20"/>
          <w:szCs w:val="20"/>
          <w:lang w:val="en-US"/>
        </w:rPr>
        <w:t>Gumbel Law Precipitation/Runoff Fitting Model</w:t>
      </w:r>
    </w:p>
    <w:p w14:paraId="5F66F444" w14:textId="77777777" w:rsidR="00536498" w:rsidRPr="00B94B81" w:rsidRDefault="00536498" w:rsidP="0026579C">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3.3. Estimation of Quantiles Corresponding to Return Times of Stream flow and Precipitation Observed in the Watershed</w:t>
      </w:r>
    </w:p>
    <w:p w14:paraId="0BB5C579" w14:textId="77777777" w:rsidR="00003C4A" w:rsidRDefault="003C7900" w:rsidP="0026579C">
      <w:pPr>
        <w:spacing w:after="0" w:line="240" w:lineRule="auto"/>
        <w:jc w:val="both"/>
        <w:rPr>
          <w:rFonts w:ascii="Arial" w:hAnsi="Arial" w:cs="Arial"/>
          <w:sz w:val="20"/>
          <w:szCs w:val="20"/>
          <w:lang w:val="en-US"/>
        </w:rPr>
      </w:pPr>
      <w:r w:rsidRPr="00B94B81">
        <w:rPr>
          <w:rFonts w:ascii="Arial" w:hAnsi="Arial" w:cs="Arial"/>
          <w:sz w:val="20"/>
          <w:szCs w:val="20"/>
          <w:lang w:val="en-US"/>
        </w:rPr>
        <w:t>The results in f</w:t>
      </w:r>
      <w:r w:rsidR="00536498" w:rsidRPr="00B94B81">
        <w:rPr>
          <w:rFonts w:ascii="Arial" w:hAnsi="Arial" w:cs="Arial"/>
          <w:sz w:val="20"/>
          <w:szCs w:val="20"/>
          <w:lang w:val="en-US"/>
        </w:rPr>
        <w:t>igure 3 reveal that the 6-year return period corresponds to rainfall quantiles of 85.8 mm and 96.1 mm for the N’Zérékoré and Macenta stations, respectively, with a flow rate of 195.6 m³/s marking abnormal rainfall events. The 12- and 20-year return periods coincide with rainfall quantiles of 99.1 mm and 108.6 mm for the N’Zérékoré station and 113.8 mm and 126.4 mm for the Macenta station, with respective flow rates of 227.3 m³/s and 249.9 m³/s.</w:t>
      </w:r>
    </w:p>
    <w:p w14:paraId="1770A8A1" w14:textId="77777777" w:rsidR="00623DEA" w:rsidRPr="00B94B81" w:rsidRDefault="00623DEA" w:rsidP="0026579C">
      <w:pPr>
        <w:spacing w:after="0" w:line="240" w:lineRule="auto"/>
        <w:jc w:val="both"/>
        <w:rPr>
          <w:rFonts w:ascii="Arial" w:hAnsi="Arial" w:cs="Arial"/>
          <w:sz w:val="20"/>
          <w:szCs w:val="20"/>
          <w:lang w:val="en-US"/>
        </w:rPr>
      </w:pPr>
    </w:p>
    <w:p w14:paraId="57657498" w14:textId="77777777" w:rsidR="00536498" w:rsidRPr="00B94B81" w:rsidRDefault="00536498" w:rsidP="0026579C">
      <w:pPr>
        <w:spacing w:after="0" w:line="240" w:lineRule="auto"/>
        <w:jc w:val="both"/>
        <w:rPr>
          <w:rFonts w:ascii="Arial" w:hAnsi="Arial" w:cs="Arial"/>
          <w:sz w:val="20"/>
          <w:szCs w:val="20"/>
          <w:lang w:val="en-US"/>
        </w:rPr>
      </w:pPr>
      <w:r w:rsidRPr="00B94B81">
        <w:rPr>
          <w:rFonts w:ascii="Arial" w:hAnsi="Arial" w:cs="Arial"/>
          <w:sz w:val="20"/>
          <w:szCs w:val="20"/>
          <w:lang w:val="en-US"/>
        </w:rPr>
        <w:t>These return periods correspond to highly abnormal rainfall events. Finally, the 60-year return period, which defines exceptional rainfall events, corresponds to rainfall quantiles of 128.6 mm and 153.2 mm for N’Zérékoré and Macenta, with a flow rate of 297.7 m³/s.</w:t>
      </w:r>
    </w:p>
    <w:p w14:paraId="6A36C98D" w14:textId="77777777" w:rsidR="00122AF5" w:rsidRPr="00B94B81" w:rsidRDefault="00122AF5" w:rsidP="00122AF5">
      <w:pPr>
        <w:spacing w:after="0" w:line="240" w:lineRule="auto"/>
        <w:rPr>
          <w:rFonts w:ascii="Arial" w:hAnsi="Arial" w:cs="Arial"/>
          <w:noProof/>
          <w:sz w:val="20"/>
          <w:szCs w:val="20"/>
          <w:lang w:eastAsia="fr-FR"/>
        </w:rPr>
      </w:pPr>
      <w:r w:rsidRPr="00B94B81">
        <w:rPr>
          <w:rFonts w:ascii="Arial" w:hAnsi="Arial" w:cs="Arial"/>
          <w:noProof/>
          <w:sz w:val="20"/>
          <w:szCs w:val="20"/>
          <w:lang w:eastAsia="fr-FR"/>
        </w:rPr>
        <w:drawing>
          <wp:inline distT="0" distB="0" distL="0" distR="0" wp14:anchorId="0AA4D196" wp14:editId="70091ABE">
            <wp:extent cx="2895600" cy="27559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755900"/>
                    </a:xfrm>
                    <a:prstGeom prst="rect">
                      <a:avLst/>
                    </a:prstGeom>
                    <a:noFill/>
                  </pic:spPr>
                </pic:pic>
              </a:graphicData>
            </a:graphic>
          </wp:inline>
        </w:drawing>
      </w:r>
      <w:r w:rsidRPr="00B94B81">
        <w:rPr>
          <w:rFonts w:ascii="Arial" w:hAnsi="Arial" w:cs="Arial"/>
          <w:noProof/>
          <w:sz w:val="20"/>
          <w:szCs w:val="20"/>
          <w:lang w:eastAsia="fr-FR"/>
        </w:rPr>
        <w:t xml:space="preserve"> </w:t>
      </w:r>
      <w:r w:rsidRPr="00B94B81">
        <w:rPr>
          <w:rFonts w:ascii="Arial" w:hAnsi="Arial" w:cs="Arial"/>
          <w:noProof/>
          <w:sz w:val="20"/>
          <w:szCs w:val="20"/>
          <w:lang w:eastAsia="fr-FR"/>
        </w:rPr>
        <w:drawing>
          <wp:inline distT="0" distB="0" distL="0" distR="0" wp14:anchorId="2853CE28" wp14:editId="321893FF">
            <wp:extent cx="2819400" cy="27559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755900"/>
                    </a:xfrm>
                    <a:prstGeom prst="rect">
                      <a:avLst/>
                    </a:prstGeom>
                    <a:noFill/>
                  </pic:spPr>
                </pic:pic>
              </a:graphicData>
            </a:graphic>
          </wp:inline>
        </w:drawing>
      </w:r>
    </w:p>
    <w:p w14:paraId="52DF1A5C" w14:textId="7D5ED2B7" w:rsidR="00122AF5" w:rsidRPr="00B94B81" w:rsidRDefault="00122AF5" w:rsidP="00623DEA">
      <w:pPr>
        <w:spacing w:after="0" w:line="240" w:lineRule="auto"/>
        <w:rPr>
          <w:rFonts w:ascii="Arial" w:hAnsi="Arial" w:cs="Arial"/>
          <w:sz w:val="20"/>
          <w:szCs w:val="20"/>
          <w:lang w:val="en-US"/>
        </w:rPr>
      </w:pPr>
      <w:r w:rsidRPr="00B94B81">
        <w:rPr>
          <w:rFonts w:ascii="Arial" w:hAnsi="Arial" w:cs="Arial"/>
          <w:sz w:val="20"/>
          <w:szCs w:val="20"/>
          <w:lang w:val="en-US"/>
        </w:rPr>
        <w:lastRenderedPageBreak/>
        <w:t xml:space="preserve">                 </w:t>
      </w:r>
      <w:r w:rsidRPr="00B94B81">
        <w:rPr>
          <w:rFonts w:ascii="Arial" w:hAnsi="Arial" w:cs="Arial"/>
          <w:noProof/>
          <w:sz w:val="20"/>
          <w:szCs w:val="20"/>
          <w:lang w:eastAsia="fr-FR"/>
        </w:rPr>
        <w:drawing>
          <wp:inline distT="0" distB="0" distL="0" distR="0" wp14:anchorId="73F271B4" wp14:editId="3700FEF3">
            <wp:extent cx="4584700" cy="27559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4032A17" w14:textId="7F205AE1" w:rsidR="00122AF5" w:rsidRPr="00B94B81" w:rsidRDefault="00122AF5" w:rsidP="00623DEA">
      <w:pPr>
        <w:spacing w:before="120" w:after="120" w:line="240" w:lineRule="auto"/>
        <w:rPr>
          <w:rFonts w:ascii="Arial" w:hAnsi="Arial" w:cs="Arial"/>
          <w:i/>
          <w:sz w:val="20"/>
          <w:szCs w:val="20"/>
          <w:lang w:val="en-US"/>
        </w:rPr>
      </w:pPr>
      <w:r w:rsidRPr="00B94B81">
        <w:rPr>
          <w:rFonts w:ascii="Arial" w:hAnsi="Arial" w:cs="Arial"/>
          <w:b/>
          <w:i/>
          <w:sz w:val="20"/>
          <w:szCs w:val="20"/>
          <w:lang w:val="en-US"/>
        </w:rPr>
        <w:t>Fig</w:t>
      </w:r>
      <w:r w:rsidR="00623DEA">
        <w:rPr>
          <w:rFonts w:ascii="Arial" w:hAnsi="Arial" w:cs="Arial"/>
          <w:b/>
          <w:i/>
          <w:sz w:val="20"/>
          <w:szCs w:val="20"/>
          <w:lang w:val="en-US"/>
        </w:rPr>
        <w:t xml:space="preserve">. </w:t>
      </w:r>
      <w:r w:rsidRPr="00B94B81">
        <w:rPr>
          <w:rFonts w:ascii="Arial" w:hAnsi="Arial" w:cs="Arial"/>
          <w:b/>
          <w:i/>
          <w:sz w:val="20"/>
          <w:szCs w:val="20"/>
          <w:lang w:val="en-US"/>
        </w:rPr>
        <w:t>3</w:t>
      </w:r>
      <w:r w:rsidR="00623DEA">
        <w:rPr>
          <w:rFonts w:ascii="Arial" w:hAnsi="Arial" w:cs="Arial"/>
          <w:i/>
          <w:sz w:val="20"/>
          <w:szCs w:val="20"/>
          <w:lang w:val="en-US"/>
        </w:rPr>
        <w:t>.</w:t>
      </w:r>
      <w:r w:rsidRPr="00B94B81">
        <w:rPr>
          <w:rFonts w:ascii="Arial" w:hAnsi="Arial" w:cs="Arial"/>
          <w:i/>
          <w:sz w:val="20"/>
          <w:szCs w:val="20"/>
          <w:lang w:val="en-US"/>
        </w:rPr>
        <w:t xml:space="preserve"> Return period of annual rainfall quantiles and maximum flow rates</w:t>
      </w:r>
    </w:p>
    <w:p w14:paraId="18729910" w14:textId="77777777" w:rsidR="00122AF5" w:rsidRPr="00B94B81" w:rsidRDefault="00AF041A"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Moreover, these different analyses describe the intensity of annual rainfall and maximum flows according to an annual periodicity and can lead to a recurrence of water levels in the basin.</w:t>
      </w:r>
    </w:p>
    <w:p w14:paraId="7F66B315" w14:textId="77777777" w:rsidR="00AF041A" w:rsidRPr="00B94B81" w:rsidRDefault="00AF041A" w:rsidP="00623DEA">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3.4. Statistical Dependence between Rainfall and Annual Flow in the Watershed</w:t>
      </w:r>
    </w:p>
    <w:p w14:paraId="21F11648" w14:textId="2C64F035" w:rsidR="00AF041A" w:rsidRPr="00B94B81" w:rsidRDefault="00AF041A"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 xml:space="preserve">To better understand the influence of rainfall on flow, a correlation test was applied, as </w:t>
      </w:r>
      <w:r w:rsidR="00E2385C" w:rsidRPr="00B94B81">
        <w:rPr>
          <w:rFonts w:ascii="Arial" w:hAnsi="Arial" w:cs="Arial"/>
          <w:sz w:val="20"/>
          <w:szCs w:val="20"/>
          <w:lang w:val="en-US"/>
        </w:rPr>
        <w:t xml:space="preserve">illustrated by the </w:t>
      </w:r>
      <w:r w:rsidR="00E2385C" w:rsidRPr="00623DEA">
        <w:rPr>
          <w:rFonts w:ascii="Arial" w:hAnsi="Arial" w:cs="Arial"/>
          <w:sz w:val="20"/>
          <w:szCs w:val="20"/>
          <w:lang w:val="en-US"/>
        </w:rPr>
        <w:t>two graphs (</w:t>
      </w:r>
      <w:r w:rsidR="00623DEA" w:rsidRPr="00623DEA">
        <w:rPr>
          <w:rFonts w:ascii="Arial" w:hAnsi="Arial" w:cs="Arial"/>
          <w:sz w:val="20"/>
          <w:szCs w:val="20"/>
          <w:lang w:val="en-US"/>
        </w:rPr>
        <w:t>F</w:t>
      </w:r>
      <w:r w:rsidRPr="00623DEA">
        <w:rPr>
          <w:rFonts w:ascii="Arial" w:hAnsi="Arial" w:cs="Arial"/>
          <w:sz w:val="20"/>
          <w:szCs w:val="20"/>
          <w:lang w:val="en-US"/>
        </w:rPr>
        <w:t>ig</w:t>
      </w:r>
      <w:r w:rsidR="00623DEA" w:rsidRPr="00623DEA">
        <w:rPr>
          <w:rFonts w:ascii="Arial" w:hAnsi="Arial" w:cs="Arial"/>
          <w:sz w:val="20"/>
          <w:szCs w:val="20"/>
          <w:lang w:val="en-US"/>
        </w:rPr>
        <w:t>.</w:t>
      </w:r>
      <w:r w:rsidRPr="00623DEA">
        <w:rPr>
          <w:rFonts w:ascii="Arial" w:hAnsi="Arial" w:cs="Arial"/>
          <w:sz w:val="20"/>
          <w:szCs w:val="20"/>
          <w:lang w:val="en-US"/>
        </w:rPr>
        <w:t xml:space="preserve"> 4). The results of the analysis show that the cloud points are dispersed in the same</w:t>
      </w:r>
      <w:r w:rsidRPr="00B94B81">
        <w:rPr>
          <w:rFonts w:ascii="Arial" w:hAnsi="Arial" w:cs="Arial"/>
          <w:sz w:val="20"/>
          <w:szCs w:val="20"/>
          <w:lang w:val="en-US"/>
        </w:rPr>
        <w:t xml:space="preserve"> way along both linear trends. The correlation coefficient between rainfall and flow is -0.041 at the N’Zérékoré station and 0.013 at the Macenta station. Furthermore, we also observe that the linear trend at the N’Zérékoré station is slightly downward than that at Macenta.</w:t>
      </w:r>
    </w:p>
    <w:p w14:paraId="38F08021" w14:textId="77777777" w:rsidR="00AF041A" w:rsidRPr="00B94B81" w:rsidRDefault="00AF041A" w:rsidP="00AF041A">
      <w:pPr>
        <w:rPr>
          <w:rFonts w:ascii="Arial" w:hAnsi="Arial" w:cs="Arial"/>
          <w:sz w:val="20"/>
          <w:szCs w:val="20"/>
          <w:lang w:val="en-US"/>
        </w:rPr>
      </w:pPr>
      <w:r w:rsidRPr="00B94B81">
        <w:rPr>
          <w:rFonts w:ascii="Arial" w:hAnsi="Arial" w:cs="Arial"/>
          <w:noProof/>
          <w:color w:val="000000" w:themeColor="text1"/>
          <w:sz w:val="20"/>
          <w:szCs w:val="20"/>
          <w:lang w:eastAsia="fr-FR"/>
        </w:rPr>
        <w:drawing>
          <wp:inline distT="0" distB="0" distL="0" distR="0" wp14:anchorId="3C419428" wp14:editId="3ADDA13E">
            <wp:extent cx="5760720" cy="2878513"/>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878513"/>
                    </a:xfrm>
                    <a:prstGeom prst="rect">
                      <a:avLst/>
                    </a:prstGeom>
                  </pic:spPr>
                </pic:pic>
              </a:graphicData>
            </a:graphic>
          </wp:inline>
        </w:drawing>
      </w:r>
    </w:p>
    <w:p w14:paraId="7D703FC3" w14:textId="77777777" w:rsidR="00AF041A" w:rsidRPr="00B94B81" w:rsidRDefault="00AF041A" w:rsidP="00AF041A">
      <w:pPr>
        <w:rPr>
          <w:rFonts w:ascii="Arial" w:hAnsi="Arial" w:cs="Arial"/>
          <w:sz w:val="20"/>
          <w:szCs w:val="20"/>
          <w:lang w:val="en-US"/>
        </w:rPr>
      </w:pPr>
      <w:r w:rsidRPr="00B94B81">
        <w:rPr>
          <w:rFonts w:ascii="Arial" w:hAnsi="Arial" w:cs="Arial"/>
          <w:noProof/>
          <w:color w:val="000000" w:themeColor="text1"/>
          <w:sz w:val="20"/>
          <w:szCs w:val="20"/>
          <w:lang w:eastAsia="fr-FR"/>
        </w:rPr>
        <w:lastRenderedPageBreak/>
        <w:drawing>
          <wp:inline distT="0" distB="0" distL="0" distR="0" wp14:anchorId="637F91C7" wp14:editId="3008595C">
            <wp:extent cx="5760720" cy="2878513"/>
            <wp:effectExtent l="0" t="0" r="0" b="0"/>
            <wp:docPr id="1368107104" name="Image 13681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878513"/>
                    </a:xfrm>
                    <a:prstGeom prst="rect">
                      <a:avLst/>
                    </a:prstGeom>
                  </pic:spPr>
                </pic:pic>
              </a:graphicData>
            </a:graphic>
          </wp:inline>
        </w:drawing>
      </w:r>
    </w:p>
    <w:p w14:paraId="564B0A82" w14:textId="1611E205" w:rsidR="00AF041A" w:rsidRPr="00B94B81" w:rsidRDefault="00AF041A" w:rsidP="00AF041A">
      <w:pPr>
        <w:rPr>
          <w:rFonts w:ascii="Arial" w:hAnsi="Arial" w:cs="Arial"/>
          <w:i/>
          <w:sz w:val="20"/>
          <w:szCs w:val="20"/>
          <w:lang w:val="en-US"/>
        </w:rPr>
      </w:pPr>
      <w:r w:rsidRPr="00B94B81">
        <w:rPr>
          <w:rFonts w:ascii="Arial" w:hAnsi="Arial" w:cs="Arial"/>
          <w:b/>
          <w:i/>
          <w:sz w:val="20"/>
          <w:szCs w:val="20"/>
          <w:lang w:val="en-US"/>
        </w:rPr>
        <w:t>Fig</w:t>
      </w:r>
      <w:r w:rsidR="00623DEA">
        <w:rPr>
          <w:rFonts w:ascii="Arial" w:hAnsi="Arial" w:cs="Arial"/>
          <w:b/>
          <w:i/>
          <w:sz w:val="20"/>
          <w:szCs w:val="20"/>
          <w:lang w:val="en-US"/>
        </w:rPr>
        <w:t>.</w:t>
      </w:r>
      <w:r w:rsidRPr="00B94B81">
        <w:rPr>
          <w:rFonts w:ascii="Arial" w:hAnsi="Arial" w:cs="Arial"/>
          <w:b/>
          <w:i/>
          <w:sz w:val="20"/>
          <w:szCs w:val="20"/>
          <w:lang w:val="en-US"/>
        </w:rPr>
        <w:t xml:space="preserve"> 4</w:t>
      </w:r>
      <w:r w:rsidR="00623DEA">
        <w:rPr>
          <w:rFonts w:ascii="Arial" w:hAnsi="Arial" w:cs="Arial"/>
          <w:i/>
          <w:sz w:val="20"/>
          <w:szCs w:val="20"/>
          <w:lang w:val="en-US"/>
        </w:rPr>
        <w:t>.</w:t>
      </w:r>
      <w:r w:rsidRPr="00B94B81">
        <w:rPr>
          <w:rFonts w:ascii="Arial" w:hAnsi="Arial" w:cs="Arial"/>
          <w:i/>
          <w:sz w:val="20"/>
          <w:szCs w:val="20"/>
          <w:lang w:val="en-US"/>
        </w:rPr>
        <w:t xml:space="preserve"> Relationship between precipitation and flow rate in the watershed</w:t>
      </w:r>
    </w:p>
    <w:p w14:paraId="17DF0202" w14:textId="77777777" w:rsidR="00AF041A" w:rsidRPr="00B94B81" w:rsidRDefault="00AF041A" w:rsidP="00E2385C">
      <w:pPr>
        <w:jc w:val="both"/>
        <w:rPr>
          <w:rFonts w:ascii="Arial" w:hAnsi="Arial" w:cs="Arial"/>
          <w:sz w:val="20"/>
          <w:szCs w:val="20"/>
          <w:lang w:val="en-US"/>
        </w:rPr>
      </w:pPr>
      <w:r w:rsidRPr="00B94B81">
        <w:rPr>
          <w:rFonts w:ascii="Arial" w:hAnsi="Arial" w:cs="Arial"/>
          <w:sz w:val="20"/>
          <w:szCs w:val="20"/>
          <w:lang w:val="en-US"/>
        </w:rPr>
        <w:t>The summary of the correlation test statistics is presented in Table 2 below.</w:t>
      </w:r>
    </w:p>
    <w:p w14:paraId="615CC5F7" w14:textId="1498006C" w:rsidR="00EE13AA" w:rsidRPr="00B94B81" w:rsidRDefault="00AF041A" w:rsidP="00E2385C">
      <w:pPr>
        <w:jc w:val="both"/>
        <w:rPr>
          <w:rFonts w:ascii="Arial" w:hAnsi="Arial" w:cs="Arial"/>
          <w:i/>
          <w:sz w:val="20"/>
          <w:szCs w:val="20"/>
          <w:lang w:val="en-US"/>
        </w:rPr>
      </w:pPr>
      <w:r w:rsidRPr="00B94B81">
        <w:rPr>
          <w:rFonts w:ascii="Arial" w:hAnsi="Arial" w:cs="Arial"/>
          <w:b/>
          <w:i/>
          <w:sz w:val="20"/>
          <w:szCs w:val="20"/>
          <w:lang w:val="en-US"/>
        </w:rPr>
        <w:t>Table 2</w:t>
      </w:r>
      <w:r w:rsidR="00623DEA">
        <w:rPr>
          <w:rFonts w:ascii="Arial" w:hAnsi="Arial" w:cs="Arial"/>
          <w:i/>
          <w:sz w:val="20"/>
          <w:szCs w:val="20"/>
          <w:lang w:val="en-US"/>
        </w:rPr>
        <w:t>.</w:t>
      </w:r>
      <w:r w:rsidRPr="00B94B81">
        <w:rPr>
          <w:rFonts w:ascii="Arial" w:hAnsi="Arial" w:cs="Arial"/>
          <w:i/>
          <w:sz w:val="20"/>
          <w:szCs w:val="20"/>
          <w:lang w:val="en-US"/>
        </w:rPr>
        <w:t xml:space="preserve"> Statistical dependence results between rainfall and stream flow in the watershed</w:t>
      </w:r>
    </w:p>
    <w:tbl>
      <w:tblPr>
        <w:tblW w:w="0" w:type="auto"/>
        <w:tblCellMar>
          <w:left w:w="0" w:type="dxa"/>
          <w:right w:w="0" w:type="dxa"/>
        </w:tblCellMar>
        <w:tblLook w:val="04A0" w:firstRow="1" w:lastRow="0" w:firstColumn="1" w:lastColumn="0" w:noHBand="0" w:noVBand="1"/>
      </w:tblPr>
      <w:tblGrid>
        <w:gridCol w:w="1899"/>
        <w:gridCol w:w="427"/>
        <w:gridCol w:w="827"/>
        <w:gridCol w:w="1583"/>
        <w:gridCol w:w="750"/>
        <w:gridCol w:w="1372"/>
      </w:tblGrid>
      <w:tr w:rsidR="00EE13AA" w:rsidRPr="00B94B81" w14:paraId="4F161489" w14:textId="77777777" w:rsidTr="005A220E">
        <w:trPr>
          <w:tblHeader/>
        </w:trPr>
        <w:tc>
          <w:tcPr>
            <w:tcW w:w="0" w:type="auto"/>
            <w:gridSpan w:val="6"/>
            <w:tcBorders>
              <w:top w:val="nil"/>
              <w:left w:val="nil"/>
              <w:bottom w:val="single" w:sz="6" w:space="0" w:color="000000"/>
              <w:right w:val="nil"/>
            </w:tcBorders>
            <w:tcMar>
              <w:top w:w="90" w:type="dxa"/>
              <w:left w:w="0" w:type="dxa"/>
              <w:bottom w:w="90" w:type="dxa"/>
              <w:right w:w="150" w:type="dxa"/>
            </w:tcMar>
            <w:vAlign w:val="center"/>
            <w:hideMark/>
          </w:tcPr>
          <w:p w14:paraId="3F237A42" w14:textId="77777777" w:rsidR="00EE13AA" w:rsidRPr="00B94B81" w:rsidRDefault="00EE13AA" w:rsidP="005A220E">
            <w:pPr>
              <w:spacing w:after="0" w:line="240" w:lineRule="auto"/>
              <w:rPr>
                <w:rFonts w:ascii="Arial" w:eastAsia="Times New Roman" w:hAnsi="Arial" w:cs="Arial"/>
                <w:color w:val="000000"/>
                <w:sz w:val="20"/>
                <w:szCs w:val="20"/>
                <w:lang w:val="en-US" w:eastAsia="fr-FR"/>
              </w:rPr>
            </w:pPr>
          </w:p>
        </w:tc>
      </w:tr>
      <w:tr w:rsidR="00EE13AA" w:rsidRPr="00B94B81" w14:paraId="7FFC86B4" w14:textId="77777777" w:rsidTr="005A220E">
        <w:trPr>
          <w:tblHeader/>
        </w:trPr>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1D1EAE74"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0" w:type="dxa"/>
              <w:bottom w:w="45" w:type="dxa"/>
              <w:right w:w="0" w:type="dxa"/>
            </w:tcMar>
            <w:vAlign w:val="center"/>
            <w:hideMark/>
          </w:tcPr>
          <w:p w14:paraId="3D175415"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43018F75" w14:textId="77777777" w:rsidR="00EE13AA" w:rsidRPr="00B94B81" w:rsidRDefault="00EE13AA" w:rsidP="005A220E">
            <w:pPr>
              <w:spacing w:after="0" w:line="240" w:lineRule="auto"/>
              <w:jc w:val="center"/>
              <w:rPr>
                <w:rFonts w:ascii="Arial" w:eastAsia="Times New Roman" w:hAnsi="Arial" w:cs="Arial"/>
                <w:color w:val="000000"/>
                <w:sz w:val="20"/>
                <w:szCs w:val="20"/>
                <w:lang w:val="en-US" w:eastAsia="fr-FR"/>
              </w:rPr>
            </w:pPr>
            <w:r w:rsidRPr="00B94B81">
              <w:rPr>
                <w:rFonts w:ascii="Arial" w:eastAsia="Times New Roman" w:hAnsi="Arial" w:cs="Arial"/>
                <w:color w:val="000000"/>
                <w:sz w:val="20"/>
                <w:szCs w:val="20"/>
                <w:lang w:val="en-US"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2DE94F93"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R de Pearson</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6A9E8C99"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proofErr w:type="gramStart"/>
            <w:r w:rsidRPr="00B94B81">
              <w:rPr>
                <w:rFonts w:ascii="Arial" w:eastAsia="Times New Roman" w:hAnsi="Arial" w:cs="Arial"/>
                <w:color w:val="000000"/>
                <w:sz w:val="20"/>
                <w:szCs w:val="20"/>
                <w:lang w:eastAsia="fr-FR"/>
              </w:rPr>
              <w:t>p</w:t>
            </w:r>
            <w:proofErr w:type="gramEnd"/>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5F84AD63"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Covariance</w:t>
            </w:r>
          </w:p>
        </w:tc>
      </w:tr>
      <w:tr w:rsidR="00EE13AA" w:rsidRPr="00B94B81" w14:paraId="07F49446" w14:textId="77777777" w:rsidTr="005A220E">
        <w:tc>
          <w:tcPr>
            <w:tcW w:w="0" w:type="auto"/>
            <w:tcBorders>
              <w:top w:val="nil"/>
              <w:left w:val="nil"/>
              <w:bottom w:val="nil"/>
              <w:right w:val="nil"/>
            </w:tcBorders>
            <w:tcMar>
              <w:top w:w="162" w:type="dxa"/>
              <w:left w:w="180" w:type="dxa"/>
              <w:bottom w:w="45" w:type="dxa"/>
              <w:right w:w="180" w:type="dxa"/>
            </w:tcMar>
            <w:vAlign w:val="center"/>
            <w:hideMark/>
          </w:tcPr>
          <w:p w14:paraId="15C89C22"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Pluie_N'Zérékoré</w:t>
            </w:r>
          </w:p>
        </w:tc>
        <w:tc>
          <w:tcPr>
            <w:tcW w:w="0" w:type="auto"/>
            <w:tcBorders>
              <w:top w:val="nil"/>
              <w:left w:val="nil"/>
              <w:bottom w:val="nil"/>
              <w:right w:val="nil"/>
            </w:tcBorders>
            <w:tcMar>
              <w:top w:w="162" w:type="dxa"/>
              <w:left w:w="180" w:type="dxa"/>
              <w:bottom w:w="45" w:type="dxa"/>
              <w:right w:w="180" w:type="dxa"/>
            </w:tcMar>
            <w:vAlign w:val="center"/>
            <w:hideMark/>
          </w:tcPr>
          <w:p w14:paraId="4C1A77D4"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w:t>
            </w:r>
          </w:p>
        </w:tc>
        <w:tc>
          <w:tcPr>
            <w:tcW w:w="0" w:type="auto"/>
            <w:tcBorders>
              <w:top w:val="nil"/>
              <w:left w:val="nil"/>
              <w:bottom w:val="nil"/>
              <w:right w:val="nil"/>
            </w:tcBorders>
            <w:tcMar>
              <w:top w:w="162" w:type="dxa"/>
              <w:left w:w="180" w:type="dxa"/>
              <w:bottom w:w="45" w:type="dxa"/>
              <w:right w:w="180" w:type="dxa"/>
            </w:tcMar>
            <w:vAlign w:val="center"/>
            <w:hideMark/>
          </w:tcPr>
          <w:p w14:paraId="2E73D1B0"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Débit</w:t>
            </w:r>
          </w:p>
        </w:tc>
        <w:tc>
          <w:tcPr>
            <w:tcW w:w="0" w:type="auto"/>
            <w:tcBorders>
              <w:top w:val="nil"/>
              <w:left w:val="nil"/>
              <w:bottom w:val="nil"/>
              <w:right w:val="nil"/>
            </w:tcBorders>
            <w:tcMar>
              <w:top w:w="162" w:type="dxa"/>
              <w:left w:w="180" w:type="dxa"/>
              <w:bottom w:w="45" w:type="dxa"/>
              <w:right w:w="180" w:type="dxa"/>
            </w:tcMar>
            <w:vAlign w:val="center"/>
            <w:hideMark/>
          </w:tcPr>
          <w:p w14:paraId="2C402654"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-0.041</w:t>
            </w:r>
          </w:p>
        </w:tc>
        <w:tc>
          <w:tcPr>
            <w:tcW w:w="0" w:type="auto"/>
            <w:tcBorders>
              <w:top w:val="nil"/>
              <w:left w:val="nil"/>
              <w:bottom w:val="nil"/>
              <w:right w:val="nil"/>
            </w:tcBorders>
            <w:tcMar>
              <w:top w:w="162" w:type="dxa"/>
              <w:left w:w="180" w:type="dxa"/>
              <w:bottom w:w="45" w:type="dxa"/>
              <w:right w:w="180" w:type="dxa"/>
            </w:tcMar>
            <w:vAlign w:val="center"/>
            <w:hideMark/>
          </w:tcPr>
          <w:p w14:paraId="340B32BE"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.830</w:t>
            </w:r>
          </w:p>
        </w:tc>
        <w:tc>
          <w:tcPr>
            <w:tcW w:w="0" w:type="auto"/>
            <w:tcBorders>
              <w:top w:val="nil"/>
              <w:left w:val="nil"/>
              <w:bottom w:val="nil"/>
              <w:right w:val="nil"/>
            </w:tcBorders>
            <w:tcMar>
              <w:top w:w="162" w:type="dxa"/>
              <w:left w:w="180" w:type="dxa"/>
              <w:bottom w:w="45" w:type="dxa"/>
              <w:right w:w="180" w:type="dxa"/>
            </w:tcMar>
            <w:vAlign w:val="center"/>
            <w:hideMark/>
          </w:tcPr>
          <w:p w14:paraId="2CA66EC7"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-51.650</w:t>
            </w:r>
          </w:p>
        </w:tc>
      </w:tr>
      <w:tr w:rsidR="00EE13AA" w:rsidRPr="00B94B81" w14:paraId="21166DCC" w14:textId="77777777" w:rsidTr="005A220E">
        <w:tc>
          <w:tcPr>
            <w:tcW w:w="0" w:type="auto"/>
            <w:gridSpan w:val="6"/>
            <w:tcBorders>
              <w:top w:val="nil"/>
              <w:left w:val="nil"/>
              <w:bottom w:val="single" w:sz="6" w:space="0" w:color="000000"/>
              <w:right w:val="nil"/>
            </w:tcBorders>
            <w:shd w:val="clear" w:color="auto" w:fill="EBEBEB"/>
            <w:tcMar>
              <w:top w:w="15" w:type="dxa"/>
              <w:left w:w="180" w:type="dxa"/>
              <w:bottom w:w="45" w:type="dxa"/>
              <w:right w:w="180" w:type="dxa"/>
            </w:tcMar>
            <w:vAlign w:val="center"/>
            <w:hideMark/>
          </w:tcPr>
          <w:p w14:paraId="4CE8FBF3" w14:textId="77777777" w:rsidR="00EE13AA" w:rsidRPr="00B94B81" w:rsidRDefault="00EE13AA" w:rsidP="005A220E">
            <w:pPr>
              <w:spacing w:after="144" w:line="240" w:lineRule="auto"/>
              <w:rPr>
                <w:rFonts w:ascii="Arial" w:eastAsia="Times New Roman" w:hAnsi="Arial" w:cs="Arial"/>
                <w:color w:val="000000"/>
                <w:sz w:val="20"/>
                <w:szCs w:val="20"/>
                <w:lang w:eastAsia="fr-FR"/>
              </w:rPr>
            </w:pPr>
          </w:p>
        </w:tc>
      </w:tr>
      <w:tr w:rsidR="00EE13AA" w:rsidRPr="00B94B81" w14:paraId="17369A11" w14:textId="77777777" w:rsidTr="005A220E">
        <w:trPr>
          <w:tblHeader/>
        </w:trPr>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747F00C0"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0" w:type="dxa"/>
              <w:bottom w:w="45" w:type="dxa"/>
              <w:right w:w="0" w:type="dxa"/>
            </w:tcMar>
            <w:vAlign w:val="center"/>
            <w:hideMark/>
          </w:tcPr>
          <w:p w14:paraId="474CB731"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651CACF0"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 </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182360BC"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R de Pearson</w:t>
            </w:r>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2042D534"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proofErr w:type="gramStart"/>
            <w:r w:rsidRPr="00B94B81">
              <w:rPr>
                <w:rFonts w:ascii="Arial" w:eastAsia="Times New Roman" w:hAnsi="Arial" w:cs="Arial"/>
                <w:color w:val="000000"/>
                <w:sz w:val="20"/>
                <w:szCs w:val="20"/>
                <w:lang w:eastAsia="fr-FR"/>
              </w:rPr>
              <w:t>p</w:t>
            </w:r>
            <w:proofErr w:type="gramEnd"/>
          </w:p>
        </w:tc>
        <w:tc>
          <w:tcPr>
            <w:tcW w:w="0" w:type="auto"/>
            <w:tcBorders>
              <w:top w:val="nil"/>
              <w:left w:val="nil"/>
              <w:bottom w:val="single" w:sz="6" w:space="0" w:color="000000"/>
              <w:right w:val="nil"/>
            </w:tcBorders>
            <w:tcMar>
              <w:top w:w="45" w:type="dxa"/>
              <w:left w:w="180" w:type="dxa"/>
              <w:bottom w:w="45" w:type="dxa"/>
              <w:right w:w="180" w:type="dxa"/>
            </w:tcMar>
            <w:vAlign w:val="center"/>
            <w:hideMark/>
          </w:tcPr>
          <w:p w14:paraId="3EF9FB9D" w14:textId="77777777" w:rsidR="00EE13AA" w:rsidRPr="00B94B81" w:rsidRDefault="00EE13AA" w:rsidP="005A220E">
            <w:pPr>
              <w:spacing w:after="0" w:line="240" w:lineRule="auto"/>
              <w:jc w:val="center"/>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Covariance</w:t>
            </w:r>
          </w:p>
        </w:tc>
      </w:tr>
      <w:tr w:rsidR="00EE13AA" w:rsidRPr="00B94B81" w14:paraId="4829B810" w14:textId="77777777" w:rsidTr="005A220E">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24C14476"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Pluie_Macenta</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256C24E2"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40CFA68D" w14:textId="77777777" w:rsidR="00EE13AA" w:rsidRPr="00B94B81" w:rsidRDefault="00EE13AA" w:rsidP="005A220E">
            <w:pPr>
              <w:spacing w:after="144" w:line="240" w:lineRule="auto"/>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Débit</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79354EC1"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0.013</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0D1B32A9"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.947</w:t>
            </w:r>
          </w:p>
        </w:tc>
        <w:tc>
          <w:tcPr>
            <w:tcW w:w="0" w:type="auto"/>
            <w:tcBorders>
              <w:top w:val="nil"/>
              <w:left w:val="nil"/>
              <w:bottom w:val="nil"/>
              <w:right w:val="nil"/>
            </w:tcBorders>
            <w:shd w:val="clear" w:color="auto" w:fill="FFFFFF"/>
            <w:tcMar>
              <w:top w:w="162" w:type="dxa"/>
              <w:left w:w="180" w:type="dxa"/>
              <w:bottom w:w="45" w:type="dxa"/>
              <w:right w:w="180" w:type="dxa"/>
            </w:tcMar>
            <w:vAlign w:val="center"/>
            <w:hideMark/>
          </w:tcPr>
          <w:p w14:paraId="67732A46"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r w:rsidRPr="00B94B81">
              <w:rPr>
                <w:rFonts w:ascii="Arial" w:eastAsia="Times New Roman" w:hAnsi="Arial" w:cs="Arial"/>
                <w:color w:val="000000"/>
                <w:sz w:val="20"/>
                <w:szCs w:val="20"/>
                <w:lang w:eastAsia="fr-FR"/>
              </w:rPr>
              <w:t>21.253</w:t>
            </w:r>
          </w:p>
        </w:tc>
      </w:tr>
      <w:tr w:rsidR="00EE13AA" w:rsidRPr="00B94B81" w14:paraId="732CD61C" w14:textId="77777777" w:rsidTr="005A220E">
        <w:tc>
          <w:tcPr>
            <w:tcW w:w="0" w:type="auto"/>
            <w:gridSpan w:val="6"/>
            <w:tcBorders>
              <w:top w:val="nil"/>
              <w:left w:val="nil"/>
              <w:bottom w:val="single" w:sz="6" w:space="0" w:color="000000"/>
              <w:right w:val="nil"/>
            </w:tcBorders>
            <w:shd w:val="clear" w:color="auto" w:fill="EBEBEB"/>
            <w:tcMar>
              <w:top w:w="15" w:type="dxa"/>
              <w:left w:w="180" w:type="dxa"/>
              <w:bottom w:w="45" w:type="dxa"/>
              <w:right w:w="180" w:type="dxa"/>
            </w:tcMar>
            <w:vAlign w:val="center"/>
            <w:hideMark/>
          </w:tcPr>
          <w:p w14:paraId="03872897" w14:textId="77777777" w:rsidR="00EE13AA" w:rsidRPr="00B94B81" w:rsidRDefault="00EE13AA" w:rsidP="005A220E">
            <w:pPr>
              <w:spacing w:after="144" w:line="240" w:lineRule="auto"/>
              <w:jc w:val="right"/>
              <w:rPr>
                <w:rFonts w:ascii="Arial" w:eastAsia="Times New Roman" w:hAnsi="Arial" w:cs="Arial"/>
                <w:color w:val="000000"/>
                <w:sz w:val="20"/>
                <w:szCs w:val="20"/>
                <w:lang w:eastAsia="fr-FR"/>
              </w:rPr>
            </w:pPr>
          </w:p>
        </w:tc>
      </w:tr>
    </w:tbl>
    <w:p w14:paraId="17CF07D9" w14:textId="77777777" w:rsidR="00623DEA" w:rsidRDefault="00623DEA" w:rsidP="00623DEA">
      <w:pPr>
        <w:spacing w:after="0" w:line="240" w:lineRule="auto"/>
        <w:jc w:val="both"/>
        <w:rPr>
          <w:rFonts w:ascii="Arial" w:hAnsi="Arial" w:cs="Arial"/>
          <w:sz w:val="20"/>
          <w:szCs w:val="20"/>
          <w:lang w:val="en-US"/>
        </w:rPr>
      </w:pPr>
    </w:p>
    <w:p w14:paraId="1A1EE54A" w14:textId="44FF78ED"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The interpretation of the correlation between rainfall and flow rates (Table 2) when examining the values ​​of r, p, and covariance is as follows:</w:t>
      </w:r>
    </w:p>
    <w:p w14:paraId="2E4EF7C3" w14:textId="77777777" w:rsidR="00EE13AA" w:rsidRPr="00B94B81" w:rsidRDefault="005B00C8" w:rsidP="00E2385C">
      <w:pPr>
        <w:spacing w:before="120" w:after="0" w:line="360" w:lineRule="auto"/>
        <w:jc w:val="both"/>
        <w:rPr>
          <w:rFonts w:ascii="Arial" w:hAnsi="Arial" w:cs="Arial"/>
          <w:sz w:val="20"/>
          <w:szCs w:val="20"/>
          <w:lang w:val="en-US"/>
        </w:rPr>
      </w:pPr>
      <w:r w:rsidRPr="00B94B81">
        <w:rPr>
          <w:rFonts w:ascii="Arial" w:hAnsi="Arial" w:cs="Arial"/>
          <w:b/>
          <w:sz w:val="20"/>
          <w:szCs w:val="20"/>
          <w:lang w:val="en-US"/>
        </w:rPr>
        <w:t>At the N’Zérékoré station</w:t>
      </w:r>
      <w:r w:rsidRPr="00B94B81">
        <w:rPr>
          <w:rFonts w:ascii="Arial" w:hAnsi="Arial" w:cs="Arial"/>
          <w:sz w:val="20"/>
          <w:szCs w:val="20"/>
          <w:lang w:val="en-US"/>
        </w:rPr>
        <w:t>:</w:t>
      </w:r>
    </w:p>
    <w:p w14:paraId="2683D04E" w14:textId="558D6143" w:rsidR="005B00C8" w:rsidRPr="00B94B81"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r value = -0.041</w:t>
      </w:r>
    </w:p>
    <w:p w14:paraId="29DAF95C"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indicates a very weak negative correlation between the two variables (rainfall and flow rate). In other words, there is almost no linear relationship between the amount of rainfall at the N’Zérékoré station and the observed flow rate in the watershed.</w:t>
      </w:r>
    </w:p>
    <w:p w14:paraId="509CFAAA" w14:textId="4D602FB7"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p value = 0.830</w:t>
      </w:r>
    </w:p>
    <w:p w14:paraId="31492719"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is well above the usual threshold of 0.05. This means that there is insufficient evidence to reject the null hypothesis, which states that there is no correlation between the two variables. In other words, the observed relationship (or lack thereof) could be due to chance, and there is no statistically significant link between rainfall and flow rate.</w:t>
      </w:r>
    </w:p>
    <w:p w14:paraId="5E6DADAA" w14:textId="483C661D"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Covariance = -51.650</w:t>
      </w:r>
    </w:p>
    <w:p w14:paraId="30AC4CD1"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A negative covariance indicates a tendency for one variable to decrease when it increases. However, the covariance value alone cannot be interpreted in isolation. It must be interpreted in conjunction with the correlation coefficient and the p-value.</w:t>
      </w:r>
    </w:p>
    <w:p w14:paraId="5D0BC3A4" w14:textId="77777777" w:rsidR="005B00C8" w:rsidRPr="00B94B81" w:rsidRDefault="005B00C8" w:rsidP="00623DEA">
      <w:pPr>
        <w:spacing w:before="120" w:after="120" w:line="240" w:lineRule="auto"/>
        <w:jc w:val="both"/>
        <w:rPr>
          <w:rFonts w:ascii="Arial" w:hAnsi="Arial" w:cs="Arial"/>
          <w:b/>
          <w:sz w:val="20"/>
          <w:szCs w:val="20"/>
          <w:lang w:val="en-US"/>
        </w:rPr>
      </w:pPr>
      <w:r w:rsidRPr="00B94B81">
        <w:rPr>
          <w:rFonts w:ascii="Arial" w:hAnsi="Arial" w:cs="Arial"/>
          <w:b/>
          <w:sz w:val="20"/>
          <w:szCs w:val="20"/>
          <w:lang w:val="en-US"/>
        </w:rPr>
        <w:t>At the Macenta station</w:t>
      </w:r>
    </w:p>
    <w:p w14:paraId="275D62FD" w14:textId="629637FE" w:rsidR="005B00C8" w:rsidRPr="00623DEA" w:rsidRDefault="005B00C8" w:rsidP="00623DEA">
      <w:pPr>
        <w:spacing w:before="120" w:after="0" w:line="240" w:lineRule="auto"/>
        <w:jc w:val="both"/>
        <w:rPr>
          <w:rFonts w:ascii="Arial" w:hAnsi="Arial" w:cs="Arial"/>
          <w:b/>
          <w:i/>
          <w:sz w:val="20"/>
          <w:szCs w:val="20"/>
          <w:lang w:val="en-US"/>
        </w:rPr>
      </w:pPr>
      <w:r w:rsidRPr="00B94B81">
        <w:rPr>
          <w:rFonts w:ascii="Arial" w:hAnsi="Arial" w:cs="Arial"/>
          <w:b/>
          <w:i/>
          <w:sz w:val="20"/>
          <w:szCs w:val="20"/>
          <w:lang w:val="en-US"/>
        </w:rPr>
        <w:t>r value = 0.013</w:t>
      </w:r>
    </w:p>
    <w:p w14:paraId="44AB59C7" w14:textId="77777777"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indicates a very weak positive correlation between the two variables (rainfall and flow rate). In other words, there is almost no linear relationship between the amount of rainfall at Macenta and the observed flow rate. A value close to 0 suggests that there is no clear trend in the data.</w:t>
      </w:r>
    </w:p>
    <w:p w14:paraId="7CA00746" w14:textId="77777777" w:rsidR="005B00C8" w:rsidRPr="00B94B81" w:rsidRDefault="005B00C8" w:rsidP="00623DEA">
      <w:pPr>
        <w:spacing w:after="0" w:line="240" w:lineRule="auto"/>
        <w:jc w:val="both"/>
        <w:rPr>
          <w:rFonts w:ascii="Arial" w:hAnsi="Arial" w:cs="Arial"/>
          <w:sz w:val="20"/>
          <w:szCs w:val="20"/>
          <w:lang w:val="en-US"/>
        </w:rPr>
      </w:pPr>
    </w:p>
    <w:p w14:paraId="2243FC6C" w14:textId="45BF5CD0" w:rsidR="005B00C8" w:rsidRPr="00B94B81" w:rsidRDefault="005B00C8" w:rsidP="00623DEA">
      <w:pPr>
        <w:spacing w:after="0" w:line="240" w:lineRule="auto"/>
        <w:jc w:val="both"/>
        <w:rPr>
          <w:rFonts w:ascii="Arial" w:hAnsi="Arial" w:cs="Arial"/>
          <w:sz w:val="20"/>
          <w:szCs w:val="20"/>
          <w:lang w:val="en-US"/>
        </w:rPr>
      </w:pPr>
      <w:r w:rsidRPr="00B94B81">
        <w:rPr>
          <w:rFonts w:ascii="Arial" w:hAnsi="Arial" w:cs="Arial"/>
          <w:b/>
          <w:i/>
          <w:sz w:val="20"/>
          <w:szCs w:val="20"/>
          <w:lang w:val="en-US"/>
        </w:rPr>
        <w:t>p value = 0.947</w:t>
      </w:r>
    </w:p>
    <w:p w14:paraId="2537759B" w14:textId="77777777" w:rsidR="005B00C8" w:rsidRDefault="005B00C8"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This value is well above the usual threshold of 0.05. This means that there is insufficient evidence to reject the null hypothesis, which states that there is no correlation between the two variables. In other words, the observed relationship (or lack thereof) could be due to chance, and there is no statistically significant link between rainfall at the Macenta station and the catchment flow rate.</w:t>
      </w:r>
    </w:p>
    <w:p w14:paraId="72F782DE" w14:textId="77777777" w:rsidR="00623DEA" w:rsidRPr="00B94B81" w:rsidRDefault="00623DEA" w:rsidP="00623DEA">
      <w:pPr>
        <w:spacing w:after="0" w:line="240" w:lineRule="auto"/>
        <w:jc w:val="both"/>
        <w:rPr>
          <w:rFonts w:ascii="Arial" w:hAnsi="Arial" w:cs="Arial"/>
          <w:sz w:val="20"/>
          <w:szCs w:val="20"/>
          <w:lang w:val="en-US"/>
        </w:rPr>
      </w:pPr>
    </w:p>
    <w:p w14:paraId="5BA781E4" w14:textId="2ECFE770" w:rsidR="00B42877" w:rsidRPr="00B94B81" w:rsidRDefault="00B42877" w:rsidP="00623DEA">
      <w:pPr>
        <w:spacing w:after="0" w:line="240" w:lineRule="auto"/>
        <w:jc w:val="both"/>
        <w:rPr>
          <w:rFonts w:ascii="Arial" w:hAnsi="Arial" w:cs="Arial"/>
          <w:sz w:val="20"/>
          <w:szCs w:val="20"/>
          <w:lang w:val="en-US"/>
        </w:rPr>
      </w:pPr>
      <w:r w:rsidRPr="00B94B81">
        <w:rPr>
          <w:rFonts w:ascii="Arial" w:hAnsi="Arial" w:cs="Arial"/>
          <w:b/>
          <w:i/>
          <w:sz w:val="20"/>
          <w:szCs w:val="20"/>
          <w:lang w:val="en-US"/>
        </w:rPr>
        <w:t>Covariance = 21.253</w:t>
      </w:r>
    </w:p>
    <w:p w14:paraId="442EE5B7" w14:textId="77777777" w:rsidR="00B42877" w:rsidRPr="00B94B81"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Positive covariance indicates a tendency for one variable (e.g., rainfall) to increase, while the other variable (river flow) also tends to increase. However, as with negative covariance, the value itself does not provide a clear interpretation. Positive covariance must be interpreted in conjunction with the correlation coefficient and p-value. Indeed, the results show no significant relationship between rainfall (N’Zérékoré, Macenta) and river flow in the Diani River basin.</w:t>
      </w:r>
    </w:p>
    <w:p w14:paraId="562F67CF" w14:textId="77777777" w:rsidR="00B42877" w:rsidRPr="00623DEA" w:rsidRDefault="00B42877" w:rsidP="00623DEA">
      <w:pPr>
        <w:spacing w:before="120" w:after="120" w:line="240" w:lineRule="auto"/>
        <w:jc w:val="both"/>
        <w:rPr>
          <w:rFonts w:ascii="Arial" w:hAnsi="Arial" w:cs="Arial"/>
          <w:b/>
          <w:lang w:val="en-US"/>
        </w:rPr>
      </w:pPr>
      <w:r w:rsidRPr="00623DEA">
        <w:rPr>
          <w:rFonts w:ascii="Arial" w:hAnsi="Arial" w:cs="Arial"/>
          <w:b/>
          <w:lang w:val="en-US"/>
        </w:rPr>
        <w:t>4. Conclusion</w:t>
      </w:r>
    </w:p>
    <w:p w14:paraId="73AE513B" w14:textId="77777777" w:rsidR="00B42877"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The analysis of the results</w:t>
      </w:r>
      <w:r w:rsidR="00E2385C" w:rsidRPr="00B94B81">
        <w:rPr>
          <w:rFonts w:ascii="Arial" w:hAnsi="Arial" w:cs="Arial"/>
          <w:sz w:val="20"/>
          <w:szCs w:val="20"/>
          <w:lang w:val="en-US"/>
        </w:rPr>
        <w:t xml:space="preserve"> obtained from applying Gumbel</w:t>
      </w:r>
      <w:r w:rsidRPr="00B94B81">
        <w:rPr>
          <w:rFonts w:ascii="Arial" w:hAnsi="Arial" w:cs="Arial"/>
          <w:sz w:val="20"/>
          <w:szCs w:val="20"/>
          <w:lang w:val="en-US"/>
        </w:rPr>
        <w:t xml:space="preserve"> law to hydroclimatic data led to several conclusions regarding flood flows and extreme rainfall in the Diani River watershed. The results highlight several categories of extreme events based on return periods:</w:t>
      </w:r>
    </w:p>
    <w:p w14:paraId="51BCE140" w14:textId="77777777" w:rsidR="00623DEA" w:rsidRDefault="00623DEA" w:rsidP="00623DEA">
      <w:pPr>
        <w:spacing w:after="0" w:line="240" w:lineRule="auto"/>
        <w:jc w:val="both"/>
        <w:rPr>
          <w:rFonts w:ascii="Arial" w:hAnsi="Arial" w:cs="Arial"/>
          <w:sz w:val="20"/>
          <w:szCs w:val="20"/>
          <w:lang w:val="en-US"/>
        </w:rPr>
      </w:pPr>
    </w:p>
    <w:p w14:paraId="016F26E5" w14:textId="714A7D7C"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2008 flood flow (347.1 m³/s) and the extreme rainfall of 2022 and 2023 (100.6 mm for N’Zérékoré and 113.9 mm for Macenta, respectively) are significant, indicating events of notable rarity.</w:t>
      </w:r>
    </w:p>
    <w:p w14:paraId="3CBD60B9" w14:textId="77777777" w:rsidR="00623DEA" w:rsidRDefault="00623DEA" w:rsidP="00623DEA">
      <w:pPr>
        <w:spacing w:after="0" w:line="240" w:lineRule="auto"/>
        <w:ind w:left="426" w:hanging="284"/>
        <w:jc w:val="both"/>
        <w:rPr>
          <w:rFonts w:ascii="Arial" w:hAnsi="Arial" w:cs="Arial"/>
          <w:sz w:val="20"/>
          <w:szCs w:val="20"/>
          <w:lang w:val="en-US"/>
        </w:rPr>
      </w:pPr>
    </w:p>
    <w:p w14:paraId="2033C662" w14:textId="70F33176"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flood flows of 2007 (206.0 m³/s) and 2009 (275.3 m³/s), as well as the rainfall of 1998 (95.4 mm in N’Zérékoré and 113.3 mm in Macenta), fall into this category. Furthermore, the rainfall of 2018 (93.6 mm) and 2021 (110.3 mm) also show 12-year return periods.</w:t>
      </w:r>
    </w:p>
    <w:p w14:paraId="1C4306A9" w14:textId="77777777" w:rsidR="00623DEA" w:rsidRPr="00B94B81" w:rsidRDefault="00623DEA" w:rsidP="00623DEA">
      <w:pPr>
        <w:spacing w:after="0" w:line="240" w:lineRule="auto"/>
        <w:ind w:left="426" w:hanging="284"/>
        <w:jc w:val="both"/>
        <w:rPr>
          <w:rFonts w:ascii="Arial" w:hAnsi="Arial" w:cs="Arial"/>
          <w:sz w:val="20"/>
          <w:szCs w:val="20"/>
          <w:lang w:val="en-US"/>
        </w:rPr>
      </w:pPr>
    </w:p>
    <w:p w14:paraId="7D4E5100" w14:textId="77777777" w:rsidR="00B42877" w:rsidRPr="00623DEA" w:rsidRDefault="00B42877" w:rsidP="00623DEA">
      <w:pPr>
        <w:pStyle w:val="ListParagraph"/>
        <w:numPr>
          <w:ilvl w:val="0"/>
          <w:numId w:val="4"/>
        </w:numPr>
        <w:spacing w:after="0" w:line="240" w:lineRule="auto"/>
        <w:ind w:left="426" w:hanging="284"/>
        <w:jc w:val="both"/>
        <w:rPr>
          <w:rFonts w:ascii="Arial" w:hAnsi="Arial" w:cs="Arial"/>
          <w:sz w:val="20"/>
          <w:szCs w:val="20"/>
          <w:lang w:val="en-US"/>
        </w:rPr>
      </w:pPr>
      <w:r w:rsidRPr="00623DEA">
        <w:rPr>
          <w:rFonts w:ascii="Arial" w:hAnsi="Arial" w:cs="Arial"/>
          <w:sz w:val="20"/>
          <w:szCs w:val="20"/>
          <w:lang w:val="en-US"/>
        </w:rPr>
        <w:t>The other years, with the exception of 1996 and 2008, show relatively short return periods, indicating a higher frequency of these events.</w:t>
      </w:r>
    </w:p>
    <w:p w14:paraId="4277661E" w14:textId="77777777" w:rsidR="00623DEA" w:rsidRPr="00B94B81" w:rsidRDefault="00623DEA" w:rsidP="00623DEA">
      <w:pPr>
        <w:spacing w:after="0" w:line="240" w:lineRule="auto"/>
        <w:jc w:val="both"/>
        <w:rPr>
          <w:rFonts w:ascii="Arial" w:hAnsi="Arial" w:cs="Arial"/>
          <w:sz w:val="20"/>
          <w:szCs w:val="20"/>
          <w:lang w:val="en-US"/>
        </w:rPr>
      </w:pPr>
    </w:p>
    <w:p w14:paraId="40866992" w14:textId="77777777" w:rsidR="00B42877" w:rsidRDefault="00B42877"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Fittings using the Gumbel distribution demonstrate that the extreme values ​​of annual rainfall and stream flow are well modeled by this distribution. The equations on the right, with well-defined coefficients, indicate a good fit between empirical and theoretical data, reinforcing the validity of the method of moments used. The return periods for the rainfall and stream flow quantiles show trends similar to the previous results, with significant quantiles for abnormal (6-year) and highly abnormal (12- and 20-year) rainfall events. This underscores the importance of these events in water resource management and flood prevention.</w:t>
      </w:r>
    </w:p>
    <w:p w14:paraId="70B35370" w14:textId="77777777" w:rsidR="00623DEA" w:rsidRPr="00B94B81" w:rsidRDefault="00623DEA" w:rsidP="00623DEA">
      <w:pPr>
        <w:spacing w:after="0" w:line="240" w:lineRule="auto"/>
        <w:jc w:val="both"/>
        <w:rPr>
          <w:rFonts w:ascii="Arial" w:hAnsi="Arial" w:cs="Arial"/>
          <w:sz w:val="20"/>
          <w:szCs w:val="20"/>
          <w:lang w:val="en-US"/>
        </w:rPr>
      </w:pPr>
    </w:p>
    <w:p w14:paraId="7F8CCBF2" w14:textId="50E1A305" w:rsidR="00D6670C" w:rsidRDefault="00D6670C" w:rsidP="00623DEA">
      <w:pPr>
        <w:spacing w:after="0" w:line="240" w:lineRule="auto"/>
        <w:jc w:val="both"/>
        <w:rPr>
          <w:rFonts w:ascii="Arial" w:hAnsi="Arial" w:cs="Arial"/>
          <w:sz w:val="20"/>
          <w:szCs w:val="20"/>
          <w:lang w:val="en-US"/>
        </w:rPr>
      </w:pPr>
      <w:r w:rsidRPr="00B94B81">
        <w:rPr>
          <w:rFonts w:ascii="Arial" w:hAnsi="Arial" w:cs="Arial"/>
          <w:sz w:val="20"/>
          <w:szCs w:val="20"/>
          <w:lang w:val="en-US"/>
        </w:rPr>
        <w:t>Correlation tests indicate a very weak relationship between rainfall and river flow, both in N’Zérékoré and Macenta. Correlation coefficients and p-values ​​show that there is no statistically significant link between these variables, suggesting that other factors may influence river flow in the watershed. These results can serve as a basis for future actions aimed at better understanding and managing the risks associated with flooding and climate variability.</w:t>
      </w:r>
    </w:p>
    <w:p w14:paraId="29D91159" w14:textId="77777777" w:rsidR="00472473" w:rsidRDefault="00472473" w:rsidP="00623DEA">
      <w:pPr>
        <w:spacing w:after="0" w:line="240" w:lineRule="auto"/>
        <w:jc w:val="both"/>
        <w:rPr>
          <w:rFonts w:ascii="Arial" w:hAnsi="Arial" w:cs="Arial"/>
          <w:sz w:val="20"/>
          <w:szCs w:val="20"/>
          <w:lang w:val="en-US"/>
        </w:rPr>
      </w:pPr>
    </w:p>
    <w:p w14:paraId="3D6C75E4" w14:textId="77777777" w:rsidR="00472473" w:rsidRPr="00472473" w:rsidRDefault="00472473" w:rsidP="00472473">
      <w:pPr>
        <w:spacing w:before="120" w:after="120" w:line="240" w:lineRule="auto"/>
        <w:jc w:val="both"/>
        <w:rPr>
          <w:rFonts w:ascii="Arial" w:hAnsi="Arial" w:cs="Arial"/>
          <w:sz w:val="20"/>
          <w:szCs w:val="20"/>
        </w:rPr>
      </w:pPr>
      <w:r w:rsidRPr="00472473">
        <w:rPr>
          <w:rFonts w:ascii="Arial" w:hAnsi="Arial" w:cs="Arial"/>
          <w:b/>
          <w:bCs/>
          <w:sz w:val="20"/>
          <w:szCs w:val="20"/>
        </w:rPr>
        <w:t>Disclaimer (Artificial Intelligence)</w:t>
      </w:r>
    </w:p>
    <w:p w14:paraId="04F37496" w14:textId="77777777" w:rsidR="00472473" w:rsidRDefault="00472473" w:rsidP="00472473">
      <w:pPr>
        <w:spacing w:after="0" w:line="240" w:lineRule="auto"/>
        <w:jc w:val="both"/>
        <w:rPr>
          <w:rFonts w:ascii="Arial" w:hAnsi="Arial" w:cs="Arial"/>
          <w:sz w:val="20"/>
          <w:szCs w:val="20"/>
        </w:rPr>
      </w:pPr>
      <w:r w:rsidRPr="00472473">
        <w:rPr>
          <w:rFonts w:ascii="Arial" w:hAnsi="Arial" w:cs="Arial"/>
          <w:sz w:val="20"/>
          <w:szCs w:val="20"/>
        </w:rPr>
        <w:t xml:space="preserve">Author(s) hereby declares that NO generative AI technologies such as Large Language Models (ChatGPT, COPILOT, etc) and text-to-image generators have been used during writing or editing of this manuscript. </w:t>
      </w:r>
    </w:p>
    <w:p w14:paraId="3D4F0645" w14:textId="77777777" w:rsidR="00472473" w:rsidRPr="00472473" w:rsidRDefault="00472473" w:rsidP="00472473">
      <w:pPr>
        <w:spacing w:after="0" w:line="240" w:lineRule="auto"/>
        <w:jc w:val="both"/>
        <w:rPr>
          <w:rFonts w:ascii="Arial" w:hAnsi="Arial" w:cs="Arial"/>
          <w:sz w:val="20"/>
          <w:szCs w:val="20"/>
        </w:rPr>
      </w:pPr>
    </w:p>
    <w:p w14:paraId="0ACC6048" w14:textId="77777777" w:rsidR="00472473" w:rsidRPr="00472473" w:rsidRDefault="00472473" w:rsidP="00472473">
      <w:pPr>
        <w:spacing w:before="120" w:after="120" w:line="240" w:lineRule="auto"/>
        <w:jc w:val="both"/>
        <w:rPr>
          <w:rFonts w:ascii="Arial" w:hAnsi="Arial" w:cs="Arial"/>
          <w:b/>
          <w:bCs/>
          <w:sz w:val="20"/>
          <w:szCs w:val="20"/>
        </w:rPr>
      </w:pPr>
      <w:r w:rsidRPr="00472473">
        <w:rPr>
          <w:rFonts w:ascii="Arial" w:hAnsi="Arial" w:cs="Arial"/>
          <w:b/>
          <w:bCs/>
          <w:sz w:val="20"/>
          <w:szCs w:val="20"/>
        </w:rPr>
        <w:t xml:space="preserve">Competing Interests </w:t>
      </w:r>
    </w:p>
    <w:p w14:paraId="206D8CC8" w14:textId="5D967010" w:rsidR="00472473" w:rsidRDefault="00472473" w:rsidP="00472473">
      <w:pPr>
        <w:spacing w:after="0" w:line="240" w:lineRule="auto"/>
        <w:jc w:val="both"/>
        <w:rPr>
          <w:rFonts w:ascii="Arial" w:hAnsi="Arial" w:cs="Arial"/>
          <w:sz w:val="20"/>
          <w:szCs w:val="20"/>
        </w:rPr>
      </w:pPr>
      <w:r w:rsidRPr="00472473">
        <w:rPr>
          <w:rFonts w:ascii="Arial" w:hAnsi="Arial" w:cs="Arial"/>
          <w:sz w:val="20"/>
          <w:szCs w:val="20"/>
        </w:rPr>
        <w:t>Authors have declared that no competing interests exist.</w:t>
      </w:r>
    </w:p>
    <w:p w14:paraId="3446FAC1" w14:textId="77777777" w:rsidR="00472473" w:rsidRPr="00B94B81" w:rsidRDefault="00472473" w:rsidP="00472473">
      <w:pPr>
        <w:spacing w:after="0" w:line="240" w:lineRule="auto"/>
        <w:jc w:val="both"/>
        <w:rPr>
          <w:rFonts w:ascii="Arial" w:hAnsi="Arial" w:cs="Arial"/>
          <w:sz w:val="20"/>
          <w:szCs w:val="20"/>
          <w:lang w:val="en-US"/>
        </w:rPr>
      </w:pPr>
    </w:p>
    <w:p w14:paraId="5778EECF" w14:textId="7DBEB8FB" w:rsidR="003258AA" w:rsidRPr="00B94B81" w:rsidRDefault="003258AA" w:rsidP="003258AA">
      <w:pPr>
        <w:autoSpaceDE w:val="0"/>
        <w:autoSpaceDN w:val="0"/>
        <w:adjustRightInd w:val="0"/>
        <w:spacing w:before="120" w:after="0" w:line="360" w:lineRule="auto"/>
        <w:jc w:val="both"/>
        <w:rPr>
          <w:rFonts w:ascii="Arial" w:hAnsi="Arial" w:cs="Arial"/>
          <w:b/>
          <w:color w:val="000000" w:themeColor="text1"/>
          <w:sz w:val="20"/>
          <w:szCs w:val="20"/>
          <w:lang w:val="en-US"/>
        </w:rPr>
      </w:pPr>
      <w:r w:rsidRPr="00B94B81">
        <w:rPr>
          <w:rFonts w:ascii="Arial" w:hAnsi="Arial" w:cs="Arial"/>
          <w:b/>
          <w:sz w:val="20"/>
          <w:szCs w:val="20"/>
          <w:lang w:val="en-US"/>
        </w:rPr>
        <w:t xml:space="preserve">References </w:t>
      </w:r>
    </w:p>
    <w:p w14:paraId="05C3937D" w14:textId="1E079C43" w:rsidR="00472473" w:rsidRPr="00472473" w:rsidRDefault="00472473" w:rsidP="00472473">
      <w:pPr>
        <w:spacing w:after="0" w:line="240" w:lineRule="auto"/>
        <w:ind w:left="709" w:hanging="709"/>
        <w:jc w:val="both"/>
        <w:rPr>
          <w:rFonts w:ascii="Arial" w:hAnsi="Arial" w:cs="Arial"/>
          <w:sz w:val="20"/>
          <w:szCs w:val="20"/>
          <w:lang w:val="en-US"/>
        </w:rPr>
      </w:pPr>
      <w:r w:rsidRPr="00472473">
        <w:rPr>
          <w:rFonts w:ascii="Arial" w:hAnsi="Arial" w:cs="Arial"/>
          <w:sz w:val="20"/>
          <w:szCs w:val="20"/>
        </w:rPr>
        <w:t xml:space="preserve">A.-L. Fougeres et P. Soulier </w:t>
      </w:r>
      <w:r>
        <w:rPr>
          <w:rFonts w:ascii="Arial" w:hAnsi="Arial" w:cs="Arial"/>
          <w:sz w:val="20"/>
          <w:szCs w:val="20"/>
        </w:rPr>
        <w:t>(</w:t>
      </w:r>
      <w:r w:rsidRPr="00472473">
        <w:rPr>
          <w:rFonts w:ascii="Arial" w:hAnsi="Arial" w:cs="Arial"/>
          <w:sz w:val="20"/>
          <w:szCs w:val="20"/>
        </w:rPr>
        <w:t xml:space="preserve">2010). </w:t>
      </w:r>
      <w:r w:rsidRPr="00472473">
        <w:rPr>
          <w:rFonts w:ascii="Arial" w:hAnsi="Arial" w:cs="Arial"/>
          <w:sz w:val="20"/>
          <w:szCs w:val="20"/>
          <w:lang w:val="en-US"/>
        </w:rPr>
        <w:t xml:space="preserve">Limit conditional distributions for bivariate vectors with polar representation”. </w:t>
      </w:r>
      <w:hyperlink r:id="rId16" w:history="1">
        <w:r w:rsidRPr="00472473">
          <w:rPr>
            <w:rStyle w:val="Hyperlink"/>
            <w:rFonts w:ascii="Arial" w:hAnsi="Arial" w:cs="Arial"/>
            <w:sz w:val="20"/>
            <w:szCs w:val="20"/>
            <w:lang w:val="en-US"/>
          </w:rPr>
          <w:t>https://hal.science/hal-00373049/document</w:t>
        </w:r>
      </w:hyperlink>
    </w:p>
    <w:p w14:paraId="3AFDE58C" w14:textId="6122AB48" w:rsidR="00472473" w:rsidRPr="00472473" w:rsidRDefault="00AA4F08" w:rsidP="00472473">
      <w:pPr>
        <w:spacing w:after="0" w:line="240" w:lineRule="auto"/>
        <w:ind w:left="709" w:hanging="709"/>
        <w:jc w:val="both"/>
        <w:rPr>
          <w:rFonts w:ascii="Arial" w:hAnsi="Arial" w:cs="Arial"/>
          <w:sz w:val="20"/>
          <w:szCs w:val="20"/>
          <w:lang w:val="en-US"/>
        </w:rPr>
      </w:pPr>
      <w:hyperlink r:id="rId17" w:tgtFrame="_blank" w:history="1">
        <w:r w:rsidR="00472473" w:rsidRPr="00472473">
          <w:rPr>
            <w:rStyle w:val="Hyperlink"/>
            <w:rFonts w:ascii="Arial" w:hAnsi="Arial" w:cs="Arial"/>
            <w:color w:val="000000" w:themeColor="text1"/>
            <w:sz w:val="20"/>
            <w:szCs w:val="20"/>
            <w:u w:val="none"/>
            <w:lang w:val="en-US"/>
          </w:rPr>
          <w:t>Aghakouchak, A., Chiang, F., Huning, L. S., Love, C. A., Mallakpour, I., Mazdiyasni, O., Moftakhari, H., Papalexiou, S. M., Ragno, E., and Sadegh, M</w:t>
        </w:r>
        <w:r w:rsidR="00472473" w:rsidRPr="00472473">
          <w:rPr>
            <w:rStyle w:val="Hyperlink"/>
            <w:rFonts w:ascii="Arial" w:hAnsi="Arial" w:cs="Arial"/>
            <w:color w:val="auto"/>
            <w:sz w:val="20"/>
            <w:szCs w:val="20"/>
            <w:lang w:val="en-US"/>
          </w:rPr>
          <w:t>.</w:t>
        </w:r>
      </w:hyperlink>
      <w:r w:rsidR="005D3FD0">
        <w:rPr>
          <w:rFonts w:ascii="Arial" w:hAnsi="Arial" w:cs="Arial"/>
          <w:sz w:val="20"/>
          <w:szCs w:val="20"/>
        </w:rPr>
        <w:t xml:space="preserve"> (</w:t>
      </w:r>
      <w:r w:rsidR="005D3FD0" w:rsidRPr="00472473">
        <w:rPr>
          <w:rFonts w:ascii="Arial" w:hAnsi="Arial" w:cs="Arial"/>
          <w:sz w:val="20"/>
          <w:szCs w:val="20"/>
          <w:lang w:val="en-US"/>
        </w:rPr>
        <w:t>2020</w:t>
      </w:r>
      <w:r w:rsidR="005D3FD0">
        <w:rPr>
          <w:rFonts w:ascii="Arial" w:hAnsi="Arial" w:cs="Arial"/>
          <w:sz w:val="20"/>
          <w:szCs w:val="20"/>
        </w:rPr>
        <w:t>)</w:t>
      </w:r>
      <w:r w:rsidR="00472473" w:rsidRPr="00472473">
        <w:rPr>
          <w:rFonts w:ascii="Arial" w:hAnsi="Arial" w:cs="Arial"/>
          <w:sz w:val="20"/>
          <w:szCs w:val="20"/>
          <w:lang w:val="en-US"/>
        </w:rPr>
        <w:t xml:space="preserve">: Climate Extremes and Compound </w:t>
      </w:r>
      <w:r w:rsidR="00472473" w:rsidRPr="00472473">
        <w:rPr>
          <w:rFonts w:ascii="Arial" w:hAnsi="Arial" w:cs="Arial"/>
          <w:sz w:val="20"/>
          <w:szCs w:val="20"/>
          <w:lang w:val="en-US"/>
        </w:rPr>
        <w:lastRenderedPageBreak/>
        <w:t xml:space="preserve">Hazards in a Warming World, Annu. Rev. Earth Pl. Sc., 48, 519–548. </w:t>
      </w:r>
      <w:r w:rsidR="00472473" w:rsidRPr="00472473">
        <w:rPr>
          <w:rStyle w:val="Hyperlink"/>
          <w:rFonts w:ascii="Arial" w:hAnsi="Arial" w:cs="Arial"/>
          <w:sz w:val="20"/>
          <w:szCs w:val="20"/>
          <w:shd w:val="clear" w:color="auto" w:fill="FFFFFF"/>
          <w:lang w:val="en-US"/>
        </w:rPr>
        <w:t>https://doi.org/10.1146/annurev-earth-071719-055228</w:t>
      </w:r>
      <w:r w:rsidR="00472473" w:rsidRPr="00472473">
        <w:rPr>
          <w:rFonts w:ascii="Arial" w:hAnsi="Arial" w:cs="Arial"/>
          <w:sz w:val="20"/>
          <w:szCs w:val="20"/>
          <w:lang w:val="en-US"/>
        </w:rPr>
        <w:t>.</w:t>
      </w:r>
    </w:p>
    <w:p w14:paraId="151C7C31" w14:textId="06C458E6" w:rsidR="000862EB" w:rsidRDefault="000862EB" w:rsidP="00472473">
      <w:pPr>
        <w:spacing w:after="0" w:line="240" w:lineRule="auto"/>
        <w:ind w:left="709" w:hanging="709"/>
        <w:jc w:val="both"/>
        <w:rPr>
          <w:rFonts w:ascii="Arial" w:eastAsia="Times New Roman" w:hAnsi="Arial" w:cs="Arial"/>
          <w:color w:val="000000"/>
          <w:sz w:val="20"/>
          <w:szCs w:val="20"/>
          <w:lang w:val="en-US" w:eastAsia="fr-FR"/>
        </w:rPr>
      </w:pPr>
      <w:r w:rsidRPr="000862EB">
        <w:rPr>
          <w:rFonts w:ascii="Arial" w:eastAsia="Times New Roman" w:hAnsi="Arial" w:cs="Arial"/>
          <w:color w:val="000000"/>
          <w:sz w:val="20"/>
          <w:szCs w:val="20"/>
          <w:lang w:val="en-US" w:eastAsia="fr-FR"/>
        </w:rPr>
        <w:t xml:space="preserve">Amani Michel </w:t>
      </w:r>
      <w:proofErr w:type="spellStart"/>
      <w:r w:rsidRPr="000862EB">
        <w:rPr>
          <w:rFonts w:ascii="Arial" w:eastAsia="Times New Roman" w:hAnsi="Arial" w:cs="Arial"/>
          <w:color w:val="000000"/>
          <w:sz w:val="20"/>
          <w:szCs w:val="20"/>
          <w:lang w:val="en-US" w:eastAsia="fr-FR"/>
        </w:rPr>
        <w:t>Kouassi</w:t>
      </w:r>
      <w:proofErr w:type="spellEnd"/>
      <w:r w:rsidRPr="000862EB">
        <w:rPr>
          <w:rFonts w:ascii="Arial" w:eastAsia="Times New Roman" w:hAnsi="Arial" w:cs="Arial"/>
          <w:color w:val="000000"/>
          <w:sz w:val="20"/>
          <w:szCs w:val="20"/>
          <w:lang w:val="en-US" w:eastAsia="fr-FR"/>
        </w:rPr>
        <w:t xml:space="preserve">, </w:t>
      </w:r>
      <w:proofErr w:type="spellStart"/>
      <w:r w:rsidRPr="000862EB">
        <w:rPr>
          <w:rFonts w:ascii="Arial" w:eastAsia="Times New Roman" w:hAnsi="Arial" w:cs="Arial"/>
          <w:color w:val="000000"/>
          <w:sz w:val="20"/>
          <w:szCs w:val="20"/>
          <w:lang w:val="en-US" w:eastAsia="fr-FR"/>
        </w:rPr>
        <w:t>Relwindé</w:t>
      </w:r>
      <w:proofErr w:type="spellEnd"/>
      <w:r w:rsidRPr="000862EB">
        <w:rPr>
          <w:rFonts w:ascii="Arial" w:eastAsia="Times New Roman" w:hAnsi="Arial" w:cs="Arial"/>
          <w:color w:val="000000"/>
          <w:sz w:val="20"/>
          <w:szCs w:val="20"/>
          <w:lang w:val="en-US" w:eastAsia="fr-FR"/>
        </w:rPr>
        <w:t xml:space="preserve"> </w:t>
      </w:r>
      <w:proofErr w:type="spellStart"/>
      <w:r w:rsidRPr="000862EB">
        <w:rPr>
          <w:rFonts w:ascii="Arial" w:eastAsia="Times New Roman" w:hAnsi="Arial" w:cs="Arial"/>
          <w:color w:val="000000"/>
          <w:sz w:val="20"/>
          <w:szCs w:val="20"/>
          <w:lang w:val="en-US" w:eastAsia="fr-FR"/>
        </w:rPr>
        <w:t>Abdoul</w:t>
      </w:r>
      <w:proofErr w:type="spellEnd"/>
      <w:r w:rsidRPr="000862EB">
        <w:rPr>
          <w:rFonts w:ascii="Arial" w:eastAsia="Times New Roman" w:hAnsi="Arial" w:cs="Arial"/>
          <w:color w:val="000000"/>
          <w:sz w:val="20"/>
          <w:szCs w:val="20"/>
          <w:lang w:val="en-US" w:eastAsia="fr-FR"/>
        </w:rPr>
        <w:t xml:space="preserve">-Karim </w:t>
      </w:r>
      <w:proofErr w:type="spellStart"/>
      <w:r w:rsidRPr="000862EB">
        <w:rPr>
          <w:rFonts w:ascii="Arial" w:eastAsia="Times New Roman" w:hAnsi="Arial" w:cs="Arial"/>
          <w:color w:val="000000"/>
          <w:sz w:val="20"/>
          <w:szCs w:val="20"/>
          <w:lang w:val="en-US" w:eastAsia="fr-FR"/>
        </w:rPr>
        <w:t>Nassa</w:t>
      </w:r>
      <w:proofErr w:type="spellEnd"/>
      <w:r w:rsidRPr="000862EB">
        <w:rPr>
          <w:rFonts w:ascii="Arial" w:eastAsia="Times New Roman" w:hAnsi="Arial" w:cs="Arial"/>
          <w:color w:val="000000"/>
          <w:sz w:val="20"/>
          <w:szCs w:val="20"/>
          <w:lang w:val="en-US" w:eastAsia="fr-FR"/>
        </w:rPr>
        <w:t xml:space="preserve">, </w:t>
      </w:r>
      <w:proofErr w:type="spellStart"/>
      <w:r w:rsidRPr="000862EB">
        <w:rPr>
          <w:rFonts w:ascii="Arial" w:eastAsia="Times New Roman" w:hAnsi="Arial" w:cs="Arial"/>
          <w:color w:val="000000"/>
          <w:sz w:val="20"/>
          <w:szCs w:val="20"/>
          <w:lang w:val="en-US" w:eastAsia="fr-FR"/>
        </w:rPr>
        <w:t>Koffi</w:t>
      </w:r>
      <w:proofErr w:type="spellEnd"/>
      <w:r w:rsidRPr="000862EB">
        <w:rPr>
          <w:rFonts w:ascii="Arial" w:eastAsia="Times New Roman" w:hAnsi="Arial" w:cs="Arial"/>
          <w:color w:val="000000"/>
          <w:sz w:val="20"/>
          <w:szCs w:val="20"/>
          <w:lang w:val="en-US" w:eastAsia="fr-FR"/>
        </w:rPr>
        <w:t xml:space="preserve"> Eugène Kouakou, Koffi Fernand Kouame and Jean Biemi. Statistical modeling of maximum annual rainfall in the Abidjan district (southern Côte d'Ivoire). </w:t>
      </w:r>
      <w:hyperlink r:id="rId18" w:history="1">
        <w:r w:rsidRPr="005612FD">
          <w:rPr>
            <w:rStyle w:val="Hyperlink"/>
            <w:rFonts w:ascii="Arial" w:eastAsia="Times New Roman" w:hAnsi="Arial" w:cs="Arial"/>
            <w:sz w:val="20"/>
            <w:szCs w:val="20"/>
            <w:lang w:val="en-US" w:eastAsia="fr-FR"/>
          </w:rPr>
          <w:t>https://doi.org/10.7202/1051697ar</w:t>
        </w:r>
      </w:hyperlink>
    </w:p>
    <w:p w14:paraId="18E38641" w14:textId="6987AD9E" w:rsidR="00472473" w:rsidRPr="00472473" w:rsidRDefault="00AA4F08" w:rsidP="00472473">
      <w:pPr>
        <w:spacing w:after="0" w:line="240" w:lineRule="auto"/>
        <w:ind w:left="709" w:hanging="709"/>
        <w:jc w:val="both"/>
        <w:rPr>
          <w:rFonts w:ascii="Arial" w:hAnsi="Arial" w:cs="Arial"/>
          <w:sz w:val="20"/>
          <w:szCs w:val="20"/>
          <w:lang w:val="en-US"/>
        </w:rPr>
      </w:pPr>
      <w:hyperlink r:id="rId19" w:tgtFrame="_blank" w:history="1">
        <w:r w:rsidR="00472473" w:rsidRPr="00472473">
          <w:rPr>
            <w:rStyle w:val="Hyperlink"/>
            <w:rFonts w:ascii="Arial" w:hAnsi="Arial" w:cs="Arial"/>
            <w:color w:val="000000" w:themeColor="text1"/>
            <w:sz w:val="20"/>
            <w:szCs w:val="20"/>
            <w:u w:val="none"/>
            <w:lang w:val="en-US"/>
          </w:rPr>
          <w:t>Bai, X., Jiang, H., Li, C., and Huang, L</w:t>
        </w:r>
        <w:r w:rsidR="00472473" w:rsidRPr="00472473">
          <w:rPr>
            <w:rStyle w:val="Hyperlink"/>
            <w:rFonts w:ascii="Arial" w:hAnsi="Arial" w:cs="Arial"/>
            <w:color w:val="auto"/>
            <w:sz w:val="20"/>
            <w:szCs w:val="20"/>
            <w:lang w:val="en-US"/>
          </w:rPr>
          <w:t>.</w:t>
        </w:r>
      </w:hyperlink>
      <w:r w:rsidR="005D3FD0">
        <w:rPr>
          <w:rFonts w:ascii="Arial" w:hAnsi="Arial" w:cs="Arial"/>
          <w:sz w:val="20"/>
          <w:szCs w:val="20"/>
        </w:rPr>
        <w:t xml:space="preserve"> (</w:t>
      </w:r>
      <w:r w:rsidR="005D3FD0" w:rsidRPr="00472473">
        <w:rPr>
          <w:rFonts w:ascii="Arial" w:hAnsi="Arial" w:cs="Arial"/>
          <w:sz w:val="20"/>
          <w:szCs w:val="20"/>
          <w:lang w:val="en-US"/>
        </w:rPr>
        <w:t>2020</w:t>
      </w:r>
      <w:r w:rsidR="005D3FD0">
        <w:rPr>
          <w:rFonts w:ascii="Arial" w:hAnsi="Arial" w:cs="Arial"/>
          <w:sz w:val="20"/>
          <w:szCs w:val="20"/>
          <w:lang w:val="en-US"/>
        </w:rPr>
        <w:t>).</w:t>
      </w:r>
      <w:r w:rsidR="00472473" w:rsidRPr="00472473">
        <w:rPr>
          <w:rFonts w:ascii="Arial" w:hAnsi="Arial" w:cs="Arial"/>
          <w:sz w:val="20"/>
          <w:szCs w:val="20"/>
          <w:lang w:val="en-US"/>
        </w:rPr>
        <w:t xml:space="preserve"> Joint probability distribution of coastal winds and waves using a log-transformed kernel density estimation and mixed copula approach, Ocean Eng., 216, 107937. </w:t>
      </w:r>
      <w:r w:rsidR="00472473" w:rsidRPr="00472473">
        <w:rPr>
          <w:rStyle w:val="Hyperlink"/>
          <w:rFonts w:ascii="Arial" w:hAnsi="Arial" w:cs="Arial"/>
          <w:sz w:val="20"/>
          <w:szCs w:val="20"/>
          <w:shd w:val="clear" w:color="auto" w:fill="FFFFFF"/>
          <w:lang w:val="en-US"/>
        </w:rPr>
        <w:t>https://doi.org/10.1016/j.oceaneng.2020.107937</w:t>
      </w:r>
      <w:r w:rsidR="00472473" w:rsidRPr="00472473">
        <w:rPr>
          <w:rFonts w:ascii="Arial" w:hAnsi="Arial" w:cs="Arial"/>
          <w:sz w:val="20"/>
          <w:szCs w:val="20"/>
          <w:lang w:val="en-US"/>
        </w:rPr>
        <w:t>.</w:t>
      </w:r>
      <w:r w:rsidR="00472473" w:rsidRPr="00472473">
        <w:rPr>
          <w:rFonts w:ascii="Arial" w:hAnsi="Arial" w:cs="Arial"/>
        </w:rPr>
        <w:t> </w:t>
      </w:r>
    </w:p>
    <w:p w14:paraId="6BA23B69" w14:textId="3D0D30CD" w:rsidR="00472473" w:rsidRPr="00472473" w:rsidRDefault="00472473" w:rsidP="00472473">
      <w:pPr>
        <w:spacing w:after="0" w:line="240" w:lineRule="auto"/>
        <w:ind w:left="709" w:hanging="709"/>
        <w:jc w:val="both"/>
        <w:rPr>
          <w:rFonts w:ascii="Arial" w:hAnsi="Arial" w:cs="Arial"/>
          <w:sz w:val="20"/>
          <w:szCs w:val="20"/>
          <w:lang w:val="en-US"/>
        </w:rPr>
      </w:pPr>
      <w:r w:rsidRPr="00472473">
        <w:rPr>
          <w:rStyle w:val="linkbluetoblue"/>
          <w:rFonts w:ascii="Arial" w:hAnsi="Arial" w:cs="Arial"/>
          <w:color w:val="000000" w:themeColor="text1"/>
          <w:sz w:val="20"/>
          <w:szCs w:val="20"/>
          <w:shd w:val="clear" w:color="auto" w:fill="FFFFFF"/>
        </w:rPr>
        <w:t>Belkacem Abdous.</w:t>
      </w:r>
      <w:r w:rsidRPr="00472473">
        <w:rPr>
          <w:rFonts w:ascii="Arial" w:hAnsi="Arial" w:cs="Arial"/>
          <w:color w:val="000000" w:themeColor="text1"/>
          <w:sz w:val="20"/>
          <w:szCs w:val="20"/>
          <w:shd w:val="clear" w:color="auto" w:fill="FFFFFF"/>
        </w:rPr>
        <w:t> </w:t>
      </w:r>
      <w:r w:rsidRPr="00472473">
        <w:rPr>
          <w:rStyle w:val="linkbluetoblue"/>
          <w:rFonts w:ascii="Arial" w:hAnsi="Arial" w:cs="Arial"/>
          <w:color w:val="000000" w:themeColor="text1"/>
          <w:sz w:val="20"/>
          <w:szCs w:val="20"/>
          <w:shd w:val="clear" w:color="auto" w:fill="FFFFFF"/>
        </w:rPr>
        <w:t>Anne-Laure Fougères.</w:t>
      </w:r>
      <w:r w:rsidRPr="00472473">
        <w:rPr>
          <w:rFonts w:ascii="Arial" w:hAnsi="Arial" w:cs="Arial"/>
          <w:color w:val="000000" w:themeColor="text1"/>
          <w:sz w:val="20"/>
          <w:szCs w:val="20"/>
          <w:shd w:val="clear" w:color="auto" w:fill="FFFFFF"/>
        </w:rPr>
        <w:t> </w:t>
      </w:r>
      <w:r w:rsidRPr="00472473">
        <w:rPr>
          <w:rStyle w:val="linkbluetoblue"/>
          <w:rFonts w:ascii="Arial" w:hAnsi="Arial" w:cs="Arial"/>
          <w:color w:val="000000" w:themeColor="text1"/>
          <w:sz w:val="20"/>
          <w:szCs w:val="20"/>
          <w:shd w:val="clear" w:color="auto" w:fill="FFFFFF"/>
          <w:lang w:val="en-US"/>
        </w:rPr>
        <w:t>Kilani Ghoudi.</w:t>
      </w:r>
      <w:r w:rsidRPr="00472473">
        <w:rPr>
          <w:rFonts w:ascii="Arial" w:hAnsi="Arial" w:cs="Arial"/>
          <w:color w:val="000000" w:themeColor="text1"/>
          <w:sz w:val="20"/>
          <w:szCs w:val="20"/>
          <w:shd w:val="clear" w:color="auto" w:fill="FFFFFF"/>
          <w:lang w:val="en-US"/>
        </w:rPr>
        <w:t> </w:t>
      </w:r>
      <w:r w:rsidRPr="00472473">
        <w:rPr>
          <w:rStyle w:val="linkbluetoblue"/>
          <w:rFonts w:ascii="Arial" w:hAnsi="Arial" w:cs="Arial"/>
          <w:color w:val="000000" w:themeColor="text1"/>
          <w:sz w:val="20"/>
          <w:szCs w:val="20"/>
          <w:shd w:val="clear" w:color="auto" w:fill="FFFFFF"/>
          <w:lang w:val="en-US"/>
        </w:rPr>
        <w:t>Philippe Soulier</w:t>
      </w:r>
      <w:r w:rsidR="005D3FD0">
        <w:rPr>
          <w:rStyle w:val="linkbluetoblue"/>
          <w:rFonts w:ascii="Arial" w:hAnsi="Arial" w:cs="Arial"/>
          <w:color w:val="000000" w:themeColor="text1"/>
          <w:sz w:val="20"/>
          <w:szCs w:val="20"/>
          <w:shd w:val="clear" w:color="auto" w:fill="FFFFFF"/>
          <w:lang w:val="en-US"/>
        </w:rPr>
        <w:t xml:space="preserve"> (</w:t>
      </w:r>
      <w:r w:rsidR="005D3FD0" w:rsidRPr="00472473">
        <w:rPr>
          <w:rFonts w:ascii="Arial" w:hAnsi="Arial" w:cs="Arial"/>
          <w:color w:val="000000"/>
          <w:sz w:val="20"/>
          <w:szCs w:val="20"/>
          <w:shd w:val="clear" w:color="auto" w:fill="FFFFFF"/>
          <w:lang w:val="en-US"/>
        </w:rPr>
        <w:t>2008</w:t>
      </w:r>
      <w:r w:rsidR="005D3FD0">
        <w:rPr>
          <w:rFonts w:ascii="Arial" w:hAnsi="Arial" w:cs="Arial"/>
          <w:color w:val="000000"/>
          <w:sz w:val="20"/>
          <w:szCs w:val="20"/>
          <w:shd w:val="clear" w:color="auto" w:fill="FFFFFF"/>
          <w:lang w:val="en-US"/>
        </w:rPr>
        <w:t>)</w:t>
      </w:r>
      <w:r w:rsidRPr="00472473">
        <w:rPr>
          <w:rStyle w:val="linkbluetoblue"/>
          <w:rFonts w:ascii="Arial" w:hAnsi="Arial" w:cs="Arial"/>
          <w:color w:val="00549F"/>
          <w:sz w:val="20"/>
          <w:szCs w:val="20"/>
          <w:shd w:val="clear" w:color="auto" w:fill="FFFFFF"/>
          <w:lang w:val="en-US"/>
        </w:rPr>
        <w:t>.</w:t>
      </w:r>
      <w:r w:rsidRPr="00472473">
        <w:rPr>
          <w:rFonts w:ascii="Arial" w:hAnsi="Arial" w:cs="Arial"/>
          <w:color w:val="000000"/>
          <w:sz w:val="20"/>
          <w:szCs w:val="20"/>
          <w:shd w:val="clear" w:color="auto" w:fill="FFFFFF"/>
          <w:lang w:val="en-US"/>
        </w:rPr>
        <w:t> Estimation of bivariate excess probabilities for elliptical models. Bernoulli 14 (4) 1065 - 1088, November </w:t>
      </w:r>
      <w:hyperlink r:id="rId20" w:history="1">
        <w:r w:rsidRPr="00472473">
          <w:rPr>
            <w:rStyle w:val="Hyperlink"/>
            <w:rFonts w:ascii="Arial" w:hAnsi="Arial" w:cs="Arial"/>
            <w:sz w:val="20"/>
            <w:szCs w:val="20"/>
            <w:shd w:val="clear" w:color="auto" w:fill="FFFFFF"/>
            <w:lang w:val="en-US"/>
          </w:rPr>
          <w:t>https://doi.org/10.3150/08-BEJ140</w:t>
        </w:r>
      </w:hyperlink>
    </w:p>
    <w:p w14:paraId="49CE1624" w14:textId="0DE0E440" w:rsidR="00472473" w:rsidRPr="00472473" w:rsidRDefault="00AA4F08" w:rsidP="00472473">
      <w:pPr>
        <w:spacing w:after="0" w:line="240" w:lineRule="auto"/>
        <w:ind w:left="709" w:hanging="709"/>
        <w:jc w:val="both"/>
        <w:rPr>
          <w:rFonts w:ascii="Arial" w:hAnsi="Arial" w:cs="Arial"/>
          <w:sz w:val="20"/>
          <w:szCs w:val="20"/>
        </w:rPr>
      </w:pPr>
      <w:hyperlink r:id="rId21" w:tgtFrame="_blank" w:history="1">
        <w:r w:rsidR="00472473" w:rsidRPr="00472473">
          <w:rPr>
            <w:rStyle w:val="Hyperlink"/>
            <w:rFonts w:ascii="Arial" w:hAnsi="Arial" w:cs="Arial"/>
            <w:color w:val="000000" w:themeColor="text1"/>
            <w:sz w:val="20"/>
            <w:szCs w:val="20"/>
            <w:u w:val="none"/>
            <w:lang w:val="en-US"/>
          </w:rPr>
          <w:t>Bergstrand, M., Asp, S. S., and Lindström, G</w:t>
        </w:r>
        <w:r w:rsidR="00472473" w:rsidRPr="00472473">
          <w:rPr>
            <w:rStyle w:val="Hyperlink"/>
            <w:rFonts w:ascii="Arial" w:hAnsi="Arial" w:cs="Arial"/>
            <w:sz w:val="20"/>
            <w:szCs w:val="20"/>
            <w:lang w:val="en-US"/>
          </w:rPr>
          <w:t>.</w:t>
        </w:r>
      </w:hyperlink>
      <w:r w:rsidR="00C32CCA">
        <w:rPr>
          <w:rFonts w:ascii="Arial" w:hAnsi="Arial" w:cs="Arial"/>
          <w:sz w:val="20"/>
          <w:szCs w:val="20"/>
        </w:rPr>
        <w:t xml:space="preserve"> (</w:t>
      </w:r>
      <w:r w:rsidR="00C32CCA" w:rsidRPr="00472473">
        <w:rPr>
          <w:rFonts w:ascii="Arial" w:hAnsi="Arial" w:cs="Arial"/>
          <w:sz w:val="20"/>
          <w:szCs w:val="20"/>
        </w:rPr>
        <w:t>2014</w:t>
      </w:r>
      <w:r w:rsidR="00C32CCA">
        <w:rPr>
          <w:rFonts w:ascii="Arial" w:hAnsi="Arial" w:cs="Arial"/>
          <w:sz w:val="20"/>
          <w:szCs w:val="20"/>
        </w:rPr>
        <w:t>).</w:t>
      </w:r>
      <w:r w:rsidR="00472473" w:rsidRPr="00472473">
        <w:rPr>
          <w:rFonts w:ascii="Arial" w:hAnsi="Arial" w:cs="Arial"/>
          <w:sz w:val="20"/>
          <w:szCs w:val="20"/>
          <w:lang w:val="en-US"/>
        </w:rPr>
        <w:t xml:space="preserve"> Nationwide hydrological statistics for Sweden with high resolution using the hydrological model S-HYPE, Hydrol. </w:t>
      </w:r>
      <w:r w:rsidR="00472473" w:rsidRPr="00472473">
        <w:rPr>
          <w:rFonts w:ascii="Arial" w:hAnsi="Arial" w:cs="Arial"/>
          <w:sz w:val="20"/>
          <w:szCs w:val="20"/>
        </w:rPr>
        <w:t>Res., 45, 349–356</w:t>
      </w:r>
      <w:r w:rsidR="00C32CCA">
        <w:rPr>
          <w:rFonts w:ascii="Arial" w:hAnsi="Arial" w:cs="Arial"/>
          <w:sz w:val="20"/>
          <w:szCs w:val="20"/>
        </w:rPr>
        <w:t>.</w:t>
      </w:r>
      <w:r w:rsidR="00472473" w:rsidRPr="00472473">
        <w:rPr>
          <w:rFonts w:ascii="Arial" w:hAnsi="Arial" w:cs="Arial"/>
          <w:sz w:val="20"/>
          <w:szCs w:val="20"/>
        </w:rPr>
        <w:t xml:space="preserve"> </w:t>
      </w:r>
      <w:r w:rsidR="00472473" w:rsidRPr="00472473">
        <w:rPr>
          <w:rStyle w:val="Hyperlink"/>
          <w:rFonts w:ascii="Arial" w:hAnsi="Arial" w:cs="Arial"/>
          <w:sz w:val="20"/>
          <w:szCs w:val="20"/>
          <w:shd w:val="clear" w:color="auto" w:fill="FFFFFF"/>
        </w:rPr>
        <w:t>https://doi.org/10.2166/nh.2013.010</w:t>
      </w:r>
      <w:r w:rsidR="00472473" w:rsidRPr="00472473">
        <w:rPr>
          <w:rFonts w:ascii="Arial" w:hAnsi="Arial" w:cs="Arial"/>
          <w:sz w:val="20"/>
          <w:szCs w:val="20"/>
        </w:rPr>
        <w:t>.</w:t>
      </w:r>
      <w:r w:rsidR="00472473" w:rsidRPr="00472473">
        <w:rPr>
          <w:rFonts w:ascii="Arial" w:hAnsi="Arial" w:cs="Arial"/>
        </w:rPr>
        <w:t> </w:t>
      </w:r>
    </w:p>
    <w:p w14:paraId="017BA9B1" w14:textId="1897A694" w:rsidR="000862EB" w:rsidRDefault="000862EB" w:rsidP="00472473">
      <w:pPr>
        <w:shd w:val="clear" w:color="auto" w:fill="FFFFFF"/>
        <w:spacing w:after="0" w:line="240" w:lineRule="auto"/>
        <w:ind w:left="709" w:hanging="709"/>
        <w:jc w:val="both"/>
        <w:rPr>
          <w:rFonts w:ascii="Arial" w:hAnsi="Arial" w:cs="Arial"/>
          <w:color w:val="232323"/>
          <w:sz w:val="20"/>
          <w:szCs w:val="20"/>
          <w:shd w:val="clear" w:color="auto" w:fill="FFFFFF"/>
        </w:rPr>
      </w:pPr>
      <w:r w:rsidRPr="000862EB">
        <w:rPr>
          <w:rFonts w:ascii="Arial" w:hAnsi="Arial" w:cs="Arial"/>
          <w:color w:val="232323"/>
          <w:sz w:val="20"/>
          <w:szCs w:val="20"/>
          <w:shd w:val="clear" w:color="auto" w:fill="FFFFFF"/>
        </w:rPr>
        <w:t xml:space="preserve">Goula, B.T.A., Konan, B., Brou, Y., Savane, I., </w:t>
      </w:r>
      <w:proofErr w:type="spellStart"/>
      <w:r w:rsidRPr="000862EB">
        <w:rPr>
          <w:rFonts w:ascii="Arial" w:hAnsi="Arial" w:cs="Arial"/>
          <w:color w:val="232323"/>
          <w:sz w:val="20"/>
          <w:szCs w:val="20"/>
          <w:shd w:val="clear" w:color="auto" w:fill="FFFFFF"/>
        </w:rPr>
        <w:t>Vamoryba</w:t>
      </w:r>
      <w:proofErr w:type="spellEnd"/>
      <w:r w:rsidRPr="000862EB">
        <w:rPr>
          <w:rFonts w:ascii="Arial" w:hAnsi="Arial" w:cs="Arial"/>
          <w:color w:val="232323"/>
          <w:sz w:val="20"/>
          <w:szCs w:val="20"/>
          <w:shd w:val="clear" w:color="auto" w:fill="FFFFFF"/>
        </w:rPr>
        <w:t xml:space="preserve">, F. and </w:t>
      </w:r>
      <w:proofErr w:type="spellStart"/>
      <w:r w:rsidRPr="000862EB">
        <w:rPr>
          <w:rFonts w:ascii="Arial" w:hAnsi="Arial" w:cs="Arial"/>
          <w:color w:val="232323"/>
          <w:sz w:val="20"/>
          <w:szCs w:val="20"/>
          <w:shd w:val="clear" w:color="auto" w:fill="FFFFFF"/>
        </w:rPr>
        <w:t>Srohourou</w:t>
      </w:r>
      <w:proofErr w:type="spellEnd"/>
      <w:r w:rsidRPr="000862EB">
        <w:rPr>
          <w:rFonts w:ascii="Arial" w:hAnsi="Arial" w:cs="Arial"/>
          <w:color w:val="232323"/>
          <w:sz w:val="20"/>
          <w:szCs w:val="20"/>
          <w:shd w:val="clear" w:color="auto" w:fill="FFFFFF"/>
        </w:rPr>
        <w:t xml:space="preserve">, B. (2007) Estimation of </w:t>
      </w:r>
      <w:proofErr w:type="spellStart"/>
      <w:r w:rsidRPr="000862EB">
        <w:rPr>
          <w:rFonts w:ascii="Arial" w:hAnsi="Arial" w:cs="Arial"/>
          <w:color w:val="232323"/>
          <w:sz w:val="20"/>
          <w:szCs w:val="20"/>
          <w:shd w:val="clear" w:color="auto" w:fill="FFFFFF"/>
        </w:rPr>
        <w:t>exceptional</w:t>
      </w:r>
      <w:proofErr w:type="spellEnd"/>
      <w:r w:rsidRPr="000862EB">
        <w:rPr>
          <w:rFonts w:ascii="Arial" w:hAnsi="Arial" w:cs="Arial"/>
          <w:color w:val="232323"/>
          <w:sz w:val="20"/>
          <w:szCs w:val="20"/>
          <w:shd w:val="clear" w:color="auto" w:fill="FFFFFF"/>
        </w:rPr>
        <w:t xml:space="preserve"> </w:t>
      </w:r>
      <w:proofErr w:type="spellStart"/>
      <w:r w:rsidRPr="000862EB">
        <w:rPr>
          <w:rFonts w:ascii="Arial" w:hAnsi="Arial" w:cs="Arial"/>
          <w:color w:val="232323"/>
          <w:sz w:val="20"/>
          <w:szCs w:val="20"/>
          <w:shd w:val="clear" w:color="auto" w:fill="FFFFFF"/>
        </w:rPr>
        <w:t>daily</w:t>
      </w:r>
      <w:proofErr w:type="spellEnd"/>
      <w:r w:rsidRPr="000862EB">
        <w:rPr>
          <w:rFonts w:ascii="Arial" w:hAnsi="Arial" w:cs="Arial"/>
          <w:color w:val="232323"/>
          <w:sz w:val="20"/>
          <w:szCs w:val="20"/>
          <w:shd w:val="clear" w:color="auto" w:fill="FFFFFF"/>
        </w:rPr>
        <w:t xml:space="preserve"> </w:t>
      </w:r>
      <w:proofErr w:type="spellStart"/>
      <w:r w:rsidRPr="000862EB">
        <w:rPr>
          <w:rFonts w:ascii="Arial" w:hAnsi="Arial" w:cs="Arial"/>
          <w:color w:val="232323"/>
          <w:sz w:val="20"/>
          <w:szCs w:val="20"/>
          <w:shd w:val="clear" w:color="auto" w:fill="FFFFFF"/>
        </w:rPr>
        <w:t>rainfall</w:t>
      </w:r>
      <w:proofErr w:type="spellEnd"/>
      <w:r w:rsidRPr="000862EB">
        <w:rPr>
          <w:rFonts w:ascii="Arial" w:hAnsi="Arial" w:cs="Arial"/>
          <w:color w:val="232323"/>
          <w:sz w:val="20"/>
          <w:szCs w:val="20"/>
          <w:shd w:val="clear" w:color="auto" w:fill="FFFFFF"/>
        </w:rPr>
        <w:t xml:space="preserve"> in tropical </w:t>
      </w:r>
      <w:proofErr w:type="gramStart"/>
      <w:r w:rsidRPr="000862EB">
        <w:rPr>
          <w:rFonts w:ascii="Arial" w:hAnsi="Arial" w:cs="Arial"/>
          <w:color w:val="232323"/>
          <w:sz w:val="20"/>
          <w:szCs w:val="20"/>
          <w:shd w:val="clear" w:color="auto" w:fill="FFFFFF"/>
        </w:rPr>
        <w:t>zones:</w:t>
      </w:r>
      <w:proofErr w:type="gramEnd"/>
      <w:r w:rsidRPr="000862EB">
        <w:rPr>
          <w:rFonts w:ascii="Arial" w:hAnsi="Arial" w:cs="Arial"/>
          <w:color w:val="232323"/>
          <w:sz w:val="20"/>
          <w:szCs w:val="20"/>
          <w:shd w:val="clear" w:color="auto" w:fill="FFFFFF"/>
        </w:rPr>
        <w:t xml:space="preserve"> The case of Ivory </w:t>
      </w:r>
      <w:proofErr w:type="spellStart"/>
      <w:r w:rsidRPr="000862EB">
        <w:rPr>
          <w:rFonts w:ascii="Arial" w:hAnsi="Arial" w:cs="Arial"/>
          <w:color w:val="232323"/>
          <w:sz w:val="20"/>
          <w:szCs w:val="20"/>
          <w:shd w:val="clear" w:color="auto" w:fill="FFFFFF"/>
        </w:rPr>
        <w:t>Coast</w:t>
      </w:r>
      <w:proofErr w:type="spellEnd"/>
      <w:r w:rsidRPr="000862EB">
        <w:rPr>
          <w:rFonts w:ascii="Arial" w:hAnsi="Arial" w:cs="Arial"/>
          <w:color w:val="232323"/>
          <w:sz w:val="20"/>
          <w:szCs w:val="20"/>
          <w:shd w:val="clear" w:color="auto" w:fill="FFFFFF"/>
        </w:rPr>
        <w:t xml:space="preserve"> by </w:t>
      </w:r>
      <w:proofErr w:type="spellStart"/>
      <w:r w:rsidRPr="000862EB">
        <w:rPr>
          <w:rFonts w:ascii="Arial" w:hAnsi="Arial" w:cs="Arial"/>
          <w:color w:val="232323"/>
          <w:sz w:val="20"/>
          <w:szCs w:val="20"/>
          <w:shd w:val="clear" w:color="auto" w:fill="FFFFFF"/>
        </w:rPr>
        <w:t>comparison</w:t>
      </w:r>
      <w:proofErr w:type="spellEnd"/>
      <w:r w:rsidRPr="000862EB">
        <w:rPr>
          <w:rFonts w:ascii="Arial" w:hAnsi="Arial" w:cs="Arial"/>
          <w:color w:val="232323"/>
          <w:sz w:val="20"/>
          <w:szCs w:val="20"/>
          <w:shd w:val="clear" w:color="auto" w:fill="FFFFFF"/>
        </w:rPr>
        <w:t xml:space="preserve"> of the </w:t>
      </w:r>
      <w:proofErr w:type="spellStart"/>
      <w:r w:rsidRPr="000862EB">
        <w:rPr>
          <w:rFonts w:ascii="Arial" w:hAnsi="Arial" w:cs="Arial"/>
          <w:color w:val="232323"/>
          <w:sz w:val="20"/>
          <w:szCs w:val="20"/>
          <w:shd w:val="clear" w:color="auto" w:fill="FFFFFF"/>
        </w:rPr>
        <w:t>Lognormal</w:t>
      </w:r>
      <w:proofErr w:type="spellEnd"/>
      <w:r w:rsidRPr="000862EB">
        <w:rPr>
          <w:rFonts w:ascii="Arial" w:hAnsi="Arial" w:cs="Arial"/>
          <w:color w:val="232323"/>
          <w:sz w:val="20"/>
          <w:szCs w:val="20"/>
          <w:shd w:val="clear" w:color="auto" w:fill="FFFFFF"/>
        </w:rPr>
        <w:t xml:space="preserve"> and Gumbel distributions. </w:t>
      </w:r>
      <w:proofErr w:type="spellStart"/>
      <w:r w:rsidRPr="000862EB">
        <w:rPr>
          <w:rFonts w:ascii="Arial" w:hAnsi="Arial" w:cs="Arial"/>
          <w:color w:val="232323"/>
          <w:sz w:val="20"/>
          <w:szCs w:val="20"/>
          <w:shd w:val="clear" w:color="auto" w:fill="FFFFFF"/>
        </w:rPr>
        <w:t>Hydrological</w:t>
      </w:r>
      <w:proofErr w:type="spellEnd"/>
      <w:r w:rsidRPr="000862EB">
        <w:rPr>
          <w:rFonts w:ascii="Arial" w:hAnsi="Arial" w:cs="Arial"/>
          <w:color w:val="232323"/>
          <w:sz w:val="20"/>
          <w:szCs w:val="20"/>
          <w:shd w:val="clear" w:color="auto" w:fill="FFFFFF"/>
        </w:rPr>
        <w:t xml:space="preserve"> Sciences Journal, 1, 49-67. </w:t>
      </w:r>
      <w:hyperlink r:id="rId22" w:history="1">
        <w:r w:rsidRPr="005612FD">
          <w:rPr>
            <w:rStyle w:val="Hyperlink"/>
            <w:rFonts w:ascii="Arial" w:hAnsi="Arial" w:cs="Arial"/>
            <w:sz w:val="20"/>
            <w:szCs w:val="20"/>
            <w:shd w:val="clear" w:color="auto" w:fill="FFFFFF"/>
          </w:rPr>
          <w:t>https://doi.org/10.1623/hysj.52.1.49</w:t>
        </w:r>
      </w:hyperlink>
    </w:p>
    <w:p w14:paraId="1580C3B1" w14:textId="75C7D074" w:rsidR="000862EB" w:rsidRDefault="000862EB" w:rsidP="005D3FD0">
      <w:pPr>
        <w:spacing w:after="0" w:line="240" w:lineRule="auto"/>
        <w:ind w:left="567" w:hanging="567"/>
        <w:jc w:val="both"/>
        <w:rPr>
          <w:rFonts w:ascii="Arial" w:eastAsia="Times New Roman" w:hAnsi="Arial" w:cs="Arial"/>
          <w:color w:val="333333"/>
          <w:sz w:val="20"/>
          <w:szCs w:val="20"/>
          <w:lang w:eastAsia="fr-FR"/>
        </w:rPr>
      </w:pPr>
      <w:r w:rsidRPr="000862EB">
        <w:rPr>
          <w:rFonts w:ascii="Arial" w:eastAsia="Times New Roman" w:hAnsi="Arial" w:cs="Arial"/>
          <w:color w:val="333333"/>
          <w:sz w:val="20"/>
          <w:szCs w:val="20"/>
          <w:lang w:eastAsia="fr-FR"/>
        </w:rPr>
        <w:t xml:space="preserve">Gue, A., &amp; </w:t>
      </w:r>
      <w:proofErr w:type="spellStart"/>
      <w:r w:rsidRPr="000862EB">
        <w:rPr>
          <w:rFonts w:ascii="Arial" w:eastAsia="Times New Roman" w:hAnsi="Arial" w:cs="Arial"/>
          <w:color w:val="333333"/>
          <w:sz w:val="20"/>
          <w:szCs w:val="20"/>
          <w:lang w:eastAsia="fr-FR"/>
        </w:rPr>
        <w:t>Afouda</w:t>
      </w:r>
      <w:proofErr w:type="spellEnd"/>
      <w:r w:rsidRPr="000862EB">
        <w:rPr>
          <w:rFonts w:ascii="Arial" w:eastAsia="Times New Roman" w:hAnsi="Arial" w:cs="Arial"/>
          <w:color w:val="333333"/>
          <w:sz w:val="20"/>
          <w:szCs w:val="20"/>
          <w:lang w:eastAsia="fr-FR"/>
        </w:rPr>
        <w:t xml:space="preserve">, A. (2015). Frequency </w:t>
      </w:r>
      <w:proofErr w:type="spellStart"/>
      <w:r w:rsidRPr="000862EB">
        <w:rPr>
          <w:rFonts w:ascii="Arial" w:eastAsia="Times New Roman" w:hAnsi="Arial" w:cs="Arial"/>
          <w:color w:val="333333"/>
          <w:sz w:val="20"/>
          <w:szCs w:val="20"/>
          <w:lang w:eastAsia="fr-FR"/>
        </w:rPr>
        <w:t>analysis</w:t>
      </w:r>
      <w:proofErr w:type="spellEnd"/>
      <w:r w:rsidRPr="000862EB">
        <w:rPr>
          <w:rFonts w:ascii="Arial" w:eastAsia="Times New Roman" w:hAnsi="Arial" w:cs="Arial"/>
          <w:color w:val="333333"/>
          <w:sz w:val="20"/>
          <w:szCs w:val="20"/>
          <w:lang w:eastAsia="fr-FR"/>
        </w:rPr>
        <w:t xml:space="preserve"> and new mapping of </w:t>
      </w:r>
      <w:proofErr w:type="spellStart"/>
      <w:r w:rsidRPr="000862EB">
        <w:rPr>
          <w:rFonts w:ascii="Arial" w:eastAsia="Times New Roman" w:hAnsi="Arial" w:cs="Arial"/>
          <w:color w:val="333333"/>
          <w:sz w:val="20"/>
          <w:szCs w:val="20"/>
          <w:lang w:eastAsia="fr-FR"/>
        </w:rPr>
        <w:t>annual</w:t>
      </w:r>
      <w:proofErr w:type="spellEnd"/>
      <w:r w:rsidRPr="000862EB">
        <w:rPr>
          <w:rFonts w:ascii="Arial" w:eastAsia="Times New Roman" w:hAnsi="Arial" w:cs="Arial"/>
          <w:color w:val="333333"/>
          <w:sz w:val="20"/>
          <w:szCs w:val="20"/>
          <w:lang w:eastAsia="fr-FR"/>
        </w:rPr>
        <w:t xml:space="preserve"> maxima of </w:t>
      </w:r>
      <w:proofErr w:type="spellStart"/>
      <w:r w:rsidRPr="000862EB">
        <w:rPr>
          <w:rFonts w:ascii="Arial" w:eastAsia="Times New Roman" w:hAnsi="Arial" w:cs="Arial"/>
          <w:color w:val="333333"/>
          <w:sz w:val="20"/>
          <w:szCs w:val="20"/>
          <w:lang w:eastAsia="fr-FR"/>
        </w:rPr>
        <w:t>daily</w:t>
      </w:r>
      <w:proofErr w:type="spellEnd"/>
      <w:r w:rsidRPr="000862EB">
        <w:rPr>
          <w:rFonts w:ascii="Arial" w:eastAsia="Times New Roman" w:hAnsi="Arial" w:cs="Arial"/>
          <w:color w:val="333333"/>
          <w:sz w:val="20"/>
          <w:szCs w:val="20"/>
          <w:lang w:eastAsia="fr-FR"/>
        </w:rPr>
        <w:t xml:space="preserve"> </w:t>
      </w:r>
      <w:proofErr w:type="spellStart"/>
      <w:r w:rsidRPr="000862EB">
        <w:rPr>
          <w:rFonts w:ascii="Arial" w:eastAsia="Times New Roman" w:hAnsi="Arial" w:cs="Arial"/>
          <w:color w:val="333333"/>
          <w:sz w:val="20"/>
          <w:szCs w:val="20"/>
          <w:lang w:eastAsia="fr-FR"/>
        </w:rPr>
        <w:t>rainfall</w:t>
      </w:r>
      <w:proofErr w:type="spellEnd"/>
      <w:r w:rsidRPr="000862EB">
        <w:rPr>
          <w:rFonts w:ascii="Arial" w:eastAsia="Times New Roman" w:hAnsi="Arial" w:cs="Arial"/>
          <w:color w:val="333333"/>
          <w:sz w:val="20"/>
          <w:szCs w:val="20"/>
          <w:lang w:eastAsia="fr-FR"/>
        </w:rPr>
        <w:t xml:space="preserve"> in Benin. International Journal of </w:t>
      </w:r>
      <w:proofErr w:type="spellStart"/>
      <w:r w:rsidRPr="000862EB">
        <w:rPr>
          <w:rFonts w:ascii="Arial" w:eastAsia="Times New Roman" w:hAnsi="Arial" w:cs="Arial"/>
          <w:color w:val="333333"/>
          <w:sz w:val="20"/>
          <w:szCs w:val="20"/>
          <w:lang w:eastAsia="fr-FR"/>
        </w:rPr>
        <w:t>Biological</w:t>
      </w:r>
      <w:proofErr w:type="spellEnd"/>
      <w:r w:rsidRPr="000862EB">
        <w:rPr>
          <w:rFonts w:ascii="Arial" w:eastAsia="Times New Roman" w:hAnsi="Arial" w:cs="Arial"/>
          <w:color w:val="333333"/>
          <w:sz w:val="20"/>
          <w:szCs w:val="20"/>
          <w:lang w:eastAsia="fr-FR"/>
        </w:rPr>
        <w:t xml:space="preserve"> and Chemical Sciences, 9(1), 121–133. </w:t>
      </w:r>
      <w:hyperlink r:id="rId23" w:history="1">
        <w:r w:rsidRPr="005612FD">
          <w:rPr>
            <w:rStyle w:val="Hyperlink"/>
            <w:rFonts w:ascii="Arial" w:eastAsia="Times New Roman" w:hAnsi="Arial" w:cs="Arial"/>
            <w:sz w:val="20"/>
            <w:szCs w:val="20"/>
            <w:lang w:eastAsia="fr-FR"/>
          </w:rPr>
          <w:t>https://doi.org/10.4314/ijbcs.v9i1</w:t>
        </w:r>
      </w:hyperlink>
      <w:r w:rsidRPr="000862EB">
        <w:rPr>
          <w:rFonts w:ascii="Arial" w:eastAsia="Times New Roman" w:hAnsi="Arial" w:cs="Arial"/>
          <w:color w:val="333333"/>
          <w:sz w:val="20"/>
          <w:szCs w:val="20"/>
          <w:lang w:eastAsia="fr-FR"/>
        </w:rPr>
        <w:t>.</w:t>
      </w:r>
    </w:p>
    <w:p w14:paraId="309459DE" w14:textId="174ECF74" w:rsidR="000862EB" w:rsidRDefault="000862EB" w:rsidP="00472473">
      <w:pPr>
        <w:spacing w:after="0" w:line="240" w:lineRule="auto"/>
        <w:ind w:left="709" w:hanging="709"/>
        <w:jc w:val="both"/>
        <w:rPr>
          <w:rFonts w:ascii="Arial" w:hAnsi="Arial" w:cs="Arial"/>
          <w:color w:val="000000" w:themeColor="text1"/>
          <w:sz w:val="20"/>
          <w:szCs w:val="20"/>
          <w:shd w:val="clear" w:color="auto" w:fill="FFFFFF"/>
        </w:rPr>
      </w:pPr>
      <w:r w:rsidRPr="000862EB">
        <w:rPr>
          <w:rFonts w:ascii="Arial" w:hAnsi="Arial" w:cs="Arial"/>
          <w:color w:val="000000" w:themeColor="text1"/>
          <w:sz w:val="20"/>
          <w:szCs w:val="20"/>
          <w:shd w:val="clear" w:color="auto" w:fill="FFFFFF"/>
        </w:rPr>
        <w:t xml:space="preserve">De Longueville, H., F., &amp; Ozer, P. (2015). </w:t>
      </w:r>
      <w:proofErr w:type="spellStart"/>
      <w:r w:rsidRPr="000862EB">
        <w:rPr>
          <w:rFonts w:ascii="Arial" w:hAnsi="Arial" w:cs="Arial"/>
          <w:color w:val="000000" w:themeColor="text1"/>
          <w:sz w:val="20"/>
          <w:szCs w:val="20"/>
          <w:shd w:val="clear" w:color="auto" w:fill="FFFFFF"/>
        </w:rPr>
        <w:t>Extreme</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rainfall</w:t>
      </w:r>
      <w:proofErr w:type="spellEnd"/>
      <w:r w:rsidRPr="000862EB">
        <w:rPr>
          <w:rFonts w:ascii="Arial" w:hAnsi="Arial" w:cs="Arial"/>
          <w:color w:val="000000" w:themeColor="text1"/>
          <w:sz w:val="20"/>
          <w:szCs w:val="20"/>
          <w:shd w:val="clear" w:color="auto" w:fill="FFFFFF"/>
        </w:rPr>
        <w:t xml:space="preserve"> and </w:t>
      </w:r>
      <w:proofErr w:type="spellStart"/>
      <w:r w:rsidRPr="000862EB">
        <w:rPr>
          <w:rFonts w:ascii="Arial" w:hAnsi="Arial" w:cs="Arial"/>
          <w:color w:val="000000" w:themeColor="text1"/>
          <w:sz w:val="20"/>
          <w:szCs w:val="20"/>
          <w:shd w:val="clear" w:color="auto" w:fill="FFFFFF"/>
        </w:rPr>
        <w:t>flooding</w:t>
      </w:r>
      <w:proofErr w:type="spellEnd"/>
      <w:r w:rsidRPr="000862EB">
        <w:rPr>
          <w:rFonts w:ascii="Arial" w:hAnsi="Arial" w:cs="Arial"/>
          <w:color w:val="000000" w:themeColor="text1"/>
          <w:sz w:val="20"/>
          <w:szCs w:val="20"/>
          <w:shd w:val="clear" w:color="auto" w:fill="FFFFFF"/>
        </w:rPr>
        <w:t xml:space="preserve"> in </w:t>
      </w:r>
      <w:proofErr w:type="gramStart"/>
      <w:r w:rsidRPr="000862EB">
        <w:rPr>
          <w:rFonts w:ascii="Arial" w:hAnsi="Arial" w:cs="Arial"/>
          <w:color w:val="000000" w:themeColor="text1"/>
          <w:sz w:val="20"/>
          <w:szCs w:val="20"/>
          <w:shd w:val="clear" w:color="auto" w:fill="FFFFFF"/>
        </w:rPr>
        <w:t>Ouagadougou:</w:t>
      </w:r>
      <w:proofErr w:type="gram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When</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urban</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development</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is</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poorly</w:t>
      </w:r>
      <w:proofErr w:type="spellEnd"/>
      <w:r w:rsidRPr="000862EB">
        <w:rPr>
          <w:rFonts w:ascii="Arial" w:hAnsi="Arial" w:cs="Arial"/>
          <w:color w:val="000000" w:themeColor="text1"/>
          <w:sz w:val="20"/>
          <w:szCs w:val="20"/>
          <w:shd w:val="clear" w:color="auto" w:fill="FFFFFF"/>
        </w:rPr>
        <w:t xml:space="preserve"> </w:t>
      </w:r>
      <w:proofErr w:type="spellStart"/>
      <w:r w:rsidRPr="000862EB">
        <w:rPr>
          <w:rFonts w:ascii="Arial" w:hAnsi="Arial" w:cs="Arial"/>
          <w:color w:val="000000" w:themeColor="text1"/>
          <w:sz w:val="20"/>
          <w:szCs w:val="20"/>
          <w:shd w:val="clear" w:color="auto" w:fill="FFFFFF"/>
        </w:rPr>
        <w:t>managed</w:t>
      </w:r>
      <w:proofErr w:type="spellEnd"/>
      <w:r w:rsidRPr="000862EB">
        <w:rPr>
          <w:rFonts w:ascii="Arial" w:hAnsi="Arial" w:cs="Arial"/>
          <w:color w:val="000000" w:themeColor="text1"/>
          <w:sz w:val="20"/>
          <w:szCs w:val="20"/>
          <w:shd w:val="clear" w:color="auto" w:fill="FFFFFF"/>
        </w:rPr>
        <w:t xml:space="preserve">. </w:t>
      </w:r>
      <w:hyperlink r:id="rId24" w:history="1">
        <w:r w:rsidRPr="005612FD">
          <w:rPr>
            <w:rStyle w:val="Hyperlink"/>
            <w:rFonts w:ascii="Arial" w:hAnsi="Arial" w:cs="Arial"/>
            <w:sz w:val="20"/>
            <w:szCs w:val="20"/>
            <w:shd w:val="clear" w:color="auto" w:fill="FFFFFF"/>
          </w:rPr>
          <w:t>https://hdl.handle.net/2268/197339</w:t>
        </w:r>
      </w:hyperlink>
    </w:p>
    <w:p w14:paraId="70E882EF" w14:textId="1650B09E" w:rsidR="00472473" w:rsidRPr="00472473" w:rsidRDefault="00472473" w:rsidP="00472473">
      <w:pPr>
        <w:spacing w:after="0" w:line="240" w:lineRule="auto"/>
        <w:ind w:left="709" w:hanging="709"/>
        <w:jc w:val="both"/>
        <w:rPr>
          <w:rFonts w:ascii="Arial" w:hAnsi="Arial" w:cs="Arial"/>
          <w:color w:val="232323"/>
          <w:sz w:val="20"/>
          <w:szCs w:val="20"/>
          <w:shd w:val="clear" w:color="auto" w:fill="FFFFFF"/>
          <w:lang w:val="en-US"/>
        </w:rPr>
      </w:pPr>
      <w:r w:rsidRPr="00472473">
        <w:rPr>
          <w:rFonts w:ascii="Arial" w:hAnsi="Arial" w:cs="Arial"/>
          <w:color w:val="232323"/>
          <w:sz w:val="20"/>
          <w:szCs w:val="20"/>
          <w:shd w:val="clear" w:color="auto" w:fill="FFFFFF"/>
          <w:lang w:val="en-US"/>
        </w:rPr>
        <w:t>Haan, L. and Ferreira, A. (2006) Extreme Value Theory: An Introduction. Springer Series in Operations Research and Financial Engineering. Springer.</w:t>
      </w:r>
      <w:r w:rsidRPr="00472473">
        <w:rPr>
          <w:rFonts w:ascii="Arial" w:hAnsi="Arial" w:cs="Arial"/>
          <w:color w:val="232323"/>
          <w:sz w:val="20"/>
          <w:szCs w:val="20"/>
          <w:lang w:val="en-US"/>
        </w:rPr>
        <w:t xml:space="preserve"> </w:t>
      </w:r>
      <w:hyperlink r:id="rId25" w:history="1">
        <w:r w:rsidRPr="00472473">
          <w:rPr>
            <w:rStyle w:val="Hyperlink"/>
            <w:rFonts w:ascii="Arial" w:hAnsi="Arial" w:cs="Arial"/>
            <w:sz w:val="20"/>
            <w:szCs w:val="20"/>
            <w:shd w:val="clear" w:color="auto" w:fill="FFFFFF"/>
            <w:lang w:val="en-US"/>
          </w:rPr>
          <w:t>http://dx.doi.org/10.1007/0-387-34471-3</w:t>
        </w:r>
      </w:hyperlink>
    </w:p>
    <w:p w14:paraId="22F3F42D" w14:textId="77777777" w:rsidR="00472473" w:rsidRPr="00472473" w:rsidRDefault="00472473" w:rsidP="00472473">
      <w:pPr>
        <w:spacing w:after="0" w:line="240" w:lineRule="auto"/>
        <w:ind w:left="709" w:hanging="709"/>
        <w:jc w:val="both"/>
        <w:rPr>
          <w:rFonts w:ascii="Arial" w:hAnsi="Arial" w:cs="Arial"/>
          <w:sz w:val="20"/>
          <w:szCs w:val="20"/>
          <w:lang w:val="en-US"/>
        </w:rPr>
      </w:pPr>
      <w:r w:rsidRPr="00472473">
        <w:rPr>
          <w:rFonts w:ascii="Arial" w:hAnsi="Arial" w:cs="Arial"/>
          <w:sz w:val="20"/>
          <w:szCs w:val="20"/>
          <w:lang w:val="en-US"/>
        </w:rPr>
        <w:t xml:space="preserve">Kévin Dubois, Morten Andreas Dahl Larsen, Martin Drews, Erik Nilsson, and Anna Rutgersson. Influence of data source and copula statistics on estimates of compound flood extremes in a river mouth environment. </w:t>
      </w:r>
      <w:hyperlink r:id="rId26" w:history="1">
        <w:r w:rsidRPr="00472473">
          <w:rPr>
            <w:rStyle w:val="Hyperlink"/>
            <w:rFonts w:ascii="Arial" w:hAnsi="Arial" w:cs="Arial"/>
            <w:sz w:val="20"/>
            <w:szCs w:val="20"/>
            <w:lang w:val="en-US"/>
          </w:rPr>
          <w:t>Natural Hazards and Earth System Sciences</w:t>
        </w:r>
      </w:hyperlink>
      <w:r w:rsidRPr="00472473">
        <w:rPr>
          <w:rFonts w:ascii="Arial" w:hAnsi="Arial" w:cs="Arial"/>
          <w:sz w:val="20"/>
          <w:szCs w:val="20"/>
          <w:lang w:val="en-US"/>
        </w:rPr>
        <w:t xml:space="preserve">. </w:t>
      </w:r>
      <w:r w:rsidRPr="00472473">
        <w:rPr>
          <w:rStyle w:val="Hyperlink"/>
          <w:rFonts w:ascii="Arial" w:hAnsi="Arial" w:cs="Arial"/>
          <w:sz w:val="20"/>
          <w:szCs w:val="20"/>
          <w:shd w:val="clear" w:color="auto" w:fill="FFFFFF"/>
          <w:lang w:val="en-US"/>
        </w:rPr>
        <w:t>https://doi.org/10.5194/os-20-21-2024, 2024</w:t>
      </w:r>
    </w:p>
    <w:p w14:paraId="03EB24D0" w14:textId="77777777" w:rsidR="00472473" w:rsidRPr="00472473" w:rsidRDefault="00472473" w:rsidP="00472473">
      <w:pPr>
        <w:spacing w:after="0" w:line="240" w:lineRule="auto"/>
        <w:ind w:left="709" w:hanging="709"/>
        <w:jc w:val="both"/>
        <w:rPr>
          <w:rFonts w:ascii="Arial" w:hAnsi="Arial" w:cs="Arial"/>
          <w:color w:val="0000FF"/>
          <w:sz w:val="20"/>
          <w:szCs w:val="20"/>
          <w:u w:val="single"/>
          <w:lang w:val="en-US"/>
        </w:rPr>
      </w:pPr>
      <w:r w:rsidRPr="00472473">
        <w:rPr>
          <w:rFonts w:ascii="Arial" w:hAnsi="Arial" w:cs="Arial"/>
          <w:sz w:val="20"/>
          <w:szCs w:val="20"/>
          <w:lang w:val="en-US"/>
        </w:rPr>
        <w:t xml:space="preserve">Kundzewicz, Z. W., Kanae, S., Seneviratne, S. I., Handmer, J., Nicholls, N., Peduzzi, P., Mechler, R., Bouwer, L. M., Arnell, N., Mach, K., Muir-Wood, R., Brakenridge, G. R., Kron, W., Benito, G., Honda, Y., Takahashi, K., Sherstyukov, B. (2014): Flood risk and climate change: global and regional perspectives. - Hydrological Sciences Journal, 59, 1, 1-28. </w:t>
      </w:r>
      <w:r w:rsidRPr="00472473">
        <w:rPr>
          <w:rStyle w:val="Hyperlink"/>
          <w:rFonts w:ascii="Arial" w:hAnsi="Arial" w:cs="Arial"/>
          <w:sz w:val="20"/>
          <w:szCs w:val="20"/>
          <w:lang w:val="en-US"/>
        </w:rPr>
        <w:t>DOI: 10.1080/02626667.2013.857411</w:t>
      </w:r>
    </w:p>
    <w:p w14:paraId="6EEFF775" w14:textId="28DF8736" w:rsidR="00472473" w:rsidRPr="00472473" w:rsidRDefault="00472473" w:rsidP="00472473">
      <w:pPr>
        <w:spacing w:after="0" w:line="240" w:lineRule="auto"/>
        <w:ind w:left="709" w:hanging="709"/>
        <w:jc w:val="both"/>
        <w:rPr>
          <w:rFonts w:ascii="Arial" w:hAnsi="Arial" w:cs="Arial"/>
          <w:sz w:val="20"/>
          <w:szCs w:val="20"/>
          <w:lang w:val="en-US"/>
        </w:rPr>
      </w:pPr>
      <w:r w:rsidRPr="00472473">
        <w:rPr>
          <w:rFonts w:ascii="Arial" w:hAnsi="Arial" w:cs="Arial"/>
          <w:sz w:val="20"/>
          <w:szCs w:val="20"/>
          <w:lang w:val="en-US"/>
        </w:rPr>
        <w:t xml:space="preserve">M. Schlather et J. A. Tawn (2003). A dependence measure for multivariate and spatial extreme values: Properties and inference. </w:t>
      </w:r>
      <w:r w:rsidRPr="00472473">
        <w:rPr>
          <w:rFonts w:ascii="Arial" w:hAnsi="Arial" w:cs="Arial"/>
          <w:color w:val="555555"/>
          <w:sz w:val="20"/>
          <w:szCs w:val="20"/>
          <w:lang w:val="en-US"/>
        </w:rPr>
        <w:t xml:space="preserve">DOI: </w:t>
      </w:r>
      <w:hyperlink r:id="rId27" w:tgtFrame="_blank" w:history="1">
        <w:r w:rsidRPr="00472473">
          <w:rPr>
            <w:rStyle w:val="Hyperlink"/>
            <w:rFonts w:ascii="Arial" w:hAnsi="Arial" w:cs="Arial"/>
            <w:sz w:val="20"/>
            <w:szCs w:val="20"/>
            <w:bdr w:val="none" w:sz="0" w:space="0" w:color="auto" w:frame="1"/>
            <w:lang w:val="en-US"/>
          </w:rPr>
          <w:t>10.1093/biomet/90.1.139</w:t>
        </w:r>
      </w:hyperlink>
    </w:p>
    <w:p w14:paraId="06F530AE" w14:textId="5F72A3AF" w:rsidR="00472473" w:rsidRPr="00472473" w:rsidRDefault="00472473" w:rsidP="00472473">
      <w:pPr>
        <w:spacing w:after="0" w:line="240" w:lineRule="auto"/>
        <w:ind w:left="709" w:hanging="709"/>
        <w:jc w:val="both"/>
        <w:rPr>
          <w:rFonts w:ascii="Arial" w:hAnsi="Arial" w:cs="Arial"/>
          <w:sz w:val="20"/>
          <w:szCs w:val="20"/>
          <w:lang w:val="en-US"/>
        </w:rPr>
      </w:pPr>
      <w:r w:rsidRPr="00472473">
        <w:rPr>
          <w:rFonts w:ascii="Arial" w:hAnsi="Arial" w:cs="Arial"/>
          <w:sz w:val="20"/>
          <w:szCs w:val="20"/>
          <w:lang w:val="en-US"/>
        </w:rPr>
        <w:t xml:space="preserve">Piou Dobo Guilavogui, Ibrahima Kalil Kante, Magbini Tokpa Mamy Indicators of Spatio-Temporal Changes in Rainfall in Forest Guinea. Atmospheric and Climate Sciences, </w:t>
      </w:r>
      <w:r w:rsidR="00C32CCA">
        <w:rPr>
          <w:rFonts w:ascii="Arial" w:hAnsi="Arial" w:cs="Arial"/>
          <w:sz w:val="20"/>
          <w:szCs w:val="20"/>
          <w:lang w:val="en-US"/>
        </w:rPr>
        <w:t>(</w:t>
      </w:r>
      <w:r w:rsidRPr="00472473">
        <w:rPr>
          <w:rFonts w:ascii="Arial" w:hAnsi="Arial" w:cs="Arial"/>
          <w:sz w:val="20"/>
          <w:szCs w:val="20"/>
          <w:lang w:val="en-US"/>
        </w:rPr>
        <w:t>2025</w:t>
      </w:r>
      <w:r w:rsidR="00C32CCA">
        <w:rPr>
          <w:rFonts w:ascii="Arial" w:hAnsi="Arial" w:cs="Arial"/>
          <w:sz w:val="20"/>
          <w:szCs w:val="20"/>
          <w:lang w:val="en-US"/>
        </w:rPr>
        <w:t>).</w:t>
      </w:r>
      <w:r w:rsidRPr="00472473">
        <w:rPr>
          <w:rFonts w:ascii="Arial" w:hAnsi="Arial" w:cs="Arial"/>
          <w:sz w:val="20"/>
          <w:szCs w:val="20"/>
          <w:lang w:val="en-US"/>
        </w:rPr>
        <w:t xml:space="preserve"> 15(2), 462-475. </w:t>
      </w:r>
      <w:r w:rsidRPr="00472473">
        <w:rPr>
          <w:rStyle w:val="Hyperlink"/>
          <w:rFonts w:ascii="Arial" w:hAnsi="Arial" w:cs="Arial"/>
          <w:sz w:val="20"/>
          <w:szCs w:val="20"/>
          <w:lang w:val="en-US"/>
        </w:rPr>
        <w:t>https://doi.org/10.4236/acs.2025.152024.</w:t>
      </w:r>
      <w:r w:rsidRPr="00472473">
        <w:rPr>
          <w:rFonts w:ascii="Arial" w:hAnsi="Arial" w:cs="Arial"/>
          <w:sz w:val="20"/>
          <w:szCs w:val="20"/>
          <w:lang w:val="en-US"/>
        </w:rPr>
        <w:t xml:space="preserve"> </w:t>
      </w:r>
    </w:p>
    <w:p w14:paraId="0759295A" w14:textId="5EE825D7" w:rsidR="00472473" w:rsidRPr="00472473" w:rsidRDefault="00472473" w:rsidP="00472473">
      <w:pPr>
        <w:spacing w:after="0" w:line="240" w:lineRule="auto"/>
        <w:ind w:left="709" w:hanging="709"/>
        <w:jc w:val="both"/>
        <w:rPr>
          <w:rFonts w:ascii="Arial" w:hAnsi="Arial" w:cs="Arial"/>
          <w:sz w:val="20"/>
          <w:szCs w:val="20"/>
          <w:lang w:val="en-US"/>
        </w:rPr>
      </w:pPr>
      <w:r w:rsidRPr="00472473">
        <w:rPr>
          <w:rFonts w:ascii="Arial" w:hAnsi="Arial" w:cs="Arial"/>
          <w:sz w:val="20"/>
          <w:szCs w:val="20"/>
          <w:lang w:val="en-US"/>
        </w:rPr>
        <w:t>Piou Dobo Guilavogui, Magbini Tokpa Mamy, Binko Mamady Toure, Idrissa Diaby</w:t>
      </w:r>
      <w:r w:rsidR="00C32CCA">
        <w:rPr>
          <w:rFonts w:ascii="Arial" w:hAnsi="Arial" w:cs="Arial"/>
          <w:sz w:val="20"/>
          <w:szCs w:val="20"/>
          <w:lang w:val="en-US"/>
        </w:rPr>
        <w:t xml:space="preserve"> (</w:t>
      </w:r>
      <w:r w:rsidR="00C32CCA" w:rsidRPr="00472473">
        <w:rPr>
          <w:rFonts w:ascii="Arial" w:hAnsi="Arial" w:cs="Arial"/>
          <w:sz w:val="20"/>
          <w:szCs w:val="20"/>
          <w:lang w:val="en-US"/>
        </w:rPr>
        <w:t>2025</w:t>
      </w:r>
      <w:r w:rsidR="00C32CCA">
        <w:rPr>
          <w:rFonts w:ascii="Arial" w:hAnsi="Arial" w:cs="Arial"/>
          <w:sz w:val="20"/>
          <w:szCs w:val="20"/>
          <w:lang w:val="en-US"/>
        </w:rPr>
        <w:t>)</w:t>
      </w:r>
      <w:r w:rsidRPr="00472473">
        <w:rPr>
          <w:rFonts w:ascii="Arial" w:hAnsi="Arial" w:cs="Arial"/>
          <w:sz w:val="20"/>
          <w:szCs w:val="20"/>
          <w:lang w:val="en-US"/>
        </w:rPr>
        <w:t>. Determination of Flood Risk Thresholds and Analysis of Rainfall Frequency in the Diani Watershed, Forest Guinea. Atmospheric and Climate Sciences,</w:t>
      </w:r>
      <w:r w:rsidR="00C32CCA">
        <w:rPr>
          <w:rFonts w:ascii="Arial" w:hAnsi="Arial" w:cs="Arial"/>
          <w:sz w:val="20"/>
          <w:szCs w:val="20"/>
          <w:lang w:val="en-US"/>
        </w:rPr>
        <w:t xml:space="preserve"> </w:t>
      </w:r>
      <w:r w:rsidRPr="00472473">
        <w:rPr>
          <w:rFonts w:ascii="Arial" w:hAnsi="Arial" w:cs="Arial"/>
          <w:sz w:val="20"/>
          <w:szCs w:val="20"/>
          <w:lang w:val="en-US"/>
        </w:rPr>
        <w:t xml:space="preserve">15(3), 681-695. </w:t>
      </w:r>
      <w:hyperlink r:id="rId28" w:history="1">
        <w:r w:rsidRPr="00472473">
          <w:rPr>
            <w:rStyle w:val="Hyperlink"/>
            <w:rFonts w:ascii="Arial" w:hAnsi="Arial" w:cs="Arial"/>
            <w:sz w:val="20"/>
            <w:szCs w:val="20"/>
            <w:lang w:val="en-US"/>
          </w:rPr>
          <w:t>https://doi.org/10.4236/acs.2025.153034</w:t>
        </w:r>
      </w:hyperlink>
    </w:p>
    <w:p w14:paraId="258DA211" w14:textId="77777777" w:rsidR="009425DB" w:rsidRPr="003258AA" w:rsidRDefault="009425DB" w:rsidP="00B94B81">
      <w:pPr>
        <w:spacing w:before="120" w:after="0" w:line="360" w:lineRule="auto"/>
        <w:jc w:val="both"/>
        <w:rPr>
          <w:rFonts w:ascii="Verdana" w:hAnsi="Verdana"/>
          <w:color w:val="232323"/>
          <w:sz w:val="21"/>
          <w:szCs w:val="21"/>
          <w:shd w:val="clear" w:color="auto" w:fill="FFFFFF"/>
          <w:lang w:val="en-US"/>
        </w:rPr>
      </w:pPr>
    </w:p>
    <w:p w14:paraId="458F2DE2" w14:textId="77777777" w:rsidR="003258AA" w:rsidRPr="007A580B" w:rsidRDefault="003258AA" w:rsidP="00B94B81">
      <w:pPr>
        <w:spacing w:before="120" w:after="0" w:line="360" w:lineRule="auto"/>
        <w:jc w:val="both"/>
        <w:rPr>
          <w:rFonts w:ascii="Times New Roman" w:hAnsi="Times New Roman" w:cs="Times New Roman"/>
          <w:color w:val="000000"/>
          <w:sz w:val="24"/>
          <w:szCs w:val="24"/>
          <w:shd w:val="clear" w:color="auto" w:fill="FFFFFF"/>
        </w:rPr>
      </w:pPr>
    </w:p>
    <w:p w14:paraId="20E00A6D" w14:textId="77777777" w:rsidR="003258AA" w:rsidRDefault="003258AA" w:rsidP="00B94B81">
      <w:pPr>
        <w:jc w:val="both"/>
        <w:rPr>
          <w:lang w:val="en-US"/>
        </w:rPr>
      </w:pPr>
    </w:p>
    <w:p w14:paraId="4DFCAA79" w14:textId="77777777" w:rsidR="005B00C8" w:rsidRPr="00D93721" w:rsidRDefault="005B00C8" w:rsidP="00B94B81">
      <w:pPr>
        <w:jc w:val="both"/>
        <w:rPr>
          <w:lang w:val="en-US"/>
        </w:rPr>
      </w:pPr>
    </w:p>
    <w:sectPr w:rsidR="005B00C8" w:rsidRPr="00D93721">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7698" w14:textId="77777777" w:rsidR="00AA4F08" w:rsidRDefault="00AA4F08" w:rsidP="0095106A">
      <w:pPr>
        <w:spacing w:after="0" w:line="240" w:lineRule="auto"/>
      </w:pPr>
      <w:r>
        <w:separator/>
      </w:r>
    </w:p>
  </w:endnote>
  <w:endnote w:type="continuationSeparator" w:id="0">
    <w:p w14:paraId="35FF5864" w14:textId="77777777" w:rsidR="00AA4F08" w:rsidRDefault="00AA4F08" w:rsidP="0095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erif CJK SC">
    <w:altName w:val="HGPMinchoE"/>
    <w:charset w:val="80"/>
    <w:family w:val="roman"/>
    <w:pitch w:val="variable"/>
    <w:sig w:usb0="30000083" w:usb1="2BDF3C10" w:usb2="00000016" w:usb3="00000000" w:csb0="002E01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FC22" w14:textId="77777777" w:rsidR="0095106A" w:rsidRDefault="00951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A1B6" w14:textId="77777777" w:rsidR="0095106A" w:rsidRDefault="00951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EA90" w14:textId="77777777" w:rsidR="0095106A" w:rsidRDefault="0095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13F0" w14:textId="77777777" w:rsidR="00AA4F08" w:rsidRDefault="00AA4F08" w:rsidP="0095106A">
      <w:pPr>
        <w:spacing w:after="0" w:line="240" w:lineRule="auto"/>
      </w:pPr>
      <w:r>
        <w:separator/>
      </w:r>
    </w:p>
  </w:footnote>
  <w:footnote w:type="continuationSeparator" w:id="0">
    <w:p w14:paraId="2EC58251" w14:textId="77777777" w:rsidR="00AA4F08" w:rsidRDefault="00AA4F08" w:rsidP="0095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7956" w14:textId="1524CDE0" w:rsidR="0095106A" w:rsidRDefault="0095106A">
    <w:pPr>
      <w:pStyle w:val="Header"/>
    </w:pPr>
    <w:r>
      <w:rPr>
        <w:noProof/>
      </w:rPr>
      <w:pict w14:anchorId="36E89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39B9" w14:textId="3ED99E4B" w:rsidR="0095106A" w:rsidRDefault="0095106A">
    <w:pPr>
      <w:pStyle w:val="Header"/>
    </w:pPr>
    <w:r>
      <w:rPr>
        <w:noProof/>
      </w:rPr>
      <w:pict w14:anchorId="406A0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DF8" w14:textId="7AE4EA35" w:rsidR="0095106A" w:rsidRDefault="0095106A">
    <w:pPr>
      <w:pStyle w:val="Header"/>
    </w:pPr>
    <w:r>
      <w:rPr>
        <w:noProof/>
      </w:rPr>
      <w:pict w14:anchorId="0C6E3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73F3A"/>
    <w:multiLevelType w:val="hybridMultilevel"/>
    <w:tmpl w:val="995C025A"/>
    <w:lvl w:ilvl="0" w:tplc="8EF49278">
      <w:start w:val="4"/>
      <w:numFmt w:val="bullet"/>
      <w:lvlText w:val="-"/>
      <w:lvlJc w:val="left"/>
      <w:pPr>
        <w:ind w:left="720" w:hanging="360"/>
      </w:pPr>
      <w:rPr>
        <w:rFonts w:ascii="Arial" w:eastAsia="Noto Serif CJK SC" w:hAnsi="Arial"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9E966EE"/>
    <w:multiLevelType w:val="hybridMultilevel"/>
    <w:tmpl w:val="D2E2D464"/>
    <w:lvl w:ilvl="0" w:tplc="9402B0AC">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7148BA"/>
    <w:multiLevelType w:val="hybridMultilevel"/>
    <w:tmpl w:val="B234E0D4"/>
    <w:lvl w:ilvl="0" w:tplc="8EF49278">
      <w:start w:val="4"/>
      <w:numFmt w:val="bullet"/>
      <w:lvlText w:val="-"/>
      <w:lvlJc w:val="left"/>
      <w:pPr>
        <w:ind w:left="720" w:hanging="360"/>
      </w:pPr>
      <w:rPr>
        <w:rFonts w:ascii="Arial" w:eastAsia="Noto Serif CJK SC" w:hAnsi="Arial" w:cs="Aria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F416871"/>
    <w:multiLevelType w:val="hybridMultilevel"/>
    <w:tmpl w:val="C13A4BCA"/>
    <w:lvl w:ilvl="0" w:tplc="DF2C5488">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21"/>
    <w:rsid w:val="00003C4A"/>
    <w:rsid w:val="00074C6A"/>
    <w:rsid w:val="000862EB"/>
    <w:rsid w:val="00093393"/>
    <w:rsid w:val="000C3747"/>
    <w:rsid w:val="000C57B7"/>
    <w:rsid w:val="00122AF5"/>
    <w:rsid w:val="001B3100"/>
    <w:rsid w:val="00230D10"/>
    <w:rsid w:val="0026579C"/>
    <w:rsid w:val="0026693F"/>
    <w:rsid w:val="002B548B"/>
    <w:rsid w:val="003258AA"/>
    <w:rsid w:val="00365377"/>
    <w:rsid w:val="00374697"/>
    <w:rsid w:val="003C7900"/>
    <w:rsid w:val="0046332E"/>
    <w:rsid w:val="00472473"/>
    <w:rsid w:val="004E47E2"/>
    <w:rsid w:val="00510062"/>
    <w:rsid w:val="00536498"/>
    <w:rsid w:val="005570E0"/>
    <w:rsid w:val="005A220E"/>
    <w:rsid w:val="005B00C8"/>
    <w:rsid w:val="005C7A95"/>
    <w:rsid w:val="005D3FD0"/>
    <w:rsid w:val="005E060D"/>
    <w:rsid w:val="00623DEA"/>
    <w:rsid w:val="00660BF7"/>
    <w:rsid w:val="00690409"/>
    <w:rsid w:val="006A400D"/>
    <w:rsid w:val="00732307"/>
    <w:rsid w:val="00751F1F"/>
    <w:rsid w:val="00765E28"/>
    <w:rsid w:val="007807F0"/>
    <w:rsid w:val="007C4635"/>
    <w:rsid w:val="008874CA"/>
    <w:rsid w:val="008A65EE"/>
    <w:rsid w:val="00914F92"/>
    <w:rsid w:val="00935C18"/>
    <w:rsid w:val="009425DB"/>
    <w:rsid w:val="0095106A"/>
    <w:rsid w:val="00977D09"/>
    <w:rsid w:val="009C6F94"/>
    <w:rsid w:val="009C779E"/>
    <w:rsid w:val="009C77BE"/>
    <w:rsid w:val="00A309DB"/>
    <w:rsid w:val="00AA4F08"/>
    <w:rsid w:val="00AF041A"/>
    <w:rsid w:val="00B42877"/>
    <w:rsid w:val="00B94B81"/>
    <w:rsid w:val="00BB39CE"/>
    <w:rsid w:val="00C32CCA"/>
    <w:rsid w:val="00C8607D"/>
    <w:rsid w:val="00C91BAB"/>
    <w:rsid w:val="00D63CF2"/>
    <w:rsid w:val="00D6670C"/>
    <w:rsid w:val="00D93721"/>
    <w:rsid w:val="00E01FD2"/>
    <w:rsid w:val="00E11E68"/>
    <w:rsid w:val="00E2385C"/>
    <w:rsid w:val="00EE13AA"/>
    <w:rsid w:val="00F800C4"/>
    <w:rsid w:val="00FE3081"/>
    <w:rsid w:val="00FF2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44790"/>
  <w15:chartTrackingRefBased/>
  <w15:docId w15:val="{8128F26C-6720-45A4-B1D1-80971D25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81"/>
    <w:pPr>
      <w:keepNext/>
      <w:keepLines/>
      <w:spacing w:after="0" w:line="240" w:lineRule="auto"/>
      <w:jc w:val="right"/>
      <w:outlineLvl w:val="0"/>
    </w:pPr>
    <w:rPr>
      <w:rFonts w:ascii="Arial" w:eastAsiaTheme="majorEastAsia" w:hAnsi="Arial" w:cstheme="majorBidi"/>
      <w:b/>
      <w:bCs/>
      <w:sz w:val="3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CE"/>
    <w:pPr>
      <w:ind w:left="720"/>
      <w:contextualSpacing/>
    </w:pPr>
  </w:style>
  <w:style w:type="table" w:customStyle="1" w:styleId="Grilledutableau1">
    <w:name w:val="Grille du tableau1"/>
    <w:basedOn w:val="TableNormal"/>
    <w:next w:val="TableGrid"/>
    <w:uiPriority w:val="39"/>
    <w:rsid w:val="006A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258AA"/>
    <w:rPr>
      <w:color w:val="0000FF"/>
      <w:u w:val="single"/>
    </w:rPr>
  </w:style>
  <w:style w:type="character" w:styleId="Emphasis">
    <w:name w:val="Emphasis"/>
    <w:basedOn w:val="DefaultParagraphFont"/>
    <w:uiPriority w:val="20"/>
    <w:qFormat/>
    <w:rsid w:val="003258AA"/>
    <w:rPr>
      <w:i/>
      <w:iCs/>
    </w:rPr>
  </w:style>
  <w:style w:type="character" w:customStyle="1" w:styleId="linkbluetoblue">
    <w:name w:val="linkbluetoblue"/>
    <w:basedOn w:val="DefaultParagraphFont"/>
    <w:rsid w:val="003258AA"/>
  </w:style>
  <w:style w:type="character" w:customStyle="1" w:styleId="Heading1Char">
    <w:name w:val="Heading 1 Char"/>
    <w:basedOn w:val="DefaultParagraphFont"/>
    <w:link w:val="Heading1"/>
    <w:uiPriority w:val="9"/>
    <w:rsid w:val="00B94B81"/>
    <w:rPr>
      <w:rFonts w:ascii="Arial" w:eastAsiaTheme="majorEastAsia" w:hAnsi="Arial" w:cstheme="majorBidi"/>
      <w:b/>
      <w:bCs/>
      <w:sz w:val="36"/>
      <w:szCs w:val="28"/>
      <w:lang w:val="en-US"/>
    </w:rPr>
  </w:style>
  <w:style w:type="paragraph" w:customStyle="1" w:styleId="LO-normal">
    <w:name w:val="LO-normal"/>
    <w:qFormat/>
    <w:rsid w:val="00B94B81"/>
    <w:pPr>
      <w:suppressAutoHyphens/>
      <w:spacing w:after="0" w:line="240" w:lineRule="auto"/>
    </w:pPr>
    <w:rPr>
      <w:rFonts w:ascii="Liberation Serif" w:eastAsia="Liberation Serif" w:hAnsi="Liberation Serif" w:cs="Liberation Serif"/>
      <w:sz w:val="24"/>
      <w:szCs w:val="24"/>
      <w:lang w:val="en-CA" w:eastAsia="zh-CN" w:bidi="hi-IN"/>
    </w:rPr>
  </w:style>
  <w:style w:type="character" w:styleId="UnresolvedMention">
    <w:name w:val="Unresolved Mention"/>
    <w:basedOn w:val="DefaultParagraphFont"/>
    <w:uiPriority w:val="99"/>
    <w:semiHidden/>
    <w:unhideWhenUsed/>
    <w:rsid w:val="009C779E"/>
    <w:rPr>
      <w:color w:val="605E5C"/>
      <w:shd w:val="clear" w:color="auto" w:fill="E1DFDD"/>
    </w:rPr>
  </w:style>
  <w:style w:type="paragraph" w:styleId="Header">
    <w:name w:val="header"/>
    <w:basedOn w:val="Normal"/>
    <w:link w:val="HeaderChar"/>
    <w:uiPriority w:val="99"/>
    <w:unhideWhenUsed/>
    <w:rsid w:val="0095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06A"/>
  </w:style>
  <w:style w:type="paragraph" w:styleId="Footer">
    <w:name w:val="footer"/>
    <w:basedOn w:val="Normal"/>
    <w:link w:val="FooterChar"/>
    <w:uiPriority w:val="99"/>
    <w:unhideWhenUsed/>
    <w:rsid w:val="0095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7202/1051697ar" TargetMode="External"/><Relationship Id="rId26" Type="http://schemas.openxmlformats.org/officeDocument/2006/relationships/hyperlink" Target="https://www.natural-hazards-and-earth-system-sciences.net/" TargetMode="External"/><Relationship Id="rId3" Type="http://schemas.openxmlformats.org/officeDocument/2006/relationships/settings" Target="settings.xml"/><Relationship Id="rId21" Type="http://schemas.openxmlformats.org/officeDocument/2006/relationships/hyperlink" Target="https://doi.org/10.2166/nh.2013.010"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46/annurev-earth-071719-055228" TargetMode="External"/><Relationship Id="rId25" Type="http://schemas.openxmlformats.org/officeDocument/2006/relationships/hyperlink" Target="http://dx.doi.org/10.1007/0-387-34471-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hal.science/hal-00373049/document" TargetMode="External"/><Relationship Id="rId20" Type="http://schemas.openxmlformats.org/officeDocument/2006/relationships/hyperlink" Target="https://doi.org/10.3150/08-BEJ14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hdl.handle.net/2268/19733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4314/ijbcs.v9i1" TargetMode="External"/><Relationship Id="rId28" Type="http://schemas.openxmlformats.org/officeDocument/2006/relationships/hyperlink" Target="https://doi.org/10.4236/acs.2025.153034"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16/j.oceaneng.2020.10793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623/hysj.52.1.49" TargetMode="External"/><Relationship Id="rId27" Type="http://schemas.openxmlformats.org/officeDocument/2006/relationships/hyperlink" Target="https://doi.org/10.1093/biomet/90.1.13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3527</Words>
  <Characters>20104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SDI 1084</cp:lastModifiedBy>
  <cp:revision>5</cp:revision>
  <dcterms:created xsi:type="dcterms:W3CDTF">2026-02-10T18:17:00Z</dcterms:created>
  <dcterms:modified xsi:type="dcterms:W3CDTF">2026-02-11T08:06:00Z</dcterms:modified>
</cp:coreProperties>
</file>