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5E331" w14:textId="77777777" w:rsidR="002A79C3" w:rsidRDefault="002A79C3" w:rsidP="001B686A">
      <w:pPr>
        <w:pStyle w:val="Author"/>
        <w:spacing w:line="240" w:lineRule="auto"/>
        <w:jc w:val="both"/>
        <w:rPr>
          <w:rFonts w:ascii="Arial" w:hAnsi="Arial" w:cs="Arial"/>
          <w:bCs/>
          <w:iCs/>
          <w:kern w:val="28"/>
          <w:sz w:val="28"/>
          <w:szCs w:val="28"/>
        </w:rPr>
      </w:pPr>
      <w:r w:rsidRPr="002A79C3">
        <w:rPr>
          <w:rFonts w:ascii="Arial" w:hAnsi="Arial" w:cs="Arial"/>
          <w:bCs/>
          <w:iCs/>
          <w:kern w:val="28"/>
          <w:sz w:val="28"/>
          <w:szCs w:val="28"/>
        </w:rPr>
        <w:t>Original Research Article</w:t>
      </w:r>
    </w:p>
    <w:p w14:paraId="3BB2ADCB" w14:textId="77777777" w:rsidR="002A79C3" w:rsidRDefault="002A79C3" w:rsidP="001B686A">
      <w:pPr>
        <w:pStyle w:val="Author"/>
        <w:spacing w:line="240" w:lineRule="auto"/>
        <w:jc w:val="both"/>
        <w:rPr>
          <w:rFonts w:ascii="Arial" w:hAnsi="Arial" w:cs="Arial"/>
          <w:bCs/>
          <w:iCs/>
          <w:kern w:val="28"/>
          <w:sz w:val="28"/>
          <w:szCs w:val="28"/>
        </w:rPr>
      </w:pPr>
    </w:p>
    <w:p w14:paraId="2ABF8E87" w14:textId="33FE3E8E" w:rsidR="00A258C3" w:rsidRDefault="000D2D97" w:rsidP="001B686A">
      <w:pPr>
        <w:pStyle w:val="Author"/>
        <w:spacing w:line="240" w:lineRule="auto"/>
        <w:jc w:val="both"/>
        <w:rPr>
          <w:rFonts w:ascii="Arial" w:hAnsi="Arial" w:cs="Arial"/>
          <w:bCs/>
          <w:iCs/>
          <w:kern w:val="28"/>
          <w:sz w:val="28"/>
          <w:szCs w:val="28"/>
        </w:rPr>
      </w:pPr>
      <w:r w:rsidRPr="0086500B">
        <w:rPr>
          <w:rFonts w:ascii="Arial" w:hAnsi="Arial" w:cs="Arial"/>
          <w:bCs/>
          <w:iCs/>
          <w:kern w:val="28"/>
          <w:sz w:val="28"/>
          <w:szCs w:val="28"/>
        </w:rPr>
        <w:t>Contribution of Nature-Based Solutions to the Socio-Economic Resilience of Market Gardening in a Coastal Environment:</w:t>
      </w:r>
      <w:r w:rsidR="00251759" w:rsidRPr="0086500B">
        <w:rPr>
          <w:rFonts w:ascii="Arial" w:hAnsi="Arial" w:cs="Arial"/>
          <w:bCs/>
          <w:iCs/>
          <w:kern w:val="28"/>
          <w:sz w:val="28"/>
          <w:szCs w:val="28"/>
        </w:rPr>
        <w:t xml:space="preserve"> </w:t>
      </w:r>
      <w:proofErr w:type="gramStart"/>
      <w:r w:rsidR="00251759" w:rsidRPr="0086500B">
        <w:rPr>
          <w:rFonts w:ascii="Arial" w:hAnsi="Arial" w:cs="Arial"/>
          <w:bCs/>
          <w:iCs/>
          <w:kern w:val="28"/>
          <w:sz w:val="28"/>
          <w:szCs w:val="28"/>
        </w:rPr>
        <w:t>t</w:t>
      </w:r>
      <w:r w:rsidRPr="0086500B">
        <w:rPr>
          <w:rFonts w:ascii="Arial" w:hAnsi="Arial" w:cs="Arial"/>
          <w:bCs/>
          <w:iCs/>
          <w:kern w:val="28"/>
          <w:sz w:val="28"/>
          <w:szCs w:val="28"/>
        </w:rPr>
        <w:t>he</w:t>
      </w:r>
      <w:proofErr w:type="gramEnd"/>
      <w:r w:rsidRPr="0086500B">
        <w:rPr>
          <w:rFonts w:ascii="Arial" w:hAnsi="Arial" w:cs="Arial"/>
          <w:bCs/>
          <w:iCs/>
          <w:kern w:val="28"/>
          <w:sz w:val="28"/>
          <w:szCs w:val="28"/>
        </w:rPr>
        <w:t xml:space="preserve"> Case of the Saint-Louis Marine Protected Area (Senegal)</w:t>
      </w:r>
    </w:p>
    <w:p w14:paraId="3E88F415" w14:textId="77777777" w:rsidR="00311D08" w:rsidRDefault="00311D08" w:rsidP="001B686A">
      <w:pPr>
        <w:pStyle w:val="Author"/>
        <w:spacing w:line="240" w:lineRule="auto"/>
        <w:jc w:val="both"/>
        <w:rPr>
          <w:rFonts w:ascii="Arial" w:hAnsi="Arial" w:cs="Arial"/>
          <w:bCs/>
          <w:iCs/>
          <w:kern w:val="28"/>
          <w:sz w:val="28"/>
          <w:szCs w:val="28"/>
        </w:rPr>
      </w:pPr>
    </w:p>
    <w:p w14:paraId="4E6B56E0" w14:textId="77777777" w:rsidR="00311D08" w:rsidRPr="0086500B" w:rsidRDefault="00311D08" w:rsidP="001B686A">
      <w:pPr>
        <w:pStyle w:val="Author"/>
        <w:spacing w:line="240" w:lineRule="auto"/>
        <w:jc w:val="both"/>
        <w:rPr>
          <w:rFonts w:ascii="Arial" w:hAnsi="Arial" w:cs="Arial"/>
          <w:sz w:val="28"/>
          <w:szCs w:val="28"/>
        </w:rPr>
      </w:pPr>
    </w:p>
    <w:p w14:paraId="2E17A879" w14:textId="103188C0" w:rsidR="00B01FCD" w:rsidRPr="0086500B" w:rsidRDefault="002448C1" w:rsidP="001B686A">
      <w:pPr>
        <w:pStyle w:val="Copyright"/>
        <w:spacing w:after="0" w:line="240" w:lineRule="auto"/>
        <w:jc w:val="both"/>
        <w:rPr>
          <w:rFonts w:ascii="Arial" w:hAnsi="Arial" w:cs="Arial"/>
          <w:sz w:val="24"/>
          <w:szCs w:val="24"/>
        </w:rPr>
        <w:sectPr w:rsidR="00B01FCD" w:rsidRPr="0086500B" w:rsidSect="002A44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6500B">
        <w:rPr>
          <w:rFonts w:ascii="Arial" w:hAnsi="Arial" w:cs="Arial"/>
          <w:noProof/>
          <w:sz w:val="24"/>
          <w:szCs w:val="24"/>
        </w:rPr>
        <mc:AlternateContent>
          <mc:Choice Requires="wps">
            <w:drawing>
              <wp:inline distT="0" distB="0" distL="0" distR="0" wp14:anchorId="158ABB9D" wp14:editId="36205644">
                <wp:extent cx="5303520" cy="635"/>
                <wp:effectExtent l="13335" t="13335" r="17145" b="15240"/>
                <wp:docPr id="21160500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EFFA7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CFC09C9" w14:textId="77777777" w:rsidR="00790ADA" w:rsidRPr="0086500B" w:rsidRDefault="00790ADA" w:rsidP="001B686A">
      <w:pPr>
        <w:pStyle w:val="AbstHead"/>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6500B" w14:paraId="3AD85AD0" w14:textId="77777777" w:rsidTr="001E44FE">
        <w:tc>
          <w:tcPr>
            <w:tcW w:w="9576" w:type="dxa"/>
            <w:shd w:val="clear" w:color="auto" w:fill="F2F2F2"/>
          </w:tcPr>
          <w:p w14:paraId="2ECD1567" w14:textId="15746D2C" w:rsidR="00E3114E" w:rsidRPr="0086500B" w:rsidRDefault="00F74CA7" w:rsidP="001B686A">
            <w:pPr>
              <w:pStyle w:val="Body"/>
              <w:spacing w:after="0"/>
              <w:rPr>
                <w:rFonts w:ascii="Arial" w:eastAsia="Calibri" w:hAnsi="Arial" w:cs="Arial"/>
                <w:sz w:val="24"/>
                <w:szCs w:val="24"/>
              </w:rPr>
            </w:pPr>
            <w:r>
              <w:rPr>
                <w:rFonts w:ascii="Arial" w:eastAsia="Calibri" w:hAnsi="Arial" w:cs="Arial"/>
                <w:sz w:val="24"/>
                <w:szCs w:val="24"/>
              </w:rPr>
              <w:t>Abstract</w:t>
            </w:r>
          </w:p>
          <w:p w14:paraId="2DC2A4FA" w14:textId="77777777" w:rsidR="000D5192" w:rsidRPr="0086500B" w:rsidRDefault="000D5192" w:rsidP="001B686A">
            <w:pPr>
              <w:pStyle w:val="Body"/>
              <w:spacing w:after="0"/>
              <w:rPr>
                <w:rFonts w:ascii="Arial" w:eastAsia="Calibri" w:hAnsi="Arial" w:cs="Arial"/>
                <w:bCs/>
                <w:sz w:val="24"/>
                <w:szCs w:val="24"/>
              </w:rPr>
            </w:pPr>
            <w:r w:rsidRPr="0086500B">
              <w:rPr>
                <w:rFonts w:ascii="Arial" w:eastAsia="Calibri" w:hAnsi="Arial" w:cs="Arial"/>
                <w:b/>
                <w:sz w:val="24"/>
                <w:szCs w:val="24"/>
              </w:rPr>
              <w:t xml:space="preserve">Aims: </w:t>
            </w:r>
            <w:r w:rsidRPr="0086500B">
              <w:rPr>
                <w:rFonts w:ascii="Arial" w:eastAsia="Calibri" w:hAnsi="Arial" w:cs="Arial"/>
                <w:bCs/>
                <w:sz w:val="24"/>
                <w:szCs w:val="24"/>
              </w:rPr>
              <w:t xml:space="preserve">This study aims to analyze coastline mobility and evaluate the effects of soft solutions, such as typhavelles and reforestation, on market gardening in the Langue de </w:t>
            </w:r>
            <w:proofErr w:type="spellStart"/>
            <w:r w:rsidRPr="0086500B">
              <w:rPr>
                <w:rFonts w:ascii="Arial" w:eastAsia="Calibri" w:hAnsi="Arial" w:cs="Arial"/>
                <w:bCs/>
                <w:sz w:val="24"/>
                <w:szCs w:val="24"/>
              </w:rPr>
              <w:t>Barbarie</w:t>
            </w:r>
            <w:proofErr w:type="spellEnd"/>
            <w:r w:rsidRPr="0086500B">
              <w:rPr>
                <w:rFonts w:ascii="Arial" w:eastAsia="Calibri" w:hAnsi="Arial" w:cs="Arial"/>
                <w:bCs/>
                <w:sz w:val="24"/>
                <w:szCs w:val="24"/>
              </w:rPr>
              <w:t xml:space="preserve"> region, Saint-Louis, Senegal, an area highly vulnerable to coastal erosion, marine flooding, and soil salinization.</w:t>
            </w:r>
          </w:p>
          <w:p w14:paraId="2FF067AC" w14:textId="77777777" w:rsidR="000D5192" w:rsidRPr="0086500B" w:rsidRDefault="000D5192" w:rsidP="001B686A">
            <w:pPr>
              <w:pStyle w:val="Body"/>
              <w:spacing w:after="0"/>
              <w:rPr>
                <w:rFonts w:ascii="Arial" w:eastAsia="Calibri" w:hAnsi="Arial" w:cs="Arial"/>
                <w:bCs/>
                <w:sz w:val="24"/>
                <w:szCs w:val="24"/>
              </w:rPr>
            </w:pPr>
            <w:r w:rsidRPr="0086500B">
              <w:rPr>
                <w:rFonts w:ascii="Arial" w:eastAsia="Calibri" w:hAnsi="Arial" w:cs="Arial"/>
                <w:b/>
                <w:sz w:val="24"/>
                <w:szCs w:val="24"/>
              </w:rPr>
              <w:t>Study Design:</w:t>
            </w:r>
            <w:r w:rsidRPr="0086500B">
              <w:rPr>
                <w:rFonts w:ascii="Arial" w:eastAsia="Calibri" w:hAnsi="Arial" w:cs="Arial"/>
                <w:bCs/>
                <w:sz w:val="24"/>
                <w:szCs w:val="24"/>
              </w:rPr>
              <w:t xml:space="preserve"> Observational and field-based study combining coastal geomorphological analysis and socio-economic surveys of local farmers.</w:t>
            </w:r>
          </w:p>
          <w:p w14:paraId="6519BCCA" w14:textId="77777777" w:rsidR="000D5192" w:rsidRPr="0086500B" w:rsidRDefault="000D5192" w:rsidP="001B686A">
            <w:pPr>
              <w:pStyle w:val="Body"/>
              <w:spacing w:after="0"/>
              <w:rPr>
                <w:rFonts w:ascii="Arial" w:eastAsia="Calibri" w:hAnsi="Arial" w:cs="Arial"/>
                <w:bCs/>
                <w:sz w:val="24"/>
                <w:szCs w:val="24"/>
              </w:rPr>
            </w:pPr>
            <w:r w:rsidRPr="0086500B">
              <w:rPr>
                <w:rFonts w:ascii="Arial" w:eastAsia="Calibri" w:hAnsi="Arial" w:cs="Arial"/>
                <w:b/>
                <w:sz w:val="24"/>
                <w:szCs w:val="24"/>
              </w:rPr>
              <w:t>Place and Duration of Study:</w:t>
            </w:r>
            <w:r w:rsidRPr="0086500B">
              <w:rPr>
                <w:rFonts w:ascii="Arial" w:eastAsia="Calibri" w:hAnsi="Arial" w:cs="Arial"/>
                <w:bCs/>
                <w:sz w:val="24"/>
                <w:szCs w:val="24"/>
              </w:rPr>
              <w:t xml:space="preserve"> Langue de </w:t>
            </w:r>
            <w:proofErr w:type="spellStart"/>
            <w:r w:rsidRPr="0086500B">
              <w:rPr>
                <w:rFonts w:ascii="Arial" w:eastAsia="Calibri" w:hAnsi="Arial" w:cs="Arial"/>
                <w:bCs/>
                <w:sz w:val="24"/>
                <w:szCs w:val="24"/>
              </w:rPr>
              <w:t>Barbarie</w:t>
            </w:r>
            <w:proofErr w:type="spellEnd"/>
            <w:r w:rsidRPr="0086500B">
              <w:rPr>
                <w:rFonts w:ascii="Arial" w:eastAsia="Calibri" w:hAnsi="Arial" w:cs="Arial"/>
                <w:bCs/>
                <w:sz w:val="24"/>
                <w:szCs w:val="24"/>
              </w:rPr>
              <w:t>, Saint-Louis, Senegal; fieldwork conducted between January and August 2022.</w:t>
            </w:r>
          </w:p>
          <w:p w14:paraId="7D170C40" w14:textId="77777777" w:rsidR="000D5192" w:rsidRPr="0086500B" w:rsidRDefault="000D5192" w:rsidP="001B686A">
            <w:pPr>
              <w:pStyle w:val="Body"/>
              <w:spacing w:after="0"/>
              <w:rPr>
                <w:rFonts w:ascii="Arial" w:eastAsia="Calibri" w:hAnsi="Arial" w:cs="Arial"/>
                <w:bCs/>
                <w:sz w:val="24"/>
                <w:szCs w:val="24"/>
              </w:rPr>
            </w:pPr>
            <w:r w:rsidRPr="0086500B">
              <w:rPr>
                <w:rFonts w:ascii="Arial" w:eastAsia="Calibri" w:hAnsi="Arial" w:cs="Arial"/>
                <w:b/>
                <w:sz w:val="24"/>
                <w:szCs w:val="24"/>
              </w:rPr>
              <w:t>Methodology:</w:t>
            </w:r>
            <w:r w:rsidRPr="0086500B">
              <w:rPr>
                <w:rFonts w:ascii="Arial" w:eastAsia="Calibri" w:hAnsi="Arial" w:cs="Arial"/>
                <w:bCs/>
                <w:sz w:val="24"/>
                <w:szCs w:val="24"/>
              </w:rPr>
              <w:t xml:space="preserve"> Eight (08) beach profiles were analyzed to assess coastline changes. Additionally, socio-economic surveys were conducted among market gardeners from affected villages to evaluate the impact of soft solutions on agricultural productivity. Field observations focused on the effectiveness of typhavelles in promoting sediment deposition and dune formation, while surveys assessed changes in marine flooding, soil salinization, crop yields, farmer incomes, and the number of active market gardeners.</w:t>
            </w:r>
          </w:p>
          <w:p w14:paraId="15D6CAF5" w14:textId="16AFB14F" w:rsidR="000D5192" w:rsidRPr="0086500B" w:rsidRDefault="000D5192" w:rsidP="001B686A">
            <w:pPr>
              <w:pStyle w:val="Body"/>
              <w:spacing w:after="0"/>
              <w:rPr>
                <w:rFonts w:ascii="Arial" w:eastAsia="Calibri" w:hAnsi="Arial" w:cs="Arial"/>
                <w:b/>
                <w:sz w:val="24"/>
                <w:szCs w:val="24"/>
              </w:rPr>
            </w:pPr>
            <w:r w:rsidRPr="0086500B">
              <w:rPr>
                <w:rFonts w:ascii="Arial" w:eastAsia="Calibri" w:hAnsi="Arial" w:cs="Arial"/>
                <w:b/>
                <w:sz w:val="24"/>
                <w:szCs w:val="24"/>
              </w:rPr>
              <w:t>Results</w:t>
            </w:r>
            <w:r w:rsidRPr="0086500B">
              <w:rPr>
                <w:rFonts w:ascii="Arial" w:eastAsia="Calibri" w:hAnsi="Arial" w:cs="Arial"/>
                <w:bCs/>
                <w:sz w:val="24"/>
                <w:szCs w:val="24"/>
              </w:rPr>
              <w:t>: Typhavelles enhanced sedimentation, increasing beach width and forming a dune cordon approximately 60 cm in average height through trapping of wind-blown sand. Surveys revealed a reduction in marine flooding and groundwater salinization. Consequently, agricultural yields improved, incomes increased, and the number of active market gardeners rose. These results demonstrate a clear link between the implementation of soft solutions and socio-economic resilience of coastal farming communities.</w:t>
            </w:r>
          </w:p>
          <w:p w14:paraId="0F54996C" w14:textId="4AF1FC0E" w:rsidR="000D5192" w:rsidRPr="0086500B" w:rsidRDefault="000D5192" w:rsidP="001B686A">
            <w:pPr>
              <w:pStyle w:val="Body"/>
              <w:spacing w:after="0"/>
              <w:rPr>
                <w:rFonts w:ascii="Arial" w:eastAsia="Calibri" w:hAnsi="Arial" w:cs="Arial"/>
                <w:bCs/>
                <w:sz w:val="24"/>
                <w:szCs w:val="24"/>
              </w:rPr>
            </w:pPr>
            <w:r w:rsidRPr="0086500B">
              <w:rPr>
                <w:rFonts w:ascii="Arial" w:eastAsia="Calibri" w:hAnsi="Arial" w:cs="Arial"/>
                <w:b/>
                <w:sz w:val="24"/>
                <w:szCs w:val="24"/>
              </w:rPr>
              <w:t>Conclusion</w:t>
            </w:r>
            <w:r w:rsidRPr="0086500B">
              <w:rPr>
                <w:rFonts w:ascii="Arial" w:eastAsia="Calibri" w:hAnsi="Arial" w:cs="Arial"/>
                <w:bCs/>
                <w:sz w:val="24"/>
                <w:szCs w:val="24"/>
              </w:rPr>
              <w:t>: Soft solutions, such as typhavelles and reforestation, are effective tools for mitigating coastal erosion while enhancing the socio-economic resilience of market gardening in coastal areas. These interventions represent a practical approach to adapting to climate change and protecting vulnerable littoral communities.</w:t>
            </w:r>
          </w:p>
          <w:p w14:paraId="53929E86" w14:textId="3D4A999B" w:rsidR="00505F06" w:rsidRPr="0086500B" w:rsidRDefault="000D5192" w:rsidP="001B686A">
            <w:pPr>
              <w:pStyle w:val="Body"/>
              <w:spacing w:after="0"/>
              <w:rPr>
                <w:rFonts w:ascii="Arial" w:eastAsia="Calibri" w:hAnsi="Arial" w:cs="Arial"/>
                <w:sz w:val="24"/>
                <w:szCs w:val="24"/>
              </w:rPr>
            </w:pPr>
            <w:r w:rsidRPr="0086500B">
              <w:rPr>
                <w:rFonts w:ascii="Arial" w:eastAsia="Calibri" w:hAnsi="Arial" w:cs="Arial"/>
                <w:b/>
                <w:sz w:val="24"/>
                <w:szCs w:val="24"/>
              </w:rPr>
              <w:t>Keywords:</w:t>
            </w:r>
            <w:r w:rsidRPr="0086500B">
              <w:rPr>
                <w:rFonts w:ascii="Arial" w:eastAsia="Calibri" w:hAnsi="Arial" w:cs="Arial"/>
                <w:bCs/>
                <w:sz w:val="24"/>
                <w:szCs w:val="24"/>
              </w:rPr>
              <w:t xml:space="preserve"> soft solutions, nature-based solutions, typhavelles, coastal erosion, beach profile, marine flooding, soil salinization.</w:t>
            </w:r>
          </w:p>
        </w:tc>
      </w:tr>
    </w:tbl>
    <w:p w14:paraId="2EA7D45A" w14:textId="450E4E0B" w:rsidR="00B52896" w:rsidRPr="0086500B" w:rsidRDefault="00B52896" w:rsidP="001B686A">
      <w:pPr>
        <w:pStyle w:val="Body"/>
        <w:spacing w:after="0"/>
        <w:rPr>
          <w:rFonts w:ascii="Arial" w:hAnsi="Arial" w:cs="Arial"/>
          <w:i/>
          <w:sz w:val="24"/>
          <w:szCs w:val="24"/>
        </w:rPr>
      </w:pPr>
    </w:p>
    <w:p w14:paraId="766CDB5C" w14:textId="77777777" w:rsidR="00505F06" w:rsidRPr="0086500B" w:rsidRDefault="00505F06" w:rsidP="001B686A">
      <w:pPr>
        <w:pStyle w:val="Body"/>
        <w:spacing w:after="0"/>
        <w:rPr>
          <w:rFonts w:ascii="Arial" w:hAnsi="Arial" w:cs="Arial"/>
          <w:i/>
          <w:sz w:val="24"/>
          <w:szCs w:val="24"/>
        </w:rPr>
      </w:pPr>
    </w:p>
    <w:p w14:paraId="492860CB" w14:textId="06290CAE" w:rsidR="007F7B32" w:rsidRPr="0086500B" w:rsidRDefault="00902823" w:rsidP="001B686A">
      <w:pPr>
        <w:pStyle w:val="AbstHead"/>
        <w:spacing w:after="0"/>
        <w:jc w:val="both"/>
        <w:rPr>
          <w:rFonts w:ascii="Arial" w:hAnsi="Arial" w:cs="Arial"/>
          <w:sz w:val="24"/>
          <w:szCs w:val="24"/>
        </w:rPr>
      </w:pPr>
      <w:r w:rsidRPr="0086500B">
        <w:rPr>
          <w:rFonts w:ascii="Arial" w:hAnsi="Arial" w:cs="Arial"/>
          <w:sz w:val="24"/>
          <w:szCs w:val="24"/>
        </w:rPr>
        <w:lastRenderedPageBreak/>
        <w:t xml:space="preserve">1. </w:t>
      </w:r>
      <w:r w:rsidR="00B01FCD" w:rsidRPr="0086500B">
        <w:rPr>
          <w:rFonts w:ascii="Arial" w:hAnsi="Arial" w:cs="Arial"/>
          <w:sz w:val="24"/>
          <w:szCs w:val="24"/>
        </w:rPr>
        <w:t>INTRODUCTION</w:t>
      </w:r>
      <w:r w:rsidR="007F7B32" w:rsidRPr="0086500B">
        <w:rPr>
          <w:rFonts w:ascii="Arial" w:hAnsi="Arial" w:cs="Arial"/>
          <w:sz w:val="24"/>
          <w:szCs w:val="24"/>
        </w:rPr>
        <w:t xml:space="preserve"> </w:t>
      </w:r>
    </w:p>
    <w:p w14:paraId="2D1615B4" w14:textId="77777777" w:rsidR="00790ADA" w:rsidRPr="0086500B" w:rsidRDefault="00790ADA" w:rsidP="001B686A">
      <w:pPr>
        <w:pStyle w:val="AbstHead"/>
        <w:spacing w:after="0"/>
        <w:jc w:val="both"/>
        <w:rPr>
          <w:rFonts w:ascii="Arial" w:hAnsi="Arial" w:cs="Arial"/>
          <w:sz w:val="24"/>
          <w:szCs w:val="24"/>
        </w:rPr>
      </w:pPr>
    </w:p>
    <w:p w14:paraId="292F225F"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Coastal erosion is one of the major natural hazards affecting coastlines worldwide. It results from the interaction between natural factors—such as wave action, marine currents, winds, and sea-level variations—and anthropogenic factors, including coastal developments, sediment extraction, the construction of hydraulic structures, and the increasing urbanization of coastal areas (Bird, 1985; Paskoff, 2001). At the global scale, nearly 70% of sandy beaches are currently experiencing erosion, compared to only 10% undergoing accretion, while the remaining 20% exhibit relative stability (Bird, 1985).</w:t>
      </w:r>
    </w:p>
    <w:p w14:paraId="104668F0"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Located at the interface between marine and terrestrial environments, coastal zones have long represented strategic spaces for human societies due to the diversity of resources and ecosystem services they provide, particularly in fisheries, agriculture, mineral extraction, energy production, and recreation (Gamblin, 1998). This attractiveness explains the high concentration of populations and economic activities in coastal areas worldwide. In West Africa, the coastline stretching from Mauritania to Gabon hosts approximately 105 million inhabitants, with nearly half of the urban population concentrated on only 5% of the surface area of coastal countries, generating about 56% of the regional gross domestic product (Croitoru et al., 2019; Brüning, 2022).</w:t>
      </w:r>
    </w:p>
    <w:p w14:paraId="78346B2B"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However, these coastal environments are now facing increasing environmental pressures, particularly related to climate change, pollution, overexploitation of natural resources, and coastal erosion. Although coastal erosion is a natural phenomenon driven by sedimentary dynamics, it is significantly amplified by anthropogenic activities such as the construction of dams that trap sediments upstream, sand mining for construction purposes, and rapid coastal urbanization. These combined factors accelerate shoreline retreat and increase the vulnerability of ecosystems and human activities.</w:t>
      </w:r>
    </w:p>
    <w:p w14:paraId="0E00425E"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Senegal, a coastal country in West Africa with a 718 km-long coastline, is not exempt from this issue. More than 52% of its population, approximately 7.8 million people, live in coastal zones (Sarraf et al., 2021). At the national scale, nearly 65% of the Senegalese coastline is affected by erosion, with an average shoreline retreat rate estimated at 1.6 m per year between 1984 and 2016 (</w:t>
      </w:r>
      <w:proofErr w:type="spellStart"/>
      <w:r w:rsidRPr="0086500B">
        <w:rPr>
          <w:rFonts w:ascii="Arial" w:hAnsi="Arial" w:cs="Arial"/>
          <w:sz w:val="24"/>
          <w:szCs w:val="24"/>
        </w:rPr>
        <w:t>Luijendijk</w:t>
      </w:r>
      <w:proofErr w:type="spellEnd"/>
      <w:r w:rsidRPr="0086500B">
        <w:rPr>
          <w:rFonts w:ascii="Arial" w:hAnsi="Arial" w:cs="Arial"/>
          <w:sz w:val="24"/>
          <w:szCs w:val="24"/>
        </w:rPr>
        <w:t xml:space="preserve"> et al., 2018, cited by Croitoru et al., 2019). However, the intensity and manifestations of erosion vary according to geomorphological contexts and local dynamics.</w:t>
      </w:r>
    </w:p>
    <w:p w14:paraId="3AFEB96F"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 xml:space="preserve">Among the most vulnerable areas is the city of Saint-Louis, often referred to as an “amphibious city” due to its location between the mainland, a fluvial island, and the Langue de </w:t>
      </w:r>
      <w:proofErr w:type="spellStart"/>
      <w:r w:rsidRPr="0086500B">
        <w:rPr>
          <w:rFonts w:ascii="Arial" w:hAnsi="Arial" w:cs="Arial"/>
          <w:sz w:val="24"/>
          <w:szCs w:val="24"/>
        </w:rPr>
        <w:t>Barbarie</w:t>
      </w:r>
      <w:proofErr w:type="spellEnd"/>
      <w:r w:rsidRPr="0086500B">
        <w:rPr>
          <w:rFonts w:ascii="Arial" w:hAnsi="Arial" w:cs="Arial"/>
          <w:sz w:val="24"/>
          <w:szCs w:val="24"/>
        </w:rPr>
        <w:t xml:space="preserve"> (</w:t>
      </w:r>
      <w:proofErr w:type="spellStart"/>
      <w:r w:rsidRPr="0086500B">
        <w:rPr>
          <w:rFonts w:ascii="Arial" w:hAnsi="Arial" w:cs="Arial"/>
          <w:sz w:val="24"/>
          <w:szCs w:val="24"/>
        </w:rPr>
        <w:t>Brüning</w:t>
      </w:r>
      <w:proofErr w:type="spellEnd"/>
      <w:r w:rsidRPr="0086500B">
        <w:rPr>
          <w:rFonts w:ascii="Arial" w:hAnsi="Arial" w:cs="Arial"/>
          <w:sz w:val="24"/>
          <w:szCs w:val="24"/>
        </w:rPr>
        <w:t xml:space="preserve">, 2022). The opening of the breach on the Langue de </w:t>
      </w:r>
      <w:proofErr w:type="spellStart"/>
      <w:r w:rsidRPr="0086500B">
        <w:rPr>
          <w:rFonts w:ascii="Arial" w:hAnsi="Arial" w:cs="Arial"/>
          <w:sz w:val="24"/>
          <w:szCs w:val="24"/>
        </w:rPr>
        <w:t>Barbarie</w:t>
      </w:r>
      <w:proofErr w:type="spellEnd"/>
      <w:r w:rsidRPr="0086500B">
        <w:rPr>
          <w:rFonts w:ascii="Arial" w:hAnsi="Arial" w:cs="Arial"/>
          <w:sz w:val="24"/>
          <w:szCs w:val="24"/>
        </w:rPr>
        <w:t xml:space="preserve"> in 2003, initially intended to reduce fluvial flood risks, profoundly altered the hydro-sedimentary dynamics of the area (Sy, 2006). According to Diatta (2004), this breach—whose width expanded from a few meters to several kilometers—led to intensified coastal erosion, recurrent marine flooding, and increased salinization of soils and groundwater, resulting in the degradation of natural habitats and the disappearance of numerous market gardening farms (Durand et al., 2010; Dumas et al., 2006).</w:t>
      </w:r>
    </w:p>
    <w:p w14:paraId="591CB462"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Paradoxically, the southward progression of the coastal spit has also led to the formation of new sandy lands characterized by the presence of a subsurface freshwater lens, thus offering favorable conditions for the development of market gardening (Sy, 2012; Sambou, 2017). These areas attract new agricultural populations but remain extremely fragile and exposed to coastal hazards, particularly sand encroachment, marine flooding, and salinization (Durand et al., 2010; Sambou, 2020).</w:t>
      </w:r>
    </w:p>
    <w:p w14:paraId="3D41045E"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t xml:space="preserve">In response to the intensification of coastal hazards, the Saint-Louis Marine Protected Area, in partnership with various institutional and technical stakeholders, has initiated the implementation of sustainable ecological solutions, based on the installation of typhavelles and reforestation activities, aimed at strengthening dune protection and soil stability. These measures primarily involve the installation of Typha palisades (“typhavelles”) over more than 1.5 km to promote sand trapping and the formation of a protective dune ridge, as well as reforestation actions designed to ensure long-term soil stabilization (Dumas and </w:t>
      </w:r>
      <w:proofErr w:type="spellStart"/>
      <w:r w:rsidRPr="0086500B">
        <w:rPr>
          <w:rFonts w:ascii="Arial" w:hAnsi="Arial" w:cs="Arial"/>
          <w:sz w:val="24"/>
          <w:szCs w:val="24"/>
        </w:rPr>
        <w:t>Mietton</w:t>
      </w:r>
      <w:proofErr w:type="spellEnd"/>
      <w:r w:rsidRPr="0086500B">
        <w:rPr>
          <w:rFonts w:ascii="Arial" w:hAnsi="Arial" w:cs="Arial"/>
          <w:sz w:val="24"/>
          <w:szCs w:val="24"/>
        </w:rPr>
        <w:t>, 2006).</w:t>
      </w:r>
    </w:p>
    <w:p w14:paraId="02517227" w14:textId="77777777" w:rsidR="00514115" w:rsidRPr="0086500B" w:rsidRDefault="00514115" w:rsidP="001B686A">
      <w:pPr>
        <w:pStyle w:val="Body"/>
        <w:spacing w:after="0"/>
        <w:rPr>
          <w:rFonts w:ascii="Arial" w:hAnsi="Arial" w:cs="Arial"/>
          <w:sz w:val="24"/>
          <w:szCs w:val="24"/>
        </w:rPr>
      </w:pPr>
      <w:r w:rsidRPr="0086500B">
        <w:rPr>
          <w:rFonts w:ascii="Arial" w:hAnsi="Arial" w:cs="Arial"/>
          <w:sz w:val="24"/>
          <w:szCs w:val="24"/>
        </w:rPr>
        <w:lastRenderedPageBreak/>
        <w:t xml:space="preserve">It is within this context that the present study is conducted, aiming to analyze the impacts of sustainable ecological solutions on the socio-economic activities of market gardening within the Saint-Louis Marine Protected Area in Senegal. The general objective is to assess the effects of these solutions on the </w:t>
      </w:r>
      <w:proofErr w:type="spellStart"/>
      <w:r w:rsidRPr="0086500B">
        <w:rPr>
          <w:rFonts w:ascii="Arial" w:hAnsi="Arial" w:cs="Arial"/>
          <w:sz w:val="24"/>
          <w:szCs w:val="24"/>
        </w:rPr>
        <w:t>morphodynamic</w:t>
      </w:r>
      <w:proofErr w:type="spellEnd"/>
      <w:r w:rsidRPr="0086500B">
        <w:rPr>
          <w:rFonts w:ascii="Arial" w:hAnsi="Arial" w:cs="Arial"/>
          <w:sz w:val="24"/>
          <w:szCs w:val="24"/>
        </w:rPr>
        <w:t xml:space="preserve"> evolution of the coastline and on the resilience of market gardening activities. Specifically, the study seeks to: (</w:t>
      </w:r>
      <w:proofErr w:type="spellStart"/>
      <w:r w:rsidRPr="0086500B">
        <w:rPr>
          <w:rFonts w:ascii="Arial" w:hAnsi="Arial" w:cs="Arial"/>
          <w:sz w:val="24"/>
          <w:szCs w:val="24"/>
        </w:rPr>
        <w:t>i</w:t>
      </w:r>
      <w:proofErr w:type="spellEnd"/>
      <w:r w:rsidRPr="0086500B">
        <w:rPr>
          <w:rFonts w:ascii="Arial" w:hAnsi="Arial" w:cs="Arial"/>
          <w:sz w:val="24"/>
          <w:szCs w:val="24"/>
        </w:rPr>
        <w:t>) analyze the evolution of beach profiles monitored since the installation of typhavelles, and (ii) assess market gardeners’ perceptions of the effects of the implemented soft solutions.</w:t>
      </w:r>
    </w:p>
    <w:p w14:paraId="6915FDEE" w14:textId="77777777" w:rsidR="00790ADA" w:rsidRPr="0086500B" w:rsidRDefault="00790ADA" w:rsidP="001B686A">
      <w:pPr>
        <w:pStyle w:val="Body"/>
        <w:spacing w:after="0"/>
        <w:rPr>
          <w:rFonts w:ascii="Arial" w:hAnsi="Arial" w:cs="Arial"/>
          <w:sz w:val="24"/>
          <w:szCs w:val="24"/>
        </w:rPr>
      </w:pPr>
    </w:p>
    <w:p w14:paraId="0BBB80B6" w14:textId="3369AA13" w:rsidR="007F7B32" w:rsidRPr="0086500B" w:rsidRDefault="00902823" w:rsidP="001B686A">
      <w:pPr>
        <w:pStyle w:val="AbstHead"/>
        <w:spacing w:after="0"/>
        <w:jc w:val="both"/>
        <w:rPr>
          <w:rFonts w:ascii="Arial" w:hAnsi="Arial" w:cs="Arial"/>
          <w:sz w:val="24"/>
          <w:szCs w:val="24"/>
        </w:rPr>
      </w:pPr>
      <w:r w:rsidRPr="0086500B">
        <w:rPr>
          <w:rFonts w:ascii="Arial" w:hAnsi="Arial" w:cs="Arial"/>
          <w:sz w:val="24"/>
          <w:szCs w:val="24"/>
        </w:rPr>
        <w:t>2. material and method</w:t>
      </w:r>
      <w:r w:rsidR="00000F8F" w:rsidRPr="0086500B">
        <w:rPr>
          <w:rFonts w:ascii="Arial" w:hAnsi="Arial" w:cs="Arial"/>
          <w:sz w:val="24"/>
          <w:szCs w:val="24"/>
        </w:rPr>
        <w:t xml:space="preserve">s </w:t>
      </w:r>
    </w:p>
    <w:p w14:paraId="33457326" w14:textId="77777777" w:rsidR="00790ADA" w:rsidRPr="0086500B" w:rsidRDefault="00790ADA" w:rsidP="001B686A">
      <w:pPr>
        <w:pStyle w:val="AbstHead"/>
        <w:spacing w:after="0"/>
        <w:jc w:val="both"/>
        <w:rPr>
          <w:rFonts w:ascii="Arial" w:hAnsi="Arial" w:cs="Arial"/>
          <w:sz w:val="24"/>
          <w:szCs w:val="24"/>
        </w:rPr>
      </w:pPr>
    </w:p>
    <w:p w14:paraId="4B7C4336" w14:textId="2A3C5FBE" w:rsidR="00CD3B27" w:rsidRPr="0086500B" w:rsidRDefault="00084F5F" w:rsidP="001B686A">
      <w:pPr>
        <w:pStyle w:val="Body"/>
        <w:spacing w:after="0"/>
        <w:rPr>
          <w:rFonts w:ascii="Arial" w:hAnsi="Arial" w:cs="Arial"/>
          <w:b/>
          <w:bCs/>
          <w:sz w:val="24"/>
          <w:szCs w:val="24"/>
        </w:rPr>
      </w:pPr>
      <w:r w:rsidRPr="0086500B">
        <w:rPr>
          <w:rFonts w:ascii="Arial" w:hAnsi="Arial" w:cs="Arial"/>
          <w:b/>
          <w:bCs/>
          <w:sz w:val="24"/>
          <w:szCs w:val="24"/>
        </w:rPr>
        <w:t xml:space="preserve">2.1. </w:t>
      </w:r>
      <w:r w:rsidR="00CD3B27" w:rsidRPr="0086500B">
        <w:rPr>
          <w:rFonts w:ascii="Arial" w:hAnsi="Arial" w:cs="Arial"/>
          <w:b/>
          <w:bCs/>
          <w:sz w:val="24"/>
          <w:szCs w:val="24"/>
        </w:rPr>
        <w:t>Study Area</w:t>
      </w:r>
    </w:p>
    <w:p w14:paraId="792B4FF2" w14:textId="77777777" w:rsidR="00CD3B27" w:rsidRPr="0086500B" w:rsidRDefault="00CD3B27" w:rsidP="001B686A">
      <w:pPr>
        <w:pStyle w:val="Body"/>
        <w:spacing w:after="0"/>
        <w:rPr>
          <w:rFonts w:ascii="Arial" w:hAnsi="Arial" w:cs="Arial"/>
          <w:sz w:val="24"/>
          <w:szCs w:val="24"/>
        </w:rPr>
      </w:pPr>
      <w:r w:rsidRPr="0086500B">
        <w:rPr>
          <w:rFonts w:ascii="Arial" w:hAnsi="Arial" w:cs="Arial"/>
          <w:sz w:val="24"/>
          <w:szCs w:val="24"/>
        </w:rPr>
        <w:t xml:space="preserve">The Saint-Louis Marine Protected Area (MPA) is located along the Langue de </w:t>
      </w:r>
      <w:proofErr w:type="spellStart"/>
      <w:r w:rsidRPr="0086500B">
        <w:rPr>
          <w:rFonts w:ascii="Arial" w:hAnsi="Arial" w:cs="Arial"/>
          <w:sz w:val="24"/>
          <w:szCs w:val="24"/>
        </w:rPr>
        <w:t>Barbarie</w:t>
      </w:r>
      <w:proofErr w:type="spellEnd"/>
      <w:r w:rsidRPr="0086500B">
        <w:rPr>
          <w:rFonts w:ascii="Arial" w:hAnsi="Arial" w:cs="Arial"/>
          <w:sz w:val="24"/>
          <w:szCs w:val="24"/>
        </w:rPr>
        <w:t xml:space="preserve"> and covers an area of approximately 496 km², extending between the municipalities of Saint-Louis and </w:t>
      </w:r>
      <w:proofErr w:type="spellStart"/>
      <w:r w:rsidRPr="0086500B">
        <w:rPr>
          <w:rFonts w:ascii="Arial" w:hAnsi="Arial" w:cs="Arial"/>
          <w:sz w:val="24"/>
          <w:szCs w:val="24"/>
        </w:rPr>
        <w:t>Ndiébène</w:t>
      </w:r>
      <w:proofErr w:type="spellEnd"/>
      <w:r w:rsidRPr="0086500B">
        <w:rPr>
          <w:rFonts w:ascii="Arial" w:hAnsi="Arial" w:cs="Arial"/>
          <w:sz w:val="24"/>
          <w:szCs w:val="24"/>
        </w:rPr>
        <w:t xml:space="preserve"> </w:t>
      </w:r>
      <w:proofErr w:type="spellStart"/>
      <w:r w:rsidRPr="0086500B">
        <w:rPr>
          <w:rFonts w:ascii="Arial" w:hAnsi="Arial" w:cs="Arial"/>
          <w:sz w:val="24"/>
          <w:szCs w:val="24"/>
        </w:rPr>
        <w:t>Gandiol</w:t>
      </w:r>
      <w:proofErr w:type="spellEnd"/>
      <w:r w:rsidRPr="0086500B">
        <w:rPr>
          <w:rFonts w:ascii="Arial" w:hAnsi="Arial" w:cs="Arial"/>
          <w:sz w:val="24"/>
          <w:szCs w:val="24"/>
        </w:rPr>
        <w:t xml:space="preserve"> (</w:t>
      </w:r>
      <w:proofErr w:type="spellStart"/>
      <w:r w:rsidRPr="0086500B">
        <w:rPr>
          <w:rFonts w:ascii="Arial" w:hAnsi="Arial" w:cs="Arial"/>
          <w:sz w:val="24"/>
          <w:szCs w:val="24"/>
        </w:rPr>
        <w:t>Sarr</w:t>
      </w:r>
      <w:proofErr w:type="spellEnd"/>
      <w:r w:rsidRPr="0086500B">
        <w:rPr>
          <w:rFonts w:ascii="Arial" w:hAnsi="Arial" w:cs="Arial"/>
          <w:sz w:val="24"/>
          <w:szCs w:val="24"/>
        </w:rPr>
        <w:t>, 2020). The area includes a densely populated urban zone as well as several rural communities. The MPA is designed to conserve coastal and marine ecosystems, restore degraded habitats, and support local socio-economic activities, particularly fisheries and market gardening (Sarr, 2016).</w:t>
      </w:r>
    </w:p>
    <w:p w14:paraId="4F81955B" w14:textId="48FFEA77" w:rsidR="00A03B96" w:rsidRPr="0086500B" w:rsidRDefault="002A4866" w:rsidP="001B686A">
      <w:pPr>
        <w:pStyle w:val="Body"/>
        <w:spacing w:after="0"/>
        <w:rPr>
          <w:rFonts w:ascii="Arial" w:hAnsi="Arial" w:cs="Arial"/>
          <w:sz w:val="24"/>
          <w:szCs w:val="24"/>
        </w:rPr>
      </w:pPr>
      <w:r w:rsidRPr="0086500B">
        <w:rPr>
          <w:rFonts w:ascii="Arial" w:hAnsi="Arial" w:cs="Arial"/>
          <w:noProof/>
          <w:sz w:val="24"/>
          <w:szCs w:val="24"/>
        </w:rPr>
        <w:drawing>
          <wp:inline distT="0" distB="0" distL="0" distR="0" wp14:anchorId="2E63A847" wp14:editId="44A11758">
            <wp:extent cx="4286614" cy="3193580"/>
            <wp:effectExtent l="0" t="0" r="0" b="6985"/>
            <wp:docPr id="9613965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8451" cy="3202399"/>
                    </a:xfrm>
                    <a:prstGeom prst="rect">
                      <a:avLst/>
                    </a:prstGeom>
                    <a:noFill/>
                    <a:ln>
                      <a:noFill/>
                    </a:ln>
                  </pic:spPr>
                </pic:pic>
              </a:graphicData>
            </a:graphic>
          </wp:inline>
        </w:drawing>
      </w:r>
    </w:p>
    <w:p w14:paraId="234BE55E" w14:textId="77777777" w:rsidR="00790ADA" w:rsidRPr="0086500B" w:rsidRDefault="00790ADA" w:rsidP="001B686A">
      <w:pPr>
        <w:pStyle w:val="Body"/>
        <w:spacing w:after="0"/>
        <w:rPr>
          <w:rFonts w:ascii="Arial" w:hAnsi="Arial" w:cs="Arial"/>
          <w:sz w:val="24"/>
          <w:szCs w:val="24"/>
        </w:rPr>
      </w:pPr>
    </w:p>
    <w:p w14:paraId="60E84541" w14:textId="4178BB95" w:rsidR="00084F5F" w:rsidRPr="0086500B" w:rsidRDefault="00084F5F" w:rsidP="001B686A">
      <w:pPr>
        <w:pStyle w:val="Body"/>
        <w:spacing w:after="0"/>
        <w:rPr>
          <w:rFonts w:ascii="Arial" w:hAnsi="Arial" w:cs="Arial"/>
          <w:sz w:val="24"/>
          <w:szCs w:val="24"/>
        </w:rPr>
      </w:pPr>
      <w:r w:rsidRPr="0086500B">
        <w:rPr>
          <w:rFonts w:ascii="Arial" w:hAnsi="Arial" w:cs="Arial"/>
          <w:sz w:val="24"/>
          <w:szCs w:val="24"/>
        </w:rPr>
        <w:t>Figure 1: Location of the study area</w:t>
      </w:r>
    </w:p>
    <w:p w14:paraId="4D875CC8" w14:textId="49B5AEBF" w:rsidR="00505F06" w:rsidRPr="0086500B" w:rsidRDefault="00084F5F" w:rsidP="001B686A">
      <w:pPr>
        <w:pStyle w:val="Body"/>
        <w:spacing w:after="0"/>
        <w:rPr>
          <w:rFonts w:ascii="Arial" w:hAnsi="Arial" w:cs="Arial"/>
          <w:sz w:val="24"/>
          <w:szCs w:val="24"/>
        </w:rPr>
      </w:pPr>
      <w:r w:rsidRPr="0086500B">
        <w:rPr>
          <w:rFonts w:ascii="Arial" w:hAnsi="Arial" w:cs="Arial"/>
          <w:sz w:val="24"/>
          <w:szCs w:val="24"/>
        </w:rPr>
        <w:t>Fieldwork involved the use of positioning and measurement equipment (GPS, measuring tape), visual documentation tools (camera), land and maritime means of transport (vehicle and AMP patrol boat), as well as data collection and recording tools (survey forms administered to market gardeners, pencils, pens, and notebooks).</w:t>
      </w:r>
    </w:p>
    <w:p w14:paraId="1616BD5D" w14:textId="239D64A5" w:rsidR="00084F5F" w:rsidRPr="0086500B" w:rsidRDefault="00084F5F" w:rsidP="001B686A">
      <w:pPr>
        <w:pStyle w:val="Body"/>
        <w:spacing w:after="0"/>
        <w:rPr>
          <w:rFonts w:ascii="Arial" w:hAnsi="Arial" w:cs="Arial"/>
          <w:sz w:val="24"/>
          <w:szCs w:val="24"/>
        </w:rPr>
      </w:pPr>
      <w:r w:rsidRPr="0086500B">
        <w:rPr>
          <w:rFonts w:ascii="Arial" w:hAnsi="Arial" w:cs="Arial"/>
          <w:sz w:val="24"/>
          <w:szCs w:val="24"/>
        </w:rPr>
        <w:t>2.2. Literature Review</w:t>
      </w:r>
    </w:p>
    <w:p w14:paraId="0C4838CB" w14:textId="1809ED70" w:rsidR="00084F5F" w:rsidRPr="0086500B" w:rsidRDefault="00084F5F" w:rsidP="001B686A">
      <w:pPr>
        <w:pStyle w:val="Body"/>
        <w:spacing w:after="0"/>
        <w:rPr>
          <w:rFonts w:ascii="Arial" w:hAnsi="Arial" w:cs="Arial"/>
          <w:sz w:val="24"/>
          <w:szCs w:val="24"/>
        </w:rPr>
      </w:pPr>
      <w:r w:rsidRPr="0086500B">
        <w:rPr>
          <w:rFonts w:ascii="Arial" w:hAnsi="Arial" w:cs="Arial"/>
          <w:sz w:val="24"/>
          <w:szCs w:val="24"/>
        </w:rPr>
        <w:t xml:space="preserve">A comprehensive literature review was conducted to gain a better understanding of the study area and the research theme. This step made it possible to define the key concepts, formulate the research problem, and review soft (nature-based) coastal protection solutions. The review </w:t>
      </w:r>
      <w:proofErr w:type="gramStart"/>
      <w:r w:rsidRPr="0086500B">
        <w:rPr>
          <w:rFonts w:ascii="Arial" w:hAnsi="Arial" w:cs="Arial"/>
          <w:sz w:val="24"/>
          <w:szCs w:val="24"/>
        </w:rPr>
        <w:t>took into account</w:t>
      </w:r>
      <w:proofErr w:type="gramEnd"/>
      <w:r w:rsidRPr="0086500B">
        <w:rPr>
          <w:rFonts w:ascii="Arial" w:hAnsi="Arial" w:cs="Arial"/>
          <w:sz w:val="24"/>
          <w:szCs w:val="24"/>
        </w:rPr>
        <w:t xml:space="preserve"> several factors, including available time, logistical resources, and access to the field. The sources consulted included the AMP/SL library, the ISFAR library, as well as relevant online resources.</w:t>
      </w:r>
    </w:p>
    <w:p w14:paraId="49B76923" w14:textId="14ECF1E7" w:rsidR="00084F5F" w:rsidRPr="0086500B" w:rsidRDefault="00084F5F" w:rsidP="001B686A">
      <w:pPr>
        <w:pStyle w:val="Body"/>
        <w:spacing w:after="0"/>
        <w:rPr>
          <w:rFonts w:ascii="Arial" w:hAnsi="Arial" w:cs="Arial"/>
          <w:sz w:val="24"/>
          <w:szCs w:val="24"/>
        </w:rPr>
      </w:pPr>
      <w:r w:rsidRPr="0086500B">
        <w:rPr>
          <w:rFonts w:ascii="Arial" w:hAnsi="Arial" w:cs="Arial"/>
          <w:sz w:val="24"/>
          <w:szCs w:val="24"/>
        </w:rPr>
        <w:t>2.3. Beach Profile Data Collection</w:t>
      </w:r>
    </w:p>
    <w:p w14:paraId="1C493B32" w14:textId="77777777" w:rsidR="00084F5F" w:rsidRPr="0086500B" w:rsidRDefault="00084F5F" w:rsidP="001B686A">
      <w:pPr>
        <w:pStyle w:val="Body"/>
        <w:spacing w:after="0"/>
        <w:rPr>
          <w:rFonts w:ascii="Arial" w:hAnsi="Arial" w:cs="Arial"/>
          <w:sz w:val="24"/>
          <w:szCs w:val="24"/>
        </w:rPr>
      </w:pPr>
      <w:r w:rsidRPr="0086500B">
        <w:rPr>
          <w:rFonts w:ascii="Arial" w:hAnsi="Arial" w:cs="Arial"/>
          <w:sz w:val="24"/>
          <w:szCs w:val="24"/>
        </w:rPr>
        <w:t xml:space="preserve">Data related to beach profiles were extracted from the monitoring database initiated in June 2019 for Profiles 1 to 4 and in September 2019 for Profiles 5 to 8. These data were processed using Excel </w:t>
      </w:r>
      <w:r w:rsidRPr="0086500B">
        <w:rPr>
          <w:rFonts w:ascii="Arial" w:hAnsi="Arial" w:cs="Arial"/>
          <w:sz w:val="24"/>
          <w:szCs w:val="24"/>
        </w:rPr>
        <w:lastRenderedPageBreak/>
        <w:t>software and collected on a monthly basis to analyze the evolution of the profiles between May 2019 and February 2023.</w:t>
      </w:r>
    </w:p>
    <w:p w14:paraId="06D8BB25" w14:textId="7F5C69E5"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Location of the profiles is as follows:</w:t>
      </w:r>
    </w:p>
    <w:p w14:paraId="2D64CEB8" w14:textId="47A39F8A"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 xml:space="preserve">Profile 1: </w:t>
      </w:r>
      <w:proofErr w:type="spellStart"/>
      <w:r w:rsidRPr="0086500B">
        <w:rPr>
          <w:rFonts w:ascii="Arial" w:hAnsi="Arial" w:cs="Arial"/>
          <w:sz w:val="24"/>
          <w:szCs w:val="24"/>
        </w:rPr>
        <w:t>Typhavelle</w:t>
      </w:r>
      <w:proofErr w:type="spellEnd"/>
      <w:r w:rsidRPr="0086500B">
        <w:rPr>
          <w:rFonts w:ascii="Arial" w:hAnsi="Arial" w:cs="Arial"/>
          <w:sz w:val="24"/>
          <w:szCs w:val="24"/>
        </w:rPr>
        <w:t xml:space="preserve"> prototype</w:t>
      </w:r>
    </w:p>
    <w:p w14:paraId="3A1D10A1" w14:textId="09A7E1AD"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Profile 2: 6th palisade facing the sea</w:t>
      </w:r>
    </w:p>
    <w:p w14:paraId="0813B4E7" w14:textId="77777777"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Profile 3: 29th palisade facing the sea</w:t>
      </w:r>
    </w:p>
    <w:p w14:paraId="789C3552" w14:textId="21C28D36"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Profile 4: Last palisade on the northern side</w:t>
      </w:r>
    </w:p>
    <w:p w14:paraId="45639F92" w14:textId="644B1E2B"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Profile 5: Central part of the 3rd compartment, near the April 2019 installations</w:t>
      </w:r>
    </w:p>
    <w:p w14:paraId="44AA2D70" w14:textId="02E891C1"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Profile 6: Central part of the 3rd compartment, extreme northern section</w:t>
      </w:r>
    </w:p>
    <w:p w14:paraId="7D4DFE9D" w14:textId="763DCC0D"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Profile 7: Central part of the 3rd compartment, adjacent to the May 2019 installations</w:t>
      </w:r>
    </w:p>
    <w:p w14:paraId="4070B64B" w14:textId="342DC645" w:rsidR="00084F5F" w:rsidRPr="0086500B" w:rsidRDefault="001B686A" w:rsidP="001B686A">
      <w:pPr>
        <w:pStyle w:val="Body"/>
        <w:spacing w:after="0"/>
        <w:rPr>
          <w:rFonts w:ascii="Arial" w:hAnsi="Arial" w:cs="Arial"/>
          <w:sz w:val="24"/>
          <w:szCs w:val="24"/>
        </w:rPr>
      </w:pPr>
      <w:r w:rsidRPr="0086500B">
        <w:rPr>
          <w:rFonts w:ascii="Arial" w:hAnsi="Arial" w:cs="Arial"/>
          <w:sz w:val="24"/>
          <w:szCs w:val="24"/>
        </w:rPr>
        <w:t>Profile 8: Central part of the 3rd compartment, extreme southern section</w:t>
      </w:r>
    </w:p>
    <w:p w14:paraId="1EF78FAD" w14:textId="3C27B1D7" w:rsidR="002A4866" w:rsidRPr="0086500B" w:rsidRDefault="002A4866" w:rsidP="002A4866">
      <w:pPr>
        <w:pStyle w:val="Body"/>
        <w:keepNext/>
        <w:spacing w:after="0"/>
        <w:rPr>
          <w:sz w:val="24"/>
          <w:szCs w:val="24"/>
        </w:rPr>
      </w:pPr>
    </w:p>
    <w:p w14:paraId="6AE29A51" w14:textId="23718F8A" w:rsidR="001B686A" w:rsidRPr="0086500B" w:rsidRDefault="007D62EB" w:rsidP="001B686A">
      <w:pPr>
        <w:pStyle w:val="Body"/>
        <w:spacing w:after="0"/>
        <w:rPr>
          <w:rFonts w:ascii="Arial" w:hAnsi="Arial" w:cs="Arial"/>
          <w:sz w:val="24"/>
          <w:szCs w:val="24"/>
        </w:rPr>
      </w:pPr>
      <w:r w:rsidRPr="0086500B">
        <w:rPr>
          <w:rFonts w:asciiTheme="minorHAnsi" w:eastAsiaTheme="minorHAnsi" w:hAnsiTheme="minorHAnsi" w:cstheme="minorBidi"/>
          <w:i/>
          <w:iCs/>
          <w:noProof/>
          <w:color w:val="1F497D" w:themeColor="text2"/>
          <w:sz w:val="24"/>
          <w:szCs w:val="24"/>
          <w:lang w:val="fr-FR"/>
        </w:rPr>
        <w:drawing>
          <wp:inline distT="0" distB="0" distL="0" distR="0" wp14:anchorId="1A56FCEA" wp14:editId="3FF48A7C">
            <wp:extent cx="5293995" cy="3465195"/>
            <wp:effectExtent l="0" t="0" r="1905" b="1905"/>
            <wp:docPr id="20582563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3995" cy="3465195"/>
                    </a:xfrm>
                    <a:prstGeom prst="rect">
                      <a:avLst/>
                    </a:prstGeom>
                    <a:noFill/>
                    <a:ln>
                      <a:noFill/>
                    </a:ln>
                  </pic:spPr>
                </pic:pic>
              </a:graphicData>
            </a:graphic>
          </wp:inline>
        </w:drawing>
      </w:r>
    </w:p>
    <w:p w14:paraId="469D1B95" w14:textId="77777777" w:rsidR="001B686A" w:rsidRPr="0086500B" w:rsidRDefault="001B686A" w:rsidP="001B686A">
      <w:pPr>
        <w:pStyle w:val="Body"/>
        <w:spacing w:after="0"/>
        <w:rPr>
          <w:rFonts w:ascii="Arial" w:hAnsi="Arial" w:cs="Arial"/>
          <w:sz w:val="24"/>
          <w:szCs w:val="24"/>
        </w:rPr>
      </w:pPr>
      <w:r w:rsidRPr="0086500B">
        <w:rPr>
          <w:rFonts w:ascii="Arial" w:hAnsi="Arial" w:cs="Arial"/>
          <w:b/>
          <w:bCs/>
          <w:sz w:val="24"/>
          <w:szCs w:val="24"/>
        </w:rPr>
        <w:t>Figure 2: Location of the beach profiles</w:t>
      </w:r>
    </w:p>
    <w:p w14:paraId="1437F793" w14:textId="6E68A5C5" w:rsidR="001B686A" w:rsidRPr="0086500B" w:rsidRDefault="001B686A" w:rsidP="001B686A">
      <w:pPr>
        <w:pStyle w:val="Body"/>
        <w:spacing w:after="0"/>
        <w:rPr>
          <w:rFonts w:ascii="Arial" w:hAnsi="Arial" w:cs="Arial"/>
          <w:b/>
          <w:bCs/>
          <w:sz w:val="24"/>
          <w:szCs w:val="24"/>
        </w:rPr>
      </w:pPr>
      <w:r w:rsidRPr="0086500B">
        <w:rPr>
          <w:rFonts w:ascii="Arial" w:hAnsi="Arial" w:cs="Arial"/>
          <w:b/>
          <w:bCs/>
          <w:sz w:val="24"/>
          <w:szCs w:val="24"/>
        </w:rPr>
        <w:t>2.4. Socio-economic Data Collection</w:t>
      </w:r>
    </w:p>
    <w:p w14:paraId="42219114" w14:textId="77777777"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 xml:space="preserve">Socio-economic information related to market gardening activities was collected through semi-structured interviews with market gardeners from four villages surrounding the AMP/SL: </w:t>
      </w:r>
      <w:proofErr w:type="spellStart"/>
      <w:r w:rsidRPr="0086500B">
        <w:rPr>
          <w:rFonts w:ascii="Arial" w:hAnsi="Arial" w:cs="Arial"/>
          <w:sz w:val="24"/>
          <w:szCs w:val="24"/>
        </w:rPr>
        <w:t>Diéle</w:t>
      </w:r>
      <w:proofErr w:type="spellEnd"/>
      <w:r w:rsidRPr="0086500B">
        <w:rPr>
          <w:rFonts w:ascii="Arial" w:hAnsi="Arial" w:cs="Arial"/>
          <w:sz w:val="24"/>
          <w:szCs w:val="24"/>
        </w:rPr>
        <w:t xml:space="preserve"> </w:t>
      </w:r>
      <w:proofErr w:type="spellStart"/>
      <w:r w:rsidRPr="0086500B">
        <w:rPr>
          <w:rFonts w:ascii="Arial" w:hAnsi="Arial" w:cs="Arial"/>
          <w:sz w:val="24"/>
          <w:szCs w:val="24"/>
        </w:rPr>
        <w:t>Mbame</w:t>
      </w:r>
      <w:proofErr w:type="spellEnd"/>
      <w:r w:rsidRPr="0086500B">
        <w:rPr>
          <w:rFonts w:ascii="Arial" w:hAnsi="Arial" w:cs="Arial"/>
          <w:sz w:val="24"/>
          <w:szCs w:val="24"/>
        </w:rPr>
        <w:t xml:space="preserve">, </w:t>
      </w:r>
      <w:proofErr w:type="spellStart"/>
      <w:r w:rsidRPr="0086500B">
        <w:rPr>
          <w:rFonts w:ascii="Arial" w:hAnsi="Arial" w:cs="Arial"/>
          <w:sz w:val="24"/>
          <w:szCs w:val="24"/>
        </w:rPr>
        <w:t>Keur</w:t>
      </w:r>
      <w:proofErr w:type="spellEnd"/>
      <w:r w:rsidRPr="0086500B">
        <w:rPr>
          <w:rFonts w:ascii="Arial" w:hAnsi="Arial" w:cs="Arial"/>
          <w:sz w:val="24"/>
          <w:szCs w:val="24"/>
        </w:rPr>
        <w:t xml:space="preserve"> </w:t>
      </w:r>
      <w:proofErr w:type="spellStart"/>
      <w:r w:rsidRPr="0086500B">
        <w:rPr>
          <w:rFonts w:ascii="Arial" w:hAnsi="Arial" w:cs="Arial"/>
          <w:sz w:val="24"/>
          <w:szCs w:val="24"/>
        </w:rPr>
        <w:t>Barka</w:t>
      </w:r>
      <w:proofErr w:type="spellEnd"/>
      <w:r w:rsidRPr="0086500B">
        <w:rPr>
          <w:rFonts w:ascii="Arial" w:hAnsi="Arial" w:cs="Arial"/>
          <w:sz w:val="24"/>
          <w:szCs w:val="24"/>
        </w:rPr>
        <w:t xml:space="preserve">, </w:t>
      </w:r>
      <w:proofErr w:type="spellStart"/>
      <w:r w:rsidRPr="0086500B">
        <w:rPr>
          <w:rFonts w:ascii="Arial" w:hAnsi="Arial" w:cs="Arial"/>
          <w:sz w:val="24"/>
          <w:szCs w:val="24"/>
        </w:rPr>
        <w:t>Mambara</w:t>
      </w:r>
      <w:proofErr w:type="spellEnd"/>
      <w:r w:rsidRPr="0086500B">
        <w:rPr>
          <w:rFonts w:ascii="Arial" w:hAnsi="Arial" w:cs="Arial"/>
          <w:sz w:val="24"/>
          <w:szCs w:val="24"/>
        </w:rPr>
        <w:t xml:space="preserve">, and </w:t>
      </w:r>
      <w:proofErr w:type="spellStart"/>
      <w:r w:rsidRPr="0086500B">
        <w:rPr>
          <w:rFonts w:ascii="Arial" w:hAnsi="Arial" w:cs="Arial"/>
          <w:sz w:val="24"/>
          <w:szCs w:val="24"/>
        </w:rPr>
        <w:t>Doun</w:t>
      </w:r>
      <w:proofErr w:type="spellEnd"/>
      <w:r w:rsidRPr="0086500B">
        <w:rPr>
          <w:rFonts w:ascii="Arial" w:hAnsi="Arial" w:cs="Arial"/>
          <w:sz w:val="24"/>
          <w:szCs w:val="24"/>
        </w:rPr>
        <w:t xml:space="preserve"> Baba Diéye. These villages were selected because the majority of market gardeners operating in the northern part of the Langue de </w:t>
      </w:r>
      <w:proofErr w:type="spellStart"/>
      <w:r w:rsidRPr="0086500B">
        <w:rPr>
          <w:rFonts w:ascii="Arial" w:hAnsi="Arial" w:cs="Arial"/>
          <w:sz w:val="24"/>
          <w:szCs w:val="24"/>
        </w:rPr>
        <w:t>Barbarie</w:t>
      </w:r>
      <w:proofErr w:type="spellEnd"/>
      <w:r w:rsidRPr="0086500B">
        <w:rPr>
          <w:rFonts w:ascii="Arial" w:hAnsi="Arial" w:cs="Arial"/>
          <w:sz w:val="24"/>
          <w:szCs w:val="24"/>
        </w:rPr>
        <w:t xml:space="preserve"> originate from these localities, as the AMP area itself is uninhabited.</w:t>
      </w:r>
    </w:p>
    <w:p w14:paraId="1CC77B78" w14:textId="3B276DC9" w:rsidR="001B686A" w:rsidRPr="0086500B" w:rsidRDefault="001B686A" w:rsidP="001B686A">
      <w:pPr>
        <w:pStyle w:val="Body"/>
        <w:spacing w:after="0"/>
        <w:rPr>
          <w:rFonts w:ascii="Arial" w:hAnsi="Arial" w:cs="Arial"/>
          <w:b/>
          <w:bCs/>
          <w:sz w:val="24"/>
          <w:szCs w:val="24"/>
        </w:rPr>
      </w:pPr>
      <w:r w:rsidRPr="0086500B">
        <w:rPr>
          <w:rFonts w:ascii="Arial" w:hAnsi="Arial" w:cs="Arial"/>
          <w:b/>
          <w:bCs/>
          <w:sz w:val="24"/>
          <w:szCs w:val="24"/>
        </w:rPr>
        <w:t>2.5. Sampling Method</w:t>
      </w:r>
    </w:p>
    <w:p w14:paraId="2BD85DD9" w14:textId="77777777"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t>Given the limited number of market gardeners in these villages, a complete census survey was conducted among the 152 market gardeners identified by the AMP in 2021 (Table 1).</w:t>
      </w:r>
    </w:p>
    <w:p w14:paraId="26950A9A" w14:textId="77777777" w:rsidR="001B686A" w:rsidRPr="0086500B" w:rsidRDefault="001B686A" w:rsidP="001B686A">
      <w:pPr>
        <w:pStyle w:val="Body"/>
        <w:spacing w:after="0"/>
        <w:rPr>
          <w:rFonts w:ascii="Arial" w:hAnsi="Arial" w:cs="Arial"/>
          <w:b/>
          <w:bCs/>
          <w:sz w:val="24"/>
          <w:szCs w:val="24"/>
        </w:rPr>
      </w:pPr>
      <w:r w:rsidRPr="0086500B">
        <w:rPr>
          <w:rFonts w:ascii="Arial" w:hAnsi="Arial" w:cs="Arial"/>
          <w:b/>
          <w:bCs/>
          <w:sz w:val="24"/>
          <w:szCs w:val="24"/>
        </w:rPr>
        <w:t>Table 1: Distribution of surveyed respondents by village</w:t>
      </w:r>
    </w:p>
    <w:tbl>
      <w:tblPr>
        <w:tblStyle w:val="TableGrid"/>
        <w:tblW w:w="8425" w:type="dxa"/>
        <w:jc w:val="center"/>
        <w:tblLook w:val="04A0" w:firstRow="1" w:lastRow="0" w:firstColumn="1" w:lastColumn="0" w:noHBand="0" w:noVBand="1"/>
      </w:tblPr>
      <w:tblGrid>
        <w:gridCol w:w="1479"/>
        <w:gridCol w:w="1984"/>
        <w:gridCol w:w="1560"/>
        <w:gridCol w:w="1275"/>
        <w:gridCol w:w="1276"/>
        <w:gridCol w:w="851"/>
      </w:tblGrid>
      <w:tr w:rsidR="001B686A" w:rsidRPr="0086500B" w14:paraId="610404AD" w14:textId="77777777" w:rsidTr="00251759">
        <w:trPr>
          <w:jc w:val="center"/>
        </w:trPr>
        <w:tc>
          <w:tcPr>
            <w:tcW w:w="1479" w:type="dxa"/>
          </w:tcPr>
          <w:p w14:paraId="5C197161" w14:textId="77777777" w:rsidR="001B686A" w:rsidRPr="0086500B" w:rsidRDefault="001B686A" w:rsidP="005B029C">
            <w:pPr>
              <w:spacing w:line="360" w:lineRule="auto"/>
              <w:jc w:val="center"/>
              <w:rPr>
                <w:rFonts w:ascii="Arial" w:hAnsi="Arial" w:cs="Arial"/>
                <w:b/>
                <w:bCs/>
                <w:sz w:val="24"/>
                <w:szCs w:val="24"/>
              </w:rPr>
            </w:pPr>
            <w:r w:rsidRPr="0086500B">
              <w:rPr>
                <w:rFonts w:ascii="Arial" w:hAnsi="Arial" w:cs="Arial"/>
                <w:b/>
                <w:bCs/>
                <w:sz w:val="24"/>
                <w:szCs w:val="24"/>
              </w:rPr>
              <w:t>Village</w:t>
            </w:r>
          </w:p>
        </w:tc>
        <w:tc>
          <w:tcPr>
            <w:tcW w:w="1984" w:type="dxa"/>
          </w:tcPr>
          <w:p w14:paraId="571F8F19" w14:textId="77777777" w:rsidR="001B686A" w:rsidRPr="0086500B" w:rsidRDefault="001B686A" w:rsidP="005B029C">
            <w:pPr>
              <w:spacing w:line="360" w:lineRule="auto"/>
              <w:jc w:val="center"/>
              <w:rPr>
                <w:rFonts w:ascii="Arial" w:hAnsi="Arial" w:cs="Arial"/>
                <w:sz w:val="24"/>
                <w:szCs w:val="24"/>
              </w:rPr>
            </w:pPr>
            <w:proofErr w:type="spellStart"/>
            <w:r w:rsidRPr="0086500B">
              <w:rPr>
                <w:rFonts w:ascii="Arial" w:hAnsi="Arial" w:cs="Arial"/>
                <w:sz w:val="24"/>
                <w:szCs w:val="24"/>
              </w:rPr>
              <w:t>Diéle</w:t>
            </w:r>
            <w:proofErr w:type="spellEnd"/>
            <w:r w:rsidRPr="0086500B">
              <w:rPr>
                <w:rFonts w:ascii="Arial" w:hAnsi="Arial" w:cs="Arial"/>
                <w:sz w:val="24"/>
                <w:szCs w:val="24"/>
              </w:rPr>
              <w:t xml:space="preserve"> </w:t>
            </w:r>
            <w:proofErr w:type="spellStart"/>
            <w:r w:rsidRPr="0086500B">
              <w:rPr>
                <w:rFonts w:ascii="Arial" w:hAnsi="Arial" w:cs="Arial"/>
                <w:sz w:val="24"/>
                <w:szCs w:val="24"/>
              </w:rPr>
              <w:t>Mbam</w:t>
            </w:r>
            <w:proofErr w:type="spellEnd"/>
          </w:p>
        </w:tc>
        <w:tc>
          <w:tcPr>
            <w:tcW w:w="1560" w:type="dxa"/>
          </w:tcPr>
          <w:p w14:paraId="70C18B65" w14:textId="1C06B0BD" w:rsidR="001B686A" w:rsidRPr="0086500B" w:rsidRDefault="001B686A" w:rsidP="005B029C">
            <w:pPr>
              <w:spacing w:line="360" w:lineRule="auto"/>
              <w:jc w:val="center"/>
              <w:rPr>
                <w:rFonts w:ascii="Arial" w:hAnsi="Arial" w:cs="Arial"/>
                <w:sz w:val="24"/>
                <w:szCs w:val="24"/>
              </w:rPr>
            </w:pPr>
            <w:proofErr w:type="spellStart"/>
            <w:r w:rsidRPr="0086500B">
              <w:rPr>
                <w:rFonts w:ascii="Arial" w:hAnsi="Arial" w:cs="Arial"/>
                <w:sz w:val="24"/>
                <w:szCs w:val="24"/>
              </w:rPr>
              <w:t>Doun</w:t>
            </w:r>
            <w:proofErr w:type="spellEnd"/>
            <w:r w:rsidR="00251759" w:rsidRPr="0086500B">
              <w:rPr>
                <w:rFonts w:ascii="Arial" w:hAnsi="Arial" w:cs="Arial"/>
                <w:sz w:val="24"/>
                <w:szCs w:val="24"/>
              </w:rPr>
              <w:t xml:space="preserve"> </w:t>
            </w:r>
            <w:r w:rsidRPr="0086500B">
              <w:rPr>
                <w:rFonts w:ascii="Arial" w:hAnsi="Arial" w:cs="Arial"/>
                <w:sz w:val="24"/>
                <w:szCs w:val="24"/>
              </w:rPr>
              <w:t xml:space="preserve">B. </w:t>
            </w:r>
            <w:proofErr w:type="spellStart"/>
            <w:r w:rsidRPr="0086500B">
              <w:rPr>
                <w:rFonts w:ascii="Arial" w:hAnsi="Arial" w:cs="Arial"/>
                <w:sz w:val="24"/>
                <w:szCs w:val="24"/>
              </w:rPr>
              <w:t>Diéye</w:t>
            </w:r>
            <w:proofErr w:type="spellEnd"/>
          </w:p>
        </w:tc>
        <w:tc>
          <w:tcPr>
            <w:tcW w:w="1275" w:type="dxa"/>
          </w:tcPr>
          <w:p w14:paraId="4C0D8F50" w14:textId="77777777" w:rsidR="001B686A" w:rsidRPr="0086500B" w:rsidRDefault="001B686A" w:rsidP="005B029C">
            <w:pPr>
              <w:spacing w:line="360" w:lineRule="auto"/>
              <w:jc w:val="center"/>
              <w:rPr>
                <w:rFonts w:ascii="Arial" w:hAnsi="Arial" w:cs="Arial"/>
                <w:sz w:val="24"/>
                <w:szCs w:val="24"/>
              </w:rPr>
            </w:pPr>
            <w:proofErr w:type="spellStart"/>
            <w:r w:rsidRPr="0086500B">
              <w:rPr>
                <w:rFonts w:ascii="Arial" w:hAnsi="Arial" w:cs="Arial"/>
                <w:sz w:val="24"/>
                <w:szCs w:val="24"/>
              </w:rPr>
              <w:t>Mambara</w:t>
            </w:r>
            <w:proofErr w:type="spellEnd"/>
          </w:p>
        </w:tc>
        <w:tc>
          <w:tcPr>
            <w:tcW w:w="1276" w:type="dxa"/>
          </w:tcPr>
          <w:p w14:paraId="3F3FC003" w14:textId="77777777" w:rsidR="001B686A" w:rsidRPr="0086500B" w:rsidRDefault="001B686A" w:rsidP="005B029C">
            <w:pPr>
              <w:spacing w:line="360" w:lineRule="auto"/>
              <w:jc w:val="center"/>
              <w:rPr>
                <w:rFonts w:ascii="Arial" w:hAnsi="Arial" w:cs="Arial"/>
                <w:sz w:val="24"/>
                <w:szCs w:val="24"/>
              </w:rPr>
            </w:pPr>
            <w:r w:rsidRPr="0086500B">
              <w:rPr>
                <w:rFonts w:ascii="Arial" w:hAnsi="Arial" w:cs="Arial"/>
                <w:sz w:val="24"/>
                <w:szCs w:val="24"/>
              </w:rPr>
              <w:t>Keur Barka</w:t>
            </w:r>
          </w:p>
        </w:tc>
        <w:tc>
          <w:tcPr>
            <w:tcW w:w="851" w:type="dxa"/>
          </w:tcPr>
          <w:p w14:paraId="0BB605AA" w14:textId="77777777" w:rsidR="001B686A" w:rsidRPr="0086500B" w:rsidRDefault="001B686A" w:rsidP="005B029C">
            <w:pPr>
              <w:spacing w:line="360" w:lineRule="auto"/>
              <w:jc w:val="center"/>
              <w:rPr>
                <w:rFonts w:ascii="Arial" w:hAnsi="Arial" w:cs="Arial"/>
                <w:b/>
                <w:bCs/>
                <w:sz w:val="24"/>
                <w:szCs w:val="24"/>
              </w:rPr>
            </w:pPr>
            <w:r w:rsidRPr="0086500B">
              <w:rPr>
                <w:rFonts w:ascii="Arial" w:hAnsi="Arial" w:cs="Arial"/>
                <w:b/>
                <w:bCs/>
                <w:sz w:val="24"/>
                <w:szCs w:val="24"/>
              </w:rPr>
              <w:t>Total</w:t>
            </w:r>
          </w:p>
        </w:tc>
      </w:tr>
      <w:tr w:rsidR="001B686A" w:rsidRPr="0086500B" w14:paraId="029D7B16" w14:textId="77777777" w:rsidTr="00251759">
        <w:trPr>
          <w:trHeight w:val="427"/>
          <w:jc w:val="center"/>
        </w:trPr>
        <w:tc>
          <w:tcPr>
            <w:tcW w:w="1479" w:type="dxa"/>
          </w:tcPr>
          <w:p w14:paraId="72344A58" w14:textId="0A5DB0B6" w:rsidR="001B686A" w:rsidRPr="0086500B" w:rsidRDefault="001B686A" w:rsidP="005B029C">
            <w:pPr>
              <w:spacing w:line="360" w:lineRule="auto"/>
              <w:rPr>
                <w:rFonts w:ascii="Arial" w:hAnsi="Arial" w:cs="Arial"/>
                <w:b/>
                <w:bCs/>
                <w:sz w:val="24"/>
                <w:szCs w:val="24"/>
              </w:rPr>
            </w:pPr>
            <w:r w:rsidRPr="0086500B">
              <w:rPr>
                <w:rFonts w:ascii="Arial" w:hAnsi="Arial" w:cs="Arial"/>
                <w:b/>
                <w:bCs/>
                <w:sz w:val="24"/>
                <w:szCs w:val="24"/>
              </w:rPr>
              <w:t>Market gardening</w:t>
            </w:r>
          </w:p>
        </w:tc>
        <w:tc>
          <w:tcPr>
            <w:tcW w:w="1984" w:type="dxa"/>
          </w:tcPr>
          <w:p w14:paraId="5B150894" w14:textId="77777777" w:rsidR="001B686A" w:rsidRPr="0086500B" w:rsidRDefault="001B686A" w:rsidP="005B029C">
            <w:pPr>
              <w:spacing w:line="360" w:lineRule="auto"/>
              <w:jc w:val="center"/>
              <w:rPr>
                <w:rFonts w:ascii="Arial" w:hAnsi="Arial" w:cs="Arial"/>
                <w:sz w:val="24"/>
                <w:szCs w:val="24"/>
              </w:rPr>
            </w:pPr>
            <w:r w:rsidRPr="0086500B">
              <w:rPr>
                <w:rFonts w:ascii="Arial" w:hAnsi="Arial" w:cs="Arial"/>
                <w:sz w:val="24"/>
                <w:szCs w:val="24"/>
              </w:rPr>
              <w:t>83</w:t>
            </w:r>
          </w:p>
        </w:tc>
        <w:tc>
          <w:tcPr>
            <w:tcW w:w="1560" w:type="dxa"/>
          </w:tcPr>
          <w:p w14:paraId="50F70449" w14:textId="77777777" w:rsidR="001B686A" w:rsidRPr="0086500B" w:rsidRDefault="001B686A" w:rsidP="005B029C">
            <w:pPr>
              <w:spacing w:line="360" w:lineRule="auto"/>
              <w:jc w:val="center"/>
              <w:rPr>
                <w:rFonts w:ascii="Arial" w:hAnsi="Arial" w:cs="Arial"/>
                <w:sz w:val="24"/>
                <w:szCs w:val="24"/>
              </w:rPr>
            </w:pPr>
            <w:r w:rsidRPr="0086500B">
              <w:rPr>
                <w:rFonts w:ascii="Arial" w:hAnsi="Arial" w:cs="Arial"/>
                <w:sz w:val="24"/>
                <w:szCs w:val="24"/>
              </w:rPr>
              <w:t>50</w:t>
            </w:r>
          </w:p>
        </w:tc>
        <w:tc>
          <w:tcPr>
            <w:tcW w:w="1275" w:type="dxa"/>
          </w:tcPr>
          <w:p w14:paraId="2F6C3B4A" w14:textId="77777777" w:rsidR="001B686A" w:rsidRPr="0086500B" w:rsidRDefault="001B686A" w:rsidP="005B029C">
            <w:pPr>
              <w:spacing w:line="360" w:lineRule="auto"/>
              <w:jc w:val="center"/>
              <w:rPr>
                <w:rFonts w:ascii="Arial" w:hAnsi="Arial" w:cs="Arial"/>
                <w:sz w:val="24"/>
                <w:szCs w:val="24"/>
              </w:rPr>
            </w:pPr>
            <w:r w:rsidRPr="0086500B">
              <w:rPr>
                <w:rFonts w:ascii="Arial" w:hAnsi="Arial" w:cs="Arial"/>
                <w:sz w:val="24"/>
                <w:szCs w:val="24"/>
              </w:rPr>
              <w:t>2</w:t>
            </w:r>
          </w:p>
        </w:tc>
        <w:tc>
          <w:tcPr>
            <w:tcW w:w="1276" w:type="dxa"/>
          </w:tcPr>
          <w:p w14:paraId="662B4665" w14:textId="77777777" w:rsidR="001B686A" w:rsidRPr="0086500B" w:rsidRDefault="001B686A" w:rsidP="005B029C">
            <w:pPr>
              <w:spacing w:line="360" w:lineRule="auto"/>
              <w:jc w:val="center"/>
              <w:rPr>
                <w:rFonts w:ascii="Arial" w:hAnsi="Arial" w:cs="Arial"/>
                <w:sz w:val="24"/>
                <w:szCs w:val="24"/>
              </w:rPr>
            </w:pPr>
            <w:r w:rsidRPr="0086500B">
              <w:rPr>
                <w:rFonts w:ascii="Arial" w:hAnsi="Arial" w:cs="Arial"/>
                <w:sz w:val="24"/>
                <w:szCs w:val="24"/>
              </w:rPr>
              <w:t>17</w:t>
            </w:r>
          </w:p>
        </w:tc>
        <w:tc>
          <w:tcPr>
            <w:tcW w:w="851" w:type="dxa"/>
          </w:tcPr>
          <w:p w14:paraId="25387998" w14:textId="77777777" w:rsidR="001B686A" w:rsidRPr="0086500B" w:rsidRDefault="001B686A" w:rsidP="005B029C">
            <w:pPr>
              <w:spacing w:line="360" w:lineRule="auto"/>
              <w:jc w:val="center"/>
              <w:rPr>
                <w:rFonts w:ascii="Arial" w:hAnsi="Arial" w:cs="Arial"/>
                <w:b/>
                <w:bCs/>
                <w:sz w:val="24"/>
                <w:szCs w:val="24"/>
              </w:rPr>
            </w:pPr>
            <w:r w:rsidRPr="0086500B">
              <w:rPr>
                <w:rFonts w:ascii="Arial" w:hAnsi="Arial" w:cs="Arial"/>
                <w:b/>
                <w:bCs/>
                <w:sz w:val="24"/>
                <w:szCs w:val="24"/>
              </w:rPr>
              <w:t>152</w:t>
            </w:r>
          </w:p>
        </w:tc>
      </w:tr>
    </w:tbl>
    <w:p w14:paraId="14B2DA3C" w14:textId="77777777" w:rsidR="001B686A" w:rsidRPr="0086500B" w:rsidRDefault="001B686A" w:rsidP="001B686A">
      <w:pPr>
        <w:pStyle w:val="Body"/>
        <w:spacing w:after="0"/>
        <w:rPr>
          <w:rFonts w:ascii="Arial" w:hAnsi="Arial" w:cs="Arial"/>
          <w:sz w:val="24"/>
          <w:szCs w:val="24"/>
        </w:rPr>
      </w:pPr>
      <w:r w:rsidRPr="0086500B">
        <w:rPr>
          <w:rFonts w:ascii="Arial" w:hAnsi="Arial" w:cs="Arial"/>
          <w:sz w:val="24"/>
          <w:szCs w:val="24"/>
        </w:rPr>
        <w:lastRenderedPageBreak/>
        <w:t>The data collected were both quantitative (yields, unit prices, number of producers) and qualitative (descriptive observations derived from interviews).</w:t>
      </w:r>
    </w:p>
    <w:p w14:paraId="2C6AF4CF" w14:textId="77777777" w:rsidR="001B686A" w:rsidRPr="0086500B" w:rsidRDefault="001B686A" w:rsidP="001B686A">
      <w:pPr>
        <w:pStyle w:val="Body"/>
        <w:spacing w:after="0"/>
        <w:rPr>
          <w:rFonts w:ascii="Arial" w:hAnsi="Arial" w:cs="Arial"/>
          <w:b/>
          <w:bCs/>
          <w:sz w:val="24"/>
          <w:szCs w:val="24"/>
        </w:rPr>
      </w:pPr>
      <w:r w:rsidRPr="0086500B">
        <w:rPr>
          <w:rFonts w:ascii="Arial" w:hAnsi="Arial" w:cs="Arial"/>
          <w:b/>
          <w:bCs/>
          <w:sz w:val="24"/>
          <w:szCs w:val="24"/>
        </w:rPr>
        <w:t>Data Processing and Analysis Tools</w:t>
      </w:r>
    </w:p>
    <w:p w14:paraId="1E3E67D7" w14:textId="77777777" w:rsidR="001B686A" w:rsidRPr="0086500B" w:rsidRDefault="001B686A" w:rsidP="001B686A">
      <w:pPr>
        <w:pStyle w:val="Body"/>
        <w:numPr>
          <w:ilvl w:val="0"/>
          <w:numId w:val="31"/>
        </w:numPr>
        <w:spacing w:after="0"/>
        <w:rPr>
          <w:rFonts w:ascii="Arial" w:hAnsi="Arial" w:cs="Arial"/>
          <w:sz w:val="24"/>
          <w:szCs w:val="24"/>
        </w:rPr>
      </w:pPr>
      <w:r w:rsidRPr="0086500B">
        <w:rPr>
          <w:rFonts w:ascii="Arial" w:hAnsi="Arial" w:cs="Arial"/>
          <w:b/>
          <w:bCs/>
          <w:sz w:val="24"/>
          <w:szCs w:val="24"/>
        </w:rPr>
        <w:t>Microsoft Excel:</w:t>
      </w:r>
      <w:r w:rsidRPr="0086500B">
        <w:rPr>
          <w:rFonts w:ascii="Arial" w:hAnsi="Arial" w:cs="Arial"/>
          <w:sz w:val="24"/>
          <w:szCs w:val="24"/>
        </w:rPr>
        <w:t xml:space="preserve"> used for data entry, processing, and organization of quantitative data, as well as for generating graphs and statistical tables.</w:t>
      </w:r>
    </w:p>
    <w:p w14:paraId="5B227740" w14:textId="77777777" w:rsidR="001B686A" w:rsidRPr="0086500B" w:rsidRDefault="001B686A" w:rsidP="001B686A">
      <w:pPr>
        <w:pStyle w:val="Body"/>
        <w:numPr>
          <w:ilvl w:val="0"/>
          <w:numId w:val="31"/>
        </w:numPr>
        <w:spacing w:after="0"/>
        <w:rPr>
          <w:rFonts w:ascii="Arial" w:hAnsi="Arial" w:cs="Arial"/>
          <w:sz w:val="24"/>
          <w:szCs w:val="24"/>
        </w:rPr>
      </w:pPr>
      <w:r w:rsidRPr="0086500B">
        <w:rPr>
          <w:rFonts w:ascii="Arial" w:hAnsi="Arial" w:cs="Arial"/>
          <w:b/>
          <w:bCs/>
          <w:sz w:val="24"/>
          <w:szCs w:val="24"/>
        </w:rPr>
        <w:t>QGIS and Google Earth:</w:t>
      </w:r>
      <w:r w:rsidRPr="0086500B">
        <w:rPr>
          <w:rFonts w:ascii="Arial" w:hAnsi="Arial" w:cs="Arial"/>
          <w:sz w:val="24"/>
          <w:szCs w:val="24"/>
        </w:rPr>
        <w:t xml:space="preserve"> used for mapping and spatial analysis of beach profiles and the areas where soft (nature-based) solutions were implemented.</w:t>
      </w:r>
    </w:p>
    <w:p w14:paraId="5445AB6A" w14:textId="77777777" w:rsidR="001B686A" w:rsidRPr="0086500B" w:rsidRDefault="001B686A" w:rsidP="001B686A">
      <w:pPr>
        <w:pStyle w:val="Body"/>
        <w:numPr>
          <w:ilvl w:val="0"/>
          <w:numId w:val="31"/>
        </w:numPr>
        <w:spacing w:after="0"/>
        <w:rPr>
          <w:rFonts w:ascii="Arial" w:hAnsi="Arial" w:cs="Arial"/>
          <w:sz w:val="24"/>
          <w:szCs w:val="24"/>
        </w:rPr>
      </w:pPr>
      <w:r w:rsidRPr="0086500B">
        <w:rPr>
          <w:rFonts w:ascii="Arial" w:hAnsi="Arial" w:cs="Arial"/>
          <w:b/>
          <w:bCs/>
          <w:sz w:val="24"/>
          <w:szCs w:val="24"/>
        </w:rPr>
        <w:t>Sphinx:</w:t>
      </w:r>
      <w:r w:rsidRPr="0086500B">
        <w:rPr>
          <w:rFonts w:ascii="Arial" w:hAnsi="Arial" w:cs="Arial"/>
          <w:sz w:val="24"/>
          <w:szCs w:val="24"/>
        </w:rPr>
        <w:t xml:space="preserve"> used for processing and analyzing socio-economic survey data, enabling the extraction of both quantitative and qualitative information and the generation of descriptive and cross-tabulated statistics.</w:t>
      </w:r>
    </w:p>
    <w:p w14:paraId="597D77C2" w14:textId="77777777" w:rsidR="001B686A" w:rsidRPr="0086500B" w:rsidRDefault="001B686A" w:rsidP="001B686A">
      <w:pPr>
        <w:pStyle w:val="Body"/>
        <w:spacing w:after="0"/>
        <w:rPr>
          <w:rFonts w:ascii="Arial" w:hAnsi="Arial" w:cs="Arial"/>
          <w:sz w:val="24"/>
          <w:szCs w:val="24"/>
        </w:rPr>
      </w:pPr>
    </w:p>
    <w:p w14:paraId="3E1AC79F" w14:textId="6113AECD" w:rsidR="00790ADA" w:rsidRPr="0086500B" w:rsidRDefault="00000F8F" w:rsidP="001B686A">
      <w:pPr>
        <w:pStyle w:val="Head1"/>
        <w:spacing w:after="0"/>
        <w:jc w:val="both"/>
        <w:rPr>
          <w:rFonts w:ascii="Arial" w:hAnsi="Arial" w:cs="Arial"/>
          <w:sz w:val="24"/>
          <w:szCs w:val="24"/>
        </w:rPr>
      </w:pPr>
      <w:r w:rsidRPr="0086500B">
        <w:rPr>
          <w:rFonts w:ascii="Arial" w:hAnsi="Arial" w:cs="Arial"/>
          <w:sz w:val="24"/>
          <w:szCs w:val="24"/>
        </w:rPr>
        <w:t>3</w:t>
      </w:r>
      <w:r w:rsidR="00902823" w:rsidRPr="0086500B">
        <w:rPr>
          <w:rFonts w:ascii="Arial" w:hAnsi="Arial" w:cs="Arial"/>
          <w:sz w:val="24"/>
          <w:szCs w:val="24"/>
        </w:rPr>
        <w:t xml:space="preserve">. </w:t>
      </w:r>
      <w:r w:rsidRPr="0086500B">
        <w:rPr>
          <w:rFonts w:ascii="Arial" w:hAnsi="Arial" w:cs="Arial"/>
          <w:sz w:val="24"/>
          <w:szCs w:val="24"/>
        </w:rPr>
        <w:t xml:space="preserve">results </w:t>
      </w:r>
      <w:r w:rsidR="0058065A" w:rsidRPr="0086500B">
        <w:rPr>
          <w:rFonts w:ascii="Arial" w:hAnsi="Arial" w:cs="Arial"/>
          <w:sz w:val="24"/>
          <w:szCs w:val="24"/>
        </w:rPr>
        <w:t>AND DISCUSSION</w:t>
      </w:r>
    </w:p>
    <w:p w14:paraId="6BFC3E94" w14:textId="717934D6" w:rsidR="0058065A" w:rsidRPr="0086500B" w:rsidRDefault="0058065A" w:rsidP="001B686A">
      <w:pPr>
        <w:pStyle w:val="Head1"/>
        <w:spacing w:after="0"/>
        <w:jc w:val="both"/>
        <w:rPr>
          <w:rFonts w:ascii="Arial" w:hAnsi="Arial" w:cs="Arial"/>
          <w:sz w:val="24"/>
          <w:szCs w:val="24"/>
        </w:rPr>
      </w:pPr>
      <w:r w:rsidRPr="0086500B">
        <w:rPr>
          <w:rFonts w:ascii="Arial" w:hAnsi="Arial" w:cs="Arial"/>
          <w:sz w:val="24"/>
          <w:szCs w:val="24"/>
        </w:rPr>
        <w:t xml:space="preserve">3.1. RESULTS </w:t>
      </w:r>
    </w:p>
    <w:p w14:paraId="0956E750" w14:textId="51D1F69D" w:rsidR="001E289A" w:rsidRPr="0086500B" w:rsidRDefault="001E289A" w:rsidP="001E289A">
      <w:pPr>
        <w:pStyle w:val="Body"/>
        <w:spacing w:after="0"/>
        <w:jc w:val="left"/>
        <w:rPr>
          <w:rFonts w:ascii="Arial" w:hAnsi="Arial" w:cs="Arial"/>
          <w:sz w:val="24"/>
          <w:szCs w:val="24"/>
        </w:rPr>
      </w:pPr>
      <w:r w:rsidRPr="0086500B">
        <w:rPr>
          <w:rFonts w:ascii="Arial" w:hAnsi="Arial" w:cs="Arial"/>
          <w:b/>
          <w:bCs/>
          <w:sz w:val="24"/>
          <w:szCs w:val="24"/>
        </w:rPr>
        <w:t>3.1.</w:t>
      </w:r>
      <w:r w:rsidR="0058065A" w:rsidRPr="0086500B">
        <w:rPr>
          <w:rFonts w:ascii="Arial" w:hAnsi="Arial" w:cs="Arial"/>
          <w:b/>
          <w:bCs/>
          <w:sz w:val="24"/>
          <w:szCs w:val="24"/>
        </w:rPr>
        <w:t>1.</w:t>
      </w:r>
      <w:r w:rsidRPr="0086500B">
        <w:rPr>
          <w:rFonts w:ascii="Arial" w:hAnsi="Arial" w:cs="Arial"/>
          <w:b/>
          <w:bCs/>
          <w:sz w:val="24"/>
          <w:szCs w:val="24"/>
        </w:rPr>
        <w:t xml:space="preserve"> Effects of soft solutions on the coastline</w:t>
      </w:r>
      <w:r w:rsidRPr="0086500B">
        <w:rPr>
          <w:rFonts w:ascii="Arial" w:hAnsi="Arial" w:cs="Arial"/>
          <w:sz w:val="24"/>
          <w:szCs w:val="24"/>
        </w:rPr>
        <w:br/>
        <w:t xml:space="preserve">Figure </w:t>
      </w:r>
      <w:r w:rsidR="000E0435">
        <w:rPr>
          <w:rFonts w:ascii="Arial" w:hAnsi="Arial" w:cs="Arial"/>
          <w:sz w:val="24"/>
          <w:szCs w:val="24"/>
        </w:rPr>
        <w:t>3</w:t>
      </w:r>
      <w:r w:rsidRPr="0086500B">
        <w:rPr>
          <w:rFonts w:ascii="Arial" w:hAnsi="Arial" w:cs="Arial"/>
          <w:sz w:val="24"/>
          <w:szCs w:val="24"/>
        </w:rPr>
        <w:t xml:space="preserve"> illustrates the effects of soft solutions on the coastline. It shows:</w:t>
      </w:r>
    </w:p>
    <w:p w14:paraId="65F4A2BB" w14:textId="77777777" w:rsidR="001E289A" w:rsidRPr="0086500B" w:rsidRDefault="001E289A" w:rsidP="001E289A">
      <w:pPr>
        <w:pStyle w:val="Body"/>
        <w:numPr>
          <w:ilvl w:val="0"/>
          <w:numId w:val="32"/>
        </w:numPr>
        <w:spacing w:after="0"/>
        <w:rPr>
          <w:rFonts w:ascii="Arial" w:hAnsi="Arial" w:cs="Arial"/>
          <w:sz w:val="24"/>
          <w:szCs w:val="24"/>
        </w:rPr>
      </w:pPr>
      <w:r w:rsidRPr="0086500B">
        <w:rPr>
          <w:rFonts w:ascii="Arial" w:hAnsi="Arial" w:cs="Arial"/>
          <w:sz w:val="24"/>
          <w:szCs w:val="24"/>
        </w:rPr>
        <w:t>an initial decreasing trend in beach length, followed by an increase up to 117.5 m in August 2022;</w:t>
      </w:r>
    </w:p>
    <w:p w14:paraId="7513C263" w14:textId="77777777" w:rsidR="001E289A" w:rsidRPr="0086500B" w:rsidRDefault="001E289A" w:rsidP="001E289A">
      <w:pPr>
        <w:pStyle w:val="Body"/>
        <w:numPr>
          <w:ilvl w:val="0"/>
          <w:numId w:val="32"/>
        </w:numPr>
        <w:spacing w:after="0"/>
        <w:rPr>
          <w:rFonts w:ascii="Arial" w:hAnsi="Arial" w:cs="Arial"/>
          <w:sz w:val="24"/>
          <w:szCs w:val="24"/>
        </w:rPr>
      </w:pPr>
      <w:r w:rsidRPr="0086500B">
        <w:rPr>
          <w:rFonts w:ascii="Arial" w:hAnsi="Arial" w:cs="Arial"/>
          <w:sz w:val="24"/>
          <w:szCs w:val="24"/>
        </w:rPr>
        <w:t>then a sharp drop to 3 m in October 2022, before a new phase of growth;</w:t>
      </w:r>
    </w:p>
    <w:p w14:paraId="121543BB" w14:textId="77777777" w:rsidR="001E289A" w:rsidRPr="0086500B" w:rsidRDefault="001E289A" w:rsidP="001E289A">
      <w:pPr>
        <w:pStyle w:val="Body"/>
        <w:numPr>
          <w:ilvl w:val="0"/>
          <w:numId w:val="32"/>
        </w:numPr>
        <w:spacing w:after="0"/>
        <w:rPr>
          <w:rFonts w:ascii="Arial" w:hAnsi="Arial" w:cs="Arial"/>
          <w:sz w:val="24"/>
          <w:szCs w:val="24"/>
        </w:rPr>
      </w:pPr>
      <w:r w:rsidRPr="0086500B">
        <w:rPr>
          <w:rFonts w:ascii="Arial" w:hAnsi="Arial" w:cs="Arial"/>
          <w:sz w:val="24"/>
          <w:szCs w:val="24"/>
        </w:rPr>
        <w:t>finally, dune length (</w:t>
      </w:r>
      <w:proofErr w:type="spellStart"/>
      <w:r w:rsidRPr="0086500B">
        <w:rPr>
          <w:rFonts w:ascii="Arial" w:hAnsi="Arial" w:cs="Arial"/>
          <w:sz w:val="24"/>
          <w:szCs w:val="24"/>
        </w:rPr>
        <w:t>Ldune</w:t>
      </w:r>
      <w:proofErr w:type="spellEnd"/>
      <w:r w:rsidRPr="0086500B">
        <w:rPr>
          <w:rFonts w:ascii="Arial" w:hAnsi="Arial" w:cs="Arial"/>
          <w:sz w:val="24"/>
          <w:szCs w:val="24"/>
        </w:rPr>
        <w:t>) reaches a peak of 127.5 m in October 2022, then decreases immediately thereafter.</w:t>
      </w:r>
    </w:p>
    <w:p w14:paraId="3B4572CE" w14:textId="300AB6DA" w:rsidR="00E053D0" w:rsidRPr="0086500B" w:rsidRDefault="00D71D3C" w:rsidP="001E289A">
      <w:pPr>
        <w:pStyle w:val="Body"/>
        <w:spacing w:after="0"/>
        <w:jc w:val="left"/>
        <w:rPr>
          <w:rFonts w:ascii="Arial" w:hAnsi="Arial" w:cs="Arial"/>
          <w:sz w:val="24"/>
          <w:szCs w:val="24"/>
        </w:rPr>
      </w:pPr>
      <w:r w:rsidRPr="0086500B">
        <w:rPr>
          <w:rFonts w:ascii="Arial" w:hAnsi="Arial" w:cs="Arial"/>
          <w:noProof/>
          <w:sz w:val="24"/>
          <w:szCs w:val="24"/>
        </w:rPr>
        <w:drawing>
          <wp:inline distT="0" distB="0" distL="0" distR="0" wp14:anchorId="2615975A" wp14:editId="507912D5">
            <wp:extent cx="4927850" cy="2680138"/>
            <wp:effectExtent l="0" t="0" r="6350" b="6350"/>
            <wp:docPr id="2012097001" name="Graphique 1">
              <a:extLst xmlns:a="http://schemas.openxmlformats.org/drawingml/2006/main">
                <a:ext uri="{FF2B5EF4-FFF2-40B4-BE49-F238E27FC236}">
                  <a16:creationId xmlns:a16="http://schemas.microsoft.com/office/drawing/2014/main" id="{E440C309-1A3B-F557-56BA-BCAE77A88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BFF8E8" w14:textId="77777777" w:rsidR="0086500B" w:rsidRPr="0086500B" w:rsidRDefault="0086500B" w:rsidP="001E289A">
      <w:pPr>
        <w:pStyle w:val="Body"/>
        <w:spacing w:after="0"/>
        <w:jc w:val="left"/>
        <w:rPr>
          <w:rFonts w:ascii="Arial" w:hAnsi="Arial" w:cs="Arial"/>
          <w:sz w:val="24"/>
          <w:szCs w:val="24"/>
        </w:rPr>
      </w:pPr>
    </w:p>
    <w:p w14:paraId="5DDF75F0" w14:textId="4BB18173" w:rsidR="0086500B" w:rsidRPr="0086500B" w:rsidRDefault="0086500B" w:rsidP="001E289A">
      <w:pPr>
        <w:pStyle w:val="Body"/>
        <w:spacing w:after="0"/>
        <w:jc w:val="left"/>
        <w:rPr>
          <w:rFonts w:ascii="Arial" w:hAnsi="Arial" w:cs="Arial"/>
          <w:sz w:val="24"/>
          <w:szCs w:val="24"/>
        </w:rPr>
      </w:pPr>
      <w:r w:rsidRPr="0086500B">
        <w:rPr>
          <w:noProof/>
          <w:sz w:val="24"/>
          <w:szCs w:val="24"/>
        </w:rPr>
        <w:drawing>
          <wp:inline distT="0" distB="0" distL="0" distR="0" wp14:anchorId="1B2CB8CF" wp14:editId="1DBA8E48">
            <wp:extent cx="4927600" cy="722767"/>
            <wp:effectExtent l="0" t="0" r="0" b="127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7"/>
                    <a:stretch>
                      <a:fillRect/>
                    </a:stretch>
                  </pic:blipFill>
                  <pic:spPr>
                    <a:xfrm>
                      <a:off x="0" y="0"/>
                      <a:ext cx="4927600" cy="722767"/>
                    </a:xfrm>
                    <a:prstGeom prst="rect">
                      <a:avLst/>
                    </a:prstGeom>
                  </pic:spPr>
                </pic:pic>
              </a:graphicData>
            </a:graphic>
          </wp:inline>
        </w:drawing>
      </w:r>
    </w:p>
    <w:p w14:paraId="08922333" w14:textId="4E9A43CA" w:rsidR="00C02923" w:rsidRPr="0086500B" w:rsidRDefault="00C02923" w:rsidP="00C02923">
      <w:pPr>
        <w:pStyle w:val="Body"/>
        <w:spacing w:after="0"/>
        <w:rPr>
          <w:rFonts w:ascii="Arial" w:hAnsi="Arial" w:cs="Arial"/>
          <w:sz w:val="24"/>
          <w:szCs w:val="24"/>
        </w:rPr>
      </w:pPr>
      <w:r w:rsidRPr="0086500B">
        <w:rPr>
          <w:rFonts w:ascii="Arial" w:hAnsi="Arial" w:cs="Arial"/>
          <w:b/>
          <w:bCs/>
          <w:sz w:val="24"/>
          <w:szCs w:val="24"/>
        </w:rPr>
        <w:t xml:space="preserve">Figure </w:t>
      </w:r>
      <w:r w:rsidR="000E0435">
        <w:rPr>
          <w:rFonts w:ascii="Arial" w:hAnsi="Arial" w:cs="Arial"/>
          <w:b/>
          <w:bCs/>
          <w:sz w:val="24"/>
          <w:szCs w:val="24"/>
        </w:rPr>
        <w:t>3</w:t>
      </w:r>
      <w:r w:rsidRPr="0086500B">
        <w:rPr>
          <w:rFonts w:ascii="Arial" w:hAnsi="Arial" w:cs="Arial"/>
          <w:sz w:val="24"/>
          <w:szCs w:val="24"/>
        </w:rPr>
        <w:t>: Profiles of the effects of soft solutions on the coastline</w:t>
      </w:r>
    </w:p>
    <w:p w14:paraId="695D1C90" w14:textId="77777777"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 xml:space="preserve">Physical and </w:t>
      </w:r>
      <w:proofErr w:type="spellStart"/>
      <w:r w:rsidRPr="0086500B">
        <w:rPr>
          <w:rFonts w:ascii="Arial" w:hAnsi="Arial" w:cs="Arial"/>
          <w:sz w:val="24"/>
          <w:szCs w:val="24"/>
        </w:rPr>
        <w:t>morphodynamic</w:t>
      </w:r>
      <w:proofErr w:type="spellEnd"/>
      <w:r w:rsidRPr="0086500B">
        <w:rPr>
          <w:rFonts w:ascii="Arial" w:hAnsi="Arial" w:cs="Arial"/>
          <w:sz w:val="24"/>
          <w:szCs w:val="24"/>
        </w:rPr>
        <w:t xml:space="preserve"> explanation</w:t>
      </w:r>
    </w:p>
    <w:p w14:paraId="341DB3A1" w14:textId="2FC8CD10"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Temporary sediment transfer phenomenon: The dune peak observed in October 2022 suggests a massive transfer of sediments from the beach (foreshore) to the dune. This can occur following episodes of intense swell or storms, during which waves erode the beach and redeposit sediments at the base or crest of the dune. This process results in a sharp reduction in beach width, while the dune gains in volume and length.</w:t>
      </w:r>
    </w:p>
    <w:p w14:paraId="7280EFDE" w14:textId="77777777"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 xml:space="preserve">Role of meteorological conditions (swell, winds, tides): October corresponds, in many coastal areas, to the transitional period between the calm season and the storm season. Episodes of strong swell combined with high tides often cause frontal beach erosion. The sand removed from the beach is </w:t>
      </w:r>
      <w:r w:rsidRPr="0086500B">
        <w:rPr>
          <w:rFonts w:ascii="Arial" w:hAnsi="Arial" w:cs="Arial"/>
          <w:sz w:val="24"/>
          <w:szCs w:val="24"/>
        </w:rPr>
        <w:lastRenderedPageBreak/>
        <w:t>transported and temporarily accumulated higher up on the berm or on the dune, explaining the peak in dune length (</w:t>
      </w:r>
      <w:proofErr w:type="spellStart"/>
      <w:r w:rsidRPr="0086500B">
        <w:rPr>
          <w:rFonts w:ascii="Arial" w:hAnsi="Arial" w:cs="Arial"/>
          <w:sz w:val="24"/>
          <w:szCs w:val="24"/>
        </w:rPr>
        <w:t>Ldune</w:t>
      </w:r>
      <w:proofErr w:type="spellEnd"/>
      <w:r w:rsidRPr="0086500B">
        <w:rPr>
          <w:rFonts w:ascii="Arial" w:hAnsi="Arial" w:cs="Arial"/>
          <w:sz w:val="24"/>
          <w:szCs w:val="24"/>
        </w:rPr>
        <w:t>).</w:t>
      </w:r>
    </w:p>
    <w:p w14:paraId="577F0352" w14:textId="77777777"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 xml:space="preserve">Influence of “soft solutions” (such as </w:t>
      </w:r>
      <w:proofErr w:type="spellStart"/>
      <w:r w:rsidRPr="0086500B">
        <w:rPr>
          <w:rFonts w:ascii="Arial" w:hAnsi="Arial" w:cs="Arial"/>
          <w:sz w:val="24"/>
          <w:szCs w:val="24"/>
        </w:rPr>
        <w:t>typha</w:t>
      </w:r>
      <w:proofErr w:type="spellEnd"/>
      <w:r w:rsidRPr="0086500B">
        <w:rPr>
          <w:rFonts w:ascii="Arial" w:hAnsi="Arial" w:cs="Arial"/>
          <w:sz w:val="24"/>
          <w:szCs w:val="24"/>
        </w:rPr>
        <w:t>–</w:t>
      </w:r>
      <w:proofErr w:type="spellStart"/>
      <w:r w:rsidRPr="0086500B">
        <w:rPr>
          <w:rFonts w:ascii="Arial" w:hAnsi="Arial" w:cs="Arial"/>
          <w:sz w:val="24"/>
          <w:szCs w:val="24"/>
        </w:rPr>
        <w:t>velles</w:t>
      </w:r>
      <w:proofErr w:type="spellEnd"/>
      <w:r w:rsidRPr="0086500B">
        <w:rPr>
          <w:rFonts w:ascii="Arial" w:hAnsi="Arial" w:cs="Arial"/>
          <w:sz w:val="24"/>
          <w:szCs w:val="24"/>
        </w:rPr>
        <w:t xml:space="preserve">, vegetation, biodegradable stakes): These techniques aim to promote natural sand stabilization and encourage the formation of new embryonic dunes. During storm surges, they can slow marine encroachment and trap sand, resulting in a rapid but temporary increase in </w:t>
      </w:r>
      <w:proofErr w:type="spellStart"/>
      <w:r w:rsidRPr="0086500B">
        <w:rPr>
          <w:rFonts w:ascii="Arial" w:hAnsi="Arial" w:cs="Arial"/>
          <w:sz w:val="24"/>
          <w:szCs w:val="24"/>
        </w:rPr>
        <w:t>Ldune</w:t>
      </w:r>
      <w:proofErr w:type="spellEnd"/>
      <w:r w:rsidRPr="0086500B">
        <w:rPr>
          <w:rFonts w:ascii="Arial" w:hAnsi="Arial" w:cs="Arial"/>
          <w:sz w:val="24"/>
          <w:szCs w:val="24"/>
        </w:rPr>
        <w:t>. After stabilization, sediments may be redistributed, leading to the subsequent decrease observed.</w:t>
      </w:r>
    </w:p>
    <w:p w14:paraId="3EAF3B61" w14:textId="77777777"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 xml:space="preserve">Cancellation of elevation in front of and behind the </w:t>
      </w:r>
      <w:proofErr w:type="spellStart"/>
      <w:r w:rsidRPr="0086500B">
        <w:rPr>
          <w:rFonts w:ascii="Arial" w:hAnsi="Arial" w:cs="Arial"/>
          <w:sz w:val="24"/>
          <w:szCs w:val="24"/>
        </w:rPr>
        <w:t>typhavelle</w:t>
      </w:r>
      <w:proofErr w:type="spellEnd"/>
      <w:r w:rsidRPr="0086500B">
        <w:rPr>
          <w:rFonts w:ascii="Arial" w:hAnsi="Arial" w:cs="Arial"/>
          <w:sz w:val="24"/>
          <w:szCs w:val="24"/>
        </w:rPr>
        <w:t>: The fact that elevation was cancelled out in July 2021 indicates that, from that period onward, the structure was submerged or levelled by sediment inputs or withdrawals. This reflects a highly morphodynamically active zone, where soft solutions likely modified the local dynamics of sediment deposition and erosion.</w:t>
      </w:r>
    </w:p>
    <w:p w14:paraId="2AAA0B1F" w14:textId="11EE6C93" w:rsidR="00C02923" w:rsidRPr="0086500B" w:rsidRDefault="00C02923" w:rsidP="00C02923">
      <w:pPr>
        <w:pStyle w:val="Body"/>
        <w:spacing w:after="0"/>
        <w:rPr>
          <w:rFonts w:ascii="Arial" w:hAnsi="Arial" w:cs="Arial"/>
          <w:b/>
          <w:bCs/>
          <w:sz w:val="24"/>
          <w:szCs w:val="24"/>
        </w:rPr>
      </w:pPr>
      <w:r w:rsidRPr="0086500B">
        <w:rPr>
          <w:rFonts w:ascii="Arial" w:hAnsi="Arial" w:cs="Arial"/>
          <w:b/>
          <w:bCs/>
          <w:sz w:val="24"/>
          <w:szCs w:val="24"/>
        </w:rPr>
        <w:t>3.</w:t>
      </w:r>
      <w:r w:rsidR="0058065A" w:rsidRPr="0086500B">
        <w:rPr>
          <w:rFonts w:ascii="Arial" w:hAnsi="Arial" w:cs="Arial"/>
          <w:b/>
          <w:bCs/>
          <w:sz w:val="24"/>
          <w:szCs w:val="24"/>
        </w:rPr>
        <w:t>1.</w:t>
      </w:r>
      <w:r w:rsidRPr="0086500B">
        <w:rPr>
          <w:rFonts w:ascii="Arial" w:hAnsi="Arial" w:cs="Arial"/>
          <w:b/>
          <w:bCs/>
          <w:sz w:val="24"/>
          <w:szCs w:val="24"/>
        </w:rPr>
        <w:t xml:space="preserve">2. Different crops cultivated by the respondents </w:t>
      </w:r>
    </w:p>
    <w:p w14:paraId="7539E954" w14:textId="4084331F"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The results obtained (Table 1) show that the main crop is cabbage (100%). However, 18% of the respondents also grow tomato, 15% watermelon, 13% sweet potato and hibiscus (</w:t>
      </w:r>
      <w:proofErr w:type="spellStart"/>
      <w:r w:rsidRPr="0086500B">
        <w:rPr>
          <w:rFonts w:ascii="Arial" w:hAnsi="Arial" w:cs="Arial"/>
          <w:sz w:val="24"/>
          <w:szCs w:val="24"/>
        </w:rPr>
        <w:t>bissap</w:t>
      </w:r>
      <w:proofErr w:type="spellEnd"/>
      <w:r w:rsidRPr="0086500B">
        <w:rPr>
          <w:rFonts w:ascii="Arial" w:hAnsi="Arial" w:cs="Arial"/>
          <w:sz w:val="24"/>
          <w:szCs w:val="24"/>
        </w:rPr>
        <w:t>), and 8% okra</w:t>
      </w:r>
    </w:p>
    <w:p w14:paraId="78C9778E" w14:textId="77777777" w:rsidR="00C02923" w:rsidRPr="0086500B" w:rsidRDefault="00C02923" w:rsidP="00C02923">
      <w:pPr>
        <w:pStyle w:val="Body"/>
        <w:spacing w:after="0"/>
        <w:rPr>
          <w:rFonts w:ascii="Arial" w:hAnsi="Arial" w:cs="Arial"/>
          <w:sz w:val="24"/>
          <w:szCs w:val="24"/>
        </w:rPr>
      </w:pPr>
      <w:r w:rsidRPr="0086500B">
        <w:rPr>
          <w:rFonts w:ascii="Arial" w:hAnsi="Arial" w:cs="Arial"/>
          <w:sz w:val="24"/>
          <w:szCs w:val="24"/>
        </w:rPr>
        <w:t>Table 1: Distribution of crops cultivated by the respondents</w:t>
      </w:r>
    </w:p>
    <w:tbl>
      <w:tblPr>
        <w:tblStyle w:val="PlainTable1"/>
        <w:tblW w:w="9375" w:type="dxa"/>
        <w:tblLook w:val="04A0" w:firstRow="1" w:lastRow="0" w:firstColumn="1" w:lastColumn="0" w:noHBand="0" w:noVBand="1"/>
      </w:tblPr>
      <w:tblGrid>
        <w:gridCol w:w="2623"/>
        <w:gridCol w:w="1230"/>
        <w:gridCol w:w="1083"/>
        <w:gridCol w:w="1590"/>
        <w:gridCol w:w="1082"/>
        <w:gridCol w:w="1217"/>
        <w:gridCol w:w="1082"/>
      </w:tblGrid>
      <w:tr w:rsidR="00C02923" w:rsidRPr="0086500B" w14:paraId="13618FE8" w14:textId="77777777" w:rsidTr="00727175">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623" w:type="dxa"/>
            <w:noWrap/>
            <w:hideMark/>
          </w:tcPr>
          <w:p w14:paraId="215A4EE1" w14:textId="6CE5396F" w:rsidR="00C02923" w:rsidRPr="0086500B" w:rsidRDefault="00F9409B" w:rsidP="00C83C05">
            <w:pPr>
              <w:spacing w:line="360" w:lineRule="auto"/>
              <w:jc w:val="both"/>
              <w:rPr>
                <w:rFonts w:ascii="Arial" w:hAnsi="Arial" w:cs="Arial"/>
                <w:b w:val="0"/>
                <w:bCs w:val="0"/>
                <w:sz w:val="24"/>
                <w:szCs w:val="24"/>
              </w:rPr>
            </w:pPr>
            <w:r w:rsidRPr="0086500B">
              <w:rPr>
                <w:rFonts w:ascii="Arial" w:eastAsia="Calibri" w:hAnsi="Arial" w:cs="Arial"/>
                <w:sz w:val="24"/>
                <w:szCs w:val="24"/>
              </w:rPr>
              <w:t>Crops cultivated</w:t>
            </w:r>
          </w:p>
        </w:tc>
        <w:tc>
          <w:tcPr>
            <w:tcW w:w="1219" w:type="dxa"/>
            <w:noWrap/>
            <w:hideMark/>
          </w:tcPr>
          <w:p w14:paraId="2090D526" w14:textId="749ADB2F" w:rsidR="00C02923" w:rsidRPr="0086500B" w:rsidRDefault="00C02923"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Cabbage</w:t>
            </w:r>
          </w:p>
        </w:tc>
        <w:tc>
          <w:tcPr>
            <w:tcW w:w="1082" w:type="dxa"/>
            <w:noWrap/>
            <w:hideMark/>
          </w:tcPr>
          <w:p w14:paraId="6F4DCA40" w14:textId="559E99E6" w:rsidR="00C02923" w:rsidRPr="0086500B" w:rsidRDefault="00C02923"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Tomato</w:t>
            </w:r>
          </w:p>
        </w:tc>
        <w:tc>
          <w:tcPr>
            <w:tcW w:w="1205" w:type="dxa"/>
            <w:noWrap/>
            <w:hideMark/>
          </w:tcPr>
          <w:p w14:paraId="1654E2FA" w14:textId="3657E29B" w:rsidR="00C02923" w:rsidRPr="0086500B" w:rsidRDefault="00C02923"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eastAsia="Calibri" w:hAnsi="Arial" w:cs="Arial"/>
                <w:sz w:val="24"/>
                <w:szCs w:val="24"/>
              </w:rPr>
              <w:t>Watermelon</w:t>
            </w:r>
          </w:p>
        </w:tc>
        <w:tc>
          <w:tcPr>
            <w:tcW w:w="1082" w:type="dxa"/>
            <w:noWrap/>
            <w:hideMark/>
          </w:tcPr>
          <w:p w14:paraId="51944FAF" w14:textId="777D1B54" w:rsidR="00C02923" w:rsidRPr="0086500B" w:rsidRDefault="00C02923"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eastAsia="Calibri" w:hAnsi="Arial" w:cs="Arial"/>
                <w:sz w:val="24"/>
                <w:szCs w:val="24"/>
              </w:rPr>
              <w:t>Sweet potato</w:t>
            </w:r>
          </w:p>
        </w:tc>
        <w:tc>
          <w:tcPr>
            <w:tcW w:w="1082" w:type="dxa"/>
            <w:noWrap/>
            <w:hideMark/>
          </w:tcPr>
          <w:p w14:paraId="41C1D5A0" w14:textId="2EE6A5E1" w:rsidR="00C02923" w:rsidRPr="0086500B" w:rsidRDefault="00C02923"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eastAsia="Calibri" w:hAnsi="Arial" w:cs="Arial"/>
                <w:sz w:val="24"/>
                <w:szCs w:val="24"/>
              </w:rPr>
              <w:t>Hibiscu</w:t>
            </w:r>
            <w:r w:rsidRPr="0086500B">
              <w:rPr>
                <w:rFonts w:ascii="Arial" w:hAnsi="Arial" w:cs="Arial"/>
                <w:sz w:val="24"/>
                <w:szCs w:val="24"/>
              </w:rPr>
              <w:t>s</w:t>
            </w:r>
          </w:p>
        </w:tc>
        <w:tc>
          <w:tcPr>
            <w:tcW w:w="1082" w:type="dxa"/>
            <w:noWrap/>
            <w:hideMark/>
          </w:tcPr>
          <w:p w14:paraId="442D27ED" w14:textId="1DD829BE" w:rsidR="00C02923" w:rsidRPr="0086500B" w:rsidRDefault="00C02923"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Okra</w:t>
            </w:r>
          </w:p>
        </w:tc>
      </w:tr>
      <w:tr w:rsidR="00C02923" w:rsidRPr="0086500B" w14:paraId="75BCB5ED" w14:textId="77777777" w:rsidTr="00727175">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623" w:type="dxa"/>
            <w:noWrap/>
            <w:hideMark/>
          </w:tcPr>
          <w:p w14:paraId="08AE6951" w14:textId="77777777" w:rsidR="00F9409B" w:rsidRPr="0086500B" w:rsidRDefault="00F9409B" w:rsidP="00F9409B">
            <w:pPr>
              <w:spacing w:line="360" w:lineRule="auto"/>
              <w:rPr>
                <w:rFonts w:ascii="Arial" w:eastAsia="Calibri" w:hAnsi="Arial" w:cs="Arial"/>
                <w:sz w:val="24"/>
                <w:szCs w:val="24"/>
              </w:rPr>
            </w:pPr>
            <w:r w:rsidRPr="0086500B">
              <w:rPr>
                <w:rFonts w:ascii="Arial" w:eastAsia="Calibri" w:hAnsi="Arial" w:cs="Arial"/>
                <w:sz w:val="24"/>
                <w:szCs w:val="24"/>
              </w:rPr>
              <w:t>Percentage of cultivation</w:t>
            </w:r>
          </w:p>
          <w:p w14:paraId="20DA84D6" w14:textId="2AA14A5C" w:rsidR="00C02923" w:rsidRPr="0086500B" w:rsidRDefault="00C02923" w:rsidP="00F9409B">
            <w:pPr>
              <w:spacing w:line="360" w:lineRule="auto"/>
              <w:rPr>
                <w:rFonts w:ascii="Arial" w:hAnsi="Arial" w:cs="Arial"/>
                <w:b w:val="0"/>
                <w:bCs w:val="0"/>
                <w:sz w:val="24"/>
                <w:szCs w:val="24"/>
              </w:rPr>
            </w:pPr>
          </w:p>
        </w:tc>
        <w:tc>
          <w:tcPr>
            <w:tcW w:w="1219" w:type="dxa"/>
            <w:noWrap/>
            <w:hideMark/>
          </w:tcPr>
          <w:p w14:paraId="7A26B924" w14:textId="77777777" w:rsidR="00C02923" w:rsidRPr="0086500B" w:rsidRDefault="00C02923"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100%</w:t>
            </w:r>
          </w:p>
        </w:tc>
        <w:tc>
          <w:tcPr>
            <w:tcW w:w="1082" w:type="dxa"/>
            <w:noWrap/>
            <w:hideMark/>
          </w:tcPr>
          <w:p w14:paraId="3A998B25" w14:textId="77777777" w:rsidR="00C02923" w:rsidRPr="0086500B" w:rsidRDefault="00C02923"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18%</w:t>
            </w:r>
          </w:p>
        </w:tc>
        <w:tc>
          <w:tcPr>
            <w:tcW w:w="1205" w:type="dxa"/>
            <w:noWrap/>
            <w:hideMark/>
          </w:tcPr>
          <w:p w14:paraId="2F7BE807" w14:textId="77777777" w:rsidR="00C02923" w:rsidRPr="0086500B" w:rsidRDefault="00C02923"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15%</w:t>
            </w:r>
          </w:p>
        </w:tc>
        <w:tc>
          <w:tcPr>
            <w:tcW w:w="1082" w:type="dxa"/>
            <w:noWrap/>
            <w:hideMark/>
          </w:tcPr>
          <w:p w14:paraId="3F81295D" w14:textId="77777777" w:rsidR="00C02923" w:rsidRPr="0086500B" w:rsidRDefault="00C02923"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13%</w:t>
            </w:r>
          </w:p>
        </w:tc>
        <w:tc>
          <w:tcPr>
            <w:tcW w:w="1082" w:type="dxa"/>
            <w:noWrap/>
            <w:hideMark/>
          </w:tcPr>
          <w:p w14:paraId="591C9FF0" w14:textId="77777777" w:rsidR="00C02923" w:rsidRPr="0086500B" w:rsidRDefault="00C02923"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13%</w:t>
            </w:r>
          </w:p>
        </w:tc>
        <w:tc>
          <w:tcPr>
            <w:tcW w:w="1082" w:type="dxa"/>
            <w:noWrap/>
            <w:hideMark/>
          </w:tcPr>
          <w:p w14:paraId="3A309B25" w14:textId="77777777" w:rsidR="00C02923" w:rsidRPr="0086500B" w:rsidRDefault="00C02923"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8%</w:t>
            </w:r>
          </w:p>
        </w:tc>
      </w:tr>
    </w:tbl>
    <w:p w14:paraId="4D7B133B" w14:textId="2D866DD5" w:rsidR="00F9409B" w:rsidRPr="0086500B" w:rsidRDefault="00251759" w:rsidP="00F9409B">
      <w:pPr>
        <w:pStyle w:val="Body"/>
        <w:spacing w:after="0"/>
        <w:jc w:val="left"/>
        <w:rPr>
          <w:rFonts w:ascii="Arial" w:eastAsiaTheme="majorEastAsia" w:hAnsi="Arial" w:cs="Arial"/>
          <w:sz w:val="24"/>
          <w:szCs w:val="24"/>
        </w:rPr>
      </w:pPr>
      <w:r w:rsidRPr="0086500B">
        <w:rPr>
          <w:rFonts w:ascii="Arial" w:eastAsiaTheme="majorEastAsia" w:hAnsi="Arial" w:cs="Arial"/>
          <w:b/>
          <w:bCs/>
          <w:sz w:val="24"/>
          <w:szCs w:val="24"/>
        </w:rPr>
        <w:t>3.</w:t>
      </w:r>
      <w:r w:rsidR="0058065A" w:rsidRPr="0086500B">
        <w:rPr>
          <w:rFonts w:ascii="Arial" w:eastAsiaTheme="majorEastAsia" w:hAnsi="Arial" w:cs="Arial"/>
          <w:b/>
          <w:bCs/>
          <w:sz w:val="24"/>
          <w:szCs w:val="24"/>
        </w:rPr>
        <w:t>1</w:t>
      </w:r>
      <w:r w:rsidRPr="0086500B">
        <w:rPr>
          <w:rFonts w:ascii="Arial" w:eastAsiaTheme="majorEastAsia" w:hAnsi="Arial" w:cs="Arial"/>
          <w:b/>
          <w:bCs/>
          <w:sz w:val="24"/>
          <w:szCs w:val="24"/>
        </w:rPr>
        <w:t>.</w:t>
      </w:r>
      <w:r w:rsidR="0058065A" w:rsidRPr="0086500B">
        <w:rPr>
          <w:rFonts w:ascii="Arial" w:eastAsiaTheme="majorEastAsia" w:hAnsi="Arial" w:cs="Arial"/>
          <w:b/>
          <w:bCs/>
          <w:sz w:val="24"/>
          <w:szCs w:val="24"/>
        </w:rPr>
        <w:t>3.</w:t>
      </w:r>
      <w:r w:rsidRPr="0086500B">
        <w:rPr>
          <w:rFonts w:ascii="Arial" w:eastAsiaTheme="majorEastAsia" w:hAnsi="Arial" w:cs="Arial"/>
          <w:b/>
          <w:bCs/>
          <w:sz w:val="24"/>
          <w:szCs w:val="24"/>
        </w:rPr>
        <w:t xml:space="preserve"> </w:t>
      </w:r>
      <w:r w:rsidR="00F9409B" w:rsidRPr="0086500B">
        <w:rPr>
          <w:rFonts w:ascii="Arial" w:eastAsiaTheme="majorEastAsia" w:hAnsi="Arial" w:cs="Arial"/>
          <w:b/>
          <w:bCs/>
          <w:sz w:val="24"/>
          <w:szCs w:val="24"/>
        </w:rPr>
        <w:t>Effects of soft solutions on crop yields</w:t>
      </w:r>
      <w:r w:rsidR="00F9409B" w:rsidRPr="0086500B">
        <w:rPr>
          <w:rFonts w:ascii="Arial" w:eastAsiaTheme="majorEastAsia" w:hAnsi="Arial" w:cs="Arial"/>
          <w:b/>
          <w:bCs/>
          <w:sz w:val="24"/>
          <w:szCs w:val="24"/>
        </w:rPr>
        <w:br/>
      </w:r>
      <w:r w:rsidR="00F9409B" w:rsidRPr="0086500B">
        <w:rPr>
          <w:rFonts w:ascii="Arial" w:eastAsiaTheme="majorEastAsia" w:hAnsi="Arial" w:cs="Arial"/>
          <w:sz w:val="24"/>
          <w:szCs w:val="24"/>
        </w:rPr>
        <w:t>According to Table 2, before the installation of soft solutions, 69.5% of market gardeners had yields below 1 t, 29.3% had yields between 1 t and 4 t, and only 1.2% exceeded 4 t. After the implementation of these solutions, yields increased considerably: 64.4% of market gardeners now produce between 1 t and 4 t, 25.4% produce more than 4 t, while those with yields below 1 t now account for only 10.2%.</w:t>
      </w:r>
    </w:p>
    <w:p w14:paraId="059D9548" w14:textId="77777777" w:rsidR="00F9409B" w:rsidRPr="0086500B" w:rsidRDefault="00F9409B" w:rsidP="00F9409B">
      <w:pPr>
        <w:pStyle w:val="Body"/>
        <w:spacing w:after="0"/>
        <w:jc w:val="left"/>
        <w:rPr>
          <w:rFonts w:ascii="Arial" w:eastAsiaTheme="majorEastAsia" w:hAnsi="Arial" w:cs="Arial"/>
          <w:sz w:val="24"/>
          <w:szCs w:val="24"/>
        </w:rPr>
      </w:pPr>
      <w:r w:rsidRPr="0086500B">
        <w:rPr>
          <w:rFonts w:ascii="Arial" w:eastAsiaTheme="majorEastAsia" w:hAnsi="Arial" w:cs="Arial"/>
          <w:sz w:val="24"/>
          <w:szCs w:val="24"/>
        </w:rPr>
        <w:t>Table 3: Yield classes before and after the implementation of soft solutions.</w:t>
      </w:r>
    </w:p>
    <w:tbl>
      <w:tblPr>
        <w:tblStyle w:val="PlainTable2"/>
        <w:tblW w:w="0" w:type="auto"/>
        <w:tblLook w:val="04A0" w:firstRow="1" w:lastRow="0" w:firstColumn="1" w:lastColumn="0" w:noHBand="0" w:noVBand="1"/>
      </w:tblPr>
      <w:tblGrid>
        <w:gridCol w:w="1800"/>
        <w:gridCol w:w="1642"/>
        <w:gridCol w:w="1642"/>
        <w:gridCol w:w="1642"/>
        <w:gridCol w:w="1472"/>
      </w:tblGrid>
      <w:tr w:rsidR="00F9409B" w:rsidRPr="0086500B" w14:paraId="2F764AE2" w14:textId="77777777" w:rsidTr="00727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4A8FCA6" w14:textId="284ECE2A" w:rsidR="00F9409B" w:rsidRPr="0086500B" w:rsidRDefault="00F9409B" w:rsidP="00C83C05">
            <w:pPr>
              <w:spacing w:line="360" w:lineRule="auto"/>
              <w:jc w:val="both"/>
              <w:rPr>
                <w:rFonts w:ascii="Arial" w:hAnsi="Arial" w:cs="Arial"/>
                <w:b w:val="0"/>
                <w:bCs w:val="0"/>
                <w:sz w:val="24"/>
                <w:szCs w:val="24"/>
              </w:rPr>
            </w:pPr>
            <w:r w:rsidRPr="0086500B">
              <w:rPr>
                <w:rFonts w:ascii="Arial" w:hAnsi="Arial" w:cs="Arial"/>
                <w:b w:val="0"/>
                <w:bCs w:val="0"/>
                <w:sz w:val="24"/>
                <w:szCs w:val="24"/>
              </w:rPr>
              <w:t>Yield (t)</w:t>
            </w:r>
          </w:p>
        </w:tc>
        <w:tc>
          <w:tcPr>
            <w:tcW w:w="1642" w:type="dxa"/>
          </w:tcPr>
          <w:p w14:paraId="61F11703" w14:textId="23F7ED07" w:rsidR="00F9409B" w:rsidRPr="0086500B" w:rsidRDefault="00F9409B"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 xml:space="preserve">Less </w:t>
            </w:r>
            <w:proofErr w:type="gramStart"/>
            <w:r w:rsidRPr="0086500B">
              <w:rPr>
                <w:rFonts w:ascii="Arial" w:hAnsi="Arial" w:cs="Arial"/>
                <w:b w:val="0"/>
                <w:bCs w:val="0"/>
                <w:sz w:val="24"/>
                <w:szCs w:val="24"/>
              </w:rPr>
              <w:t>than  1</w:t>
            </w:r>
            <w:proofErr w:type="gramEnd"/>
            <w:r w:rsidRPr="0086500B">
              <w:rPr>
                <w:rFonts w:ascii="Arial" w:hAnsi="Arial" w:cs="Arial"/>
                <w:b w:val="0"/>
                <w:bCs w:val="0"/>
                <w:sz w:val="24"/>
                <w:szCs w:val="24"/>
              </w:rPr>
              <w:t>t</w:t>
            </w:r>
          </w:p>
        </w:tc>
        <w:tc>
          <w:tcPr>
            <w:tcW w:w="1642" w:type="dxa"/>
          </w:tcPr>
          <w:p w14:paraId="790CBC75" w14:textId="464AE90C" w:rsidR="00F9409B" w:rsidRPr="0086500B" w:rsidRDefault="00F9409B"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 xml:space="preserve"> 1t to 4t</w:t>
            </w:r>
          </w:p>
        </w:tc>
        <w:tc>
          <w:tcPr>
            <w:tcW w:w="1642" w:type="dxa"/>
          </w:tcPr>
          <w:p w14:paraId="78A6C3B2" w14:textId="39BC744A" w:rsidR="00F9409B" w:rsidRPr="0086500B" w:rsidRDefault="00F9409B"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More than 4t</w:t>
            </w:r>
          </w:p>
        </w:tc>
        <w:tc>
          <w:tcPr>
            <w:tcW w:w="1472" w:type="dxa"/>
          </w:tcPr>
          <w:p w14:paraId="30AE72C9" w14:textId="77777777" w:rsidR="00F9409B" w:rsidRPr="0086500B" w:rsidRDefault="00F9409B"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Total</w:t>
            </w:r>
          </w:p>
        </w:tc>
      </w:tr>
      <w:tr w:rsidR="00F9409B" w:rsidRPr="0086500B" w14:paraId="51141E2C" w14:textId="77777777" w:rsidTr="00727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8238CFA" w14:textId="43ADE318" w:rsidR="00F9409B" w:rsidRPr="0086500B" w:rsidRDefault="00F9409B" w:rsidP="00C83C05">
            <w:pPr>
              <w:spacing w:line="360" w:lineRule="auto"/>
              <w:jc w:val="both"/>
              <w:rPr>
                <w:rFonts w:ascii="Arial" w:hAnsi="Arial" w:cs="Arial"/>
                <w:b w:val="0"/>
                <w:bCs w:val="0"/>
                <w:sz w:val="24"/>
                <w:szCs w:val="24"/>
              </w:rPr>
            </w:pPr>
            <w:r w:rsidRPr="0086500B">
              <w:rPr>
                <w:rFonts w:ascii="Arial" w:hAnsi="Arial" w:cs="Arial"/>
                <w:b w:val="0"/>
                <w:bCs w:val="0"/>
                <w:sz w:val="24"/>
                <w:szCs w:val="24"/>
              </w:rPr>
              <w:t xml:space="preserve">Before </w:t>
            </w:r>
          </w:p>
        </w:tc>
        <w:tc>
          <w:tcPr>
            <w:tcW w:w="1642" w:type="dxa"/>
          </w:tcPr>
          <w:p w14:paraId="36E43A99" w14:textId="77777777" w:rsidR="00F9409B" w:rsidRPr="0086500B" w:rsidRDefault="00F9409B"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69.5%</w:t>
            </w:r>
          </w:p>
        </w:tc>
        <w:tc>
          <w:tcPr>
            <w:tcW w:w="1642" w:type="dxa"/>
          </w:tcPr>
          <w:p w14:paraId="6CA8C902" w14:textId="77777777" w:rsidR="00F9409B" w:rsidRPr="0086500B" w:rsidRDefault="00F9409B"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29.3%</w:t>
            </w:r>
          </w:p>
        </w:tc>
        <w:tc>
          <w:tcPr>
            <w:tcW w:w="1642" w:type="dxa"/>
          </w:tcPr>
          <w:p w14:paraId="2234523B" w14:textId="77777777" w:rsidR="00F9409B" w:rsidRPr="0086500B" w:rsidRDefault="00F9409B"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1.2%</w:t>
            </w:r>
          </w:p>
        </w:tc>
        <w:tc>
          <w:tcPr>
            <w:tcW w:w="1472" w:type="dxa"/>
          </w:tcPr>
          <w:p w14:paraId="4C4368B1" w14:textId="77777777" w:rsidR="00F9409B" w:rsidRPr="0086500B" w:rsidRDefault="00F9409B" w:rsidP="00C83C0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6500B">
              <w:rPr>
                <w:rFonts w:ascii="Arial" w:hAnsi="Arial" w:cs="Arial"/>
                <w:sz w:val="24"/>
                <w:szCs w:val="24"/>
              </w:rPr>
              <w:t>100%</w:t>
            </w:r>
          </w:p>
        </w:tc>
      </w:tr>
      <w:tr w:rsidR="00F9409B" w:rsidRPr="0086500B" w14:paraId="10545F4C" w14:textId="77777777" w:rsidTr="00727175">
        <w:tc>
          <w:tcPr>
            <w:cnfStyle w:val="001000000000" w:firstRow="0" w:lastRow="0" w:firstColumn="1" w:lastColumn="0" w:oddVBand="0" w:evenVBand="0" w:oddHBand="0" w:evenHBand="0" w:firstRowFirstColumn="0" w:firstRowLastColumn="0" w:lastRowFirstColumn="0" w:lastRowLastColumn="0"/>
            <w:tcW w:w="1800" w:type="dxa"/>
          </w:tcPr>
          <w:p w14:paraId="0BD66FF4" w14:textId="4DA6E608" w:rsidR="00F9409B" w:rsidRPr="0086500B" w:rsidRDefault="00F9409B" w:rsidP="00C83C05">
            <w:pPr>
              <w:spacing w:line="360" w:lineRule="auto"/>
              <w:jc w:val="both"/>
              <w:rPr>
                <w:rFonts w:ascii="Arial" w:hAnsi="Arial" w:cs="Arial"/>
                <w:b w:val="0"/>
                <w:bCs w:val="0"/>
                <w:sz w:val="24"/>
                <w:szCs w:val="24"/>
              </w:rPr>
            </w:pPr>
            <w:r w:rsidRPr="0086500B">
              <w:rPr>
                <w:rFonts w:ascii="Arial" w:hAnsi="Arial" w:cs="Arial"/>
                <w:sz w:val="24"/>
                <w:szCs w:val="24"/>
              </w:rPr>
              <w:t>A</w:t>
            </w:r>
            <w:r w:rsidRPr="0086500B">
              <w:rPr>
                <w:rFonts w:ascii="Arial" w:hAnsi="Arial" w:cs="Arial"/>
                <w:b w:val="0"/>
                <w:bCs w:val="0"/>
                <w:sz w:val="24"/>
                <w:szCs w:val="24"/>
              </w:rPr>
              <w:t>fter</w:t>
            </w:r>
          </w:p>
        </w:tc>
        <w:tc>
          <w:tcPr>
            <w:tcW w:w="1642" w:type="dxa"/>
          </w:tcPr>
          <w:p w14:paraId="3C91A1AF" w14:textId="77777777" w:rsidR="00F9409B" w:rsidRPr="0086500B" w:rsidRDefault="00F9409B"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10.2%</w:t>
            </w:r>
          </w:p>
        </w:tc>
        <w:tc>
          <w:tcPr>
            <w:tcW w:w="1642" w:type="dxa"/>
          </w:tcPr>
          <w:p w14:paraId="39F47956" w14:textId="77777777" w:rsidR="00F9409B" w:rsidRPr="0086500B" w:rsidRDefault="00F9409B"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64.4%</w:t>
            </w:r>
          </w:p>
        </w:tc>
        <w:tc>
          <w:tcPr>
            <w:tcW w:w="1642" w:type="dxa"/>
          </w:tcPr>
          <w:p w14:paraId="72DFAC02" w14:textId="77777777" w:rsidR="00F9409B" w:rsidRPr="0086500B" w:rsidRDefault="00F9409B"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25.4%</w:t>
            </w:r>
          </w:p>
        </w:tc>
        <w:tc>
          <w:tcPr>
            <w:tcW w:w="1472" w:type="dxa"/>
          </w:tcPr>
          <w:p w14:paraId="09D6CBC8" w14:textId="77777777" w:rsidR="00F9409B" w:rsidRPr="0086500B" w:rsidRDefault="00F9409B"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100%</w:t>
            </w:r>
          </w:p>
        </w:tc>
      </w:tr>
    </w:tbl>
    <w:p w14:paraId="31CCCDEB" w14:textId="3699C2F9" w:rsidR="00FE5D4B" w:rsidRPr="0086500B" w:rsidRDefault="00251759" w:rsidP="00FE5D4B">
      <w:pPr>
        <w:pStyle w:val="Body"/>
        <w:spacing w:after="0"/>
        <w:rPr>
          <w:rFonts w:ascii="Arial" w:hAnsi="Arial" w:cs="Arial"/>
          <w:b/>
          <w:bCs/>
          <w:sz w:val="24"/>
          <w:szCs w:val="24"/>
        </w:rPr>
      </w:pPr>
      <w:r w:rsidRPr="0086500B">
        <w:rPr>
          <w:rFonts w:ascii="Arial" w:hAnsi="Arial" w:cs="Arial"/>
          <w:b/>
          <w:bCs/>
          <w:sz w:val="24"/>
          <w:szCs w:val="24"/>
        </w:rPr>
        <w:t>3.</w:t>
      </w:r>
      <w:r w:rsidR="0058065A" w:rsidRPr="0086500B">
        <w:rPr>
          <w:rFonts w:ascii="Arial" w:hAnsi="Arial" w:cs="Arial"/>
          <w:b/>
          <w:bCs/>
          <w:sz w:val="24"/>
          <w:szCs w:val="24"/>
        </w:rPr>
        <w:t>1.4</w:t>
      </w:r>
      <w:r w:rsidRPr="0086500B">
        <w:rPr>
          <w:rFonts w:ascii="Arial" w:hAnsi="Arial" w:cs="Arial"/>
          <w:b/>
          <w:bCs/>
          <w:sz w:val="24"/>
          <w:szCs w:val="24"/>
        </w:rPr>
        <w:t xml:space="preserve">. </w:t>
      </w:r>
      <w:r w:rsidR="00FE5D4B" w:rsidRPr="0086500B">
        <w:rPr>
          <w:rFonts w:ascii="Arial" w:hAnsi="Arial" w:cs="Arial"/>
          <w:b/>
          <w:bCs/>
          <w:sz w:val="24"/>
          <w:szCs w:val="24"/>
        </w:rPr>
        <w:t xml:space="preserve">Effect of soft solutions on market gardeners’ income </w:t>
      </w:r>
    </w:p>
    <w:p w14:paraId="1B628FC2" w14:textId="7E8790D9" w:rsidR="00FE5D4B" w:rsidRPr="0086500B" w:rsidRDefault="00FE5D4B" w:rsidP="00FE5D4B">
      <w:pPr>
        <w:pStyle w:val="Body"/>
        <w:spacing w:after="0"/>
        <w:rPr>
          <w:rFonts w:ascii="Arial" w:hAnsi="Arial" w:cs="Arial"/>
          <w:sz w:val="24"/>
          <w:szCs w:val="24"/>
        </w:rPr>
      </w:pPr>
      <w:r w:rsidRPr="0086500B">
        <w:rPr>
          <w:rFonts w:ascii="Arial" w:hAnsi="Arial" w:cs="Arial"/>
          <w:sz w:val="24"/>
          <w:szCs w:val="24"/>
        </w:rPr>
        <w:t>According to Table 3, before the installation of soft solutions, 59.3% of market gardeners had an income between 100,000 and 300,000 CFA francs, 25.4% earned less than 100,000 CFA francs, 12.3% earned between 300,000 and 500,000 CFA francs, and only 3% exceeded 500,000 CFA francs. After the implementation of soft solutions and the increase in yields, incomes also improved: 56.1% of market gardeners now earn more than 500,000 CFA francs, 24.3% earn between 300,000 and 500,000 CFA francs, while the proportion of producers earning between 100,000 and 300,000 CFA francs and less than 100,000 CFA francs declined to 16% and 3.6%, respectively.</w:t>
      </w:r>
    </w:p>
    <w:p w14:paraId="2F31CA30" w14:textId="7E9B82C8" w:rsidR="00FE5D4B" w:rsidRPr="0086500B" w:rsidRDefault="00FE5D4B" w:rsidP="00FE5D4B">
      <w:pPr>
        <w:pStyle w:val="Body"/>
        <w:spacing w:after="0"/>
        <w:rPr>
          <w:rFonts w:ascii="Arial" w:hAnsi="Arial" w:cs="Arial"/>
          <w:sz w:val="24"/>
          <w:szCs w:val="24"/>
        </w:rPr>
      </w:pPr>
      <w:r w:rsidRPr="0086500B">
        <w:rPr>
          <w:rFonts w:ascii="Arial" w:hAnsi="Arial" w:cs="Arial"/>
          <w:sz w:val="24"/>
          <w:szCs w:val="24"/>
        </w:rPr>
        <w:t xml:space="preserve">Table </w:t>
      </w:r>
      <w:r w:rsidR="00616D54">
        <w:rPr>
          <w:rFonts w:ascii="Arial" w:hAnsi="Arial" w:cs="Arial"/>
          <w:sz w:val="24"/>
          <w:szCs w:val="24"/>
        </w:rPr>
        <w:t>4</w:t>
      </w:r>
      <w:r w:rsidRPr="0086500B">
        <w:rPr>
          <w:rFonts w:ascii="Arial" w:hAnsi="Arial" w:cs="Arial"/>
          <w:sz w:val="24"/>
          <w:szCs w:val="24"/>
        </w:rPr>
        <w:t>: Income classes before and after the implementation of soft solutions.</w:t>
      </w:r>
    </w:p>
    <w:tbl>
      <w:tblPr>
        <w:tblStyle w:val="GridTable1Light"/>
        <w:tblW w:w="8320" w:type="dxa"/>
        <w:tblLook w:val="04A0" w:firstRow="1" w:lastRow="0" w:firstColumn="1" w:lastColumn="0" w:noHBand="0" w:noVBand="1"/>
      </w:tblPr>
      <w:tblGrid>
        <w:gridCol w:w="2756"/>
        <w:gridCol w:w="1208"/>
        <w:gridCol w:w="1128"/>
        <w:gridCol w:w="1250"/>
        <w:gridCol w:w="1148"/>
        <w:gridCol w:w="830"/>
      </w:tblGrid>
      <w:tr w:rsidR="00727175" w:rsidRPr="0086500B" w14:paraId="40BB42AB" w14:textId="77777777" w:rsidTr="000E0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tcPr>
          <w:p w14:paraId="207721BB" w14:textId="77777777" w:rsidR="00727175" w:rsidRPr="0086500B" w:rsidRDefault="00727175" w:rsidP="00727175">
            <w:pPr>
              <w:spacing w:line="360" w:lineRule="auto"/>
              <w:ind w:right="-7182"/>
              <w:jc w:val="both"/>
              <w:rPr>
                <w:rFonts w:ascii="Arial" w:hAnsi="Arial" w:cs="Arial"/>
                <w:b w:val="0"/>
                <w:bCs w:val="0"/>
                <w:sz w:val="24"/>
                <w:szCs w:val="24"/>
              </w:rPr>
            </w:pPr>
            <w:r w:rsidRPr="0086500B">
              <w:rPr>
                <w:rFonts w:ascii="Arial" w:hAnsi="Arial" w:cs="Arial"/>
                <w:b w:val="0"/>
                <w:bCs w:val="0"/>
                <w:sz w:val="24"/>
                <w:szCs w:val="24"/>
              </w:rPr>
              <w:t>Income (CFA francs)</w:t>
            </w:r>
          </w:p>
          <w:p w14:paraId="70364135" w14:textId="4C9C3A58" w:rsidR="00727175" w:rsidRPr="0086500B" w:rsidRDefault="00727175" w:rsidP="00C83C05">
            <w:pPr>
              <w:spacing w:line="360" w:lineRule="auto"/>
              <w:ind w:right="-7182"/>
              <w:jc w:val="both"/>
              <w:rPr>
                <w:rFonts w:ascii="Arial" w:hAnsi="Arial" w:cs="Arial"/>
                <w:b w:val="0"/>
                <w:bCs w:val="0"/>
                <w:sz w:val="24"/>
                <w:szCs w:val="24"/>
              </w:rPr>
            </w:pPr>
          </w:p>
        </w:tc>
        <w:tc>
          <w:tcPr>
            <w:tcW w:w="1208" w:type="dxa"/>
          </w:tcPr>
          <w:p w14:paraId="08BA4B2D" w14:textId="77777777" w:rsidR="00727175" w:rsidRPr="0086500B" w:rsidRDefault="00727175" w:rsidP="00C83C05">
            <w:pPr>
              <w:spacing w:line="360" w:lineRule="auto"/>
              <w:ind w:right="-444"/>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 xml:space="preserve">More than  </w:t>
            </w:r>
          </w:p>
          <w:p w14:paraId="6C708038" w14:textId="7CCE12F5" w:rsidR="00727175" w:rsidRPr="0086500B" w:rsidRDefault="00727175" w:rsidP="00C83C05">
            <w:pPr>
              <w:spacing w:line="360" w:lineRule="auto"/>
              <w:ind w:right="-444"/>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100,000</w:t>
            </w:r>
          </w:p>
        </w:tc>
        <w:tc>
          <w:tcPr>
            <w:tcW w:w="1128" w:type="dxa"/>
          </w:tcPr>
          <w:p w14:paraId="32F3C8D3" w14:textId="4ACA9438" w:rsidR="00727175" w:rsidRPr="0086500B" w:rsidRDefault="00727175"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100,000 to 300,000</w:t>
            </w:r>
          </w:p>
        </w:tc>
        <w:tc>
          <w:tcPr>
            <w:tcW w:w="1250" w:type="dxa"/>
          </w:tcPr>
          <w:p w14:paraId="4D6C1075" w14:textId="001220B3" w:rsidR="00727175" w:rsidRPr="0086500B" w:rsidRDefault="00727175"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300,000 to 500,000</w:t>
            </w:r>
          </w:p>
        </w:tc>
        <w:tc>
          <w:tcPr>
            <w:tcW w:w="1148" w:type="dxa"/>
          </w:tcPr>
          <w:p w14:paraId="3E1415C3" w14:textId="4A87D159" w:rsidR="00727175" w:rsidRPr="0086500B" w:rsidRDefault="00727175" w:rsidP="00C83C05">
            <w:pPr>
              <w:spacing w:line="360" w:lineRule="auto"/>
              <w:ind w:right="-615"/>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 xml:space="preserve">Than  </w:t>
            </w:r>
          </w:p>
          <w:p w14:paraId="45C02F1F" w14:textId="670DA269" w:rsidR="00727175" w:rsidRPr="0086500B" w:rsidRDefault="00727175" w:rsidP="00C83C05">
            <w:pPr>
              <w:spacing w:line="360" w:lineRule="auto"/>
              <w:ind w:right="-615"/>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500,000</w:t>
            </w:r>
          </w:p>
        </w:tc>
        <w:tc>
          <w:tcPr>
            <w:tcW w:w="830" w:type="dxa"/>
          </w:tcPr>
          <w:p w14:paraId="78DC9133" w14:textId="77777777" w:rsidR="00727175" w:rsidRPr="0086500B" w:rsidRDefault="00727175" w:rsidP="00C83C0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6500B">
              <w:rPr>
                <w:rFonts w:ascii="Arial" w:hAnsi="Arial" w:cs="Arial"/>
                <w:b w:val="0"/>
                <w:bCs w:val="0"/>
                <w:sz w:val="24"/>
                <w:szCs w:val="24"/>
              </w:rPr>
              <w:t>Total</w:t>
            </w:r>
          </w:p>
        </w:tc>
      </w:tr>
      <w:tr w:rsidR="00727175" w:rsidRPr="0086500B" w14:paraId="44384998" w14:textId="77777777" w:rsidTr="000E0435">
        <w:tc>
          <w:tcPr>
            <w:cnfStyle w:val="001000000000" w:firstRow="0" w:lastRow="0" w:firstColumn="1" w:lastColumn="0" w:oddVBand="0" w:evenVBand="0" w:oddHBand="0" w:evenHBand="0" w:firstRowFirstColumn="0" w:firstRowLastColumn="0" w:lastRowFirstColumn="0" w:lastRowLastColumn="0"/>
            <w:tcW w:w="2756" w:type="dxa"/>
          </w:tcPr>
          <w:p w14:paraId="6AF97EBF" w14:textId="0AFAC17D" w:rsidR="00727175" w:rsidRPr="0086500B" w:rsidRDefault="00727175" w:rsidP="00C83C05">
            <w:pPr>
              <w:spacing w:line="360" w:lineRule="auto"/>
              <w:ind w:right="1161"/>
              <w:jc w:val="both"/>
              <w:rPr>
                <w:rFonts w:ascii="Arial" w:hAnsi="Arial" w:cs="Arial"/>
                <w:b w:val="0"/>
                <w:bCs w:val="0"/>
                <w:sz w:val="24"/>
                <w:szCs w:val="24"/>
              </w:rPr>
            </w:pPr>
            <w:r w:rsidRPr="0086500B">
              <w:rPr>
                <w:rFonts w:ascii="Arial" w:hAnsi="Arial" w:cs="Arial"/>
                <w:b w:val="0"/>
                <w:bCs w:val="0"/>
                <w:sz w:val="24"/>
                <w:szCs w:val="24"/>
              </w:rPr>
              <w:t>Before</w:t>
            </w:r>
          </w:p>
        </w:tc>
        <w:tc>
          <w:tcPr>
            <w:tcW w:w="1208" w:type="dxa"/>
          </w:tcPr>
          <w:p w14:paraId="0080636C"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25.4%</w:t>
            </w:r>
          </w:p>
        </w:tc>
        <w:tc>
          <w:tcPr>
            <w:tcW w:w="1128" w:type="dxa"/>
          </w:tcPr>
          <w:p w14:paraId="5872C76D"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59.3%</w:t>
            </w:r>
          </w:p>
        </w:tc>
        <w:tc>
          <w:tcPr>
            <w:tcW w:w="1250" w:type="dxa"/>
          </w:tcPr>
          <w:p w14:paraId="46598C58"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12.3%</w:t>
            </w:r>
          </w:p>
        </w:tc>
        <w:tc>
          <w:tcPr>
            <w:tcW w:w="1148" w:type="dxa"/>
          </w:tcPr>
          <w:p w14:paraId="7469F8E9"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3%</w:t>
            </w:r>
          </w:p>
        </w:tc>
        <w:tc>
          <w:tcPr>
            <w:tcW w:w="830" w:type="dxa"/>
          </w:tcPr>
          <w:p w14:paraId="207F06E5"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100%</w:t>
            </w:r>
          </w:p>
        </w:tc>
      </w:tr>
      <w:tr w:rsidR="00727175" w:rsidRPr="0086500B" w14:paraId="3B6BCCE7" w14:textId="77777777" w:rsidTr="000E0435">
        <w:tc>
          <w:tcPr>
            <w:cnfStyle w:val="001000000000" w:firstRow="0" w:lastRow="0" w:firstColumn="1" w:lastColumn="0" w:oddVBand="0" w:evenVBand="0" w:oddHBand="0" w:evenHBand="0" w:firstRowFirstColumn="0" w:firstRowLastColumn="0" w:lastRowFirstColumn="0" w:lastRowLastColumn="0"/>
            <w:tcW w:w="2756" w:type="dxa"/>
          </w:tcPr>
          <w:p w14:paraId="3E6C3438" w14:textId="71CA08AC" w:rsidR="00727175" w:rsidRPr="0086500B" w:rsidRDefault="00727175" w:rsidP="00C83C05">
            <w:pPr>
              <w:spacing w:line="360" w:lineRule="auto"/>
              <w:jc w:val="both"/>
              <w:rPr>
                <w:rFonts w:ascii="Arial" w:hAnsi="Arial" w:cs="Arial"/>
                <w:b w:val="0"/>
                <w:bCs w:val="0"/>
                <w:sz w:val="24"/>
                <w:szCs w:val="24"/>
              </w:rPr>
            </w:pPr>
            <w:r w:rsidRPr="0086500B">
              <w:rPr>
                <w:rFonts w:ascii="Arial" w:hAnsi="Arial" w:cs="Arial"/>
                <w:b w:val="0"/>
                <w:bCs w:val="0"/>
                <w:sz w:val="24"/>
                <w:szCs w:val="24"/>
              </w:rPr>
              <w:t xml:space="preserve">After </w:t>
            </w:r>
          </w:p>
        </w:tc>
        <w:tc>
          <w:tcPr>
            <w:tcW w:w="1208" w:type="dxa"/>
          </w:tcPr>
          <w:p w14:paraId="581C26AD"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3.6%</w:t>
            </w:r>
          </w:p>
        </w:tc>
        <w:tc>
          <w:tcPr>
            <w:tcW w:w="1128" w:type="dxa"/>
          </w:tcPr>
          <w:p w14:paraId="4B04AEFC"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16%</w:t>
            </w:r>
          </w:p>
        </w:tc>
        <w:tc>
          <w:tcPr>
            <w:tcW w:w="1250" w:type="dxa"/>
          </w:tcPr>
          <w:p w14:paraId="0DB9E838"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24.3%</w:t>
            </w:r>
          </w:p>
        </w:tc>
        <w:tc>
          <w:tcPr>
            <w:tcW w:w="1148" w:type="dxa"/>
          </w:tcPr>
          <w:p w14:paraId="300E6AAF"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56.1%</w:t>
            </w:r>
          </w:p>
        </w:tc>
        <w:tc>
          <w:tcPr>
            <w:tcW w:w="830" w:type="dxa"/>
          </w:tcPr>
          <w:p w14:paraId="341F9A36" w14:textId="77777777" w:rsidR="00727175" w:rsidRPr="0086500B" w:rsidRDefault="00727175" w:rsidP="00C83C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6500B">
              <w:rPr>
                <w:rFonts w:ascii="Arial" w:hAnsi="Arial" w:cs="Arial"/>
                <w:sz w:val="24"/>
                <w:szCs w:val="24"/>
              </w:rPr>
              <w:t>100%</w:t>
            </w:r>
          </w:p>
        </w:tc>
      </w:tr>
    </w:tbl>
    <w:p w14:paraId="73BEAD1E" w14:textId="77777777" w:rsidR="001E289A" w:rsidRPr="0086500B" w:rsidRDefault="001E289A" w:rsidP="00F9409B">
      <w:pPr>
        <w:pStyle w:val="Body"/>
        <w:spacing w:after="0"/>
        <w:jc w:val="left"/>
        <w:rPr>
          <w:rFonts w:ascii="Arial" w:hAnsi="Arial" w:cs="Arial"/>
          <w:sz w:val="24"/>
          <w:szCs w:val="24"/>
        </w:rPr>
      </w:pPr>
    </w:p>
    <w:p w14:paraId="0CB5ED89" w14:textId="77777777" w:rsidR="00513EF5" w:rsidRPr="0086500B" w:rsidRDefault="00513EF5" w:rsidP="00513EF5">
      <w:pPr>
        <w:pStyle w:val="Body"/>
        <w:spacing w:after="0"/>
        <w:rPr>
          <w:rFonts w:ascii="Arial" w:hAnsi="Arial" w:cs="Arial"/>
          <w:sz w:val="24"/>
          <w:szCs w:val="24"/>
        </w:rPr>
      </w:pPr>
      <w:r w:rsidRPr="0086500B">
        <w:rPr>
          <w:rFonts w:ascii="Arial" w:hAnsi="Arial" w:cs="Arial"/>
          <w:sz w:val="24"/>
          <w:szCs w:val="24"/>
        </w:rPr>
        <w:lastRenderedPageBreak/>
        <w:t>The effect of soft solutions on the number of vegetable farmers</w:t>
      </w:r>
    </w:p>
    <w:p w14:paraId="248AC141" w14:textId="77777777" w:rsidR="00513EF5" w:rsidRPr="0086500B" w:rsidRDefault="00513EF5" w:rsidP="00513EF5">
      <w:pPr>
        <w:pStyle w:val="Body"/>
        <w:rPr>
          <w:rFonts w:ascii="Arial" w:hAnsi="Arial" w:cs="Arial"/>
          <w:sz w:val="24"/>
          <w:szCs w:val="24"/>
        </w:rPr>
      </w:pPr>
      <w:r w:rsidRPr="0086500B">
        <w:rPr>
          <w:rFonts w:ascii="Arial" w:hAnsi="Arial" w:cs="Arial"/>
          <w:sz w:val="24"/>
          <w:szCs w:val="24"/>
        </w:rPr>
        <w:t xml:space="preserve"> Among the 152 surveyed vegetable farmers, all reported fewer than 100 farmers before the implementation of soft solutions, with fewer than 60 farmers present on the site. Since the introduction of these measures, the number of farmers has steadily increased. Currently, 83% of respondents report between 100 and 200 farmers, while 17% indicate that the number exceeds 200.</w:t>
      </w:r>
    </w:p>
    <w:p w14:paraId="1A2471D4" w14:textId="7A2495DC" w:rsidR="00513EF5" w:rsidRPr="0086500B" w:rsidRDefault="00513EF5" w:rsidP="00513EF5">
      <w:pPr>
        <w:pStyle w:val="Body"/>
        <w:spacing w:after="0"/>
        <w:rPr>
          <w:rFonts w:ascii="Arial" w:hAnsi="Arial" w:cs="Arial"/>
          <w:sz w:val="24"/>
          <w:szCs w:val="24"/>
        </w:rPr>
      </w:pPr>
    </w:p>
    <w:p w14:paraId="725212A3" w14:textId="73AA6CC9" w:rsidR="00790ADA" w:rsidRPr="0086500B" w:rsidRDefault="0058065A" w:rsidP="001B686A">
      <w:pPr>
        <w:pStyle w:val="Body"/>
        <w:spacing w:after="0"/>
        <w:rPr>
          <w:rFonts w:ascii="Arial" w:hAnsi="Arial" w:cs="Arial"/>
          <w:b/>
          <w:bCs/>
          <w:sz w:val="24"/>
          <w:szCs w:val="24"/>
        </w:rPr>
      </w:pPr>
      <w:r w:rsidRPr="0086500B">
        <w:rPr>
          <w:rFonts w:ascii="Arial" w:hAnsi="Arial" w:cs="Arial"/>
          <w:b/>
          <w:bCs/>
          <w:sz w:val="24"/>
          <w:szCs w:val="24"/>
        </w:rPr>
        <w:t xml:space="preserve">3.2. </w:t>
      </w:r>
      <w:r w:rsidR="00F023D5" w:rsidRPr="0086500B">
        <w:rPr>
          <w:rFonts w:ascii="Arial" w:hAnsi="Arial" w:cs="Arial"/>
          <w:b/>
          <w:bCs/>
          <w:sz w:val="24"/>
          <w:szCs w:val="24"/>
        </w:rPr>
        <w:t xml:space="preserve">DISCUSSION </w:t>
      </w:r>
    </w:p>
    <w:p w14:paraId="732358AB" w14:textId="66AC852D" w:rsidR="00F023D5" w:rsidRPr="0086500B" w:rsidRDefault="00F023D5" w:rsidP="00F023D5">
      <w:pPr>
        <w:pStyle w:val="Body"/>
        <w:spacing w:after="0"/>
        <w:rPr>
          <w:rFonts w:ascii="Arial" w:hAnsi="Arial" w:cs="Arial"/>
          <w:sz w:val="24"/>
          <w:szCs w:val="24"/>
        </w:rPr>
      </w:pPr>
      <w:r w:rsidRPr="0086500B">
        <w:rPr>
          <w:rFonts w:ascii="Arial" w:hAnsi="Arial" w:cs="Arial"/>
          <w:sz w:val="24"/>
          <w:szCs w:val="24"/>
        </w:rPr>
        <w:t>Based on the analysis of the beach profiles, we observe that the overall trend in beach length is indeed a reality, except for profile 6 where the length has decreased compared to its initial state. It should be noted that the beach length at the beginning of the construction was significantly shorter than the current length. We also note a retreat of the beach along almost the entire length of the breakwater on February 15, 2021, which was rapidly restored the following month. The decrease in beach length observed at this time (February 15) and at profile 6 is due to coastal erosion</w:t>
      </w:r>
      <w:r w:rsidR="00C7598B" w:rsidRPr="0086500B">
        <w:rPr>
          <w:rFonts w:ascii="Arial" w:hAnsi="Arial" w:cs="Arial"/>
          <w:sz w:val="24"/>
          <w:szCs w:val="24"/>
        </w:rPr>
        <w:t xml:space="preserve"> (</w:t>
      </w:r>
      <w:proofErr w:type="spellStart"/>
      <w:r w:rsidR="00C7598B" w:rsidRPr="0086500B">
        <w:rPr>
          <w:rFonts w:ascii="Arial" w:hAnsi="Arial" w:cs="Arial"/>
          <w:iCs/>
          <w:sz w:val="24"/>
          <w:szCs w:val="24"/>
        </w:rPr>
        <w:t>Koukpémédji</w:t>
      </w:r>
      <w:proofErr w:type="spellEnd"/>
      <w:r w:rsidR="00C7598B" w:rsidRPr="0086500B">
        <w:rPr>
          <w:rFonts w:ascii="Arial" w:hAnsi="Arial" w:cs="Arial"/>
          <w:iCs/>
          <w:sz w:val="24"/>
          <w:szCs w:val="24"/>
        </w:rPr>
        <w:t>, 2022)</w:t>
      </w:r>
      <w:r w:rsidRPr="0086500B">
        <w:rPr>
          <w:rFonts w:ascii="Arial" w:hAnsi="Arial" w:cs="Arial"/>
          <w:sz w:val="24"/>
          <w:szCs w:val="24"/>
        </w:rPr>
        <w:t xml:space="preserve">. With the force of swells and waves, the sea erodes the beach, causing the shoreline to retreat inland due to the loss of material. According to Faye (2022), coastal erosion is a large-scale phenomenon affecting all countries, but particularly sandy coasts, as is the case on the Langue de </w:t>
      </w:r>
      <w:proofErr w:type="spellStart"/>
      <w:r w:rsidRPr="0086500B">
        <w:rPr>
          <w:rFonts w:ascii="Arial" w:hAnsi="Arial" w:cs="Arial"/>
          <w:sz w:val="24"/>
          <w:szCs w:val="24"/>
        </w:rPr>
        <w:t>Barbarie</w:t>
      </w:r>
      <w:proofErr w:type="spellEnd"/>
      <w:r w:rsidRPr="0086500B">
        <w:rPr>
          <w:rFonts w:ascii="Arial" w:hAnsi="Arial" w:cs="Arial"/>
          <w:sz w:val="24"/>
          <w:szCs w:val="24"/>
        </w:rPr>
        <w:t xml:space="preserve"> spit. The period between 2009 and 2019 was marked by significant coastal erosion at a very high rate, with an average annual retreat rate of 5.48 m/year. The increase in beach length along the entire structure is due to sedimentation linked to the deposition of windblown sediments in the spits, originating from coastal drift as well as from Mauritania</w:t>
      </w:r>
      <w:r w:rsidR="00DC217B" w:rsidRPr="0086500B">
        <w:rPr>
          <w:rFonts w:ascii="Arial" w:hAnsi="Arial" w:cs="Arial"/>
          <w:sz w:val="24"/>
          <w:szCs w:val="24"/>
        </w:rPr>
        <w:t xml:space="preserve"> </w:t>
      </w:r>
      <w:proofErr w:type="gramStart"/>
      <w:r w:rsidR="00DC217B" w:rsidRPr="0086500B">
        <w:rPr>
          <w:rFonts w:ascii="Arial" w:hAnsi="Arial" w:cs="Arial"/>
          <w:sz w:val="24"/>
          <w:szCs w:val="24"/>
        </w:rPr>
        <w:t>( Faye</w:t>
      </w:r>
      <w:proofErr w:type="gramEnd"/>
      <w:r w:rsidR="00DC217B" w:rsidRPr="0086500B">
        <w:rPr>
          <w:rFonts w:ascii="Arial" w:hAnsi="Arial" w:cs="Arial"/>
          <w:sz w:val="24"/>
          <w:szCs w:val="24"/>
        </w:rPr>
        <w:t>, 2022)</w:t>
      </w:r>
      <w:r w:rsidRPr="0086500B">
        <w:rPr>
          <w:rFonts w:ascii="Arial" w:hAnsi="Arial" w:cs="Arial"/>
          <w:sz w:val="24"/>
          <w:szCs w:val="24"/>
        </w:rPr>
        <w:t xml:space="preserve">. This system has thus enabled the reconstitution of the dune system along the beach, reducing marine flooding in the market garden plots. It is within this same framework that the beach length has increased over the years. The structure has therefore effectively fulfilled its role in trapping windblown sand. These results are similar to those of </w:t>
      </w:r>
      <w:proofErr w:type="spellStart"/>
      <w:r w:rsidRPr="0086500B">
        <w:rPr>
          <w:rFonts w:ascii="Arial" w:hAnsi="Arial" w:cs="Arial"/>
          <w:sz w:val="24"/>
          <w:szCs w:val="24"/>
        </w:rPr>
        <w:t>Musereau</w:t>
      </w:r>
      <w:proofErr w:type="spellEnd"/>
      <w:r w:rsidRPr="0086500B">
        <w:rPr>
          <w:rFonts w:ascii="Arial" w:hAnsi="Arial" w:cs="Arial"/>
          <w:sz w:val="24"/>
          <w:szCs w:val="24"/>
        </w:rPr>
        <w:t xml:space="preserve"> et al. (2008), who described the installation of sand fences (similar in structure to typhavelles) at the Saint-Trojan dune in France. The installation consisted of installing sand fences in the form of a wind-permeable curtain with a permeability ratio of approximately 50%. This reduced wind speed and allowed for sand deposition in front of and behind the structure. This intervention contributed to beach accretion and its seaward advance. From north to south of the dune massif, at its maximum extent, the advance into the sea varies from 500 to 1,700 m. These results allow us to conclude that the typhavelles helped combat coastal erosion by promoting beach widening and dune formation through the trapping of windblown sand within the traps.</w:t>
      </w:r>
    </w:p>
    <w:p w14:paraId="2E0D7D5A" w14:textId="77777777" w:rsidR="00F023D5" w:rsidRPr="0086500B" w:rsidRDefault="00F023D5" w:rsidP="00F023D5">
      <w:pPr>
        <w:pStyle w:val="Body"/>
        <w:spacing w:after="0"/>
        <w:rPr>
          <w:rFonts w:ascii="Arial" w:hAnsi="Arial" w:cs="Arial"/>
          <w:sz w:val="24"/>
          <w:szCs w:val="24"/>
        </w:rPr>
      </w:pPr>
      <w:r w:rsidRPr="0086500B">
        <w:rPr>
          <w:rFonts w:ascii="Arial" w:hAnsi="Arial" w:cs="Arial"/>
          <w:sz w:val="24"/>
          <w:szCs w:val="24"/>
        </w:rPr>
        <w:t>The effects of the typhavelles (a type of coastal erosion control measure) are not limited to the beach area; combined with the reforestation of casuarina trees, market gardening has been able to develop behind them. In the four villages concerned—</w:t>
      </w:r>
      <w:proofErr w:type="spellStart"/>
      <w:r w:rsidRPr="0086500B">
        <w:rPr>
          <w:rFonts w:ascii="Arial" w:hAnsi="Arial" w:cs="Arial"/>
          <w:sz w:val="24"/>
          <w:szCs w:val="24"/>
        </w:rPr>
        <w:t>Diéle</w:t>
      </w:r>
      <w:proofErr w:type="spellEnd"/>
      <w:r w:rsidRPr="0086500B">
        <w:rPr>
          <w:rFonts w:ascii="Arial" w:hAnsi="Arial" w:cs="Arial"/>
          <w:sz w:val="24"/>
          <w:szCs w:val="24"/>
        </w:rPr>
        <w:t xml:space="preserve"> </w:t>
      </w:r>
      <w:proofErr w:type="spellStart"/>
      <w:r w:rsidRPr="0086500B">
        <w:rPr>
          <w:rFonts w:ascii="Arial" w:hAnsi="Arial" w:cs="Arial"/>
          <w:sz w:val="24"/>
          <w:szCs w:val="24"/>
        </w:rPr>
        <w:t>Mbam</w:t>
      </w:r>
      <w:proofErr w:type="spellEnd"/>
      <w:r w:rsidRPr="0086500B">
        <w:rPr>
          <w:rFonts w:ascii="Arial" w:hAnsi="Arial" w:cs="Arial"/>
          <w:sz w:val="24"/>
          <w:szCs w:val="24"/>
        </w:rPr>
        <w:t xml:space="preserve">, </w:t>
      </w:r>
      <w:proofErr w:type="spellStart"/>
      <w:r w:rsidRPr="0086500B">
        <w:rPr>
          <w:rFonts w:ascii="Arial" w:hAnsi="Arial" w:cs="Arial"/>
          <w:sz w:val="24"/>
          <w:szCs w:val="24"/>
        </w:rPr>
        <w:t>Doun</w:t>
      </w:r>
      <w:proofErr w:type="spellEnd"/>
      <w:r w:rsidRPr="0086500B">
        <w:rPr>
          <w:rFonts w:ascii="Arial" w:hAnsi="Arial" w:cs="Arial"/>
          <w:sz w:val="24"/>
          <w:szCs w:val="24"/>
        </w:rPr>
        <w:t xml:space="preserve"> Baba Diéy, </w:t>
      </w:r>
      <w:proofErr w:type="spellStart"/>
      <w:r w:rsidRPr="0086500B">
        <w:rPr>
          <w:rFonts w:ascii="Arial" w:hAnsi="Arial" w:cs="Arial"/>
          <w:sz w:val="24"/>
          <w:szCs w:val="24"/>
        </w:rPr>
        <w:t>Keur</w:t>
      </w:r>
      <w:proofErr w:type="spellEnd"/>
      <w:r w:rsidRPr="0086500B">
        <w:rPr>
          <w:rFonts w:ascii="Arial" w:hAnsi="Arial" w:cs="Arial"/>
          <w:sz w:val="24"/>
          <w:szCs w:val="24"/>
        </w:rPr>
        <w:t xml:space="preserve"> </w:t>
      </w:r>
      <w:proofErr w:type="spellStart"/>
      <w:r w:rsidRPr="0086500B">
        <w:rPr>
          <w:rFonts w:ascii="Arial" w:hAnsi="Arial" w:cs="Arial"/>
          <w:sz w:val="24"/>
          <w:szCs w:val="24"/>
        </w:rPr>
        <w:t>Barka</w:t>
      </w:r>
      <w:proofErr w:type="spellEnd"/>
      <w:r w:rsidRPr="0086500B">
        <w:rPr>
          <w:rFonts w:ascii="Arial" w:hAnsi="Arial" w:cs="Arial"/>
          <w:sz w:val="24"/>
          <w:szCs w:val="24"/>
        </w:rPr>
        <w:t xml:space="preserve">, and </w:t>
      </w:r>
      <w:proofErr w:type="spellStart"/>
      <w:r w:rsidRPr="0086500B">
        <w:rPr>
          <w:rFonts w:ascii="Arial" w:hAnsi="Arial" w:cs="Arial"/>
          <w:sz w:val="24"/>
          <w:szCs w:val="24"/>
        </w:rPr>
        <w:t>Mambara</w:t>
      </w:r>
      <w:proofErr w:type="spellEnd"/>
      <w:r w:rsidRPr="0086500B">
        <w:rPr>
          <w:rFonts w:ascii="Arial" w:hAnsi="Arial" w:cs="Arial"/>
          <w:sz w:val="24"/>
          <w:szCs w:val="24"/>
        </w:rPr>
        <w:t>—all the market gardeners are familiar with the sustainable solutions and have clearly seen their benefits. According to the distribution of the market gardeners, the majority are between 40 and 60 years old. This shows that adults and the elderly are more involved in market gardening. Rural exodus and migration mean that young people are practically inactive in market gardening. According to Brüning (2022), to cope with the environmental degradation caused by the construction and widening of the breach, many young people have chosen migration as an adaptation strategy. More than half of the producers are men (54%), but the percentage of women (46%) shows that they are also involved in this activity and, according to them, have their own plots within the Marine Protected Area (MPA).</w:t>
      </w:r>
    </w:p>
    <w:p w14:paraId="568EA875" w14:textId="77777777" w:rsidR="00F023D5" w:rsidRPr="0086500B" w:rsidRDefault="00F023D5" w:rsidP="00F023D5">
      <w:pPr>
        <w:pStyle w:val="Body"/>
        <w:spacing w:after="0"/>
        <w:rPr>
          <w:rFonts w:ascii="Arial" w:hAnsi="Arial" w:cs="Arial"/>
          <w:sz w:val="24"/>
          <w:szCs w:val="24"/>
        </w:rPr>
      </w:pPr>
      <w:r w:rsidRPr="0086500B">
        <w:rPr>
          <w:rFonts w:ascii="Arial" w:hAnsi="Arial" w:cs="Arial"/>
          <w:sz w:val="24"/>
          <w:szCs w:val="24"/>
        </w:rPr>
        <w:t xml:space="preserve">According to the survey results, cabbage is the main crop grown and sold in this area. Other crops such as tomatoes, hibiscus, and okra are generally grown for consumption. Before the implementation of sustainable solutions, the market garden plots were submerged by seawater during periods of heavy swells and strong winds, leading to the salinization of freshwater aquifers. As a result, more than half of the producers (69.5%) had a yield of less than 1 ton, and 59.3% had an income between 100,000 and 300,000 FCFA. The work of Niang et al. (2020) shows that low yields and plot abandonment in the </w:t>
      </w:r>
      <w:proofErr w:type="spellStart"/>
      <w:r w:rsidRPr="0086500B">
        <w:rPr>
          <w:rFonts w:ascii="Arial" w:hAnsi="Arial" w:cs="Arial"/>
          <w:sz w:val="24"/>
          <w:szCs w:val="24"/>
        </w:rPr>
        <w:t>Gandiolais</w:t>
      </w:r>
      <w:proofErr w:type="spellEnd"/>
      <w:r w:rsidRPr="0086500B">
        <w:rPr>
          <w:rFonts w:ascii="Arial" w:hAnsi="Arial" w:cs="Arial"/>
          <w:sz w:val="24"/>
          <w:szCs w:val="24"/>
        </w:rPr>
        <w:t xml:space="preserve"> region are due to soil salinity. However, after the implementation of these solutions, 64.4% </w:t>
      </w:r>
      <w:r w:rsidRPr="0086500B">
        <w:rPr>
          <w:rFonts w:ascii="Arial" w:hAnsi="Arial" w:cs="Arial"/>
          <w:sz w:val="24"/>
          <w:szCs w:val="24"/>
        </w:rPr>
        <w:lastRenderedPageBreak/>
        <w:t>of market gardeners have yields between 1 and 4 tons, 25.4% have yields exceeding 4 tons, and more than half (56.1%) have an income exceeding 500,000 CFA francs. There has also been an increase in the number of producers; according to respondents, the majority (83%) reported between 100 and 200 market gardeners, while 17% reported more than 200. This demonstrates that the solutions have a positive impact on market gardening</w:t>
      </w:r>
    </w:p>
    <w:p w14:paraId="4BC612CA" w14:textId="77777777" w:rsidR="00F023D5" w:rsidRPr="0086500B" w:rsidRDefault="00F023D5" w:rsidP="001B686A">
      <w:pPr>
        <w:pStyle w:val="Body"/>
        <w:spacing w:after="0"/>
        <w:rPr>
          <w:rFonts w:ascii="Arial" w:hAnsi="Arial" w:cs="Arial"/>
          <w:sz w:val="24"/>
          <w:szCs w:val="24"/>
        </w:rPr>
      </w:pPr>
    </w:p>
    <w:p w14:paraId="51A1F432" w14:textId="77777777" w:rsidR="00B01FCD" w:rsidRPr="0086500B" w:rsidRDefault="00000F8F" w:rsidP="001B686A">
      <w:pPr>
        <w:pStyle w:val="ConcHead"/>
        <w:spacing w:after="0"/>
        <w:jc w:val="both"/>
        <w:rPr>
          <w:rFonts w:ascii="Arial" w:hAnsi="Arial" w:cs="Arial"/>
          <w:sz w:val="24"/>
          <w:szCs w:val="24"/>
        </w:rPr>
      </w:pPr>
      <w:r w:rsidRPr="0086500B">
        <w:rPr>
          <w:rFonts w:ascii="Arial" w:hAnsi="Arial" w:cs="Arial"/>
          <w:sz w:val="24"/>
          <w:szCs w:val="24"/>
        </w:rPr>
        <w:t xml:space="preserve">4. </w:t>
      </w:r>
      <w:r w:rsidR="00B01FCD" w:rsidRPr="0086500B">
        <w:rPr>
          <w:rFonts w:ascii="Arial" w:hAnsi="Arial" w:cs="Arial"/>
          <w:sz w:val="24"/>
          <w:szCs w:val="24"/>
        </w:rPr>
        <w:t>Conclusion</w:t>
      </w:r>
    </w:p>
    <w:p w14:paraId="4D21FB1A" w14:textId="77777777" w:rsidR="00790ADA" w:rsidRPr="0086500B" w:rsidRDefault="00790ADA" w:rsidP="001B686A">
      <w:pPr>
        <w:pStyle w:val="ConcHead"/>
        <w:spacing w:after="0"/>
        <w:jc w:val="both"/>
        <w:rPr>
          <w:rFonts w:ascii="Arial" w:hAnsi="Arial" w:cs="Arial"/>
          <w:sz w:val="24"/>
          <w:szCs w:val="24"/>
        </w:rPr>
      </w:pPr>
    </w:p>
    <w:p w14:paraId="48BC854F" w14:textId="0E45449A" w:rsidR="00F023D5" w:rsidRPr="0086500B" w:rsidRDefault="00F023D5" w:rsidP="00F023D5">
      <w:pPr>
        <w:pStyle w:val="Body"/>
        <w:rPr>
          <w:rFonts w:ascii="Arial" w:hAnsi="Arial" w:cs="Arial"/>
          <w:sz w:val="24"/>
          <w:szCs w:val="24"/>
        </w:rPr>
      </w:pPr>
      <w:r w:rsidRPr="0086500B">
        <w:rPr>
          <w:rFonts w:ascii="Arial" w:hAnsi="Arial" w:cs="Arial"/>
          <w:sz w:val="24"/>
          <w:szCs w:val="24"/>
        </w:rPr>
        <w:t xml:space="preserve">This study, focusing on the effects of soft engineering solutions on the socio-economic activity of market gardening, was conducted in the Saint-Louis Marine Protected Area (MPA) and in the villages of </w:t>
      </w:r>
      <w:proofErr w:type="spellStart"/>
      <w:r w:rsidRPr="0086500B">
        <w:rPr>
          <w:rFonts w:ascii="Arial" w:hAnsi="Arial" w:cs="Arial"/>
          <w:sz w:val="24"/>
          <w:szCs w:val="24"/>
        </w:rPr>
        <w:t>Diéle</w:t>
      </w:r>
      <w:proofErr w:type="spellEnd"/>
      <w:r w:rsidRPr="0086500B">
        <w:rPr>
          <w:rFonts w:ascii="Arial" w:hAnsi="Arial" w:cs="Arial"/>
          <w:sz w:val="24"/>
          <w:szCs w:val="24"/>
        </w:rPr>
        <w:t xml:space="preserve"> </w:t>
      </w:r>
      <w:proofErr w:type="spellStart"/>
      <w:r w:rsidRPr="0086500B">
        <w:rPr>
          <w:rFonts w:ascii="Arial" w:hAnsi="Arial" w:cs="Arial"/>
          <w:sz w:val="24"/>
          <w:szCs w:val="24"/>
        </w:rPr>
        <w:t>Mbam</w:t>
      </w:r>
      <w:proofErr w:type="spellEnd"/>
      <w:r w:rsidRPr="0086500B">
        <w:rPr>
          <w:rFonts w:ascii="Arial" w:hAnsi="Arial" w:cs="Arial"/>
          <w:sz w:val="24"/>
          <w:szCs w:val="24"/>
        </w:rPr>
        <w:t xml:space="preserve">, </w:t>
      </w:r>
      <w:proofErr w:type="spellStart"/>
      <w:r w:rsidRPr="0086500B">
        <w:rPr>
          <w:rFonts w:ascii="Arial" w:hAnsi="Arial" w:cs="Arial"/>
          <w:sz w:val="24"/>
          <w:szCs w:val="24"/>
        </w:rPr>
        <w:t>Doun</w:t>
      </w:r>
      <w:proofErr w:type="spellEnd"/>
      <w:r w:rsidRPr="0086500B">
        <w:rPr>
          <w:rFonts w:ascii="Arial" w:hAnsi="Arial" w:cs="Arial"/>
          <w:sz w:val="24"/>
          <w:szCs w:val="24"/>
        </w:rPr>
        <w:t xml:space="preserve"> Baba Diéy, </w:t>
      </w:r>
      <w:proofErr w:type="spellStart"/>
      <w:r w:rsidRPr="0086500B">
        <w:rPr>
          <w:rFonts w:ascii="Arial" w:hAnsi="Arial" w:cs="Arial"/>
          <w:sz w:val="24"/>
          <w:szCs w:val="24"/>
        </w:rPr>
        <w:t>Keur</w:t>
      </w:r>
      <w:proofErr w:type="spellEnd"/>
      <w:r w:rsidRPr="0086500B">
        <w:rPr>
          <w:rFonts w:ascii="Arial" w:hAnsi="Arial" w:cs="Arial"/>
          <w:sz w:val="24"/>
          <w:szCs w:val="24"/>
        </w:rPr>
        <w:t xml:space="preserve"> </w:t>
      </w:r>
      <w:proofErr w:type="spellStart"/>
      <w:r w:rsidRPr="0086500B">
        <w:rPr>
          <w:rFonts w:ascii="Arial" w:hAnsi="Arial" w:cs="Arial"/>
          <w:sz w:val="24"/>
          <w:szCs w:val="24"/>
        </w:rPr>
        <w:t>Barka</w:t>
      </w:r>
      <w:proofErr w:type="spellEnd"/>
      <w:r w:rsidRPr="0086500B">
        <w:rPr>
          <w:rFonts w:ascii="Arial" w:hAnsi="Arial" w:cs="Arial"/>
          <w:sz w:val="24"/>
          <w:szCs w:val="24"/>
        </w:rPr>
        <w:t xml:space="preserve">, and </w:t>
      </w:r>
      <w:proofErr w:type="spellStart"/>
      <w:r w:rsidRPr="0086500B">
        <w:rPr>
          <w:rFonts w:ascii="Arial" w:hAnsi="Arial" w:cs="Arial"/>
          <w:sz w:val="24"/>
          <w:szCs w:val="24"/>
        </w:rPr>
        <w:t>Mambara</w:t>
      </w:r>
      <w:proofErr w:type="spellEnd"/>
      <w:r w:rsidRPr="0086500B">
        <w:rPr>
          <w:rFonts w:ascii="Arial" w:hAnsi="Arial" w:cs="Arial"/>
          <w:sz w:val="24"/>
          <w:szCs w:val="24"/>
        </w:rPr>
        <w:t>. In accordance with the specific objectives, the results indicate that a positive evolution in beach length was observed across all profiles, primarily due to sedimentation. Profile 6, however, is an exception, showing a regression attributable to coastal erosion. Furthermore, the survey results reveal that soft engineering solutions have a beneficial effect on market gardening, resulting in a significant increase in yield, income, and the number of producers.</w:t>
      </w:r>
    </w:p>
    <w:p w14:paraId="7F516601" w14:textId="77777777" w:rsidR="002A443E" w:rsidRDefault="002A443E" w:rsidP="001B686A">
      <w:pPr>
        <w:pStyle w:val="ReferHead"/>
        <w:spacing w:after="0"/>
        <w:jc w:val="both"/>
        <w:rPr>
          <w:rFonts w:ascii="Arial" w:hAnsi="Arial" w:cs="Arial"/>
          <w:bCs/>
          <w:sz w:val="24"/>
          <w:szCs w:val="24"/>
        </w:rPr>
      </w:pPr>
    </w:p>
    <w:p w14:paraId="5A29D165" w14:textId="3734CAB5" w:rsidR="002B685A" w:rsidRPr="0086500B" w:rsidRDefault="002B685A" w:rsidP="001B686A">
      <w:pPr>
        <w:pStyle w:val="ReferHead"/>
        <w:spacing w:after="0"/>
        <w:jc w:val="both"/>
        <w:rPr>
          <w:rFonts w:ascii="Arial" w:hAnsi="Arial" w:cs="Arial"/>
          <w:bCs/>
          <w:sz w:val="24"/>
          <w:szCs w:val="24"/>
        </w:rPr>
      </w:pPr>
      <w:r w:rsidRPr="0086500B">
        <w:rPr>
          <w:rFonts w:ascii="Arial" w:hAnsi="Arial" w:cs="Arial"/>
          <w:bCs/>
          <w:sz w:val="24"/>
          <w:szCs w:val="24"/>
        </w:rPr>
        <w:t xml:space="preserve">Consent </w:t>
      </w:r>
    </w:p>
    <w:p w14:paraId="35A8FF8C" w14:textId="54C567BD" w:rsidR="005C784C" w:rsidRPr="0086500B" w:rsidRDefault="00BA3CB0" w:rsidP="00BA3CB0">
      <w:pPr>
        <w:pStyle w:val="ReferHead"/>
        <w:jc w:val="both"/>
        <w:rPr>
          <w:rFonts w:ascii="Arial" w:hAnsi="Arial" w:cs="Arial"/>
          <w:b w:val="0"/>
          <w:caps w:val="0"/>
          <w:sz w:val="24"/>
          <w:szCs w:val="24"/>
        </w:rPr>
      </w:pPr>
      <w:r w:rsidRPr="0086500B">
        <w:rPr>
          <w:rFonts w:ascii="Arial" w:hAnsi="Arial" w:cs="Arial"/>
          <w:b w:val="0"/>
          <w:caps w:val="0"/>
          <w:sz w:val="24"/>
          <w:szCs w:val="24"/>
        </w:rPr>
        <w:t xml:space="preserve"> All authors declare that this study does not involve human patients and, therefore, no specific informed consent is required for the publication of this article.</w:t>
      </w:r>
    </w:p>
    <w:p w14:paraId="1EBDEF2A" w14:textId="398A0DBE" w:rsidR="005C784C" w:rsidRPr="0086500B" w:rsidRDefault="005C784C" w:rsidP="001B686A">
      <w:pPr>
        <w:pStyle w:val="ReferHead"/>
        <w:spacing w:after="0"/>
        <w:jc w:val="both"/>
        <w:rPr>
          <w:rFonts w:ascii="Arial" w:hAnsi="Arial" w:cs="Arial"/>
          <w:bCs/>
          <w:sz w:val="24"/>
          <w:szCs w:val="24"/>
        </w:rPr>
      </w:pPr>
      <w:r w:rsidRPr="0086500B">
        <w:rPr>
          <w:rFonts w:ascii="Arial" w:hAnsi="Arial" w:cs="Arial"/>
          <w:bCs/>
          <w:sz w:val="24"/>
          <w:szCs w:val="24"/>
        </w:rPr>
        <w:t xml:space="preserve">Ethical approval </w:t>
      </w:r>
    </w:p>
    <w:p w14:paraId="2E16A311" w14:textId="38A31082" w:rsidR="00860000" w:rsidRPr="0086500B" w:rsidRDefault="00B81DBD" w:rsidP="001B686A">
      <w:pPr>
        <w:pStyle w:val="ReferHead"/>
        <w:spacing w:after="0"/>
        <w:jc w:val="both"/>
        <w:rPr>
          <w:b w:val="0"/>
          <w:caps w:val="0"/>
          <w:sz w:val="24"/>
          <w:szCs w:val="24"/>
        </w:rPr>
      </w:pPr>
      <w:r w:rsidRPr="0086500B">
        <w:rPr>
          <w:b w:val="0"/>
          <w:caps w:val="0"/>
          <w:sz w:val="24"/>
          <w:szCs w:val="24"/>
        </w:rPr>
        <w:t>This study does not involve human patients or animal subjects. Therefore, the ethical approvals required for medical or animal research, as described above, are not applicable to this manuscript.</w:t>
      </w:r>
    </w:p>
    <w:p w14:paraId="357A8B55" w14:textId="77777777" w:rsidR="00B01FCD" w:rsidRPr="0086500B" w:rsidRDefault="00B01FCD" w:rsidP="001B686A">
      <w:pPr>
        <w:pStyle w:val="ReferHead"/>
        <w:spacing w:after="0"/>
        <w:jc w:val="both"/>
        <w:rPr>
          <w:rFonts w:ascii="Arial" w:hAnsi="Arial" w:cs="Arial"/>
          <w:sz w:val="24"/>
          <w:szCs w:val="24"/>
        </w:rPr>
      </w:pPr>
      <w:r w:rsidRPr="0086500B">
        <w:rPr>
          <w:rFonts w:ascii="Arial" w:hAnsi="Arial" w:cs="Arial"/>
          <w:sz w:val="24"/>
          <w:szCs w:val="24"/>
        </w:rPr>
        <w:t>References</w:t>
      </w:r>
    </w:p>
    <w:p w14:paraId="1D348A92" w14:textId="77777777" w:rsidR="00B81DBD" w:rsidRPr="0086500B" w:rsidRDefault="00B81DBD" w:rsidP="004209B5">
      <w:pPr>
        <w:pStyle w:val="Body"/>
        <w:numPr>
          <w:ilvl w:val="0"/>
          <w:numId w:val="34"/>
        </w:numPr>
        <w:spacing w:after="0"/>
        <w:rPr>
          <w:rFonts w:ascii="Arial" w:hAnsi="Arial" w:cs="Arial"/>
          <w:iCs/>
          <w:sz w:val="24"/>
          <w:szCs w:val="24"/>
        </w:rPr>
      </w:pPr>
      <w:proofErr w:type="spellStart"/>
      <w:r w:rsidRPr="0086500B">
        <w:rPr>
          <w:rFonts w:ascii="Arial" w:hAnsi="Arial" w:cs="Arial"/>
          <w:iCs/>
          <w:sz w:val="24"/>
          <w:szCs w:val="24"/>
        </w:rPr>
        <w:t>Benkhaldoun</w:t>
      </w:r>
      <w:proofErr w:type="spellEnd"/>
      <w:r w:rsidRPr="0086500B">
        <w:rPr>
          <w:rFonts w:ascii="Arial" w:hAnsi="Arial" w:cs="Arial"/>
          <w:iCs/>
          <w:sz w:val="24"/>
          <w:szCs w:val="24"/>
        </w:rPr>
        <w:t xml:space="preserve">, Z. (2019). Experimental studies of cross-shore profiles of sandy beaches [Unpublished manuscript]. Academia.edu. </w:t>
      </w:r>
      <w:hyperlink r:id="rId18" w:history="1">
        <w:r w:rsidRPr="0086500B">
          <w:rPr>
            <w:rStyle w:val="Hyperlink"/>
            <w:rFonts w:ascii="Arial" w:hAnsi="Arial" w:cs="Arial"/>
            <w:iCs/>
            <w:sz w:val="24"/>
            <w:szCs w:val="24"/>
          </w:rPr>
          <w:t>https://www.academia.edu/47868494/Etudes_exp_rimentales_des_profils_cross-shore_de_plages_sableuses</w:t>
        </w:r>
      </w:hyperlink>
    </w:p>
    <w:p w14:paraId="3A189488"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Brüning, L. (2022). Coastal erosion in northern Senegal: Migration and adaptation strategies (Doctoral dissertation). Institute of Geography, University of Neuchâtel, Switzerland.</w:t>
      </w:r>
    </w:p>
    <w:p w14:paraId="043F3984"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lang w:val="fr-FR"/>
        </w:rPr>
        <w:t xml:space="preserve">Croitoru, L., Miranda, J. J., &amp; Sarraf, M. (2019). </w:t>
      </w:r>
      <w:r w:rsidRPr="0086500B">
        <w:rPr>
          <w:rFonts w:ascii="Arial" w:hAnsi="Arial" w:cs="Arial"/>
          <w:iCs/>
          <w:sz w:val="24"/>
          <w:szCs w:val="24"/>
        </w:rPr>
        <w:t>The cost of coastal zone degradation in West Africa. The World Bank.</w:t>
      </w:r>
    </w:p>
    <w:p w14:paraId="477F1EE7"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Diatta, I. (2004). The opening of a breach across the Langue de </w:t>
      </w:r>
      <w:proofErr w:type="spellStart"/>
      <w:r w:rsidRPr="0086500B">
        <w:rPr>
          <w:rFonts w:ascii="Arial" w:hAnsi="Arial" w:cs="Arial"/>
          <w:iCs/>
          <w:sz w:val="24"/>
          <w:szCs w:val="24"/>
        </w:rPr>
        <w:t>Barbarie</w:t>
      </w:r>
      <w:proofErr w:type="spellEnd"/>
      <w:r w:rsidRPr="0086500B">
        <w:rPr>
          <w:rFonts w:ascii="Arial" w:hAnsi="Arial" w:cs="Arial"/>
          <w:iCs/>
          <w:sz w:val="24"/>
          <w:szCs w:val="24"/>
        </w:rPr>
        <w:t xml:space="preserve"> (Saint-Louis, Senegal): Public authorities and consequences of the rupture (Master’s thesis). Gaston Berger University, Saint-Louis, Senegal.</w:t>
      </w:r>
    </w:p>
    <w:p w14:paraId="2D4D9B50"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Dumas, D., &amp; </w:t>
      </w:r>
      <w:proofErr w:type="spellStart"/>
      <w:r w:rsidRPr="0086500B">
        <w:rPr>
          <w:rFonts w:ascii="Arial" w:hAnsi="Arial" w:cs="Arial"/>
          <w:iCs/>
          <w:sz w:val="24"/>
          <w:szCs w:val="24"/>
        </w:rPr>
        <w:t>Mietton</w:t>
      </w:r>
      <w:proofErr w:type="spellEnd"/>
      <w:r w:rsidRPr="0086500B">
        <w:rPr>
          <w:rFonts w:ascii="Arial" w:hAnsi="Arial" w:cs="Arial"/>
          <w:iCs/>
          <w:sz w:val="24"/>
          <w:szCs w:val="24"/>
        </w:rPr>
        <w:t xml:space="preserve">, M. (2006). Hydrological modification and flood risk reduction in Saint-Louis following the opening of the breach. Revue de </w:t>
      </w:r>
      <w:proofErr w:type="spellStart"/>
      <w:r w:rsidRPr="0086500B">
        <w:rPr>
          <w:rFonts w:ascii="Arial" w:hAnsi="Arial" w:cs="Arial"/>
          <w:iCs/>
          <w:sz w:val="24"/>
          <w:szCs w:val="24"/>
        </w:rPr>
        <w:t>Géographie</w:t>
      </w:r>
      <w:proofErr w:type="spellEnd"/>
      <w:r w:rsidRPr="0086500B">
        <w:rPr>
          <w:rFonts w:ascii="Arial" w:hAnsi="Arial" w:cs="Arial"/>
          <w:iCs/>
          <w:sz w:val="24"/>
          <w:szCs w:val="24"/>
        </w:rPr>
        <w:t xml:space="preserve"> Alpine / Journal of Alpine Research.</w:t>
      </w:r>
    </w:p>
    <w:p w14:paraId="54A4600C"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Durand, P., Anselme, B., &amp; Thomas, Y.-F. (2010). The impact of the 2003 breach opening in the Langue de </w:t>
      </w:r>
      <w:proofErr w:type="spellStart"/>
      <w:r w:rsidRPr="0086500B">
        <w:rPr>
          <w:rFonts w:ascii="Arial" w:hAnsi="Arial" w:cs="Arial"/>
          <w:iCs/>
          <w:sz w:val="24"/>
          <w:szCs w:val="24"/>
        </w:rPr>
        <w:t>Barbarie</w:t>
      </w:r>
      <w:proofErr w:type="spellEnd"/>
      <w:r w:rsidRPr="0086500B">
        <w:rPr>
          <w:rFonts w:ascii="Arial" w:hAnsi="Arial" w:cs="Arial"/>
          <w:iCs/>
          <w:sz w:val="24"/>
          <w:szCs w:val="24"/>
        </w:rPr>
        <w:t xml:space="preserve"> at Saint-Louis, Senegal: A change in the nature of flood hazard? </w:t>
      </w:r>
      <w:proofErr w:type="spellStart"/>
      <w:r w:rsidRPr="0086500B">
        <w:rPr>
          <w:rFonts w:ascii="Arial" w:hAnsi="Arial" w:cs="Arial"/>
          <w:iCs/>
          <w:sz w:val="24"/>
          <w:szCs w:val="24"/>
        </w:rPr>
        <w:t>Cybergeo</w:t>
      </w:r>
      <w:proofErr w:type="spellEnd"/>
      <w:r w:rsidRPr="0086500B">
        <w:rPr>
          <w:rFonts w:ascii="Arial" w:hAnsi="Arial" w:cs="Arial"/>
          <w:iCs/>
          <w:sz w:val="24"/>
          <w:szCs w:val="24"/>
        </w:rPr>
        <w:t xml:space="preserve">: European Journal of Geography, 496. </w:t>
      </w:r>
      <w:hyperlink r:id="rId19" w:history="1">
        <w:r w:rsidRPr="0086500B">
          <w:rPr>
            <w:rStyle w:val="Hyperlink"/>
            <w:rFonts w:ascii="Arial" w:hAnsi="Arial" w:cs="Arial"/>
            <w:iCs/>
            <w:sz w:val="24"/>
            <w:szCs w:val="24"/>
          </w:rPr>
          <w:t>https://doi.org/10.4000/cybergeo.23017</w:t>
        </w:r>
      </w:hyperlink>
    </w:p>
    <w:p w14:paraId="765CC2EC"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Faye, I. B. N. (2010). Shoreline dynamics on the sandy coasts from Mauritania to Guinea-Bissau (West Africa): Regional and local approaches using photo-interpretation, image processing, and historical map analysis (Doctoral dissertation). University of Western Brittany, Brest.</w:t>
      </w:r>
    </w:p>
    <w:p w14:paraId="37DB1115"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Faye, M. (2022). Socio-economic impacts of coastal erosion on the Langue de </w:t>
      </w:r>
      <w:proofErr w:type="spellStart"/>
      <w:r w:rsidRPr="0086500B">
        <w:rPr>
          <w:rFonts w:ascii="Arial" w:hAnsi="Arial" w:cs="Arial"/>
          <w:iCs/>
          <w:sz w:val="24"/>
          <w:szCs w:val="24"/>
        </w:rPr>
        <w:t>Barbarie</w:t>
      </w:r>
      <w:proofErr w:type="spellEnd"/>
      <w:r w:rsidRPr="0086500B">
        <w:rPr>
          <w:rFonts w:ascii="Arial" w:hAnsi="Arial" w:cs="Arial"/>
          <w:iCs/>
          <w:sz w:val="24"/>
          <w:szCs w:val="24"/>
        </w:rPr>
        <w:t xml:space="preserve">: </w:t>
      </w:r>
      <w:proofErr w:type="spellStart"/>
      <w:r w:rsidRPr="0086500B">
        <w:rPr>
          <w:rFonts w:ascii="Arial" w:hAnsi="Arial" w:cs="Arial"/>
          <w:iCs/>
          <w:sz w:val="24"/>
          <w:szCs w:val="24"/>
        </w:rPr>
        <w:t>Goxxu</w:t>
      </w:r>
      <w:proofErr w:type="spellEnd"/>
      <w:r w:rsidRPr="0086500B">
        <w:rPr>
          <w:rFonts w:ascii="Arial" w:hAnsi="Arial" w:cs="Arial"/>
          <w:iCs/>
          <w:sz w:val="24"/>
          <w:szCs w:val="24"/>
        </w:rPr>
        <w:t xml:space="preserve"> </w:t>
      </w:r>
      <w:proofErr w:type="spellStart"/>
      <w:r w:rsidRPr="0086500B">
        <w:rPr>
          <w:rFonts w:ascii="Arial" w:hAnsi="Arial" w:cs="Arial"/>
          <w:iCs/>
          <w:sz w:val="24"/>
          <w:szCs w:val="24"/>
        </w:rPr>
        <w:t>Mbacc</w:t>
      </w:r>
      <w:proofErr w:type="spellEnd"/>
      <w:r w:rsidRPr="0086500B">
        <w:rPr>
          <w:rFonts w:ascii="Arial" w:hAnsi="Arial" w:cs="Arial"/>
          <w:iCs/>
          <w:sz w:val="24"/>
          <w:szCs w:val="24"/>
        </w:rPr>
        <w:t xml:space="preserve">, </w:t>
      </w:r>
      <w:proofErr w:type="spellStart"/>
      <w:r w:rsidRPr="0086500B">
        <w:rPr>
          <w:rFonts w:ascii="Arial" w:hAnsi="Arial" w:cs="Arial"/>
          <w:iCs/>
          <w:sz w:val="24"/>
          <w:szCs w:val="24"/>
        </w:rPr>
        <w:t>Santhiaba</w:t>
      </w:r>
      <w:proofErr w:type="spellEnd"/>
      <w:r w:rsidRPr="0086500B">
        <w:rPr>
          <w:rFonts w:ascii="Arial" w:hAnsi="Arial" w:cs="Arial"/>
          <w:iCs/>
          <w:sz w:val="24"/>
          <w:szCs w:val="24"/>
        </w:rPr>
        <w:t xml:space="preserve">, </w:t>
      </w:r>
      <w:proofErr w:type="spellStart"/>
      <w:r w:rsidRPr="0086500B">
        <w:rPr>
          <w:rFonts w:ascii="Arial" w:hAnsi="Arial" w:cs="Arial"/>
          <w:iCs/>
          <w:sz w:val="24"/>
          <w:szCs w:val="24"/>
        </w:rPr>
        <w:t>Guet</w:t>
      </w:r>
      <w:proofErr w:type="spellEnd"/>
      <w:r w:rsidRPr="0086500B">
        <w:rPr>
          <w:rFonts w:ascii="Arial" w:hAnsi="Arial" w:cs="Arial"/>
          <w:iCs/>
          <w:sz w:val="24"/>
          <w:szCs w:val="24"/>
        </w:rPr>
        <w:t xml:space="preserve"> </w:t>
      </w:r>
      <w:proofErr w:type="spellStart"/>
      <w:r w:rsidRPr="0086500B">
        <w:rPr>
          <w:rFonts w:ascii="Arial" w:hAnsi="Arial" w:cs="Arial"/>
          <w:iCs/>
          <w:sz w:val="24"/>
          <w:szCs w:val="24"/>
        </w:rPr>
        <w:t>Ndar</w:t>
      </w:r>
      <w:proofErr w:type="spellEnd"/>
      <w:r w:rsidRPr="0086500B">
        <w:rPr>
          <w:rFonts w:ascii="Arial" w:hAnsi="Arial" w:cs="Arial"/>
          <w:iCs/>
          <w:sz w:val="24"/>
          <w:szCs w:val="24"/>
        </w:rPr>
        <w:t xml:space="preserve"> [Academic thesis].</w:t>
      </w:r>
    </w:p>
    <w:p w14:paraId="11E8BCC2"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Gamblin, A. (1998). The coasts – living spaces. </w:t>
      </w:r>
      <w:proofErr w:type="spellStart"/>
      <w:r w:rsidRPr="0086500B">
        <w:rPr>
          <w:rFonts w:ascii="Arial" w:hAnsi="Arial" w:cs="Arial"/>
          <w:iCs/>
          <w:sz w:val="24"/>
          <w:szCs w:val="24"/>
        </w:rPr>
        <w:t>Sedes</w:t>
      </w:r>
      <w:proofErr w:type="spellEnd"/>
      <w:r w:rsidRPr="0086500B">
        <w:rPr>
          <w:rFonts w:ascii="Arial" w:hAnsi="Arial" w:cs="Arial"/>
          <w:iCs/>
          <w:sz w:val="24"/>
          <w:szCs w:val="24"/>
        </w:rPr>
        <w:t>.</w:t>
      </w:r>
    </w:p>
    <w:p w14:paraId="61F199BD"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Hervy, S. (2012). Automatic beach profile analysis tool. HAL. </w:t>
      </w:r>
      <w:hyperlink r:id="rId20" w:history="1">
        <w:r w:rsidRPr="0086500B">
          <w:rPr>
            <w:rStyle w:val="Hyperlink"/>
            <w:rFonts w:ascii="Arial" w:hAnsi="Arial" w:cs="Arial"/>
            <w:iCs/>
            <w:sz w:val="24"/>
            <w:szCs w:val="24"/>
          </w:rPr>
          <w:t>https://hal.science/hal-03857017/file/17_40_hervy.pdf</w:t>
        </w:r>
      </w:hyperlink>
    </w:p>
    <w:p w14:paraId="4F54FB3A" w14:textId="63344469" w:rsidR="00C7598B" w:rsidRPr="0086500B" w:rsidRDefault="00C7598B" w:rsidP="00B81DBD">
      <w:pPr>
        <w:pStyle w:val="Body"/>
        <w:numPr>
          <w:ilvl w:val="0"/>
          <w:numId w:val="34"/>
        </w:numPr>
        <w:spacing w:after="0"/>
        <w:rPr>
          <w:rFonts w:ascii="Arial" w:hAnsi="Arial" w:cs="Arial"/>
          <w:iCs/>
          <w:sz w:val="24"/>
          <w:szCs w:val="24"/>
        </w:rPr>
      </w:pPr>
      <w:proofErr w:type="spellStart"/>
      <w:r w:rsidRPr="0086500B">
        <w:rPr>
          <w:rFonts w:ascii="Arial" w:hAnsi="Arial" w:cs="Arial"/>
          <w:iCs/>
          <w:sz w:val="24"/>
          <w:szCs w:val="24"/>
          <w:lang w:val="fr-FR"/>
        </w:rPr>
        <w:lastRenderedPageBreak/>
        <w:t>Koukpémédji</w:t>
      </w:r>
      <w:proofErr w:type="spellEnd"/>
      <w:r w:rsidRPr="0086500B">
        <w:rPr>
          <w:rFonts w:ascii="Arial" w:hAnsi="Arial" w:cs="Arial"/>
          <w:iCs/>
          <w:sz w:val="24"/>
          <w:szCs w:val="24"/>
          <w:lang w:val="fr-FR"/>
        </w:rPr>
        <w:t xml:space="preserve">, E. S., </w:t>
      </w:r>
      <w:proofErr w:type="spellStart"/>
      <w:r w:rsidRPr="0086500B">
        <w:rPr>
          <w:rFonts w:ascii="Arial" w:hAnsi="Arial" w:cs="Arial"/>
          <w:iCs/>
          <w:sz w:val="24"/>
          <w:szCs w:val="24"/>
          <w:lang w:val="fr-FR"/>
        </w:rPr>
        <w:t>Laïbi</w:t>
      </w:r>
      <w:proofErr w:type="spellEnd"/>
      <w:r w:rsidRPr="0086500B">
        <w:rPr>
          <w:rFonts w:ascii="Arial" w:hAnsi="Arial" w:cs="Arial"/>
          <w:iCs/>
          <w:sz w:val="24"/>
          <w:szCs w:val="24"/>
          <w:lang w:val="fr-FR"/>
        </w:rPr>
        <w:t xml:space="preserve">, R. A., &amp; Vissin, E. W. (2022). </w:t>
      </w:r>
      <w:r w:rsidRPr="0086500B">
        <w:rPr>
          <w:rFonts w:ascii="Arial" w:hAnsi="Arial" w:cs="Arial"/>
          <w:iCs/>
          <w:sz w:val="24"/>
          <w:szCs w:val="24"/>
        </w:rPr>
        <w:t xml:space="preserve">Morphological dynamics of the beach protected by the submerged breakwater at </w:t>
      </w:r>
      <w:proofErr w:type="spellStart"/>
      <w:r w:rsidRPr="0086500B">
        <w:rPr>
          <w:rFonts w:ascii="Arial" w:hAnsi="Arial" w:cs="Arial"/>
          <w:iCs/>
          <w:sz w:val="24"/>
          <w:szCs w:val="24"/>
        </w:rPr>
        <w:t>Avlékété</w:t>
      </w:r>
      <w:proofErr w:type="spellEnd"/>
      <w:r w:rsidRPr="0086500B">
        <w:rPr>
          <w:rFonts w:ascii="Arial" w:hAnsi="Arial" w:cs="Arial"/>
          <w:iCs/>
          <w:sz w:val="24"/>
          <w:szCs w:val="24"/>
        </w:rPr>
        <w:t xml:space="preserve"> (South Benin). European Scientific Journal, 18(16), 109. https://doi.org/10.19044/esj.2022.v18n16p109</w:t>
      </w:r>
    </w:p>
    <w:p w14:paraId="1411639A" w14:textId="77777777" w:rsidR="00B81DBD" w:rsidRPr="0086500B" w:rsidRDefault="00B81DBD" w:rsidP="00B81DBD">
      <w:pPr>
        <w:pStyle w:val="Body"/>
        <w:numPr>
          <w:ilvl w:val="0"/>
          <w:numId w:val="34"/>
        </w:numPr>
        <w:spacing w:after="0"/>
        <w:rPr>
          <w:rFonts w:ascii="Arial" w:hAnsi="Arial" w:cs="Arial"/>
          <w:iCs/>
          <w:sz w:val="24"/>
          <w:szCs w:val="24"/>
        </w:rPr>
      </w:pPr>
      <w:proofErr w:type="spellStart"/>
      <w:r w:rsidRPr="0086500B">
        <w:rPr>
          <w:rFonts w:ascii="Arial" w:hAnsi="Arial" w:cs="Arial"/>
          <w:iCs/>
          <w:sz w:val="24"/>
          <w:szCs w:val="24"/>
        </w:rPr>
        <w:t>Luijendijk</w:t>
      </w:r>
      <w:proofErr w:type="spellEnd"/>
      <w:r w:rsidRPr="0086500B">
        <w:rPr>
          <w:rFonts w:ascii="Arial" w:hAnsi="Arial" w:cs="Arial"/>
          <w:iCs/>
          <w:sz w:val="24"/>
          <w:szCs w:val="24"/>
        </w:rPr>
        <w:t xml:space="preserve">, A., </w:t>
      </w:r>
      <w:proofErr w:type="spellStart"/>
      <w:r w:rsidRPr="0086500B">
        <w:rPr>
          <w:rFonts w:ascii="Arial" w:hAnsi="Arial" w:cs="Arial"/>
          <w:iCs/>
          <w:sz w:val="24"/>
          <w:szCs w:val="24"/>
        </w:rPr>
        <w:t>Hagenaars</w:t>
      </w:r>
      <w:proofErr w:type="spellEnd"/>
      <w:r w:rsidRPr="0086500B">
        <w:rPr>
          <w:rFonts w:ascii="Arial" w:hAnsi="Arial" w:cs="Arial"/>
          <w:iCs/>
          <w:sz w:val="24"/>
          <w:szCs w:val="24"/>
        </w:rPr>
        <w:t xml:space="preserve">, G., Ranasinghe, R., </w:t>
      </w:r>
      <w:proofErr w:type="spellStart"/>
      <w:r w:rsidRPr="0086500B">
        <w:rPr>
          <w:rFonts w:ascii="Arial" w:hAnsi="Arial" w:cs="Arial"/>
          <w:iCs/>
          <w:sz w:val="24"/>
          <w:szCs w:val="24"/>
        </w:rPr>
        <w:t>Baart</w:t>
      </w:r>
      <w:proofErr w:type="spellEnd"/>
      <w:r w:rsidRPr="0086500B">
        <w:rPr>
          <w:rFonts w:ascii="Arial" w:hAnsi="Arial" w:cs="Arial"/>
          <w:iCs/>
          <w:sz w:val="24"/>
          <w:szCs w:val="24"/>
        </w:rPr>
        <w:t xml:space="preserve">, F., </w:t>
      </w:r>
      <w:proofErr w:type="spellStart"/>
      <w:r w:rsidRPr="0086500B">
        <w:rPr>
          <w:rFonts w:ascii="Arial" w:hAnsi="Arial" w:cs="Arial"/>
          <w:iCs/>
          <w:sz w:val="24"/>
          <w:szCs w:val="24"/>
        </w:rPr>
        <w:t>Donchyts</w:t>
      </w:r>
      <w:proofErr w:type="spellEnd"/>
      <w:r w:rsidRPr="0086500B">
        <w:rPr>
          <w:rFonts w:ascii="Arial" w:hAnsi="Arial" w:cs="Arial"/>
          <w:iCs/>
          <w:sz w:val="24"/>
          <w:szCs w:val="24"/>
        </w:rPr>
        <w:t xml:space="preserve">, G., &amp; </w:t>
      </w:r>
      <w:proofErr w:type="spellStart"/>
      <w:r w:rsidRPr="0086500B">
        <w:rPr>
          <w:rFonts w:ascii="Arial" w:hAnsi="Arial" w:cs="Arial"/>
          <w:iCs/>
          <w:sz w:val="24"/>
          <w:szCs w:val="24"/>
        </w:rPr>
        <w:t>Aarninkhof</w:t>
      </w:r>
      <w:proofErr w:type="spellEnd"/>
      <w:r w:rsidRPr="0086500B">
        <w:rPr>
          <w:rFonts w:ascii="Arial" w:hAnsi="Arial" w:cs="Arial"/>
          <w:iCs/>
          <w:sz w:val="24"/>
          <w:szCs w:val="24"/>
        </w:rPr>
        <w:t xml:space="preserve">, S. (2018). The state of the world’s beaches. Scientific Reports, 8, 6641. </w:t>
      </w:r>
      <w:hyperlink r:id="rId21" w:history="1">
        <w:r w:rsidRPr="0086500B">
          <w:rPr>
            <w:rStyle w:val="Hyperlink"/>
            <w:rFonts w:ascii="Arial" w:hAnsi="Arial" w:cs="Arial"/>
            <w:iCs/>
            <w:sz w:val="24"/>
            <w:szCs w:val="24"/>
          </w:rPr>
          <w:t>https://doi.org/10.1038/s41598-018-24630-6</w:t>
        </w:r>
      </w:hyperlink>
    </w:p>
    <w:p w14:paraId="31B9DAD5" w14:textId="77777777" w:rsidR="00B81DBD"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Musereau, J., &amp; Regnauld, H. (2008). On the behavior and management of inherited coastal forms from strong nature/society interaction (Charente estuary area, France). </w:t>
      </w:r>
      <w:proofErr w:type="gramStart"/>
      <w:r w:rsidRPr="0086500B">
        <w:rPr>
          <w:rFonts w:ascii="Arial" w:hAnsi="Arial" w:cs="Arial"/>
          <w:iCs/>
          <w:sz w:val="24"/>
          <w:szCs w:val="24"/>
          <w:lang w:val="fr-FR"/>
        </w:rPr>
        <w:t>Géomorphologie:</w:t>
      </w:r>
      <w:proofErr w:type="gramEnd"/>
      <w:r w:rsidRPr="0086500B">
        <w:rPr>
          <w:rFonts w:ascii="Arial" w:hAnsi="Arial" w:cs="Arial"/>
          <w:iCs/>
          <w:sz w:val="24"/>
          <w:szCs w:val="24"/>
          <w:lang w:val="fr-FR"/>
        </w:rPr>
        <w:t xml:space="preserve"> Relief, Processus, Environnement, 14(4), 245–256.</w:t>
      </w:r>
    </w:p>
    <w:p w14:paraId="7B2D6591" w14:textId="77777777" w:rsidR="003470D7"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Niang, S., Sy, A. A., Faye, C. A. T., Sow, S. A., &amp; Sy, B. A. (2020). Hydrogeochemical analysis of the spatial distribution of water salinity in the water table and Quaternary sands of the </w:t>
      </w:r>
      <w:proofErr w:type="spellStart"/>
      <w:r w:rsidRPr="0086500B">
        <w:rPr>
          <w:rFonts w:ascii="Arial" w:hAnsi="Arial" w:cs="Arial"/>
          <w:iCs/>
          <w:sz w:val="24"/>
          <w:szCs w:val="24"/>
        </w:rPr>
        <w:t>Niayes</w:t>
      </w:r>
      <w:proofErr w:type="spellEnd"/>
      <w:r w:rsidRPr="0086500B">
        <w:rPr>
          <w:rFonts w:ascii="Arial" w:hAnsi="Arial" w:cs="Arial"/>
          <w:iCs/>
          <w:sz w:val="24"/>
          <w:szCs w:val="24"/>
        </w:rPr>
        <w:t xml:space="preserve"> sector in </w:t>
      </w:r>
      <w:proofErr w:type="spellStart"/>
      <w:r w:rsidRPr="0086500B">
        <w:rPr>
          <w:rFonts w:ascii="Arial" w:hAnsi="Arial" w:cs="Arial"/>
          <w:iCs/>
          <w:sz w:val="24"/>
          <w:szCs w:val="24"/>
        </w:rPr>
        <w:t>Gandiolais</w:t>
      </w:r>
      <w:proofErr w:type="spellEnd"/>
      <w:r w:rsidRPr="0086500B">
        <w:rPr>
          <w:rFonts w:ascii="Arial" w:hAnsi="Arial" w:cs="Arial"/>
          <w:iCs/>
          <w:sz w:val="24"/>
          <w:szCs w:val="24"/>
        </w:rPr>
        <w:t xml:space="preserve"> (Northern Senegalese coast). European Scientific Journal, 16(24).</w:t>
      </w:r>
    </w:p>
    <w:p w14:paraId="4CAB8EDC" w14:textId="77777777" w:rsidR="003470D7"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Paskoff, R. (2001). Sea level rise and coastal spaces: Myth and reality. Oceanographic Institute, “</w:t>
      </w:r>
      <w:proofErr w:type="spellStart"/>
      <w:r w:rsidRPr="0086500B">
        <w:rPr>
          <w:rFonts w:ascii="Arial" w:hAnsi="Arial" w:cs="Arial"/>
          <w:iCs/>
          <w:sz w:val="24"/>
          <w:szCs w:val="24"/>
        </w:rPr>
        <w:t>Propos</w:t>
      </w:r>
      <w:proofErr w:type="spellEnd"/>
      <w:r w:rsidRPr="0086500B">
        <w:rPr>
          <w:rFonts w:ascii="Arial" w:hAnsi="Arial" w:cs="Arial"/>
          <w:iCs/>
          <w:sz w:val="24"/>
          <w:szCs w:val="24"/>
        </w:rPr>
        <w:t>” collection.</w:t>
      </w:r>
    </w:p>
    <w:p w14:paraId="371034DD" w14:textId="77777777" w:rsidR="003470D7"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Sarr, M. (2022). The Saint-Louis Marine Protected Area – Overview and conservation challenges. </w:t>
      </w:r>
      <w:proofErr w:type="spellStart"/>
      <w:r w:rsidRPr="0086500B">
        <w:rPr>
          <w:rFonts w:ascii="Arial" w:hAnsi="Arial" w:cs="Arial"/>
          <w:iCs/>
          <w:sz w:val="24"/>
          <w:szCs w:val="24"/>
        </w:rPr>
        <w:t>Paloc</w:t>
      </w:r>
      <w:proofErr w:type="spellEnd"/>
      <w:r w:rsidRPr="0086500B">
        <w:rPr>
          <w:rFonts w:ascii="Arial" w:hAnsi="Arial" w:cs="Arial"/>
          <w:iCs/>
          <w:sz w:val="24"/>
          <w:szCs w:val="24"/>
        </w:rPr>
        <w:t>.</w:t>
      </w:r>
    </w:p>
    <w:p w14:paraId="383BEFFA" w14:textId="77777777" w:rsidR="003470D7"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lang w:val="fr-FR"/>
        </w:rPr>
        <w:t xml:space="preserve">Sarr, S. M., et al. </w:t>
      </w:r>
      <w:r w:rsidRPr="0086500B">
        <w:rPr>
          <w:rFonts w:ascii="Arial" w:hAnsi="Arial" w:cs="Arial"/>
          <w:iCs/>
          <w:sz w:val="24"/>
          <w:szCs w:val="24"/>
        </w:rPr>
        <w:t>(2016). Restoration of degraded ecosystems in the Saint-Louis Marine Protected Area through artificial reef deployment and mangrove reforestation. Journal of Applied Sciences.</w:t>
      </w:r>
    </w:p>
    <w:p w14:paraId="7124C974" w14:textId="77777777" w:rsidR="003470D7"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Sy, B. A. (2005). The opening of the Langue de </w:t>
      </w:r>
      <w:proofErr w:type="spellStart"/>
      <w:r w:rsidRPr="0086500B">
        <w:rPr>
          <w:rFonts w:ascii="Arial" w:hAnsi="Arial" w:cs="Arial"/>
          <w:iCs/>
          <w:sz w:val="24"/>
          <w:szCs w:val="24"/>
        </w:rPr>
        <w:t>Barbarie</w:t>
      </w:r>
      <w:proofErr w:type="spellEnd"/>
      <w:r w:rsidRPr="0086500B">
        <w:rPr>
          <w:rFonts w:ascii="Arial" w:hAnsi="Arial" w:cs="Arial"/>
          <w:iCs/>
          <w:sz w:val="24"/>
          <w:szCs w:val="24"/>
        </w:rPr>
        <w:t xml:space="preserve"> breach and its consequences: A geomorphological approach. Annals of the Faculty of Letters, Languages, Arts, and Human Sciences (FLASH), University of Bamako.</w:t>
      </w:r>
    </w:p>
    <w:p w14:paraId="56DD33C6" w14:textId="77777777" w:rsidR="003470D7" w:rsidRPr="0086500B" w:rsidRDefault="00B81DBD" w:rsidP="00B81DBD">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Sy, B. A. (2012). Evolution of the breach on the Langue de </w:t>
      </w:r>
      <w:proofErr w:type="spellStart"/>
      <w:r w:rsidRPr="0086500B">
        <w:rPr>
          <w:rFonts w:ascii="Arial" w:hAnsi="Arial" w:cs="Arial"/>
          <w:iCs/>
          <w:sz w:val="24"/>
          <w:szCs w:val="24"/>
        </w:rPr>
        <w:t>Barbarie</w:t>
      </w:r>
      <w:proofErr w:type="spellEnd"/>
      <w:r w:rsidRPr="0086500B">
        <w:rPr>
          <w:rFonts w:ascii="Arial" w:hAnsi="Arial" w:cs="Arial"/>
          <w:iCs/>
          <w:sz w:val="24"/>
          <w:szCs w:val="24"/>
        </w:rPr>
        <w:t xml:space="preserve"> and its consequences [Report/Lecture]. Gaston Berger University of Saint-Louis, Senegal.</w:t>
      </w:r>
    </w:p>
    <w:p w14:paraId="036D5CB8" w14:textId="1A77EF3C" w:rsidR="00B01FCD" w:rsidRPr="0086500B" w:rsidRDefault="00B81DBD" w:rsidP="001B686A">
      <w:pPr>
        <w:pStyle w:val="Body"/>
        <w:numPr>
          <w:ilvl w:val="0"/>
          <w:numId w:val="34"/>
        </w:numPr>
        <w:spacing w:after="0"/>
        <w:rPr>
          <w:rFonts w:ascii="Arial" w:hAnsi="Arial" w:cs="Arial"/>
          <w:iCs/>
          <w:sz w:val="24"/>
          <w:szCs w:val="24"/>
        </w:rPr>
      </w:pPr>
      <w:r w:rsidRPr="0086500B">
        <w:rPr>
          <w:rFonts w:ascii="Arial" w:hAnsi="Arial" w:cs="Arial"/>
          <w:iCs/>
          <w:sz w:val="24"/>
          <w:szCs w:val="24"/>
        </w:rPr>
        <w:t xml:space="preserve">Sy, B. A., Sy, A. A., Bodian, A., Faye, A., Niang, T., Diop, S., &amp; Ndiaye, M. (2015). Open breach on the Langue de </w:t>
      </w:r>
      <w:proofErr w:type="spellStart"/>
      <w:r w:rsidRPr="0086500B">
        <w:rPr>
          <w:rFonts w:ascii="Arial" w:hAnsi="Arial" w:cs="Arial"/>
          <w:iCs/>
          <w:sz w:val="24"/>
          <w:szCs w:val="24"/>
        </w:rPr>
        <w:t>Barbarie</w:t>
      </w:r>
      <w:proofErr w:type="spellEnd"/>
      <w:r w:rsidRPr="0086500B">
        <w:rPr>
          <w:rFonts w:ascii="Arial" w:hAnsi="Arial" w:cs="Arial"/>
          <w:iCs/>
          <w:sz w:val="24"/>
          <w:szCs w:val="24"/>
        </w:rPr>
        <w:t xml:space="preserve"> in Saint-Louis: Outline of an emergency management assessment. Physio-Géo, 9, 197–216.</w:t>
      </w:r>
    </w:p>
    <w:sectPr w:rsidR="00B01FCD" w:rsidRPr="0086500B" w:rsidSect="002A443E">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32B5" w14:textId="77777777" w:rsidR="00561E39" w:rsidRDefault="00561E39" w:rsidP="00C37E61">
      <w:r>
        <w:separator/>
      </w:r>
    </w:p>
  </w:endnote>
  <w:endnote w:type="continuationSeparator" w:id="0">
    <w:p w14:paraId="2EE7F1A1" w14:textId="77777777" w:rsidR="00561E39" w:rsidRDefault="00561E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F721" w14:textId="77777777" w:rsidR="002A443E" w:rsidRDefault="002A4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67FA" w14:textId="77777777" w:rsidR="002A443E" w:rsidRDefault="002A4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BB9B" w14:textId="0BBFE496" w:rsidR="00754C9A" w:rsidRPr="00785E90" w:rsidRDefault="00754C9A" w:rsidP="00785E9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0F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47D54" w14:textId="77777777" w:rsidR="00561E39" w:rsidRDefault="00561E39" w:rsidP="00C37E61">
      <w:r>
        <w:separator/>
      </w:r>
    </w:p>
  </w:footnote>
  <w:footnote w:type="continuationSeparator" w:id="0">
    <w:p w14:paraId="0A50B258" w14:textId="77777777" w:rsidR="00561E39" w:rsidRDefault="00561E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82E19" w14:textId="2EF3F46F" w:rsidR="002A443E" w:rsidRDefault="002A443E">
    <w:pPr>
      <w:pStyle w:val="Header"/>
    </w:pPr>
    <w:r>
      <w:rPr>
        <w:noProof/>
      </w:rPr>
      <w:pict w14:anchorId="73A57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77D8" w14:textId="20664C9F" w:rsidR="002A443E" w:rsidRDefault="002A443E">
    <w:pPr>
      <w:pStyle w:val="Header"/>
    </w:pPr>
    <w:r>
      <w:rPr>
        <w:noProof/>
      </w:rPr>
      <w:pict w14:anchorId="135E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506D" w14:textId="07E75BD0" w:rsidR="00296529" w:rsidRPr="00296529" w:rsidRDefault="002A443E" w:rsidP="00296529">
    <w:pPr>
      <w:ind w:left="2160"/>
      <w:jc w:val="center"/>
      <w:rPr>
        <w:rFonts w:ascii="Times New Roman" w:eastAsia="Calibri" w:hAnsi="Times New Roman"/>
        <w:i/>
        <w:sz w:val="18"/>
        <w:szCs w:val="22"/>
      </w:rPr>
    </w:pPr>
    <w:r>
      <w:rPr>
        <w:noProof/>
      </w:rPr>
      <w:pict w14:anchorId="3A0FB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9922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CDEF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6162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FA0A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26C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C10D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098D" w14:textId="34EE7CAB" w:rsidR="002A443E" w:rsidRDefault="002A443E">
    <w:pPr>
      <w:pStyle w:val="Header"/>
    </w:pPr>
    <w:r>
      <w:rPr>
        <w:noProof/>
      </w:rPr>
      <w:pict w14:anchorId="427F9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0C66" w14:textId="4AF6B5F9" w:rsidR="002A443E" w:rsidRDefault="002A443E">
    <w:pPr>
      <w:pStyle w:val="Header"/>
    </w:pPr>
    <w:r>
      <w:rPr>
        <w:noProof/>
      </w:rPr>
      <w:pict w14:anchorId="4A4B6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2310" w14:textId="2D47E5F3" w:rsidR="002A443E" w:rsidRDefault="002A443E">
    <w:pPr>
      <w:pStyle w:val="Header"/>
    </w:pPr>
    <w:r>
      <w:rPr>
        <w:noProof/>
      </w:rPr>
      <w:pict w14:anchorId="7E6C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1E3F"/>
    <w:multiLevelType w:val="multilevel"/>
    <w:tmpl w:val="407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2715E9"/>
    <w:multiLevelType w:val="hybridMultilevel"/>
    <w:tmpl w:val="93FCA7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A90B3A"/>
    <w:multiLevelType w:val="multilevel"/>
    <w:tmpl w:val="C64C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D17CD1"/>
    <w:multiLevelType w:val="hybridMultilevel"/>
    <w:tmpl w:val="0B9A86AA"/>
    <w:lvl w:ilvl="0" w:tplc="D576B67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5"/>
  </w:num>
  <w:num w:numId="26">
    <w:abstractNumId w:val="19"/>
  </w:num>
  <w:num w:numId="27">
    <w:abstractNumId w:val="23"/>
  </w:num>
  <w:num w:numId="28">
    <w:abstractNumId w:val="31"/>
  </w:num>
  <w:num w:numId="29">
    <w:abstractNumId w:val="28"/>
  </w:num>
  <w:num w:numId="30">
    <w:abstractNumId w:val="12"/>
  </w:num>
  <w:num w:numId="31">
    <w:abstractNumId w:val="16"/>
  </w:num>
  <w:num w:numId="32">
    <w:abstractNumId w:val="1"/>
  </w:num>
  <w:num w:numId="33">
    <w:abstractNumId w:val="2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9DD"/>
    <w:rsid w:val="00082DAD"/>
    <w:rsid w:val="00084F5F"/>
    <w:rsid w:val="000879FD"/>
    <w:rsid w:val="000A47FA"/>
    <w:rsid w:val="000A65D3"/>
    <w:rsid w:val="000B1E33"/>
    <w:rsid w:val="000D2D97"/>
    <w:rsid w:val="000D5192"/>
    <w:rsid w:val="000D689F"/>
    <w:rsid w:val="000E0435"/>
    <w:rsid w:val="000E7B7B"/>
    <w:rsid w:val="000E7D62"/>
    <w:rsid w:val="00103357"/>
    <w:rsid w:val="00123C9F"/>
    <w:rsid w:val="00126190"/>
    <w:rsid w:val="00130F17"/>
    <w:rsid w:val="001320BF"/>
    <w:rsid w:val="00163BC4"/>
    <w:rsid w:val="00174C76"/>
    <w:rsid w:val="00191062"/>
    <w:rsid w:val="00192B72"/>
    <w:rsid w:val="001A29D8"/>
    <w:rsid w:val="001A5CAA"/>
    <w:rsid w:val="001B0427"/>
    <w:rsid w:val="001B686A"/>
    <w:rsid w:val="001D3A51"/>
    <w:rsid w:val="001D5800"/>
    <w:rsid w:val="001E10D2"/>
    <w:rsid w:val="001E25B4"/>
    <w:rsid w:val="001E289A"/>
    <w:rsid w:val="001E44FE"/>
    <w:rsid w:val="00200595"/>
    <w:rsid w:val="00204835"/>
    <w:rsid w:val="00231920"/>
    <w:rsid w:val="0023195C"/>
    <w:rsid w:val="0024282C"/>
    <w:rsid w:val="002448C1"/>
    <w:rsid w:val="002460DC"/>
    <w:rsid w:val="00250985"/>
    <w:rsid w:val="00251759"/>
    <w:rsid w:val="002556F6"/>
    <w:rsid w:val="00283105"/>
    <w:rsid w:val="00284C4C"/>
    <w:rsid w:val="00287E68"/>
    <w:rsid w:val="00296529"/>
    <w:rsid w:val="002A443E"/>
    <w:rsid w:val="002A4866"/>
    <w:rsid w:val="002A79C3"/>
    <w:rsid w:val="002B27FB"/>
    <w:rsid w:val="002B685A"/>
    <w:rsid w:val="002C57D2"/>
    <w:rsid w:val="002E0D56"/>
    <w:rsid w:val="00311D08"/>
    <w:rsid w:val="00315186"/>
    <w:rsid w:val="0033343E"/>
    <w:rsid w:val="003470D7"/>
    <w:rsid w:val="003512C2"/>
    <w:rsid w:val="00371FB6"/>
    <w:rsid w:val="003763C1"/>
    <w:rsid w:val="00376BBE"/>
    <w:rsid w:val="0039224F"/>
    <w:rsid w:val="003A43A4"/>
    <w:rsid w:val="003A7E18"/>
    <w:rsid w:val="003C4C86"/>
    <w:rsid w:val="003C6258"/>
    <w:rsid w:val="003E2904"/>
    <w:rsid w:val="00401927"/>
    <w:rsid w:val="0041027F"/>
    <w:rsid w:val="00412475"/>
    <w:rsid w:val="004209B5"/>
    <w:rsid w:val="00423789"/>
    <w:rsid w:val="00440F43"/>
    <w:rsid w:val="00441B6F"/>
    <w:rsid w:val="00446221"/>
    <w:rsid w:val="00450E62"/>
    <w:rsid w:val="004539DB"/>
    <w:rsid w:val="004675F1"/>
    <w:rsid w:val="00471A80"/>
    <w:rsid w:val="004A479D"/>
    <w:rsid w:val="004C52ED"/>
    <w:rsid w:val="004D305E"/>
    <w:rsid w:val="004D4277"/>
    <w:rsid w:val="00502516"/>
    <w:rsid w:val="00505F06"/>
    <w:rsid w:val="00506828"/>
    <w:rsid w:val="00513EF5"/>
    <w:rsid w:val="00514115"/>
    <w:rsid w:val="0053056E"/>
    <w:rsid w:val="00535406"/>
    <w:rsid w:val="00554FDA"/>
    <w:rsid w:val="00561E39"/>
    <w:rsid w:val="0057113E"/>
    <w:rsid w:val="0058065A"/>
    <w:rsid w:val="005C784C"/>
    <w:rsid w:val="005D17F6"/>
    <w:rsid w:val="005E5539"/>
    <w:rsid w:val="00602BF5"/>
    <w:rsid w:val="00616D54"/>
    <w:rsid w:val="00617FDD"/>
    <w:rsid w:val="00633614"/>
    <w:rsid w:val="00633F68"/>
    <w:rsid w:val="00636EB2"/>
    <w:rsid w:val="006375B8"/>
    <w:rsid w:val="00660BDE"/>
    <w:rsid w:val="0066510A"/>
    <w:rsid w:val="00673F9F"/>
    <w:rsid w:val="00686953"/>
    <w:rsid w:val="00687DEA"/>
    <w:rsid w:val="00687E67"/>
    <w:rsid w:val="006967F7"/>
    <w:rsid w:val="006A250C"/>
    <w:rsid w:val="006B21D3"/>
    <w:rsid w:val="006B57D0"/>
    <w:rsid w:val="006D30FF"/>
    <w:rsid w:val="006D6940"/>
    <w:rsid w:val="006F11EC"/>
    <w:rsid w:val="0070082C"/>
    <w:rsid w:val="00727175"/>
    <w:rsid w:val="007369E6"/>
    <w:rsid w:val="00746E59"/>
    <w:rsid w:val="00754C9A"/>
    <w:rsid w:val="0075599A"/>
    <w:rsid w:val="00761D52"/>
    <w:rsid w:val="0077749E"/>
    <w:rsid w:val="00785E90"/>
    <w:rsid w:val="00790ADA"/>
    <w:rsid w:val="007D2288"/>
    <w:rsid w:val="007D62EB"/>
    <w:rsid w:val="007E088F"/>
    <w:rsid w:val="007F7B32"/>
    <w:rsid w:val="00804BC2"/>
    <w:rsid w:val="0081431A"/>
    <w:rsid w:val="0083216F"/>
    <w:rsid w:val="00841449"/>
    <w:rsid w:val="008516C8"/>
    <w:rsid w:val="00860000"/>
    <w:rsid w:val="00863BD3"/>
    <w:rsid w:val="008641ED"/>
    <w:rsid w:val="0086500B"/>
    <w:rsid w:val="00866D66"/>
    <w:rsid w:val="008671C6"/>
    <w:rsid w:val="00875803"/>
    <w:rsid w:val="008B459E"/>
    <w:rsid w:val="008E13AE"/>
    <w:rsid w:val="008E1506"/>
    <w:rsid w:val="008E5E10"/>
    <w:rsid w:val="008E710C"/>
    <w:rsid w:val="008F69D6"/>
    <w:rsid w:val="0090188B"/>
    <w:rsid w:val="00902823"/>
    <w:rsid w:val="0091232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9A2"/>
    <w:rsid w:val="00A24E7E"/>
    <w:rsid w:val="00A258C3"/>
    <w:rsid w:val="00A347C0"/>
    <w:rsid w:val="00A51431"/>
    <w:rsid w:val="00A539AD"/>
    <w:rsid w:val="00A72CEE"/>
    <w:rsid w:val="00A92CFE"/>
    <w:rsid w:val="00A94063"/>
    <w:rsid w:val="00AA6219"/>
    <w:rsid w:val="00AA74E0"/>
    <w:rsid w:val="00AB703F"/>
    <w:rsid w:val="00AC6BB8"/>
    <w:rsid w:val="00AE008F"/>
    <w:rsid w:val="00B01FCD"/>
    <w:rsid w:val="00B1776C"/>
    <w:rsid w:val="00B52583"/>
    <w:rsid w:val="00B52896"/>
    <w:rsid w:val="00B52EA8"/>
    <w:rsid w:val="00B70930"/>
    <w:rsid w:val="00B81DBD"/>
    <w:rsid w:val="00B95236"/>
    <w:rsid w:val="00B96BD9"/>
    <w:rsid w:val="00BA1B01"/>
    <w:rsid w:val="00BA2641"/>
    <w:rsid w:val="00BA3CB0"/>
    <w:rsid w:val="00BA5607"/>
    <w:rsid w:val="00BB37AA"/>
    <w:rsid w:val="00BC53A0"/>
    <w:rsid w:val="00BE62AD"/>
    <w:rsid w:val="00BF121F"/>
    <w:rsid w:val="00BF1F80"/>
    <w:rsid w:val="00C02923"/>
    <w:rsid w:val="00C166EF"/>
    <w:rsid w:val="00C17EB0"/>
    <w:rsid w:val="00C27F5F"/>
    <w:rsid w:val="00C30A0F"/>
    <w:rsid w:val="00C37E61"/>
    <w:rsid w:val="00C70D51"/>
    <w:rsid w:val="00C70F1B"/>
    <w:rsid w:val="00C71A47"/>
    <w:rsid w:val="00C7464C"/>
    <w:rsid w:val="00C7598B"/>
    <w:rsid w:val="00C85588"/>
    <w:rsid w:val="00CD3B27"/>
    <w:rsid w:val="00CD6755"/>
    <w:rsid w:val="00CD6856"/>
    <w:rsid w:val="00CE0089"/>
    <w:rsid w:val="00CE793C"/>
    <w:rsid w:val="00CF193C"/>
    <w:rsid w:val="00D173F1"/>
    <w:rsid w:val="00D71D3C"/>
    <w:rsid w:val="00D74CB0"/>
    <w:rsid w:val="00D8295D"/>
    <w:rsid w:val="00D8409A"/>
    <w:rsid w:val="00DC217B"/>
    <w:rsid w:val="00DC2A65"/>
    <w:rsid w:val="00DE15F0"/>
    <w:rsid w:val="00DE5663"/>
    <w:rsid w:val="00DE78AA"/>
    <w:rsid w:val="00E050AC"/>
    <w:rsid w:val="00E053D0"/>
    <w:rsid w:val="00E15994"/>
    <w:rsid w:val="00E242B2"/>
    <w:rsid w:val="00E3114E"/>
    <w:rsid w:val="00E31A70"/>
    <w:rsid w:val="00E35B02"/>
    <w:rsid w:val="00E66496"/>
    <w:rsid w:val="00E66B35"/>
    <w:rsid w:val="00E66E10"/>
    <w:rsid w:val="00E769F6"/>
    <w:rsid w:val="00E8407C"/>
    <w:rsid w:val="00E84F3C"/>
    <w:rsid w:val="00EA012C"/>
    <w:rsid w:val="00EC6A55"/>
    <w:rsid w:val="00ED0288"/>
    <w:rsid w:val="00EE52CB"/>
    <w:rsid w:val="00EF0724"/>
    <w:rsid w:val="00EF581D"/>
    <w:rsid w:val="00EF7FD8"/>
    <w:rsid w:val="00F023D5"/>
    <w:rsid w:val="00F06F59"/>
    <w:rsid w:val="00F17988"/>
    <w:rsid w:val="00F469F0"/>
    <w:rsid w:val="00F53273"/>
    <w:rsid w:val="00F74CA7"/>
    <w:rsid w:val="00F755E4"/>
    <w:rsid w:val="00F77D02"/>
    <w:rsid w:val="00F9409B"/>
    <w:rsid w:val="00FB3A86"/>
    <w:rsid w:val="00FD36C8"/>
    <w:rsid w:val="00FE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FFBB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B68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41449"/>
    <w:rPr>
      <w:rFonts w:ascii="Times New Roman" w:hAnsi="Times New Roman"/>
      <w:sz w:val="24"/>
      <w:szCs w:val="24"/>
    </w:rPr>
  </w:style>
  <w:style w:type="character" w:customStyle="1" w:styleId="Heading3Char">
    <w:name w:val="Heading 3 Char"/>
    <w:basedOn w:val="DefaultParagraphFont"/>
    <w:link w:val="Heading3"/>
    <w:semiHidden/>
    <w:rsid w:val="001B686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F9409B"/>
    <w:pPr>
      <w:spacing w:after="200"/>
    </w:pPr>
    <w:rPr>
      <w:rFonts w:asciiTheme="minorHAnsi" w:eastAsiaTheme="minorHAnsi" w:hAnsiTheme="minorHAnsi" w:cstheme="minorBidi"/>
      <w:i/>
      <w:iCs/>
      <w:color w:val="1F497D" w:themeColor="text2"/>
      <w:sz w:val="18"/>
      <w:szCs w:val="18"/>
      <w:lang w:val="fr-FR"/>
    </w:rPr>
  </w:style>
  <w:style w:type="table" w:styleId="GridTable2">
    <w:name w:val="Grid Table 2"/>
    <w:basedOn w:val="TableNormal"/>
    <w:uiPriority w:val="47"/>
    <w:rsid w:val="00727175"/>
    <w:rPr>
      <w:rFonts w:asciiTheme="minorHAnsi" w:eastAsiaTheme="minorHAnsi" w:hAnsiTheme="minorHAnsi" w:cstheme="minorBidi"/>
      <w:sz w:val="22"/>
      <w:szCs w:val="22"/>
      <w:lang w:val="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72717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7271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2717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2717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2717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271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ademia.edu/47868494/Etudes_exp_rimentales_des_profils_cross-shore_de_plages_sableus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8/s41598-018-2463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hal.science/hal-03857017/file/17_40_herv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4000/cybergeo.230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IS-TS\Desktop\Mesures_Profil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Profile</a:t>
            </a:r>
          </a:p>
        </c:rich>
      </c:tx>
      <c:overlay val="0"/>
      <c:spPr>
        <a:noFill/>
        <a:ln>
          <a:noFill/>
        </a:ln>
        <a:effectLst/>
      </c:spPr>
    </c:title>
    <c:autoTitleDeleted val="0"/>
    <c:plotArea>
      <c:layout/>
      <c:lineChart>
        <c:grouping val="standard"/>
        <c:varyColors val="0"/>
        <c:ser>
          <c:idx val="0"/>
          <c:order val="0"/>
          <c:tx>
            <c:strRef>
              <c:f>'Profil 1'!$B$6</c:f>
              <c:strCache>
                <c:ptCount val="1"/>
                <c:pt idx="0">
                  <c:v>Ldune en cm</c:v>
                </c:pt>
              </c:strCache>
            </c:strRef>
          </c:tx>
          <c:spPr>
            <a:ln w="28575" cap="rnd">
              <a:solidFill>
                <a:schemeClr val="accent1"/>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1'!$C$6:$AU$6</c:f>
              <c:numCache>
                <c:formatCode>General</c:formatCode>
                <c:ptCount val="45"/>
                <c:pt idx="0">
                  <c:v>0</c:v>
                </c:pt>
                <c:pt idx="1">
                  <c:v>0</c:v>
                </c:pt>
                <c:pt idx="2">
                  <c:v>0</c:v>
                </c:pt>
                <c:pt idx="3">
                  <c:v>0</c:v>
                </c:pt>
                <c:pt idx="4">
                  <c:v>0</c:v>
                </c:pt>
                <c:pt idx="5">
                  <c:v>0</c:v>
                </c:pt>
                <c:pt idx="6">
                  <c:v>0</c:v>
                </c:pt>
                <c:pt idx="7">
                  <c:v>0</c:v>
                </c:pt>
                <c:pt idx="8">
                  <c:v>0</c:v>
                </c:pt>
                <c:pt idx="9">
                  <c:v>60</c:v>
                </c:pt>
                <c:pt idx="10">
                  <c:v>120</c:v>
                </c:pt>
                <c:pt idx="11">
                  <c:v>120</c:v>
                </c:pt>
                <c:pt idx="12">
                  <c:v>10</c:v>
                </c:pt>
                <c:pt idx="13">
                  <c:v>120</c:v>
                </c:pt>
                <c:pt idx="14">
                  <c:v>118</c:v>
                </c:pt>
                <c:pt idx="15">
                  <c:v>100</c:v>
                </c:pt>
                <c:pt idx="16">
                  <c:v>110</c:v>
                </c:pt>
                <c:pt idx="17">
                  <c:v>150</c:v>
                </c:pt>
                <c:pt idx="18">
                  <c:v>120</c:v>
                </c:pt>
                <c:pt idx="19">
                  <c:v>0</c:v>
                </c:pt>
                <c:pt idx="20">
                  <c:v>0</c:v>
                </c:pt>
                <c:pt idx="21">
                  <c:v>200</c:v>
                </c:pt>
                <c:pt idx="22">
                  <c:v>120</c:v>
                </c:pt>
                <c:pt idx="23">
                  <c:v>140</c:v>
                </c:pt>
                <c:pt idx="24">
                  <c:v>100</c:v>
                </c:pt>
                <c:pt idx="25">
                  <c:v>150</c:v>
                </c:pt>
                <c:pt idx="26">
                  <c:v>170</c:v>
                </c:pt>
                <c:pt idx="27">
                  <c:v>130</c:v>
                </c:pt>
                <c:pt idx="28">
                  <c:v>185</c:v>
                </c:pt>
                <c:pt idx="29">
                  <c:v>160</c:v>
                </c:pt>
                <c:pt idx="30">
                  <c:v>155</c:v>
                </c:pt>
                <c:pt idx="31">
                  <c:v>150</c:v>
                </c:pt>
                <c:pt idx="32">
                  <c:v>156</c:v>
                </c:pt>
                <c:pt idx="33">
                  <c:v>100</c:v>
                </c:pt>
                <c:pt idx="34">
                  <c:v>150</c:v>
                </c:pt>
                <c:pt idx="35">
                  <c:v>0</c:v>
                </c:pt>
                <c:pt idx="36">
                  <c:v>0</c:v>
                </c:pt>
                <c:pt idx="37">
                  <c:v>0</c:v>
                </c:pt>
                <c:pt idx="38">
                  <c:v>0</c:v>
                </c:pt>
                <c:pt idx="39">
                  <c:v>0</c:v>
                </c:pt>
                <c:pt idx="40">
                  <c:v>12750</c:v>
                </c:pt>
                <c:pt idx="41">
                  <c:v>0</c:v>
                </c:pt>
                <c:pt idx="42">
                  <c:v>0</c:v>
                </c:pt>
                <c:pt idx="43">
                  <c:v>0</c:v>
                </c:pt>
                <c:pt idx="44">
                  <c:v>0</c:v>
                </c:pt>
              </c:numCache>
            </c:numRef>
          </c:val>
          <c:smooth val="0"/>
          <c:extLst>
            <c:ext xmlns:c16="http://schemas.microsoft.com/office/drawing/2014/chart" uri="{C3380CC4-5D6E-409C-BE32-E72D297353CC}">
              <c16:uniqueId val="{00000000-E333-4012-B9C7-B412CAF6C476}"/>
            </c:ext>
          </c:extLst>
        </c:ser>
        <c:ser>
          <c:idx val="1"/>
          <c:order val="1"/>
          <c:tx>
            <c:strRef>
              <c:f>'Profil 1'!$B$7</c:f>
              <c:strCache>
                <c:ptCount val="1"/>
                <c:pt idx="0">
                  <c:v>LPlage  en cm</c:v>
                </c:pt>
              </c:strCache>
            </c:strRef>
          </c:tx>
          <c:spPr>
            <a:ln w="28575" cap="rnd">
              <a:solidFill>
                <a:schemeClr val="accent2"/>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1'!$C$7:$AU$7</c:f>
              <c:numCache>
                <c:formatCode>General</c:formatCode>
                <c:ptCount val="45"/>
                <c:pt idx="0">
                  <c:v>3480</c:v>
                </c:pt>
                <c:pt idx="1">
                  <c:v>3500</c:v>
                </c:pt>
                <c:pt idx="2">
                  <c:v>1460</c:v>
                </c:pt>
                <c:pt idx="3">
                  <c:v>1310</c:v>
                </c:pt>
                <c:pt idx="4">
                  <c:v>3080</c:v>
                </c:pt>
                <c:pt idx="5">
                  <c:v>1740</c:v>
                </c:pt>
                <c:pt idx="6">
                  <c:v>2420</c:v>
                </c:pt>
                <c:pt idx="7">
                  <c:v>1000</c:v>
                </c:pt>
                <c:pt idx="8">
                  <c:v>1540</c:v>
                </c:pt>
                <c:pt idx="9">
                  <c:v>1570</c:v>
                </c:pt>
                <c:pt idx="10">
                  <c:v>3940</c:v>
                </c:pt>
                <c:pt idx="11">
                  <c:v>3220</c:v>
                </c:pt>
                <c:pt idx="12">
                  <c:v>4400</c:v>
                </c:pt>
                <c:pt idx="13">
                  <c:v>6700</c:v>
                </c:pt>
                <c:pt idx="14">
                  <c:v>5570</c:v>
                </c:pt>
                <c:pt idx="15">
                  <c:v>6590</c:v>
                </c:pt>
                <c:pt idx="16">
                  <c:v>7070</c:v>
                </c:pt>
                <c:pt idx="17">
                  <c:v>6700</c:v>
                </c:pt>
                <c:pt idx="18">
                  <c:v>6650</c:v>
                </c:pt>
                <c:pt idx="19">
                  <c:v>7137</c:v>
                </c:pt>
                <c:pt idx="20">
                  <c:v>4093</c:v>
                </c:pt>
                <c:pt idx="21">
                  <c:v>6410</c:v>
                </c:pt>
                <c:pt idx="22">
                  <c:v>6030</c:v>
                </c:pt>
                <c:pt idx="23">
                  <c:v>7240</c:v>
                </c:pt>
                <c:pt idx="24">
                  <c:v>9550</c:v>
                </c:pt>
                <c:pt idx="25">
                  <c:v>10400</c:v>
                </c:pt>
                <c:pt idx="26">
                  <c:v>9970</c:v>
                </c:pt>
                <c:pt idx="27">
                  <c:v>9660</c:v>
                </c:pt>
                <c:pt idx="28">
                  <c:v>8300</c:v>
                </c:pt>
                <c:pt idx="29">
                  <c:v>9010</c:v>
                </c:pt>
                <c:pt idx="30">
                  <c:v>8150</c:v>
                </c:pt>
                <c:pt idx="31">
                  <c:v>7120</c:v>
                </c:pt>
                <c:pt idx="32">
                  <c:v>10670</c:v>
                </c:pt>
                <c:pt idx="33">
                  <c:v>9350</c:v>
                </c:pt>
                <c:pt idx="34">
                  <c:v>7110</c:v>
                </c:pt>
                <c:pt idx="35">
                  <c:v>8825</c:v>
                </c:pt>
                <c:pt idx="36">
                  <c:v>8620</c:v>
                </c:pt>
                <c:pt idx="37">
                  <c:v>8730</c:v>
                </c:pt>
                <c:pt idx="38">
                  <c:v>11750</c:v>
                </c:pt>
                <c:pt idx="39">
                  <c:v>10100</c:v>
                </c:pt>
                <c:pt idx="40">
                  <c:v>350</c:v>
                </c:pt>
                <c:pt idx="41">
                  <c:v>8150</c:v>
                </c:pt>
                <c:pt idx="42">
                  <c:v>5350</c:v>
                </c:pt>
                <c:pt idx="43">
                  <c:v>8020</c:v>
                </c:pt>
                <c:pt idx="44">
                  <c:v>7450</c:v>
                </c:pt>
              </c:numCache>
            </c:numRef>
          </c:val>
          <c:smooth val="0"/>
          <c:extLst>
            <c:ext xmlns:c16="http://schemas.microsoft.com/office/drawing/2014/chart" uri="{C3380CC4-5D6E-409C-BE32-E72D297353CC}">
              <c16:uniqueId val="{00000001-E333-4012-B9C7-B412CAF6C476}"/>
            </c:ext>
          </c:extLst>
        </c:ser>
        <c:ser>
          <c:idx val="2"/>
          <c:order val="2"/>
          <c:tx>
            <c:strRef>
              <c:f>'Profil 1'!$B$8</c:f>
              <c:strCache>
                <c:ptCount val="1"/>
                <c:pt idx="0">
                  <c:v>LEstran  en cm</c:v>
                </c:pt>
              </c:strCache>
            </c:strRef>
          </c:tx>
          <c:spPr>
            <a:ln w="28575" cap="rnd">
              <a:solidFill>
                <a:schemeClr val="accent3"/>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1'!$C$8:$AU$8</c:f>
              <c:numCache>
                <c:formatCode>General</c:formatCode>
                <c:ptCount val="45"/>
                <c:pt idx="0">
                  <c:v>2000</c:v>
                </c:pt>
                <c:pt idx="1">
                  <c:v>0</c:v>
                </c:pt>
                <c:pt idx="2">
                  <c:v>2270</c:v>
                </c:pt>
                <c:pt idx="3">
                  <c:v>2440</c:v>
                </c:pt>
                <c:pt idx="4">
                  <c:v>3630</c:v>
                </c:pt>
                <c:pt idx="5">
                  <c:v>660</c:v>
                </c:pt>
                <c:pt idx="6">
                  <c:v>0</c:v>
                </c:pt>
                <c:pt idx="7">
                  <c:v>3220</c:v>
                </c:pt>
                <c:pt idx="8">
                  <c:v>880</c:v>
                </c:pt>
                <c:pt idx="9">
                  <c:v>1700</c:v>
                </c:pt>
                <c:pt idx="10">
                  <c:v>1380</c:v>
                </c:pt>
                <c:pt idx="11">
                  <c:v>1180</c:v>
                </c:pt>
                <c:pt idx="12">
                  <c:v>30</c:v>
                </c:pt>
                <c:pt idx="13">
                  <c:v>1800</c:v>
                </c:pt>
                <c:pt idx="14">
                  <c:v>2550</c:v>
                </c:pt>
                <c:pt idx="15">
                  <c:v>700</c:v>
                </c:pt>
                <c:pt idx="16">
                  <c:v>2700</c:v>
                </c:pt>
                <c:pt idx="17">
                  <c:v>0</c:v>
                </c:pt>
                <c:pt idx="18">
                  <c:v>700</c:v>
                </c:pt>
                <c:pt idx="19">
                  <c:v>170</c:v>
                </c:pt>
                <c:pt idx="20">
                  <c:v>0</c:v>
                </c:pt>
                <c:pt idx="21">
                  <c:v>540</c:v>
                </c:pt>
                <c:pt idx="22">
                  <c:v>10</c:v>
                </c:pt>
                <c:pt idx="23">
                  <c:v>1630</c:v>
                </c:pt>
                <c:pt idx="24">
                  <c:v>360</c:v>
                </c:pt>
                <c:pt idx="25">
                  <c:v>500</c:v>
                </c:pt>
                <c:pt idx="26">
                  <c:v>0</c:v>
                </c:pt>
                <c:pt idx="27">
                  <c:v>1200</c:v>
                </c:pt>
                <c:pt idx="28">
                  <c:v>1010</c:v>
                </c:pt>
                <c:pt idx="29">
                  <c:v>1000</c:v>
                </c:pt>
                <c:pt idx="30">
                  <c:v>1130</c:v>
                </c:pt>
                <c:pt idx="31">
                  <c:v>1200</c:v>
                </c:pt>
                <c:pt idx="32">
                  <c:v>390</c:v>
                </c:pt>
                <c:pt idx="33">
                  <c:v>500</c:v>
                </c:pt>
                <c:pt idx="34">
                  <c:v>670</c:v>
                </c:pt>
                <c:pt idx="35">
                  <c:v>700</c:v>
                </c:pt>
                <c:pt idx="36">
                  <c:v>0</c:v>
                </c:pt>
                <c:pt idx="37">
                  <c:v>570</c:v>
                </c:pt>
                <c:pt idx="38">
                  <c:v>0</c:v>
                </c:pt>
                <c:pt idx="39">
                  <c:v>0</c:v>
                </c:pt>
                <c:pt idx="40">
                  <c:v>0</c:v>
                </c:pt>
                <c:pt idx="41">
                  <c:v>900</c:v>
                </c:pt>
                <c:pt idx="42">
                  <c:v>1100</c:v>
                </c:pt>
                <c:pt idx="43">
                  <c:v>1900</c:v>
                </c:pt>
                <c:pt idx="44">
                  <c:v>1700</c:v>
                </c:pt>
              </c:numCache>
            </c:numRef>
          </c:val>
          <c:smooth val="0"/>
          <c:extLst>
            <c:ext xmlns:c16="http://schemas.microsoft.com/office/drawing/2014/chart" uri="{C3380CC4-5D6E-409C-BE32-E72D297353CC}">
              <c16:uniqueId val="{00000002-E333-4012-B9C7-B412CAF6C476}"/>
            </c:ext>
          </c:extLst>
        </c:ser>
        <c:ser>
          <c:idx val="3"/>
          <c:order val="3"/>
          <c:tx>
            <c:strRef>
              <c:f>'Profil 1'!$B$9</c:f>
              <c:strCache>
                <c:ptCount val="1"/>
                <c:pt idx="0">
                  <c:v>HTderriereen cm – derrière la typhavelle</c:v>
                </c:pt>
              </c:strCache>
            </c:strRef>
          </c:tx>
          <c:spPr>
            <a:ln w="28575" cap="rnd">
              <a:solidFill>
                <a:schemeClr val="accent4"/>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1'!$C$9:$AU$9</c:f>
              <c:numCache>
                <c:formatCode>General</c:formatCode>
                <c:ptCount val="45"/>
                <c:pt idx="0">
                  <c:v>80</c:v>
                </c:pt>
                <c:pt idx="1">
                  <c:v>50</c:v>
                </c:pt>
                <c:pt idx="2">
                  <c:v>50</c:v>
                </c:pt>
                <c:pt idx="3">
                  <c:v>50</c:v>
                </c:pt>
                <c:pt idx="4">
                  <c:v>50</c:v>
                </c:pt>
                <c:pt idx="5">
                  <c:v>42</c:v>
                </c:pt>
                <c:pt idx="6">
                  <c:v>20</c:v>
                </c:pt>
                <c:pt idx="7">
                  <c:v>40</c:v>
                </c:pt>
                <c:pt idx="8">
                  <c:v>20</c:v>
                </c:pt>
                <c:pt idx="9">
                  <c:v>20</c:v>
                </c:pt>
                <c:pt idx="10">
                  <c:v>18</c:v>
                </c:pt>
                <c:pt idx="11">
                  <c:v>0</c:v>
                </c:pt>
                <c:pt idx="12">
                  <c:v>0</c:v>
                </c:pt>
                <c:pt idx="13">
                  <c:v>0</c:v>
                </c:pt>
                <c:pt idx="14">
                  <c:v>0</c:v>
                </c:pt>
                <c:pt idx="15">
                  <c:v>10</c:v>
                </c:pt>
                <c:pt idx="16">
                  <c:v>10</c:v>
                </c:pt>
                <c:pt idx="17">
                  <c:v>10</c:v>
                </c:pt>
                <c:pt idx="18">
                  <c:v>13</c:v>
                </c:pt>
                <c:pt idx="19">
                  <c:v>17</c:v>
                </c:pt>
                <c:pt idx="20">
                  <c:v>12</c:v>
                </c:pt>
                <c:pt idx="21">
                  <c:v>3</c:v>
                </c:pt>
                <c:pt idx="22">
                  <c:v>6</c:v>
                </c:pt>
                <c:pt idx="23">
                  <c:v>0</c:v>
                </c:pt>
                <c:pt idx="24">
                  <c:v>16</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3-E333-4012-B9C7-B412CAF6C476}"/>
            </c:ext>
          </c:extLst>
        </c:ser>
        <c:ser>
          <c:idx val="4"/>
          <c:order val="4"/>
          <c:tx>
            <c:strRef>
              <c:f>'Profil 1'!$B$10</c:f>
              <c:strCache>
                <c:ptCount val="1"/>
                <c:pt idx="0">
                  <c:v>HTdevant  en cm – devant la typhavelle</c:v>
                </c:pt>
              </c:strCache>
            </c:strRef>
          </c:tx>
          <c:spPr>
            <a:ln w="28575" cap="rnd">
              <a:solidFill>
                <a:schemeClr val="accent5"/>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1'!$C$10:$AU$10</c:f>
              <c:numCache>
                <c:formatCode>General</c:formatCode>
                <c:ptCount val="45"/>
                <c:pt idx="0">
                  <c:v>80</c:v>
                </c:pt>
                <c:pt idx="1">
                  <c:v>50</c:v>
                </c:pt>
                <c:pt idx="2">
                  <c:v>50</c:v>
                </c:pt>
                <c:pt idx="3">
                  <c:v>50</c:v>
                </c:pt>
                <c:pt idx="4">
                  <c:v>54</c:v>
                </c:pt>
                <c:pt idx="5">
                  <c:v>40</c:v>
                </c:pt>
                <c:pt idx="6">
                  <c:v>27</c:v>
                </c:pt>
                <c:pt idx="7">
                  <c:v>39</c:v>
                </c:pt>
                <c:pt idx="8">
                  <c:v>25</c:v>
                </c:pt>
                <c:pt idx="9">
                  <c:v>22</c:v>
                </c:pt>
                <c:pt idx="10">
                  <c:v>22</c:v>
                </c:pt>
                <c:pt idx="11">
                  <c:v>20</c:v>
                </c:pt>
                <c:pt idx="12">
                  <c:v>15</c:v>
                </c:pt>
                <c:pt idx="13">
                  <c:v>5</c:v>
                </c:pt>
                <c:pt idx="14">
                  <c:v>10</c:v>
                </c:pt>
                <c:pt idx="15">
                  <c:v>17</c:v>
                </c:pt>
                <c:pt idx="16">
                  <c:v>13</c:v>
                </c:pt>
                <c:pt idx="17">
                  <c:v>17</c:v>
                </c:pt>
                <c:pt idx="18">
                  <c:v>15</c:v>
                </c:pt>
                <c:pt idx="19">
                  <c:v>18</c:v>
                </c:pt>
                <c:pt idx="20">
                  <c:v>0</c:v>
                </c:pt>
                <c:pt idx="21">
                  <c:v>8</c:v>
                </c:pt>
                <c:pt idx="22">
                  <c:v>13</c:v>
                </c:pt>
                <c:pt idx="23">
                  <c:v>0</c:v>
                </c:pt>
                <c:pt idx="24">
                  <c:v>12</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4-E333-4012-B9C7-B412CAF6C476}"/>
            </c:ext>
          </c:extLst>
        </c:ser>
        <c:ser>
          <c:idx val="5"/>
          <c:order val="5"/>
          <c:tx>
            <c:strRef>
              <c:f>'Profil 1'!$B$11</c:f>
              <c:strCache>
                <c:ptCount val="1"/>
                <c:pt idx="0">
                  <c:v>HBourrelet  en cm</c:v>
                </c:pt>
              </c:strCache>
            </c:strRef>
          </c:tx>
          <c:spPr>
            <a:ln w="28575" cap="rnd">
              <a:solidFill>
                <a:schemeClr val="accent6"/>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1'!$C$11:$AU$11</c:f>
              <c:numCache>
                <c:formatCode>General</c:formatCode>
                <c:ptCount val="45"/>
                <c:pt idx="0">
                  <c:v>0</c:v>
                </c:pt>
                <c:pt idx="1">
                  <c:v>0</c:v>
                </c:pt>
                <c:pt idx="2">
                  <c:v>0</c:v>
                </c:pt>
                <c:pt idx="3">
                  <c:v>0</c:v>
                </c:pt>
                <c:pt idx="4">
                  <c:v>0</c:v>
                </c:pt>
                <c:pt idx="5">
                  <c:v>0</c:v>
                </c:pt>
                <c:pt idx="6">
                  <c:v>0</c:v>
                </c:pt>
                <c:pt idx="7">
                  <c:v>0</c:v>
                </c:pt>
                <c:pt idx="8">
                  <c:v>0</c:v>
                </c:pt>
                <c:pt idx="9">
                  <c:v>20</c:v>
                </c:pt>
                <c:pt idx="10">
                  <c:v>25</c:v>
                </c:pt>
                <c:pt idx="11">
                  <c:v>50</c:v>
                </c:pt>
                <c:pt idx="12">
                  <c:v>25</c:v>
                </c:pt>
                <c:pt idx="13">
                  <c:v>40</c:v>
                </c:pt>
                <c:pt idx="14">
                  <c:v>18</c:v>
                </c:pt>
                <c:pt idx="15">
                  <c:v>18</c:v>
                </c:pt>
                <c:pt idx="16">
                  <c:v>15</c:v>
                </c:pt>
                <c:pt idx="17">
                  <c:v>15</c:v>
                </c:pt>
                <c:pt idx="18">
                  <c:v>25</c:v>
                </c:pt>
                <c:pt idx="19">
                  <c:v>0</c:v>
                </c:pt>
                <c:pt idx="20">
                  <c:v>0</c:v>
                </c:pt>
                <c:pt idx="21">
                  <c:v>26</c:v>
                </c:pt>
                <c:pt idx="22">
                  <c:v>22</c:v>
                </c:pt>
                <c:pt idx="23">
                  <c:v>20</c:v>
                </c:pt>
                <c:pt idx="24">
                  <c:v>9</c:v>
                </c:pt>
                <c:pt idx="25">
                  <c:v>22</c:v>
                </c:pt>
                <c:pt idx="26">
                  <c:v>20</c:v>
                </c:pt>
                <c:pt idx="27">
                  <c:v>24</c:v>
                </c:pt>
                <c:pt idx="28">
                  <c:v>30</c:v>
                </c:pt>
                <c:pt idx="29">
                  <c:v>32</c:v>
                </c:pt>
                <c:pt idx="30">
                  <c:v>21</c:v>
                </c:pt>
                <c:pt idx="31">
                  <c:v>22</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5-E333-4012-B9C7-B412CAF6C476}"/>
            </c:ext>
          </c:extLst>
        </c:ser>
        <c:ser>
          <c:idx val="6"/>
          <c:order val="6"/>
          <c:tx>
            <c:strRef>
              <c:f>'Profil 1'!$B$12</c:f>
              <c:strCache>
                <c:ptCount val="1"/>
                <c:pt idx="0">
                  <c:v>HBerme  en cm</c:v>
                </c:pt>
              </c:strCache>
            </c:strRef>
          </c:tx>
          <c:spPr>
            <a:ln w="28575" cap="rnd">
              <a:solidFill>
                <a:schemeClr val="accent1">
                  <a:lumMod val="60000"/>
                </a:schemeClr>
              </a:solidFill>
              <a:round/>
            </a:ln>
            <a:effectLst/>
          </c:spPr>
          <c:marker>
            <c:symbol val="none"/>
          </c:marker>
          <c:cat>
            <c:strRef>
              <c:f>'Profil 1'!$C$5:$AU$5</c:f>
              <c:strCache>
                <c:ptCount val="45"/>
                <c:pt idx="0">
                  <c:v>25/06/2019 11h40</c:v>
                </c:pt>
                <c:pt idx="1">
                  <c:v>15/07/2019 10h10</c:v>
                </c:pt>
                <c:pt idx="2">
                  <c:v>20/08/2019 11h18</c:v>
                </c:pt>
                <c:pt idx="3">
                  <c:v>16/09/2019 11h37</c:v>
                </c:pt>
                <c:pt idx="4">
                  <c:v>15/10/2019 10h50</c:v>
                </c:pt>
                <c:pt idx="5">
                  <c:v>15/11/2019 11h35</c:v>
                </c:pt>
                <c:pt idx="6">
                  <c:v>15/12/2019 10h25</c:v>
                </c:pt>
                <c:pt idx="7">
                  <c:v>15/01/2020 9h40</c:v>
                </c:pt>
                <c:pt idx="8">
                  <c:v>15/02/2020 11h13</c:v>
                </c:pt>
                <c:pt idx="9">
                  <c:v>15/03/2020 11h22</c:v>
                </c:pt>
                <c:pt idx="10">
                  <c:v>15/04/2020 10h46</c:v>
                </c:pt>
                <c:pt idx="11">
                  <c:v>15/05/2020 10h07</c:v>
                </c:pt>
                <c:pt idx="12">
                  <c:v>15/06/2020 11h03</c:v>
                </c:pt>
                <c:pt idx="13">
                  <c:v>15/07/2020 10h01</c:v>
                </c:pt>
                <c:pt idx="14">
                  <c:v>15/08/2020 09h57</c:v>
                </c:pt>
                <c:pt idx="15">
                  <c:v>15/09/2020 10h47</c:v>
                </c:pt>
                <c:pt idx="16">
                  <c:v>15/10/2020 10h44</c:v>
                </c:pt>
                <c:pt idx="17">
                  <c:v>15/11/2020 11h18</c:v>
                </c:pt>
                <c:pt idx="18">
                  <c:v>15/12/2020 11h30</c:v>
                </c:pt>
                <c:pt idx="19">
                  <c:v>15/01/2021 10h33</c:v>
                </c:pt>
                <c:pt idx="20">
                  <c:v>15/02/2021 12h00</c:v>
                </c:pt>
                <c:pt idx="21">
                  <c:v>15/03/2021 12h00</c:v>
                </c:pt>
                <c:pt idx="22">
                  <c:v>15/04/2021 11h29</c:v>
                </c:pt>
                <c:pt idx="23">
                  <c:v>9/05/2021 11h16</c:v>
                </c:pt>
                <c:pt idx="24">
                  <c:v>13/06/2021 11h22</c:v>
                </c:pt>
                <c:pt idx="25">
                  <c:v>18/07/2021 10h57</c:v>
                </c:pt>
                <c:pt idx="26">
                  <c:v>24/08/2021 11h34</c:v>
                </c:pt>
                <c:pt idx="27">
                  <c:v>14/09/2021 10h24</c:v>
                </c:pt>
                <c:pt idx="28">
                  <c:v>21/10/2021 11h12</c:v>
                </c:pt>
                <c:pt idx="29">
                  <c:v>15/11/2021 11h05</c:v>
                </c:pt>
                <c:pt idx="30">
                  <c:v>15/12/2021 11h50</c:v>
                </c:pt>
                <c:pt idx="31">
                  <c:v>15/01/2022 10h57</c:v>
                </c:pt>
                <c:pt idx="32">
                  <c:v>13/02/2022 11h40</c:v>
                </c:pt>
                <c:pt idx="33">
                  <c:v>15/03/2022 11h04</c:v>
                </c:pt>
                <c:pt idx="34">
                  <c:v>15/04/2022 10h38</c:v>
                </c:pt>
                <c:pt idx="35">
                  <c:v>15/05/2022 10h50</c:v>
                </c:pt>
                <c:pt idx="36">
                  <c:v>16/06/2022 10h45</c:v>
                </c:pt>
                <c:pt idx="37">
                  <c:v>26/07/2022 10h23</c:v>
                </c:pt>
                <c:pt idx="38">
                  <c:v>27/08/2022 10h10</c:v>
                </c:pt>
                <c:pt idx="39">
                  <c:v>28/09/22
11h2</c:v>
                </c:pt>
                <c:pt idx="40">
                  <c:v>13/10/0222 10h12</c:v>
                </c:pt>
                <c:pt idx="41">
                  <c:v>17/11/22 11h14</c:v>
                </c:pt>
                <c:pt idx="42">
                  <c:v>15/12/22 11h14</c:v>
                </c:pt>
                <c:pt idx="43">
                  <c:v>15/01/23 11h10</c:v>
                </c:pt>
                <c:pt idx="44">
                  <c:v>15/02/23 11h02</c:v>
                </c:pt>
              </c:strCache>
            </c:strRef>
          </c:cat>
          <c:val>
            <c:numRef>
              <c:f>'Profil 1'!$C$12:$AU$12</c:f>
              <c:numCache>
                <c:formatCode>General</c:formatCode>
                <c:ptCount val="45"/>
                <c:pt idx="0">
                  <c:v>50</c:v>
                </c:pt>
                <c:pt idx="1">
                  <c:v>40</c:v>
                </c:pt>
                <c:pt idx="2">
                  <c:v>20</c:v>
                </c:pt>
                <c:pt idx="3">
                  <c:v>10</c:v>
                </c:pt>
                <c:pt idx="4">
                  <c:v>30</c:v>
                </c:pt>
                <c:pt idx="5">
                  <c:v>0</c:v>
                </c:pt>
                <c:pt idx="6">
                  <c:v>50</c:v>
                </c:pt>
                <c:pt idx="7">
                  <c:v>0</c:v>
                </c:pt>
                <c:pt idx="8">
                  <c:v>20</c:v>
                </c:pt>
                <c:pt idx="9">
                  <c:v>0</c:v>
                </c:pt>
                <c:pt idx="10">
                  <c:v>0</c:v>
                </c:pt>
                <c:pt idx="11">
                  <c:v>20</c:v>
                </c:pt>
                <c:pt idx="12">
                  <c:v>50</c:v>
                </c:pt>
                <c:pt idx="13">
                  <c:v>0</c:v>
                </c:pt>
                <c:pt idx="14">
                  <c:v>60</c:v>
                </c:pt>
                <c:pt idx="15">
                  <c:v>25</c:v>
                </c:pt>
                <c:pt idx="16">
                  <c:v>0</c:v>
                </c:pt>
                <c:pt idx="17">
                  <c:v>0</c:v>
                </c:pt>
                <c:pt idx="18">
                  <c:v>0</c:v>
                </c:pt>
                <c:pt idx="19">
                  <c:v>50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25</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06-E333-4012-B9C7-B412CAF6C476}"/>
            </c:ext>
          </c:extLst>
        </c:ser>
        <c:dLbls>
          <c:showLegendKey val="0"/>
          <c:showVal val="0"/>
          <c:showCatName val="0"/>
          <c:showSerName val="0"/>
          <c:showPercent val="0"/>
          <c:showBubbleSize val="0"/>
        </c:dLbls>
        <c:smooth val="0"/>
        <c:axId val="2024954799"/>
        <c:axId val="1"/>
      </c:lineChart>
      <c:catAx>
        <c:axId val="2024954799"/>
        <c:scaling>
          <c:orientation val="minMax"/>
        </c:scaling>
        <c:delete val="0"/>
        <c:axPos val="b"/>
        <c:title>
          <c:tx>
            <c:rich>
              <a:bodyPr/>
              <a:lstStyle/>
              <a:p>
                <a:pPr>
                  <a:defRPr b="0"/>
                </a:pPr>
                <a:r>
                  <a:rPr lang="fr-FR" b="0"/>
                  <a:t>Month</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b="0"/>
                </a:pPr>
                <a:r>
                  <a:rPr lang="fr-FR" b="0"/>
                  <a:t>cm</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954799"/>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9A17-3F8C-4D87-AE28-8D3B4718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643</TotalTime>
  <Pages>9</Pages>
  <Words>3826</Words>
  <Characters>21811</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25586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2026-01-16T22:16:00Z</dcterms:created>
  <dcterms:modified xsi:type="dcterms:W3CDTF">2026-02-03T11:59:00Z</dcterms:modified>
</cp:coreProperties>
</file>