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B9A50" w14:textId="77777777" w:rsidR="00A229C8" w:rsidRDefault="0008666E" w:rsidP="006875DF">
      <w:pPr>
        <w:spacing w:before="240" w:after="0" w:line="240" w:lineRule="auto"/>
        <w:jc w:val="center"/>
        <w:rPr>
          <w:rFonts w:ascii="Arial" w:eastAsia="Times New Roman" w:hAnsi="Arial" w:cs="Arial"/>
          <w:b/>
          <w:bCs/>
          <w:kern w:val="36"/>
          <w:sz w:val="28"/>
        </w:rPr>
      </w:pPr>
      <w:r w:rsidRPr="0008666E">
        <w:rPr>
          <w:rFonts w:ascii="Arial" w:eastAsia="Times New Roman" w:hAnsi="Arial" w:cs="Arial"/>
          <w:b/>
          <w:bCs/>
          <w:kern w:val="36"/>
          <w:sz w:val="28"/>
        </w:rPr>
        <w:t>Rainfall Variability and Drought Characteristics in the Mysuru Region of Karnataka: Implications for Agriculture</w:t>
      </w:r>
    </w:p>
    <w:p w14:paraId="685B9266" w14:textId="5577C657" w:rsidR="007A5602" w:rsidRDefault="007A5602" w:rsidP="006875DF">
      <w:pPr>
        <w:spacing w:after="0" w:line="240" w:lineRule="auto"/>
        <w:jc w:val="center"/>
        <w:rPr>
          <w:rFonts w:ascii="Arial" w:eastAsia="Times New Roman" w:hAnsi="Arial" w:cs="Arial"/>
          <w:sz w:val="28"/>
        </w:rPr>
      </w:pPr>
    </w:p>
    <w:p w14:paraId="6F00DBC9" w14:textId="77777777" w:rsidR="00B30424" w:rsidRPr="00A229C8" w:rsidRDefault="00B30424" w:rsidP="006875DF">
      <w:pPr>
        <w:spacing w:after="0" w:line="240" w:lineRule="auto"/>
        <w:jc w:val="center"/>
        <w:rPr>
          <w:rFonts w:ascii="Arial" w:eastAsia="Times New Roman" w:hAnsi="Arial" w:cs="Arial"/>
          <w:sz w:val="28"/>
        </w:rPr>
      </w:pPr>
      <w:bookmarkStart w:id="0" w:name="_GoBack"/>
      <w:bookmarkEnd w:id="0"/>
    </w:p>
    <w:p w14:paraId="1C0C4AA5" w14:textId="77777777" w:rsidR="00A229C8" w:rsidRPr="00A229C8" w:rsidRDefault="00A229C8" w:rsidP="006875DF">
      <w:pPr>
        <w:spacing w:after="0" w:line="240" w:lineRule="auto"/>
        <w:jc w:val="both"/>
        <w:outlineLvl w:val="1"/>
        <w:rPr>
          <w:rFonts w:ascii="Arial" w:eastAsia="Times New Roman" w:hAnsi="Arial" w:cs="Arial"/>
          <w:b/>
          <w:bCs/>
        </w:rPr>
      </w:pPr>
      <w:r w:rsidRPr="0008666E">
        <w:rPr>
          <w:rFonts w:ascii="Arial" w:eastAsia="Times New Roman" w:hAnsi="Arial" w:cs="Arial"/>
          <w:b/>
          <w:bCs/>
        </w:rPr>
        <w:t>Abstract</w:t>
      </w:r>
      <w:r w:rsidRPr="00A229C8">
        <w:rPr>
          <w:rFonts w:ascii="Arial" w:eastAsia="Times New Roman" w:hAnsi="Arial" w:cs="Arial"/>
          <w:b/>
          <w:bCs/>
        </w:rPr>
        <w:t xml:space="preserve"> </w:t>
      </w:r>
    </w:p>
    <w:p w14:paraId="1E984B86" w14:textId="77777777" w:rsidR="007A5602" w:rsidRPr="007A5602" w:rsidRDefault="007A5602" w:rsidP="006875DF">
      <w:pPr>
        <w:pStyle w:val="Heading3"/>
        <w:spacing w:before="0"/>
        <w:jc w:val="both"/>
        <w:rPr>
          <w:rFonts w:ascii="Arial" w:hAnsi="Arial" w:cs="Arial"/>
          <w:color w:val="000000" w:themeColor="text1"/>
        </w:rPr>
      </w:pPr>
      <w:r w:rsidRPr="007A5602">
        <w:rPr>
          <w:rStyle w:val="Strong"/>
          <w:rFonts w:ascii="Arial" w:hAnsi="Arial" w:cs="Arial"/>
          <w:b/>
          <w:bCs/>
          <w:color w:val="000000" w:themeColor="text1"/>
        </w:rPr>
        <w:t>Aim:</w:t>
      </w:r>
    </w:p>
    <w:p w14:paraId="53961444" w14:textId="77777777" w:rsidR="000F2953" w:rsidRDefault="007A5602" w:rsidP="006875DF">
      <w:pPr>
        <w:pStyle w:val="NormalWeb"/>
        <w:spacing w:before="0" w:beforeAutospacing="0"/>
        <w:jc w:val="both"/>
        <w:rPr>
          <w:rFonts w:ascii="Arial" w:hAnsi="Arial" w:cs="Arial"/>
          <w:color w:val="000000" w:themeColor="text1"/>
          <w:sz w:val="22"/>
          <w:szCs w:val="22"/>
        </w:rPr>
      </w:pPr>
      <w:r w:rsidRPr="007A5602">
        <w:rPr>
          <w:rFonts w:ascii="Arial" w:hAnsi="Arial" w:cs="Arial"/>
          <w:color w:val="000000" w:themeColor="text1"/>
          <w:sz w:val="22"/>
          <w:szCs w:val="22"/>
        </w:rPr>
        <w:t>The study aimed to analyze long-term rainfall variability, drought characteristics, and rainfall trends in the Mysuru region of Karnataka and to understand their implications for agricultural sustainability in a semi-arid environment.</w:t>
      </w:r>
      <w:r w:rsidR="000F2953">
        <w:rPr>
          <w:rFonts w:ascii="Arial" w:hAnsi="Arial" w:cs="Arial"/>
          <w:color w:val="000000" w:themeColor="text1"/>
          <w:sz w:val="22"/>
          <w:szCs w:val="22"/>
        </w:rPr>
        <w:t xml:space="preserve"> </w:t>
      </w:r>
      <w:r w:rsidRPr="007A5602">
        <w:rPr>
          <w:rFonts w:ascii="Arial" w:hAnsi="Arial" w:cs="Arial"/>
          <w:color w:val="000000" w:themeColor="text1"/>
          <w:sz w:val="22"/>
          <w:szCs w:val="22"/>
        </w:rPr>
        <w:t>A long-term observational and statistical study design was adopted using historical rainfall data and standard drought and trend analysis techniques.</w:t>
      </w:r>
      <w:r w:rsidR="000F2953">
        <w:rPr>
          <w:rFonts w:ascii="Arial" w:hAnsi="Arial" w:cs="Arial"/>
          <w:color w:val="000000" w:themeColor="text1"/>
          <w:sz w:val="22"/>
          <w:szCs w:val="22"/>
        </w:rPr>
        <w:t xml:space="preserve"> </w:t>
      </w:r>
      <w:r w:rsidRPr="007A5602">
        <w:rPr>
          <w:rFonts w:ascii="Arial" w:hAnsi="Arial" w:cs="Arial"/>
          <w:color w:val="000000" w:themeColor="text1"/>
          <w:sz w:val="22"/>
          <w:szCs w:val="22"/>
        </w:rPr>
        <w:t xml:space="preserve">The study was conducted for the Mysuru region of Karnataka, India, using </w:t>
      </w:r>
      <w:r w:rsidRPr="007A5602">
        <w:rPr>
          <w:rStyle w:val="Strong"/>
          <w:rFonts w:ascii="Arial" w:hAnsi="Arial" w:cs="Arial"/>
          <w:color w:val="000000" w:themeColor="text1"/>
          <w:sz w:val="22"/>
          <w:szCs w:val="22"/>
        </w:rPr>
        <w:t>58 years (1968–2025)</w:t>
      </w:r>
      <w:r w:rsidRPr="007A5602">
        <w:rPr>
          <w:rFonts w:ascii="Arial" w:hAnsi="Arial" w:cs="Arial"/>
          <w:color w:val="000000" w:themeColor="text1"/>
          <w:sz w:val="22"/>
          <w:szCs w:val="22"/>
        </w:rPr>
        <w:t xml:space="preserve"> of observed rainfall data collected from the Weather Observatory of the </w:t>
      </w:r>
      <w:r w:rsidRPr="007A5602">
        <w:rPr>
          <w:rStyle w:val="Strong"/>
          <w:rFonts w:ascii="Arial" w:hAnsi="Arial" w:cs="Arial"/>
          <w:color w:val="000000" w:themeColor="text1"/>
          <w:sz w:val="22"/>
          <w:szCs w:val="22"/>
        </w:rPr>
        <w:t xml:space="preserve">Agrometeorological Field Unit (AMFU), Organic Farming Research Station (OFRS), </w:t>
      </w:r>
      <w:proofErr w:type="spellStart"/>
      <w:r w:rsidRPr="007A5602">
        <w:rPr>
          <w:rStyle w:val="Strong"/>
          <w:rFonts w:ascii="Arial" w:hAnsi="Arial" w:cs="Arial"/>
          <w:color w:val="000000" w:themeColor="text1"/>
          <w:sz w:val="22"/>
          <w:szCs w:val="22"/>
        </w:rPr>
        <w:t>Naganahalli</w:t>
      </w:r>
      <w:proofErr w:type="spellEnd"/>
      <w:r w:rsidRPr="007A5602">
        <w:rPr>
          <w:rStyle w:val="Strong"/>
          <w:rFonts w:ascii="Arial" w:hAnsi="Arial" w:cs="Arial"/>
          <w:color w:val="000000" w:themeColor="text1"/>
          <w:sz w:val="22"/>
          <w:szCs w:val="22"/>
        </w:rPr>
        <w:t>, Mysuru</w:t>
      </w:r>
      <w:r w:rsidRPr="007A5602">
        <w:rPr>
          <w:rFonts w:ascii="Arial" w:hAnsi="Arial" w:cs="Arial"/>
          <w:color w:val="000000" w:themeColor="text1"/>
          <w:sz w:val="22"/>
          <w:szCs w:val="22"/>
        </w:rPr>
        <w:t>.</w:t>
      </w:r>
    </w:p>
    <w:p w14:paraId="3F946492" w14:textId="77777777" w:rsidR="007A5602" w:rsidRPr="007A5602" w:rsidRDefault="007A5602" w:rsidP="006875DF">
      <w:pPr>
        <w:pStyle w:val="NormalWeb"/>
        <w:spacing w:before="0" w:beforeAutospacing="0"/>
        <w:jc w:val="both"/>
        <w:rPr>
          <w:rFonts w:ascii="Arial" w:hAnsi="Arial" w:cs="Arial"/>
          <w:color w:val="000000" w:themeColor="text1"/>
          <w:sz w:val="22"/>
          <w:szCs w:val="22"/>
        </w:rPr>
      </w:pPr>
      <w:r w:rsidRPr="007A5602">
        <w:rPr>
          <w:rFonts w:ascii="Arial" w:hAnsi="Arial" w:cs="Arial"/>
          <w:color w:val="000000" w:themeColor="text1"/>
          <w:sz w:val="22"/>
          <w:szCs w:val="22"/>
        </w:rPr>
        <w:t xml:space="preserve">Annual rainfall data were analyzed using descriptive statistics to assess interannual variability. Rainfall anomalies were evaluated using the </w:t>
      </w:r>
      <w:r w:rsidRPr="007A5602">
        <w:rPr>
          <w:rStyle w:val="Strong"/>
          <w:rFonts w:ascii="Arial" w:hAnsi="Arial" w:cs="Arial"/>
          <w:color w:val="000000" w:themeColor="text1"/>
          <w:sz w:val="22"/>
          <w:szCs w:val="22"/>
        </w:rPr>
        <w:t>Rainfall Anomaly Index (RAI)</w:t>
      </w:r>
      <w:r w:rsidRPr="007A5602">
        <w:rPr>
          <w:rFonts w:ascii="Arial" w:hAnsi="Arial" w:cs="Arial"/>
          <w:color w:val="000000" w:themeColor="text1"/>
          <w:sz w:val="22"/>
          <w:szCs w:val="22"/>
        </w:rPr>
        <w:t xml:space="preserve">, and drought severity was assessed using the </w:t>
      </w:r>
      <w:r w:rsidRPr="007A5602">
        <w:rPr>
          <w:rStyle w:val="Strong"/>
          <w:rFonts w:ascii="Arial" w:hAnsi="Arial" w:cs="Arial"/>
          <w:color w:val="000000" w:themeColor="text1"/>
          <w:sz w:val="22"/>
          <w:szCs w:val="22"/>
        </w:rPr>
        <w:t>Standardized Precipitation Index (SPI-12)</w:t>
      </w:r>
      <w:r w:rsidRPr="007A5602">
        <w:rPr>
          <w:rFonts w:ascii="Arial" w:hAnsi="Arial" w:cs="Arial"/>
          <w:color w:val="000000" w:themeColor="text1"/>
          <w:sz w:val="22"/>
          <w:szCs w:val="22"/>
        </w:rPr>
        <w:t xml:space="preserve">. Long-term rainfall trends were examined using </w:t>
      </w:r>
      <w:r w:rsidRPr="007A5602">
        <w:rPr>
          <w:rStyle w:val="Strong"/>
          <w:rFonts w:ascii="Arial" w:hAnsi="Arial" w:cs="Arial"/>
          <w:color w:val="000000" w:themeColor="text1"/>
          <w:sz w:val="22"/>
          <w:szCs w:val="22"/>
        </w:rPr>
        <w:t>non-parametric Mann–Kendall test</w:t>
      </w:r>
      <w:r w:rsidRPr="007A5602">
        <w:rPr>
          <w:rFonts w:ascii="Arial" w:hAnsi="Arial" w:cs="Arial"/>
          <w:color w:val="000000" w:themeColor="text1"/>
          <w:sz w:val="22"/>
          <w:szCs w:val="22"/>
        </w:rPr>
        <w:t xml:space="preserve"> and </w:t>
      </w:r>
      <w:r w:rsidRPr="007A5602">
        <w:rPr>
          <w:rStyle w:val="Strong"/>
          <w:rFonts w:ascii="Arial" w:hAnsi="Arial" w:cs="Arial"/>
          <w:color w:val="000000" w:themeColor="text1"/>
          <w:sz w:val="22"/>
          <w:szCs w:val="22"/>
        </w:rPr>
        <w:t>Sen’s slope estimator</w:t>
      </w:r>
      <w:r w:rsidRPr="007A5602">
        <w:rPr>
          <w:rFonts w:ascii="Arial" w:hAnsi="Arial" w:cs="Arial"/>
          <w:color w:val="000000" w:themeColor="text1"/>
          <w:sz w:val="22"/>
          <w:szCs w:val="22"/>
        </w:rPr>
        <w:t>.</w:t>
      </w:r>
    </w:p>
    <w:p w14:paraId="3AE31626" w14:textId="77777777" w:rsidR="007A5602" w:rsidRPr="007A5602" w:rsidRDefault="007A5602" w:rsidP="006875DF">
      <w:pPr>
        <w:pStyle w:val="NormalWeb"/>
        <w:spacing w:before="0" w:beforeAutospacing="0" w:after="0" w:afterAutospacing="0"/>
        <w:jc w:val="both"/>
        <w:rPr>
          <w:rFonts w:ascii="Arial" w:hAnsi="Arial" w:cs="Arial"/>
          <w:color w:val="000000" w:themeColor="text1"/>
          <w:sz w:val="22"/>
          <w:szCs w:val="22"/>
        </w:rPr>
      </w:pPr>
      <w:r w:rsidRPr="007A5602">
        <w:rPr>
          <w:rFonts w:ascii="Arial" w:hAnsi="Arial" w:cs="Arial"/>
          <w:color w:val="000000" w:themeColor="text1"/>
          <w:sz w:val="22"/>
          <w:szCs w:val="22"/>
        </w:rPr>
        <w:t xml:space="preserve">The long-term mean annual rainfall of the region was approximately </w:t>
      </w:r>
      <w:r w:rsidRPr="007A5602">
        <w:rPr>
          <w:rStyle w:val="Strong"/>
          <w:rFonts w:ascii="Arial" w:hAnsi="Arial" w:cs="Arial"/>
          <w:color w:val="000000" w:themeColor="text1"/>
          <w:sz w:val="22"/>
          <w:szCs w:val="22"/>
        </w:rPr>
        <w:t>730 mm</w:t>
      </w:r>
      <w:r w:rsidRPr="007A5602">
        <w:rPr>
          <w:rFonts w:ascii="Arial" w:hAnsi="Arial" w:cs="Arial"/>
          <w:color w:val="000000" w:themeColor="text1"/>
          <w:sz w:val="22"/>
          <w:szCs w:val="22"/>
        </w:rPr>
        <w:t xml:space="preserve">, with annual rainfall ranging from </w:t>
      </w:r>
      <w:r w:rsidRPr="007A5602">
        <w:rPr>
          <w:rStyle w:val="Strong"/>
          <w:rFonts w:ascii="Arial" w:hAnsi="Arial" w:cs="Arial"/>
          <w:color w:val="000000" w:themeColor="text1"/>
          <w:sz w:val="22"/>
          <w:szCs w:val="22"/>
        </w:rPr>
        <w:t>about 244 mm to 1381 mm</w:t>
      </w:r>
      <w:r w:rsidRPr="007A5602">
        <w:rPr>
          <w:rFonts w:ascii="Arial" w:hAnsi="Arial" w:cs="Arial"/>
          <w:color w:val="000000" w:themeColor="text1"/>
          <w:sz w:val="22"/>
          <w:szCs w:val="22"/>
        </w:rPr>
        <w:t xml:space="preserve">, indicating high interannual variability. About </w:t>
      </w:r>
      <w:r w:rsidRPr="007A5602">
        <w:rPr>
          <w:rStyle w:val="Strong"/>
          <w:rFonts w:ascii="Arial" w:hAnsi="Arial" w:cs="Arial"/>
          <w:color w:val="000000" w:themeColor="text1"/>
          <w:sz w:val="22"/>
          <w:szCs w:val="22"/>
        </w:rPr>
        <w:t>30–35% of the years were classified as deficit rainfall years</w:t>
      </w:r>
      <w:r w:rsidRPr="007A5602">
        <w:rPr>
          <w:rFonts w:ascii="Arial" w:hAnsi="Arial" w:cs="Arial"/>
          <w:color w:val="000000" w:themeColor="text1"/>
          <w:sz w:val="22"/>
          <w:szCs w:val="22"/>
        </w:rPr>
        <w:t xml:space="preserve">, confirming the drought-prone nature of the region. RAI analysis showed frequent negative anomalies. SPI-12 analysis indicated repeated </w:t>
      </w:r>
      <w:r w:rsidRPr="007A5602">
        <w:rPr>
          <w:rStyle w:val="Strong"/>
          <w:rFonts w:ascii="Arial" w:hAnsi="Arial" w:cs="Arial"/>
          <w:color w:val="000000" w:themeColor="text1"/>
          <w:sz w:val="22"/>
          <w:szCs w:val="22"/>
        </w:rPr>
        <w:t>moderate to severe drought events</w:t>
      </w:r>
      <w:r w:rsidRPr="007A5602">
        <w:rPr>
          <w:rFonts w:ascii="Arial" w:hAnsi="Arial" w:cs="Arial"/>
          <w:color w:val="000000" w:themeColor="text1"/>
          <w:sz w:val="22"/>
          <w:szCs w:val="22"/>
        </w:rPr>
        <w:t xml:space="preserve">, with SPI values falling below </w:t>
      </w:r>
      <w:r w:rsidRPr="007A5602">
        <w:rPr>
          <w:rStyle w:val="Strong"/>
          <w:rFonts w:ascii="Arial" w:hAnsi="Arial" w:cs="Arial"/>
          <w:color w:val="000000" w:themeColor="text1"/>
          <w:sz w:val="22"/>
          <w:szCs w:val="22"/>
        </w:rPr>
        <w:t>−1.0</w:t>
      </w:r>
      <w:r w:rsidRPr="007A5602">
        <w:rPr>
          <w:rFonts w:ascii="Arial" w:hAnsi="Arial" w:cs="Arial"/>
          <w:color w:val="000000" w:themeColor="text1"/>
          <w:sz w:val="22"/>
          <w:szCs w:val="22"/>
        </w:rPr>
        <w:t xml:space="preserve"> in several years and below </w:t>
      </w:r>
      <w:r w:rsidRPr="007A5602">
        <w:rPr>
          <w:rStyle w:val="Strong"/>
          <w:rFonts w:ascii="Arial" w:hAnsi="Arial" w:cs="Arial"/>
          <w:color w:val="000000" w:themeColor="text1"/>
          <w:sz w:val="22"/>
          <w:szCs w:val="22"/>
        </w:rPr>
        <w:t>−1.5</w:t>
      </w:r>
      <w:r w:rsidRPr="007A5602">
        <w:rPr>
          <w:rFonts w:ascii="Arial" w:hAnsi="Arial" w:cs="Arial"/>
          <w:color w:val="000000" w:themeColor="text1"/>
          <w:sz w:val="22"/>
          <w:szCs w:val="22"/>
        </w:rPr>
        <w:t xml:space="preserve"> during severe drought periods. Trend analysis revealed </w:t>
      </w:r>
      <w:r w:rsidRPr="007A5602">
        <w:rPr>
          <w:rStyle w:val="Strong"/>
          <w:rFonts w:ascii="Arial" w:hAnsi="Arial" w:cs="Arial"/>
          <w:color w:val="000000" w:themeColor="text1"/>
          <w:sz w:val="22"/>
          <w:szCs w:val="22"/>
        </w:rPr>
        <w:t>no statistically significant long-term trend</w:t>
      </w:r>
      <w:r w:rsidRPr="007A5602">
        <w:rPr>
          <w:rFonts w:ascii="Arial" w:hAnsi="Arial" w:cs="Arial"/>
          <w:color w:val="000000" w:themeColor="text1"/>
          <w:sz w:val="22"/>
          <w:szCs w:val="22"/>
        </w:rPr>
        <w:t>, with Sen’s slope indicating a marginal change close to zero.</w:t>
      </w:r>
      <w:r w:rsidR="000F2953">
        <w:rPr>
          <w:rFonts w:ascii="Arial" w:hAnsi="Arial" w:cs="Arial"/>
          <w:color w:val="000000" w:themeColor="text1"/>
          <w:sz w:val="22"/>
          <w:szCs w:val="22"/>
        </w:rPr>
        <w:t xml:space="preserve"> </w:t>
      </w:r>
      <w:r w:rsidRPr="007A5602">
        <w:rPr>
          <w:rFonts w:ascii="Arial" w:hAnsi="Arial" w:cs="Arial"/>
          <w:color w:val="000000" w:themeColor="text1"/>
          <w:sz w:val="22"/>
          <w:szCs w:val="22"/>
        </w:rPr>
        <w:t xml:space="preserve">The study concludes that agricultural risk in the Mysuru region is primarily driven by </w:t>
      </w:r>
      <w:r w:rsidRPr="007A5602">
        <w:rPr>
          <w:rStyle w:val="Strong"/>
          <w:rFonts w:ascii="Arial" w:hAnsi="Arial" w:cs="Arial"/>
          <w:color w:val="000000" w:themeColor="text1"/>
          <w:sz w:val="22"/>
          <w:szCs w:val="22"/>
        </w:rPr>
        <w:t>rainfall variability and drought recurrence rather than changes in mean rainfall</w:t>
      </w:r>
      <w:r w:rsidRPr="007A5602">
        <w:rPr>
          <w:rFonts w:ascii="Arial" w:hAnsi="Arial" w:cs="Arial"/>
          <w:color w:val="000000" w:themeColor="text1"/>
          <w:sz w:val="22"/>
          <w:szCs w:val="22"/>
        </w:rPr>
        <w:t xml:space="preserve">. Strengthening climate-resilient agricultural practices, drought preparedness, soil and water conservation, and weather-based </w:t>
      </w:r>
      <w:proofErr w:type="spellStart"/>
      <w:r w:rsidRPr="007A5602">
        <w:rPr>
          <w:rFonts w:ascii="Arial" w:hAnsi="Arial" w:cs="Arial"/>
          <w:color w:val="000000" w:themeColor="text1"/>
          <w:sz w:val="22"/>
          <w:szCs w:val="22"/>
        </w:rPr>
        <w:t>agro</w:t>
      </w:r>
      <w:proofErr w:type="spellEnd"/>
      <w:r w:rsidRPr="007A5602">
        <w:rPr>
          <w:rFonts w:ascii="Arial" w:hAnsi="Arial" w:cs="Arial"/>
          <w:color w:val="000000" w:themeColor="text1"/>
          <w:sz w:val="22"/>
          <w:szCs w:val="22"/>
        </w:rPr>
        <w:t>-advisory services is essential for sustainable agriculture in the region.</w:t>
      </w:r>
    </w:p>
    <w:p w14:paraId="34D572DE" w14:textId="77777777" w:rsidR="00A229C8" w:rsidRPr="0008666E" w:rsidRDefault="00A229C8"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Keywords</w:t>
      </w:r>
    </w:p>
    <w:p w14:paraId="7BA477ED" w14:textId="77777777"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Rainfall variability; Drought analysis; Rainfall Anomaly Index; Standardized Precipitation Index; Mann–Kendall test; Sen’s slope; Agriculture; Mysuru</w:t>
      </w:r>
    </w:p>
    <w:p w14:paraId="6F99B1A9" w14:textId="77777777" w:rsidR="00A229C8" w:rsidRPr="0008666E" w:rsidRDefault="00A229C8"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1. Introduction</w:t>
      </w:r>
    </w:p>
    <w:p w14:paraId="76419641" w14:textId="77777777" w:rsidR="00F368EB" w:rsidRPr="00F368EB" w:rsidRDefault="00F368EB" w:rsidP="00F368EB">
      <w:pPr>
        <w:pStyle w:val="NormalWeb"/>
        <w:jc w:val="both"/>
        <w:rPr>
          <w:rFonts w:ascii="Arial" w:hAnsi="Arial" w:cs="Arial"/>
          <w:sz w:val="22"/>
        </w:rPr>
      </w:pPr>
      <w:r w:rsidRPr="00F368EB">
        <w:rPr>
          <w:rFonts w:ascii="Arial" w:hAnsi="Arial" w:cs="Arial"/>
          <w:sz w:val="22"/>
        </w:rPr>
        <w:t xml:space="preserve">Rainfall is the most critical climatic factor governing agricultural productivity, water resource availability, and livelihood security in tropical and semi-arid regions. In India, nearly </w:t>
      </w:r>
      <w:r w:rsidRPr="00F368EB">
        <w:rPr>
          <w:rStyle w:val="Strong"/>
          <w:rFonts w:ascii="Arial" w:hAnsi="Arial" w:cs="Arial"/>
          <w:sz w:val="22"/>
        </w:rPr>
        <w:t>55–60 per cent of cultivated land remains rainfed</w:t>
      </w:r>
      <w:r w:rsidRPr="00F368EB">
        <w:rPr>
          <w:rFonts w:ascii="Arial" w:hAnsi="Arial" w:cs="Arial"/>
          <w:sz w:val="22"/>
        </w:rPr>
        <w:t>, making agriculture highly sensitive to variations in rainfall amount, timing, and distribution (</w:t>
      </w:r>
      <w:proofErr w:type="spellStart"/>
      <w:r w:rsidRPr="00F368EB">
        <w:rPr>
          <w:rFonts w:ascii="Arial" w:hAnsi="Arial" w:cs="Arial"/>
          <w:sz w:val="22"/>
        </w:rPr>
        <w:t>Gadgil</w:t>
      </w:r>
      <w:proofErr w:type="spellEnd"/>
      <w:r w:rsidRPr="00F368EB">
        <w:rPr>
          <w:rFonts w:ascii="Arial" w:hAnsi="Arial" w:cs="Arial"/>
          <w:sz w:val="22"/>
        </w:rPr>
        <w:t>, 2003; Reddy, 2012). Any deviation from normal rainfall conditions often leads to droughts, crop failure, soil degradation, and economic stress among farming communities (Wilhite and Glantz, 1985; Wilhite, 2000).</w:t>
      </w:r>
    </w:p>
    <w:p w14:paraId="4D2E312D" w14:textId="77777777" w:rsidR="00F368EB" w:rsidRPr="00F368EB" w:rsidRDefault="00F368EB" w:rsidP="00F368EB">
      <w:pPr>
        <w:pStyle w:val="NormalWeb"/>
        <w:jc w:val="both"/>
        <w:rPr>
          <w:rFonts w:ascii="Arial" w:hAnsi="Arial" w:cs="Arial"/>
          <w:sz w:val="22"/>
        </w:rPr>
      </w:pPr>
      <w:r w:rsidRPr="00F368EB">
        <w:rPr>
          <w:rFonts w:ascii="Arial" w:hAnsi="Arial" w:cs="Arial"/>
          <w:sz w:val="22"/>
        </w:rPr>
        <w:lastRenderedPageBreak/>
        <w:t xml:space="preserve">Climate change studies indicate that rainfall </w:t>
      </w:r>
      <w:proofErr w:type="spellStart"/>
      <w:r w:rsidRPr="00F368EB">
        <w:rPr>
          <w:rFonts w:ascii="Arial" w:hAnsi="Arial" w:cs="Arial"/>
          <w:sz w:val="22"/>
        </w:rPr>
        <w:t>behaviour</w:t>
      </w:r>
      <w:proofErr w:type="spellEnd"/>
      <w:r w:rsidRPr="00F368EB">
        <w:rPr>
          <w:rFonts w:ascii="Arial" w:hAnsi="Arial" w:cs="Arial"/>
          <w:sz w:val="22"/>
        </w:rPr>
        <w:t xml:space="preserve"> over the Indian subcontinent is increasingly characterized by </w:t>
      </w:r>
      <w:r w:rsidRPr="00F368EB">
        <w:rPr>
          <w:rStyle w:val="Strong"/>
          <w:rFonts w:ascii="Arial" w:hAnsi="Arial" w:cs="Arial"/>
          <w:sz w:val="22"/>
        </w:rPr>
        <w:t>enhanced variability and a rise in extreme events</w:t>
      </w:r>
      <w:r w:rsidRPr="00F368EB">
        <w:rPr>
          <w:rFonts w:ascii="Arial" w:hAnsi="Arial" w:cs="Arial"/>
          <w:sz w:val="22"/>
        </w:rPr>
        <w:t>, rather than uniform changes in mean rainfall (IPCC, 2014; IPCC, 2021). Several researchers have reported an increase in the frequency of intense rainfall events and droughts across different regions of India, even where long-term annual rainfall trends remain statistically insignificant (</w:t>
      </w:r>
      <w:proofErr w:type="spellStart"/>
      <w:r w:rsidRPr="00F368EB">
        <w:rPr>
          <w:rFonts w:ascii="Arial" w:hAnsi="Arial" w:cs="Arial"/>
          <w:sz w:val="22"/>
        </w:rPr>
        <w:t>Guhathakurta</w:t>
      </w:r>
      <w:proofErr w:type="spellEnd"/>
      <w:r w:rsidRPr="00F368EB">
        <w:rPr>
          <w:rFonts w:ascii="Arial" w:hAnsi="Arial" w:cs="Arial"/>
          <w:sz w:val="22"/>
        </w:rPr>
        <w:t xml:space="preserve"> and </w:t>
      </w:r>
      <w:proofErr w:type="spellStart"/>
      <w:r w:rsidRPr="00F368EB">
        <w:rPr>
          <w:rFonts w:ascii="Arial" w:hAnsi="Arial" w:cs="Arial"/>
          <w:sz w:val="22"/>
        </w:rPr>
        <w:t>Rajeevan</w:t>
      </w:r>
      <w:proofErr w:type="spellEnd"/>
      <w:r w:rsidRPr="00F368EB">
        <w:rPr>
          <w:rFonts w:ascii="Arial" w:hAnsi="Arial" w:cs="Arial"/>
          <w:sz w:val="22"/>
        </w:rPr>
        <w:t xml:space="preserve">, 2008; Dash and </w:t>
      </w:r>
      <w:proofErr w:type="spellStart"/>
      <w:r w:rsidRPr="00F368EB">
        <w:rPr>
          <w:rFonts w:ascii="Arial" w:hAnsi="Arial" w:cs="Arial"/>
          <w:sz w:val="22"/>
        </w:rPr>
        <w:t>Mamgain</w:t>
      </w:r>
      <w:proofErr w:type="spellEnd"/>
      <w:r w:rsidRPr="00F368EB">
        <w:rPr>
          <w:rFonts w:ascii="Arial" w:hAnsi="Arial" w:cs="Arial"/>
          <w:sz w:val="22"/>
        </w:rPr>
        <w:t xml:space="preserve">, 2011; </w:t>
      </w:r>
      <w:proofErr w:type="spellStart"/>
      <w:r w:rsidRPr="00F368EB">
        <w:rPr>
          <w:rFonts w:ascii="Arial" w:hAnsi="Arial" w:cs="Arial"/>
          <w:sz w:val="22"/>
        </w:rPr>
        <w:t>Kothawale</w:t>
      </w:r>
      <w:proofErr w:type="spellEnd"/>
      <w:r w:rsidRPr="00F368EB">
        <w:rPr>
          <w:rFonts w:ascii="Arial" w:hAnsi="Arial" w:cs="Arial"/>
          <w:sz w:val="22"/>
        </w:rPr>
        <w:t xml:space="preserve"> and </w:t>
      </w:r>
      <w:proofErr w:type="spellStart"/>
      <w:r w:rsidRPr="00F368EB">
        <w:rPr>
          <w:rFonts w:ascii="Arial" w:hAnsi="Arial" w:cs="Arial"/>
          <w:sz w:val="22"/>
        </w:rPr>
        <w:t>Rajeevan</w:t>
      </w:r>
      <w:proofErr w:type="spellEnd"/>
      <w:r w:rsidRPr="00F368EB">
        <w:rPr>
          <w:rFonts w:ascii="Arial" w:hAnsi="Arial" w:cs="Arial"/>
          <w:sz w:val="22"/>
        </w:rPr>
        <w:t xml:space="preserve">, 2017). Recent studies further highlight increasing rainfall variability and drought risk at </w:t>
      </w:r>
      <w:r w:rsidRPr="00F368EB">
        <w:rPr>
          <w:rStyle w:val="Strong"/>
          <w:rFonts w:ascii="Arial" w:hAnsi="Arial" w:cs="Arial"/>
          <w:sz w:val="22"/>
        </w:rPr>
        <w:t>sub-regional and station scales</w:t>
      </w:r>
      <w:r w:rsidRPr="00F368EB">
        <w:rPr>
          <w:rFonts w:ascii="Arial" w:hAnsi="Arial" w:cs="Arial"/>
          <w:sz w:val="22"/>
        </w:rPr>
        <w:t>, emphasizing the importance of localized climate analysis for adaptation planning (Pai et al., 2014; Rao et al., 2016).</w:t>
      </w:r>
    </w:p>
    <w:p w14:paraId="0021650B" w14:textId="77777777" w:rsidR="00F368EB" w:rsidRPr="00F368EB" w:rsidRDefault="00F368EB" w:rsidP="00F368EB">
      <w:pPr>
        <w:pStyle w:val="NormalWeb"/>
        <w:jc w:val="both"/>
        <w:rPr>
          <w:rFonts w:ascii="Arial" w:hAnsi="Arial" w:cs="Arial"/>
          <w:sz w:val="22"/>
        </w:rPr>
      </w:pPr>
      <w:r w:rsidRPr="00F368EB">
        <w:rPr>
          <w:rFonts w:ascii="Arial" w:hAnsi="Arial" w:cs="Arial"/>
          <w:sz w:val="22"/>
        </w:rPr>
        <w:t xml:space="preserve">Drought is among the most devastating climatic hazards affecting agriculture, resulting in soil moisture stress, reduced crop growth, groundwater depletion, fodder scarcity, and increased vulnerability of small and marginal farmers (Sivakumar and </w:t>
      </w:r>
      <w:proofErr w:type="spellStart"/>
      <w:r w:rsidRPr="00F368EB">
        <w:rPr>
          <w:rFonts w:ascii="Arial" w:hAnsi="Arial" w:cs="Arial"/>
          <w:sz w:val="22"/>
        </w:rPr>
        <w:t>Stefanski</w:t>
      </w:r>
      <w:proofErr w:type="spellEnd"/>
      <w:r w:rsidRPr="00F368EB">
        <w:rPr>
          <w:rFonts w:ascii="Arial" w:hAnsi="Arial" w:cs="Arial"/>
          <w:sz w:val="22"/>
        </w:rPr>
        <w:t xml:space="preserve">, 2011; FAO, 2017). Conversely, extreme rainfall events can cause flooding, soil erosion, nutrient leaching, crop lodging, and post-harvest losses (Fischer et al., 2005; Trenberth, 2011). Variability in monsoon rainfall has also been linked to large-scale climate drivers such as </w:t>
      </w:r>
      <w:r w:rsidRPr="00F368EB">
        <w:rPr>
          <w:rStyle w:val="Strong"/>
          <w:rFonts w:ascii="Arial" w:hAnsi="Arial" w:cs="Arial"/>
          <w:sz w:val="22"/>
        </w:rPr>
        <w:t>ENSO and the Indian Ocean Dipole</w:t>
      </w:r>
      <w:r w:rsidRPr="00F368EB">
        <w:rPr>
          <w:rFonts w:ascii="Arial" w:hAnsi="Arial" w:cs="Arial"/>
          <w:sz w:val="22"/>
        </w:rPr>
        <w:t>, which further amplify rainfall uncertainty over southern India (</w:t>
      </w:r>
      <w:proofErr w:type="spellStart"/>
      <w:r w:rsidRPr="00F368EB">
        <w:rPr>
          <w:rFonts w:ascii="Arial" w:hAnsi="Arial" w:cs="Arial"/>
          <w:sz w:val="22"/>
        </w:rPr>
        <w:t>Rajeevan</w:t>
      </w:r>
      <w:proofErr w:type="spellEnd"/>
      <w:r w:rsidRPr="00F368EB">
        <w:rPr>
          <w:rFonts w:ascii="Arial" w:hAnsi="Arial" w:cs="Arial"/>
          <w:sz w:val="22"/>
        </w:rPr>
        <w:t xml:space="preserve"> et al., 2012; Roxy et al., 2015).</w:t>
      </w:r>
    </w:p>
    <w:p w14:paraId="1C2DF45F" w14:textId="77777777" w:rsidR="00F368EB" w:rsidRPr="00F368EB" w:rsidRDefault="00F368EB" w:rsidP="00F368EB">
      <w:pPr>
        <w:pStyle w:val="NormalWeb"/>
        <w:jc w:val="both"/>
        <w:rPr>
          <w:rFonts w:ascii="Arial" w:hAnsi="Arial" w:cs="Arial"/>
          <w:sz w:val="22"/>
        </w:rPr>
      </w:pPr>
      <w:r w:rsidRPr="00F368EB">
        <w:rPr>
          <w:rFonts w:ascii="Arial" w:hAnsi="Arial" w:cs="Arial"/>
          <w:sz w:val="22"/>
        </w:rPr>
        <w:t xml:space="preserve">The Mysuru region of Karnataka lies in the </w:t>
      </w:r>
      <w:r w:rsidRPr="00F368EB">
        <w:rPr>
          <w:rStyle w:val="Strong"/>
          <w:rFonts w:ascii="Arial" w:hAnsi="Arial" w:cs="Arial"/>
          <w:sz w:val="22"/>
        </w:rPr>
        <w:t>Southern Dry Zone</w:t>
      </w:r>
      <w:r w:rsidRPr="00F368EB">
        <w:rPr>
          <w:rFonts w:ascii="Arial" w:hAnsi="Arial" w:cs="Arial"/>
          <w:sz w:val="22"/>
        </w:rPr>
        <w:t>, characterized by moderate annual rainfall and high interannual variability. Agriculture in this region is predominantly rainfed, with finger millet (</w:t>
      </w:r>
      <w:proofErr w:type="spellStart"/>
      <w:r w:rsidRPr="00F368EB">
        <w:rPr>
          <w:rFonts w:ascii="Arial" w:hAnsi="Arial" w:cs="Arial"/>
          <w:sz w:val="22"/>
        </w:rPr>
        <w:t>ragi</w:t>
      </w:r>
      <w:proofErr w:type="spellEnd"/>
      <w:r w:rsidRPr="00F368EB">
        <w:rPr>
          <w:rFonts w:ascii="Arial" w:hAnsi="Arial" w:cs="Arial"/>
          <w:sz w:val="22"/>
        </w:rPr>
        <w:t>), maize, pulses, paddy, and horticultural crops forming the major cropping systems. Farmers frequently experience delayed onset of the southwest monsoon, prolonged dry spells, and occasional extreme rainfall events, resulting in unstable crop yields and reduced farm income (</w:t>
      </w:r>
      <w:proofErr w:type="spellStart"/>
      <w:r w:rsidRPr="00F368EB">
        <w:rPr>
          <w:rFonts w:ascii="Arial" w:hAnsi="Arial" w:cs="Arial"/>
          <w:sz w:val="22"/>
        </w:rPr>
        <w:t>Gadgil</w:t>
      </w:r>
      <w:proofErr w:type="spellEnd"/>
      <w:r w:rsidRPr="00F368EB">
        <w:rPr>
          <w:rFonts w:ascii="Arial" w:hAnsi="Arial" w:cs="Arial"/>
          <w:sz w:val="22"/>
        </w:rPr>
        <w:t xml:space="preserve"> and Rao, 2000; Subash and </w:t>
      </w:r>
      <w:proofErr w:type="spellStart"/>
      <w:r w:rsidRPr="00F368EB">
        <w:rPr>
          <w:rFonts w:ascii="Arial" w:hAnsi="Arial" w:cs="Arial"/>
          <w:sz w:val="22"/>
        </w:rPr>
        <w:t>Gangwar</w:t>
      </w:r>
      <w:proofErr w:type="spellEnd"/>
      <w:r w:rsidRPr="00F368EB">
        <w:rPr>
          <w:rFonts w:ascii="Arial" w:hAnsi="Arial" w:cs="Arial"/>
          <w:sz w:val="22"/>
        </w:rPr>
        <w:t>, 2014).</w:t>
      </w:r>
    </w:p>
    <w:p w14:paraId="2A049BC8" w14:textId="77777777" w:rsidR="00F368EB" w:rsidRPr="00F368EB" w:rsidRDefault="00F368EB" w:rsidP="00F368EB">
      <w:pPr>
        <w:pStyle w:val="NormalWeb"/>
        <w:jc w:val="both"/>
        <w:rPr>
          <w:rFonts w:ascii="Arial" w:hAnsi="Arial" w:cs="Arial"/>
          <w:sz w:val="22"/>
        </w:rPr>
      </w:pPr>
      <w:r w:rsidRPr="00F368EB">
        <w:rPr>
          <w:rFonts w:ascii="Arial" w:hAnsi="Arial" w:cs="Arial"/>
          <w:sz w:val="22"/>
        </w:rPr>
        <w:t xml:space="preserve">Assessment of long-term rainfall variability and drought characteristics at the </w:t>
      </w:r>
      <w:r w:rsidRPr="00F368EB">
        <w:rPr>
          <w:rStyle w:val="Strong"/>
          <w:rFonts w:ascii="Arial" w:hAnsi="Arial" w:cs="Arial"/>
          <w:sz w:val="22"/>
        </w:rPr>
        <w:t>local scale</w:t>
      </w:r>
      <w:r w:rsidRPr="00F368EB">
        <w:rPr>
          <w:rFonts w:ascii="Arial" w:hAnsi="Arial" w:cs="Arial"/>
          <w:sz w:val="22"/>
        </w:rPr>
        <w:t xml:space="preserve"> is therefore essential for effective agricultural and water resource management. While regional and national-level studies provide broad insights into monsoon </w:t>
      </w:r>
      <w:proofErr w:type="spellStart"/>
      <w:r w:rsidRPr="00F368EB">
        <w:rPr>
          <w:rFonts w:ascii="Arial" w:hAnsi="Arial" w:cs="Arial"/>
          <w:sz w:val="22"/>
        </w:rPr>
        <w:t>behaviour</w:t>
      </w:r>
      <w:proofErr w:type="spellEnd"/>
      <w:r w:rsidRPr="00F368EB">
        <w:rPr>
          <w:rFonts w:ascii="Arial" w:hAnsi="Arial" w:cs="Arial"/>
          <w:sz w:val="22"/>
        </w:rPr>
        <w:t xml:space="preserve"> (Sikka and </w:t>
      </w:r>
      <w:proofErr w:type="spellStart"/>
      <w:r w:rsidRPr="00F368EB">
        <w:rPr>
          <w:rFonts w:ascii="Arial" w:hAnsi="Arial" w:cs="Arial"/>
          <w:sz w:val="22"/>
        </w:rPr>
        <w:t>Gadgil</w:t>
      </w:r>
      <w:proofErr w:type="spellEnd"/>
      <w:r w:rsidRPr="00F368EB">
        <w:rPr>
          <w:rFonts w:ascii="Arial" w:hAnsi="Arial" w:cs="Arial"/>
          <w:sz w:val="22"/>
        </w:rPr>
        <w:t xml:space="preserve">, 1980; </w:t>
      </w:r>
      <w:proofErr w:type="spellStart"/>
      <w:r w:rsidRPr="00F368EB">
        <w:rPr>
          <w:rFonts w:ascii="Arial" w:hAnsi="Arial" w:cs="Arial"/>
          <w:sz w:val="22"/>
        </w:rPr>
        <w:t>Gadgil</w:t>
      </w:r>
      <w:proofErr w:type="spellEnd"/>
      <w:r w:rsidRPr="00F368EB">
        <w:rPr>
          <w:rFonts w:ascii="Arial" w:hAnsi="Arial" w:cs="Arial"/>
          <w:sz w:val="22"/>
        </w:rPr>
        <w:t xml:space="preserve">, 2003), station-level analyses are more useful for location-specific </w:t>
      </w:r>
      <w:proofErr w:type="spellStart"/>
      <w:r w:rsidRPr="00F368EB">
        <w:rPr>
          <w:rFonts w:ascii="Arial" w:hAnsi="Arial" w:cs="Arial"/>
          <w:sz w:val="22"/>
        </w:rPr>
        <w:t>agro</w:t>
      </w:r>
      <w:proofErr w:type="spellEnd"/>
      <w:r w:rsidRPr="00F368EB">
        <w:rPr>
          <w:rFonts w:ascii="Arial" w:hAnsi="Arial" w:cs="Arial"/>
          <w:sz w:val="22"/>
        </w:rPr>
        <w:t xml:space="preserve">-advisory services and climate-resilient planning. Indices such as the </w:t>
      </w:r>
      <w:r w:rsidRPr="00F368EB">
        <w:rPr>
          <w:rStyle w:val="Strong"/>
          <w:rFonts w:ascii="Arial" w:hAnsi="Arial" w:cs="Arial"/>
          <w:sz w:val="22"/>
        </w:rPr>
        <w:t>Rainfall Anomaly Index (RAI)</w:t>
      </w:r>
      <w:r w:rsidRPr="00F368EB">
        <w:rPr>
          <w:rFonts w:ascii="Arial" w:hAnsi="Arial" w:cs="Arial"/>
          <w:sz w:val="22"/>
        </w:rPr>
        <w:t xml:space="preserve"> and the </w:t>
      </w:r>
      <w:r w:rsidRPr="00F368EB">
        <w:rPr>
          <w:rStyle w:val="Strong"/>
          <w:rFonts w:ascii="Arial" w:hAnsi="Arial" w:cs="Arial"/>
          <w:sz w:val="22"/>
        </w:rPr>
        <w:t>Standardized Precipitation Index (SPI)</w:t>
      </w:r>
      <w:r w:rsidRPr="00F368EB">
        <w:rPr>
          <w:rFonts w:ascii="Arial" w:hAnsi="Arial" w:cs="Arial"/>
          <w:sz w:val="22"/>
        </w:rPr>
        <w:t xml:space="preserve"> are widely used to characterize rainfall anomalies and drought severity (van </w:t>
      </w:r>
      <w:proofErr w:type="spellStart"/>
      <w:r w:rsidRPr="00F368EB">
        <w:rPr>
          <w:rFonts w:ascii="Arial" w:hAnsi="Arial" w:cs="Arial"/>
          <w:sz w:val="22"/>
        </w:rPr>
        <w:t>Rooy</w:t>
      </w:r>
      <w:proofErr w:type="spellEnd"/>
      <w:r w:rsidRPr="00F368EB">
        <w:rPr>
          <w:rFonts w:ascii="Arial" w:hAnsi="Arial" w:cs="Arial"/>
          <w:sz w:val="22"/>
        </w:rPr>
        <w:t xml:space="preserve">, 1965; McKee et al., 1993; WMO, 2012). Several studies have demonstrated the effectiveness of SPI in assessing agricultural drought impacts in rainfed regions of India (Mishra and Singh, 2010; Kumar et al., 2016). Similarly, non-parametric statistical tests such as the </w:t>
      </w:r>
      <w:r w:rsidRPr="00F368EB">
        <w:rPr>
          <w:rStyle w:val="Strong"/>
          <w:rFonts w:ascii="Arial" w:hAnsi="Arial" w:cs="Arial"/>
          <w:sz w:val="22"/>
        </w:rPr>
        <w:t>Mann–Kendall test</w:t>
      </w:r>
      <w:r w:rsidRPr="00F368EB">
        <w:rPr>
          <w:rFonts w:ascii="Arial" w:hAnsi="Arial" w:cs="Arial"/>
          <w:sz w:val="22"/>
        </w:rPr>
        <w:t xml:space="preserve"> and </w:t>
      </w:r>
      <w:r w:rsidRPr="00F368EB">
        <w:rPr>
          <w:rStyle w:val="Strong"/>
          <w:rFonts w:ascii="Arial" w:hAnsi="Arial" w:cs="Arial"/>
          <w:sz w:val="22"/>
        </w:rPr>
        <w:t>Sen’s slope estimator</w:t>
      </w:r>
      <w:r w:rsidRPr="00F368EB">
        <w:rPr>
          <w:rFonts w:ascii="Arial" w:hAnsi="Arial" w:cs="Arial"/>
          <w:sz w:val="22"/>
        </w:rPr>
        <w:t xml:space="preserve"> have been widely applied to detect long-term trends in hydro-climatic data due to their robustness against non-normality and outliers (Mann, 1945; Kendall, 1975; Sen, 1968; Burn and </w:t>
      </w:r>
      <w:proofErr w:type="spellStart"/>
      <w:r w:rsidRPr="00F368EB">
        <w:rPr>
          <w:rFonts w:ascii="Arial" w:hAnsi="Arial" w:cs="Arial"/>
          <w:sz w:val="22"/>
        </w:rPr>
        <w:t>Elnur</w:t>
      </w:r>
      <w:proofErr w:type="spellEnd"/>
      <w:r w:rsidRPr="00F368EB">
        <w:rPr>
          <w:rFonts w:ascii="Arial" w:hAnsi="Arial" w:cs="Arial"/>
          <w:sz w:val="22"/>
        </w:rPr>
        <w:t>, 2002).</w:t>
      </w:r>
    </w:p>
    <w:p w14:paraId="0DD92386" w14:textId="77777777" w:rsidR="00A229C8" w:rsidRPr="00F368EB" w:rsidRDefault="00F368EB" w:rsidP="00F368EB">
      <w:pPr>
        <w:pStyle w:val="NormalWeb"/>
        <w:jc w:val="both"/>
        <w:rPr>
          <w:rFonts w:ascii="Arial" w:hAnsi="Arial" w:cs="Arial"/>
          <w:sz w:val="22"/>
        </w:rPr>
      </w:pPr>
      <w:r w:rsidRPr="00F368EB">
        <w:rPr>
          <w:rFonts w:ascii="Arial" w:hAnsi="Arial" w:cs="Arial"/>
          <w:sz w:val="22"/>
        </w:rPr>
        <w:t xml:space="preserve">Despite the availability of long-term rainfall records from agrometeorological observatories in Karnataka, comprehensive studies integrating rainfall variability, drought indices, and trend analysis at the </w:t>
      </w:r>
      <w:r w:rsidRPr="00F368EB">
        <w:rPr>
          <w:rStyle w:val="Strong"/>
          <w:rFonts w:ascii="Arial" w:hAnsi="Arial" w:cs="Arial"/>
          <w:sz w:val="22"/>
        </w:rPr>
        <w:t>station level</w:t>
      </w:r>
      <w:r w:rsidRPr="00F368EB">
        <w:rPr>
          <w:rFonts w:ascii="Arial" w:hAnsi="Arial" w:cs="Arial"/>
          <w:sz w:val="22"/>
        </w:rPr>
        <w:t xml:space="preserve"> remain limited for the Mysuru region. The present study addresses this gap by utilizing long-term observational rainfall data from the </w:t>
      </w:r>
      <w:r w:rsidRPr="00F368EB">
        <w:rPr>
          <w:rStyle w:val="Strong"/>
          <w:rFonts w:ascii="Arial" w:hAnsi="Arial" w:cs="Arial"/>
          <w:sz w:val="22"/>
        </w:rPr>
        <w:t xml:space="preserve">Agrometeorological Field Unit (AMFU), </w:t>
      </w:r>
      <w:proofErr w:type="spellStart"/>
      <w:r w:rsidRPr="00F368EB">
        <w:rPr>
          <w:rStyle w:val="Strong"/>
          <w:rFonts w:ascii="Arial" w:hAnsi="Arial" w:cs="Arial"/>
          <w:sz w:val="22"/>
        </w:rPr>
        <w:t>Naganahalli</w:t>
      </w:r>
      <w:proofErr w:type="spellEnd"/>
      <w:r w:rsidRPr="00F368EB">
        <w:rPr>
          <w:rStyle w:val="Strong"/>
          <w:rFonts w:ascii="Arial" w:hAnsi="Arial" w:cs="Arial"/>
          <w:sz w:val="22"/>
        </w:rPr>
        <w:t>, Mysuru</w:t>
      </w:r>
      <w:r w:rsidRPr="00F368EB">
        <w:rPr>
          <w:rFonts w:ascii="Arial" w:hAnsi="Arial" w:cs="Arial"/>
          <w:sz w:val="22"/>
        </w:rPr>
        <w:t xml:space="preserve">, to provide a detailed assessment of rainfall </w:t>
      </w:r>
      <w:proofErr w:type="spellStart"/>
      <w:r w:rsidRPr="00F368EB">
        <w:rPr>
          <w:rFonts w:ascii="Arial" w:hAnsi="Arial" w:cs="Arial"/>
          <w:sz w:val="22"/>
        </w:rPr>
        <w:t>behaviour</w:t>
      </w:r>
      <w:proofErr w:type="spellEnd"/>
      <w:r w:rsidRPr="00F368EB">
        <w:rPr>
          <w:rFonts w:ascii="Arial" w:hAnsi="Arial" w:cs="Arial"/>
          <w:sz w:val="22"/>
        </w:rPr>
        <w:t xml:space="preserve"> and its implications for agricultural sustainability.</w:t>
      </w:r>
      <w:r>
        <w:rPr>
          <w:rFonts w:ascii="Arial" w:hAnsi="Arial" w:cs="Arial"/>
          <w:sz w:val="22"/>
        </w:rPr>
        <w:t xml:space="preserve"> </w:t>
      </w:r>
      <w:r w:rsidR="00A229C8" w:rsidRPr="0008666E">
        <w:rPr>
          <w:rStyle w:val="Strong"/>
          <w:rFonts w:ascii="Arial" w:hAnsi="Arial" w:cs="Arial"/>
          <w:sz w:val="22"/>
          <w:szCs w:val="22"/>
        </w:rPr>
        <w:t xml:space="preserve">In this context, the present study aims to </w:t>
      </w:r>
      <w:r w:rsidR="00A229C8" w:rsidRPr="0008666E">
        <w:rPr>
          <w:rFonts w:ascii="Arial" w:hAnsi="Arial" w:cs="Arial"/>
          <w:sz w:val="22"/>
          <w:szCs w:val="22"/>
        </w:rPr>
        <w:br/>
        <w:t>(</w:t>
      </w:r>
      <w:proofErr w:type="spellStart"/>
      <w:r w:rsidR="00A229C8" w:rsidRPr="0008666E">
        <w:rPr>
          <w:rFonts w:ascii="Arial" w:hAnsi="Arial" w:cs="Arial"/>
          <w:sz w:val="22"/>
          <w:szCs w:val="22"/>
        </w:rPr>
        <w:t>i</w:t>
      </w:r>
      <w:proofErr w:type="spellEnd"/>
      <w:r w:rsidR="00A229C8" w:rsidRPr="0008666E">
        <w:rPr>
          <w:rFonts w:ascii="Arial" w:hAnsi="Arial" w:cs="Arial"/>
          <w:sz w:val="22"/>
          <w:szCs w:val="22"/>
        </w:rPr>
        <w:t>) analyze long-term interannual rainfall variability in the Mysuru region;</w:t>
      </w:r>
      <w:r w:rsidR="00A229C8" w:rsidRPr="0008666E">
        <w:rPr>
          <w:rFonts w:ascii="Arial" w:hAnsi="Arial" w:cs="Arial"/>
          <w:sz w:val="22"/>
          <w:szCs w:val="22"/>
        </w:rPr>
        <w:br/>
        <w:t>(ii) assess rainfall anomalies and drought characteristics using RAI and SPI;</w:t>
      </w:r>
      <w:r w:rsidR="00A229C8" w:rsidRPr="0008666E">
        <w:rPr>
          <w:rFonts w:ascii="Arial" w:hAnsi="Arial" w:cs="Arial"/>
          <w:sz w:val="22"/>
          <w:szCs w:val="22"/>
        </w:rPr>
        <w:br/>
        <w:t>(iii) detect long-term rainfall trends using the Mann–Kendall test and Sen’s slope estimator; and</w:t>
      </w:r>
      <w:r w:rsidR="00A229C8" w:rsidRPr="0008666E">
        <w:rPr>
          <w:rFonts w:ascii="Arial" w:hAnsi="Arial" w:cs="Arial"/>
          <w:sz w:val="22"/>
          <w:szCs w:val="22"/>
        </w:rPr>
        <w:br/>
        <w:t>(iv) interpret the implications of rainfall variability and droughts for agricultural planning and resilience.</w:t>
      </w:r>
    </w:p>
    <w:p w14:paraId="5E347351" w14:textId="77777777" w:rsidR="00A229C8" w:rsidRPr="00A229C8" w:rsidRDefault="00A229C8" w:rsidP="006875DF">
      <w:pPr>
        <w:spacing w:before="240" w:after="0" w:line="240" w:lineRule="auto"/>
        <w:jc w:val="both"/>
        <w:outlineLvl w:val="0"/>
        <w:rPr>
          <w:rFonts w:ascii="Arial" w:eastAsia="Times New Roman" w:hAnsi="Arial" w:cs="Arial"/>
          <w:b/>
          <w:bCs/>
          <w:kern w:val="36"/>
        </w:rPr>
      </w:pPr>
      <w:r w:rsidRPr="0008666E">
        <w:rPr>
          <w:rFonts w:ascii="Arial" w:eastAsia="Times New Roman" w:hAnsi="Arial" w:cs="Arial"/>
          <w:b/>
          <w:bCs/>
          <w:kern w:val="36"/>
        </w:rPr>
        <w:lastRenderedPageBreak/>
        <w:t>2. Materials and Methods</w:t>
      </w:r>
    </w:p>
    <w:p w14:paraId="1D38C7A4" w14:textId="77777777" w:rsidR="00A229C8" w:rsidRPr="00A229C8" w:rsidRDefault="00A229C8" w:rsidP="006875DF">
      <w:pPr>
        <w:spacing w:before="240" w:after="0" w:line="240" w:lineRule="auto"/>
        <w:jc w:val="both"/>
        <w:outlineLvl w:val="1"/>
        <w:rPr>
          <w:rFonts w:ascii="Arial" w:eastAsia="Times New Roman" w:hAnsi="Arial" w:cs="Arial"/>
          <w:b/>
          <w:bCs/>
        </w:rPr>
      </w:pPr>
      <w:r w:rsidRPr="0008666E">
        <w:rPr>
          <w:rFonts w:ascii="Arial" w:eastAsia="Times New Roman" w:hAnsi="Arial" w:cs="Arial"/>
          <w:b/>
          <w:bCs/>
        </w:rPr>
        <w:t>2.1 Study Area</w:t>
      </w:r>
    </w:p>
    <w:p w14:paraId="264F908F" w14:textId="77777777" w:rsidR="00A229C8" w:rsidRPr="00A229C8" w:rsidRDefault="00A229C8" w:rsidP="006875DF">
      <w:pPr>
        <w:spacing w:before="240" w:after="0" w:line="240" w:lineRule="auto"/>
        <w:jc w:val="both"/>
        <w:rPr>
          <w:rFonts w:ascii="Arial" w:eastAsia="Times New Roman" w:hAnsi="Arial" w:cs="Arial"/>
        </w:rPr>
      </w:pPr>
      <w:r w:rsidRPr="00A229C8">
        <w:rPr>
          <w:rFonts w:ascii="Arial" w:eastAsia="Times New Roman" w:hAnsi="Arial" w:cs="Arial"/>
        </w:rPr>
        <w:t xml:space="preserve">The study was conducted for the </w:t>
      </w:r>
      <w:r w:rsidRPr="0008666E">
        <w:rPr>
          <w:rFonts w:ascii="Arial" w:eastAsia="Times New Roman" w:hAnsi="Arial" w:cs="Arial"/>
          <w:b/>
          <w:bCs/>
        </w:rPr>
        <w:t>Mysuru region of Karnataka</w:t>
      </w:r>
      <w:r w:rsidRPr="00A229C8">
        <w:rPr>
          <w:rFonts w:ascii="Arial" w:eastAsia="Times New Roman" w:hAnsi="Arial" w:cs="Arial"/>
        </w:rPr>
        <w:t xml:space="preserve">, which falls under the </w:t>
      </w:r>
      <w:r w:rsidRPr="0008666E">
        <w:rPr>
          <w:rFonts w:ascii="Arial" w:eastAsia="Times New Roman" w:hAnsi="Arial" w:cs="Arial"/>
          <w:b/>
          <w:bCs/>
        </w:rPr>
        <w:t>Southern Dry Zone (</w:t>
      </w:r>
      <w:proofErr w:type="spellStart"/>
      <w:r w:rsidRPr="0008666E">
        <w:rPr>
          <w:rFonts w:ascii="Arial" w:eastAsia="Times New Roman" w:hAnsi="Arial" w:cs="Arial"/>
          <w:b/>
          <w:bCs/>
        </w:rPr>
        <w:t>Agro</w:t>
      </w:r>
      <w:proofErr w:type="spellEnd"/>
      <w:r w:rsidRPr="0008666E">
        <w:rPr>
          <w:rFonts w:ascii="Arial" w:eastAsia="Times New Roman" w:hAnsi="Arial" w:cs="Arial"/>
          <w:b/>
          <w:bCs/>
        </w:rPr>
        <w:t>-climatic Zone–6)</w:t>
      </w:r>
      <w:r w:rsidRPr="00A229C8">
        <w:rPr>
          <w:rFonts w:ascii="Arial" w:eastAsia="Times New Roman" w:hAnsi="Arial" w:cs="Arial"/>
        </w:rPr>
        <w:t>. The region is characterized by semi-arid climatic conditions with moderate annual rainfall and high interannual variability. Agriculture in the region is predominantly rainfed, with major crops including finger millet (</w:t>
      </w:r>
      <w:proofErr w:type="spellStart"/>
      <w:r w:rsidRPr="00A229C8">
        <w:rPr>
          <w:rFonts w:ascii="Arial" w:eastAsia="Times New Roman" w:hAnsi="Arial" w:cs="Arial"/>
        </w:rPr>
        <w:t>ragi</w:t>
      </w:r>
      <w:proofErr w:type="spellEnd"/>
      <w:r w:rsidRPr="00A229C8">
        <w:rPr>
          <w:rFonts w:ascii="Arial" w:eastAsia="Times New Roman" w:hAnsi="Arial" w:cs="Arial"/>
        </w:rPr>
        <w:t>), maize, pulses, paddy, and horticultural crops. Rainfall variability strongly influences crop productivity and water availability in this region.</w:t>
      </w:r>
    </w:p>
    <w:p w14:paraId="4D4F75A7" w14:textId="77777777" w:rsidR="002936E4" w:rsidRDefault="002936E4" w:rsidP="006875DF">
      <w:pPr>
        <w:spacing w:before="240" w:after="0" w:line="240" w:lineRule="auto"/>
        <w:jc w:val="both"/>
        <w:rPr>
          <w:rFonts w:ascii="Arial" w:eastAsia="Times New Roman" w:hAnsi="Arial" w:cs="Arial"/>
        </w:rPr>
      </w:pPr>
    </w:p>
    <w:p w14:paraId="55697758" w14:textId="0B954F2B" w:rsidR="00A229C8" w:rsidRDefault="006875DF" w:rsidP="006875DF">
      <w:pPr>
        <w:spacing w:before="240" w:after="0" w:line="240" w:lineRule="auto"/>
        <w:jc w:val="both"/>
        <w:rPr>
          <w:rFonts w:ascii="Arial" w:eastAsia="Times New Roman" w:hAnsi="Arial" w:cs="Arial"/>
        </w:rPr>
      </w:pPr>
      <w:r>
        <w:rPr>
          <w:rFonts w:ascii="Arial" w:eastAsia="Times New Roman" w:hAnsi="Arial" w:cs="Arial"/>
          <w:noProof/>
        </w:rPr>
        <w:drawing>
          <wp:anchor distT="0" distB="0" distL="114300" distR="114300" simplePos="0" relativeHeight="251662336" behindDoc="0" locked="0" layoutInCell="1" allowOverlap="1" wp14:anchorId="0DB9721F" wp14:editId="1E5BD459">
            <wp:simplePos x="0" y="0"/>
            <wp:positionH relativeFrom="column">
              <wp:posOffset>368935</wp:posOffset>
            </wp:positionH>
            <wp:positionV relativeFrom="paragraph">
              <wp:posOffset>181610</wp:posOffset>
            </wp:positionV>
            <wp:extent cx="4991735" cy="3324860"/>
            <wp:effectExtent l="19050" t="0" r="0" b="0"/>
            <wp:wrapTopAndBottom/>
            <wp:docPr id="4" name="Picture 4" descr="C:\Users\user1\Downloads\ChatGPT Image Jan 18, 2026, 02_09_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ChatGPT Image Jan 18, 2026, 02_09_20 PM.png"/>
                    <pic:cNvPicPr>
                      <a:picLocks noChangeAspect="1" noChangeArrowheads="1"/>
                    </pic:cNvPicPr>
                  </pic:nvPicPr>
                  <pic:blipFill>
                    <a:blip r:embed="rId8" cstate="print"/>
                    <a:srcRect/>
                    <a:stretch>
                      <a:fillRect/>
                    </a:stretch>
                  </pic:blipFill>
                  <pic:spPr bwMode="auto">
                    <a:xfrm>
                      <a:off x="0" y="0"/>
                      <a:ext cx="4991735" cy="3324860"/>
                    </a:xfrm>
                    <a:prstGeom prst="rect">
                      <a:avLst/>
                    </a:prstGeom>
                    <a:noFill/>
                    <a:ln w="9525">
                      <a:noFill/>
                      <a:miter lim="800000"/>
                      <a:headEnd/>
                      <a:tailEnd/>
                    </a:ln>
                  </pic:spPr>
                </pic:pic>
              </a:graphicData>
            </a:graphic>
          </wp:anchor>
        </w:drawing>
      </w:r>
      <w:r w:rsidR="002936E4">
        <w:rPr>
          <w:rFonts w:ascii="Arial" w:eastAsia="Times New Roman" w:hAnsi="Arial" w:cs="Arial"/>
        </w:rPr>
        <w:t>picture 1-</w:t>
      </w:r>
      <w:r w:rsidR="00A11E0B">
        <w:rPr>
          <w:rFonts w:ascii="Arial" w:eastAsia="Times New Roman" w:hAnsi="Arial" w:cs="Arial"/>
        </w:rPr>
        <w:t xml:space="preserve"> Study area</w:t>
      </w:r>
    </w:p>
    <w:p w14:paraId="4A144A0D" w14:textId="77777777" w:rsidR="00A229C8" w:rsidRPr="00A229C8" w:rsidRDefault="00A229C8" w:rsidP="006875DF">
      <w:pPr>
        <w:spacing w:before="240" w:after="0" w:line="240" w:lineRule="auto"/>
        <w:jc w:val="both"/>
        <w:outlineLvl w:val="1"/>
        <w:rPr>
          <w:rFonts w:ascii="Arial" w:eastAsia="Times New Roman" w:hAnsi="Arial" w:cs="Arial"/>
          <w:b/>
          <w:bCs/>
        </w:rPr>
      </w:pPr>
      <w:r w:rsidRPr="0008666E">
        <w:rPr>
          <w:rFonts w:ascii="Arial" w:eastAsia="Times New Roman" w:hAnsi="Arial" w:cs="Arial"/>
          <w:b/>
          <w:bCs/>
        </w:rPr>
        <w:t>2.2 Source of Rainfall Data</w:t>
      </w:r>
    </w:p>
    <w:p w14:paraId="0769C1D2" w14:textId="77777777" w:rsidR="00A229C8" w:rsidRPr="00A229C8" w:rsidRDefault="00A229C8" w:rsidP="006875DF">
      <w:pPr>
        <w:spacing w:before="240" w:after="0" w:line="240" w:lineRule="auto"/>
        <w:jc w:val="both"/>
        <w:rPr>
          <w:rFonts w:ascii="Arial" w:eastAsia="Times New Roman" w:hAnsi="Arial" w:cs="Arial"/>
        </w:rPr>
      </w:pPr>
      <w:r w:rsidRPr="00A229C8">
        <w:rPr>
          <w:rFonts w:ascii="Arial" w:eastAsia="Times New Roman" w:hAnsi="Arial" w:cs="Arial"/>
        </w:rPr>
        <w:t xml:space="preserve">The study utilized </w:t>
      </w:r>
      <w:r w:rsidRPr="0008666E">
        <w:rPr>
          <w:rFonts w:ascii="Arial" w:eastAsia="Times New Roman" w:hAnsi="Arial" w:cs="Arial"/>
          <w:b/>
          <w:bCs/>
        </w:rPr>
        <w:t>58 years (1968–2025)</w:t>
      </w:r>
      <w:r w:rsidRPr="00A229C8">
        <w:rPr>
          <w:rFonts w:ascii="Arial" w:eastAsia="Times New Roman" w:hAnsi="Arial" w:cs="Arial"/>
        </w:rPr>
        <w:t xml:space="preserve"> of observed rainfall data collected from the </w:t>
      </w:r>
      <w:r w:rsidRPr="0008666E">
        <w:rPr>
          <w:rFonts w:ascii="Arial" w:eastAsia="Times New Roman" w:hAnsi="Arial" w:cs="Arial"/>
          <w:b/>
          <w:bCs/>
        </w:rPr>
        <w:t xml:space="preserve">Weather Observatory of the Agrometeorological Field Unit (AMFU), Organic Farming Research Station (OFRS), </w:t>
      </w:r>
      <w:proofErr w:type="spellStart"/>
      <w:r w:rsidRPr="0008666E">
        <w:rPr>
          <w:rFonts w:ascii="Arial" w:eastAsia="Times New Roman" w:hAnsi="Arial" w:cs="Arial"/>
          <w:b/>
          <w:bCs/>
        </w:rPr>
        <w:t>Naganahalli</w:t>
      </w:r>
      <w:proofErr w:type="spellEnd"/>
      <w:r w:rsidRPr="0008666E">
        <w:rPr>
          <w:rFonts w:ascii="Arial" w:eastAsia="Times New Roman" w:hAnsi="Arial" w:cs="Arial"/>
          <w:b/>
          <w:bCs/>
        </w:rPr>
        <w:t>, Mysuru</w:t>
      </w:r>
      <w:r w:rsidRPr="00A229C8">
        <w:rPr>
          <w:rFonts w:ascii="Arial" w:eastAsia="Times New Roman" w:hAnsi="Arial" w:cs="Arial"/>
        </w:rPr>
        <w:t>. The observatory follows standard procedures for rainfall measurement using a non-recording rain gauge. The dataset consists of annual rainfall totals derived from daily observations.</w:t>
      </w:r>
    </w:p>
    <w:p w14:paraId="7F3D5ABE" w14:textId="77777777" w:rsidR="00A229C8" w:rsidRPr="00A229C8" w:rsidRDefault="00A229C8" w:rsidP="006875DF">
      <w:pPr>
        <w:spacing w:before="240" w:after="0" w:line="240" w:lineRule="auto"/>
        <w:jc w:val="both"/>
        <w:outlineLvl w:val="1"/>
        <w:rPr>
          <w:rFonts w:ascii="Arial" w:eastAsia="Times New Roman" w:hAnsi="Arial" w:cs="Arial"/>
          <w:b/>
          <w:bCs/>
        </w:rPr>
      </w:pPr>
      <w:r w:rsidRPr="0008666E">
        <w:rPr>
          <w:rFonts w:ascii="Arial" w:eastAsia="Times New Roman" w:hAnsi="Arial" w:cs="Arial"/>
          <w:b/>
          <w:bCs/>
        </w:rPr>
        <w:t>2.3 Data Processing and Descriptive Analysis</w:t>
      </w:r>
    </w:p>
    <w:p w14:paraId="6FCF39D6" w14:textId="77777777" w:rsidR="00A229C8" w:rsidRPr="0008666E" w:rsidRDefault="00A229C8" w:rsidP="006875DF">
      <w:pPr>
        <w:spacing w:before="240" w:after="0" w:line="240" w:lineRule="auto"/>
        <w:jc w:val="both"/>
        <w:rPr>
          <w:rFonts w:ascii="Arial" w:eastAsia="Times New Roman" w:hAnsi="Arial" w:cs="Arial"/>
        </w:rPr>
      </w:pPr>
      <w:r w:rsidRPr="00A229C8">
        <w:rPr>
          <w:rFonts w:ascii="Arial" w:eastAsia="Times New Roman" w:hAnsi="Arial" w:cs="Arial"/>
        </w:rPr>
        <w:t xml:space="preserve">The rainfall data were checked for consistency and completeness before analysis. Annual rainfall totals were computed by summing daily rainfall values for each year. The </w:t>
      </w:r>
      <w:r w:rsidRPr="0008666E">
        <w:rPr>
          <w:rFonts w:ascii="Arial" w:eastAsia="Times New Roman" w:hAnsi="Arial" w:cs="Arial"/>
          <w:b/>
          <w:bCs/>
        </w:rPr>
        <w:t>long-term mean annual rainfall (μ)</w:t>
      </w:r>
      <w:r w:rsidRPr="00A229C8">
        <w:rPr>
          <w:rFonts w:ascii="Arial" w:eastAsia="Times New Roman" w:hAnsi="Arial" w:cs="Arial"/>
        </w:rPr>
        <w:t xml:space="preserve"> was calculated using:</w:t>
      </w:r>
    </w:p>
    <w:p w14:paraId="7BEAA8AC" w14:textId="77777777" w:rsidR="004A7554" w:rsidRPr="00A229C8" w:rsidRDefault="004A7554" w:rsidP="006875DF">
      <w:pPr>
        <w:spacing w:before="240" w:after="0" w:line="240" w:lineRule="auto"/>
        <w:jc w:val="both"/>
        <w:rPr>
          <w:rFonts w:ascii="Arial" w:eastAsia="Times New Roman" w:hAnsi="Arial" w:cs="Arial"/>
        </w:rPr>
      </w:pPr>
      <m:oMathPara>
        <m:oMath>
          <m:r>
            <m:rPr>
              <m:sty m:val="p"/>
            </m:rPr>
            <w:rPr>
              <w:rFonts w:ascii="Cambria Math" w:hAnsi="Arial" w:cs="Arial"/>
            </w:rPr>
            <w:lastRenderedPageBreak/>
            <m:t>μ</m:t>
          </m:r>
          <m:r>
            <m:rPr>
              <m:sty m:val="p"/>
            </m:rPr>
            <w:rPr>
              <w:rFonts w:ascii="Cambria Math" w:hAnsi="Arial" w:cs="Arial"/>
            </w:rPr>
            <m:t xml:space="preserve">= </m:t>
          </m:r>
          <m:f>
            <m:fPr>
              <m:ctrlPr>
                <w:rPr>
                  <w:rFonts w:ascii="Cambria Math" w:hAnsi="Arial" w:cs="Arial"/>
                </w:rPr>
              </m:ctrlPr>
            </m:fPr>
            <m:num>
              <m:r>
                <m:rPr>
                  <m:sty m:val="p"/>
                </m:rPr>
                <w:rPr>
                  <w:rFonts w:ascii="Cambria Math" w:hAnsi="Arial" w:cs="Arial"/>
                </w:rPr>
                <m:t>1</m:t>
              </m:r>
            </m:num>
            <m:den>
              <m:r>
                <m:rPr>
                  <m:sty m:val="p"/>
                </m:rPr>
                <w:rPr>
                  <w:rFonts w:ascii="Cambria Math" w:hAnsi="Arial" w:cs="Arial"/>
                </w:rPr>
                <m:t>N</m:t>
              </m:r>
            </m:den>
          </m:f>
          <m:nary>
            <m:naryPr>
              <m:chr m:val="∑"/>
              <m:limLoc m:val="undOvr"/>
              <m:ctrlPr>
                <w:rPr>
                  <w:rFonts w:ascii="Cambria Math" w:hAnsi="Arial" w:cs="Arial"/>
                </w:rPr>
              </m:ctrlPr>
            </m:naryPr>
            <m:sub>
              <m:r>
                <m:rPr>
                  <m:sty m:val="p"/>
                </m:rPr>
                <w:rPr>
                  <w:rFonts w:ascii="Cambria Math" w:hAnsi="Arial" w:cs="Arial"/>
                </w:rPr>
                <m:t>i=1</m:t>
              </m:r>
            </m:sub>
            <m:sup>
              <m:r>
                <m:rPr>
                  <m:sty m:val="p"/>
                </m:rPr>
                <w:rPr>
                  <w:rFonts w:ascii="Cambria Math" w:hAnsi="Arial" w:cs="Arial"/>
                </w:rPr>
                <m:t>N</m:t>
              </m:r>
            </m:sup>
            <m:e>
              <m:sSub>
                <m:sSubPr>
                  <m:ctrlPr>
                    <w:rPr>
                      <w:rFonts w:ascii="Cambria Math" w:hAnsi="Arial" w:cs="Arial"/>
                    </w:rPr>
                  </m:ctrlPr>
                </m:sSubPr>
                <m:e>
                  <m:r>
                    <m:rPr>
                      <m:sty m:val="p"/>
                    </m:rPr>
                    <w:rPr>
                      <w:rFonts w:ascii="Cambria Math" w:hAnsi="Arial" w:cs="Arial"/>
                    </w:rPr>
                    <m:t>R</m:t>
                  </m:r>
                </m:e>
                <m:sub>
                  <m:r>
                    <m:rPr>
                      <m:sty m:val="p"/>
                    </m:rPr>
                    <w:rPr>
                      <w:rFonts w:ascii="Cambria Math" w:hAnsi="Arial" w:cs="Arial"/>
                    </w:rPr>
                    <m:t>i</m:t>
                  </m:r>
                </m:sub>
              </m:sSub>
            </m:e>
          </m:nary>
        </m:oMath>
      </m:oMathPara>
    </w:p>
    <w:p w14:paraId="7455B7E8" w14:textId="77777777"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14:paraId="177D2F01" w14:textId="77777777" w:rsidR="00A229C8" w:rsidRPr="0008666E" w:rsidRDefault="00A229C8" w:rsidP="006875DF">
      <w:pPr>
        <w:pStyle w:val="NormalWeb"/>
        <w:numPr>
          <w:ilvl w:val="0"/>
          <w:numId w:val="1"/>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R</w:t>
      </w:r>
      <w:r w:rsidRPr="0008666E">
        <w:rPr>
          <w:rStyle w:val="katex-mathml"/>
          <w:rFonts w:ascii="Arial" w:hAnsi="Arial" w:cs="Arial"/>
          <w:sz w:val="22"/>
          <w:szCs w:val="22"/>
          <w:vertAlign w:val="subscript"/>
        </w:rPr>
        <w:t>i</w:t>
      </w:r>
      <w:r w:rsidRPr="0008666E">
        <w:rPr>
          <w:rStyle w:val="katex-mathml"/>
          <w:rFonts w:ascii="Arial" w:hAnsi="Arial" w:cs="Arial"/>
          <w:sz w:val="22"/>
          <w:szCs w:val="22"/>
        </w:rPr>
        <w:t xml:space="preserve"> </w:t>
      </w:r>
      <w:r w:rsidRPr="0008666E">
        <w:rPr>
          <w:rFonts w:ascii="Arial" w:hAnsi="Arial" w:cs="Arial"/>
          <w:sz w:val="22"/>
          <w:szCs w:val="22"/>
        </w:rPr>
        <w:t xml:space="preserve">= annual rainfall for the </w:t>
      </w:r>
      <w:proofErr w:type="spellStart"/>
      <w:r w:rsidRPr="0008666E">
        <w:rPr>
          <w:rStyle w:val="Emphasis"/>
          <w:rFonts w:ascii="Arial" w:eastAsiaTheme="majorEastAsia" w:hAnsi="Arial" w:cs="Arial"/>
          <w:sz w:val="22"/>
          <w:szCs w:val="22"/>
        </w:rPr>
        <w:t>i</w:t>
      </w:r>
      <w:r w:rsidRPr="0008666E">
        <w:rPr>
          <w:rFonts w:ascii="Arial" w:hAnsi="Arial" w:cs="Arial"/>
          <w:sz w:val="22"/>
          <w:szCs w:val="22"/>
          <w:vertAlign w:val="superscript"/>
        </w:rPr>
        <w:t>th</w:t>
      </w:r>
      <w:proofErr w:type="spellEnd"/>
      <w:r w:rsidRPr="0008666E">
        <w:rPr>
          <w:rFonts w:ascii="Arial" w:hAnsi="Arial" w:cs="Arial"/>
          <w:sz w:val="22"/>
          <w:szCs w:val="22"/>
        </w:rPr>
        <w:t xml:space="preserve"> year (mm)</w:t>
      </w:r>
    </w:p>
    <w:p w14:paraId="3880E63F" w14:textId="77777777" w:rsidR="00A229C8" w:rsidRPr="0008666E" w:rsidRDefault="00A229C8" w:rsidP="006875DF">
      <w:pPr>
        <w:pStyle w:val="NormalWeb"/>
        <w:numPr>
          <w:ilvl w:val="0"/>
          <w:numId w:val="1"/>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N</w:t>
      </w:r>
      <w:r w:rsidRPr="0008666E">
        <w:rPr>
          <w:rFonts w:ascii="Arial" w:hAnsi="Arial" w:cs="Arial"/>
          <w:sz w:val="22"/>
          <w:szCs w:val="22"/>
        </w:rPr>
        <w:t xml:space="preserve"> = number of years (58)</w:t>
      </w:r>
    </w:p>
    <w:p w14:paraId="440DD128" w14:textId="77777777"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Descriptive statistics such as </w:t>
      </w:r>
      <w:r w:rsidRPr="0008666E">
        <w:rPr>
          <w:rStyle w:val="Strong"/>
          <w:rFonts w:ascii="Arial" w:hAnsi="Arial" w:cs="Arial"/>
          <w:sz w:val="22"/>
          <w:szCs w:val="22"/>
        </w:rPr>
        <w:t>minimum, maximum, mean, and range</w:t>
      </w:r>
      <w:r w:rsidRPr="0008666E">
        <w:rPr>
          <w:rFonts w:ascii="Arial" w:hAnsi="Arial" w:cs="Arial"/>
          <w:sz w:val="22"/>
          <w:szCs w:val="22"/>
        </w:rPr>
        <w:t xml:space="preserve"> were used to assess interannual rainfall variability.</w:t>
      </w:r>
    </w:p>
    <w:p w14:paraId="611DD64D" w14:textId="77777777" w:rsidR="006875DF" w:rsidRDefault="006875DF" w:rsidP="006875DF">
      <w:pPr>
        <w:pStyle w:val="Heading2"/>
        <w:spacing w:before="240" w:beforeAutospacing="0" w:after="0" w:afterAutospacing="0"/>
        <w:jc w:val="both"/>
        <w:rPr>
          <w:rStyle w:val="Strong"/>
          <w:rFonts w:ascii="Arial" w:hAnsi="Arial" w:cs="Arial"/>
          <w:b/>
          <w:bCs/>
          <w:sz w:val="22"/>
          <w:szCs w:val="22"/>
        </w:rPr>
      </w:pPr>
    </w:p>
    <w:p w14:paraId="50B341F5" w14:textId="77777777" w:rsidR="00A229C8" w:rsidRPr="0008666E" w:rsidRDefault="00A229C8"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2.4 Classification of Rainfall Years</w:t>
      </w:r>
    </w:p>
    <w:p w14:paraId="07F622C2" w14:textId="77777777"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Rainfall years were classified into </w:t>
      </w:r>
      <w:r w:rsidRPr="0008666E">
        <w:rPr>
          <w:rStyle w:val="Strong"/>
          <w:rFonts w:ascii="Arial" w:hAnsi="Arial" w:cs="Arial"/>
          <w:sz w:val="22"/>
          <w:szCs w:val="22"/>
        </w:rPr>
        <w:t>deficit, normal, and excess</w:t>
      </w:r>
      <w:r w:rsidRPr="0008666E">
        <w:rPr>
          <w:rFonts w:ascii="Arial" w:hAnsi="Arial" w:cs="Arial"/>
          <w:sz w:val="22"/>
          <w:szCs w:val="22"/>
        </w:rPr>
        <w:t xml:space="preserve"> categories based on deviation from the long-term mean annual rainfall, following the criteria of the </w:t>
      </w:r>
      <w:r w:rsidRPr="0008666E">
        <w:rPr>
          <w:rStyle w:val="Strong"/>
          <w:rFonts w:ascii="Arial" w:hAnsi="Arial" w:cs="Arial"/>
          <w:sz w:val="22"/>
          <w:szCs w:val="22"/>
        </w:rPr>
        <w:t>India Meteorological Department (IMD)</w:t>
      </w:r>
      <w:r w:rsidRPr="0008666E">
        <w:rPr>
          <w:rFonts w:ascii="Arial" w:hAnsi="Arial" w:cs="Arial"/>
          <w:sz w:val="22"/>
          <w:szCs w:val="22"/>
        </w:rPr>
        <w:t>:</w:t>
      </w:r>
    </w:p>
    <w:p w14:paraId="08A01C49" w14:textId="77777777" w:rsidR="00A229C8" w:rsidRPr="0008666E" w:rsidRDefault="00A229C8" w:rsidP="006875DF">
      <w:pPr>
        <w:pStyle w:val="NormalWeb"/>
        <w:numPr>
          <w:ilvl w:val="0"/>
          <w:numId w:val="2"/>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Deficit year</w:t>
      </w:r>
      <w:r w:rsidRPr="0008666E">
        <w:rPr>
          <w:rFonts w:ascii="Arial" w:hAnsi="Arial" w:cs="Arial"/>
          <w:sz w:val="22"/>
          <w:szCs w:val="22"/>
        </w:rPr>
        <w:t>: Annual rainfall &lt; 80% of long-term mean</w:t>
      </w:r>
    </w:p>
    <w:p w14:paraId="0169CBA7" w14:textId="77777777" w:rsidR="00A229C8" w:rsidRPr="0008666E" w:rsidRDefault="00A229C8" w:rsidP="006875DF">
      <w:pPr>
        <w:pStyle w:val="NormalWeb"/>
        <w:numPr>
          <w:ilvl w:val="0"/>
          <w:numId w:val="2"/>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Normal year</w:t>
      </w:r>
      <w:r w:rsidRPr="0008666E">
        <w:rPr>
          <w:rFonts w:ascii="Arial" w:hAnsi="Arial" w:cs="Arial"/>
          <w:sz w:val="22"/>
          <w:szCs w:val="22"/>
        </w:rPr>
        <w:t>: Annual rainfall between 80% and 120% of long-term mean</w:t>
      </w:r>
    </w:p>
    <w:p w14:paraId="52B682CF" w14:textId="77777777" w:rsidR="00A229C8" w:rsidRPr="0008666E" w:rsidRDefault="00A229C8" w:rsidP="006875DF">
      <w:pPr>
        <w:pStyle w:val="NormalWeb"/>
        <w:numPr>
          <w:ilvl w:val="0"/>
          <w:numId w:val="2"/>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Excess year</w:t>
      </w:r>
      <w:r w:rsidRPr="0008666E">
        <w:rPr>
          <w:rFonts w:ascii="Arial" w:hAnsi="Arial" w:cs="Arial"/>
          <w:sz w:val="22"/>
          <w:szCs w:val="22"/>
        </w:rPr>
        <w:t>: Annual rainfall &gt; 120% of long-term mean</w:t>
      </w:r>
    </w:p>
    <w:p w14:paraId="3EC5216F" w14:textId="77777777"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Percentage deviation (</w:t>
      </w:r>
      <w:r w:rsidRPr="0008666E">
        <w:rPr>
          <w:rStyle w:val="katex-mathml"/>
          <w:rFonts w:ascii="Arial" w:hAnsi="Arial" w:cs="Arial"/>
          <w:sz w:val="22"/>
          <w:szCs w:val="22"/>
        </w:rPr>
        <w:t>D</w:t>
      </w:r>
      <w:r w:rsidRPr="0008666E">
        <w:rPr>
          <w:rFonts w:ascii="Arial" w:hAnsi="Arial" w:cs="Arial"/>
          <w:sz w:val="22"/>
          <w:szCs w:val="22"/>
        </w:rPr>
        <w:t>) from the long-term mean was calculated as:</w:t>
      </w:r>
    </w:p>
    <w:p w14:paraId="2BA06349" w14:textId="77777777" w:rsidR="004A7554" w:rsidRPr="0008666E" w:rsidRDefault="004A7554" w:rsidP="006875DF">
      <w:pPr>
        <w:pStyle w:val="NormalWeb"/>
        <w:spacing w:before="240" w:beforeAutospacing="0" w:after="0" w:afterAutospacing="0"/>
        <w:jc w:val="both"/>
        <w:rPr>
          <w:rFonts w:ascii="Arial" w:hAnsi="Arial" w:cs="Arial"/>
          <w:sz w:val="22"/>
          <w:szCs w:val="22"/>
        </w:rPr>
      </w:pPr>
      <m:oMathPara>
        <m:oMath>
          <m:r>
            <w:rPr>
              <w:rFonts w:ascii="Cambria Math" w:hAnsi="Cambria Math" w:cs="Arial"/>
              <w:sz w:val="22"/>
              <w:szCs w:val="22"/>
            </w:rPr>
            <m:t>D</m:t>
          </m:r>
          <m:r>
            <w:rPr>
              <w:rFonts w:ascii="Cambria Math" w:hAnsi="Arial" w:cs="Arial"/>
              <w:sz w:val="22"/>
              <w:szCs w:val="22"/>
            </w:rPr>
            <m:t xml:space="preserve">%= </m:t>
          </m:r>
          <m:f>
            <m:fPr>
              <m:ctrlPr>
                <w:rPr>
                  <w:rStyle w:val="mord"/>
                  <w:rFonts w:ascii="Cambria Math" w:hAnsi="Arial" w:cs="Arial"/>
                  <w:bCs/>
                  <w:sz w:val="22"/>
                  <w:szCs w:val="22"/>
                </w:rPr>
              </m:ctrlPr>
            </m:fPr>
            <m:num>
              <m:r>
                <m:rPr>
                  <m:sty m:val="p"/>
                </m:rPr>
                <w:rPr>
                  <w:rStyle w:val="mord"/>
                  <w:rFonts w:ascii="Cambria Math" w:hAnsi="Arial" w:cs="Arial"/>
                  <w:sz w:val="22"/>
                  <w:szCs w:val="22"/>
                </w:rPr>
                <m:t>μ</m:t>
              </m:r>
              <m:sSub>
                <m:sSubPr>
                  <m:ctrlPr>
                    <w:rPr>
                      <w:rStyle w:val="mord"/>
                      <w:rFonts w:ascii="Cambria Math" w:hAnsi="Arial" w:cs="Arial"/>
                      <w:sz w:val="22"/>
                      <w:szCs w:val="22"/>
                    </w:rPr>
                  </m:ctrlPr>
                </m:sSubPr>
                <m:e>
                  <m:r>
                    <m:rPr>
                      <m:sty m:val="p"/>
                    </m:rPr>
                    <w:rPr>
                      <w:rStyle w:val="mord"/>
                      <w:rFonts w:ascii="Cambria Math" w:hAnsi="Arial" w:cs="Arial"/>
                      <w:sz w:val="22"/>
                      <w:szCs w:val="22"/>
                    </w:rPr>
                    <m:t>R</m:t>
                  </m:r>
                </m:e>
                <m:sub>
                  <m:r>
                    <m:rPr>
                      <m:sty m:val="p"/>
                    </m:rPr>
                    <w:rPr>
                      <w:rStyle w:val="mord"/>
                      <w:rFonts w:ascii="Cambria Math" w:hAnsi="Arial" w:cs="Arial"/>
                      <w:sz w:val="22"/>
                      <w:szCs w:val="22"/>
                    </w:rPr>
                    <m:t>i</m:t>
                  </m:r>
                </m:sub>
              </m:sSub>
              <m:r>
                <m:rPr>
                  <m:sty m:val="p"/>
                </m:rPr>
                <w:rPr>
                  <w:rStyle w:val="mord"/>
                  <w:rFonts w:ascii="Cambria Math" w:hAnsi="Arial" w:cs="Arial"/>
                  <w:sz w:val="22"/>
                  <w:szCs w:val="22"/>
                </w:rPr>
                <m:t>-μ</m:t>
              </m:r>
              <m:r>
                <m:rPr>
                  <m:sty m:val="p"/>
                </m:rPr>
                <w:rPr>
                  <w:rStyle w:val="mord"/>
                  <w:rFonts w:ascii="Cambria Math" w:hAnsi="Arial" w:cs="Arial"/>
                  <w:sz w:val="22"/>
                  <w:szCs w:val="22"/>
                </w:rPr>
                <m:t xml:space="preserve"> </m:t>
              </m:r>
            </m:num>
            <m:den>
              <m:r>
                <m:rPr>
                  <m:sty m:val="p"/>
                </m:rPr>
                <w:rPr>
                  <w:rStyle w:val="mord"/>
                  <w:rFonts w:ascii="Cambria Math" w:hAnsi="Arial" w:cs="Arial"/>
                  <w:sz w:val="22"/>
                  <w:szCs w:val="22"/>
                </w:rPr>
                <m:t>μ</m:t>
              </m:r>
            </m:den>
          </m:f>
          <m:r>
            <m:rPr>
              <m:sty m:val="p"/>
            </m:rPr>
            <w:rPr>
              <w:rStyle w:val="mord"/>
              <w:rFonts w:ascii="Cambria Math" w:hAnsi="Arial" w:cs="Arial"/>
              <w:sz w:val="22"/>
              <w:szCs w:val="22"/>
            </w:rPr>
            <m:t>×</m:t>
          </m:r>
          <m:r>
            <m:rPr>
              <m:sty m:val="p"/>
            </m:rPr>
            <w:rPr>
              <w:rStyle w:val="mord"/>
              <w:rFonts w:ascii="Cambria Math" w:hAnsi="Arial" w:cs="Arial"/>
              <w:sz w:val="22"/>
              <w:szCs w:val="22"/>
            </w:rPr>
            <m:t>100</m:t>
          </m:r>
        </m:oMath>
      </m:oMathPara>
    </w:p>
    <w:p w14:paraId="430DB7B1" w14:textId="77777777" w:rsidR="005127EB" w:rsidRPr="0008666E" w:rsidRDefault="005127EB"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14:paraId="004CE8C8" w14:textId="77777777" w:rsidR="005127EB" w:rsidRPr="0008666E" w:rsidRDefault="005127EB" w:rsidP="006875DF">
      <w:pPr>
        <w:pStyle w:val="NormalWeb"/>
        <w:numPr>
          <w:ilvl w:val="0"/>
          <w:numId w:val="3"/>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Ri</w:t>
      </w:r>
      <w:r w:rsidRPr="0008666E">
        <w:rPr>
          <w:rFonts w:ascii="Arial" w:hAnsi="Arial" w:cs="Arial"/>
          <w:sz w:val="22"/>
          <w:szCs w:val="22"/>
        </w:rPr>
        <w:t xml:space="preserve">= annual rainfall of the </w:t>
      </w:r>
      <w:proofErr w:type="spellStart"/>
      <w:r w:rsidRPr="0008666E">
        <w:rPr>
          <w:rStyle w:val="Emphasis"/>
          <w:rFonts w:ascii="Arial" w:eastAsiaTheme="majorEastAsia" w:hAnsi="Arial" w:cs="Arial"/>
          <w:sz w:val="22"/>
          <w:szCs w:val="22"/>
        </w:rPr>
        <w:t>i</w:t>
      </w:r>
      <w:r w:rsidRPr="0008666E">
        <w:rPr>
          <w:rFonts w:ascii="Arial" w:hAnsi="Arial" w:cs="Arial"/>
          <w:sz w:val="22"/>
          <w:szCs w:val="22"/>
        </w:rPr>
        <w:t>th</w:t>
      </w:r>
      <w:proofErr w:type="spellEnd"/>
      <w:r w:rsidRPr="0008666E">
        <w:rPr>
          <w:rFonts w:ascii="Arial" w:hAnsi="Arial" w:cs="Arial"/>
          <w:sz w:val="22"/>
          <w:szCs w:val="22"/>
        </w:rPr>
        <w:t xml:space="preserve"> year (mm)</w:t>
      </w:r>
    </w:p>
    <w:p w14:paraId="218AEE37" w14:textId="77777777" w:rsidR="005127EB" w:rsidRPr="0008666E" w:rsidRDefault="005127EB" w:rsidP="006875DF">
      <w:pPr>
        <w:pStyle w:val="NormalWeb"/>
        <w:numPr>
          <w:ilvl w:val="0"/>
          <w:numId w:val="3"/>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μ</w:t>
      </w:r>
      <w:r w:rsidRPr="0008666E">
        <w:rPr>
          <w:rFonts w:ascii="Arial" w:hAnsi="Arial" w:cs="Arial"/>
          <w:sz w:val="22"/>
          <w:szCs w:val="22"/>
        </w:rPr>
        <w:t xml:space="preserve"> = long-term mean annual rainfall (mm)</w:t>
      </w:r>
    </w:p>
    <w:p w14:paraId="69E1783D" w14:textId="77777777" w:rsidR="005127EB" w:rsidRPr="0008666E" w:rsidRDefault="005127EB"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2.5 Rainfall Anomaly Index (RAI)</w:t>
      </w:r>
    </w:p>
    <w:p w14:paraId="09CEB699" w14:textId="77777777" w:rsidR="005127EB" w:rsidRPr="0008666E" w:rsidRDefault="005127EB"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w:t>
      </w:r>
      <w:r w:rsidRPr="0008666E">
        <w:rPr>
          <w:rStyle w:val="Strong"/>
          <w:rFonts w:ascii="Arial" w:hAnsi="Arial" w:cs="Arial"/>
          <w:sz w:val="22"/>
          <w:szCs w:val="22"/>
        </w:rPr>
        <w:t>Rainfall Anomaly Index (RAI)</w:t>
      </w:r>
      <w:r w:rsidRPr="0008666E">
        <w:rPr>
          <w:rFonts w:ascii="Arial" w:hAnsi="Arial" w:cs="Arial"/>
          <w:sz w:val="22"/>
          <w:szCs w:val="22"/>
        </w:rPr>
        <w:t xml:space="preserve"> was used to identify dry and wet years based on rainfall deviations from the long-term mean. RAI was calculated using the following expressions (van </w:t>
      </w:r>
      <w:proofErr w:type="spellStart"/>
      <w:r w:rsidRPr="0008666E">
        <w:rPr>
          <w:rFonts w:ascii="Arial" w:hAnsi="Arial" w:cs="Arial"/>
          <w:sz w:val="22"/>
          <w:szCs w:val="22"/>
        </w:rPr>
        <w:t>Rooy</w:t>
      </w:r>
      <w:proofErr w:type="spellEnd"/>
      <w:r w:rsidRPr="0008666E">
        <w:rPr>
          <w:rFonts w:ascii="Arial" w:hAnsi="Arial" w:cs="Arial"/>
          <w:sz w:val="22"/>
          <w:szCs w:val="22"/>
        </w:rPr>
        <w:t>, 1965):</w:t>
      </w:r>
    </w:p>
    <w:p w14:paraId="5A3FB76A" w14:textId="77777777" w:rsidR="005127EB" w:rsidRPr="00BC5E54" w:rsidRDefault="005127EB" w:rsidP="006875DF">
      <w:pPr>
        <w:pStyle w:val="Heading3"/>
        <w:spacing w:before="240"/>
        <w:jc w:val="both"/>
        <w:rPr>
          <w:rFonts w:ascii="Arial" w:hAnsi="Arial" w:cs="Arial"/>
          <w:color w:val="000000" w:themeColor="text1"/>
        </w:rPr>
      </w:pPr>
      <w:r w:rsidRPr="00BC5E54">
        <w:rPr>
          <w:rFonts w:ascii="Arial" w:hAnsi="Arial" w:cs="Arial"/>
          <w:color w:val="000000" w:themeColor="text1"/>
        </w:rPr>
        <w:t>For positive anomalies (wet years):</w:t>
      </w:r>
    </w:p>
    <w:p w14:paraId="596C4150" w14:textId="77777777" w:rsidR="00797451" w:rsidRPr="00BC5E54" w:rsidRDefault="00797451" w:rsidP="006875DF">
      <w:pPr>
        <w:spacing w:before="240" w:after="0"/>
        <w:jc w:val="both"/>
        <w:rPr>
          <w:rFonts w:ascii="Arial" w:hAnsi="Arial" w:cs="Arial"/>
          <w:color w:val="000000" w:themeColor="text1"/>
        </w:rPr>
      </w:pPr>
      <m:oMathPara>
        <m:oMath>
          <m:r>
            <w:rPr>
              <w:rFonts w:ascii="Cambria Math" w:hAnsi="Cambria Math" w:cs="Arial"/>
              <w:color w:val="000000" w:themeColor="text1"/>
            </w:rPr>
            <m:t>RAI</m:t>
          </m:r>
          <m:r>
            <m:rPr>
              <m:sty m:val="p"/>
            </m:rPr>
            <w:rPr>
              <w:rStyle w:val="mord"/>
              <w:rFonts w:ascii="Cambria Math" w:hAnsi="Arial" w:cs="Arial"/>
              <w:color w:val="000000" w:themeColor="text1"/>
            </w:rPr>
            <m:t>=3</m:t>
          </m:r>
          <m:d>
            <m:dPr>
              <m:ctrlPr>
                <w:rPr>
                  <w:rStyle w:val="mord"/>
                  <w:rFonts w:ascii="Cambria Math" w:hAnsi="Arial" w:cs="Arial"/>
                  <w:bCs/>
                  <w:color w:val="000000" w:themeColor="text1"/>
                </w:rPr>
              </m:ctrlPr>
            </m:dPr>
            <m:e>
              <m:f>
                <m:fPr>
                  <m:ctrlPr>
                    <w:rPr>
                      <w:rStyle w:val="mord"/>
                      <w:rFonts w:ascii="Cambria Math" w:hAnsi="Arial" w:cs="Arial"/>
                      <w:bCs/>
                      <w:color w:val="000000" w:themeColor="text1"/>
                    </w:rPr>
                  </m:ctrlPr>
                </m:fPr>
                <m:num>
                  <m:sSub>
                    <m:sSubPr>
                      <m:ctrlPr>
                        <w:rPr>
                          <w:rStyle w:val="mord"/>
                          <w:rFonts w:ascii="Cambria Math" w:hAnsi="Arial" w:cs="Arial"/>
                          <w:bCs/>
                          <w:color w:val="000000" w:themeColor="text1"/>
                        </w:rPr>
                      </m:ctrlPr>
                    </m:sSubPr>
                    <m:e>
                      <m:r>
                        <m:rPr>
                          <m:sty m:val="p"/>
                        </m:rPr>
                        <w:rPr>
                          <w:rStyle w:val="mord"/>
                          <w:rFonts w:ascii="Cambria Math" w:hAnsi="Arial" w:cs="Arial"/>
                          <w:color w:val="000000" w:themeColor="text1"/>
                        </w:rPr>
                        <m:t>R</m:t>
                      </m:r>
                    </m:e>
                    <m:sub>
                      <m:r>
                        <m:rPr>
                          <m:sty m:val="p"/>
                        </m:rPr>
                        <w:rPr>
                          <w:rStyle w:val="mord"/>
                          <w:rFonts w:ascii="Cambria Math" w:hAnsi="Arial" w:cs="Arial"/>
                          <w:color w:val="000000" w:themeColor="text1"/>
                        </w:rPr>
                        <m:t>i</m:t>
                      </m:r>
                    </m:sub>
                  </m:sSub>
                  <m:r>
                    <m:rPr>
                      <m:sty m:val="p"/>
                    </m:rPr>
                    <w:rPr>
                      <w:rStyle w:val="vlist-s"/>
                      <w:rFonts w:ascii="Arial" w:hAnsi="Arial" w:cs="Arial"/>
                      <w:color w:val="000000" w:themeColor="text1"/>
                    </w:rPr>
                    <m:t>​</m:t>
                  </m:r>
                  <m:r>
                    <m:rPr>
                      <m:sty m:val="p"/>
                    </m:rPr>
                    <w:rPr>
                      <w:rStyle w:val="mbin"/>
                      <w:rFonts w:ascii="Arial" w:hAnsi="Arial" w:cs="Arial"/>
                      <w:color w:val="000000" w:themeColor="text1"/>
                    </w:rPr>
                    <m:t>-</m:t>
                  </m:r>
                  <m:r>
                    <m:rPr>
                      <m:sty m:val="p"/>
                    </m:rPr>
                    <w:rPr>
                      <w:rStyle w:val="mord"/>
                      <w:rFonts w:ascii="Cambria Math" w:hAnsi="Arial" w:cs="Arial"/>
                      <w:color w:val="000000" w:themeColor="text1"/>
                    </w:rPr>
                    <m:t>μ</m:t>
                  </m:r>
                </m:num>
                <m:den>
                  <m:sSub>
                    <m:sSubPr>
                      <m:ctrlPr>
                        <w:rPr>
                          <w:rStyle w:val="mord"/>
                          <w:rFonts w:ascii="Cambria Math" w:hAnsi="Arial" w:cs="Arial"/>
                          <w:bCs/>
                          <w:color w:val="000000" w:themeColor="text1"/>
                        </w:rPr>
                      </m:ctrlPr>
                    </m:sSubPr>
                    <m:e>
                      <m:acc>
                        <m:accPr>
                          <m:chr m:val="̅"/>
                          <m:ctrlPr>
                            <w:rPr>
                              <w:rStyle w:val="mord"/>
                              <w:rFonts w:ascii="Cambria Math" w:hAnsi="Arial" w:cs="Arial"/>
                              <w:bCs/>
                              <w:color w:val="000000" w:themeColor="text1"/>
                            </w:rPr>
                          </m:ctrlPr>
                        </m:accPr>
                        <m:e>
                          <m:r>
                            <m:rPr>
                              <m:sty m:val="p"/>
                            </m:rPr>
                            <w:rPr>
                              <w:rStyle w:val="mord"/>
                              <w:rFonts w:ascii="Cambria Math" w:hAnsi="Arial" w:cs="Arial"/>
                              <w:color w:val="000000" w:themeColor="text1"/>
                            </w:rPr>
                            <m:t>M</m:t>
                          </m:r>
                        </m:e>
                      </m:acc>
                    </m:e>
                    <m:sub>
                      <m:r>
                        <m:rPr>
                          <m:sty m:val="p"/>
                        </m:rPr>
                        <w:rPr>
                          <w:rStyle w:val="mord"/>
                          <w:rFonts w:ascii="Cambria Math" w:hAnsi="Arial" w:cs="Arial"/>
                          <w:color w:val="000000" w:themeColor="text1"/>
                        </w:rPr>
                        <m:t>10</m:t>
                      </m:r>
                    </m:sub>
                  </m:sSub>
                  <m:r>
                    <m:rPr>
                      <m:sty m:val="p"/>
                    </m:rPr>
                    <w:rPr>
                      <w:rStyle w:val="mbin"/>
                      <w:rFonts w:ascii="Arial" w:hAnsi="Arial" w:cs="Arial"/>
                      <w:color w:val="000000" w:themeColor="text1"/>
                    </w:rPr>
                    <m:t>-</m:t>
                  </m:r>
                  <m:r>
                    <m:rPr>
                      <m:sty m:val="p"/>
                    </m:rPr>
                    <w:rPr>
                      <w:rStyle w:val="mord"/>
                      <w:rFonts w:ascii="Cambria Math" w:hAnsi="Arial" w:cs="Arial"/>
                      <w:color w:val="000000" w:themeColor="text1"/>
                    </w:rPr>
                    <m:t>μ</m:t>
                  </m:r>
                </m:den>
              </m:f>
            </m:e>
          </m:d>
        </m:oMath>
      </m:oMathPara>
    </w:p>
    <w:p w14:paraId="291271CE" w14:textId="77777777" w:rsidR="005127EB" w:rsidRPr="00BC5E54" w:rsidRDefault="005127EB" w:rsidP="006875DF">
      <w:pPr>
        <w:pStyle w:val="Heading3"/>
        <w:spacing w:before="240"/>
        <w:jc w:val="both"/>
        <w:rPr>
          <w:rFonts w:ascii="Arial" w:hAnsi="Arial" w:cs="Arial"/>
          <w:color w:val="000000" w:themeColor="text1"/>
        </w:rPr>
      </w:pPr>
      <w:r w:rsidRPr="00BC5E54">
        <w:rPr>
          <w:rFonts w:ascii="Arial" w:hAnsi="Arial" w:cs="Arial"/>
          <w:color w:val="000000" w:themeColor="text1"/>
        </w:rPr>
        <w:lastRenderedPageBreak/>
        <w:t xml:space="preserve"> For negative anomalies (dry years):</w:t>
      </w:r>
    </w:p>
    <w:p w14:paraId="43A4BA36" w14:textId="77777777" w:rsidR="005127EB" w:rsidRPr="0008666E" w:rsidRDefault="005127EB" w:rsidP="006875DF">
      <w:pPr>
        <w:spacing w:before="240" w:after="0"/>
        <w:jc w:val="both"/>
        <w:rPr>
          <w:rFonts w:ascii="Arial" w:eastAsiaTheme="minorEastAsia" w:hAnsi="Arial" w:cs="Arial"/>
        </w:rPr>
      </w:pPr>
      <m:oMathPara>
        <m:oMath>
          <m:r>
            <w:rPr>
              <w:rFonts w:ascii="Cambria Math" w:hAnsi="Cambria Math" w:cs="Arial"/>
            </w:rPr>
            <m:t>RAI</m:t>
          </m:r>
          <m:r>
            <w:rPr>
              <w:rFonts w:ascii="Cambria Math" w:hAnsi="Arial" w:cs="Arial"/>
            </w:rPr>
            <m:t>=</m:t>
          </m:r>
          <m:r>
            <w:rPr>
              <w:rFonts w:ascii="Cambria Math" w:hAnsi="Arial" w:cs="Arial"/>
            </w:rPr>
            <m:t>-</m:t>
          </m:r>
          <m:r>
            <w:rPr>
              <w:rFonts w:ascii="Cambria Math" w:hAnsi="Arial" w:cs="Arial"/>
            </w:rPr>
            <m:t>3</m:t>
          </m:r>
          <m:d>
            <m:dPr>
              <m:ctrlPr>
                <w:rPr>
                  <w:rFonts w:ascii="Cambria Math" w:hAnsi="Arial" w:cs="Arial"/>
                  <w:i/>
                </w:rPr>
              </m:ctrlPr>
            </m:dPr>
            <m:e>
              <m:f>
                <m:fPr>
                  <m:ctrlPr>
                    <w:rPr>
                      <w:rStyle w:val="mord"/>
                      <w:rFonts w:ascii="Cambria Math" w:hAnsi="Arial" w:cs="Arial"/>
                      <w:bCs/>
                    </w:rPr>
                  </m:ctrlPr>
                </m:fPr>
                <m:num>
                  <m:r>
                    <m:rPr>
                      <m:sty m:val="p"/>
                    </m:rPr>
                    <w:rPr>
                      <w:rStyle w:val="mord"/>
                      <w:rFonts w:ascii="Cambria Math" w:hAnsi="Arial" w:cs="Arial"/>
                    </w:rPr>
                    <m:t>μ-</m:t>
                  </m:r>
                  <m:sSub>
                    <m:sSubPr>
                      <m:ctrlPr>
                        <w:rPr>
                          <w:rStyle w:val="mord"/>
                          <w:rFonts w:ascii="Cambria Math" w:hAnsi="Arial" w:cs="Arial"/>
                          <w:bCs/>
                        </w:rPr>
                      </m:ctrlPr>
                    </m:sSubPr>
                    <m:e>
                      <m:r>
                        <m:rPr>
                          <m:sty m:val="p"/>
                        </m:rPr>
                        <w:rPr>
                          <w:rStyle w:val="mord"/>
                          <w:rFonts w:ascii="Cambria Math" w:hAnsi="Arial" w:cs="Arial"/>
                        </w:rPr>
                        <m:t>R</m:t>
                      </m:r>
                    </m:e>
                    <m:sub>
                      <m:r>
                        <m:rPr>
                          <m:sty m:val="p"/>
                        </m:rPr>
                        <w:rPr>
                          <w:rStyle w:val="mord"/>
                          <w:rFonts w:ascii="Cambria Math" w:hAnsi="Arial" w:cs="Arial"/>
                        </w:rPr>
                        <m:t>i</m:t>
                      </m:r>
                    </m:sub>
                  </m:sSub>
                </m:num>
                <m:den>
                  <m:r>
                    <m:rPr>
                      <m:sty m:val="p"/>
                    </m:rPr>
                    <w:rPr>
                      <w:rStyle w:val="mord"/>
                      <w:rFonts w:ascii="Cambria Math" w:hAnsi="Arial" w:cs="Arial"/>
                    </w:rPr>
                    <m:t>μ-</m:t>
                  </m:r>
                  <m:sSub>
                    <m:sSubPr>
                      <m:ctrlPr>
                        <w:rPr>
                          <w:rStyle w:val="mord"/>
                          <w:rFonts w:ascii="Cambria Math" w:hAnsi="Arial" w:cs="Arial"/>
                          <w:bCs/>
                        </w:rPr>
                      </m:ctrlPr>
                    </m:sSubPr>
                    <m:e>
                      <m:bar>
                        <m:barPr>
                          <m:pos m:val="top"/>
                          <m:ctrlPr>
                            <w:rPr>
                              <w:rStyle w:val="mord"/>
                              <w:rFonts w:ascii="Cambria Math" w:hAnsi="Arial" w:cs="Arial"/>
                              <w:bCs/>
                            </w:rPr>
                          </m:ctrlPr>
                        </m:barPr>
                        <m:e>
                          <m:r>
                            <m:rPr>
                              <m:sty m:val="p"/>
                            </m:rPr>
                            <w:rPr>
                              <w:rStyle w:val="mord"/>
                              <w:rFonts w:ascii="Cambria Math" w:hAnsi="Arial" w:cs="Arial"/>
                            </w:rPr>
                            <m:t>X</m:t>
                          </m:r>
                        </m:e>
                      </m:bar>
                    </m:e>
                    <m:sub>
                      <m:r>
                        <m:rPr>
                          <m:sty m:val="p"/>
                        </m:rPr>
                        <w:rPr>
                          <w:rStyle w:val="mord"/>
                          <w:rFonts w:ascii="Cambria Math" w:hAnsi="Arial" w:cs="Arial"/>
                        </w:rPr>
                        <m:t>10</m:t>
                      </m:r>
                    </m:sub>
                  </m:sSub>
                </m:den>
              </m:f>
            </m:e>
          </m:d>
        </m:oMath>
      </m:oMathPara>
    </w:p>
    <w:p w14:paraId="2188834F" w14:textId="77777777" w:rsidR="00797451" w:rsidRPr="0008666E" w:rsidRDefault="00797451"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14:paraId="0D223170" w14:textId="77777777" w:rsidR="00797451" w:rsidRPr="0008666E" w:rsidRDefault="00797451" w:rsidP="006875DF">
      <w:pPr>
        <w:pStyle w:val="NormalWeb"/>
        <w:numPr>
          <w:ilvl w:val="0"/>
          <w:numId w:val="4"/>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R</w:t>
      </w:r>
      <w:r w:rsidRPr="0008666E">
        <w:rPr>
          <w:rStyle w:val="katex-mathml"/>
          <w:rFonts w:ascii="Arial" w:hAnsi="Arial" w:cs="Arial"/>
          <w:sz w:val="22"/>
          <w:szCs w:val="22"/>
          <w:vertAlign w:val="subscript"/>
        </w:rPr>
        <w:t>i</w:t>
      </w:r>
      <w:r w:rsidRPr="0008666E">
        <w:rPr>
          <w:rStyle w:val="vlist-s"/>
          <w:rFonts w:ascii="Arial" w:hAnsi="Arial" w:cs="Arial"/>
          <w:sz w:val="22"/>
          <w:szCs w:val="22"/>
        </w:rPr>
        <w:t>​</w:t>
      </w:r>
      <w:r w:rsidRPr="0008666E">
        <w:rPr>
          <w:rFonts w:ascii="Arial" w:hAnsi="Arial" w:cs="Arial"/>
          <w:sz w:val="22"/>
          <w:szCs w:val="22"/>
        </w:rPr>
        <w:t xml:space="preserve"> = annual rainfall for the </w:t>
      </w:r>
      <w:proofErr w:type="spellStart"/>
      <w:r w:rsidRPr="0008666E">
        <w:rPr>
          <w:rStyle w:val="Emphasis"/>
          <w:rFonts w:ascii="Arial" w:eastAsiaTheme="majorEastAsia" w:hAnsi="Arial" w:cs="Arial"/>
          <w:sz w:val="22"/>
          <w:szCs w:val="22"/>
        </w:rPr>
        <w:t>i</w:t>
      </w:r>
      <w:r w:rsidRPr="0008666E">
        <w:rPr>
          <w:rFonts w:ascii="Arial" w:hAnsi="Arial" w:cs="Arial"/>
          <w:sz w:val="22"/>
          <w:szCs w:val="22"/>
        </w:rPr>
        <w:t>th</w:t>
      </w:r>
      <w:proofErr w:type="spellEnd"/>
      <w:r w:rsidRPr="0008666E">
        <w:rPr>
          <w:rFonts w:ascii="Arial" w:hAnsi="Arial" w:cs="Arial"/>
          <w:sz w:val="22"/>
          <w:szCs w:val="22"/>
        </w:rPr>
        <w:t xml:space="preserve"> year (mm)</w:t>
      </w:r>
    </w:p>
    <w:p w14:paraId="73CF50F4" w14:textId="77777777" w:rsidR="00797451" w:rsidRPr="0008666E" w:rsidRDefault="00797451" w:rsidP="006875DF">
      <w:pPr>
        <w:pStyle w:val="NormalWeb"/>
        <w:numPr>
          <w:ilvl w:val="0"/>
          <w:numId w:val="4"/>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μ</w:t>
      </w:r>
      <w:r w:rsidRPr="0008666E">
        <w:rPr>
          <w:rFonts w:ascii="Arial" w:hAnsi="Arial" w:cs="Arial"/>
          <w:sz w:val="22"/>
          <w:szCs w:val="22"/>
        </w:rPr>
        <w:t xml:space="preserve"> = long-term mean annual rainfall (mm)</w:t>
      </w:r>
    </w:p>
    <w:p w14:paraId="7361947A" w14:textId="77777777" w:rsidR="00797451" w:rsidRPr="0008666E" w:rsidRDefault="00E21274" w:rsidP="006875DF">
      <w:pPr>
        <w:pStyle w:val="NormalWeb"/>
        <w:numPr>
          <w:ilvl w:val="0"/>
          <w:numId w:val="4"/>
        </w:numPr>
        <w:spacing w:before="240" w:beforeAutospacing="0" w:after="0" w:afterAutospacing="0"/>
        <w:jc w:val="both"/>
        <w:rPr>
          <w:rFonts w:ascii="Arial" w:hAnsi="Arial" w:cs="Arial"/>
          <w:sz w:val="22"/>
          <w:szCs w:val="22"/>
        </w:rPr>
      </w:pPr>
      <m:oMath>
        <m:acc>
          <m:accPr>
            <m:chr m:val="̅"/>
            <m:ctrlPr>
              <w:rPr>
                <w:rStyle w:val="katex-mathml"/>
                <w:rFonts w:ascii="Cambria Math" w:hAnsi="Arial" w:cs="Arial"/>
                <w:i/>
                <w:sz w:val="22"/>
                <w:szCs w:val="22"/>
              </w:rPr>
            </m:ctrlPr>
          </m:accPr>
          <m:e>
            <m:r>
              <w:rPr>
                <w:rStyle w:val="katex-mathml"/>
                <w:rFonts w:ascii="Cambria Math" w:hAnsi="Cambria Math" w:cs="Arial"/>
                <w:sz w:val="22"/>
                <w:szCs w:val="22"/>
              </w:rPr>
              <m:t>M</m:t>
            </m:r>
          </m:e>
        </m:acc>
      </m:oMath>
      <w:r w:rsidR="00797451" w:rsidRPr="0008666E">
        <w:rPr>
          <w:rStyle w:val="katex-mathml"/>
          <w:rFonts w:ascii="Arial" w:hAnsi="Arial" w:cs="Arial"/>
          <w:sz w:val="22"/>
          <w:szCs w:val="22"/>
          <w:vertAlign w:val="subscript"/>
        </w:rPr>
        <w:t>10</w:t>
      </w:r>
      <w:r w:rsidR="004A7554" w:rsidRPr="0008666E">
        <w:rPr>
          <w:rStyle w:val="vlist-s"/>
          <w:rFonts w:ascii="Arial" w:hAnsi="Arial" w:cs="Arial"/>
          <w:sz w:val="22"/>
          <w:szCs w:val="22"/>
        </w:rPr>
        <w:t xml:space="preserve"> </w:t>
      </w:r>
      <w:r w:rsidR="00797451" w:rsidRPr="0008666E">
        <w:rPr>
          <w:rStyle w:val="vlist-s"/>
          <w:rFonts w:ascii="Arial" w:hAnsi="Arial" w:cs="Arial"/>
          <w:sz w:val="22"/>
          <w:szCs w:val="22"/>
        </w:rPr>
        <w:t>​</w:t>
      </w:r>
      <w:r w:rsidR="00797451" w:rsidRPr="0008666E">
        <w:rPr>
          <w:rFonts w:ascii="Arial" w:hAnsi="Arial" w:cs="Arial"/>
          <w:sz w:val="22"/>
          <w:szCs w:val="22"/>
        </w:rPr>
        <w:t xml:space="preserve"> = mean of the ten highest annual rainfall values</w:t>
      </w:r>
    </w:p>
    <w:p w14:paraId="018A05A2" w14:textId="77777777" w:rsidR="00797451" w:rsidRPr="0008666E" w:rsidRDefault="00E21274" w:rsidP="006875DF">
      <w:pPr>
        <w:pStyle w:val="NormalWeb"/>
        <w:numPr>
          <w:ilvl w:val="0"/>
          <w:numId w:val="4"/>
        </w:numPr>
        <w:spacing w:before="240" w:beforeAutospacing="0" w:after="0" w:afterAutospacing="0"/>
        <w:jc w:val="both"/>
        <w:rPr>
          <w:rFonts w:ascii="Arial" w:hAnsi="Arial" w:cs="Arial"/>
          <w:sz w:val="22"/>
          <w:szCs w:val="22"/>
        </w:rPr>
      </w:pPr>
      <m:oMath>
        <m:acc>
          <m:accPr>
            <m:chr m:val="̅"/>
            <m:ctrlPr>
              <w:rPr>
                <w:rStyle w:val="katex-mathml"/>
                <w:rFonts w:ascii="Cambria Math" w:hAnsi="Arial" w:cs="Arial"/>
                <w:i/>
                <w:sz w:val="22"/>
                <w:szCs w:val="22"/>
              </w:rPr>
            </m:ctrlPr>
          </m:accPr>
          <m:e>
            <m:r>
              <w:rPr>
                <w:rStyle w:val="katex-mathml"/>
                <w:rFonts w:ascii="Cambria Math" w:hAnsi="Cambria Math" w:cs="Arial"/>
                <w:sz w:val="22"/>
                <w:szCs w:val="22"/>
              </w:rPr>
              <m:t>X</m:t>
            </m:r>
          </m:e>
        </m:acc>
      </m:oMath>
      <w:r w:rsidR="004A7554" w:rsidRPr="0008666E">
        <w:rPr>
          <w:rStyle w:val="katex-mathml"/>
          <w:rFonts w:ascii="Arial" w:hAnsi="Arial" w:cs="Arial"/>
          <w:sz w:val="22"/>
          <w:szCs w:val="22"/>
          <w:vertAlign w:val="subscript"/>
        </w:rPr>
        <w:t>10</w:t>
      </w:r>
      <w:r w:rsidR="004A7554" w:rsidRPr="0008666E">
        <w:rPr>
          <w:rStyle w:val="vlist-s"/>
          <w:rFonts w:ascii="Arial" w:hAnsi="Arial" w:cs="Arial"/>
          <w:sz w:val="22"/>
          <w:szCs w:val="22"/>
        </w:rPr>
        <w:t xml:space="preserve"> </w:t>
      </w:r>
      <w:r w:rsidR="00797451" w:rsidRPr="0008666E">
        <w:rPr>
          <w:rStyle w:val="vlist-s"/>
          <w:rFonts w:ascii="Arial" w:hAnsi="Arial" w:cs="Arial"/>
          <w:sz w:val="22"/>
          <w:szCs w:val="22"/>
        </w:rPr>
        <w:t>​</w:t>
      </w:r>
      <w:r w:rsidR="00797451" w:rsidRPr="0008666E">
        <w:rPr>
          <w:rFonts w:ascii="Arial" w:hAnsi="Arial" w:cs="Arial"/>
          <w:sz w:val="22"/>
          <w:szCs w:val="22"/>
        </w:rPr>
        <w:t xml:space="preserve"> = mean of the ten lowest annual rainfall values</w:t>
      </w:r>
    </w:p>
    <w:p w14:paraId="2706CE54" w14:textId="77777777" w:rsidR="00797451" w:rsidRPr="0008666E" w:rsidRDefault="00797451"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Positive RAI values indicate wet years, while negative RAI values indicate dry years.</w:t>
      </w:r>
    </w:p>
    <w:p w14:paraId="4B262204" w14:textId="77777777" w:rsidR="004A7554" w:rsidRPr="0008666E" w:rsidRDefault="004A7554"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2.6 Standardized Precipitation Index (SPI)</w:t>
      </w:r>
    </w:p>
    <w:p w14:paraId="10F3CCF5" w14:textId="77777777"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w:t>
      </w:r>
      <w:r w:rsidRPr="0008666E">
        <w:rPr>
          <w:rStyle w:val="Strong"/>
          <w:rFonts w:ascii="Arial" w:hAnsi="Arial" w:cs="Arial"/>
          <w:sz w:val="22"/>
          <w:szCs w:val="22"/>
        </w:rPr>
        <w:t>Standardized Precipitation Index (SPI)</w:t>
      </w:r>
      <w:r w:rsidRPr="0008666E">
        <w:rPr>
          <w:rFonts w:ascii="Arial" w:hAnsi="Arial" w:cs="Arial"/>
          <w:sz w:val="22"/>
          <w:szCs w:val="22"/>
        </w:rPr>
        <w:t xml:space="preserve"> was used to assess drought severity and persistence. SPI was computed at a </w:t>
      </w:r>
      <w:r w:rsidRPr="0008666E">
        <w:rPr>
          <w:rStyle w:val="Strong"/>
          <w:rFonts w:ascii="Arial" w:hAnsi="Arial" w:cs="Arial"/>
          <w:sz w:val="22"/>
          <w:szCs w:val="22"/>
        </w:rPr>
        <w:t>12-month time scale (SPI-12)</w:t>
      </w:r>
      <w:r w:rsidRPr="0008666E">
        <w:rPr>
          <w:rFonts w:ascii="Arial" w:hAnsi="Arial" w:cs="Arial"/>
          <w:sz w:val="22"/>
          <w:szCs w:val="22"/>
        </w:rPr>
        <w:t>, which is suitable for evaluating long-term moisture conditions affecting agriculture and water resources.</w:t>
      </w:r>
    </w:p>
    <w:p w14:paraId="740A9889" w14:textId="77777777"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SPI was calculated as:</w:t>
      </w:r>
    </w:p>
    <w:p w14:paraId="558AAF30" w14:textId="77777777" w:rsidR="004A7554" w:rsidRPr="0008666E" w:rsidRDefault="004A7554" w:rsidP="006875DF">
      <w:pPr>
        <w:spacing w:before="240" w:after="0"/>
        <w:jc w:val="both"/>
        <w:rPr>
          <w:rFonts w:ascii="Arial" w:eastAsiaTheme="minorEastAsia" w:hAnsi="Arial" w:cs="Arial"/>
        </w:rPr>
      </w:pPr>
      <m:oMathPara>
        <m:oMath>
          <m:r>
            <w:rPr>
              <w:rFonts w:ascii="Cambria Math" w:hAnsi="Cambria Math" w:cs="Arial"/>
            </w:rPr>
            <m:t>SPI</m:t>
          </m:r>
          <m:r>
            <w:rPr>
              <w:rFonts w:ascii="Cambria Math" w:hAnsi="Arial" w:cs="Arial"/>
            </w:rPr>
            <m:t xml:space="preserve">= </m:t>
          </m:r>
          <m:f>
            <m:fPr>
              <m:ctrlPr>
                <w:rPr>
                  <w:rFonts w:ascii="Cambria Math" w:hAnsi="Arial" w:cs="Arial"/>
                  <w:i/>
                </w:rPr>
              </m:ctrlPr>
            </m:fPr>
            <m:num>
              <m:sSub>
                <m:sSubPr>
                  <m:ctrlPr>
                    <w:rPr>
                      <w:rFonts w:ascii="Cambria Math" w:hAnsi="Arial" w:cs="Arial"/>
                      <w:i/>
                    </w:rPr>
                  </m:ctrlPr>
                </m:sSubPr>
                <m:e>
                  <m:r>
                    <w:rPr>
                      <w:rFonts w:ascii="Cambria Math" w:hAnsi="Cambria Math" w:cs="Arial"/>
                    </w:rPr>
                    <m:t>R</m:t>
                  </m:r>
                </m:e>
                <m:sub>
                  <m:r>
                    <w:rPr>
                      <w:rFonts w:ascii="Cambria Math" w:hAnsi="Cambria Math" w:cs="Arial"/>
                    </w:rPr>
                    <m:t>i</m:t>
                  </m:r>
                </m:sub>
              </m:sSub>
              <m:r>
                <w:rPr>
                  <w:rFonts w:ascii="Arial" w:hAnsi="Arial" w:cs="Arial"/>
                </w:rPr>
                <m:t>-</m:t>
              </m:r>
              <m:r>
                <w:rPr>
                  <w:rFonts w:ascii="Cambria Math" w:hAnsi="Arial" w:cs="Arial"/>
                </w:rPr>
                <m:t xml:space="preserve"> </m:t>
              </m:r>
              <m:r>
                <m:rPr>
                  <m:sty m:val="p"/>
                </m:rPr>
                <w:rPr>
                  <w:rStyle w:val="mord"/>
                  <w:rFonts w:ascii="Cambria Math" w:hAnsi="Arial" w:cs="Arial"/>
                </w:rPr>
                <m:t>μ</m:t>
              </m:r>
              <m:r>
                <m:rPr>
                  <m:sty m:val="p"/>
                </m:rPr>
                <w:rPr>
                  <w:rStyle w:val="vlist-s"/>
                  <w:rFonts w:ascii="Arial" w:eastAsiaTheme="majorEastAsia" w:hAnsi="Arial" w:cs="Arial"/>
                </w:rPr>
                <m:t>​</m:t>
              </m:r>
              <m:r>
                <w:rPr>
                  <w:rFonts w:ascii="Cambria Math" w:hAnsi="Arial" w:cs="Arial"/>
                </w:rPr>
                <m:t xml:space="preserve"> </m:t>
              </m:r>
            </m:num>
            <m:den>
              <m:r>
                <m:rPr>
                  <m:sty m:val="p"/>
                </m:rPr>
                <w:rPr>
                  <w:rStyle w:val="mord"/>
                  <w:rFonts w:ascii="Cambria Math" w:hAnsi="Arial" w:cs="Arial"/>
                </w:rPr>
                <m:t>σ</m:t>
              </m:r>
            </m:den>
          </m:f>
        </m:oMath>
      </m:oMathPara>
    </w:p>
    <w:p w14:paraId="446FA22C" w14:textId="77777777"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14:paraId="09AD54BE" w14:textId="77777777" w:rsidR="004A7554" w:rsidRPr="0008666E" w:rsidRDefault="004A7554" w:rsidP="006875DF">
      <w:pPr>
        <w:pStyle w:val="NormalWeb"/>
        <w:numPr>
          <w:ilvl w:val="0"/>
          <w:numId w:val="5"/>
        </w:numPr>
        <w:spacing w:before="240" w:beforeAutospacing="0" w:after="0" w:afterAutospacing="0"/>
        <w:jc w:val="both"/>
        <w:rPr>
          <w:rFonts w:ascii="Arial" w:hAnsi="Arial" w:cs="Arial"/>
          <w:sz w:val="22"/>
          <w:szCs w:val="22"/>
        </w:rPr>
      </w:pPr>
      <w:r w:rsidRPr="0008666E">
        <w:rPr>
          <w:rStyle w:val="mord"/>
          <w:rFonts w:ascii="Arial" w:hAnsi="Arial" w:cs="Arial"/>
          <w:sz w:val="22"/>
          <w:szCs w:val="22"/>
        </w:rPr>
        <w:t>Ri</w:t>
      </w:r>
      <w:r w:rsidRPr="0008666E">
        <w:rPr>
          <w:rStyle w:val="vlist-s"/>
          <w:rFonts w:ascii="Arial" w:hAnsi="Arial" w:cs="Arial"/>
          <w:sz w:val="22"/>
          <w:szCs w:val="22"/>
        </w:rPr>
        <w:t>​</w:t>
      </w:r>
      <w:r w:rsidRPr="0008666E">
        <w:rPr>
          <w:rFonts w:ascii="Arial" w:hAnsi="Arial" w:cs="Arial"/>
          <w:sz w:val="22"/>
          <w:szCs w:val="22"/>
        </w:rPr>
        <w:t xml:space="preserve"> = annual rainfall for the </w:t>
      </w:r>
      <w:proofErr w:type="spellStart"/>
      <w:r w:rsidRPr="0008666E">
        <w:rPr>
          <w:rStyle w:val="Emphasis"/>
          <w:rFonts w:ascii="Arial" w:eastAsiaTheme="majorEastAsia" w:hAnsi="Arial" w:cs="Arial"/>
          <w:sz w:val="22"/>
          <w:szCs w:val="22"/>
        </w:rPr>
        <w:t>i</w:t>
      </w:r>
      <w:r w:rsidRPr="0008666E">
        <w:rPr>
          <w:rFonts w:ascii="Arial" w:hAnsi="Arial" w:cs="Arial"/>
          <w:sz w:val="22"/>
          <w:szCs w:val="22"/>
          <w:vertAlign w:val="superscript"/>
        </w:rPr>
        <w:t>th</w:t>
      </w:r>
      <w:proofErr w:type="spellEnd"/>
      <w:r w:rsidRPr="0008666E">
        <w:rPr>
          <w:rFonts w:ascii="Arial" w:hAnsi="Arial" w:cs="Arial"/>
          <w:sz w:val="22"/>
          <w:szCs w:val="22"/>
        </w:rPr>
        <w:t xml:space="preserve"> year (mm)</w:t>
      </w:r>
    </w:p>
    <w:p w14:paraId="5998BFEF" w14:textId="77777777" w:rsidR="004A7554" w:rsidRPr="0008666E" w:rsidRDefault="004A7554" w:rsidP="006875DF">
      <w:pPr>
        <w:pStyle w:val="NormalWeb"/>
        <w:numPr>
          <w:ilvl w:val="0"/>
          <w:numId w:val="5"/>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μ</w:t>
      </w:r>
      <w:r w:rsidRPr="0008666E">
        <w:rPr>
          <w:rFonts w:ascii="Arial" w:hAnsi="Arial" w:cs="Arial"/>
          <w:sz w:val="22"/>
          <w:szCs w:val="22"/>
        </w:rPr>
        <w:t xml:space="preserve"> = long-term mean rainfall (mm)</w:t>
      </w:r>
    </w:p>
    <w:p w14:paraId="54081588" w14:textId="77777777" w:rsidR="004A7554" w:rsidRPr="0008666E" w:rsidRDefault="004A7554" w:rsidP="006875DF">
      <w:pPr>
        <w:pStyle w:val="NormalWeb"/>
        <w:numPr>
          <w:ilvl w:val="0"/>
          <w:numId w:val="5"/>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σ</w:t>
      </w:r>
      <w:r w:rsidRPr="0008666E">
        <w:rPr>
          <w:rFonts w:ascii="Arial" w:hAnsi="Arial" w:cs="Arial"/>
          <w:sz w:val="22"/>
          <w:szCs w:val="22"/>
        </w:rPr>
        <w:t xml:space="preserve"> = standard deviation of annual rainfall (mm)</w:t>
      </w:r>
    </w:p>
    <w:p w14:paraId="552ED6D9" w14:textId="77777777"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SPI values were classified as follows:</w:t>
      </w:r>
    </w:p>
    <w:p w14:paraId="00F537E0" w14:textId="77777777" w:rsidR="004A7554" w:rsidRPr="0008666E" w:rsidRDefault="004A7554" w:rsidP="006875DF">
      <w:pPr>
        <w:pStyle w:val="NormalWeb"/>
        <w:numPr>
          <w:ilvl w:val="0"/>
          <w:numId w:val="6"/>
        </w:numPr>
        <w:spacing w:before="240" w:beforeAutospacing="0" w:after="0" w:afterAutospacing="0"/>
        <w:jc w:val="both"/>
        <w:rPr>
          <w:rFonts w:ascii="Arial" w:hAnsi="Arial" w:cs="Arial"/>
          <w:sz w:val="22"/>
          <w:szCs w:val="22"/>
        </w:rPr>
      </w:pPr>
      <w:r w:rsidRPr="0008666E">
        <w:rPr>
          <w:rFonts w:ascii="Arial" w:hAnsi="Arial" w:cs="Arial"/>
          <w:sz w:val="22"/>
          <w:szCs w:val="22"/>
        </w:rPr>
        <w:t xml:space="preserve">SPI ≥ </w:t>
      </w:r>
      <w:proofErr w:type="gramStart"/>
      <w:r w:rsidRPr="0008666E">
        <w:rPr>
          <w:rFonts w:ascii="Arial" w:hAnsi="Arial" w:cs="Arial"/>
          <w:sz w:val="22"/>
          <w:szCs w:val="22"/>
        </w:rPr>
        <w:t>0.0 :</w:t>
      </w:r>
      <w:proofErr w:type="gramEnd"/>
      <w:r w:rsidRPr="0008666E">
        <w:rPr>
          <w:rFonts w:ascii="Arial" w:hAnsi="Arial" w:cs="Arial"/>
          <w:sz w:val="22"/>
          <w:szCs w:val="22"/>
        </w:rPr>
        <w:t xml:space="preserve"> No drought / wet condition</w:t>
      </w:r>
    </w:p>
    <w:p w14:paraId="5A6D3536" w14:textId="77777777" w:rsidR="004A7554" w:rsidRPr="0008666E" w:rsidRDefault="004A7554" w:rsidP="006875DF">
      <w:pPr>
        <w:pStyle w:val="NormalWeb"/>
        <w:numPr>
          <w:ilvl w:val="0"/>
          <w:numId w:val="6"/>
        </w:numPr>
        <w:spacing w:before="240" w:beforeAutospacing="0" w:after="0" w:afterAutospacing="0"/>
        <w:jc w:val="both"/>
        <w:rPr>
          <w:rFonts w:ascii="Arial" w:hAnsi="Arial" w:cs="Arial"/>
          <w:sz w:val="22"/>
          <w:szCs w:val="22"/>
        </w:rPr>
      </w:pPr>
      <w:r w:rsidRPr="0008666E">
        <w:rPr>
          <w:rFonts w:ascii="Arial" w:hAnsi="Arial" w:cs="Arial"/>
          <w:sz w:val="22"/>
          <w:szCs w:val="22"/>
        </w:rPr>
        <w:t xml:space="preserve">−1.0 ≤ SPI &lt; </w:t>
      </w:r>
      <w:proofErr w:type="gramStart"/>
      <w:r w:rsidRPr="0008666E">
        <w:rPr>
          <w:rFonts w:ascii="Arial" w:hAnsi="Arial" w:cs="Arial"/>
          <w:sz w:val="22"/>
          <w:szCs w:val="22"/>
        </w:rPr>
        <w:t>0.0 :</w:t>
      </w:r>
      <w:proofErr w:type="gramEnd"/>
      <w:r w:rsidRPr="0008666E">
        <w:rPr>
          <w:rFonts w:ascii="Arial" w:hAnsi="Arial" w:cs="Arial"/>
          <w:sz w:val="22"/>
          <w:szCs w:val="22"/>
        </w:rPr>
        <w:t xml:space="preserve"> Mild drought</w:t>
      </w:r>
    </w:p>
    <w:p w14:paraId="2A9F323C" w14:textId="77777777" w:rsidR="004A7554" w:rsidRPr="0008666E" w:rsidRDefault="004A7554" w:rsidP="006875DF">
      <w:pPr>
        <w:pStyle w:val="NormalWeb"/>
        <w:numPr>
          <w:ilvl w:val="0"/>
          <w:numId w:val="6"/>
        </w:numPr>
        <w:spacing w:before="240" w:beforeAutospacing="0" w:after="0" w:afterAutospacing="0"/>
        <w:jc w:val="both"/>
        <w:rPr>
          <w:rFonts w:ascii="Arial" w:hAnsi="Arial" w:cs="Arial"/>
          <w:sz w:val="22"/>
          <w:szCs w:val="22"/>
        </w:rPr>
      </w:pPr>
      <w:r w:rsidRPr="0008666E">
        <w:rPr>
          <w:rFonts w:ascii="Arial" w:hAnsi="Arial" w:cs="Arial"/>
          <w:sz w:val="22"/>
          <w:szCs w:val="22"/>
        </w:rPr>
        <w:t>−1.5 ≤ SPI &lt; −1.</w:t>
      </w:r>
      <w:proofErr w:type="gramStart"/>
      <w:r w:rsidRPr="0008666E">
        <w:rPr>
          <w:rFonts w:ascii="Arial" w:hAnsi="Arial" w:cs="Arial"/>
          <w:sz w:val="22"/>
          <w:szCs w:val="22"/>
        </w:rPr>
        <w:t>0 :</w:t>
      </w:r>
      <w:proofErr w:type="gramEnd"/>
      <w:r w:rsidRPr="0008666E">
        <w:rPr>
          <w:rFonts w:ascii="Arial" w:hAnsi="Arial" w:cs="Arial"/>
          <w:sz w:val="22"/>
          <w:szCs w:val="22"/>
        </w:rPr>
        <w:t xml:space="preserve"> Moderate drought</w:t>
      </w:r>
    </w:p>
    <w:p w14:paraId="3856F007" w14:textId="77777777" w:rsidR="004A7554" w:rsidRPr="0008666E" w:rsidRDefault="004A7554" w:rsidP="006875DF">
      <w:pPr>
        <w:pStyle w:val="NormalWeb"/>
        <w:numPr>
          <w:ilvl w:val="0"/>
          <w:numId w:val="6"/>
        </w:numPr>
        <w:spacing w:before="240" w:beforeAutospacing="0" w:after="0" w:afterAutospacing="0"/>
        <w:jc w:val="both"/>
        <w:rPr>
          <w:rFonts w:ascii="Arial" w:hAnsi="Arial" w:cs="Arial"/>
          <w:sz w:val="22"/>
          <w:szCs w:val="22"/>
        </w:rPr>
      </w:pPr>
      <w:r w:rsidRPr="0008666E">
        <w:rPr>
          <w:rFonts w:ascii="Arial" w:hAnsi="Arial" w:cs="Arial"/>
          <w:sz w:val="22"/>
          <w:szCs w:val="22"/>
        </w:rPr>
        <w:t>SPI &lt; −1.</w:t>
      </w:r>
      <w:proofErr w:type="gramStart"/>
      <w:r w:rsidRPr="0008666E">
        <w:rPr>
          <w:rFonts w:ascii="Arial" w:hAnsi="Arial" w:cs="Arial"/>
          <w:sz w:val="22"/>
          <w:szCs w:val="22"/>
        </w:rPr>
        <w:t>5 :</w:t>
      </w:r>
      <w:proofErr w:type="gramEnd"/>
      <w:r w:rsidRPr="0008666E">
        <w:rPr>
          <w:rFonts w:ascii="Arial" w:hAnsi="Arial" w:cs="Arial"/>
          <w:sz w:val="22"/>
          <w:szCs w:val="22"/>
        </w:rPr>
        <w:t xml:space="preserve"> Severe drought</w:t>
      </w:r>
    </w:p>
    <w:p w14:paraId="7A431A46" w14:textId="77777777" w:rsidR="004A7554" w:rsidRPr="0008666E" w:rsidRDefault="004A7554"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2.7 Mann–Kendall Trend Test</w:t>
      </w:r>
    </w:p>
    <w:p w14:paraId="7B53F88C" w14:textId="77777777"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w:t>
      </w:r>
      <w:r w:rsidRPr="0008666E">
        <w:rPr>
          <w:rStyle w:val="Strong"/>
          <w:rFonts w:ascii="Arial" w:hAnsi="Arial" w:cs="Arial"/>
          <w:sz w:val="22"/>
          <w:szCs w:val="22"/>
        </w:rPr>
        <w:t>Mann–Kendall (MK) test</w:t>
      </w:r>
      <w:r w:rsidRPr="0008666E">
        <w:rPr>
          <w:rFonts w:ascii="Arial" w:hAnsi="Arial" w:cs="Arial"/>
          <w:sz w:val="22"/>
          <w:szCs w:val="22"/>
        </w:rPr>
        <w:t>, a non-parametric statistical test, was used to detect monotonic trends in annual rainfall time series. The MK test statistic (</w:t>
      </w:r>
      <w:r w:rsidRPr="0008666E">
        <w:rPr>
          <w:rStyle w:val="katex-mathml"/>
          <w:rFonts w:ascii="Arial" w:hAnsi="Arial" w:cs="Arial"/>
          <w:sz w:val="22"/>
          <w:szCs w:val="22"/>
        </w:rPr>
        <w:t>SS</w:t>
      </w:r>
      <w:r w:rsidRPr="0008666E">
        <w:rPr>
          <w:rStyle w:val="mord"/>
          <w:rFonts w:ascii="Arial" w:hAnsi="Arial" w:cs="Arial"/>
          <w:sz w:val="22"/>
          <w:szCs w:val="22"/>
        </w:rPr>
        <w:t>S</w:t>
      </w:r>
      <w:r w:rsidRPr="0008666E">
        <w:rPr>
          <w:rFonts w:ascii="Arial" w:hAnsi="Arial" w:cs="Arial"/>
          <w:sz w:val="22"/>
          <w:szCs w:val="22"/>
        </w:rPr>
        <w:t>) was computed as:</w:t>
      </w:r>
    </w:p>
    <w:p w14:paraId="5F72FC48" w14:textId="77777777" w:rsidR="004A7554" w:rsidRPr="0008666E" w:rsidRDefault="004A7554" w:rsidP="006875DF">
      <w:pPr>
        <w:spacing w:before="240" w:after="0"/>
        <w:jc w:val="both"/>
        <w:rPr>
          <w:rStyle w:val="mclose"/>
          <w:rFonts w:ascii="Arial" w:hAnsi="Arial" w:cs="Arial"/>
        </w:rPr>
      </w:pPr>
      <w:r w:rsidRPr="0008666E">
        <w:rPr>
          <w:rStyle w:val="mord"/>
          <w:rFonts w:ascii="Arial" w:hAnsi="Arial" w:cs="Arial"/>
        </w:rPr>
        <w:lastRenderedPageBreak/>
        <w:t>S</w:t>
      </w:r>
      <w:r w:rsidRPr="0008666E">
        <w:rPr>
          <w:rStyle w:val="mrel"/>
          <w:rFonts w:ascii="Arial" w:hAnsi="Arial" w:cs="Arial"/>
        </w:rPr>
        <w:t>=</w:t>
      </w:r>
      <w:proofErr w:type="spellStart"/>
      <w:r w:rsidRPr="0008666E">
        <w:rPr>
          <w:rStyle w:val="mord"/>
          <w:rFonts w:ascii="Arial" w:hAnsi="Arial" w:cs="Arial"/>
        </w:rPr>
        <w:t>i</w:t>
      </w:r>
      <w:proofErr w:type="spellEnd"/>
      <w:r w:rsidRPr="0008666E">
        <w:rPr>
          <w:rStyle w:val="mrel"/>
          <w:rFonts w:ascii="Arial" w:hAnsi="Arial" w:cs="Arial"/>
        </w:rPr>
        <w:t>=</w:t>
      </w:r>
      <w:r w:rsidRPr="0008666E">
        <w:rPr>
          <w:rStyle w:val="mord"/>
          <w:rFonts w:ascii="Arial" w:hAnsi="Arial" w:cs="Arial"/>
        </w:rPr>
        <w:t>1</w:t>
      </w:r>
      <w:r w:rsidRPr="0008666E">
        <w:rPr>
          <w:rStyle w:val="mop"/>
          <w:rFonts w:ascii="Arial" w:hAnsi="Arial" w:cs="Arial"/>
        </w:rPr>
        <w:t>∑</w:t>
      </w:r>
      <w:r w:rsidRPr="0008666E">
        <w:rPr>
          <w:rStyle w:val="mord"/>
          <w:rFonts w:ascii="Arial" w:hAnsi="Arial" w:cs="Arial"/>
        </w:rPr>
        <w:t>n</w:t>
      </w:r>
      <w:r w:rsidRPr="0008666E">
        <w:rPr>
          <w:rStyle w:val="mbin"/>
          <w:rFonts w:ascii="Arial" w:hAnsi="Arial" w:cs="Arial"/>
        </w:rPr>
        <w:t>−</w:t>
      </w:r>
      <w:r w:rsidRPr="0008666E">
        <w:rPr>
          <w:rStyle w:val="mord"/>
          <w:rFonts w:ascii="Arial" w:hAnsi="Arial" w:cs="Arial"/>
        </w:rPr>
        <w:t>1</w:t>
      </w:r>
      <w:r w:rsidRPr="0008666E">
        <w:rPr>
          <w:rStyle w:val="vlist-s"/>
          <w:rFonts w:ascii="Arial" w:hAnsi="Arial" w:cs="Arial"/>
        </w:rPr>
        <w:t>​</w:t>
      </w:r>
      <w:r w:rsidRPr="0008666E">
        <w:rPr>
          <w:rStyle w:val="mord"/>
          <w:rFonts w:ascii="Arial" w:hAnsi="Arial" w:cs="Arial"/>
        </w:rPr>
        <w:t>j</w:t>
      </w:r>
      <w:r w:rsidRPr="0008666E">
        <w:rPr>
          <w:rStyle w:val="mrel"/>
          <w:rFonts w:ascii="Arial" w:hAnsi="Arial" w:cs="Arial"/>
        </w:rPr>
        <w:t>=</w:t>
      </w:r>
      <w:r w:rsidRPr="0008666E">
        <w:rPr>
          <w:rStyle w:val="mord"/>
          <w:rFonts w:ascii="Arial" w:hAnsi="Arial" w:cs="Arial"/>
        </w:rPr>
        <w:t>i</w:t>
      </w:r>
      <w:r w:rsidRPr="0008666E">
        <w:rPr>
          <w:rStyle w:val="mbin"/>
          <w:rFonts w:ascii="Arial" w:hAnsi="Arial" w:cs="Arial"/>
        </w:rPr>
        <w:t>+</w:t>
      </w:r>
      <w:r w:rsidRPr="0008666E">
        <w:rPr>
          <w:rStyle w:val="mord"/>
          <w:rFonts w:ascii="Arial" w:hAnsi="Arial" w:cs="Arial"/>
        </w:rPr>
        <w:t>1</w:t>
      </w:r>
      <w:r w:rsidRPr="0008666E">
        <w:rPr>
          <w:rStyle w:val="mop"/>
          <w:rFonts w:ascii="Arial" w:hAnsi="Arial" w:cs="Arial"/>
        </w:rPr>
        <w:t>∑</w:t>
      </w:r>
      <w:proofErr w:type="gramStart"/>
      <w:r w:rsidRPr="0008666E">
        <w:rPr>
          <w:rStyle w:val="mord"/>
          <w:rFonts w:ascii="Arial" w:hAnsi="Arial" w:cs="Arial"/>
        </w:rPr>
        <w:t>n</w:t>
      </w:r>
      <w:r w:rsidRPr="0008666E">
        <w:rPr>
          <w:rStyle w:val="vlist-s"/>
          <w:rFonts w:ascii="Arial" w:hAnsi="Arial" w:cs="Arial"/>
        </w:rPr>
        <w:t>​</w:t>
      </w:r>
      <w:r w:rsidRPr="0008666E">
        <w:rPr>
          <w:rStyle w:val="mord"/>
          <w:rFonts w:ascii="Arial" w:hAnsi="Arial" w:cs="Arial"/>
        </w:rPr>
        <w:t>sign</w:t>
      </w:r>
      <w:r w:rsidRPr="0008666E">
        <w:rPr>
          <w:rStyle w:val="mopen"/>
          <w:rFonts w:ascii="Arial" w:hAnsi="Arial" w:cs="Arial"/>
        </w:rPr>
        <w:t>(</w:t>
      </w:r>
      <w:proofErr w:type="spellStart"/>
      <w:proofErr w:type="gramEnd"/>
      <w:r w:rsidRPr="0008666E">
        <w:rPr>
          <w:rStyle w:val="mord"/>
          <w:rFonts w:ascii="Arial" w:hAnsi="Arial" w:cs="Arial"/>
        </w:rPr>
        <w:t>Rj</w:t>
      </w:r>
      <w:proofErr w:type="spellEnd"/>
      <w:r w:rsidRPr="0008666E">
        <w:rPr>
          <w:rStyle w:val="vlist-s"/>
          <w:rFonts w:ascii="Arial" w:hAnsi="Arial" w:cs="Arial"/>
        </w:rPr>
        <w:t>​</w:t>
      </w:r>
      <w:r w:rsidRPr="0008666E">
        <w:rPr>
          <w:rStyle w:val="mbin"/>
          <w:rFonts w:ascii="Arial" w:hAnsi="Arial" w:cs="Arial"/>
        </w:rPr>
        <w:t>−</w:t>
      </w:r>
      <w:r w:rsidRPr="0008666E">
        <w:rPr>
          <w:rStyle w:val="mord"/>
          <w:rFonts w:ascii="Arial" w:hAnsi="Arial" w:cs="Arial"/>
        </w:rPr>
        <w:t>Ri</w:t>
      </w:r>
      <w:r w:rsidRPr="0008666E">
        <w:rPr>
          <w:rStyle w:val="vlist-s"/>
          <w:rFonts w:ascii="Arial" w:hAnsi="Arial" w:cs="Arial"/>
        </w:rPr>
        <w:t>​</w:t>
      </w:r>
      <w:r w:rsidRPr="0008666E">
        <w:rPr>
          <w:rStyle w:val="mclose"/>
          <w:rFonts w:ascii="Arial" w:hAnsi="Arial" w:cs="Arial"/>
        </w:rPr>
        <w:t>)</w:t>
      </w:r>
    </w:p>
    <w:p w14:paraId="594545E0" w14:textId="77777777" w:rsidR="004A7554" w:rsidRPr="0008666E" w:rsidRDefault="004A7554" w:rsidP="006875DF">
      <w:pPr>
        <w:spacing w:before="240" w:after="0"/>
        <w:jc w:val="both"/>
        <w:rPr>
          <w:rFonts w:ascii="Arial" w:eastAsiaTheme="minorEastAsia" w:hAnsi="Arial" w:cs="Arial"/>
        </w:rPr>
      </w:pPr>
      <m:oMathPara>
        <m:oMath>
          <m:r>
            <w:rPr>
              <w:rFonts w:ascii="Cambria Math" w:hAnsi="Cambria Math" w:cs="Arial"/>
            </w:rPr>
            <m:t>S</m:t>
          </m:r>
          <m:r>
            <w:rPr>
              <w:rFonts w:ascii="Cambria Math" w:hAnsi="Arial" w:cs="Arial"/>
            </w:rPr>
            <m:t xml:space="preserve">= </m:t>
          </m:r>
          <m:nary>
            <m:naryPr>
              <m:chr m:val="∑"/>
              <m:limLoc m:val="undOvr"/>
              <m:ctrlPr>
                <w:rPr>
                  <w:rFonts w:ascii="Cambria Math" w:hAnsi="Arial" w:cs="Arial"/>
                  <w:i/>
                </w:rPr>
              </m:ctrlPr>
            </m:naryPr>
            <m:sub>
              <m:r>
                <w:rPr>
                  <w:rFonts w:ascii="Cambria Math" w:hAnsi="Cambria Math" w:cs="Arial"/>
                </w:rPr>
                <m:t>i</m:t>
              </m:r>
              <m:r>
                <w:rPr>
                  <w:rFonts w:ascii="Cambria Math" w:hAnsi="Arial" w:cs="Arial"/>
                </w:rPr>
                <m:t>=1</m:t>
              </m:r>
            </m:sub>
            <m:sup>
              <m:r>
                <w:rPr>
                  <w:rFonts w:ascii="Cambria Math" w:hAnsi="Cambria Math" w:cs="Arial"/>
                </w:rPr>
                <m:t>n</m:t>
              </m:r>
              <m:r>
                <w:rPr>
                  <w:rFonts w:ascii="Arial" w:hAnsi="Arial" w:cs="Arial"/>
                </w:rPr>
                <m:t>-</m:t>
              </m:r>
              <m:r>
                <w:rPr>
                  <w:rFonts w:ascii="Cambria Math" w:hAnsi="Arial" w:cs="Arial"/>
                </w:rPr>
                <m:t>1</m:t>
              </m:r>
            </m:sup>
            <m:e>
              <m:nary>
                <m:naryPr>
                  <m:chr m:val="∑"/>
                  <m:limLoc m:val="undOvr"/>
                  <m:ctrlPr>
                    <w:rPr>
                      <w:rFonts w:ascii="Cambria Math" w:hAnsi="Arial" w:cs="Arial"/>
                      <w:i/>
                    </w:rPr>
                  </m:ctrlPr>
                </m:naryPr>
                <m:sub>
                  <m:r>
                    <w:rPr>
                      <w:rFonts w:ascii="Cambria Math" w:hAnsi="Cambria Math" w:cs="Arial"/>
                    </w:rPr>
                    <m:t>j</m:t>
                  </m:r>
                  <m:r>
                    <w:rPr>
                      <w:rFonts w:ascii="Cambria Math" w:hAnsi="Arial" w:cs="Arial"/>
                    </w:rPr>
                    <m:t>=</m:t>
                  </m:r>
                  <m:r>
                    <w:rPr>
                      <w:rFonts w:ascii="Cambria Math" w:hAnsi="Cambria Math" w:cs="Arial"/>
                    </w:rPr>
                    <m:t>i</m:t>
                  </m:r>
                  <m:r>
                    <w:rPr>
                      <w:rFonts w:ascii="Cambria Math" w:hAnsi="Arial" w:cs="Arial"/>
                    </w:rPr>
                    <m:t>+1</m:t>
                  </m:r>
                </m:sub>
                <m:sup>
                  <m:r>
                    <w:rPr>
                      <w:rFonts w:ascii="Cambria Math" w:hAnsi="Cambria Math" w:cs="Arial"/>
                    </w:rPr>
                    <m:t>n</m:t>
                  </m:r>
                </m:sup>
                <m:e>
                  <m:r>
                    <w:rPr>
                      <w:rFonts w:ascii="Cambria Math" w:hAnsi="Cambria Math" w:cs="Arial"/>
                    </w:rPr>
                    <m:t>sign</m:t>
                  </m:r>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j</m:t>
                      </m:r>
                    </m:sub>
                  </m:sSub>
                </m:e>
              </m:nary>
            </m:e>
          </m:nary>
          <m:r>
            <w:rPr>
              <w:rFonts w:ascii="Arial"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i</m:t>
              </m:r>
            </m:sub>
          </m:sSub>
          <m:r>
            <w:rPr>
              <w:rFonts w:ascii="Cambria Math" w:hAnsi="Arial" w:cs="Arial"/>
            </w:rPr>
            <m:t>)</m:t>
          </m:r>
        </m:oMath>
      </m:oMathPara>
    </w:p>
    <w:p w14:paraId="5196758B" w14:textId="77777777" w:rsidR="00066A14" w:rsidRPr="0008666E" w:rsidRDefault="00066A14" w:rsidP="006875DF">
      <w:pPr>
        <w:spacing w:before="240" w:after="0"/>
        <w:jc w:val="both"/>
        <w:rPr>
          <w:rFonts w:ascii="Arial" w:hAnsi="Arial" w:cs="Arial"/>
        </w:rPr>
      </w:pPr>
      <w:r w:rsidRPr="0008666E">
        <w:rPr>
          <w:rFonts w:ascii="Arial" w:hAnsi="Arial" w:cs="Arial"/>
        </w:rPr>
        <w:t>where:</w:t>
      </w:r>
    </w:p>
    <w:p w14:paraId="1428472A" w14:textId="77777777" w:rsidR="00066A14" w:rsidRPr="0008666E" w:rsidRDefault="00066A14" w:rsidP="006875DF">
      <w:pPr>
        <w:spacing w:before="240" w:after="0"/>
        <w:jc w:val="both"/>
        <w:rPr>
          <w:rFonts w:ascii="Arial" w:eastAsiaTheme="minorEastAsia" w:hAnsi="Arial" w:cs="Arial"/>
        </w:rPr>
      </w:pPr>
      <m:oMathPara>
        <m:oMath>
          <m:r>
            <w:rPr>
              <w:rFonts w:ascii="Cambria Math" w:hAnsi="Cambria Math" w:cs="Arial"/>
            </w:rPr>
            <m:t>Sign</m:t>
          </m:r>
          <m:d>
            <m:dPr>
              <m:ctrlPr>
                <w:rPr>
                  <w:rFonts w:ascii="Cambria Math" w:hAnsi="Arial" w:cs="Arial"/>
                  <w:i/>
                </w:rPr>
              </m:ctrlPr>
            </m:dPr>
            <m:e>
              <m:sSub>
                <m:sSubPr>
                  <m:ctrlPr>
                    <w:rPr>
                      <w:rFonts w:ascii="Cambria Math" w:hAnsi="Arial" w:cs="Arial"/>
                      <w:i/>
                    </w:rPr>
                  </m:ctrlPr>
                </m:sSubPr>
                <m:e>
                  <m:r>
                    <w:rPr>
                      <w:rFonts w:ascii="Cambria Math" w:hAnsi="Cambria Math" w:cs="Arial"/>
                    </w:rPr>
                    <m:t>R</m:t>
                  </m:r>
                </m:e>
                <m:sub>
                  <m:r>
                    <w:rPr>
                      <w:rFonts w:ascii="Cambria Math" w:hAnsi="Cambria Math" w:cs="Arial"/>
                    </w:rPr>
                    <m:t>j</m:t>
                  </m:r>
                </m:sub>
              </m:sSub>
              <m:r>
                <w:rPr>
                  <w:rFonts w:ascii="Arial"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i</m:t>
                  </m:r>
                </m:sub>
              </m:sSub>
            </m:e>
          </m:d>
          <m:r>
            <w:rPr>
              <w:rFonts w:ascii="Cambria Math" w:hAnsi="Arial" w:cs="Arial"/>
            </w:rPr>
            <m:t>=</m:t>
          </m:r>
          <m:d>
            <m:dPr>
              <m:begChr m:val="{"/>
              <m:endChr m:val=""/>
              <m:ctrlPr>
                <w:rPr>
                  <w:rFonts w:ascii="Cambria Math" w:hAnsi="Arial" w:cs="Arial"/>
                  <w:i/>
                </w:rPr>
              </m:ctrlPr>
            </m:dPr>
            <m:e>
              <m:eqArr>
                <m:eqArrPr>
                  <m:ctrlPr>
                    <w:rPr>
                      <w:rFonts w:ascii="Cambria Math" w:hAnsi="Arial" w:cs="Arial"/>
                      <w:i/>
                    </w:rPr>
                  </m:ctrlPr>
                </m:eqArrPr>
                <m:e>
                  <m:r>
                    <w:rPr>
                      <w:rFonts w:ascii="Cambria Math" w:hAnsi="Arial" w:cs="Arial"/>
                    </w:rPr>
                    <m:t xml:space="preserve">+1,  </m:t>
                  </m:r>
                  <m:r>
                    <m:rPr>
                      <m:sty m:val="p"/>
                    </m:rPr>
                    <w:rPr>
                      <w:rStyle w:val="mord"/>
                      <w:rFonts w:ascii="Cambria Math" w:hAnsi="Arial" w:cs="Arial"/>
                    </w:rPr>
                    <m:t>Rj</m:t>
                  </m:r>
                  <m:r>
                    <m:rPr>
                      <m:sty m:val="p"/>
                    </m:rPr>
                    <w:rPr>
                      <w:rStyle w:val="vlist-s"/>
                      <w:rFonts w:ascii="Arial" w:hAnsi="Arial" w:cs="Arial"/>
                    </w:rPr>
                    <m:t>​</m:t>
                  </m:r>
                  <m:r>
                    <m:rPr>
                      <m:sty m:val="p"/>
                    </m:rPr>
                    <w:rPr>
                      <w:rStyle w:val="mbin"/>
                      <w:rFonts w:ascii="Arial" w:hAnsi="Arial" w:cs="Arial"/>
                    </w:rPr>
                    <m:t>-</m:t>
                  </m:r>
                  <m:r>
                    <m:rPr>
                      <m:sty m:val="p"/>
                    </m:rPr>
                    <w:rPr>
                      <w:rStyle w:val="mord"/>
                      <w:rFonts w:ascii="Cambria Math" w:hAnsi="Arial" w:cs="Arial"/>
                    </w:rPr>
                    <m:t>Ri</m:t>
                  </m:r>
                  <m:r>
                    <m:rPr>
                      <m:sty m:val="p"/>
                    </m:rPr>
                    <w:rPr>
                      <w:rStyle w:val="vlist-s"/>
                      <w:rFonts w:ascii="Arial" w:hAnsi="Arial" w:cs="Arial"/>
                    </w:rPr>
                    <m:t>​</m:t>
                  </m:r>
                  <m:r>
                    <m:rPr>
                      <m:sty m:val="p"/>
                    </m:rPr>
                    <w:rPr>
                      <w:rStyle w:val="mrel"/>
                      <w:rFonts w:ascii="Cambria Math" w:hAnsi="Arial" w:cs="Arial"/>
                    </w:rPr>
                    <m:t>&gt;</m:t>
                  </m:r>
                  <m:r>
                    <m:rPr>
                      <m:sty m:val="p"/>
                    </m:rPr>
                    <w:rPr>
                      <w:rStyle w:val="mord"/>
                      <w:rFonts w:ascii="Cambria Math" w:hAnsi="Arial" w:cs="Arial"/>
                    </w:rPr>
                    <m:t>0</m:t>
                  </m:r>
                  <m:r>
                    <w:rPr>
                      <w:rFonts w:ascii="Cambria Math" w:hAnsi="Arial" w:cs="Arial"/>
                    </w:rPr>
                    <m:t xml:space="preserve">    </m:t>
                  </m:r>
                </m:e>
                <m:e>
                  <m:r>
                    <w:rPr>
                      <w:rFonts w:ascii="Cambria Math" w:hAnsi="Arial" w:cs="Arial"/>
                    </w:rPr>
                    <m:t xml:space="preserve">0,  </m:t>
                  </m:r>
                  <m:r>
                    <m:rPr>
                      <m:sty m:val="p"/>
                    </m:rPr>
                    <w:rPr>
                      <w:rStyle w:val="mord"/>
                      <w:rFonts w:ascii="Cambria Math" w:hAnsi="Arial" w:cs="Arial"/>
                    </w:rPr>
                    <m:t>Rj</m:t>
                  </m:r>
                  <m:r>
                    <m:rPr>
                      <m:sty m:val="p"/>
                    </m:rPr>
                    <w:rPr>
                      <w:rStyle w:val="vlist-s"/>
                      <w:rFonts w:ascii="Arial" w:hAnsi="Arial" w:cs="Arial"/>
                    </w:rPr>
                    <m:t>​</m:t>
                  </m:r>
                  <m:r>
                    <m:rPr>
                      <m:sty m:val="p"/>
                    </m:rPr>
                    <w:rPr>
                      <w:rStyle w:val="mbin"/>
                      <w:rFonts w:ascii="Arial" w:hAnsi="Arial" w:cs="Arial"/>
                    </w:rPr>
                    <m:t>-</m:t>
                  </m:r>
                  <m:r>
                    <m:rPr>
                      <m:sty m:val="p"/>
                    </m:rPr>
                    <w:rPr>
                      <w:rStyle w:val="mord"/>
                      <w:rFonts w:ascii="Cambria Math" w:hAnsi="Arial" w:cs="Arial"/>
                    </w:rPr>
                    <m:t>Ri</m:t>
                  </m:r>
                  <m:r>
                    <m:rPr>
                      <m:sty m:val="p"/>
                    </m:rPr>
                    <w:rPr>
                      <w:rStyle w:val="vlist-s"/>
                      <w:rFonts w:ascii="Arial" w:hAnsi="Arial" w:cs="Arial"/>
                    </w:rPr>
                    <m:t>​</m:t>
                  </m:r>
                  <m:r>
                    <m:rPr>
                      <m:sty m:val="p"/>
                    </m:rPr>
                    <w:rPr>
                      <w:rStyle w:val="mrel"/>
                      <w:rFonts w:ascii="Cambria Math" w:hAnsi="Arial" w:cs="Arial"/>
                    </w:rPr>
                    <m:t>=</m:t>
                  </m:r>
                  <m:r>
                    <m:rPr>
                      <m:sty m:val="p"/>
                    </m:rPr>
                    <w:rPr>
                      <w:rStyle w:val="mord"/>
                      <w:rFonts w:ascii="Cambria Math" w:hAnsi="Arial" w:cs="Arial"/>
                    </w:rPr>
                    <m:t>0</m:t>
                  </m:r>
                  <m:r>
                    <w:rPr>
                      <w:rFonts w:ascii="Cambria Math" w:hAnsi="Arial" w:cs="Arial"/>
                    </w:rPr>
                    <m:t xml:space="preserve"> </m:t>
                  </m:r>
                </m:e>
                <m:e>
                  <m:r>
                    <w:rPr>
                      <w:rFonts w:ascii="Arial" w:hAnsi="Arial" w:cs="Arial"/>
                    </w:rPr>
                    <m:t>-</m:t>
                  </m:r>
                  <m:r>
                    <w:rPr>
                      <w:rFonts w:ascii="Cambria Math" w:hAnsi="Arial" w:cs="Arial"/>
                    </w:rPr>
                    <m:t xml:space="preserve">1,  </m:t>
                  </m:r>
                  <m:r>
                    <m:rPr>
                      <m:sty m:val="p"/>
                    </m:rPr>
                    <w:rPr>
                      <w:rStyle w:val="mord"/>
                      <w:rFonts w:ascii="Cambria Math" w:hAnsi="Arial" w:cs="Arial"/>
                    </w:rPr>
                    <m:t>Rj</m:t>
                  </m:r>
                  <m:r>
                    <m:rPr>
                      <m:sty m:val="p"/>
                    </m:rPr>
                    <w:rPr>
                      <w:rStyle w:val="vlist-s"/>
                      <w:rFonts w:ascii="Arial" w:hAnsi="Arial" w:cs="Arial"/>
                    </w:rPr>
                    <m:t>​</m:t>
                  </m:r>
                  <m:r>
                    <m:rPr>
                      <m:sty m:val="p"/>
                    </m:rPr>
                    <w:rPr>
                      <w:rStyle w:val="mbin"/>
                      <w:rFonts w:ascii="Arial" w:hAnsi="Arial" w:cs="Arial"/>
                    </w:rPr>
                    <m:t>-</m:t>
                  </m:r>
                  <m:r>
                    <m:rPr>
                      <m:sty m:val="p"/>
                    </m:rPr>
                    <w:rPr>
                      <w:rStyle w:val="mord"/>
                      <w:rFonts w:ascii="Cambria Math" w:hAnsi="Arial" w:cs="Arial"/>
                    </w:rPr>
                    <m:t>Ri</m:t>
                  </m:r>
                  <m:r>
                    <m:rPr>
                      <m:sty m:val="p"/>
                    </m:rPr>
                    <w:rPr>
                      <w:rStyle w:val="vlist-s"/>
                      <w:rFonts w:ascii="Arial" w:hAnsi="Arial" w:cs="Arial"/>
                    </w:rPr>
                    <m:t>​</m:t>
                  </m:r>
                  <m:r>
                    <m:rPr>
                      <m:sty m:val="p"/>
                    </m:rPr>
                    <w:rPr>
                      <w:rStyle w:val="mrel"/>
                      <w:rFonts w:ascii="Cambria Math" w:hAnsi="Arial" w:cs="Arial"/>
                    </w:rPr>
                    <m:t>&lt;</m:t>
                  </m:r>
                  <m:r>
                    <m:rPr>
                      <m:sty m:val="p"/>
                    </m:rPr>
                    <w:rPr>
                      <w:rStyle w:val="mord"/>
                      <w:rFonts w:ascii="Cambria Math" w:hAnsi="Arial" w:cs="Arial"/>
                    </w:rPr>
                    <m:t>0</m:t>
                  </m:r>
                  <m:r>
                    <w:rPr>
                      <w:rFonts w:ascii="Cambria Math" w:hAnsi="Arial" w:cs="Arial"/>
                    </w:rPr>
                    <m:t xml:space="preserve"> </m:t>
                  </m:r>
                </m:e>
              </m:eqArr>
            </m:e>
          </m:d>
        </m:oMath>
      </m:oMathPara>
    </w:p>
    <w:p w14:paraId="683EDEC9" w14:textId="77777777" w:rsidR="00066A14" w:rsidRPr="0008666E" w:rsidRDefault="00066A14" w:rsidP="006875DF">
      <w:pPr>
        <w:spacing w:before="240" w:after="0"/>
        <w:jc w:val="both"/>
        <w:rPr>
          <w:rFonts w:ascii="Arial" w:hAnsi="Arial" w:cs="Arial"/>
        </w:rPr>
      </w:pPr>
      <w:r w:rsidRPr="0008666E">
        <w:rPr>
          <w:rFonts w:ascii="Arial" w:hAnsi="Arial" w:cs="Arial"/>
        </w:rPr>
        <w:t>The standardized test statistic (</w:t>
      </w:r>
      <w:r w:rsidRPr="0008666E">
        <w:rPr>
          <w:rStyle w:val="katex-mathml"/>
          <w:rFonts w:ascii="Arial" w:hAnsi="Arial" w:cs="Arial"/>
        </w:rPr>
        <w:t>Z</w:t>
      </w:r>
      <w:r w:rsidRPr="0008666E">
        <w:rPr>
          <w:rFonts w:ascii="Arial" w:hAnsi="Arial" w:cs="Arial"/>
        </w:rPr>
        <w:t>) was calculated to determine the significance of the trend.</w:t>
      </w:r>
    </w:p>
    <w:p w14:paraId="4EF5BEA1" w14:textId="77777777" w:rsidR="006875DF" w:rsidRDefault="006875DF" w:rsidP="006875DF">
      <w:pPr>
        <w:pStyle w:val="Heading2"/>
        <w:spacing w:before="240" w:beforeAutospacing="0" w:after="0" w:afterAutospacing="0"/>
        <w:jc w:val="both"/>
        <w:rPr>
          <w:rStyle w:val="Strong"/>
          <w:rFonts w:ascii="Arial" w:hAnsi="Arial" w:cs="Arial"/>
          <w:b/>
          <w:bCs/>
          <w:sz w:val="22"/>
          <w:szCs w:val="22"/>
        </w:rPr>
      </w:pPr>
    </w:p>
    <w:p w14:paraId="449EF8C2" w14:textId="77777777" w:rsidR="00066A14" w:rsidRPr="0008666E" w:rsidRDefault="00066A14"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2.8 Sen’s Slope Estimator</w:t>
      </w:r>
    </w:p>
    <w:p w14:paraId="21BA1540" w14:textId="77777777" w:rsidR="00066A14" w:rsidRPr="0008666E" w:rsidRDefault="00066A1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magnitude of rainfall trend was estimated using </w:t>
      </w:r>
      <w:r w:rsidRPr="0008666E">
        <w:rPr>
          <w:rStyle w:val="Strong"/>
          <w:rFonts w:ascii="Arial" w:hAnsi="Arial" w:cs="Arial"/>
          <w:sz w:val="22"/>
          <w:szCs w:val="22"/>
        </w:rPr>
        <w:t>Sen’s slope estimator</w:t>
      </w:r>
      <w:r w:rsidRPr="0008666E">
        <w:rPr>
          <w:rFonts w:ascii="Arial" w:hAnsi="Arial" w:cs="Arial"/>
          <w:sz w:val="22"/>
          <w:szCs w:val="22"/>
        </w:rPr>
        <w:t>, calculated as the median of all pairwise slopes:</w:t>
      </w:r>
    </w:p>
    <w:p w14:paraId="7ACE0BDE" w14:textId="77777777" w:rsidR="00066A14" w:rsidRPr="0008666E" w:rsidRDefault="00066A14" w:rsidP="006875DF">
      <w:pPr>
        <w:spacing w:before="240" w:after="0"/>
        <w:jc w:val="both"/>
        <w:rPr>
          <w:rFonts w:ascii="Arial" w:eastAsiaTheme="minorEastAsia" w:hAnsi="Arial" w:cs="Arial"/>
        </w:rPr>
      </w:pPr>
      <m:oMathPara>
        <m:oMath>
          <m:r>
            <w:rPr>
              <w:rFonts w:ascii="Cambria Math" w:hAnsi="Cambria Math" w:cs="Arial"/>
            </w:rPr>
            <m:t>Qi</m:t>
          </m:r>
          <m:r>
            <w:rPr>
              <w:rFonts w:ascii="Cambria Math" w:hAnsi="Arial" w:cs="Arial"/>
            </w:rPr>
            <m:t xml:space="preserve">= </m:t>
          </m:r>
          <m:f>
            <m:fPr>
              <m:ctrlPr>
                <w:rPr>
                  <w:rFonts w:ascii="Cambria Math" w:hAnsi="Arial" w:cs="Arial"/>
                  <w:i/>
                </w:rPr>
              </m:ctrlPr>
            </m:fPr>
            <m:num>
              <m:sSub>
                <m:sSubPr>
                  <m:ctrlPr>
                    <w:rPr>
                      <w:rFonts w:ascii="Cambria Math" w:hAnsi="Arial" w:cs="Arial"/>
                      <w:i/>
                    </w:rPr>
                  </m:ctrlPr>
                </m:sSubPr>
                <m:e>
                  <m:r>
                    <w:rPr>
                      <w:rFonts w:ascii="Cambria Math" w:hAnsi="Cambria Math" w:cs="Arial"/>
                    </w:rPr>
                    <m:t>R</m:t>
                  </m:r>
                </m:e>
                <m:sub>
                  <m:r>
                    <w:rPr>
                      <w:rFonts w:ascii="Cambria Math" w:hAnsi="Cambria Math" w:cs="Arial"/>
                    </w:rPr>
                    <m:t>j</m:t>
                  </m:r>
                </m:sub>
              </m:sSub>
              <m:r>
                <w:rPr>
                  <w:rFonts w:ascii="Arial" w:hAnsi="Arial" w:cs="Arial"/>
                </w:rPr>
                <m:t>-</m:t>
              </m:r>
              <m:r>
                <w:rPr>
                  <w:rFonts w:ascii="Cambria Math" w:hAnsi="Arial" w:cs="Arial"/>
                </w:rPr>
                <m:t xml:space="preserve"> </m:t>
              </m:r>
              <m:sSub>
                <m:sSubPr>
                  <m:ctrlPr>
                    <w:rPr>
                      <w:rFonts w:ascii="Cambria Math" w:hAnsi="Arial" w:cs="Arial"/>
                      <w:i/>
                    </w:rPr>
                  </m:ctrlPr>
                </m:sSubPr>
                <m:e>
                  <m:r>
                    <w:rPr>
                      <w:rFonts w:ascii="Cambria Math" w:hAnsi="Cambria Math" w:cs="Arial"/>
                    </w:rPr>
                    <m:t>R</m:t>
                  </m:r>
                </m:e>
                <m:sub>
                  <m:r>
                    <w:rPr>
                      <w:rFonts w:ascii="Cambria Math" w:hAnsi="Cambria Math" w:cs="Arial"/>
                    </w:rPr>
                    <m:t>k</m:t>
                  </m:r>
                </m:sub>
              </m:sSub>
            </m:num>
            <m:den>
              <m:r>
                <w:rPr>
                  <w:rFonts w:ascii="Cambria Math" w:hAnsi="Cambria Math" w:cs="Arial"/>
                </w:rPr>
                <m:t>j</m:t>
              </m:r>
              <m:r>
                <w:rPr>
                  <w:rFonts w:ascii="Arial" w:hAnsi="Arial" w:cs="Arial"/>
                </w:rPr>
                <m:t>-</m:t>
              </m:r>
              <m:r>
                <w:rPr>
                  <w:rFonts w:ascii="Cambria Math" w:hAnsi="Cambria Math" w:cs="Arial"/>
                </w:rPr>
                <m:t>k</m:t>
              </m:r>
            </m:den>
          </m:f>
        </m:oMath>
      </m:oMathPara>
    </w:p>
    <w:p w14:paraId="4DAA38C3" w14:textId="77777777" w:rsidR="00066A14" w:rsidRPr="0008666E" w:rsidRDefault="00066A1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14:paraId="16506716" w14:textId="77777777" w:rsidR="00066A14" w:rsidRPr="0008666E" w:rsidRDefault="00066A14" w:rsidP="006875DF">
      <w:pPr>
        <w:pStyle w:val="NormalWeb"/>
        <w:numPr>
          <w:ilvl w:val="0"/>
          <w:numId w:val="7"/>
        </w:numPr>
        <w:spacing w:before="240" w:beforeAutospacing="0" w:after="0" w:afterAutospacing="0"/>
        <w:jc w:val="both"/>
        <w:rPr>
          <w:rFonts w:ascii="Arial" w:hAnsi="Arial" w:cs="Arial"/>
          <w:sz w:val="22"/>
          <w:szCs w:val="22"/>
        </w:rPr>
      </w:pPr>
      <w:proofErr w:type="spellStart"/>
      <w:r w:rsidRPr="0008666E">
        <w:rPr>
          <w:rStyle w:val="mord"/>
          <w:rFonts w:ascii="Arial" w:hAnsi="Arial" w:cs="Arial"/>
          <w:sz w:val="22"/>
          <w:szCs w:val="22"/>
        </w:rPr>
        <w:t>Rj</w:t>
      </w:r>
      <w:proofErr w:type="spellEnd"/>
      <w:r w:rsidRPr="0008666E">
        <w:rPr>
          <w:rStyle w:val="vlist-s"/>
          <w:rFonts w:ascii="Arial" w:hAnsi="Arial" w:cs="Arial"/>
          <w:sz w:val="22"/>
          <w:szCs w:val="22"/>
        </w:rPr>
        <w:t>​</w:t>
      </w:r>
      <w:r w:rsidRPr="0008666E">
        <w:rPr>
          <w:rFonts w:ascii="Arial" w:hAnsi="Arial" w:cs="Arial"/>
          <w:sz w:val="22"/>
          <w:szCs w:val="22"/>
        </w:rPr>
        <w:t xml:space="preserve"> and </w:t>
      </w:r>
      <w:proofErr w:type="spellStart"/>
      <w:r w:rsidRPr="0008666E">
        <w:rPr>
          <w:rStyle w:val="mord"/>
          <w:rFonts w:ascii="Arial" w:hAnsi="Arial" w:cs="Arial"/>
          <w:sz w:val="22"/>
          <w:szCs w:val="22"/>
        </w:rPr>
        <w:t>Rk</w:t>
      </w:r>
      <w:proofErr w:type="spellEnd"/>
      <w:r w:rsidRPr="0008666E">
        <w:rPr>
          <w:rStyle w:val="vlist-s"/>
          <w:rFonts w:ascii="Arial" w:hAnsi="Arial" w:cs="Arial"/>
          <w:sz w:val="22"/>
          <w:szCs w:val="22"/>
        </w:rPr>
        <w:t>​</w:t>
      </w:r>
      <w:r w:rsidRPr="0008666E">
        <w:rPr>
          <w:rFonts w:ascii="Arial" w:hAnsi="Arial" w:cs="Arial"/>
          <w:sz w:val="22"/>
          <w:szCs w:val="22"/>
        </w:rPr>
        <w:t xml:space="preserve"> = rainfall values at times </w:t>
      </w:r>
      <w:r w:rsidRPr="0008666E">
        <w:rPr>
          <w:rStyle w:val="Emphasis"/>
          <w:rFonts w:ascii="Arial" w:eastAsiaTheme="majorEastAsia" w:hAnsi="Arial" w:cs="Arial"/>
          <w:sz w:val="22"/>
          <w:szCs w:val="22"/>
        </w:rPr>
        <w:t>j</w:t>
      </w:r>
      <w:r w:rsidRPr="0008666E">
        <w:rPr>
          <w:rFonts w:ascii="Arial" w:hAnsi="Arial" w:cs="Arial"/>
          <w:sz w:val="22"/>
          <w:szCs w:val="22"/>
        </w:rPr>
        <w:t xml:space="preserve"> and </w:t>
      </w:r>
      <w:r w:rsidRPr="0008666E">
        <w:rPr>
          <w:rStyle w:val="Emphasis"/>
          <w:rFonts w:ascii="Arial" w:eastAsiaTheme="majorEastAsia" w:hAnsi="Arial" w:cs="Arial"/>
          <w:sz w:val="22"/>
          <w:szCs w:val="22"/>
        </w:rPr>
        <w:t>k</w:t>
      </w:r>
      <w:r w:rsidRPr="0008666E">
        <w:rPr>
          <w:rFonts w:ascii="Arial" w:hAnsi="Arial" w:cs="Arial"/>
          <w:sz w:val="22"/>
          <w:szCs w:val="22"/>
        </w:rPr>
        <w:t xml:space="preserve"> (j &gt; k)</w:t>
      </w:r>
    </w:p>
    <w:p w14:paraId="258F6D18" w14:textId="77777777" w:rsidR="00066A14" w:rsidRPr="0008666E" w:rsidRDefault="00066A1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A positive Sen’s slope indicates an increasing trend, while a negative value indicates a decreasing trend.</w:t>
      </w:r>
    </w:p>
    <w:p w14:paraId="0A58EABE" w14:textId="77777777" w:rsidR="00066A14" w:rsidRPr="0008666E" w:rsidRDefault="00066A14"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2.9 Agricultural Interpretation Framework</w:t>
      </w:r>
    </w:p>
    <w:p w14:paraId="10323745" w14:textId="77777777" w:rsidR="00066A14" w:rsidRPr="0008666E" w:rsidRDefault="00066A1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Rainfall variability, drought years, and extreme rainfall years identified through the above analyses were interpreted in relation to </w:t>
      </w:r>
      <w:r w:rsidRPr="0008666E">
        <w:rPr>
          <w:rStyle w:val="Strong"/>
          <w:rFonts w:ascii="Arial" w:hAnsi="Arial" w:cs="Arial"/>
          <w:sz w:val="22"/>
          <w:szCs w:val="22"/>
        </w:rPr>
        <w:t>agricultural operations</w:t>
      </w:r>
      <w:r w:rsidRPr="0008666E">
        <w:rPr>
          <w:rFonts w:ascii="Arial" w:hAnsi="Arial" w:cs="Arial"/>
          <w:sz w:val="22"/>
          <w:szCs w:val="22"/>
        </w:rPr>
        <w:t xml:space="preserve"> such as sowing, transplanting, flowering, and harvesting. The potential impacts on crop performance, soil erosion, nutrient loss, pest and disease incidence, and water availability were assessed to derive agricultural implications.</w:t>
      </w:r>
    </w:p>
    <w:p w14:paraId="717F070A" w14:textId="77777777" w:rsidR="001772A9" w:rsidRPr="0008666E" w:rsidRDefault="001772A9" w:rsidP="006875DF">
      <w:pPr>
        <w:pStyle w:val="Heading1"/>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3. Results and Discussion</w:t>
      </w:r>
    </w:p>
    <w:p w14:paraId="313DF495" w14:textId="77777777"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This section presents the results obtained from the statistical analyses described in </w:t>
      </w:r>
      <w:r w:rsidRPr="0008666E">
        <w:rPr>
          <w:rStyle w:val="Strong"/>
          <w:rFonts w:ascii="Arial" w:hAnsi="Arial" w:cs="Arial"/>
          <w:sz w:val="22"/>
          <w:szCs w:val="22"/>
        </w:rPr>
        <w:t>Section 2 (Materials and Methods)</w:t>
      </w:r>
      <w:r w:rsidRPr="0008666E">
        <w:rPr>
          <w:rFonts w:ascii="Arial" w:hAnsi="Arial" w:cs="Arial"/>
          <w:sz w:val="22"/>
          <w:szCs w:val="22"/>
        </w:rPr>
        <w:t xml:space="preserve"> and discusses their implications in the context of rainfall variability, drought characteristics, and agricultural sustainability in the Mysuru region. The results are organized sequentially following the analytical framework adopted in the study, beginning with interannual rainfall variability, followed by rainfall anomaly analysis, drought assessment using SPI, and trend analysis using non-parametric methods. All interpretations are supported by graphical representation for clarity.</w:t>
      </w:r>
    </w:p>
    <w:p w14:paraId="30DCCBFA" w14:textId="77777777" w:rsidR="001772A9" w:rsidRPr="0008666E" w:rsidRDefault="001772A9"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3.1 Interannual Variability of Annual Rainfall</w:t>
      </w:r>
    </w:p>
    <w:p w14:paraId="2189F31D" w14:textId="09D6CA40"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Interannual variability of annual rainfall in the Mysuru region during the period </w:t>
      </w:r>
      <w:r w:rsidRPr="0008666E">
        <w:rPr>
          <w:rStyle w:val="Strong"/>
          <w:rFonts w:ascii="Arial" w:hAnsi="Arial" w:cs="Arial"/>
          <w:sz w:val="22"/>
          <w:szCs w:val="22"/>
        </w:rPr>
        <w:t>1968–2025</w:t>
      </w:r>
      <w:r w:rsidRPr="0008666E">
        <w:rPr>
          <w:rFonts w:ascii="Arial" w:hAnsi="Arial" w:cs="Arial"/>
          <w:sz w:val="22"/>
          <w:szCs w:val="22"/>
        </w:rPr>
        <w:t xml:space="preserve"> is illustrated in </w:t>
      </w:r>
      <w:r w:rsidRPr="0008666E">
        <w:rPr>
          <w:rStyle w:val="Strong"/>
          <w:rFonts w:ascii="Arial" w:hAnsi="Arial" w:cs="Arial"/>
          <w:sz w:val="22"/>
          <w:szCs w:val="22"/>
        </w:rPr>
        <w:t>Figure</w:t>
      </w:r>
      <w:r w:rsidR="002936E4">
        <w:rPr>
          <w:rStyle w:val="Strong"/>
          <w:rFonts w:ascii="Arial" w:hAnsi="Arial" w:cs="Arial"/>
          <w:sz w:val="22"/>
          <w:szCs w:val="22"/>
        </w:rPr>
        <w:t xml:space="preserve"> </w:t>
      </w:r>
      <w:r w:rsidRPr="0008666E">
        <w:rPr>
          <w:rStyle w:val="Strong"/>
          <w:rFonts w:ascii="Arial" w:hAnsi="Arial" w:cs="Arial"/>
          <w:sz w:val="22"/>
          <w:szCs w:val="22"/>
        </w:rPr>
        <w:t>1</w:t>
      </w:r>
      <w:r w:rsidRPr="0008666E">
        <w:rPr>
          <w:rFonts w:ascii="Arial" w:hAnsi="Arial" w:cs="Arial"/>
          <w:sz w:val="22"/>
          <w:szCs w:val="22"/>
        </w:rPr>
        <w:t>. The figure shows substantial year-to-year fluctuations in annual rainfall around the long-term mean, indicating high variability in rainfall distribution. Annual rainfall varied widely, with several years recording rainfall far below the mean and a few years experiencing exceptionally high rainfall.</w:t>
      </w:r>
    </w:p>
    <w:p w14:paraId="44406957" w14:textId="77777777"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presence of frequent low rainfall years highlights the unreliability of rainfall in the region. At the same time, the occurrence of extreme rainfall peaks indicates sporadic wet years, which contribute significantly to the overall variability. Such wide fluctuations suggest that rainfall </w:t>
      </w:r>
      <w:proofErr w:type="spellStart"/>
      <w:r w:rsidRPr="0008666E">
        <w:rPr>
          <w:rFonts w:ascii="Arial" w:hAnsi="Arial" w:cs="Arial"/>
          <w:sz w:val="22"/>
          <w:szCs w:val="22"/>
        </w:rPr>
        <w:t>behaviour</w:t>
      </w:r>
      <w:proofErr w:type="spellEnd"/>
      <w:r w:rsidRPr="0008666E">
        <w:rPr>
          <w:rFonts w:ascii="Arial" w:hAnsi="Arial" w:cs="Arial"/>
          <w:sz w:val="22"/>
          <w:szCs w:val="22"/>
        </w:rPr>
        <w:t xml:space="preserve"> in the Mysuru region is highly erratic rather than stable.</w:t>
      </w:r>
    </w:p>
    <w:p w14:paraId="76160538" w14:textId="285DC198"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High interannual rainfall variability, as observed in </w:t>
      </w:r>
      <w:r w:rsidRPr="0008666E">
        <w:rPr>
          <w:rStyle w:val="Strong"/>
          <w:rFonts w:ascii="Arial" w:hAnsi="Arial" w:cs="Arial"/>
          <w:sz w:val="22"/>
          <w:szCs w:val="22"/>
        </w:rPr>
        <w:t>Figure 1</w:t>
      </w:r>
      <w:r w:rsidRPr="0008666E">
        <w:rPr>
          <w:rFonts w:ascii="Arial" w:hAnsi="Arial" w:cs="Arial"/>
          <w:sz w:val="22"/>
          <w:szCs w:val="22"/>
        </w:rPr>
        <w:t>, is a characteristic feature of semi-arid regions and poses serious challenges to rainfed agriculture. Years with rainfall well below the long-term mean are likely to experience delayed sowing, poor crop establishment, and moisture stress during critical crop growth stages. Conversely, years with exceptionally high rainfall may lead to surface runoff, soil erosion, nutrient leaching, and crop damage.</w:t>
      </w:r>
    </w:p>
    <w:p w14:paraId="45D334A6" w14:textId="77777777" w:rsidR="00C209B5" w:rsidRDefault="00C209B5" w:rsidP="006875DF">
      <w:pPr>
        <w:pStyle w:val="NormalWeb"/>
        <w:spacing w:before="240" w:beforeAutospacing="0" w:after="0" w:afterAutospacing="0"/>
        <w:jc w:val="both"/>
        <w:rPr>
          <w:rFonts w:ascii="Arial" w:hAnsi="Arial" w:cs="Arial"/>
          <w:sz w:val="22"/>
          <w:szCs w:val="22"/>
        </w:rPr>
      </w:pPr>
    </w:p>
    <w:p w14:paraId="52978F28" w14:textId="45C49911" w:rsidR="00C209B5" w:rsidRPr="00C209B5" w:rsidRDefault="00C209B5" w:rsidP="00C209B5">
      <w:pPr>
        <w:pStyle w:val="NormalWeb"/>
        <w:spacing w:before="240" w:beforeAutospacing="0" w:after="0" w:afterAutospacing="0"/>
        <w:jc w:val="center"/>
        <w:rPr>
          <w:rFonts w:ascii="Arial" w:hAnsi="Arial" w:cs="Arial"/>
          <w:b/>
          <w:sz w:val="22"/>
          <w:szCs w:val="22"/>
        </w:rPr>
      </w:pPr>
      <w:r w:rsidRPr="00C209B5">
        <w:rPr>
          <w:rFonts w:ascii="Arial" w:hAnsi="Arial" w:cs="Arial"/>
          <w:b/>
          <w:noProof/>
          <w:sz w:val="22"/>
          <w:szCs w:val="22"/>
        </w:rPr>
        <w:drawing>
          <wp:anchor distT="0" distB="0" distL="114300" distR="114300" simplePos="0" relativeHeight="251658240" behindDoc="0" locked="0" layoutInCell="1" allowOverlap="1" wp14:anchorId="43EE1FF1" wp14:editId="214C3094">
            <wp:simplePos x="0" y="0"/>
            <wp:positionH relativeFrom="column">
              <wp:posOffset>-5080</wp:posOffset>
            </wp:positionH>
            <wp:positionV relativeFrom="paragraph">
              <wp:posOffset>-113030</wp:posOffset>
            </wp:positionV>
            <wp:extent cx="5775960" cy="2736850"/>
            <wp:effectExtent l="19050" t="0" r="0" b="0"/>
            <wp:wrapTopAndBottom/>
            <wp:docPr id="13" name="Picture 13" descr="C:\Users\user1\Downloads\Figure_3_1_Interannual_Rainfall_Mys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ownloads\Figure_3_1_Interannual_Rainfall_Mysuru.png"/>
                    <pic:cNvPicPr>
                      <a:picLocks noChangeAspect="1" noChangeArrowheads="1"/>
                    </pic:cNvPicPr>
                  </pic:nvPicPr>
                  <pic:blipFill>
                    <a:blip r:embed="rId9" cstate="print"/>
                    <a:srcRect t="5144"/>
                    <a:stretch>
                      <a:fillRect/>
                    </a:stretch>
                  </pic:blipFill>
                  <pic:spPr bwMode="auto">
                    <a:xfrm>
                      <a:off x="0" y="0"/>
                      <a:ext cx="5775960" cy="2736850"/>
                    </a:xfrm>
                    <a:prstGeom prst="rect">
                      <a:avLst/>
                    </a:prstGeom>
                    <a:noFill/>
                    <a:ln w="9525">
                      <a:noFill/>
                      <a:miter lim="800000"/>
                      <a:headEnd/>
                      <a:tailEnd/>
                    </a:ln>
                  </pic:spPr>
                </pic:pic>
              </a:graphicData>
            </a:graphic>
          </wp:anchor>
        </w:drawing>
      </w:r>
      <w:r w:rsidRPr="00C209B5">
        <w:rPr>
          <w:rFonts w:ascii="Arial" w:hAnsi="Arial" w:cs="Arial"/>
          <w:b/>
          <w:sz w:val="22"/>
          <w:szCs w:val="22"/>
        </w:rPr>
        <w:t>Figure.1. Interannual variation of annual rainfall in the Mysuru region during 1968–2025.</w:t>
      </w:r>
    </w:p>
    <w:p w14:paraId="1B5BDCFB" w14:textId="77777777"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The absence of a consistent pattern in rainfall distribution suggests that farmers cannot rely on average rainfall conditions for agricultural planning. Instead, agricultural systems in the Mysuru region must be designed to cope with both rainfall deficit and excess. Similar findings of high rainfall variability without a consistent long-term pattern have been reported for other semi-arid regions of India (</w:t>
      </w:r>
      <w:proofErr w:type="spellStart"/>
      <w:r w:rsidRPr="0008666E">
        <w:rPr>
          <w:rFonts w:ascii="Arial" w:hAnsi="Arial" w:cs="Arial"/>
          <w:sz w:val="22"/>
          <w:szCs w:val="22"/>
        </w:rPr>
        <w:t>Gadgil</w:t>
      </w:r>
      <w:proofErr w:type="spellEnd"/>
      <w:r w:rsidRPr="0008666E">
        <w:rPr>
          <w:rFonts w:ascii="Arial" w:hAnsi="Arial" w:cs="Arial"/>
          <w:sz w:val="22"/>
          <w:szCs w:val="22"/>
        </w:rPr>
        <w:t xml:space="preserve">, 2003; </w:t>
      </w:r>
      <w:proofErr w:type="spellStart"/>
      <w:r w:rsidRPr="0008666E">
        <w:rPr>
          <w:rFonts w:ascii="Arial" w:hAnsi="Arial" w:cs="Arial"/>
          <w:sz w:val="22"/>
          <w:szCs w:val="22"/>
        </w:rPr>
        <w:t>Guhathakurta</w:t>
      </w:r>
      <w:proofErr w:type="spellEnd"/>
      <w:r w:rsidRPr="0008666E">
        <w:rPr>
          <w:rFonts w:ascii="Arial" w:hAnsi="Arial" w:cs="Arial"/>
          <w:sz w:val="22"/>
          <w:szCs w:val="22"/>
        </w:rPr>
        <w:t xml:space="preserve"> and </w:t>
      </w:r>
      <w:proofErr w:type="spellStart"/>
      <w:r w:rsidRPr="0008666E">
        <w:rPr>
          <w:rFonts w:ascii="Arial" w:hAnsi="Arial" w:cs="Arial"/>
          <w:sz w:val="22"/>
          <w:szCs w:val="22"/>
        </w:rPr>
        <w:t>Rajeevan</w:t>
      </w:r>
      <w:proofErr w:type="spellEnd"/>
      <w:r w:rsidRPr="0008666E">
        <w:rPr>
          <w:rFonts w:ascii="Arial" w:hAnsi="Arial" w:cs="Arial"/>
          <w:sz w:val="22"/>
          <w:szCs w:val="22"/>
        </w:rPr>
        <w:t xml:space="preserve">, 2008; Subash and </w:t>
      </w:r>
      <w:proofErr w:type="spellStart"/>
      <w:r w:rsidRPr="0008666E">
        <w:rPr>
          <w:rFonts w:ascii="Arial" w:hAnsi="Arial" w:cs="Arial"/>
          <w:sz w:val="22"/>
          <w:szCs w:val="22"/>
        </w:rPr>
        <w:t>Gangwar</w:t>
      </w:r>
      <w:proofErr w:type="spellEnd"/>
      <w:r w:rsidRPr="0008666E">
        <w:rPr>
          <w:rFonts w:ascii="Arial" w:hAnsi="Arial" w:cs="Arial"/>
          <w:sz w:val="22"/>
          <w:szCs w:val="22"/>
        </w:rPr>
        <w:t>, 2014).</w:t>
      </w:r>
    </w:p>
    <w:p w14:paraId="2E394ECB" w14:textId="77777777"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Overall, the pronounced interannual variability observed in this study emphasizes the importance of rainfall variability analysis as a foundation for drought assessment and climate-resilient agricultural planning.</w:t>
      </w:r>
    </w:p>
    <w:p w14:paraId="679091C4" w14:textId="77777777" w:rsidR="00141B12" w:rsidRPr="0008666E" w:rsidRDefault="00141B12"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3.1.1 Rainfall Anomaly Index (RAI)</w:t>
      </w:r>
    </w:p>
    <w:p w14:paraId="30350C1B" w14:textId="4D6DCADD"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Rainfall anomaly analysis using the </w:t>
      </w:r>
      <w:r w:rsidRPr="0008666E">
        <w:rPr>
          <w:rStyle w:val="Strong"/>
          <w:rFonts w:ascii="Arial" w:hAnsi="Arial" w:cs="Arial"/>
          <w:sz w:val="22"/>
          <w:szCs w:val="22"/>
        </w:rPr>
        <w:t>Rainfall Anomaly Index (RAI)</w:t>
      </w:r>
      <w:r w:rsidRPr="0008666E">
        <w:rPr>
          <w:rFonts w:ascii="Arial" w:hAnsi="Arial" w:cs="Arial"/>
          <w:sz w:val="22"/>
          <w:szCs w:val="22"/>
        </w:rPr>
        <w:t xml:space="preserve"> is presented in </w:t>
      </w:r>
      <w:r w:rsidRPr="0008666E">
        <w:rPr>
          <w:rStyle w:val="Strong"/>
          <w:rFonts w:ascii="Arial" w:hAnsi="Arial" w:cs="Arial"/>
          <w:sz w:val="22"/>
          <w:szCs w:val="22"/>
        </w:rPr>
        <w:t>Figure 2</w:t>
      </w:r>
      <w:r w:rsidRPr="0008666E">
        <w:rPr>
          <w:rFonts w:ascii="Arial" w:hAnsi="Arial" w:cs="Arial"/>
          <w:sz w:val="22"/>
          <w:szCs w:val="22"/>
        </w:rPr>
        <w:t xml:space="preserve">. The RAI values exhibited substantial interannual variability with both positive and negative anomalies during the study period. Several years recorded </w:t>
      </w:r>
      <w:r w:rsidRPr="0008666E">
        <w:rPr>
          <w:rStyle w:val="Strong"/>
          <w:rFonts w:ascii="Arial" w:hAnsi="Arial" w:cs="Arial"/>
          <w:sz w:val="22"/>
          <w:szCs w:val="22"/>
        </w:rPr>
        <w:t>negative RAI values</w:t>
      </w:r>
      <w:r w:rsidRPr="0008666E">
        <w:rPr>
          <w:rFonts w:ascii="Arial" w:hAnsi="Arial" w:cs="Arial"/>
          <w:sz w:val="22"/>
          <w:szCs w:val="22"/>
        </w:rPr>
        <w:t xml:space="preserve">, indicating dry conditions, while a few years showed </w:t>
      </w:r>
      <w:r w:rsidRPr="0008666E">
        <w:rPr>
          <w:rStyle w:val="Strong"/>
          <w:rFonts w:ascii="Arial" w:hAnsi="Arial" w:cs="Arial"/>
          <w:sz w:val="22"/>
          <w:szCs w:val="22"/>
        </w:rPr>
        <w:t>strong positive anomalies</w:t>
      </w:r>
      <w:r w:rsidRPr="0008666E">
        <w:rPr>
          <w:rFonts w:ascii="Arial" w:hAnsi="Arial" w:cs="Arial"/>
          <w:sz w:val="22"/>
          <w:szCs w:val="22"/>
        </w:rPr>
        <w:t>, representing wet years.</w:t>
      </w:r>
    </w:p>
    <w:p w14:paraId="7E1E43F8"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The frequent occurrence of negative RAI values confirms the dominance of dry years in the Mysuru region. Extreme negative anomalies correspond to years of severe rainfall deficit, whereas extreme positive anomalies indicate excess rainfall years.</w:t>
      </w:r>
    </w:p>
    <w:p w14:paraId="6A226AF7"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RAI-based assessment provides clear evidence of </w:t>
      </w:r>
      <w:r w:rsidRPr="0008666E">
        <w:rPr>
          <w:rStyle w:val="Strong"/>
          <w:rFonts w:ascii="Arial" w:hAnsi="Arial" w:cs="Arial"/>
          <w:sz w:val="22"/>
          <w:szCs w:val="22"/>
        </w:rPr>
        <w:t>alternating dry and wet phases</w:t>
      </w:r>
      <w:r w:rsidRPr="0008666E">
        <w:rPr>
          <w:rFonts w:ascii="Arial" w:hAnsi="Arial" w:cs="Arial"/>
          <w:sz w:val="22"/>
          <w:szCs w:val="22"/>
        </w:rPr>
        <w:t>, with a greater frequency of dry anomalies. This pattern explains the recurrent drought situations experienced in the region and reinforces the findings of interannual rainfall variability. The consistency between RAI results and rainfall classification further validates the robustness of the rainfall analysis.</w:t>
      </w:r>
    </w:p>
    <w:p w14:paraId="456E78E5"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noProof/>
          <w:sz w:val="22"/>
          <w:szCs w:val="22"/>
        </w:rPr>
        <w:drawing>
          <wp:anchor distT="0" distB="0" distL="114300" distR="114300" simplePos="0" relativeHeight="251659264" behindDoc="0" locked="0" layoutInCell="1" allowOverlap="1" wp14:anchorId="02F050F2" wp14:editId="585E09B6">
            <wp:simplePos x="0" y="0"/>
            <wp:positionH relativeFrom="column">
              <wp:posOffset>-106045</wp:posOffset>
            </wp:positionH>
            <wp:positionV relativeFrom="paragraph">
              <wp:posOffset>768350</wp:posOffset>
            </wp:positionV>
            <wp:extent cx="5948045" cy="2790190"/>
            <wp:effectExtent l="19050" t="0" r="0" b="0"/>
            <wp:wrapTopAndBottom/>
            <wp:docPr id="19" name="Picture 19" descr="C:\Users\user1\Downloads\Figure_3_2_RAI_Mys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Downloads\Figure_3_2_RAI_Mysuru.png"/>
                    <pic:cNvPicPr>
                      <a:picLocks noChangeAspect="1" noChangeArrowheads="1"/>
                    </pic:cNvPicPr>
                  </pic:nvPicPr>
                  <pic:blipFill>
                    <a:blip r:embed="rId10" cstate="print"/>
                    <a:srcRect t="6188"/>
                    <a:stretch>
                      <a:fillRect/>
                    </a:stretch>
                  </pic:blipFill>
                  <pic:spPr bwMode="auto">
                    <a:xfrm>
                      <a:off x="0" y="0"/>
                      <a:ext cx="5948045" cy="2790190"/>
                    </a:xfrm>
                    <a:prstGeom prst="rect">
                      <a:avLst/>
                    </a:prstGeom>
                    <a:noFill/>
                    <a:ln w="9525">
                      <a:noFill/>
                      <a:miter lim="800000"/>
                      <a:headEnd/>
                      <a:tailEnd/>
                    </a:ln>
                  </pic:spPr>
                </pic:pic>
              </a:graphicData>
            </a:graphic>
          </wp:anchor>
        </w:drawing>
      </w:r>
      <w:r w:rsidRPr="0008666E">
        <w:rPr>
          <w:rFonts w:ascii="Arial" w:hAnsi="Arial" w:cs="Arial"/>
          <w:sz w:val="22"/>
          <w:szCs w:val="22"/>
        </w:rPr>
        <w:t xml:space="preserve">Similar patterns of frequent negative rainfall anomalies in semi-arid regions have been reported by </w:t>
      </w:r>
      <w:r w:rsidRPr="0008666E">
        <w:rPr>
          <w:rStyle w:val="Strong"/>
          <w:rFonts w:ascii="Arial" w:hAnsi="Arial" w:cs="Arial"/>
          <w:sz w:val="22"/>
          <w:szCs w:val="22"/>
        </w:rPr>
        <w:t xml:space="preserve">van </w:t>
      </w:r>
      <w:proofErr w:type="spellStart"/>
      <w:r w:rsidRPr="0008666E">
        <w:rPr>
          <w:rStyle w:val="Strong"/>
          <w:rFonts w:ascii="Arial" w:hAnsi="Arial" w:cs="Arial"/>
          <w:sz w:val="22"/>
          <w:szCs w:val="22"/>
        </w:rPr>
        <w:t>Rooy</w:t>
      </w:r>
      <w:proofErr w:type="spellEnd"/>
      <w:r w:rsidRPr="0008666E">
        <w:rPr>
          <w:rStyle w:val="Strong"/>
          <w:rFonts w:ascii="Arial" w:hAnsi="Arial" w:cs="Arial"/>
          <w:sz w:val="22"/>
          <w:szCs w:val="22"/>
        </w:rPr>
        <w:t xml:space="preserve"> (1965)</w:t>
      </w:r>
      <w:r w:rsidRPr="0008666E">
        <w:rPr>
          <w:rFonts w:ascii="Arial" w:hAnsi="Arial" w:cs="Arial"/>
          <w:sz w:val="22"/>
          <w:szCs w:val="22"/>
        </w:rPr>
        <w:t xml:space="preserve">, </w:t>
      </w:r>
      <w:proofErr w:type="spellStart"/>
      <w:r w:rsidRPr="0008666E">
        <w:rPr>
          <w:rStyle w:val="Strong"/>
          <w:rFonts w:ascii="Arial" w:hAnsi="Arial" w:cs="Arial"/>
          <w:sz w:val="22"/>
          <w:szCs w:val="22"/>
        </w:rPr>
        <w:t>Gadgil</w:t>
      </w:r>
      <w:proofErr w:type="spellEnd"/>
      <w:r w:rsidRPr="0008666E">
        <w:rPr>
          <w:rStyle w:val="Strong"/>
          <w:rFonts w:ascii="Arial" w:hAnsi="Arial" w:cs="Arial"/>
          <w:sz w:val="22"/>
          <w:szCs w:val="22"/>
        </w:rPr>
        <w:t xml:space="preserve"> (2003)</w:t>
      </w:r>
      <w:r w:rsidRPr="0008666E">
        <w:rPr>
          <w:rFonts w:ascii="Arial" w:hAnsi="Arial" w:cs="Arial"/>
          <w:sz w:val="22"/>
          <w:szCs w:val="22"/>
        </w:rPr>
        <w:t xml:space="preserve">, and </w:t>
      </w:r>
      <w:r w:rsidRPr="0008666E">
        <w:rPr>
          <w:rStyle w:val="Strong"/>
          <w:rFonts w:ascii="Arial" w:hAnsi="Arial" w:cs="Arial"/>
          <w:sz w:val="22"/>
          <w:szCs w:val="22"/>
        </w:rPr>
        <w:t xml:space="preserve">Subash and </w:t>
      </w:r>
      <w:proofErr w:type="spellStart"/>
      <w:r w:rsidRPr="0008666E">
        <w:rPr>
          <w:rStyle w:val="Strong"/>
          <w:rFonts w:ascii="Arial" w:hAnsi="Arial" w:cs="Arial"/>
          <w:sz w:val="22"/>
          <w:szCs w:val="22"/>
        </w:rPr>
        <w:t>Gangwar</w:t>
      </w:r>
      <w:proofErr w:type="spellEnd"/>
      <w:r w:rsidRPr="0008666E">
        <w:rPr>
          <w:rStyle w:val="Strong"/>
          <w:rFonts w:ascii="Arial" w:hAnsi="Arial" w:cs="Arial"/>
          <w:sz w:val="22"/>
          <w:szCs w:val="22"/>
        </w:rPr>
        <w:t xml:space="preserve"> (2014)</w:t>
      </w:r>
      <w:r w:rsidRPr="0008666E">
        <w:rPr>
          <w:rFonts w:ascii="Arial" w:hAnsi="Arial" w:cs="Arial"/>
          <w:sz w:val="22"/>
          <w:szCs w:val="22"/>
        </w:rPr>
        <w:t>, emphasizing the vulnerability of rainfed agriculture to rainfall anomalies.</w:t>
      </w:r>
    </w:p>
    <w:p w14:paraId="3A20CA00" w14:textId="5EB63A9A" w:rsidR="00066A14" w:rsidRPr="00C209B5" w:rsidRDefault="00141B12" w:rsidP="00C209B5">
      <w:pPr>
        <w:spacing w:before="240" w:after="0"/>
        <w:jc w:val="center"/>
        <w:rPr>
          <w:rFonts w:ascii="Arial" w:hAnsi="Arial" w:cs="Arial"/>
          <w:b/>
        </w:rPr>
      </w:pPr>
      <w:r w:rsidRPr="00C209B5">
        <w:rPr>
          <w:rFonts w:ascii="Arial" w:hAnsi="Arial" w:cs="Arial"/>
          <w:b/>
        </w:rPr>
        <w:t>Figure 2. Rainfall Anomaly Index (RAI) for Mysuru region (1968–2025)</w:t>
      </w:r>
    </w:p>
    <w:p w14:paraId="16F22F8E" w14:textId="77777777" w:rsidR="00141B12" w:rsidRPr="0008666E" w:rsidRDefault="00141B12" w:rsidP="006875DF">
      <w:pPr>
        <w:spacing w:before="240" w:after="0"/>
        <w:jc w:val="both"/>
        <w:rPr>
          <w:rFonts w:ascii="Arial" w:hAnsi="Arial" w:cs="Arial"/>
          <w:b/>
        </w:rPr>
      </w:pPr>
      <w:r w:rsidRPr="0008666E">
        <w:rPr>
          <w:rFonts w:ascii="Arial" w:hAnsi="Arial" w:cs="Arial"/>
          <w:b/>
        </w:rPr>
        <w:t>3.2 Classification of Rainfall Years</w:t>
      </w:r>
    </w:p>
    <w:p w14:paraId="64170DFC" w14:textId="7CE61EAA"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classification of rainfall years based on deviation from the long-term mean rainfall is presented in </w:t>
      </w:r>
      <w:r w:rsidRPr="0008666E">
        <w:rPr>
          <w:rStyle w:val="Strong"/>
          <w:rFonts w:ascii="Arial" w:hAnsi="Arial" w:cs="Arial"/>
          <w:sz w:val="22"/>
          <w:szCs w:val="22"/>
        </w:rPr>
        <w:t>Figure 3</w:t>
      </w:r>
      <w:r w:rsidRPr="0008666E">
        <w:rPr>
          <w:rFonts w:ascii="Arial" w:hAnsi="Arial" w:cs="Arial"/>
          <w:sz w:val="22"/>
          <w:szCs w:val="22"/>
        </w:rPr>
        <w:t xml:space="preserve">. The results indicate that the Mysuru region experienced a considerable number of </w:t>
      </w:r>
      <w:r w:rsidRPr="0008666E">
        <w:rPr>
          <w:rStyle w:val="Strong"/>
          <w:rFonts w:ascii="Arial" w:hAnsi="Arial" w:cs="Arial"/>
          <w:sz w:val="22"/>
          <w:szCs w:val="22"/>
        </w:rPr>
        <w:t>deficit rainfall years</w:t>
      </w:r>
      <w:r w:rsidRPr="0008666E">
        <w:rPr>
          <w:rFonts w:ascii="Arial" w:hAnsi="Arial" w:cs="Arial"/>
          <w:sz w:val="22"/>
          <w:szCs w:val="22"/>
        </w:rPr>
        <w:t xml:space="preserve"> during the study period, interspersed with normal and occasional excess rainfall years.</w:t>
      </w:r>
    </w:p>
    <w:p w14:paraId="63806D9D"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Normal rainfall years constituted a major proportion of the record; however, deficit years occurred frequently and were distributed throughout the entire study period. Excess rainfall years were relatively fewer but were characterized by substantially higher rainfall amounts compared to the long-term mean.</w:t>
      </w:r>
    </w:p>
    <w:p w14:paraId="50F9FD8C"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The frequent occurrence of deficit rainfall years confirms the </w:t>
      </w:r>
      <w:r w:rsidRPr="0008666E">
        <w:rPr>
          <w:rStyle w:val="Strong"/>
          <w:rFonts w:ascii="Arial" w:hAnsi="Arial" w:cs="Arial"/>
          <w:sz w:val="22"/>
          <w:szCs w:val="22"/>
        </w:rPr>
        <w:t>drought-prone nature</w:t>
      </w:r>
      <w:r w:rsidRPr="0008666E">
        <w:rPr>
          <w:rFonts w:ascii="Arial" w:hAnsi="Arial" w:cs="Arial"/>
          <w:sz w:val="22"/>
          <w:szCs w:val="22"/>
        </w:rPr>
        <w:t xml:space="preserve"> of the Mysuru region. Even though normal rainfall years were more common, the presence of repeated deficit years explains the recurring moisture stress conditions faced by rainfed crops.</w:t>
      </w:r>
    </w:p>
    <w:p w14:paraId="2180B1B6"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Excess rainfall years, though less frequent, are equally important as they are associated with </w:t>
      </w:r>
      <w:r w:rsidRPr="0008666E">
        <w:rPr>
          <w:rStyle w:val="Strong"/>
          <w:rFonts w:ascii="Arial" w:hAnsi="Arial" w:cs="Arial"/>
          <w:sz w:val="22"/>
          <w:szCs w:val="22"/>
        </w:rPr>
        <w:t>intense rainfall events</w:t>
      </w:r>
      <w:r w:rsidRPr="0008666E">
        <w:rPr>
          <w:rFonts w:ascii="Arial" w:hAnsi="Arial" w:cs="Arial"/>
          <w:sz w:val="22"/>
          <w:szCs w:val="22"/>
        </w:rPr>
        <w:t xml:space="preserve">, which may lead to soil erosion, nutrient leaching, and crop damage. The alternating pattern of deficit and excess rainfall years highlights the </w:t>
      </w:r>
      <w:r w:rsidRPr="0008666E">
        <w:rPr>
          <w:rStyle w:val="Strong"/>
          <w:rFonts w:ascii="Arial" w:hAnsi="Arial" w:cs="Arial"/>
          <w:sz w:val="22"/>
          <w:szCs w:val="22"/>
        </w:rPr>
        <w:t>high climatic uncertainty</w:t>
      </w:r>
      <w:r w:rsidRPr="0008666E">
        <w:rPr>
          <w:rFonts w:ascii="Arial" w:hAnsi="Arial" w:cs="Arial"/>
          <w:sz w:val="22"/>
          <w:szCs w:val="22"/>
        </w:rPr>
        <w:t xml:space="preserve"> prevailing in the region.</w:t>
      </w:r>
    </w:p>
    <w:p w14:paraId="612E6264"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noProof/>
          <w:sz w:val="22"/>
          <w:szCs w:val="22"/>
        </w:rPr>
        <w:drawing>
          <wp:anchor distT="0" distB="0" distL="114300" distR="114300" simplePos="0" relativeHeight="251660288" behindDoc="0" locked="0" layoutInCell="1" allowOverlap="1" wp14:anchorId="2AA774FF" wp14:editId="75401800">
            <wp:simplePos x="0" y="0"/>
            <wp:positionH relativeFrom="column">
              <wp:posOffset>131445</wp:posOffset>
            </wp:positionH>
            <wp:positionV relativeFrom="paragraph">
              <wp:posOffset>742315</wp:posOffset>
            </wp:positionV>
            <wp:extent cx="5401945" cy="2564765"/>
            <wp:effectExtent l="19050" t="0" r="8255" b="0"/>
            <wp:wrapTopAndBottom/>
            <wp:docPr id="25" name="Picture 25" descr="C:\Users\user1\Downloads\Figure_3_3_Rainfall_Year_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Downloads\Figure_3_3_Rainfall_Year_Classification.png"/>
                    <pic:cNvPicPr>
                      <a:picLocks noChangeAspect="1" noChangeArrowheads="1"/>
                    </pic:cNvPicPr>
                  </pic:nvPicPr>
                  <pic:blipFill>
                    <a:blip r:embed="rId11" cstate="print"/>
                    <a:srcRect t="5055"/>
                    <a:stretch>
                      <a:fillRect/>
                    </a:stretch>
                  </pic:blipFill>
                  <pic:spPr bwMode="auto">
                    <a:xfrm>
                      <a:off x="0" y="0"/>
                      <a:ext cx="5401945" cy="2564765"/>
                    </a:xfrm>
                    <a:prstGeom prst="rect">
                      <a:avLst/>
                    </a:prstGeom>
                    <a:noFill/>
                    <a:ln w="9525">
                      <a:noFill/>
                      <a:miter lim="800000"/>
                      <a:headEnd/>
                      <a:tailEnd/>
                    </a:ln>
                  </pic:spPr>
                </pic:pic>
              </a:graphicData>
            </a:graphic>
          </wp:anchor>
        </w:drawing>
      </w:r>
      <w:r w:rsidRPr="0008666E">
        <w:rPr>
          <w:rFonts w:ascii="Arial" w:hAnsi="Arial" w:cs="Arial"/>
          <w:sz w:val="22"/>
          <w:szCs w:val="22"/>
        </w:rPr>
        <w:t>Similar rainfall classification patterns have been reported for other semi-arid regions of India, emphasizing the need for agricultural planning that accounts for both drought and excess rainfall risks (</w:t>
      </w:r>
      <w:proofErr w:type="spellStart"/>
      <w:r w:rsidRPr="0008666E">
        <w:rPr>
          <w:rFonts w:ascii="Arial" w:hAnsi="Arial" w:cs="Arial"/>
          <w:sz w:val="22"/>
          <w:szCs w:val="22"/>
        </w:rPr>
        <w:t>Guhathakurta</w:t>
      </w:r>
      <w:proofErr w:type="spellEnd"/>
      <w:r w:rsidRPr="0008666E">
        <w:rPr>
          <w:rFonts w:ascii="Arial" w:hAnsi="Arial" w:cs="Arial"/>
          <w:sz w:val="22"/>
          <w:szCs w:val="22"/>
        </w:rPr>
        <w:t xml:space="preserve"> and </w:t>
      </w:r>
      <w:proofErr w:type="spellStart"/>
      <w:r w:rsidRPr="0008666E">
        <w:rPr>
          <w:rFonts w:ascii="Arial" w:hAnsi="Arial" w:cs="Arial"/>
          <w:sz w:val="22"/>
          <w:szCs w:val="22"/>
        </w:rPr>
        <w:t>Rajeevan</w:t>
      </w:r>
      <w:proofErr w:type="spellEnd"/>
      <w:r w:rsidRPr="0008666E">
        <w:rPr>
          <w:rFonts w:ascii="Arial" w:hAnsi="Arial" w:cs="Arial"/>
          <w:sz w:val="22"/>
          <w:szCs w:val="22"/>
        </w:rPr>
        <w:t xml:space="preserve">, 2008; Subash and </w:t>
      </w:r>
      <w:proofErr w:type="spellStart"/>
      <w:r w:rsidRPr="0008666E">
        <w:rPr>
          <w:rFonts w:ascii="Arial" w:hAnsi="Arial" w:cs="Arial"/>
          <w:sz w:val="22"/>
          <w:szCs w:val="22"/>
        </w:rPr>
        <w:t>Gangwar</w:t>
      </w:r>
      <w:proofErr w:type="spellEnd"/>
      <w:r w:rsidRPr="0008666E">
        <w:rPr>
          <w:rFonts w:ascii="Arial" w:hAnsi="Arial" w:cs="Arial"/>
          <w:sz w:val="22"/>
          <w:szCs w:val="22"/>
        </w:rPr>
        <w:t>, 2014).</w:t>
      </w:r>
    </w:p>
    <w:p w14:paraId="4B8176E9" w14:textId="04A4B5BD" w:rsidR="00141B12" w:rsidRPr="00C209B5" w:rsidRDefault="00141B12" w:rsidP="00C209B5">
      <w:pPr>
        <w:pStyle w:val="Heading3"/>
        <w:spacing w:before="240"/>
        <w:jc w:val="center"/>
        <w:rPr>
          <w:rFonts w:ascii="Arial" w:hAnsi="Arial" w:cs="Arial"/>
          <w:color w:val="000000" w:themeColor="text1"/>
        </w:rPr>
      </w:pPr>
      <w:r w:rsidRPr="00C209B5">
        <w:rPr>
          <w:rStyle w:val="Strong"/>
          <w:rFonts w:ascii="Arial" w:hAnsi="Arial" w:cs="Arial"/>
          <w:b/>
          <w:bCs/>
          <w:color w:val="000000" w:themeColor="text1"/>
        </w:rPr>
        <w:t>Figure 3. Classification of rainfall years in the Mysuru region during 1968–2025</w:t>
      </w:r>
    </w:p>
    <w:p w14:paraId="40BBA7A7"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Style w:val="Strong"/>
          <w:rFonts w:ascii="Arial" w:hAnsi="Arial" w:cs="Arial"/>
          <w:sz w:val="22"/>
          <w:szCs w:val="22"/>
        </w:rPr>
        <w:t>Figure details</w:t>
      </w:r>
    </w:p>
    <w:p w14:paraId="7A1B97CB" w14:textId="77777777" w:rsidR="00141B12" w:rsidRPr="0008666E" w:rsidRDefault="00141B12" w:rsidP="006875DF">
      <w:pPr>
        <w:pStyle w:val="NormalWeb"/>
        <w:numPr>
          <w:ilvl w:val="0"/>
          <w:numId w:val="8"/>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Green bars</w:t>
      </w:r>
      <w:r w:rsidRPr="0008666E">
        <w:rPr>
          <w:rFonts w:ascii="Arial" w:hAnsi="Arial" w:cs="Arial"/>
          <w:sz w:val="22"/>
          <w:szCs w:val="22"/>
        </w:rPr>
        <w:t xml:space="preserve"> → Normal rainfall years (80–120% of mean)</w:t>
      </w:r>
    </w:p>
    <w:p w14:paraId="0F9B36B1" w14:textId="77777777" w:rsidR="00141B12" w:rsidRPr="0008666E" w:rsidRDefault="00141B12" w:rsidP="006875DF">
      <w:pPr>
        <w:pStyle w:val="NormalWeb"/>
        <w:numPr>
          <w:ilvl w:val="0"/>
          <w:numId w:val="8"/>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Red bars</w:t>
      </w:r>
      <w:r w:rsidRPr="0008666E">
        <w:rPr>
          <w:rFonts w:ascii="Arial" w:hAnsi="Arial" w:cs="Arial"/>
          <w:sz w:val="22"/>
          <w:szCs w:val="22"/>
        </w:rPr>
        <w:t xml:space="preserve"> → Deficit rainfall years (&lt;80% of mean)</w:t>
      </w:r>
    </w:p>
    <w:p w14:paraId="508DE629" w14:textId="77777777" w:rsidR="00141B12" w:rsidRPr="0008666E" w:rsidRDefault="00141B12" w:rsidP="006875DF">
      <w:pPr>
        <w:pStyle w:val="NormalWeb"/>
        <w:numPr>
          <w:ilvl w:val="0"/>
          <w:numId w:val="8"/>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Blue bars</w:t>
      </w:r>
      <w:r w:rsidRPr="0008666E">
        <w:rPr>
          <w:rFonts w:ascii="Arial" w:hAnsi="Arial" w:cs="Arial"/>
          <w:sz w:val="22"/>
          <w:szCs w:val="22"/>
        </w:rPr>
        <w:t xml:space="preserve"> → Excess rainfall years (&gt;120% of mean)</w:t>
      </w:r>
    </w:p>
    <w:p w14:paraId="6EC3A622" w14:textId="77777777" w:rsidR="00141B12" w:rsidRPr="0008666E" w:rsidRDefault="00141B12" w:rsidP="006875DF">
      <w:pPr>
        <w:pStyle w:val="NormalWeb"/>
        <w:numPr>
          <w:ilvl w:val="0"/>
          <w:numId w:val="8"/>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Dashed line</w:t>
      </w:r>
      <w:r w:rsidRPr="0008666E">
        <w:rPr>
          <w:rFonts w:ascii="Arial" w:hAnsi="Arial" w:cs="Arial"/>
          <w:sz w:val="22"/>
          <w:szCs w:val="22"/>
        </w:rPr>
        <w:t xml:space="preserve"> → Long-term mean annual rainfall</w:t>
      </w:r>
    </w:p>
    <w:p w14:paraId="62C94E20" w14:textId="77777777" w:rsidR="00141B12" w:rsidRPr="0008666E" w:rsidRDefault="00141B12" w:rsidP="006875DF">
      <w:pPr>
        <w:spacing w:before="240" w:after="0"/>
        <w:jc w:val="both"/>
        <w:rPr>
          <w:rFonts w:ascii="Arial" w:hAnsi="Arial" w:cs="Arial"/>
          <w:b/>
        </w:rPr>
      </w:pPr>
      <w:r w:rsidRPr="0008666E">
        <w:rPr>
          <w:rFonts w:ascii="Arial" w:hAnsi="Arial" w:cs="Arial"/>
          <w:b/>
        </w:rPr>
        <w:t>3.3 SPI-based Drought Characteristics</w:t>
      </w:r>
    </w:p>
    <w:p w14:paraId="5FC7117E" w14:textId="5AD5EF9E"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SPI-12 based drought characteristics for the Mysuru region are illustrated in </w:t>
      </w:r>
      <w:r w:rsidRPr="0008666E">
        <w:rPr>
          <w:rStyle w:val="Strong"/>
          <w:rFonts w:ascii="Arial" w:hAnsi="Arial" w:cs="Arial"/>
          <w:sz w:val="22"/>
          <w:szCs w:val="22"/>
        </w:rPr>
        <w:t>Figure 4</w:t>
      </w:r>
      <w:r w:rsidRPr="0008666E">
        <w:rPr>
          <w:rFonts w:ascii="Arial" w:hAnsi="Arial" w:cs="Arial"/>
          <w:sz w:val="22"/>
          <w:szCs w:val="22"/>
        </w:rPr>
        <w:t>. The SPI values exhibited pronounced interannual variability, with frequent negative values indicating recurring drought conditions during the study period.</w:t>
      </w:r>
    </w:p>
    <w:p w14:paraId="72F6EFE1"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Several years recorded </w:t>
      </w:r>
      <w:r w:rsidRPr="0008666E">
        <w:rPr>
          <w:rStyle w:val="Strong"/>
          <w:rFonts w:ascii="Arial" w:hAnsi="Arial" w:cs="Arial"/>
          <w:sz w:val="22"/>
          <w:szCs w:val="22"/>
        </w:rPr>
        <w:t>SPI values below −1.0</w:t>
      </w:r>
      <w:r w:rsidRPr="0008666E">
        <w:rPr>
          <w:rFonts w:ascii="Arial" w:hAnsi="Arial" w:cs="Arial"/>
          <w:sz w:val="22"/>
          <w:szCs w:val="22"/>
        </w:rPr>
        <w:t xml:space="preserve">, representing </w:t>
      </w:r>
      <w:r w:rsidRPr="0008666E">
        <w:rPr>
          <w:rStyle w:val="Strong"/>
          <w:rFonts w:ascii="Arial" w:hAnsi="Arial" w:cs="Arial"/>
          <w:sz w:val="22"/>
          <w:szCs w:val="22"/>
        </w:rPr>
        <w:t>moderate drought conditions</w:t>
      </w:r>
      <w:r w:rsidRPr="0008666E">
        <w:rPr>
          <w:rFonts w:ascii="Arial" w:hAnsi="Arial" w:cs="Arial"/>
          <w:sz w:val="22"/>
          <w:szCs w:val="22"/>
        </w:rPr>
        <w:t xml:space="preserve">, while a few years showed </w:t>
      </w:r>
      <w:r w:rsidRPr="0008666E">
        <w:rPr>
          <w:rStyle w:val="Strong"/>
          <w:rFonts w:ascii="Arial" w:hAnsi="Arial" w:cs="Arial"/>
          <w:sz w:val="22"/>
          <w:szCs w:val="22"/>
        </w:rPr>
        <w:t>SPI values below −1.5</w:t>
      </w:r>
      <w:r w:rsidRPr="0008666E">
        <w:rPr>
          <w:rFonts w:ascii="Arial" w:hAnsi="Arial" w:cs="Arial"/>
          <w:sz w:val="22"/>
          <w:szCs w:val="22"/>
        </w:rPr>
        <w:t xml:space="preserve">, indicating </w:t>
      </w:r>
      <w:r w:rsidRPr="0008666E">
        <w:rPr>
          <w:rStyle w:val="Strong"/>
          <w:rFonts w:ascii="Arial" w:hAnsi="Arial" w:cs="Arial"/>
          <w:sz w:val="22"/>
          <w:szCs w:val="22"/>
        </w:rPr>
        <w:t>severe drought events</w:t>
      </w:r>
      <w:r w:rsidRPr="0008666E">
        <w:rPr>
          <w:rFonts w:ascii="Arial" w:hAnsi="Arial" w:cs="Arial"/>
          <w:sz w:val="22"/>
          <w:szCs w:val="22"/>
        </w:rPr>
        <w:t xml:space="preserve">. The </w:t>
      </w:r>
      <w:r w:rsidRPr="0008666E">
        <w:rPr>
          <w:rFonts w:ascii="Arial" w:hAnsi="Arial" w:cs="Arial"/>
          <w:sz w:val="22"/>
          <w:szCs w:val="22"/>
        </w:rPr>
        <w:lastRenderedPageBreak/>
        <w:t>distribution of negative SPI values throughout the study period suggests that drought occurrence in the region is not confined to a specific decade but is a persistent climatic feature.</w:t>
      </w:r>
    </w:p>
    <w:p w14:paraId="065D742B"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SPI-based analysis provides a refined assessment of drought severity and persistence compared to total annual rainfall alone. The frequent occurrence of negative SPI values highlights the </w:t>
      </w:r>
      <w:r w:rsidRPr="0008666E">
        <w:rPr>
          <w:rStyle w:val="Strong"/>
          <w:rFonts w:ascii="Arial" w:hAnsi="Arial" w:cs="Arial"/>
          <w:sz w:val="22"/>
          <w:szCs w:val="22"/>
        </w:rPr>
        <w:t>high vulnerability of the Mysuru region to meteorological droughts</w:t>
      </w:r>
      <w:r w:rsidRPr="0008666E">
        <w:rPr>
          <w:rFonts w:ascii="Arial" w:hAnsi="Arial" w:cs="Arial"/>
          <w:sz w:val="22"/>
          <w:szCs w:val="22"/>
        </w:rPr>
        <w:t>, particularly affecting rainfed agriculture.</w:t>
      </w:r>
    </w:p>
    <w:p w14:paraId="4A3E389D"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Consecutive years with negative SPI values indicate </w:t>
      </w:r>
      <w:r w:rsidRPr="0008666E">
        <w:rPr>
          <w:rStyle w:val="Strong"/>
          <w:rFonts w:ascii="Arial" w:hAnsi="Arial" w:cs="Arial"/>
          <w:sz w:val="22"/>
          <w:szCs w:val="22"/>
        </w:rPr>
        <w:t>drought persistence</w:t>
      </w:r>
      <w:r w:rsidRPr="0008666E">
        <w:rPr>
          <w:rFonts w:ascii="Arial" w:hAnsi="Arial" w:cs="Arial"/>
          <w:sz w:val="22"/>
          <w:szCs w:val="22"/>
        </w:rPr>
        <w:t>, which can severely reduce soil moisture availability, groundwater recharge, and fodder resources. Such prolonged moisture stress adversely affects crop productivity and increases the risk of crop failure.</w:t>
      </w:r>
    </w:p>
    <w:p w14:paraId="500EB234"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Similar SPI-based drought patterns have been reported in other semi-arid regions of India, emphasizing the usefulness of SPI as a robust drought monitoring tool (McKee et al., 1993; WMO, 2012; Jain et al., 2013).</w:t>
      </w:r>
    </w:p>
    <w:p w14:paraId="5ED7668E" w14:textId="77777777"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noProof/>
          <w:sz w:val="22"/>
          <w:szCs w:val="22"/>
        </w:rPr>
        <w:drawing>
          <wp:inline distT="0" distB="0" distL="0" distR="0" wp14:anchorId="36E5AF23" wp14:editId="247CA45D">
            <wp:extent cx="5402036" cy="2559132"/>
            <wp:effectExtent l="19050" t="0" r="8164" b="0"/>
            <wp:docPr id="31" name="Picture 31" descr="C:\Users\user1\Downloads\Figure_3_4_SPI_Mys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Downloads\Figure_3_4_SPI_Mysuru.png"/>
                    <pic:cNvPicPr>
                      <a:picLocks noChangeAspect="1" noChangeArrowheads="1"/>
                    </pic:cNvPicPr>
                  </pic:nvPicPr>
                  <pic:blipFill>
                    <a:blip r:embed="rId12" cstate="print"/>
                    <a:srcRect t="5275"/>
                    <a:stretch>
                      <a:fillRect/>
                    </a:stretch>
                  </pic:blipFill>
                  <pic:spPr bwMode="auto">
                    <a:xfrm>
                      <a:off x="0" y="0"/>
                      <a:ext cx="5402036" cy="2559132"/>
                    </a:xfrm>
                    <a:prstGeom prst="rect">
                      <a:avLst/>
                    </a:prstGeom>
                    <a:noFill/>
                    <a:ln w="9525">
                      <a:noFill/>
                      <a:miter lim="800000"/>
                      <a:headEnd/>
                      <a:tailEnd/>
                    </a:ln>
                  </pic:spPr>
                </pic:pic>
              </a:graphicData>
            </a:graphic>
          </wp:inline>
        </w:drawing>
      </w:r>
    </w:p>
    <w:p w14:paraId="0886447C" w14:textId="7909F9BB" w:rsidR="00141B12" w:rsidRPr="00C209B5" w:rsidRDefault="007C1713" w:rsidP="00C209B5">
      <w:pPr>
        <w:spacing w:before="240" w:after="0"/>
        <w:jc w:val="center"/>
        <w:rPr>
          <w:rFonts w:ascii="Arial" w:hAnsi="Arial" w:cs="Arial"/>
          <w:b/>
          <w:color w:val="000000" w:themeColor="text1"/>
        </w:rPr>
      </w:pPr>
      <w:r w:rsidRPr="00C209B5">
        <w:rPr>
          <w:rFonts w:ascii="Arial" w:hAnsi="Arial" w:cs="Arial"/>
          <w:b/>
          <w:color w:val="000000" w:themeColor="text1"/>
        </w:rPr>
        <w:t>Figure 4. SPI-12 based drought characteristics in the Mysuru region during 1968–2025</w:t>
      </w:r>
    </w:p>
    <w:p w14:paraId="21FDF5EE" w14:textId="77777777" w:rsidR="007C1713" w:rsidRPr="0008666E" w:rsidRDefault="007C1713" w:rsidP="006875DF">
      <w:pPr>
        <w:pStyle w:val="NormalWeb"/>
        <w:spacing w:before="240" w:beforeAutospacing="0" w:after="0" w:afterAutospacing="0"/>
        <w:jc w:val="both"/>
        <w:rPr>
          <w:rFonts w:ascii="Arial" w:hAnsi="Arial" w:cs="Arial"/>
          <w:sz w:val="22"/>
          <w:szCs w:val="22"/>
        </w:rPr>
      </w:pPr>
      <w:r w:rsidRPr="0008666E">
        <w:rPr>
          <w:rStyle w:val="Strong"/>
          <w:rFonts w:ascii="Arial" w:hAnsi="Arial" w:cs="Arial"/>
          <w:sz w:val="22"/>
          <w:szCs w:val="22"/>
        </w:rPr>
        <w:t>Figure details (self-explanatory)</w:t>
      </w:r>
    </w:p>
    <w:p w14:paraId="26D07DBC" w14:textId="77777777" w:rsidR="007C1713" w:rsidRPr="0008666E" w:rsidRDefault="007C1713" w:rsidP="006875DF">
      <w:pPr>
        <w:pStyle w:val="NormalWeb"/>
        <w:numPr>
          <w:ilvl w:val="0"/>
          <w:numId w:val="9"/>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Blue bars</w:t>
      </w:r>
      <w:r w:rsidRPr="0008666E">
        <w:rPr>
          <w:rFonts w:ascii="Arial" w:hAnsi="Arial" w:cs="Arial"/>
          <w:sz w:val="22"/>
          <w:szCs w:val="22"/>
        </w:rPr>
        <w:t xml:space="preserve"> → Wet / non-drought years (SPI ≥ 0)</w:t>
      </w:r>
    </w:p>
    <w:p w14:paraId="277459B5" w14:textId="77777777" w:rsidR="007C1713" w:rsidRPr="0008666E" w:rsidRDefault="007C1713" w:rsidP="006875DF">
      <w:pPr>
        <w:pStyle w:val="NormalWeb"/>
        <w:numPr>
          <w:ilvl w:val="0"/>
          <w:numId w:val="9"/>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Red bars</w:t>
      </w:r>
      <w:r w:rsidRPr="0008666E">
        <w:rPr>
          <w:rFonts w:ascii="Arial" w:hAnsi="Arial" w:cs="Arial"/>
          <w:sz w:val="22"/>
          <w:szCs w:val="22"/>
        </w:rPr>
        <w:t xml:space="preserve"> → Drought years (SPI &lt; 0)</w:t>
      </w:r>
    </w:p>
    <w:p w14:paraId="35A24860" w14:textId="77777777" w:rsidR="007C1713" w:rsidRPr="0008666E" w:rsidRDefault="007C1713" w:rsidP="006875DF">
      <w:pPr>
        <w:pStyle w:val="NormalWeb"/>
        <w:numPr>
          <w:ilvl w:val="0"/>
          <w:numId w:val="9"/>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Dashed lines</w:t>
      </w:r>
      <w:r w:rsidRPr="0008666E">
        <w:rPr>
          <w:rFonts w:ascii="Arial" w:hAnsi="Arial" w:cs="Arial"/>
          <w:sz w:val="22"/>
          <w:szCs w:val="22"/>
        </w:rPr>
        <w:t xml:space="preserve"> →</w:t>
      </w:r>
    </w:p>
    <w:p w14:paraId="2DBF59A0" w14:textId="77777777" w:rsidR="007C1713" w:rsidRPr="0008666E" w:rsidRDefault="007C1713" w:rsidP="006875DF">
      <w:pPr>
        <w:pStyle w:val="NormalWeb"/>
        <w:numPr>
          <w:ilvl w:val="1"/>
          <w:numId w:val="9"/>
        </w:numPr>
        <w:spacing w:before="240" w:beforeAutospacing="0" w:after="0" w:afterAutospacing="0"/>
        <w:jc w:val="both"/>
        <w:rPr>
          <w:rFonts w:ascii="Arial" w:hAnsi="Arial" w:cs="Arial"/>
          <w:sz w:val="22"/>
          <w:szCs w:val="22"/>
        </w:rPr>
      </w:pPr>
      <w:r w:rsidRPr="0008666E">
        <w:rPr>
          <w:rFonts w:ascii="Arial" w:hAnsi="Arial" w:cs="Arial"/>
          <w:sz w:val="22"/>
          <w:szCs w:val="22"/>
        </w:rPr>
        <w:t>SPI = −1.0 → Moderate drought threshold</w:t>
      </w:r>
    </w:p>
    <w:p w14:paraId="20DE254B" w14:textId="77777777" w:rsidR="007C1713" w:rsidRPr="0008666E" w:rsidRDefault="007C1713" w:rsidP="006875DF">
      <w:pPr>
        <w:pStyle w:val="NormalWeb"/>
        <w:numPr>
          <w:ilvl w:val="1"/>
          <w:numId w:val="9"/>
        </w:numPr>
        <w:spacing w:before="240" w:beforeAutospacing="0" w:after="0" w:afterAutospacing="0"/>
        <w:jc w:val="both"/>
        <w:rPr>
          <w:rFonts w:ascii="Arial" w:hAnsi="Arial" w:cs="Arial"/>
          <w:sz w:val="22"/>
          <w:szCs w:val="22"/>
        </w:rPr>
      </w:pPr>
      <w:r w:rsidRPr="0008666E">
        <w:rPr>
          <w:rFonts w:ascii="Arial" w:hAnsi="Arial" w:cs="Arial"/>
          <w:sz w:val="22"/>
          <w:szCs w:val="22"/>
        </w:rPr>
        <w:t>SPI = −1.5 → Severe drought threshold</w:t>
      </w:r>
    </w:p>
    <w:p w14:paraId="054983BE" w14:textId="77777777" w:rsidR="007C1713" w:rsidRPr="0008666E" w:rsidRDefault="00D56996" w:rsidP="006875DF">
      <w:pPr>
        <w:spacing w:before="240" w:after="0"/>
        <w:jc w:val="both"/>
        <w:rPr>
          <w:rFonts w:ascii="Arial" w:hAnsi="Arial" w:cs="Arial"/>
          <w:b/>
        </w:rPr>
      </w:pPr>
      <w:r w:rsidRPr="0008666E">
        <w:rPr>
          <w:rFonts w:ascii="Arial" w:hAnsi="Arial" w:cs="Arial"/>
          <w:b/>
        </w:rPr>
        <w:t>3.4 Rainfall Trend Analysis</w:t>
      </w:r>
    </w:p>
    <w:p w14:paraId="704FCD2A" w14:textId="3E21CD0B"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long-term trend in annual rainfall for the Mysuru region during </w:t>
      </w:r>
      <w:r w:rsidRPr="0008666E">
        <w:rPr>
          <w:rStyle w:val="Strong"/>
          <w:rFonts w:ascii="Arial" w:hAnsi="Arial" w:cs="Arial"/>
          <w:sz w:val="22"/>
          <w:szCs w:val="22"/>
        </w:rPr>
        <w:t>1968–2025</w:t>
      </w:r>
      <w:r w:rsidRPr="0008666E">
        <w:rPr>
          <w:rFonts w:ascii="Arial" w:hAnsi="Arial" w:cs="Arial"/>
          <w:sz w:val="22"/>
          <w:szCs w:val="22"/>
        </w:rPr>
        <w:t xml:space="preserve"> is presented in </w:t>
      </w:r>
      <w:r w:rsidRPr="0008666E">
        <w:rPr>
          <w:rStyle w:val="Strong"/>
          <w:rFonts w:ascii="Arial" w:hAnsi="Arial" w:cs="Arial"/>
          <w:sz w:val="22"/>
          <w:szCs w:val="22"/>
        </w:rPr>
        <w:t>Figure 5</w:t>
      </w:r>
      <w:r w:rsidRPr="0008666E">
        <w:rPr>
          <w:rFonts w:ascii="Arial" w:hAnsi="Arial" w:cs="Arial"/>
          <w:sz w:val="22"/>
          <w:szCs w:val="22"/>
        </w:rPr>
        <w:t xml:space="preserve">. The rainfall series exhibits substantial interannual variability with pronounced </w:t>
      </w:r>
      <w:r w:rsidRPr="0008666E">
        <w:rPr>
          <w:rFonts w:ascii="Arial" w:hAnsi="Arial" w:cs="Arial"/>
          <w:sz w:val="22"/>
          <w:szCs w:val="22"/>
        </w:rPr>
        <w:lastRenderedPageBreak/>
        <w:t xml:space="preserve">fluctuations throughout the study period. The fitted trend line indicates a </w:t>
      </w:r>
      <w:r w:rsidRPr="0008666E">
        <w:rPr>
          <w:rStyle w:val="Strong"/>
          <w:rFonts w:ascii="Arial" w:hAnsi="Arial" w:cs="Arial"/>
          <w:sz w:val="22"/>
          <w:szCs w:val="22"/>
        </w:rPr>
        <w:t>very weak trend</w:t>
      </w:r>
      <w:r w:rsidRPr="0008666E">
        <w:rPr>
          <w:rFonts w:ascii="Arial" w:hAnsi="Arial" w:cs="Arial"/>
          <w:sz w:val="22"/>
          <w:szCs w:val="22"/>
        </w:rPr>
        <w:t xml:space="preserve"> in annual rainfall over time.</w:t>
      </w:r>
    </w:p>
    <w:p w14:paraId="407EA67D"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Mann–Kendall test results revealed that the observed trend was </w:t>
      </w:r>
      <w:r w:rsidRPr="0008666E">
        <w:rPr>
          <w:rStyle w:val="Strong"/>
          <w:rFonts w:ascii="Arial" w:hAnsi="Arial" w:cs="Arial"/>
          <w:sz w:val="22"/>
          <w:szCs w:val="22"/>
        </w:rPr>
        <w:t>statistically non-significant</w:t>
      </w:r>
      <w:r w:rsidRPr="0008666E">
        <w:rPr>
          <w:rFonts w:ascii="Arial" w:hAnsi="Arial" w:cs="Arial"/>
          <w:sz w:val="22"/>
          <w:szCs w:val="22"/>
        </w:rPr>
        <w:t>, indicating the absence of a consistent monotonic increase or decrease in annual rainfall during the study period. The Sen’s slope estimator further confirmed the weak magnitude of the trend.</w:t>
      </w:r>
    </w:p>
    <w:p w14:paraId="55C5E858"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absence of a statistically significant long-term trend suggests that changes in rainfall </w:t>
      </w:r>
      <w:proofErr w:type="spellStart"/>
      <w:r w:rsidRPr="0008666E">
        <w:rPr>
          <w:rFonts w:ascii="Arial" w:hAnsi="Arial" w:cs="Arial"/>
          <w:sz w:val="22"/>
          <w:szCs w:val="22"/>
        </w:rPr>
        <w:t>behaviour</w:t>
      </w:r>
      <w:proofErr w:type="spellEnd"/>
      <w:r w:rsidRPr="0008666E">
        <w:rPr>
          <w:rFonts w:ascii="Arial" w:hAnsi="Arial" w:cs="Arial"/>
          <w:sz w:val="22"/>
          <w:szCs w:val="22"/>
        </w:rPr>
        <w:t xml:space="preserve"> in the Mysuru region are not reflected through changes in total annual rainfall amounts. Instead, climatic variability is primarily manifested through </w:t>
      </w:r>
      <w:r w:rsidRPr="0008666E">
        <w:rPr>
          <w:rStyle w:val="Strong"/>
          <w:rFonts w:ascii="Arial" w:hAnsi="Arial" w:cs="Arial"/>
          <w:sz w:val="22"/>
          <w:szCs w:val="22"/>
        </w:rPr>
        <w:t>frequent droughts and extreme rainfall events</w:t>
      </w:r>
      <w:r w:rsidRPr="0008666E">
        <w:rPr>
          <w:rFonts w:ascii="Arial" w:hAnsi="Arial" w:cs="Arial"/>
          <w:sz w:val="22"/>
          <w:szCs w:val="22"/>
        </w:rPr>
        <w:t>, as observed in the earlier analyses.</w:t>
      </w:r>
    </w:p>
    <w:p w14:paraId="246F5721"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This finding has important implications for agricultural planning, as it indicates that farmers cannot depend on increasing rainfall to offset drought risk. Instead, agricultural systems must adapt to </w:t>
      </w:r>
      <w:r w:rsidRPr="0008666E">
        <w:rPr>
          <w:rStyle w:val="Strong"/>
          <w:rFonts w:ascii="Arial" w:hAnsi="Arial" w:cs="Arial"/>
          <w:sz w:val="22"/>
          <w:szCs w:val="22"/>
        </w:rPr>
        <w:t>continued rainfall uncertainty and variability</w:t>
      </w:r>
      <w:r w:rsidRPr="0008666E">
        <w:rPr>
          <w:rFonts w:ascii="Arial" w:hAnsi="Arial" w:cs="Arial"/>
          <w:sz w:val="22"/>
          <w:szCs w:val="22"/>
        </w:rPr>
        <w:t>. Similar results have been reported for several regions of India, where rainfall variability and extremes dominate over long-term trends (</w:t>
      </w:r>
      <w:proofErr w:type="spellStart"/>
      <w:r w:rsidRPr="0008666E">
        <w:rPr>
          <w:rFonts w:ascii="Arial" w:hAnsi="Arial" w:cs="Arial"/>
          <w:sz w:val="22"/>
          <w:szCs w:val="22"/>
        </w:rPr>
        <w:t>Guhathakurta</w:t>
      </w:r>
      <w:proofErr w:type="spellEnd"/>
      <w:r w:rsidRPr="0008666E">
        <w:rPr>
          <w:rFonts w:ascii="Arial" w:hAnsi="Arial" w:cs="Arial"/>
          <w:sz w:val="22"/>
          <w:szCs w:val="22"/>
        </w:rPr>
        <w:t xml:space="preserve"> and </w:t>
      </w:r>
      <w:proofErr w:type="spellStart"/>
      <w:r w:rsidRPr="0008666E">
        <w:rPr>
          <w:rFonts w:ascii="Arial" w:hAnsi="Arial" w:cs="Arial"/>
          <w:sz w:val="22"/>
          <w:szCs w:val="22"/>
        </w:rPr>
        <w:t>Rajeevan</w:t>
      </w:r>
      <w:proofErr w:type="spellEnd"/>
      <w:r w:rsidRPr="0008666E">
        <w:rPr>
          <w:rFonts w:ascii="Arial" w:hAnsi="Arial" w:cs="Arial"/>
          <w:sz w:val="22"/>
          <w:szCs w:val="22"/>
        </w:rPr>
        <w:t xml:space="preserve">, 2008; </w:t>
      </w:r>
      <w:proofErr w:type="spellStart"/>
      <w:r w:rsidRPr="0008666E">
        <w:rPr>
          <w:rFonts w:ascii="Arial" w:hAnsi="Arial" w:cs="Arial"/>
          <w:sz w:val="22"/>
          <w:szCs w:val="22"/>
        </w:rPr>
        <w:t>Kothawale</w:t>
      </w:r>
      <w:proofErr w:type="spellEnd"/>
      <w:r w:rsidRPr="0008666E">
        <w:rPr>
          <w:rFonts w:ascii="Arial" w:hAnsi="Arial" w:cs="Arial"/>
          <w:sz w:val="22"/>
          <w:szCs w:val="22"/>
        </w:rPr>
        <w:t xml:space="preserve"> and </w:t>
      </w:r>
      <w:proofErr w:type="spellStart"/>
      <w:r w:rsidRPr="0008666E">
        <w:rPr>
          <w:rFonts w:ascii="Arial" w:hAnsi="Arial" w:cs="Arial"/>
          <w:sz w:val="22"/>
          <w:szCs w:val="22"/>
        </w:rPr>
        <w:t>Rajeevan</w:t>
      </w:r>
      <w:proofErr w:type="spellEnd"/>
      <w:r w:rsidRPr="0008666E">
        <w:rPr>
          <w:rFonts w:ascii="Arial" w:hAnsi="Arial" w:cs="Arial"/>
          <w:sz w:val="22"/>
          <w:szCs w:val="22"/>
        </w:rPr>
        <w:t>, 2017).</w:t>
      </w:r>
    </w:p>
    <w:p w14:paraId="5E6E5AB0" w14:textId="461F9C10" w:rsidR="00D56996" w:rsidRPr="00C209B5" w:rsidRDefault="00D56996" w:rsidP="00C209B5">
      <w:pPr>
        <w:pStyle w:val="NormalWeb"/>
        <w:spacing w:before="240" w:beforeAutospacing="0" w:after="0" w:afterAutospacing="0"/>
        <w:jc w:val="center"/>
        <w:rPr>
          <w:rFonts w:ascii="Arial" w:hAnsi="Arial" w:cs="Arial"/>
          <w:b/>
          <w:sz w:val="22"/>
          <w:szCs w:val="22"/>
        </w:rPr>
      </w:pPr>
      <w:r w:rsidRPr="00C209B5">
        <w:rPr>
          <w:rFonts w:ascii="Arial" w:hAnsi="Arial" w:cs="Arial"/>
          <w:b/>
          <w:noProof/>
          <w:sz w:val="22"/>
          <w:szCs w:val="22"/>
        </w:rPr>
        <w:drawing>
          <wp:anchor distT="0" distB="0" distL="114300" distR="114300" simplePos="0" relativeHeight="251661312" behindDoc="0" locked="0" layoutInCell="1" allowOverlap="1" wp14:anchorId="5CBA44AC" wp14:editId="70E95FDC">
            <wp:simplePos x="0" y="0"/>
            <wp:positionH relativeFrom="column">
              <wp:posOffset>19050</wp:posOffset>
            </wp:positionH>
            <wp:positionV relativeFrom="paragraph">
              <wp:posOffset>2738</wp:posOffset>
            </wp:positionV>
            <wp:extent cx="5400353" cy="2553195"/>
            <wp:effectExtent l="19050" t="0" r="0" b="0"/>
            <wp:wrapTopAndBottom/>
            <wp:docPr id="37" name="Picture 37" descr="C:\Users\user1\Downloads\Figure_3_5_Rainfall_Trend_Mys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Downloads\Figure_3_5_Rainfall_Trend_Mysuru.png"/>
                    <pic:cNvPicPr>
                      <a:picLocks noChangeAspect="1" noChangeArrowheads="1"/>
                    </pic:cNvPicPr>
                  </pic:nvPicPr>
                  <pic:blipFill>
                    <a:blip r:embed="rId13" cstate="print"/>
                    <a:srcRect t="5494"/>
                    <a:stretch>
                      <a:fillRect/>
                    </a:stretch>
                  </pic:blipFill>
                  <pic:spPr bwMode="auto">
                    <a:xfrm>
                      <a:off x="0" y="0"/>
                      <a:ext cx="5400353" cy="2553195"/>
                    </a:xfrm>
                    <a:prstGeom prst="rect">
                      <a:avLst/>
                    </a:prstGeom>
                    <a:noFill/>
                    <a:ln w="9525">
                      <a:noFill/>
                      <a:miter lim="800000"/>
                      <a:headEnd/>
                      <a:tailEnd/>
                    </a:ln>
                  </pic:spPr>
                </pic:pic>
              </a:graphicData>
            </a:graphic>
          </wp:anchor>
        </w:drawing>
      </w:r>
      <w:r w:rsidRPr="00C209B5">
        <w:rPr>
          <w:rFonts w:ascii="Arial" w:hAnsi="Arial" w:cs="Arial"/>
          <w:b/>
          <w:sz w:val="22"/>
          <w:szCs w:val="22"/>
        </w:rPr>
        <w:t>Figure 5. Long-term trend in annual rainfall in the Mysuru region during 1968–2025</w:t>
      </w:r>
    </w:p>
    <w:p w14:paraId="4A99F9A3"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Style w:val="Strong"/>
          <w:rFonts w:ascii="Arial" w:hAnsi="Arial" w:cs="Arial"/>
          <w:sz w:val="22"/>
          <w:szCs w:val="22"/>
        </w:rPr>
        <w:t>Figure details</w:t>
      </w:r>
    </w:p>
    <w:p w14:paraId="100ACB0B" w14:textId="77777777" w:rsidR="00D56996" w:rsidRPr="0008666E" w:rsidRDefault="00D56996" w:rsidP="006875DF">
      <w:pPr>
        <w:pStyle w:val="NormalWeb"/>
        <w:numPr>
          <w:ilvl w:val="0"/>
          <w:numId w:val="10"/>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Blue line</w:t>
      </w:r>
      <w:r w:rsidRPr="0008666E">
        <w:rPr>
          <w:rFonts w:ascii="Arial" w:hAnsi="Arial" w:cs="Arial"/>
          <w:sz w:val="22"/>
          <w:szCs w:val="22"/>
        </w:rPr>
        <w:t xml:space="preserve"> → Observed annual rainfall</w:t>
      </w:r>
    </w:p>
    <w:p w14:paraId="091C1CE5" w14:textId="77777777" w:rsidR="00D56996" w:rsidRPr="0008666E" w:rsidRDefault="00D56996" w:rsidP="006875DF">
      <w:pPr>
        <w:pStyle w:val="NormalWeb"/>
        <w:numPr>
          <w:ilvl w:val="0"/>
          <w:numId w:val="10"/>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Red dashed line</w:t>
      </w:r>
      <w:r w:rsidRPr="0008666E">
        <w:rPr>
          <w:rFonts w:ascii="Arial" w:hAnsi="Arial" w:cs="Arial"/>
          <w:sz w:val="22"/>
          <w:szCs w:val="22"/>
        </w:rPr>
        <w:t xml:space="preserve"> → Long-term trend line (visual representation of Sen’s slope)</w:t>
      </w:r>
    </w:p>
    <w:p w14:paraId="168D4400" w14:textId="77777777" w:rsidR="00D56996" w:rsidRPr="0008666E" w:rsidRDefault="00D56996"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3.5 Agricultural Implications of Rainfall Variability and Drought</w:t>
      </w:r>
    </w:p>
    <w:p w14:paraId="4476806D"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results obtained from rainfall variability analysis, rainfall anomaly assessment, SPI-based drought analysis, and trend detection collectively indicate that agriculture in the Mysuru region is exposed to </w:t>
      </w:r>
      <w:r w:rsidRPr="0008666E">
        <w:rPr>
          <w:rStyle w:val="Strong"/>
          <w:rFonts w:ascii="Arial" w:hAnsi="Arial" w:cs="Arial"/>
          <w:sz w:val="22"/>
          <w:szCs w:val="22"/>
        </w:rPr>
        <w:t>high climatic risk</w:t>
      </w:r>
      <w:r w:rsidRPr="0008666E">
        <w:rPr>
          <w:rFonts w:ascii="Arial" w:hAnsi="Arial" w:cs="Arial"/>
          <w:sz w:val="22"/>
          <w:szCs w:val="22"/>
        </w:rPr>
        <w:t>. The pronounced interannual variability in rainfall, frequent deficit years, and recurring droughts identified through SPI and RAI analyses directly influence agricultural operations and productivity.</w:t>
      </w:r>
    </w:p>
    <w:p w14:paraId="1129B9EE"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Years characterized by </w:t>
      </w:r>
      <w:r w:rsidRPr="0008666E">
        <w:rPr>
          <w:rStyle w:val="Strong"/>
          <w:rFonts w:ascii="Arial" w:hAnsi="Arial" w:cs="Arial"/>
          <w:sz w:val="22"/>
          <w:szCs w:val="22"/>
        </w:rPr>
        <w:t>below-normal rainfall and negative SPI values</w:t>
      </w:r>
      <w:r w:rsidRPr="0008666E">
        <w:rPr>
          <w:rFonts w:ascii="Arial" w:hAnsi="Arial" w:cs="Arial"/>
          <w:sz w:val="22"/>
          <w:szCs w:val="22"/>
        </w:rPr>
        <w:t xml:space="preserve"> are likely to experience delayed sowing, poor crop establishment, and moisture stress during critical crop growth stages such as </w:t>
      </w:r>
      <w:proofErr w:type="spellStart"/>
      <w:r w:rsidRPr="0008666E">
        <w:rPr>
          <w:rFonts w:ascii="Arial" w:hAnsi="Arial" w:cs="Arial"/>
          <w:sz w:val="22"/>
          <w:szCs w:val="22"/>
        </w:rPr>
        <w:t>tillering</w:t>
      </w:r>
      <w:proofErr w:type="spellEnd"/>
      <w:r w:rsidRPr="0008666E">
        <w:rPr>
          <w:rFonts w:ascii="Arial" w:hAnsi="Arial" w:cs="Arial"/>
          <w:sz w:val="22"/>
          <w:szCs w:val="22"/>
        </w:rPr>
        <w:t>, flowering, and grain filling. Rainfed crops such as finger millet, maize, and pulses are particularly vulnerable under such conditions. Recurrent droughts and drought persistence reduce soil moisture availability, limit groundwater recharge, and adversely affect fodder availability for livestock.</w:t>
      </w:r>
    </w:p>
    <w:p w14:paraId="08CE9B42"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Conversely, </w:t>
      </w:r>
      <w:r w:rsidRPr="0008666E">
        <w:rPr>
          <w:rStyle w:val="Strong"/>
          <w:rFonts w:ascii="Arial" w:hAnsi="Arial" w:cs="Arial"/>
          <w:sz w:val="22"/>
          <w:szCs w:val="22"/>
        </w:rPr>
        <w:t>excess rainfall years</w:t>
      </w:r>
      <w:r w:rsidRPr="0008666E">
        <w:rPr>
          <w:rFonts w:ascii="Arial" w:hAnsi="Arial" w:cs="Arial"/>
          <w:sz w:val="22"/>
          <w:szCs w:val="22"/>
        </w:rPr>
        <w:t>, although fewer in number, pose a different set of challenges. Intense rainfall events during these years can result in surface runoff, soil erosion, nutrient leaching, and crop lodging. In low-lying areas, excess rainfall may also cause waterlogging, leading to root damage and increased susceptibility to pests and diseases. Such impacts are especially critical for transplanted crops like paddy and for horticultural crops.</w:t>
      </w:r>
    </w:p>
    <w:p w14:paraId="7926E480"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absence of a significant long-term trend in annual rainfall further suggests that </w:t>
      </w:r>
      <w:r w:rsidRPr="0008666E">
        <w:rPr>
          <w:rStyle w:val="Strong"/>
          <w:rFonts w:ascii="Arial" w:hAnsi="Arial" w:cs="Arial"/>
          <w:sz w:val="22"/>
          <w:szCs w:val="22"/>
        </w:rPr>
        <w:t>rainfall uncertainty is likely to persist in the future</w:t>
      </w:r>
      <w:r w:rsidRPr="0008666E">
        <w:rPr>
          <w:rFonts w:ascii="Arial" w:hAnsi="Arial" w:cs="Arial"/>
          <w:sz w:val="22"/>
          <w:szCs w:val="22"/>
        </w:rPr>
        <w:t xml:space="preserve">, emphasizing the need for agricultural systems that are resilient to both drought and excess rainfall. The findings underscore the importance of adopting </w:t>
      </w:r>
      <w:r w:rsidRPr="0008666E">
        <w:rPr>
          <w:rStyle w:val="Strong"/>
          <w:rFonts w:ascii="Arial" w:hAnsi="Arial" w:cs="Arial"/>
          <w:sz w:val="22"/>
          <w:szCs w:val="22"/>
        </w:rPr>
        <w:t>climate-resilient agricultural practices</w:t>
      </w:r>
      <w:r w:rsidRPr="0008666E">
        <w:rPr>
          <w:rFonts w:ascii="Arial" w:hAnsi="Arial" w:cs="Arial"/>
          <w:sz w:val="22"/>
          <w:szCs w:val="22"/>
        </w:rPr>
        <w:t>, including flexible sowing windows, drought-tolerant crop varieties, improved soil and water conservation measures, rainwater harvesting, and efficient drainage management.</w:t>
      </w:r>
    </w:p>
    <w:p w14:paraId="6419052C"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Overall, the agricultural implications derived from the rainfall analysis highlight the necessity of integrating climate information into farm-level decision-making and strengthening weather-based </w:t>
      </w:r>
      <w:proofErr w:type="spellStart"/>
      <w:r w:rsidRPr="0008666E">
        <w:rPr>
          <w:rFonts w:ascii="Arial" w:hAnsi="Arial" w:cs="Arial"/>
          <w:sz w:val="22"/>
          <w:szCs w:val="22"/>
        </w:rPr>
        <w:t>agro</w:t>
      </w:r>
      <w:proofErr w:type="spellEnd"/>
      <w:r w:rsidRPr="0008666E">
        <w:rPr>
          <w:rFonts w:ascii="Arial" w:hAnsi="Arial" w:cs="Arial"/>
          <w:sz w:val="22"/>
          <w:szCs w:val="22"/>
        </w:rPr>
        <w:t>-advisory services to enhance agricultural sustainability in the Mysuru region.</w:t>
      </w:r>
    </w:p>
    <w:p w14:paraId="2EE860CC" w14:textId="77777777" w:rsidR="00D56996" w:rsidRPr="0008666E" w:rsidRDefault="00D56996"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4. Conclusions</w:t>
      </w:r>
      <w:r w:rsidRPr="0008666E">
        <w:rPr>
          <w:rFonts w:ascii="Arial" w:hAnsi="Arial" w:cs="Arial"/>
          <w:sz w:val="22"/>
          <w:szCs w:val="22"/>
        </w:rPr>
        <w:t xml:space="preserve"> </w:t>
      </w:r>
    </w:p>
    <w:p w14:paraId="23D63699"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present study analyzed </w:t>
      </w:r>
      <w:r w:rsidRPr="0008666E">
        <w:rPr>
          <w:rStyle w:val="Strong"/>
          <w:rFonts w:ascii="Arial" w:hAnsi="Arial" w:cs="Arial"/>
          <w:sz w:val="22"/>
          <w:szCs w:val="22"/>
        </w:rPr>
        <w:t>58 years (1968–2025) of observed rainfall data</w:t>
      </w:r>
      <w:r w:rsidRPr="0008666E">
        <w:rPr>
          <w:rFonts w:ascii="Arial" w:hAnsi="Arial" w:cs="Arial"/>
          <w:sz w:val="22"/>
          <w:szCs w:val="22"/>
        </w:rPr>
        <w:t xml:space="preserve"> from the Weather Observatory of the </w:t>
      </w:r>
      <w:r w:rsidRPr="0008666E">
        <w:rPr>
          <w:rStyle w:val="Strong"/>
          <w:rFonts w:ascii="Arial" w:hAnsi="Arial" w:cs="Arial"/>
          <w:sz w:val="22"/>
          <w:szCs w:val="22"/>
        </w:rPr>
        <w:t xml:space="preserve">Agrometeorological Field Unit (AMFU), Organic Farming Research Station (OFRS), </w:t>
      </w:r>
      <w:proofErr w:type="spellStart"/>
      <w:r w:rsidRPr="0008666E">
        <w:rPr>
          <w:rStyle w:val="Strong"/>
          <w:rFonts w:ascii="Arial" w:hAnsi="Arial" w:cs="Arial"/>
          <w:sz w:val="22"/>
          <w:szCs w:val="22"/>
        </w:rPr>
        <w:t>Naganahalli</w:t>
      </w:r>
      <w:proofErr w:type="spellEnd"/>
      <w:r w:rsidRPr="0008666E">
        <w:rPr>
          <w:rStyle w:val="Strong"/>
          <w:rFonts w:ascii="Arial" w:hAnsi="Arial" w:cs="Arial"/>
          <w:sz w:val="22"/>
          <w:szCs w:val="22"/>
        </w:rPr>
        <w:t>, Mysuru</w:t>
      </w:r>
      <w:r w:rsidRPr="0008666E">
        <w:rPr>
          <w:rFonts w:ascii="Arial" w:hAnsi="Arial" w:cs="Arial"/>
          <w:sz w:val="22"/>
          <w:szCs w:val="22"/>
        </w:rPr>
        <w:t>, to assess rainfall variability, drought characteristics, and long-term rainfall trends and their implications for agriculture.</w:t>
      </w:r>
    </w:p>
    <w:p w14:paraId="6BF93FCE"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analysis showed that rainfall in the Mysuru region is </w:t>
      </w:r>
      <w:r w:rsidRPr="0008666E">
        <w:rPr>
          <w:rStyle w:val="Strong"/>
          <w:rFonts w:ascii="Arial" w:hAnsi="Arial" w:cs="Arial"/>
          <w:sz w:val="22"/>
          <w:szCs w:val="22"/>
        </w:rPr>
        <w:t>highly variable</w:t>
      </w:r>
      <w:r w:rsidRPr="0008666E">
        <w:rPr>
          <w:rFonts w:ascii="Arial" w:hAnsi="Arial" w:cs="Arial"/>
          <w:sz w:val="22"/>
          <w:szCs w:val="22"/>
        </w:rPr>
        <w:t xml:space="preserve">, with frequent deviations from the long-term mean annual rainfall. Rainfall anomaly analysis using the </w:t>
      </w:r>
      <w:r w:rsidRPr="0008666E">
        <w:rPr>
          <w:rStyle w:val="Strong"/>
          <w:rFonts w:ascii="Arial" w:hAnsi="Arial" w:cs="Arial"/>
          <w:sz w:val="22"/>
          <w:szCs w:val="22"/>
        </w:rPr>
        <w:t>Rainfall Anomaly Index (RAI)</w:t>
      </w:r>
      <w:r w:rsidRPr="0008666E">
        <w:rPr>
          <w:rFonts w:ascii="Arial" w:hAnsi="Arial" w:cs="Arial"/>
          <w:sz w:val="22"/>
          <w:szCs w:val="22"/>
        </w:rPr>
        <w:t xml:space="preserve"> confirmed the recurrent occurrence of dry and wet anomalies, indicating unstable rainfall conditions. Classification of rainfall years revealed a high frequency of </w:t>
      </w:r>
      <w:r w:rsidRPr="0008666E">
        <w:rPr>
          <w:rStyle w:val="Strong"/>
          <w:rFonts w:ascii="Arial" w:hAnsi="Arial" w:cs="Arial"/>
          <w:sz w:val="22"/>
          <w:szCs w:val="22"/>
        </w:rPr>
        <w:t>deficit rainfall years</w:t>
      </w:r>
      <w:r w:rsidRPr="0008666E">
        <w:rPr>
          <w:rFonts w:ascii="Arial" w:hAnsi="Arial" w:cs="Arial"/>
          <w:sz w:val="22"/>
          <w:szCs w:val="22"/>
        </w:rPr>
        <w:t>, establishing the drought-prone nature of the region.</w:t>
      </w:r>
    </w:p>
    <w:p w14:paraId="5411B2D4"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w:t>
      </w:r>
      <w:r w:rsidRPr="0008666E">
        <w:rPr>
          <w:rStyle w:val="Strong"/>
          <w:rFonts w:ascii="Arial" w:hAnsi="Arial" w:cs="Arial"/>
          <w:sz w:val="22"/>
          <w:szCs w:val="22"/>
        </w:rPr>
        <w:t>SPI-12 based drought assessment</w:t>
      </w:r>
      <w:r w:rsidRPr="0008666E">
        <w:rPr>
          <w:rFonts w:ascii="Arial" w:hAnsi="Arial" w:cs="Arial"/>
          <w:sz w:val="22"/>
          <w:szCs w:val="22"/>
        </w:rPr>
        <w:t xml:space="preserve"> indicated frequent </w:t>
      </w:r>
      <w:r w:rsidRPr="0008666E">
        <w:rPr>
          <w:rStyle w:val="Strong"/>
          <w:rFonts w:ascii="Arial" w:hAnsi="Arial" w:cs="Arial"/>
          <w:sz w:val="22"/>
          <w:szCs w:val="22"/>
        </w:rPr>
        <w:t>moderate to severe drought events</w:t>
      </w:r>
      <w:r w:rsidRPr="0008666E">
        <w:rPr>
          <w:rFonts w:ascii="Arial" w:hAnsi="Arial" w:cs="Arial"/>
          <w:sz w:val="22"/>
          <w:szCs w:val="22"/>
        </w:rPr>
        <w:t xml:space="preserve">, including instances of drought persistence, which adversely affect soil moisture availability, groundwater recharge, and fodder resources. Trend analysis using the </w:t>
      </w:r>
      <w:r w:rsidRPr="0008666E">
        <w:rPr>
          <w:rStyle w:val="Strong"/>
          <w:rFonts w:ascii="Arial" w:hAnsi="Arial" w:cs="Arial"/>
          <w:sz w:val="22"/>
          <w:szCs w:val="22"/>
        </w:rPr>
        <w:t>Mann–Kendall test and Sen’s slope estimator</w:t>
      </w:r>
      <w:r w:rsidRPr="0008666E">
        <w:rPr>
          <w:rFonts w:ascii="Arial" w:hAnsi="Arial" w:cs="Arial"/>
          <w:sz w:val="22"/>
          <w:szCs w:val="22"/>
        </w:rPr>
        <w:t xml:space="preserve"> showed </w:t>
      </w:r>
      <w:r w:rsidRPr="0008666E">
        <w:rPr>
          <w:rStyle w:val="Strong"/>
          <w:rFonts w:ascii="Arial" w:hAnsi="Arial" w:cs="Arial"/>
          <w:sz w:val="22"/>
          <w:szCs w:val="22"/>
        </w:rPr>
        <w:t>no statistically significant long-term trend in annual rainfall</w:t>
      </w:r>
      <w:r w:rsidRPr="0008666E">
        <w:rPr>
          <w:rFonts w:ascii="Arial" w:hAnsi="Arial" w:cs="Arial"/>
          <w:sz w:val="22"/>
          <w:szCs w:val="22"/>
        </w:rPr>
        <w:t>, suggesting that climatic risk in the region is driven mainly by rainfall variability and extremes rather than changes in mean rainfall.</w:t>
      </w:r>
    </w:p>
    <w:p w14:paraId="4606458F"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Overall, the findings highlight the need for </w:t>
      </w:r>
      <w:r w:rsidRPr="0008666E">
        <w:rPr>
          <w:rStyle w:val="Strong"/>
          <w:rFonts w:ascii="Arial" w:hAnsi="Arial" w:cs="Arial"/>
          <w:sz w:val="22"/>
          <w:szCs w:val="22"/>
        </w:rPr>
        <w:t>climate-resilient and risk-based agricultural planning</w:t>
      </w:r>
      <w:r w:rsidRPr="0008666E">
        <w:rPr>
          <w:rFonts w:ascii="Arial" w:hAnsi="Arial" w:cs="Arial"/>
          <w:sz w:val="22"/>
          <w:szCs w:val="22"/>
        </w:rPr>
        <w:t xml:space="preserve">, including adoption of drought-tolerant crops, improved soil and water conservation practices, rainwater harvesting, and strengthened weather-based </w:t>
      </w:r>
      <w:proofErr w:type="spellStart"/>
      <w:r w:rsidRPr="0008666E">
        <w:rPr>
          <w:rFonts w:ascii="Arial" w:hAnsi="Arial" w:cs="Arial"/>
          <w:sz w:val="22"/>
          <w:szCs w:val="22"/>
        </w:rPr>
        <w:t>agro</w:t>
      </w:r>
      <w:proofErr w:type="spellEnd"/>
      <w:r w:rsidRPr="0008666E">
        <w:rPr>
          <w:rFonts w:ascii="Arial" w:hAnsi="Arial" w:cs="Arial"/>
          <w:sz w:val="22"/>
          <w:szCs w:val="22"/>
        </w:rPr>
        <w:t>-advisory services to enhance agricultural sustainability in the Mysuru region.</w:t>
      </w:r>
    </w:p>
    <w:p w14:paraId="79A750EB" w14:textId="77777777" w:rsidR="00D56996" w:rsidRPr="0008666E" w:rsidRDefault="00D56996"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5. Policy Implications and Recommendations</w:t>
      </w:r>
      <w:r w:rsidRPr="0008666E">
        <w:rPr>
          <w:rFonts w:ascii="Arial" w:hAnsi="Arial" w:cs="Arial"/>
          <w:sz w:val="22"/>
          <w:szCs w:val="22"/>
        </w:rPr>
        <w:t xml:space="preserve"> </w:t>
      </w:r>
    </w:p>
    <w:p w14:paraId="22D83CA3"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The findings of the present study have important implications for </w:t>
      </w:r>
      <w:r w:rsidRPr="0008666E">
        <w:rPr>
          <w:rStyle w:val="Strong"/>
          <w:rFonts w:ascii="Arial" w:hAnsi="Arial" w:cs="Arial"/>
          <w:sz w:val="22"/>
          <w:szCs w:val="22"/>
        </w:rPr>
        <w:t>agricultural policy, water resource management, and climate adaptation planning</w:t>
      </w:r>
      <w:r w:rsidRPr="0008666E">
        <w:rPr>
          <w:rFonts w:ascii="Arial" w:hAnsi="Arial" w:cs="Arial"/>
          <w:sz w:val="22"/>
          <w:szCs w:val="22"/>
        </w:rPr>
        <w:t xml:space="preserve"> in the Mysuru region. The dominance of rainfall variability, frequent drought occurrence, and occasional extreme rainfall events indicates that agricultural planning based solely on average rainfall conditions is inadequate.</w:t>
      </w:r>
    </w:p>
    <w:p w14:paraId="5C9AF707"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Given the recurrent </w:t>
      </w:r>
      <w:r w:rsidRPr="0008666E">
        <w:rPr>
          <w:rStyle w:val="Strong"/>
          <w:rFonts w:ascii="Arial" w:hAnsi="Arial" w:cs="Arial"/>
          <w:sz w:val="22"/>
          <w:szCs w:val="22"/>
        </w:rPr>
        <w:t>deficit rainfall years and moderate to severe droughts</w:t>
      </w:r>
      <w:r w:rsidRPr="0008666E">
        <w:rPr>
          <w:rFonts w:ascii="Arial" w:hAnsi="Arial" w:cs="Arial"/>
          <w:sz w:val="22"/>
          <w:szCs w:val="22"/>
        </w:rPr>
        <w:t xml:space="preserve"> identified through SPI and RAI analyses, drought should be treated as a </w:t>
      </w:r>
      <w:r w:rsidRPr="0008666E">
        <w:rPr>
          <w:rStyle w:val="Strong"/>
          <w:rFonts w:ascii="Arial" w:hAnsi="Arial" w:cs="Arial"/>
          <w:sz w:val="22"/>
          <w:szCs w:val="22"/>
        </w:rPr>
        <w:t>regular climatic risk</w:t>
      </w:r>
      <w:r w:rsidRPr="0008666E">
        <w:rPr>
          <w:rFonts w:ascii="Arial" w:hAnsi="Arial" w:cs="Arial"/>
          <w:sz w:val="22"/>
          <w:szCs w:val="22"/>
        </w:rPr>
        <w:t xml:space="preserve"> rather than an occasional event. Policies should therefore prioritize </w:t>
      </w:r>
      <w:r w:rsidRPr="0008666E">
        <w:rPr>
          <w:rStyle w:val="Strong"/>
          <w:rFonts w:ascii="Arial" w:hAnsi="Arial" w:cs="Arial"/>
          <w:sz w:val="22"/>
          <w:szCs w:val="22"/>
        </w:rPr>
        <w:t>institutionalized drought preparedness</w:t>
      </w:r>
      <w:r w:rsidRPr="0008666E">
        <w:rPr>
          <w:rFonts w:ascii="Arial" w:hAnsi="Arial" w:cs="Arial"/>
          <w:sz w:val="22"/>
          <w:szCs w:val="22"/>
        </w:rPr>
        <w:t xml:space="preserve">, including early warning systems, contingency crop planning, and location-specific weather-based </w:t>
      </w:r>
      <w:proofErr w:type="spellStart"/>
      <w:r w:rsidRPr="0008666E">
        <w:rPr>
          <w:rFonts w:ascii="Arial" w:hAnsi="Arial" w:cs="Arial"/>
          <w:sz w:val="22"/>
          <w:szCs w:val="22"/>
        </w:rPr>
        <w:t>agro</w:t>
      </w:r>
      <w:proofErr w:type="spellEnd"/>
      <w:r w:rsidRPr="0008666E">
        <w:rPr>
          <w:rFonts w:ascii="Arial" w:hAnsi="Arial" w:cs="Arial"/>
          <w:sz w:val="22"/>
          <w:szCs w:val="22"/>
        </w:rPr>
        <w:t>-advisory services.</w:t>
      </w:r>
    </w:p>
    <w:p w14:paraId="4003C220"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absence of a significant long-term trend in annual rainfall highlights the need to focus policy interventions on </w:t>
      </w:r>
      <w:r w:rsidRPr="0008666E">
        <w:rPr>
          <w:rStyle w:val="Strong"/>
          <w:rFonts w:ascii="Arial" w:hAnsi="Arial" w:cs="Arial"/>
          <w:sz w:val="22"/>
          <w:szCs w:val="22"/>
        </w:rPr>
        <w:t>managing rainfall variability and extremes</w:t>
      </w:r>
      <w:r w:rsidRPr="0008666E">
        <w:rPr>
          <w:rFonts w:ascii="Arial" w:hAnsi="Arial" w:cs="Arial"/>
          <w:sz w:val="22"/>
          <w:szCs w:val="22"/>
        </w:rPr>
        <w:t xml:space="preserve">. Promotion of </w:t>
      </w:r>
      <w:r w:rsidRPr="0008666E">
        <w:rPr>
          <w:rStyle w:val="Strong"/>
          <w:rFonts w:ascii="Arial" w:hAnsi="Arial" w:cs="Arial"/>
          <w:sz w:val="22"/>
          <w:szCs w:val="22"/>
        </w:rPr>
        <w:t>drought-tolerant and short-duration crop varieties</w:t>
      </w:r>
      <w:r w:rsidRPr="0008666E">
        <w:rPr>
          <w:rFonts w:ascii="Arial" w:hAnsi="Arial" w:cs="Arial"/>
          <w:sz w:val="22"/>
          <w:szCs w:val="22"/>
        </w:rPr>
        <w:t xml:space="preserve">, flexible sowing windows, and crop diversification should be encouraged to reduce climate risk. Strengthening </w:t>
      </w:r>
      <w:r w:rsidRPr="0008666E">
        <w:rPr>
          <w:rStyle w:val="Strong"/>
          <w:rFonts w:ascii="Arial" w:hAnsi="Arial" w:cs="Arial"/>
          <w:sz w:val="22"/>
          <w:szCs w:val="22"/>
        </w:rPr>
        <w:t>soil and water conservation measures</w:t>
      </w:r>
      <w:r w:rsidRPr="0008666E">
        <w:rPr>
          <w:rFonts w:ascii="Arial" w:hAnsi="Arial" w:cs="Arial"/>
          <w:sz w:val="22"/>
          <w:szCs w:val="22"/>
        </w:rPr>
        <w:t>, such as rainwater harvesting, farm ponds, and watershed development, is essential to enhance water availability during dry periods and efficiently utilize excess rainfall.</w:t>
      </w:r>
    </w:p>
    <w:p w14:paraId="6B3B25C1" w14:textId="77777777"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Overall, integrating climate information into agricultural decision-making and strengthening extension support will be critical for improving the resilience and sustainability of agriculture in the Mysuru region under variable climatic conditions.</w:t>
      </w:r>
    </w:p>
    <w:p w14:paraId="57245F0A" w14:textId="77777777" w:rsidR="00D56996" w:rsidRPr="0008666E" w:rsidRDefault="00D56996"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References</w:t>
      </w:r>
    </w:p>
    <w:p w14:paraId="295EDB46" w14:textId="77777777" w:rsidR="00F368EB" w:rsidRPr="00F368EB" w:rsidRDefault="00F368EB" w:rsidP="00C209B5">
      <w:pPr>
        <w:pStyle w:val="NormalWeb"/>
        <w:numPr>
          <w:ilvl w:val="0"/>
          <w:numId w:val="17"/>
        </w:numPr>
        <w:spacing w:before="0" w:beforeAutospacing="0" w:line="360" w:lineRule="auto"/>
        <w:jc w:val="both"/>
        <w:rPr>
          <w:rFonts w:ascii="Arial" w:hAnsi="Arial" w:cs="Arial"/>
          <w:sz w:val="22"/>
        </w:rPr>
      </w:pPr>
      <w:r w:rsidRPr="00F368EB">
        <w:rPr>
          <w:rStyle w:val="Strong"/>
          <w:rFonts w:ascii="Arial" w:hAnsi="Arial" w:cs="Arial"/>
          <w:b w:val="0"/>
          <w:sz w:val="22"/>
        </w:rPr>
        <w:t xml:space="preserve">Burn, D. H., &amp; </w:t>
      </w:r>
      <w:proofErr w:type="spellStart"/>
      <w:r w:rsidRPr="00F368EB">
        <w:rPr>
          <w:rStyle w:val="Strong"/>
          <w:rFonts w:ascii="Arial" w:hAnsi="Arial" w:cs="Arial"/>
          <w:b w:val="0"/>
          <w:sz w:val="22"/>
        </w:rPr>
        <w:t>Elnur</w:t>
      </w:r>
      <w:proofErr w:type="spellEnd"/>
      <w:r w:rsidRPr="00F368EB">
        <w:rPr>
          <w:rStyle w:val="Strong"/>
          <w:rFonts w:ascii="Arial" w:hAnsi="Arial" w:cs="Arial"/>
          <w:b w:val="0"/>
          <w:sz w:val="22"/>
        </w:rPr>
        <w:t>, M. A. H. (2002).</w:t>
      </w:r>
      <w:r w:rsidRPr="00F368EB">
        <w:rPr>
          <w:rFonts w:ascii="Arial" w:hAnsi="Arial" w:cs="Arial"/>
          <w:sz w:val="22"/>
        </w:rPr>
        <w:t xml:space="preserve"> Detection of hydrologic trends and variability. </w:t>
      </w:r>
      <w:r w:rsidRPr="00F368EB">
        <w:rPr>
          <w:rStyle w:val="Emphasis"/>
          <w:rFonts w:ascii="Arial" w:hAnsi="Arial" w:cs="Arial"/>
          <w:sz w:val="22"/>
        </w:rPr>
        <w:t>Journal of Hydrology</w:t>
      </w:r>
      <w:r w:rsidRPr="00F368EB">
        <w:rPr>
          <w:rFonts w:ascii="Arial" w:hAnsi="Arial" w:cs="Arial"/>
          <w:sz w:val="22"/>
        </w:rPr>
        <w:t>, 255, 107–122.</w:t>
      </w:r>
    </w:p>
    <w:p w14:paraId="370EE1B3"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Dash, S. K., &amp; </w:t>
      </w:r>
      <w:proofErr w:type="spellStart"/>
      <w:r w:rsidRPr="0008666E">
        <w:rPr>
          <w:rFonts w:ascii="Arial" w:hAnsi="Arial" w:cs="Arial"/>
          <w:sz w:val="22"/>
          <w:szCs w:val="22"/>
        </w:rPr>
        <w:t>Mamgain</w:t>
      </w:r>
      <w:proofErr w:type="spellEnd"/>
      <w:r w:rsidRPr="0008666E">
        <w:rPr>
          <w:rFonts w:ascii="Arial" w:hAnsi="Arial" w:cs="Arial"/>
          <w:sz w:val="22"/>
          <w:szCs w:val="22"/>
        </w:rPr>
        <w:t xml:space="preserve">, A. (2011). Changes in the frequency of different categories of temperature and precipitation extremes in India. </w:t>
      </w:r>
      <w:r w:rsidRPr="0008666E">
        <w:rPr>
          <w:rStyle w:val="Emphasis"/>
          <w:rFonts w:ascii="Arial" w:hAnsi="Arial" w:cs="Arial"/>
          <w:sz w:val="22"/>
          <w:szCs w:val="22"/>
        </w:rPr>
        <w:t>Journal of Geophysical Research: Atmospheres</w:t>
      </w:r>
      <w:r w:rsidRPr="0008666E">
        <w:rPr>
          <w:rFonts w:ascii="Arial" w:hAnsi="Arial" w:cs="Arial"/>
          <w:sz w:val="22"/>
          <w:szCs w:val="22"/>
        </w:rPr>
        <w:t>, 116, D18111.</w:t>
      </w:r>
    </w:p>
    <w:p w14:paraId="50F55EA0"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FAO. (2017). </w:t>
      </w:r>
      <w:r w:rsidRPr="0008666E">
        <w:rPr>
          <w:rStyle w:val="Emphasis"/>
          <w:rFonts w:ascii="Arial" w:hAnsi="Arial" w:cs="Arial"/>
          <w:sz w:val="22"/>
          <w:szCs w:val="22"/>
        </w:rPr>
        <w:t>Climate-smart agriculture sourcebook</w:t>
      </w:r>
      <w:r w:rsidRPr="0008666E">
        <w:rPr>
          <w:rFonts w:ascii="Arial" w:hAnsi="Arial" w:cs="Arial"/>
          <w:sz w:val="22"/>
          <w:szCs w:val="22"/>
        </w:rPr>
        <w:t>. Food and Agriculture Organization of the United Nations, Rome.</w:t>
      </w:r>
    </w:p>
    <w:p w14:paraId="703C0EB7"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Fischer, G., Shah, M., </w:t>
      </w:r>
      <w:proofErr w:type="spellStart"/>
      <w:r w:rsidRPr="0008666E">
        <w:rPr>
          <w:rFonts w:ascii="Arial" w:hAnsi="Arial" w:cs="Arial"/>
          <w:sz w:val="22"/>
          <w:szCs w:val="22"/>
        </w:rPr>
        <w:t>Tubiello</w:t>
      </w:r>
      <w:proofErr w:type="spellEnd"/>
      <w:r w:rsidRPr="0008666E">
        <w:rPr>
          <w:rFonts w:ascii="Arial" w:hAnsi="Arial" w:cs="Arial"/>
          <w:sz w:val="22"/>
          <w:szCs w:val="22"/>
        </w:rPr>
        <w:t xml:space="preserve">, F. N., &amp; van </w:t>
      </w:r>
      <w:proofErr w:type="spellStart"/>
      <w:r w:rsidRPr="0008666E">
        <w:rPr>
          <w:rFonts w:ascii="Arial" w:hAnsi="Arial" w:cs="Arial"/>
          <w:sz w:val="22"/>
          <w:szCs w:val="22"/>
        </w:rPr>
        <w:t>Velhuizen</w:t>
      </w:r>
      <w:proofErr w:type="spellEnd"/>
      <w:r w:rsidRPr="0008666E">
        <w:rPr>
          <w:rFonts w:ascii="Arial" w:hAnsi="Arial" w:cs="Arial"/>
          <w:sz w:val="22"/>
          <w:szCs w:val="22"/>
        </w:rPr>
        <w:t xml:space="preserve">, H. (2005). Socio-economic and climate change impacts on agriculture. </w:t>
      </w:r>
      <w:r w:rsidRPr="0008666E">
        <w:rPr>
          <w:rStyle w:val="Emphasis"/>
          <w:rFonts w:ascii="Arial" w:hAnsi="Arial" w:cs="Arial"/>
          <w:sz w:val="22"/>
          <w:szCs w:val="22"/>
        </w:rPr>
        <w:t>Climatic Change</w:t>
      </w:r>
      <w:r w:rsidRPr="0008666E">
        <w:rPr>
          <w:rFonts w:ascii="Arial" w:hAnsi="Arial" w:cs="Arial"/>
          <w:sz w:val="22"/>
          <w:szCs w:val="22"/>
        </w:rPr>
        <w:t>, 70, 319–350.</w:t>
      </w:r>
    </w:p>
    <w:p w14:paraId="4B0D8694"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proofErr w:type="spellStart"/>
      <w:r w:rsidRPr="0008666E">
        <w:rPr>
          <w:rFonts w:ascii="Arial" w:hAnsi="Arial" w:cs="Arial"/>
          <w:sz w:val="22"/>
          <w:szCs w:val="22"/>
        </w:rPr>
        <w:t>Gadgil</w:t>
      </w:r>
      <w:proofErr w:type="spellEnd"/>
      <w:r w:rsidRPr="0008666E">
        <w:rPr>
          <w:rFonts w:ascii="Arial" w:hAnsi="Arial" w:cs="Arial"/>
          <w:sz w:val="22"/>
          <w:szCs w:val="22"/>
        </w:rPr>
        <w:t xml:space="preserve">, S. (2003). The Indian monsoon and its variability. </w:t>
      </w:r>
      <w:r w:rsidRPr="0008666E">
        <w:rPr>
          <w:rStyle w:val="Emphasis"/>
          <w:rFonts w:ascii="Arial" w:hAnsi="Arial" w:cs="Arial"/>
          <w:sz w:val="22"/>
          <w:szCs w:val="22"/>
        </w:rPr>
        <w:t>Annual Review of Earth and Planetary Sciences</w:t>
      </w:r>
      <w:r w:rsidRPr="0008666E">
        <w:rPr>
          <w:rFonts w:ascii="Arial" w:hAnsi="Arial" w:cs="Arial"/>
          <w:sz w:val="22"/>
          <w:szCs w:val="22"/>
        </w:rPr>
        <w:t>, 31, 429–467.</w:t>
      </w:r>
    </w:p>
    <w:p w14:paraId="60F0BE98"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proofErr w:type="spellStart"/>
      <w:r w:rsidRPr="0008666E">
        <w:rPr>
          <w:rFonts w:ascii="Arial" w:hAnsi="Arial" w:cs="Arial"/>
          <w:sz w:val="22"/>
          <w:szCs w:val="22"/>
        </w:rPr>
        <w:t>Gadgil</w:t>
      </w:r>
      <w:proofErr w:type="spellEnd"/>
      <w:r w:rsidRPr="0008666E">
        <w:rPr>
          <w:rFonts w:ascii="Arial" w:hAnsi="Arial" w:cs="Arial"/>
          <w:sz w:val="22"/>
          <w:szCs w:val="22"/>
        </w:rPr>
        <w:t xml:space="preserve">, S., &amp; Rao, P. R. S. (2000). Farming strategies for a variable climate: A challenge. </w:t>
      </w:r>
      <w:r w:rsidRPr="0008666E">
        <w:rPr>
          <w:rStyle w:val="Emphasis"/>
          <w:rFonts w:ascii="Arial" w:hAnsi="Arial" w:cs="Arial"/>
          <w:sz w:val="22"/>
          <w:szCs w:val="22"/>
        </w:rPr>
        <w:t>Current Science</w:t>
      </w:r>
      <w:r w:rsidRPr="0008666E">
        <w:rPr>
          <w:rFonts w:ascii="Arial" w:hAnsi="Arial" w:cs="Arial"/>
          <w:sz w:val="22"/>
          <w:szCs w:val="22"/>
        </w:rPr>
        <w:t>, 78(10), 1203–1215.</w:t>
      </w:r>
    </w:p>
    <w:p w14:paraId="0ECCBD77"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proofErr w:type="spellStart"/>
      <w:r w:rsidRPr="0008666E">
        <w:rPr>
          <w:rFonts w:ascii="Arial" w:hAnsi="Arial" w:cs="Arial"/>
          <w:sz w:val="22"/>
          <w:szCs w:val="22"/>
        </w:rPr>
        <w:t>Guhathakurta</w:t>
      </w:r>
      <w:proofErr w:type="spellEnd"/>
      <w:r w:rsidRPr="0008666E">
        <w:rPr>
          <w:rFonts w:ascii="Arial" w:hAnsi="Arial" w:cs="Arial"/>
          <w:sz w:val="22"/>
          <w:szCs w:val="22"/>
        </w:rPr>
        <w:t xml:space="preserve">, P., &amp; </w:t>
      </w:r>
      <w:proofErr w:type="spellStart"/>
      <w:r w:rsidRPr="0008666E">
        <w:rPr>
          <w:rFonts w:ascii="Arial" w:hAnsi="Arial" w:cs="Arial"/>
          <w:sz w:val="22"/>
          <w:szCs w:val="22"/>
        </w:rPr>
        <w:t>Rajeevan</w:t>
      </w:r>
      <w:proofErr w:type="spellEnd"/>
      <w:r w:rsidRPr="0008666E">
        <w:rPr>
          <w:rFonts w:ascii="Arial" w:hAnsi="Arial" w:cs="Arial"/>
          <w:sz w:val="22"/>
          <w:szCs w:val="22"/>
        </w:rPr>
        <w:t xml:space="preserve">, M. (2008). Trends in rainfall pattern over India. </w:t>
      </w:r>
      <w:r w:rsidRPr="0008666E">
        <w:rPr>
          <w:rStyle w:val="Emphasis"/>
          <w:rFonts w:ascii="Arial" w:hAnsi="Arial" w:cs="Arial"/>
          <w:sz w:val="22"/>
          <w:szCs w:val="22"/>
        </w:rPr>
        <w:t>International Journal of Climatology</w:t>
      </w:r>
      <w:r w:rsidRPr="0008666E">
        <w:rPr>
          <w:rFonts w:ascii="Arial" w:hAnsi="Arial" w:cs="Arial"/>
          <w:sz w:val="22"/>
          <w:szCs w:val="22"/>
        </w:rPr>
        <w:t>, 28, 1453–1469.</w:t>
      </w:r>
    </w:p>
    <w:p w14:paraId="5F8D3573"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IPCC. (2014). </w:t>
      </w:r>
      <w:r w:rsidRPr="0008666E">
        <w:rPr>
          <w:rStyle w:val="Emphasis"/>
          <w:rFonts w:ascii="Arial" w:hAnsi="Arial" w:cs="Arial"/>
          <w:sz w:val="22"/>
          <w:szCs w:val="22"/>
        </w:rPr>
        <w:t>Climate Change 2014: Impacts, Adaptation and Vulnerability</w:t>
      </w:r>
      <w:r w:rsidRPr="0008666E">
        <w:rPr>
          <w:rFonts w:ascii="Arial" w:hAnsi="Arial" w:cs="Arial"/>
          <w:sz w:val="22"/>
          <w:szCs w:val="22"/>
        </w:rPr>
        <w:t>. Cambridge University Press, Cambridge.</w:t>
      </w:r>
    </w:p>
    <w:p w14:paraId="474877F6"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lastRenderedPageBreak/>
        <w:t xml:space="preserve">IPCC. (2021). </w:t>
      </w:r>
      <w:r w:rsidRPr="0008666E">
        <w:rPr>
          <w:rStyle w:val="Emphasis"/>
          <w:rFonts w:ascii="Arial" w:hAnsi="Arial" w:cs="Arial"/>
          <w:sz w:val="22"/>
          <w:szCs w:val="22"/>
        </w:rPr>
        <w:t>Climate Change 2021: The Physical Science Basis</w:t>
      </w:r>
      <w:r w:rsidRPr="0008666E">
        <w:rPr>
          <w:rFonts w:ascii="Arial" w:hAnsi="Arial" w:cs="Arial"/>
          <w:sz w:val="22"/>
          <w:szCs w:val="22"/>
        </w:rPr>
        <w:t>. Cambridge University Press, Cambridge.</w:t>
      </w:r>
    </w:p>
    <w:p w14:paraId="422EE385"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Jain, S. K., Kumar, V., &amp; </w:t>
      </w:r>
      <w:proofErr w:type="spellStart"/>
      <w:r w:rsidRPr="0008666E">
        <w:rPr>
          <w:rFonts w:ascii="Arial" w:hAnsi="Arial" w:cs="Arial"/>
          <w:sz w:val="22"/>
          <w:szCs w:val="22"/>
        </w:rPr>
        <w:t>Saharia</w:t>
      </w:r>
      <w:proofErr w:type="spellEnd"/>
      <w:r w:rsidRPr="0008666E">
        <w:rPr>
          <w:rFonts w:ascii="Arial" w:hAnsi="Arial" w:cs="Arial"/>
          <w:sz w:val="22"/>
          <w:szCs w:val="22"/>
        </w:rPr>
        <w:t xml:space="preserve">, M. (2013). Analysis of rainfall and temperature trends in northeast India. </w:t>
      </w:r>
      <w:r w:rsidRPr="0008666E">
        <w:rPr>
          <w:rStyle w:val="Emphasis"/>
          <w:rFonts w:ascii="Arial" w:hAnsi="Arial" w:cs="Arial"/>
          <w:sz w:val="22"/>
          <w:szCs w:val="22"/>
        </w:rPr>
        <w:t>International Journal of Climatology</w:t>
      </w:r>
      <w:r w:rsidRPr="0008666E">
        <w:rPr>
          <w:rFonts w:ascii="Arial" w:hAnsi="Arial" w:cs="Arial"/>
          <w:sz w:val="22"/>
          <w:szCs w:val="22"/>
        </w:rPr>
        <w:t>, 33, 968–978.</w:t>
      </w:r>
    </w:p>
    <w:p w14:paraId="1BDB4647"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Kendall, M. G. (1975). </w:t>
      </w:r>
      <w:r w:rsidRPr="0008666E">
        <w:rPr>
          <w:rStyle w:val="Emphasis"/>
          <w:rFonts w:ascii="Arial" w:hAnsi="Arial" w:cs="Arial"/>
          <w:sz w:val="22"/>
          <w:szCs w:val="22"/>
        </w:rPr>
        <w:t>Rank Correlation Methods</w:t>
      </w:r>
      <w:r w:rsidRPr="0008666E">
        <w:rPr>
          <w:rFonts w:ascii="Arial" w:hAnsi="Arial" w:cs="Arial"/>
          <w:sz w:val="22"/>
          <w:szCs w:val="22"/>
        </w:rPr>
        <w:t xml:space="preserve"> (4th ed.). Charles Griffin, London.</w:t>
      </w:r>
    </w:p>
    <w:p w14:paraId="4623C6EB"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proofErr w:type="spellStart"/>
      <w:r w:rsidRPr="0008666E">
        <w:rPr>
          <w:rFonts w:ascii="Arial" w:hAnsi="Arial" w:cs="Arial"/>
          <w:sz w:val="22"/>
          <w:szCs w:val="22"/>
        </w:rPr>
        <w:t>Kothawale</w:t>
      </w:r>
      <w:proofErr w:type="spellEnd"/>
      <w:r w:rsidRPr="0008666E">
        <w:rPr>
          <w:rFonts w:ascii="Arial" w:hAnsi="Arial" w:cs="Arial"/>
          <w:sz w:val="22"/>
          <w:szCs w:val="22"/>
        </w:rPr>
        <w:t xml:space="preserve">, D. R., &amp; </w:t>
      </w:r>
      <w:proofErr w:type="spellStart"/>
      <w:r w:rsidRPr="0008666E">
        <w:rPr>
          <w:rFonts w:ascii="Arial" w:hAnsi="Arial" w:cs="Arial"/>
          <w:sz w:val="22"/>
          <w:szCs w:val="22"/>
        </w:rPr>
        <w:t>Rajeevan</w:t>
      </w:r>
      <w:proofErr w:type="spellEnd"/>
      <w:r w:rsidRPr="0008666E">
        <w:rPr>
          <w:rFonts w:ascii="Arial" w:hAnsi="Arial" w:cs="Arial"/>
          <w:sz w:val="22"/>
          <w:szCs w:val="22"/>
        </w:rPr>
        <w:t xml:space="preserve">, M. (2017). Variability and trends in extreme rainfall events over India. </w:t>
      </w:r>
      <w:r w:rsidRPr="0008666E">
        <w:rPr>
          <w:rStyle w:val="Emphasis"/>
          <w:rFonts w:ascii="Arial" w:hAnsi="Arial" w:cs="Arial"/>
          <w:sz w:val="22"/>
          <w:szCs w:val="22"/>
        </w:rPr>
        <w:t>Climate Dynamics</w:t>
      </w:r>
      <w:r w:rsidRPr="0008666E">
        <w:rPr>
          <w:rFonts w:ascii="Arial" w:hAnsi="Arial" w:cs="Arial"/>
          <w:sz w:val="22"/>
          <w:szCs w:val="22"/>
        </w:rPr>
        <w:t>, 48, 135–152.</w:t>
      </w:r>
    </w:p>
    <w:p w14:paraId="6592F6E4" w14:textId="77777777" w:rsidR="00F368EB" w:rsidRPr="00F368EB" w:rsidRDefault="00F368EB" w:rsidP="00C209B5">
      <w:pPr>
        <w:pStyle w:val="NormalWeb"/>
        <w:numPr>
          <w:ilvl w:val="0"/>
          <w:numId w:val="17"/>
        </w:numPr>
        <w:spacing w:before="0" w:beforeAutospacing="0" w:line="360" w:lineRule="auto"/>
        <w:jc w:val="both"/>
        <w:rPr>
          <w:rFonts w:ascii="Arial" w:hAnsi="Arial" w:cs="Arial"/>
          <w:sz w:val="22"/>
        </w:rPr>
      </w:pPr>
      <w:r w:rsidRPr="00F368EB">
        <w:rPr>
          <w:rStyle w:val="Strong"/>
          <w:rFonts w:ascii="Arial" w:hAnsi="Arial" w:cs="Arial"/>
          <w:b w:val="0"/>
          <w:sz w:val="22"/>
        </w:rPr>
        <w:t>Kumar, V., Jain, S. K., &amp; Singh, Y. (2016).</w:t>
      </w:r>
      <w:r w:rsidRPr="00F368EB">
        <w:rPr>
          <w:rFonts w:ascii="Arial" w:hAnsi="Arial" w:cs="Arial"/>
          <w:sz w:val="22"/>
        </w:rPr>
        <w:t xml:space="preserve"> Analysis of long-term rainfall trends in India. </w:t>
      </w:r>
      <w:r w:rsidRPr="00F368EB">
        <w:rPr>
          <w:rStyle w:val="Emphasis"/>
          <w:rFonts w:ascii="Arial" w:hAnsi="Arial" w:cs="Arial"/>
          <w:sz w:val="22"/>
        </w:rPr>
        <w:t>Hydrological Sciences Journal</w:t>
      </w:r>
      <w:r w:rsidRPr="00F368EB">
        <w:rPr>
          <w:rFonts w:ascii="Arial" w:hAnsi="Arial" w:cs="Arial"/>
          <w:sz w:val="22"/>
        </w:rPr>
        <w:t>, 61(12), 2113–2124.</w:t>
      </w:r>
    </w:p>
    <w:p w14:paraId="52167AA5"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Mann, H. B. (1945). Nonparametric tests against trend. </w:t>
      </w:r>
      <w:proofErr w:type="spellStart"/>
      <w:r w:rsidRPr="0008666E">
        <w:rPr>
          <w:rStyle w:val="Emphasis"/>
          <w:rFonts w:ascii="Arial" w:hAnsi="Arial" w:cs="Arial"/>
          <w:sz w:val="22"/>
          <w:szCs w:val="22"/>
        </w:rPr>
        <w:t>Econometrica</w:t>
      </w:r>
      <w:proofErr w:type="spellEnd"/>
      <w:r w:rsidRPr="0008666E">
        <w:rPr>
          <w:rFonts w:ascii="Arial" w:hAnsi="Arial" w:cs="Arial"/>
          <w:sz w:val="22"/>
          <w:szCs w:val="22"/>
        </w:rPr>
        <w:t>, 13, 245–259.</w:t>
      </w:r>
    </w:p>
    <w:p w14:paraId="436BE269"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McKee, T. B., </w:t>
      </w:r>
      <w:proofErr w:type="spellStart"/>
      <w:r w:rsidRPr="0008666E">
        <w:rPr>
          <w:rFonts w:ascii="Arial" w:hAnsi="Arial" w:cs="Arial"/>
          <w:sz w:val="22"/>
          <w:szCs w:val="22"/>
        </w:rPr>
        <w:t>Doesken</w:t>
      </w:r>
      <w:proofErr w:type="spellEnd"/>
      <w:r w:rsidRPr="0008666E">
        <w:rPr>
          <w:rFonts w:ascii="Arial" w:hAnsi="Arial" w:cs="Arial"/>
          <w:sz w:val="22"/>
          <w:szCs w:val="22"/>
        </w:rPr>
        <w:t xml:space="preserve">, N. J., &amp; Kleist, J. (1993). The relationship of drought frequency and duration to time scales. </w:t>
      </w:r>
      <w:r w:rsidRPr="0008666E">
        <w:rPr>
          <w:rStyle w:val="Emphasis"/>
          <w:rFonts w:ascii="Arial" w:hAnsi="Arial" w:cs="Arial"/>
          <w:sz w:val="22"/>
          <w:szCs w:val="22"/>
        </w:rPr>
        <w:t>Proceedings of the 8th Conference on Applied Climatology</w:t>
      </w:r>
      <w:r w:rsidRPr="0008666E">
        <w:rPr>
          <w:rFonts w:ascii="Arial" w:hAnsi="Arial" w:cs="Arial"/>
          <w:sz w:val="22"/>
          <w:szCs w:val="22"/>
        </w:rPr>
        <w:t>, American Meteorological Society, 179–184.</w:t>
      </w:r>
    </w:p>
    <w:p w14:paraId="1CD9A126" w14:textId="77777777" w:rsidR="00F368EB" w:rsidRPr="00F368EB" w:rsidRDefault="00F368EB" w:rsidP="00C209B5">
      <w:pPr>
        <w:pStyle w:val="NormalWeb"/>
        <w:numPr>
          <w:ilvl w:val="0"/>
          <w:numId w:val="17"/>
        </w:numPr>
        <w:spacing w:before="0" w:beforeAutospacing="0" w:line="360" w:lineRule="auto"/>
        <w:jc w:val="both"/>
        <w:rPr>
          <w:rFonts w:ascii="Arial" w:hAnsi="Arial" w:cs="Arial"/>
          <w:sz w:val="22"/>
        </w:rPr>
      </w:pPr>
      <w:r w:rsidRPr="00F368EB">
        <w:rPr>
          <w:rStyle w:val="Strong"/>
          <w:rFonts w:ascii="Arial" w:hAnsi="Arial" w:cs="Arial"/>
          <w:b w:val="0"/>
          <w:sz w:val="22"/>
        </w:rPr>
        <w:t>Mishra, A. K., &amp; Singh, V. P. (2010).</w:t>
      </w:r>
      <w:r w:rsidRPr="00F368EB">
        <w:rPr>
          <w:rFonts w:ascii="Arial" w:hAnsi="Arial" w:cs="Arial"/>
          <w:sz w:val="22"/>
        </w:rPr>
        <w:t xml:space="preserve"> A review of drought concepts. </w:t>
      </w:r>
      <w:r w:rsidRPr="00F368EB">
        <w:rPr>
          <w:rStyle w:val="Emphasis"/>
          <w:rFonts w:ascii="Arial" w:hAnsi="Arial" w:cs="Arial"/>
          <w:sz w:val="22"/>
        </w:rPr>
        <w:t>Journal of Hydrology</w:t>
      </w:r>
      <w:r w:rsidRPr="00F368EB">
        <w:rPr>
          <w:rFonts w:ascii="Arial" w:hAnsi="Arial" w:cs="Arial"/>
          <w:sz w:val="22"/>
        </w:rPr>
        <w:t>, 391, 202–216.</w:t>
      </w:r>
    </w:p>
    <w:p w14:paraId="640801D3" w14:textId="77777777" w:rsidR="00F368EB" w:rsidRPr="00F368EB" w:rsidRDefault="00F368EB" w:rsidP="00C209B5">
      <w:pPr>
        <w:pStyle w:val="NormalWeb"/>
        <w:numPr>
          <w:ilvl w:val="0"/>
          <w:numId w:val="17"/>
        </w:numPr>
        <w:spacing w:before="0" w:beforeAutospacing="0" w:line="360" w:lineRule="auto"/>
        <w:jc w:val="both"/>
        <w:rPr>
          <w:rFonts w:ascii="Arial" w:hAnsi="Arial" w:cs="Arial"/>
          <w:sz w:val="22"/>
        </w:rPr>
      </w:pPr>
      <w:r w:rsidRPr="00F368EB">
        <w:rPr>
          <w:rStyle w:val="Strong"/>
          <w:rFonts w:ascii="Arial" w:hAnsi="Arial" w:cs="Arial"/>
          <w:b w:val="0"/>
          <w:sz w:val="22"/>
        </w:rPr>
        <w:t xml:space="preserve">Pai, D. S., Sridhar, L., </w:t>
      </w:r>
      <w:proofErr w:type="spellStart"/>
      <w:r w:rsidRPr="00F368EB">
        <w:rPr>
          <w:rStyle w:val="Strong"/>
          <w:rFonts w:ascii="Arial" w:hAnsi="Arial" w:cs="Arial"/>
          <w:b w:val="0"/>
          <w:sz w:val="22"/>
        </w:rPr>
        <w:t>Badwaik</w:t>
      </w:r>
      <w:proofErr w:type="spellEnd"/>
      <w:r w:rsidRPr="00F368EB">
        <w:rPr>
          <w:rStyle w:val="Strong"/>
          <w:rFonts w:ascii="Arial" w:hAnsi="Arial" w:cs="Arial"/>
          <w:b w:val="0"/>
          <w:sz w:val="22"/>
        </w:rPr>
        <w:t xml:space="preserve">, M. R., &amp; </w:t>
      </w:r>
      <w:proofErr w:type="spellStart"/>
      <w:r w:rsidRPr="00F368EB">
        <w:rPr>
          <w:rStyle w:val="Strong"/>
          <w:rFonts w:ascii="Arial" w:hAnsi="Arial" w:cs="Arial"/>
          <w:b w:val="0"/>
          <w:sz w:val="22"/>
        </w:rPr>
        <w:t>Rajeevan</w:t>
      </w:r>
      <w:proofErr w:type="spellEnd"/>
      <w:r w:rsidRPr="00F368EB">
        <w:rPr>
          <w:rStyle w:val="Strong"/>
          <w:rFonts w:ascii="Arial" w:hAnsi="Arial" w:cs="Arial"/>
          <w:b w:val="0"/>
          <w:sz w:val="22"/>
        </w:rPr>
        <w:t>, M. (2014).</w:t>
      </w:r>
      <w:r w:rsidRPr="00F368EB">
        <w:rPr>
          <w:rFonts w:ascii="Arial" w:hAnsi="Arial" w:cs="Arial"/>
          <w:b/>
          <w:sz w:val="22"/>
        </w:rPr>
        <w:t xml:space="preserve"> </w:t>
      </w:r>
      <w:r w:rsidRPr="00F368EB">
        <w:rPr>
          <w:rFonts w:ascii="Arial" w:hAnsi="Arial" w:cs="Arial"/>
          <w:sz w:val="22"/>
        </w:rPr>
        <w:t xml:space="preserve">Analysis of the daily rainfall events over India. </w:t>
      </w:r>
      <w:r w:rsidRPr="00F368EB">
        <w:rPr>
          <w:rStyle w:val="Emphasis"/>
          <w:rFonts w:ascii="Arial" w:hAnsi="Arial" w:cs="Arial"/>
          <w:sz w:val="22"/>
        </w:rPr>
        <w:t>Theoretical and Applied Climatology</w:t>
      </w:r>
      <w:r w:rsidRPr="00F368EB">
        <w:rPr>
          <w:rFonts w:ascii="Arial" w:hAnsi="Arial" w:cs="Arial"/>
          <w:sz w:val="22"/>
        </w:rPr>
        <w:t>, 118, 593–607.</w:t>
      </w:r>
    </w:p>
    <w:p w14:paraId="223ADF62" w14:textId="77777777" w:rsidR="00F368EB" w:rsidRPr="00F368EB" w:rsidRDefault="00F368EB" w:rsidP="00C209B5">
      <w:pPr>
        <w:pStyle w:val="NormalWeb"/>
        <w:numPr>
          <w:ilvl w:val="0"/>
          <w:numId w:val="17"/>
        </w:numPr>
        <w:spacing w:before="0" w:beforeAutospacing="0" w:line="360" w:lineRule="auto"/>
        <w:jc w:val="both"/>
        <w:rPr>
          <w:rFonts w:ascii="Arial" w:hAnsi="Arial" w:cs="Arial"/>
          <w:sz w:val="22"/>
        </w:rPr>
      </w:pPr>
      <w:proofErr w:type="spellStart"/>
      <w:r w:rsidRPr="00F368EB">
        <w:rPr>
          <w:rStyle w:val="Strong"/>
          <w:rFonts w:ascii="Arial" w:hAnsi="Arial" w:cs="Arial"/>
          <w:b w:val="0"/>
          <w:sz w:val="22"/>
        </w:rPr>
        <w:t>Rajeevan</w:t>
      </w:r>
      <w:proofErr w:type="spellEnd"/>
      <w:r w:rsidRPr="00F368EB">
        <w:rPr>
          <w:rStyle w:val="Strong"/>
          <w:rFonts w:ascii="Arial" w:hAnsi="Arial" w:cs="Arial"/>
          <w:b w:val="0"/>
          <w:sz w:val="22"/>
        </w:rPr>
        <w:t>, M., Unnikrishnan, C. K., &amp; Preethi, B. (2012).</w:t>
      </w:r>
      <w:r w:rsidRPr="00F368EB">
        <w:rPr>
          <w:rFonts w:ascii="Arial" w:hAnsi="Arial" w:cs="Arial"/>
          <w:sz w:val="22"/>
        </w:rPr>
        <w:t xml:space="preserve"> Evaluation of multi-model seasonal forecasts. </w:t>
      </w:r>
      <w:r w:rsidRPr="00F368EB">
        <w:rPr>
          <w:rStyle w:val="Emphasis"/>
          <w:rFonts w:ascii="Arial" w:hAnsi="Arial" w:cs="Arial"/>
          <w:sz w:val="22"/>
        </w:rPr>
        <w:t>Climate Dynamics</w:t>
      </w:r>
      <w:r w:rsidRPr="00F368EB">
        <w:rPr>
          <w:rFonts w:ascii="Arial" w:hAnsi="Arial" w:cs="Arial"/>
          <w:sz w:val="22"/>
        </w:rPr>
        <w:t>, 39, 287–303.</w:t>
      </w:r>
    </w:p>
    <w:p w14:paraId="47988360" w14:textId="77777777" w:rsidR="00F368EB" w:rsidRPr="00F368EB" w:rsidRDefault="00F368EB" w:rsidP="00C209B5">
      <w:pPr>
        <w:pStyle w:val="NormalWeb"/>
        <w:numPr>
          <w:ilvl w:val="0"/>
          <w:numId w:val="17"/>
        </w:numPr>
        <w:spacing w:before="0" w:beforeAutospacing="0" w:line="360" w:lineRule="auto"/>
        <w:jc w:val="both"/>
        <w:rPr>
          <w:rFonts w:ascii="Arial" w:hAnsi="Arial" w:cs="Arial"/>
          <w:sz w:val="22"/>
        </w:rPr>
      </w:pPr>
      <w:r w:rsidRPr="00F368EB">
        <w:rPr>
          <w:rStyle w:val="Strong"/>
          <w:rFonts w:ascii="Arial" w:hAnsi="Arial" w:cs="Arial"/>
          <w:b w:val="0"/>
          <w:sz w:val="22"/>
        </w:rPr>
        <w:t xml:space="preserve">Rao, K. K., Patwardhan, S. K., Kulkarni, A., Kamala, K., </w:t>
      </w:r>
      <w:proofErr w:type="spellStart"/>
      <w:r w:rsidRPr="00F368EB">
        <w:rPr>
          <w:rStyle w:val="Strong"/>
          <w:rFonts w:ascii="Arial" w:hAnsi="Arial" w:cs="Arial"/>
          <w:b w:val="0"/>
          <w:sz w:val="22"/>
        </w:rPr>
        <w:t>Sabade</w:t>
      </w:r>
      <w:proofErr w:type="spellEnd"/>
      <w:r w:rsidRPr="00F368EB">
        <w:rPr>
          <w:rStyle w:val="Strong"/>
          <w:rFonts w:ascii="Arial" w:hAnsi="Arial" w:cs="Arial"/>
          <w:b w:val="0"/>
          <w:sz w:val="22"/>
        </w:rPr>
        <w:t>, S. S., &amp; Kumar, K. K. (2016).</w:t>
      </w:r>
      <w:r w:rsidRPr="00F368EB">
        <w:rPr>
          <w:rFonts w:ascii="Arial" w:hAnsi="Arial" w:cs="Arial"/>
          <w:sz w:val="22"/>
        </w:rPr>
        <w:t xml:space="preserve"> Projected changes in rainfall extremes. </w:t>
      </w:r>
      <w:r w:rsidRPr="00F368EB">
        <w:rPr>
          <w:rStyle w:val="Emphasis"/>
          <w:rFonts w:ascii="Arial" w:hAnsi="Arial" w:cs="Arial"/>
          <w:sz w:val="22"/>
        </w:rPr>
        <w:t>Current Science</w:t>
      </w:r>
      <w:r w:rsidRPr="00F368EB">
        <w:rPr>
          <w:rFonts w:ascii="Arial" w:hAnsi="Arial" w:cs="Arial"/>
          <w:sz w:val="22"/>
        </w:rPr>
        <w:t>, 110(7), 1215–1226.</w:t>
      </w:r>
    </w:p>
    <w:p w14:paraId="40F4CC5F"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Reddy, S. R. (2012). </w:t>
      </w:r>
      <w:r w:rsidRPr="0008666E">
        <w:rPr>
          <w:rStyle w:val="Emphasis"/>
          <w:rFonts w:ascii="Arial" w:hAnsi="Arial" w:cs="Arial"/>
          <w:sz w:val="22"/>
          <w:szCs w:val="22"/>
        </w:rPr>
        <w:t>Principles of Crop Production</w:t>
      </w:r>
      <w:r w:rsidRPr="0008666E">
        <w:rPr>
          <w:rFonts w:ascii="Arial" w:hAnsi="Arial" w:cs="Arial"/>
          <w:sz w:val="22"/>
          <w:szCs w:val="22"/>
        </w:rPr>
        <w:t xml:space="preserve"> (4th ed.). Kalyani Publishers, New Delhi.</w:t>
      </w:r>
    </w:p>
    <w:p w14:paraId="0A5131D4" w14:textId="77777777" w:rsidR="00F368EB" w:rsidRPr="00F368EB" w:rsidRDefault="00F368EB" w:rsidP="00C209B5">
      <w:pPr>
        <w:pStyle w:val="NormalWeb"/>
        <w:numPr>
          <w:ilvl w:val="0"/>
          <w:numId w:val="17"/>
        </w:numPr>
        <w:spacing w:before="0" w:beforeAutospacing="0" w:line="360" w:lineRule="auto"/>
        <w:jc w:val="both"/>
        <w:rPr>
          <w:rFonts w:ascii="Arial" w:hAnsi="Arial" w:cs="Arial"/>
          <w:sz w:val="22"/>
        </w:rPr>
      </w:pPr>
      <w:r w:rsidRPr="00F368EB">
        <w:rPr>
          <w:rStyle w:val="Strong"/>
          <w:rFonts w:ascii="Arial" w:hAnsi="Arial" w:cs="Arial"/>
          <w:b w:val="0"/>
          <w:sz w:val="22"/>
        </w:rPr>
        <w:t xml:space="preserve">Roxy, M. K., </w:t>
      </w:r>
      <w:proofErr w:type="spellStart"/>
      <w:r w:rsidRPr="00F368EB">
        <w:rPr>
          <w:rStyle w:val="Strong"/>
          <w:rFonts w:ascii="Arial" w:hAnsi="Arial" w:cs="Arial"/>
          <w:b w:val="0"/>
          <w:sz w:val="22"/>
        </w:rPr>
        <w:t>Tanimoto</w:t>
      </w:r>
      <w:proofErr w:type="spellEnd"/>
      <w:r w:rsidRPr="00F368EB">
        <w:rPr>
          <w:rStyle w:val="Strong"/>
          <w:rFonts w:ascii="Arial" w:hAnsi="Arial" w:cs="Arial"/>
          <w:b w:val="0"/>
          <w:sz w:val="22"/>
        </w:rPr>
        <w:t xml:space="preserve">, Y., Preethi, B., </w:t>
      </w:r>
      <w:proofErr w:type="spellStart"/>
      <w:r w:rsidRPr="00F368EB">
        <w:rPr>
          <w:rStyle w:val="Strong"/>
          <w:rFonts w:ascii="Arial" w:hAnsi="Arial" w:cs="Arial"/>
          <w:b w:val="0"/>
          <w:sz w:val="22"/>
        </w:rPr>
        <w:t>Terray</w:t>
      </w:r>
      <w:proofErr w:type="spellEnd"/>
      <w:r w:rsidRPr="00F368EB">
        <w:rPr>
          <w:rStyle w:val="Strong"/>
          <w:rFonts w:ascii="Arial" w:hAnsi="Arial" w:cs="Arial"/>
          <w:b w:val="0"/>
          <w:sz w:val="22"/>
        </w:rPr>
        <w:t>, P., &amp; Krishnan, R. (2015).</w:t>
      </w:r>
      <w:r w:rsidRPr="00F368EB">
        <w:rPr>
          <w:rFonts w:ascii="Arial" w:hAnsi="Arial" w:cs="Arial"/>
          <w:sz w:val="22"/>
        </w:rPr>
        <w:t xml:space="preserve"> </w:t>
      </w:r>
      <w:proofErr w:type="spellStart"/>
      <w:r w:rsidRPr="00F368EB">
        <w:rPr>
          <w:rFonts w:ascii="Arial" w:hAnsi="Arial" w:cs="Arial"/>
          <w:sz w:val="22"/>
        </w:rPr>
        <w:t>Intraseasonal</w:t>
      </w:r>
      <w:proofErr w:type="spellEnd"/>
      <w:r w:rsidRPr="00F368EB">
        <w:rPr>
          <w:rFonts w:ascii="Arial" w:hAnsi="Arial" w:cs="Arial"/>
          <w:sz w:val="22"/>
        </w:rPr>
        <w:t xml:space="preserve"> SST–precipitation relationship. </w:t>
      </w:r>
      <w:r w:rsidRPr="00F368EB">
        <w:rPr>
          <w:rStyle w:val="Emphasis"/>
          <w:rFonts w:ascii="Arial" w:hAnsi="Arial" w:cs="Arial"/>
          <w:sz w:val="22"/>
        </w:rPr>
        <w:t>Climate Dynamics</w:t>
      </w:r>
      <w:r w:rsidRPr="00F368EB">
        <w:rPr>
          <w:rFonts w:ascii="Arial" w:hAnsi="Arial" w:cs="Arial"/>
          <w:sz w:val="22"/>
        </w:rPr>
        <w:t>, 45, 2327–2341.</w:t>
      </w:r>
    </w:p>
    <w:p w14:paraId="67F15945"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Sen, P. K. (1968). Estimates of the regression coefficient based on Kendall’s tau. </w:t>
      </w:r>
      <w:r w:rsidRPr="0008666E">
        <w:rPr>
          <w:rStyle w:val="Emphasis"/>
          <w:rFonts w:ascii="Arial" w:hAnsi="Arial" w:cs="Arial"/>
          <w:sz w:val="22"/>
          <w:szCs w:val="22"/>
        </w:rPr>
        <w:t>Journal of the American Statistical Association</w:t>
      </w:r>
      <w:r w:rsidRPr="0008666E">
        <w:rPr>
          <w:rFonts w:ascii="Arial" w:hAnsi="Arial" w:cs="Arial"/>
          <w:sz w:val="22"/>
          <w:szCs w:val="22"/>
        </w:rPr>
        <w:t>, 63, 1379–1389.</w:t>
      </w:r>
    </w:p>
    <w:p w14:paraId="30FAA24E"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Sikka, D. R., &amp; </w:t>
      </w:r>
      <w:proofErr w:type="spellStart"/>
      <w:r w:rsidRPr="0008666E">
        <w:rPr>
          <w:rFonts w:ascii="Arial" w:hAnsi="Arial" w:cs="Arial"/>
          <w:sz w:val="22"/>
          <w:szCs w:val="22"/>
        </w:rPr>
        <w:t>Gadgil</w:t>
      </w:r>
      <w:proofErr w:type="spellEnd"/>
      <w:r w:rsidRPr="0008666E">
        <w:rPr>
          <w:rFonts w:ascii="Arial" w:hAnsi="Arial" w:cs="Arial"/>
          <w:sz w:val="22"/>
          <w:szCs w:val="22"/>
        </w:rPr>
        <w:t xml:space="preserve">, S. (1980). On the maximum cloud zone and the ITCZ over India during the southwest monsoon. </w:t>
      </w:r>
      <w:r w:rsidRPr="0008666E">
        <w:rPr>
          <w:rStyle w:val="Emphasis"/>
          <w:rFonts w:ascii="Arial" w:hAnsi="Arial" w:cs="Arial"/>
          <w:sz w:val="22"/>
          <w:szCs w:val="22"/>
        </w:rPr>
        <w:t>Monthly Weather Review</w:t>
      </w:r>
      <w:r w:rsidRPr="0008666E">
        <w:rPr>
          <w:rFonts w:ascii="Arial" w:hAnsi="Arial" w:cs="Arial"/>
          <w:sz w:val="22"/>
          <w:szCs w:val="22"/>
        </w:rPr>
        <w:t>, 108, 1840–1853.</w:t>
      </w:r>
    </w:p>
    <w:p w14:paraId="1A3155F1"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Sivakumar, M. V. K., &amp; </w:t>
      </w:r>
      <w:proofErr w:type="spellStart"/>
      <w:r w:rsidRPr="0008666E">
        <w:rPr>
          <w:rFonts w:ascii="Arial" w:hAnsi="Arial" w:cs="Arial"/>
          <w:sz w:val="22"/>
          <w:szCs w:val="22"/>
        </w:rPr>
        <w:t>Stefanski</w:t>
      </w:r>
      <w:proofErr w:type="spellEnd"/>
      <w:r w:rsidRPr="0008666E">
        <w:rPr>
          <w:rFonts w:ascii="Arial" w:hAnsi="Arial" w:cs="Arial"/>
          <w:sz w:val="22"/>
          <w:szCs w:val="22"/>
        </w:rPr>
        <w:t xml:space="preserve">, R. (2011). Climate change in agriculture. </w:t>
      </w:r>
      <w:r w:rsidRPr="0008666E">
        <w:rPr>
          <w:rStyle w:val="Emphasis"/>
          <w:rFonts w:ascii="Arial" w:hAnsi="Arial" w:cs="Arial"/>
          <w:sz w:val="22"/>
          <w:szCs w:val="22"/>
        </w:rPr>
        <w:t>Climatic Change</w:t>
      </w:r>
      <w:r w:rsidRPr="0008666E">
        <w:rPr>
          <w:rFonts w:ascii="Arial" w:hAnsi="Arial" w:cs="Arial"/>
          <w:sz w:val="22"/>
          <w:szCs w:val="22"/>
        </w:rPr>
        <w:t>, 109, 13–16.</w:t>
      </w:r>
    </w:p>
    <w:p w14:paraId="71BABC97"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lastRenderedPageBreak/>
        <w:t xml:space="preserve">Subash, N., &amp; </w:t>
      </w:r>
      <w:proofErr w:type="spellStart"/>
      <w:r w:rsidRPr="0008666E">
        <w:rPr>
          <w:rFonts w:ascii="Arial" w:hAnsi="Arial" w:cs="Arial"/>
          <w:sz w:val="22"/>
          <w:szCs w:val="22"/>
        </w:rPr>
        <w:t>Gangwar</w:t>
      </w:r>
      <w:proofErr w:type="spellEnd"/>
      <w:r w:rsidRPr="0008666E">
        <w:rPr>
          <w:rFonts w:ascii="Arial" w:hAnsi="Arial" w:cs="Arial"/>
          <w:sz w:val="22"/>
          <w:szCs w:val="22"/>
        </w:rPr>
        <w:t xml:space="preserve">, B. (2014). Statistical analysis of rainfall variability and trends. </w:t>
      </w:r>
      <w:r w:rsidRPr="0008666E">
        <w:rPr>
          <w:rStyle w:val="Emphasis"/>
          <w:rFonts w:ascii="Arial" w:hAnsi="Arial" w:cs="Arial"/>
          <w:sz w:val="22"/>
          <w:szCs w:val="22"/>
        </w:rPr>
        <w:t>Journal of Agrometeorology</w:t>
      </w:r>
      <w:r w:rsidRPr="0008666E">
        <w:rPr>
          <w:rFonts w:ascii="Arial" w:hAnsi="Arial" w:cs="Arial"/>
          <w:sz w:val="22"/>
          <w:szCs w:val="22"/>
        </w:rPr>
        <w:t>, 16(1), 45–52.</w:t>
      </w:r>
    </w:p>
    <w:p w14:paraId="23E1D5FB"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Trenberth, K. E. (2011). Changes in precipitation with climate change. </w:t>
      </w:r>
      <w:r w:rsidRPr="0008666E">
        <w:rPr>
          <w:rStyle w:val="Emphasis"/>
          <w:rFonts w:ascii="Arial" w:hAnsi="Arial" w:cs="Arial"/>
          <w:sz w:val="22"/>
          <w:szCs w:val="22"/>
        </w:rPr>
        <w:t>Climate Research</w:t>
      </w:r>
      <w:r w:rsidRPr="0008666E">
        <w:rPr>
          <w:rFonts w:ascii="Arial" w:hAnsi="Arial" w:cs="Arial"/>
          <w:sz w:val="22"/>
          <w:szCs w:val="22"/>
        </w:rPr>
        <w:t>, 47, 123–138.</w:t>
      </w:r>
    </w:p>
    <w:p w14:paraId="29DAD208"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van </w:t>
      </w:r>
      <w:proofErr w:type="spellStart"/>
      <w:r w:rsidRPr="0008666E">
        <w:rPr>
          <w:rFonts w:ascii="Arial" w:hAnsi="Arial" w:cs="Arial"/>
          <w:sz w:val="22"/>
          <w:szCs w:val="22"/>
        </w:rPr>
        <w:t>Rooy</w:t>
      </w:r>
      <w:proofErr w:type="spellEnd"/>
      <w:r w:rsidRPr="0008666E">
        <w:rPr>
          <w:rFonts w:ascii="Arial" w:hAnsi="Arial" w:cs="Arial"/>
          <w:sz w:val="22"/>
          <w:szCs w:val="22"/>
        </w:rPr>
        <w:t xml:space="preserve">, M. P. (1965). A rainfall anomaly index independent of time and space. </w:t>
      </w:r>
      <w:proofErr w:type="spellStart"/>
      <w:r w:rsidRPr="0008666E">
        <w:rPr>
          <w:rStyle w:val="Emphasis"/>
          <w:rFonts w:ascii="Arial" w:hAnsi="Arial" w:cs="Arial"/>
          <w:sz w:val="22"/>
          <w:szCs w:val="22"/>
        </w:rPr>
        <w:t>Notos</w:t>
      </w:r>
      <w:proofErr w:type="spellEnd"/>
      <w:r w:rsidRPr="0008666E">
        <w:rPr>
          <w:rFonts w:ascii="Arial" w:hAnsi="Arial" w:cs="Arial"/>
          <w:sz w:val="22"/>
          <w:szCs w:val="22"/>
        </w:rPr>
        <w:t>, 14, 43–48.</w:t>
      </w:r>
    </w:p>
    <w:p w14:paraId="4AB83A33"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Wilhite, D. A. (2000). Drought as a natural hazard: Concepts and definitions. In </w:t>
      </w:r>
      <w:r w:rsidRPr="0008666E">
        <w:rPr>
          <w:rStyle w:val="Emphasis"/>
          <w:rFonts w:ascii="Arial" w:hAnsi="Arial" w:cs="Arial"/>
          <w:sz w:val="22"/>
          <w:szCs w:val="22"/>
        </w:rPr>
        <w:t>Drought: A Global Assessment</w:t>
      </w:r>
      <w:r w:rsidRPr="0008666E">
        <w:rPr>
          <w:rFonts w:ascii="Arial" w:hAnsi="Arial" w:cs="Arial"/>
          <w:sz w:val="22"/>
          <w:szCs w:val="22"/>
        </w:rPr>
        <w:t xml:space="preserve"> (Vol. 1). Routledge, London.</w:t>
      </w:r>
    </w:p>
    <w:p w14:paraId="189D8056"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Wilhite, D. A., &amp; Glantz, M. H. (1985). Understanding the drought phenomenon: The role of definitions. </w:t>
      </w:r>
      <w:r w:rsidRPr="0008666E">
        <w:rPr>
          <w:rStyle w:val="Emphasis"/>
          <w:rFonts w:ascii="Arial" w:hAnsi="Arial" w:cs="Arial"/>
          <w:sz w:val="22"/>
          <w:szCs w:val="22"/>
        </w:rPr>
        <w:t>Water International</w:t>
      </w:r>
      <w:r w:rsidRPr="0008666E">
        <w:rPr>
          <w:rFonts w:ascii="Arial" w:hAnsi="Arial" w:cs="Arial"/>
          <w:sz w:val="22"/>
          <w:szCs w:val="22"/>
        </w:rPr>
        <w:t>, 10, 111–120.</w:t>
      </w:r>
    </w:p>
    <w:p w14:paraId="6D51137E" w14:textId="77777777" w:rsidR="00F368EB" w:rsidRPr="0008666E" w:rsidRDefault="00F368EB" w:rsidP="00C209B5">
      <w:pPr>
        <w:pStyle w:val="NormalWeb"/>
        <w:numPr>
          <w:ilvl w:val="0"/>
          <w:numId w:val="17"/>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World Meteorological Organization (WMO). (2012). </w:t>
      </w:r>
      <w:r w:rsidRPr="0008666E">
        <w:rPr>
          <w:rStyle w:val="Emphasis"/>
          <w:rFonts w:ascii="Arial" w:hAnsi="Arial" w:cs="Arial"/>
          <w:sz w:val="22"/>
          <w:szCs w:val="22"/>
        </w:rPr>
        <w:t>Standardized Precipitation Index User Guide</w:t>
      </w:r>
      <w:r w:rsidRPr="0008666E">
        <w:rPr>
          <w:rFonts w:ascii="Arial" w:hAnsi="Arial" w:cs="Arial"/>
          <w:sz w:val="22"/>
          <w:szCs w:val="22"/>
        </w:rPr>
        <w:t>. WMO-No. 1090, Geneva.</w:t>
      </w:r>
    </w:p>
    <w:p w14:paraId="5A65C813" w14:textId="77777777" w:rsidR="00D56996" w:rsidRPr="0008666E" w:rsidRDefault="00D56996" w:rsidP="006875DF">
      <w:pPr>
        <w:spacing w:after="0"/>
        <w:jc w:val="both"/>
        <w:rPr>
          <w:rFonts w:ascii="Arial" w:hAnsi="Arial" w:cs="Arial"/>
          <w:b/>
        </w:rPr>
      </w:pPr>
    </w:p>
    <w:sectPr w:rsidR="00D56996" w:rsidRPr="0008666E" w:rsidSect="007016B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9D567" w14:textId="77777777" w:rsidR="00E21274" w:rsidRDefault="00E21274" w:rsidP="00B30424">
      <w:pPr>
        <w:spacing w:after="0" w:line="240" w:lineRule="auto"/>
      </w:pPr>
      <w:r>
        <w:separator/>
      </w:r>
    </w:p>
  </w:endnote>
  <w:endnote w:type="continuationSeparator" w:id="0">
    <w:p w14:paraId="5E6FACB6" w14:textId="77777777" w:rsidR="00E21274" w:rsidRDefault="00E21274" w:rsidP="00B30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F3DA0" w14:textId="77777777" w:rsidR="00B30424" w:rsidRDefault="00B304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6FF0F" w14:textId="77777777" w:rsidR="00B30424" w:rsidRDefault="00B304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89CAE" w14:textId="77777777" w:rsidR="00B30424" w:rsidRDefault="00B30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D3144" w14:textId="77777777" w:rsidR="00E21274" w:rsidRDefault="00E21274" w:rsidP="00B30424">
      <w:pPr>
        <w:spacing w:after="0" w:line="240" w:lineRule="auto"/>
      </w:pPr>
      <w:r>
        <w:separator/>
      </w:r>
    </w:p>
  </w:footnote>
  <w:footnote w:type="continuationSeparator" w:id="0">
    <w:p w14:paraId="5654E246" w14:textId="77777777" w:rsidR="00E21274" w:rsidRDefault="00E21274" w:rsidP="00B304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55C2E" w14:textId="1A2D3558" w:rsidR="00B30424" w:rsidRDefault="00B30424">
    <w:pPr>
      <w:pStyle w:val="Header"/>
    </w:pPr>
    <w:r>
      <w:rPr>
        <w:noProof/>
      </w:rPr>
      <w:pict w14:anchorId="5E4F1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9446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AB46" w14:textId="796EDD44" w:rsidR="00B30424" w:rsidRDefault="00B30424">
    <w:pPr>
      <w:pStyle w:val="Header"/>
    </w:pPr>
    <w:r>
      <w:rPr>
        <w:noProof/>
      </w:rPr>
      <w:pict w14:anchorId="37A96A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9446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BDC72" w14:textId="126E97E6" w:rsidR="00B30424" w:rsidRDefault="00B30424">
    <w:pPr>
      <w:pStyle w:val="Header"/>
    </w:pPr>
    <w:r>
      <w:rPr>
        <w:noProof/>
      </w:rPr>
      <w:pict w14:anchorId="111FF7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9446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B09AC"/>
    <w:multiLevelType w:val="hybridMultilevel"/>
    <w:tmpl w:val="6648771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EF3657"/>
    <w:multiLevelType w:val="hybridMultilevel"/>
    <w:tmpl w:val="A8FEA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9D4E2E"/>
    <w:multiLevelType w:val="hybridMultilevel"/>
    <w:tmpl w:val="15B668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64B9E"/>
    <w:multiLevelType w:val="multilevel"/>
    <w:tmpl w:val="7274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B809E8"/>
    <w:multiLevelType w:val="multilevel"/>
    <w:tmpl w:val="7908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2F4D08"/>
    <w:multiLevelType w:val="hybridMultilevel"/>
    <w:tmpl w:val="C47E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931A8D"/>
    <w:multiLevelType w:val="multilevel"/>
    <w:tmpl w:val="A61C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0C16D8"/>
    <w:multiLevelType w:val="multilevel"/>
    <w:tmpl w:val="323CA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B91307"/>
    <w:multiLevelType w:val="multilevel"/>
    <w:tmpl w:val="6B40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B17DB"/>
    <w:multiLevelType w:val="hybridMultilevel"/>
    <w:tmpl w:val="BEC2CD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E874BA"/>
    <w:multiLevelType w:val="multilevel"/>
    <w:tmpl w:val="8A14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7140C6"/>
    <w:multiLevelType w:val="hybridMultilevel"/>
    <w:tmpl w:val="4C0A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FD160E"/>
    <w:multiLevelType w:val="multilevel"/>
    <w:tmpl w:val="A36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F43EF4"/>
    <w:multiLevelType w:val="multilevel"/>
    <w:tmpl w:val="9524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7A3D62"/>
    <w:multiLevelType w:val="hybridMultilevel"/>
    <w:tmpl w:val="210E5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BE25834"/>
    <w:multiLevelType w:val="multilevel"/>
    <w:tmpl w:val="250A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490967"/>
    <w:multiLevelType w:val="multilevel"/>
    <w:tmpl w:val="B04A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5"/>
  </w:num>
  <w:num w:numId="3">
    <w:abstractNumId w:val="3"/>
  </w:num>
  <w:num w:numId="4">
    <w:abstractNumId w:val="13"/>
  </w:num>
  <w:num w:numId="5">
    <w:abstractNumId w:val="12"/>
  </w:num>
  <w:num w:numId="6">
    <w:abstractNumId w:val="6"/>
  </w:num>
  <w:num w:numId="7">
    <w:abstractNumId w:val="16"/>
  </w:num>
  <w:num w:numId="8">
    <w:abstractNumId w:val="10"/>
  </w:num>
  <w:num w:numId="9">
    <w:abstractNumId w:val="7"/>
  </w:num>
  <w:num w:numId="10">
    <w:abstractNumId w:val="4"/>
  </w:num>
  <w:num w:numId="11">
    <w:abstractNumId w:val="5"/>
  </w:num>
  <w:num w:numId="12">
    <w:abstractNumId w:val="2"/>
  </w:num>
  <w:num w:numId="13">
    <w:abstractNumId w:val="11"/>
  </w:num>
  <w:num w:numId="14">
    <w:abstractNumId w:val="9"/>
  </w:num>
  <w:num w:numId="15">
    <w:abstractNumId w:val="14"/>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29C8"/>
    <w:rsid w:val="00066A14"/>
    <w:rsid w:val="0008666E"/>
    <w:rsid w:val="000F2953"/>
    <w:rsid w:val="00141B12"/>
    <w:rsid w:val="001772A9"/>
    <w:rsid w:val="002936E4"/>
    <w:rsid w:val="004A7554"/>
    <w:rsid w:val="005127EB"/>
    <w:rsid w:val="006875DF"/>
    <w:rsid w:val="006B67DB"/>
    <w:rsid w:val="007016BB"/>
    <w:rsid w:val="00797451"/>
    <w:rsid w:val="007A5602"/>
    <w:rsid w:val="007C1713"/>
    <w:rsid w:val="00A11E0B"/>
    <w:rsid w:val="00A229C8"/>
    <w:rsid w:val="00B30424"/>
    <w:rsid w:val="00BA1143"/>
    <w:rsid w:val="00BC5E54"/>
    <w:rsid w:val="00C209B5"/>
    <w:rsid w:val="00C927EB"/>
    <w:rsid w:val="00D56996"/>
    <w:rsid w:val="00E21274"/>
    <w:rsid w:val="00EC0CBD"/>
    <w:rsid w:val="00F11C40"/>
    <w:rsid w:val="00F36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611A49"/>
  <w15:docId w15:val="{D914A111-178A-486E-94EA-64E53479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6BB"/>
  </w:style>
  <w:style w:type="paragraph" w:styleId="Heading1">
    <w:name w:val="heading 1"/>
    <w:basedOn w:val="Normal"/>
    <w:link w:val="Heading1Char"/>
    <w:uiPriority w:val="9"/>
    <w:qFormat/>
    <w:rsid w:val="00A229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229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127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9C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229C8"/>
    <w:rPr>
      <w:rFonts w:ascii="Times New Roman" w:eastAsia="Times New Roman" w:hAnsi="Times New Roman" w:cs="Times New Roman"/>
      <w:b/>
      <w:bCs/>
      <w:sz w:val="36"/>
      <w:szCs w:val="36"/>
    </w:rPr>
  </w:style>
  <w:style w:type="character" w:styleId="Strong">
    <w:name w:val="Strong"/>
    <w:basedOn w:val="DefaultParagraphFont"/>
    <w:uiPriority w:val="22"/>
    <w:qFormat/>
    <w:rsid w:val="00A229C8"/>
    <w:rPr>
      <w:b/>
      <w:bCs/>
    </w:rPr>
  </w:style>
  <w:style w:type="character" w:styleId="Emphasis">
    <w:name w:val="Emphasis"/>
    <w:basedOn w:val="DefaultParagraphFont"/>
    <w:uiPriority w:val="20"/>
    <w:qFormat/>
    <w:rsid w:val="00A229C8"/>
    <w:rPr>
      <w:i/>
      <w:iCs/>
    </w:rPr>
  </w:style>
  <w:style w:type="paragraph" w:styleId="NormalWeb">
    <w:name w:val="Normal (Web)"/>
    <w:basedOn w:val="Normal"/>
    <w:uiPriority w:val="99"/>
    <w:semiHidden/>
    <w:unhideWhenUsed/>
    <w:rsid w:val="00A229C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229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op">
    <w:name w:val="mop"/>
    <w:basedOn w:val="DefaultParagraphFont"/>
    <w:rsid w:val="00A229C8"/>
  </w:style>
  <w:style w:type="character" w:customStyle="1" w:styleId="mord">
    <w:name w:val="mord"/>
    <w:basedOn w:val="DefaultParagraphFont"/>
    <w:rsid w:val="00A229C8"/>
  </w:style>
  <w:style w:type="character" w:customStyle="1" w:styleId="vlist-s">
    <w:name w:val="vlist-s"/>
    <w:basedOn w:val="DefaultParagraphFont"/>
    <w:rsid w:val="00A229C8"/>
  </w:style>
  <w:style w:type="character" w:customStyle="1" w:styleId="katex-mathml">
    <w:name w:val="katex-mathml"/>
    <w:basedOn w:val="DefaultParagraphFont"/>
    <w:rsid w:val="00A229C8"/>
  </w:style>
  <w:style w:type="character" w:customStyle="1" w:styleId="mopen">
    <w:name w:val="mopen"/>
    <w:basedOn w:val="DefaultParagraphFont"/>
    <w:rsid w:val="00A229C8"/>
  </w:style>
  <w:style w:type="character" w:customStyle="1" w:styleId="mclose">
    <w:name w:val="mclose"/>
    <w:basedOn w:val="DefaultParagraphFont"/>
    <w:rsid w:val="00A229C8"/>
  </w:style>
  <w:style w:type="character" w:customStyle="1" w:styleId="mrel">
    <w:name w:val="mrel"/>
    <w:basedOn w:val="DefaultParagraphFont"/>
    <w:rsid w:val="00A229C8"/>
  </w:style>
  <w:style w:type="character" w:customStyle="1" w:styleId="mbin">
    <w:name w:val="mbin"/>
    <w:basedOn w:val="DefaultParagraphFont"/>
    <w:rsid w:val="00A229C8"/>
  </w:style>
  <w:style w:type="character" w:customStyle="1" w:styleId="Heading3Char">
    <w:name w:val="Heading 3 Char"/>
    <w:basedOn w:val="DefaultParagraphFont"/>
    <w:link w:val="Heading3"/>
    <w:uiPriority w:val="9"/>
    <w:semiHidden/>
    <w:rsid w:val="005127EB"/>
    <w:rPr>
      <w:rFonts w:asciiTheme="majorHAnsi" w:eastAsiaTheme="majorEastAsia" w:hAnsiTheme="majorHAnsi" w:cstheme="majorBidi"/>
      <w:b/>
      <w:bCs/>
      <w:color w:val="4F81BD" w:themeColor="accent1"/>
    </w:rPr>
  </w:style>
  <w:style w:type="character" w:customStyle="1" w:styleId="delimsizing">
    <w:name w:val="delimsizing"/>
    <w:basedOn w:val="DefaultParagraphFont"/>
    <w:rsid w:val="005127EB"/>
  </w:style>
  <w:style w:type="character" w:styleId="PlaceholderText">
    <w:name w:val="Placeholder Text"/>
    <w:basedOn w:val="DefaultParagraphFont"/>
    <w:uiPriority w:val="99"/>
    <w:semiHidden/>
    <w:rsid w:val="005127EB"/>
    <w:rPr>
      <w:color w:val="808080"/>
    </w:rPr>
  </w:style>
  <w:style w:type="paragraph" w:styleId="BalloonText">
    <w:name w:val="Balloon Text"/>
    <w:basedOn w:val="Normal"/>
    <w:link w:val="BalloonTextChar"/>
    <w:uiPriority w:val="99"/>
    <w:semiHidden/>
    <w:unhideWhenUsed/>
    <w:rsid w:val="00512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7EB"/>
    <w:rPr>
      <w:rFonts w:ascii="Tahoma" w:hAnsi="Tahoma" w:cs="Tahoma"/>
      <w:sz w:val="16"/>
      <w:szCs w:val="16"/>
    </w:rPr>
  </w:style>
  <w:style w:type="character" w:styleId="Hyperlink">
    <w:name w:val="Hyperlink"/>
    <w:basedOn w:val="DefaultParagraphFont"/>
    <w:uiPriority w:val="99"/>
    <w:unhideWhenUsed/>
    <w:rsid w:val="00C927EB"/>
    <w:rPr>
      <w:color w:val="0000FF" w:themeColor="hyperlink"/>
      <w:u w:val="single"/>
    </w:rPr>
  </w:style>
  <w:style w:type="character" w:styleId="UnresolvedMention">
    <w:name w:val="Unresolved Mention"/>
    <w:basedOn w:val="DefaultParagraphFont"/>
    <w:uiPriority w:val="99"/>
    <w:semiHidden/>
    <w:unhideWhenUsed/>
    <w:rsid w:val="00C927EB"/>
    <w:rPr>
      <w:color w:val="605E5C"/>
      <w:shd w:val="clear" w:color="auto" w:fill="E1DFDD"/>
    </w:rPr>
  </w:style>
  <w:style w:type="paragraph" w:styleId="Header">
    <w:name w:val="header"/>
    <w:basedOn w:val="Normal"/>
    <w:link w:val="HeaderChar"/>
    <w:uiPriority w:val="99"/>
    <w:unhideWhenUsed/>
    <w:rsid w:val="00B304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424"/>
  </w:style>
  <w:style w:type="paragraph" w:styleId="Footer">
    <w:name w:val="footer"/>
    <w:basedOn w:val="Normal"/>
    <w:link w:val="FooterChar"/>
    <w:uiPriority w:val="99"/>
    <w:unhideWhenUsed/>
    <w:rsid w:val="00B304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2233">
      <w:bodyDiv w:val="1"/>
      <w:marLeft w:val="0"/>
      <w:marRight w:val="0"/>
      <w:marTop w:val="0"/>
      <w:marBottom w:val="0"/>
      <w:divBdr>
        <w:top w:val="none" w:sz="0" w:space="0" w:color="auto"/>
        <w:left w:val="none" w:sz="0" w:space="0" w:color="auto"/>
        <w:bottom w:val="none" w:sz="0" w:space="0" w:color="auto"/>
        <w:right w:val="none" w:sz="0" w:space="0" w:color="auto"/>
      </w:divBdr>
    </w:div>
    <w:div w:id="109206476">
      <w:bodyDiv w:val="1"/>
      <w:marLeft w:val="0"/>
      <w:marRight w:val="0"/>
      <w:marTop w:val="0"/>
      <w:marBottom w:val="0"/>
      <w:divBdr>
        <w:top w:val="none" w:sz="0" w:space="0" w:color="auto"/>
        <w:left w:val="none" w:sz="0" w:space="0" w:color="auto"/>
        <w:bottom w:val="none" w:sz="0" w:space="0" w:color="auto"/>
        <w:right w:val="none" w:sz="0" w:space="0" w:color="auto"/>
      </w:divBdr>
    </w:div>
    <w:div w:id="135683971">
      <w:bodyDiv w:val="1"/>
      <w:marLeft w:val="0"/>
      <w:marRight w:val="0"/>
      <w:marTop w:val="0"/>
      <w:marBottom w:val="0"/>
      <w:divBdr>
        <w:top w:val="none" w:sz="0" w:space="0" w:color="auto"/>
        <w:left w:val="none" w:sz="0" w:space="0" w:color="auto"/>
        <w:bottom w:val="none" w:sz="0" w:space="0" w:color="auto"/>
        <w:right w:val="none" w:sz="0" w:space="0" w:color="auto"/>
      </w:divBdr>
    </w:div>
    <w:div w:id="147284208">
      <w:bodyDiv w:val="1"/>
      <w:marLeft w:val="0"/>
      <w:marRight w:val="0"/>
      <w:marTop w:val="0"/>
      <w:marBottom w:val="0"/>
      <w:divBdr>
        <w:top w:val="none" w:sz="0" w:space="0" w:color="auto"/>
        <w:left w:val="none" w:sz="0" w:space="0" w:color="auto"/>
        <w:bottom w:val="none" w:sz="0" w:space="0" w:color="auto"/>
        <w:right w:val="none" w:sz="0" w:space="0" w:color="auto"/>
      </w:divBdr>
    </w:div>
    <w:div w:id="186145134">
      <w:bodyDiv w:val="1"/>
      <w:marLeft w:val="0"/>
      <w:marRight w:val="0"/>
      <w:marTop w:val="0"/>
      <w:marBottom w:val="0"/>
      <w:divBdr>
        <w:top w:val="none" w:sz="0" w:space="0" w:color="auto"/>
        <w:left w:val="none" w:sz="0" w:space="0" w:color="auto"/>
        <w:bottom w:val="none" w:sz="0" w:space="0" w:color="auto"/>
        <w:right w:val="none" w:sz="0" w:space="0" w:color="auto"/>
      </w:divBdr>
    </w:div>
    <w:div w:id="221713930">
      <w:bodyDiv w:val="1"/>
      <w:marLeft w:val="0"/>
      <w:marRight w:val="0"/>
      <w:marTop w:val="0"/>
      <w:marBottom w:val="0"/>
      <w:divBdr>
        <w:top w:val="none" w:sz="0" w:space="0" w:color="auto"/>
        <w:left w:val="none" w:sz="0" w:space="0" w:color="auto"/>
        <w:bottom w:val="none" w:sz="0" w:space="0" w:color="auto"/>
        <w:right w:val="none" w:sz="0" w:space="0" w:color="auto"/>
      </w:divBdr>
    </w:div>
    <w:div w:id="386608772">
      <w:bodyDiv w:val="1"/>
      <w:marLeft w:val="0"/>
      <w:marRight w:val="0"/>
      <w:marTop w:val="0"/>
      <w:marBottom w:val="0"/>
      <w:divBdr>
        <w:top w:val="none" w:sz="0" w:space="0" w:color="auto"/>
        <w:left w:val="none" w:sz="0" w:space="0" w:color="auto"/>
        <w:bottom w:val="none" w:sz="0" w:space="0" w:color="auto"/>
        <w:right w:val="none" w:sz="0" w:space="0" w:color="auto"/>
      </w:divBdr>
    </w:div>
    <w:div w:id="405149062">
      <w:bodyDiv w:val="1"/>
      <w:marLeft w:val="0"/>
      <w:marRight w:val="0"/>
      <w:marTop w:val="0"/>
      <w:marBottom w:val="0"/>
      <w:divBdr>
        <w:top w:val="none" w:sz="0" w:space="0" w:color="auto"/>
        <w:left w:val="none" w:sz="0" w:space="0" w:color="auto"/>
        <w:bottom w:val="none" w:sz="0" w:space="0" w:color="auto"/>
        <w:right w:val="none" w:sz="0" w:space="0" w:color="auto"/>
      </w:divBdr>
    </w:div>
    <w:div w:id="432826194">
      <w:bodyDiv w:val="1"/>
      <w:marLeft w:val="0"/>
      <w:marRight w:val="0"/>
      <w:marTop w:val="0"/>
      <w:marBottom w:val="0"/>
      <w:divBdr>
        <w:top w:val="none" w:sz="0" w:space="0" w:color="auto"/>
        <w:left w:val="none" w:sz="0" w:space="0" w:color="auto"/>
        <w:bottom w:val="none" w:sz="0" w:space="0" w:color="auto"/>
        <w:right w:val="none" w:sz="0" w:space="0" w:color="auto"/>
      </w:divBdr>
    </w:div>
    <w:div w:id="433987099">
      <w:bodyDiv w:val="1"/>
      <w:marLeft w:val="0"/>
      <w:marRight w:val="0"/>
      <w:marTop w:val="0"/>
      <w:marBottom w:val="0"/>
      <w:divBdr>
        <w:top w:val="none" w:sz="0" w:space="0" w:color="auto"/>
        <w:left w:val="none" w:sz="0" w:space="0" w:color="auto"/>
        <w:bottom w:val="none" w:sz="0" w:space="0" w:color="auto"/>
        <w:right w:val="none" w:sz="0" w:space="0" w:color="auto"/>
      </w:divBdr>
    </w:div>
    <w:div w:id="541091438">
      <w:bodyDiv w:val="1"/>
      <w:marLeft w:val="0"/>
      <w:marRight w:val="0"/>
      <w:marTop w:val="0"/>
      <w:marBottom w:val="0"/>
      <w:divBdr>
        <w:top w:val="none" w:sz="0" w:space="0" w:color="auto"/>
        <w:left w:val="none" w:sz="0" w:space="0" w:color="auto"/>
        <w:bottom w:val="none" w:sz="0" w:space="0" w:color="auto"/>
        <w:right w:val="none" w:sz="0" w:space="0" w:color="auto"/>
      </w:divBdr>
    </w:div>
    <w:div w:id="645861780">
      <w:bodyDiv w:val="1"/>
      <w:marLeft w:val="0"/>
      <w:marRight w:val="0"/>
      <w:marTop w:val="0"/>
      <w:marBottom w:val="0"/>
      <w:divBdr>
        <w:top w:val="none" w:sz="0" w:space="0" w:color="auto"/>
        <w:left w:val="none" w:sz="0" w:space="0" w:color="auto"/>
        <w:bottom w:val="none" w:sz="0" w:space="0" w:color="auto"/>
        <w:right w:val="none" w:sz="0" w:space="0" w:color="auto"/>
      </w:divBdr>
    </w:div>
    <w:div w:id="765463179">
      <w:bodyDiv w:val="1"/>
      <w:marLeft w:val="0"/>
      <w:marRight w:val="0"/>
      <w:marTop w:val="0"/>
      <w:marBottom w:val="0"/>
      <w:divBdr>
        <w:top w:val="none" w:sz="0" w:space="0" w:color="auto"/>
        <w:left w:val="none" w:sz="0" w:space="0" w:color="auto"/>
        <w:bottom w:val="none" w:sz="0" w:space="0" w:color="auto"/>
        <w:right w:val="none" w:sz="0" w:space="0" w:color="auto"/>
      </w:divBdr>
    </w:div>
    <w:div w:id="815533464">
      <w:bodyDiv w:val="1"/>
      <w:marLeft w:val="0"/>
      <w:marRight w:val="0"/>
      <w:marTop w:val="0"/>
      <w:marBottom w:val="0"/>
      <w:divBdr>
        <w:top w:val="none" w:sz="0" w:space="0" w:color="auto"/>
        <w:left w:val="none" w:sz="0" w:space="0" w:color="auto"/>
        <w:bottom w:val="none" w:sz="0" w:space="0" w:color="auto"/>
        <w:right w:val="none" w:sz="0" w:space="0" w:color="auto"/>
      </w:divBdr>
    </w:div>
    <w:div w:id="876700254">
      <w:bodyDiv w:val="1"/>
      <w:marLeft w:val="0"/>
      <w:marRight w:val="0"/>
      <w:marTop w:val="0"/>
      <w:marBottom w:val="0"/>
      <w:divBdr>
        <w:top w:val="none" w:sz="0" w:space="0" w:color="auto"/>
        <w:left w:val="none" w:sz="0" w:space="0" w:color="auto"/>
        <w:bottom w:val="none" w:sz="0" w:space="0" w:color="auto"/>
        <w:right w:val="none" w:sz="0" w:space="0" w:color="auto"/>
      </w:divBdr>
    </w:div>
    <w:div w:id="919365800">
      <w:bodyDiv w:val="1"/>
      <w:marLeft w:val="0"/>
      <w:marRight w:val="0"/>
      <w:marTop w:val="0"/>
      <w:marBottom w:val="0"/>
      <w:divBdr>
        <w:top w:val="none" w:sz="0" w:space="0" w:color="auto"/>
        <w:left w:val="none" w:sz="0" w:space="0" w:color="auto"/>
        <w:bottom w:val="none" w:sz="0" w:space="0" w:color="auto"/>
        <w:right w:val="none" w:sz="0" w:space="0" w:color="auto"/>
      </w:divBdr>
    </w:div>
    <w:div w:id="1030381133">
      <w:bodyDiv w:val="1"/>
      <w:marLeft w:val="0"/>
      <w:marRight w:val="0"/>
      <w:marTop w:val="0"/>
      <w:marBottom w:val="0"/>
      <w:divBdr>
        <w:top w:val="none" w:sz="0" w:space="0" w:color="auto"/>
        <w:left w:val="none" w:sz="0" w:space="0" w:color="auto"/>
        <w:bottom w:val="none" w:sz="0" w:space="0" w:color="auto"/>
        <w:right w:val="none" w:sz="0" w:space="0" w:color="auto"/>
      </w:divBdr>
    </w:div>
    <w:div w:id="1121148059">
      <w:bodyDiv w:val="1"/>
      <w:marLeft w:val="0"/>
      <w:marRight w:val="0"/>
      <w:marTop w:val="0"/>
      <w:marBottom w:val="0"/>
      <w:divBdr>
        <w:top w:val="none" w:sz="0" w:space="0" w:color="auto"/>
        <w:left w:val="none" w:sz="0" w:space="0" w:color="auto"/>
        <w:bottom w:val="none" w:sz="0" w:space="0" w:color="auto"/>
        <w:right w:val="none" w:sz="0" w:space="0" w:color="auto"/>
      </w:divBdr>
    </w:div>
    <w:div w:id="1170023524">
      <w:bodyDiv w:val="1"/>
      <w:marLeft w:val="0"/>
      <w:marRight w:val="0"/>
      <w:marTop w:val="0"/>
      <w:marBottom w:val="0"/>
      <w:divBdr>
        <w:top w:val="none" w:sz="0" w:space="0" w:color="auto"/>
        <w:left w:val="none" w:sz="0" w:space="0" w:color="auto"/>
        <w:bottom w:val="none" w:sz="0" w:space="0" w:color="auto"/>
        <w:right w:val="none" w:sz="0" w:space="0" w:color="auto"/>
      </w:divBdr>
    </w:div>
    <w:div w:id="1171020415">
      <w:bodyDiv w:val="1"/>
      <w:marLeft w:val="0"/>
      <w:marRight w:val="0"/>
      <w:marTop w:val="0"/>
      <w:marBottom w:val="0"/>
      <w:divBdr>
        <w:top w:val="none" w:sz="0" w:space="0" w:color="auto"/>
        <w:left w:val="none" w:sz="0" w:space="0" w:color="auto"/>
        <w:bottom w:val="none" w:sz="0" w:space="0" w:color="auto"/>
        <w:right w:val="none" w:sz="0" w:space="0" w:color="auto"/>
      </w:divBdr>
    </w:div>
    <w:div w:id="1313102978">
      <w:bodyDiv w:val="1"/>
      <w:marLeft w:val="0"/>
      <w:marRight w:val="0"/>
      <w:marTop w:val="0"/>
      <w:marBottom w:val="0"/>
      <w:divBdr>
        <w:top w:val="none" w:sz="0" w:space="0" w:color="auto"/>
        <w:left w:val="none" w:sz="0" w:space="0" w:color="auto"/>
        <w:bottom w:val="none" w:sz="0" w:space="0" w:color="auto"/>
        <w:right w:val="none" w:sz="0" w:space="0" w:color="auto"/>
      </w:divBdr>
    </w:div>
    <w:div w:id="1374424354">
      <w:bodyDiv w:val="1"/>
      <w:marLeft w:val="0"/>
      <w:marRight w:val="0"/>
      <w:marTop w:val="0"/>
      <w:marBottom w:val="0"/>
      <w:divBdr>
        <w:top w:val="none" w:sz="0" w:space="0" w:color="auto"/>
        <w:left w:val="none" w:sz="0" w:space="0" w:color="auto"/>
        <w:bottom w:val="none" w:sz="0" w:space="0" w:color="auto"/>
        <w:right w:val="none" w:sz="0" w:space="0" w:color="auto"/>
      </w:divBdr>
    </w:div>
    <w:div w:id="1415785579">
      <w:bodyDiv w:val="1"/>
      <w:marLeft w:val="0"/>
      <w:marRight w:val="0"/>
      <w:marTop w:val="0"/>
      <w:marBottom w:val="0"/>
      <w:divBdr>
        <w:top w:val="none" w:sz="0" w:space="0" w:color="auto"/>
        <w:left w:val="none" w:sz="0" w:space="0" w:color="auto"/>
        <w:bottom w:val="none" w:sz="0" w:space="0" w:color="auto"/>
        <w:right w:val="none" w:sz="0" w:space="0" w:color="auto"/>
      </w:divBdr>
    </w:div>
    <w:div w:id="1453132490">
      <w:bodyDiv w:val="1"/>
      <w:marLeft w:val="0"/>
      <w:marRight w:val="0"/>
      <w:marTop w:val="0"/>
      <w:marBottom w:val="0"/>
      <w:divBdr>
        <w:top w:val="none" w:sz="0" w:space="0" w:color="auto"/>
        <w:left w:val="none" w:sz="0" w:space="0" w:color="auto"/>
        <w:bottom w:val="none" w:sz="0" w:space="0" w:color="auto"/>
        <w:right w:val="none" w:sz="0" w:space="0" w:color="auto"/>
      </w:divBdr>
    </w:div>
    <w:div w:id="1458647406">
      <w:bodyDiv w:val="1"/>
      <w:marLeft w:val="0"/>
      <w:marRight w:val="0"/>
      <w:marTop w:val="0"/>
      <w:marBottom w:val="0"/>
      <w:divBdr>
        <w:top w:val="none" w:sz="0" w:space="0" w:color="auto"/>
        <w:left w:val="none" w:sz="0" w:space="0" w:color="auto"/>
        <w:bottom w:val="none" w:sz="0" w:space="0" w:color="auto"/>
        <w:right w:val="none" w:sz="0" w:space="0" w:color="auto"/>
      </w:divBdr>
    </w:div>
    <w:div w:id="1513910024">
      <w:bodyDiv w:val="1"/>
      <w:marLeft w:val="0"/>
      <w:marRight w:val="0"/>
      <w:marTop w:val="0"/>
      <w:marBottom w:val="0"/>
      <w:divBdr>
        <w:top w:val="none" w:sz="0" w:space="0" w:color="auto"/>
        <w:left w:val="none" w:sz="0" w:space="0" w:color="auto"/>
        <w:bottom w:val="none" w:sz="0" w:space="0" w:color="auto"/>
        <w:right w:val="none" w:sz="0" w:space="0" w:color="auto"/>
      </w:divBdr>
    </w:div>
    <w:div w:id="1515535659">
      <w:bodyDiv w:val="1"/>
      <w:marLeft w:val="0"/>
      <w:marRight w:val="0"/>
      <w:marTop w:val="0"/>
      <w:marBottom w:val="0"/>
      <w:divBdr>
        <w:top w:val="none" w:sz="0" w:space="0" w:color="auto"/>
        <w:left w:val="none" w:sz="0" w:space="0" w:color="auto"/>
        <w:bottom w:val="none" w:sz="0" w:space="0" w:color="auto"/>
        <w:right w:val="none" w:sz="0" w:space="0" w:color="auto"/>
      </w:divBdr>
    </w:div>
    <w:div w:id="1566529119">
      <w:bodyDiv w:val="1"/>
      <w:marLeft w:val="0"/>
      <w:marRight w:val="0"/>
      <w:marTop w:val="0"/>
      <w:marBottom w:val="0"/>
      <w:divBdr>
        <w:top w:val="none" w:sz="0" w:space="0" w:color="auto"/>
        <w:left w:val="none" w:sz="0" w:space="0" w:color="auto"/>
        <w:bottom w:val="none" w:sz="0" w:space="0" w:color="auto"/>
        <w:right w:val="none" w:sz="0" w:space="0" w:color="auto"/>
      </w:divBdr>
    </w:div>
    <w:div w:id="1591430557">
      <w:bodyDiv w:val="1"/>
      <w:marLeft w:val="0"/>
      <w:marRight w:val="0"/>
      <w:marTop w:val="0"/>
      <w:marBottom w:val="0"/>
      <w:divBdr>
        <w:top w:val="none" w:sz="0" w:space="0" w:color="auto"/>
        <w:left w:val="none" w:sz="0" w:space="0" w:color="auto"/>
        <w:bottom w:val="none" w:sz="0" w:space="0" w:color="auto"/>
        <w:right w:val="none" w:sz="0" w:space="0" w:color="auto"/>
      </w:divBdr>
    </w:div>
    <w:div w:id="1644192815">
      <w:bodyDiv w:val="1"/>
      <w:marLeft w:val="0"/>
      <w:marRight w:val="0"/>
      <w:marTop w:val="0"/>
      <w:marBottom w:val="0"/>
      <w:divBdr>
        <w:top w:val="none" w:sz="0" w:space="0" w:color="auto"/>
        <w:left w:val="none" w:sz="0" w:space="0" w:color="auto"/>
        <w:bottom w:val="none" w:sz="0" w:space="0" w:color="auto"/>
        <w:right w:val="none" w:sz="0" w:space="0" w:color="auto"/>
      </w:divBdr>
    </w:div>
    <w:div w:id="1650094275">
      <w:bodyDiv w:val="1"/>
      <w:marLeft w:val="0"/>
      <w:marRight w:val="0"/>
      <w:marTop w:val="0"/>
      <w:marBottom w:val="0"/>
      <w:divBdr>
        <w:top w:val="none" w:sz="0" w:space="0" w:color="auto"/>
        <w:left w:val="none" w:sz="0" w:space="0" w:color="auto"/>
        <w:bottom w:val="none" w:sz="0" w:space="0" w:color="auto"/>
        <w:right w:val="none" w:sz="0" w:space="0" w:color="auto"/>
      </w:divBdr>
    </w:div>
    <w:div w:id="1650472462">
      <w:bodyDiv w:val="1"/>
      <w:marLeft w:val="0"/>
      <w:marRight w:val="0"/>
      <w:marTop w:val="0"/>
      <w:marBottom w:val="0"/>
      <w:divBdr>
        <w:top w:val="none" w:sz="0" w:space="0" w:color="auto"/>
        <w:left w:val="none" w:sz="0" w:space="0" w:color="auto"/>
        <w:bottom w:val="none" w:sz="0" w:space="0" w:color="auto"/>
        <w:right w:val="none" w:sz="0" w:space="0" w:color="auto"/>
      </w:divBdr>
    </w:div>
    <w:div w:id="1752579262">
      <w:bodyDiv w:val="1"/>
      <w:marLeft w:val="0"/>
      <w:marRight w:val="0"/>
      <w:marTop w:val="0"/>
      <w:marBottom w:val="0"/>
      <w:divBdr>
        <w:top w:val="none" w:sz="0" w:space="0" w:color="auto"/>
        <w:left w:val="none" w:sz="0" w:space="0" w:color="auto"/>
        <w:bottom w:val="none" w:sz="0" w:space="0" w:color="auto"/>
        <w:right w:val="none" w:sz="0" w:space="0" w:color="auto"/>
      </w:divBdr>
    </w:div>
    <w:div w:id="1767579854">
      <w:bodyDiv w:val="1"/>
      <w:marLeft w:val="0"/>
      <w:marRight w:val="0"/>
      <w:marTop w:val="0"/>
      <w:marBottom w:val="0"/>
      <w:divBdr>
        <w:top w:val="none" w:sz="0" w:space="0" w:color="auto"/>
        <w:left w:val="none" w:sz="0" w:space="0" w:color="auto"/>
        <w:bottom w:val="none" w:sz="0" w:space="0" w:color="auto"/>
        <w:right w:val="none" w:sz="0" w:space="0" w:color="auto"/>
      </w:divBdr>
    </w:div>
    <w:div w:id="1774596375">
      <w:bodyDiv w:val="1"/>
      <w:marLeft w:val="0"/>
      <w:marRight w:val="0"/>
      <w:marTop w:val="0"/>
      <w:marBottom w:val="0"/>
      <w:divBdr>
        <w:top w:val="none" w:sz="0" w:space="0" w:color="auto"/>
        <w:left w:val="none" w:sz="0" w:space="0" w:color="auto"/>
        <w:bottom w:val="none" w:sz="0" w:space="0" w:color="auto"/>
        <w:right w:val="none" w:sz="0" w:space="0" w:color="auto"/>
      </w:divBdr>
    </w:div>
    <w:div w:id="1935625473">
      <w:bodyDiv w:val="1"/>
      <w:marLeft w:val="0"/>
      <w:marRight w:val="0"/>
      <w:marTop w:val="0"/>
      <w:marBottom w:val="0"/>
      <w:divBdr>
        <w:top w:val="none" w:sz="0" w:space="0" w:color="auto"/>
        <w:left w:val="none" w:sz="0" w:space="0" w:color="auto"/>
        <w:bottom w:val="none" w:sz="0" w:space="0" w:color="auto"/>
        <w:right w:val="none" w:sz="0" w:space="0" w:color="auto"/>
      </w:divBdr>
    </w:div>
    <w:div w:id="2103643198">
      <w:bodyDiv w:val="1"/>
      <w:marLeft w:val="0"/>
      <w:marRight w:val="0"/>
      <w:marTop w:val="0"/>
      <w:marBottom w:val="0"/>
      <w:divBdr>
        <w:top w:val="none" w:sz="0" w:space="0" w:color="auto"/>
        <w:left w:val="none" w:sz="0" w:space="0" w:color="auto"/>
        <w:bottom w:val="none" w:sz="0" w:space="0" w:color="auto"/>
        <w:right w:val="none" w:sz="0" w:space="0" w:color="auto"/>
      </w:divBdr>
    </w:div>
    <w:div w:id="213798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52B6C-FA62-4B24-AD23-3996EE42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15</Pages>
  <Words>4516</Words>
  <Characters>25745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SDI 1084</cp:lastModifiedBy>
  <cp:revision>12</cp:revision>
  <cp:lastPrinted>2026-01-18T08:57:00Z</cp:lastPrinted>
  <dcterms:created xsi:type="dcterms:W3CDTF">2026-01-17T10:26:00Z</dcterms:created>
  <dcterms:modified xsi:type="dcterms:W3CDTF">2026-01-19T11:51:00Z</dcterms:modified>
</cp:coreProperties>
</file>