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9C89F" w14:textId="77777777" w:rsidR="00806104" w:rsidRDefault="00E80556" w:rsidP="00DB2052">
      <w:pPr>
        <w:pStyle w:val="Heading1"/>
        <w:spacing w:line="240" w:lineRule="auto"/>
        <w:jc w:val="right"/>
        <w:rPr>
          <w:rFonts w:ascii="Arial" w:eastAsia="Calibri" w:hAnsi="Arial" w:cs="Arial"/>
          <w:color w:val="auto"/>
          <w:sz w:val="36"/>
          <w:szCs w:val="36"/>
        </w:rPr>
      </w:pPr>
      <w:bookmarkStart w:id="0" w:name="_Toc220922783"/>
      <w:bookmarkStart w:id="1" w:name="_Toc220922785"/>
      <w:r w:rsidRPr="00806104">
        <w:rPr>
          <w:rFonts w:ascii="Arial" w:eastAsia="Calibri" w:hAnsi="Arial" w:cs="Arial"/>
          <w:color w:val="auto"/>
          <w:sz w:val="36"/>
          <w:szCs w:val="36"/>
        </w:rPr>
        <w:t>Nutritional characteristics of spaghetti produced from blends of wheat-sorghum-</w:t>
      </w:r>
      <w:r w:rsidRPr="00806104">
        <w:rPr>
          <w:rFonts w:ascii="Arial" w:eastAsia="Calibri" w:hAnsi="Arial" w:cs="Arial"/>
          <w:i/>
          <w:iCs/>
          <w:color w:val="auto"/>
          <w:sz w:val="36"/>
          <w:szCs w:val="36"/>
        </w:rPr>
        <w:t xml:space="preserve">bombax </w:t>
      </w:r>
      <w:proofErr w:type="spellStart"/>
      <w:r w:rsidRPr="00806104">
        <w:rPr>
          <w:rFonts w:ascii="Arial" w:eastAsia="Calibri" w:hAnsi="Arial" w:cs="Arial"/>
          <w:i/>
          <w:iCs/>
          <w:color w:val="auto"/>
          <w:sz w:val="36"/>
          <w:szCs w:val="36"/>
        </w:rPr>
        <w:t>costatum</w:t>
      </w:r>
      <w:proofErr w:type="spellEnd"/>
      <w:r w:rsidRPr="00806104">
        <w:rPr>
          <w:rFonts w:ascii="Arial" w:eastAsia="Calibri" w:hAnsi="Arial" w:cs="Arial"/>
          <w:color w:val="auto"/>
          <w:sz w:val="36"/>
          <w:szCs w:val="36"/>
        </w:rPr>
        <w:t xml:space="preserve"> calyce</w:t>
      </w:r>
      <w:r w:rsidR="00806104">
        <w:rPr>
          <w:rFonts w:ascii="Arial" w:eastAsia="Calibri" w:hAnsi="Arial" w:cs="Arial"/>
          <w:color w:val="auto"/>
          <w:sz w:val="36"/>
          <w:szCs w:val="36"/>
        </w:rPr>
        <w:t>s</w:t>
      </w:r>
    </w:p>
    <w:p w14:paraId="10EAA1B1" w14:textId="7B27A1C1" w:rsidR="0080510B" w:rsidRDefault="00E80556" w:rsidP="00825F57">
      <w:pPr>
        <w:pStyle w:val="Heading1"/>
        <w:spacing w:line="240" w:lineRule="auto"/>
        <w:jc w:val="right"/>
        <w:rPr>
          <w:rFonts w:ascii="Arial" w:eastAsia="Calibri" w:hAnsi="Arial" w:cs="Arial"/>
          <w:color w:val="auto"/>
          <w:sz w:val="36"/>
          <w:szCs w:val="36"/>
        </w:rPr>
      </w:pPr>
      <w:r w:rsidRPr="00806104">
        <w:rPr>
          <w:rFonts w:ascii="Arial" w:eastAsia="Calibri" w:hAnsi="Arial" w:cs="Arial"/>
          <w:color w:val="auto"/>
          <w:sz w:val="36"/>
          <w:szCs w:val="36"/>
        </w:rPr>
        <w:t xml:space="preserve"> </w:t>
      </w:r>
    </w:p>
    <w:p w14:paraId="3A756C17" w14:textId="77777777" w:rsidR="00825F57" w:rsidRPr="00825F57" w:rsidRDefault="00825F57" w:rsidP="00825F57"/>
    <w:p w14:paraId="2CB89CE8" w14:textId="485173F2" w:rsidR="00666C7C" w:rsidRPr="00304C68" w:rsidRDefault="00666C7C" w:rsidP="00304C68">
      <w:pPr>
        <w:pStyle w:val="Heading1"/>
        <w:jc w:val="both"/>
        <w:rPr>
          <w:rFonts w:ascii="Arial" w:eastAsia="Calibri" w:hAnsi="Arial" w:cs="Arial"/>
          <w:b/>
          <w:bCs/>
          <w:color w:val="auto"/>
          <w:sz w:val="22"/>
          <w:szCs w:val="22"/>
        </w:rPr>
      </w:pPr>
      <w:r w:rsidRPr="00304C68">
        <w:rPr>
          <w:rFonts w:ascii="Arial" w:eastAsia="Calibri" w:hAnsi="Arial" w:cs="Arial"/>
          <w:b/>
          <w:bCs/>
          <w:color w:val="auto"/>
          <w:sz w:val="22"/>
          <w:szCs w:val="22"/>
        </w:rPr>
        <w:t>ABSTRACT</w:t>
      </w:r>
      <w:bookmarkEnd w:id="0"/>
    </w:p>
    <w:p w14:paraId="416836F0" w14:textId="353F8C77" w:rsidR="00666C7C" w:rsidRPr="00304C68" w:rsidRDefault="00666C7C" w:rsidP="00666C7C">
      <w:pPr>
        <w:jc w:val="both"/>
        <w:rPr>
          <w:rFonts w:ascii="Arial" w:eastAsia="Calibri" w:hAnsi="Arial" w:cs="Arial"/>
          <w:sz w:val="20"/>
          <w:szCs w:val="20"/>
        </w:rPr>
      </w:pPr>
      <w:r w:rsidRPr="00304C68">
        <w:rPr>
          <w:rFonts w:ascii="Arial" w:eastAsia="Calibri" w:hAnsi="Arial" w:cs="Arial"/>
          <w:sz w:val="20"/>
          <w:szCs w:val="20"/>
        </w:rPr>
        <w:t>Th</w:t>
      </w:r>
      <w:r w:rsidR="00DB2052" w:rsidRPr="00304C68">
        <w:rPr>
          <w:rFonts w:ascii="Arial" w:eastAsia="Calibri" w:hAnsi="Arial" w:cs="Arial"/>
          <w:sz w:val="20"/>
          <w:szCs w:val="20"/>
        </w:rPr>
        <w:t>e</w:t>
      </w:r>
      <w:r w:rsidRPr="00304C68">
        <w:rPr>
          <w:rFonts w:ascii="Arial" w:eastAsia="Calibri" w:hAnsi="Arial" w:cs="Arial"/>
          <w:sz w:val="20"/>
          <w:szCs w:val="20"/>
        </w:rPr>
        <w:t xml:space="preserve"> study evaluated the quality of spaghetti </w:t>
      </w:r>
      <w:r w:rsidR="007526D0" w:rsidRPr="00304C68">
        <w:rPr>
          <w:rFonts w:ascii="Arial" w:eastAsia="Calibri" w:hAnsi="Arial" w:cs="Arial"/>
          <w:sz w:val="20"/>
          <w:szCs w:val="20"/>
        </w:rPr>
        <w:t xml:space="preserve">produced </w:t>
      </w:r>
      <w:r w:rsidRPr="00304C68">
        <w:rPr>
          <w:rFonts w:ascii="Arial" w:eastAsia="Calibri" w:hAnsi="Arial" w:cs="Arial"/>
          <w:sz w:val="20"/>
          <w:szCs w:val="20"/>
        </w:rPr>
        <w:t>from</w:t>
      </w:r>
      <w:r w:rsidR="007526D0" w:rsidRPr="00304C68">
        <w:rPr>
          <w:rFonts w:ascii="Arial" w:eastAsia="Calibri" w:hAnsi="Arial" w:cs="Arial"/>
          <w:sz w:val="20"/>
          <w:szCs w:val="20"/>
        </w:rPr>
        <w:t xml:space="preserve"> blends of</w:t>
      </w:r>
      <w:r w:rsidRPr="00304C68">
        <w:rPr>
          <w:rFonts w:ascii="Arial" w:eastAsia="Calibri" w:hAnsi="Arial" w:cs="Arial"/>
          <w:sz w:val="20"/>
          <w:szCs w:val="20"/>
        </w:rPr>
        <w:t xml:space="preserve"> wheat, sorghum,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proofErr w:type="gramStart"/>
      <w:r w:rsidRPr="00304C68">
        <w:rPr>
          <w:rFonts w:ascii="Arial" w:eastAsia="Calibri" w:hAnsi="Arial" w:cs="Arial"/>
          <w:sz w:val="20"/>
          <w:szCs w:val="20"/>
        </w:rPr>
        <w:t>calyces</w:t>
      </w:r>
      <w:proofErr w:type="gramEnd"/>
      <w:r w:rsidRPr="00304C68">
        <w:rPr>
          <w:rFonts w:ascii="Arial" w:eastAsia="Calibri" w:hAnsi="Arial" w:cs="Arial"/>
          <w:sz w:val="20"/>
          <w:szCs w:val="20"/>
        </w:rPr>
        <w:t xml:space="preserve"> flour. Wheat flour was partially replaced with sorghum flour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proofErr w:type="gramStart"/>
      <w:r w:rsidRPr="00304C68">
        <w:rPr>
          <w:rFonts w:ascii="Arial" w:eastAsia="Calibri" w:hAnsi="Arial" w:cs="Arial"/>
          <w:sz w:val="20"/>
          <w:szCs w:val="20"/>
        </w:rPr>
        <w:t>calyces</w:t>
      </w:r>
      <w:proofErr w:type="gramEnd"/>
      <w:r w:rsidRPr="00304C68">
        <w:rPr>
          <w:rFonts w:ascii="Arial" w:eastAsia="Calibri" w:hAnsi="Arial" w:cs="Arial"/>
          <w:sz w:val="20"/>
          <w:szCs w:val="20"/>
        </w:rPr>
        <w:t xml:space="preserve"> flour at different ratios (20: 80: 0, 20: 70: 10, 20: 60: 20, 20: 50: 30, and 20: 40: 40), and the resulting composite flours were used to make spaghetti. Standard methods were employed in raw material preparation and analysis. Results showed that </w:t>
      </w:r>
      <w:r w:rsidR="00DB2052" w:rsidRPr="00304C68">
        <w:rPr>
          <w:rFonts w:ascii="Arial" w:eastAsia="Calibri" w:hAnsi="Arial" w:cs="Arial"/>
          <w:sz w:val="20"/>
          <w:szCs w:val="20"/>
        </w:rPr>
        <w:t>the addition of</w:t>
      </w:r>
      <w:r w:rsidRPr="00304C68">
        <w:rPr>
          <w:rFonts w:ascii="Arial" w:eastAsia="Calibri" w:hAnsi="Arial" w:cs="Arial"/>
          <w:sz w:val="20"/>
          <w:szCs w:val="20"/>
        </w:rPr>
        <w:t xml:space="preserve"> sorghum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r w:rsidRPr="00304C68">
        <w:rPr>
          <w:rFonts w:ascii="Arial" w:eastAsia="Calibri" w:hAnsi="Arial" w:cs="Arial"/>
          <w:sz w:val="20"/>
          <w:szCs w:val="20"/>
        </w:rPr>
        <w:t>calyces flour enhanced the nutritional profile of the spaghetti</w:t>
      </w:r>
      <w:r w:rsidR="007526D0" w:rsidRPr="00304C68">
        <w:rPr>
          <w:rFonts w:ascii="Arial" w:eastAsia="Calibri" w:hAnsi="Arial" w:cs="Arial"/>
          <w:sz w:val="20"/>
          <w:szCs w:val="20"/>
        </w:rPr>
        <w:t xml:space="preserve">; </w:t>
      </w:r>
      <w:r w:rsidRPr="00304C68">
        <w:rPr>
          <w:rFonts w:ascii="Arial" w:eastAsia="Calibri" w:hAnsi="Arial" w:cs="Arial"/>
          <w:sz w:val="20"/>
          <w:szCs w:val="20"/>
        </w:rPr>
        <w:t xml:space="preserve">Fiber (2. </w:t>
      </w:r>
      <w:r w:rsidR="00DE2E13" w:rsidRPr="00304C68">
        <w:rPr>
          <w:rFonts w:ascii="Arial" w:eastAsia="Calibri" w:hAnsi="Arial" w:cs="Arial"/>
          <w:sz w:val="20"/>
          <w:szCs w:val="20"/>
        </w:rPr>
        <w:t>35</w:t>
      </w:r>
      <w:r w:rsidRPr="00304C68">
        <w:rPr>
          <w:rFonts w:ascii="Arial" w:eastAsia="Calibri" w:hAnsi="Arial" w:cs="Arial"/>
          <w:sz w:val="20"/>
          <w:szCs w:val="20"/>
        </w:rPr>
        <w:t xml:space="preserve">-8. </w:t>
      </w:r>
      <w:r w:rsidR="00DE2E13" w:rsidRPr="00304C68">
        <w:rPr>
          <w:rFonts w:ascii="Arial" w:eastAsia="Calibri" w:hAnsi="Arial" w:cs="Arial"/>
          <w:sz w:val="20"/>
          <w:szCs w:val="20"/>
        </w:rPr>
        <w:t>55</w:t>
      </w:r>
      <w:r w:rsidRPr="00304C68">
        <w:rPr>
          <w:rFonts w:ascii="Arial" w:eastAsia="Calibri" w:hAnsi="Arial" w:cs="Arial"/>
          <w:sz w:val="20"/>
          <w:szCs w:val="20"/>
        </w:rPr>
        <w:t xml:space="preserve">%), ash (2. </w:t>
      </w:r>
      <w:r w:rsidR="00DE2E13" w:rsidRPr="00304C68">
        <w:rPr>
          <w:rFonts w:ascii="Arial" w:eastAsia="Calibri" w:hAnsi="Arial" w:cs="Arial"/>
          <w:sz w:val="20"/>
          <w:szCs w:val="20"/>
        </w:rPr>
        <w:t>03</w:t>
      </w:r>
      <w:r w:rsidRPr="00304C68">
        <w:rPr>
          <w:rFonts w:ascii="Arial" w:eastAsia="Calibri" w:hAnsi="Arial" w:cs="Arial"/>
          <w:sz w:val="20"/>
          <w:szCs w:val="20"/>
        </w:rPr>
        <w:t>-</w:t>
      </w:r>
      <w:r w:rsidR="00DE2E13" w:rsidRPr="00304C68">
        <w:rPr>
          <w:rFonts w:ascii="Arial" w:eastAsia="Calibri" w:hAnsi="Arial" w:cs="Arial"/>
          <w:sz w:val="20"/>
          <w:szCs w:val="20"/>
        </w:rPr>
        <w:t>3.56</w:t>
      </w:r>
      <w:r w:rsidRPr="00304C68">
        <w:rPr>
          <w:rFonts w:ascii="Arial" w:eastAsia="Calibri" w:hAnsi="Arial" w:cs="Arial"/>
          <w:sz w:val="20"/>
          <w:szCs w:val="20"/>
        </w:rPr>
        <w:t xml:space="preserve">), </w:t>
      </w:r>
      <w:r w:rsidR="00E80556" w:rsidRPr="00304C68">
        <w:rPr>
          <w:rFonts w:ascii="Arial" w:eastAsia="Calibri" w:hAnsi="Arial" w:cs="Arial"/>
          <w:sz w:val="20"/>
          <w:szCs w:val="20"/>
        </w:rPr>
        <w:t>fat (3.</w:t>
      </w:r>
      <w:r w:rsidR="00E25A36" w:rsidRPr="00304C68">
        <w:rPr>
          <w:rFonts w:ascii="Arial" w:eastAsia="Calibri" w:hAnsi="Arial" w:cs="Arial"/>
          <w:sz w:val="20"/>
          <w:szCs w:val="20"/>
        </w:rPr>
        <w:t>30</w:t>
      </w:r>
      <w:r w:rsidR="00E80556" w:rsidRPr="00304C68">
        <w:rPr>
          <w:rFonts w:ascii="Arial" w:eastAsia="Calibri" w:hAnsi="Arial" w:cs="Arial"/>
          <w:sz w:val="20"/>
          <w:szCs w:val="20"/>
        </w:rPr>
        <w:t xml:space="preserve">-3.83%) </w:t>
      </w:r>
      <w:r w:rsidRPr="00304C68">
        <w:rPr>
          <w:rFonts w:ascii="Arial" w:eastAsia="Calibri" w:hAnsi="Arial" w:cs="Arial"/>
          <w:sz w:val="20"/>
          <w:szCs w:val="20"/>
        </w:rPr>
        <w:t>and moisture (</w:t>
      </w:r>
      <w:r w:rsidR="00DE2E13" w:rsidRPr="00304C68">
        <w:rPr>
          <w:rFonts w:ascii="Arial" w:eastAsia="Calibri" w:hAnsi="Arial" w:cs="Arial"/>
          <w:sz w:val="20"/>
          <w:szCs w:val="20"/>
        </w:rPr>
        <w:t>9.28-</w:t>
      </w:r>
      <w:r w:rsidRPr="00304C68">
        <w:rPr>
          <w:rFonts w:ascii="Arial" w:eastAsia="Calibri" w:hAnsi="Arial" w:cs="Arial"/>
          <w:sz w:val="20"/>
          <w:szCs w:val="20"/>
        </w:rPr>
        <w:t>13.</w:t>
      </w:r>
      <w:r w:rsidR="00DE2E13" w:rsidRPr="00304C68">
        <w:rPr>
          <w:rFonts w:ascii="Arial" w:eastAsia="Calibri" w:hAnsi="Arial" w:cs="Arial"/>
          <w:sz w:val="20"/>
          <w:szCs w:val="20"/>
        </w:rPr>
        <w:t>25</w:t>
      </w:r>
      <w:r w:rsidRPr="00304C68">
        <w:rPr>
          <w:rFonts w:ascii="Arial" w:eastAsia="Calibri" w:hAnsi="Arial" w:cs="Arial"/>
          <w:sz w:val="20"/>
          <w:szCs w:val="20"/>
        </w:rPr>
        <w:t>%) levels increased, while protein (</w:t>
      </w:r>
      <w:r w:rsidR="00DE2E13" w:rsidRPr="00304C68">
        <w:rPr>
          <w:rFonts w:ascii="Arial" w:eastAsia="Calibri" w:hAnsi="Arial" w:cs="Arial"/>
          <w:sz w:val="20"/>
          <w:szCs w:val="20"/>
        </w:rPr>
        <w:t>9.31</w:t>
      </w:r>
      <w:r w:rsidRPr="00304C68">
        <w:rPr>
          <w:rFonts w:ascii="Arial" w:eastAsia="Calibri" w:hAnsi="Arial" w:cs="Arial"/>
          <w:sz w:val="20"/>
          <w:szCs w:val="20"/>
        </w:rPr>
        <w:t>-1</w:t>
      </w:r>
      <w:r w:rsidR="00DE2E13" w:rsidRPr="00304C68">
        <w:rPr>
          <w:rFonts w:ascii="Arial" w:eastAsia="Calibri" w:hAnsi="Arial" w:cs="Arial"/>
          <w:sz w:val="20"/>
          <w:szCs w:val="20"/>
        </w:rPr>
        <w:t>0</w:t>
      </w:r>
      <w:r w:rsidRPr="00304C68">
        <w:rPr>
          <w:rFonts w:ascii="Arial" w:eastAsia="Calibri" w:hAnsi="Arial" w:cs="Arial"/>
          <w:sz w:val="20"/>
          <w:szCs w:val="20"/>
        </w:rPr>
        <w:t>.</w:t>
      </w:r>
      <w:r w:rsidR="00E25A36" w:rsidRPr="00304C68">
        <w:rPr>
          <w:rFonts w:ascii="Arial" w:eastAsia="Calibri" w:hAnsi="Arial" w:cs="Arial"/>
          <w:sz w:val="20"/>
          <w:szCs w:val="20"/>
        </w:rPr>
        <w:t>25</w:t>
      </w:r>
      <w:r w:rsidRPr="00304C68">
        <w:rPr>
          <w:rFonts w:ascii="Arial" w:eastAsia="Calibri" w:hAnsi="Arial" w:cs="Arial"/>
          <w:sz w:val="20"/>
          <w:szCs w:val="20"/>
        </w:rPr>
        <w:t>%) and carbohydrate contents (6</w:t>
      </w:r>
      <w:r w:rsidR="00E25A36" w:rsidRPr="00304C68">
        <w:rPr>
          <w:rFonts w:ascii="Arial" w:eastAsia="Calibri" w:hAnsi="Arial" w:cs="Arial"/>
          <w:sz w:val="20"/>
          <w:szCs w:val="20"/>
        </w:rPr>
        <w:t>5</w:t>
      </w:r>
      <w:r w:rsidRPr="00304C68">
        <w:rPr>
          <w:rFonts w:ascii="Arial" w:eastAsia="Calibri" w:hAnsi="Arial" w:cs="Arial"/>
          <w:sz w:val="20"/>
          <w:szCs w:val="20"/>
        </w:rPr>
        <w:t>.</w:t>
      </w:r>
      <w:r w:rsidR="00E25A36" w:rsidRPr="00304C68">
        <w:rPr>
          <w:rFonts w:ascii="Arial" w:eastAsia="Calibri" w:hAnsi="Arial" w:cs="Arial"/>
          <w:sz w:val="20"/>
          <w:szCs w:val="20"/>
        </w:rPr>
        <w:t>4</w:t>
      </w:r>
      <w:r w:rsidR="00DE2E13" w:rsidRPr="00304C68">
        <w:rPr>
          <w:rFonts w:ascii="Arial" w:eastAsia="Calibri" w:hAnsi="Arial" w:cs="Arial"/>
          <w:sz w:val="20"/>
          <w:szCs w:val="20"/>
        </w:rPr>
        <w:t>7</w:t>
      </w:r>
      <w:r w:rsidRPr="00304C68">
        <w:rPr>
          <w:rFonts w:ascii="Arial" w:eastAsia="Calibri" w:hAnsi="Arial" w:cs="Arial"/>
          <w:sz w:val="20"/>
          <w:szCs w:val="20"/>
        </w:rPr>
        <w:t>-6</w:t>
      </w:r>
      <w:r w:rsidR="00DE2E13" w:rsidRPr="00304C68">
        <w:rPr>
          <w:rFonts w:ascii="Arial" w:eastAsia="Calibri" w:hAnsi="Arial" w:cs="Arial"/>
          <w:sz w:val="20"/>
          <w:szCs w:val="20"/>
        </w:rPr>
        <w:t>8</w:t>
      </w:r>
      <w:r w:rsidRPr="00304C68">
        <w:rPr>
          <w:rFonts w:ascii="Arial" w:eastAsia="Calibri" w:hAnsi="Arial" w:cs="Arial"/>
          <w:sz w:val="20"/>
          <w:szCs w:val="20"/>
        </w:rPr>
        <w:t xml:space="preserve">. </w:t>
      </w:r>
      <w:r w:rsidR="00E25A36" w:rsidRPr="00304C68">
        <w:rPr>
          <w:rFonts w:ascii="Arial" w:eastAsia="Calibri" w:hAnsi="Arial" w:cs="Arial"/>
          <w:sz w:val="20"/>
          <w:szCs w:val="20"/>
        </w:rPr>
        <w:t>82</w:t>
      </w:r>
      <w:r w:rsidRPr="00304C68">
        <w:rPr>
          <w:rFonts w:ascii="Arial" w:eastAsia="Calibri" w:hAnsi="Arial" w:cs="Arial"/>
          <w:sz w:val="20"/>
          <w:szCs w:val="20"/>
        </w:rPr>
        <w:t>%) decreased compared to 100% wheat samples in spaghetti</w:t>
      </w:r>
      <w:r w:rsidR="00AB23F6" w:rsidRPr="00304C68">
        <w:rPr>
          <w:rFonts w:ascii="Arial" w:eastAsia="Calibri" w:hAnsi="Arial" w:cs="Arial"/>
          <w:sz w:val="20"/>
          <w:szCs w:val="20"/>
        </w:rPr>
        <w:t xml:space="preserve">. </w:t>
      </w:r>
      <w:r w:rsidRPr="00304C68">
        <w:rPr>
          <w:rFonts w:ascii="Arial" w:eastAsia="Calibri" w:hAnsi="Arial" w:cs="Arial"/>
          <w:sz w:val="20"/>
          <w:szCs w:val="20"/>
        </w:rPr>
        <w:t xml:space="preserve">Mineral and vitamin contents </w:t>
      </w:r>
      <w:r w:rsidR="007526D0" w:rsidRPr="00304C68">
        <w:rPr>
          <w:rFonts w:ascii="Arial" w:eastAsia="Calibri" w:hAnsi="Arial" w:cs="Arial"/>
          <w:sz w:val="20"/>
          <w:szCs w:val="20"/>
        </w:rPr>
        <w:t>increased</w:t>
      </w:r>
      <w:r w:rsidRPr="00304C68">
        <w:rPr>
          <w:rFonts w:ascii="Arial" w:eastAsia="Calibri" w:hAnsi="Arial" w:cs="Arial"/>
          <w:sz w:val="20"/>
          <w:szCs w:val="20"/>
        </w:rPr>
        <w:t xml:space="preserve"> as the replacement level increased, with </w:t>
      </w:r>
      <w:r w:rsidR="00AB23F6" w:rsidRPr="00304C68">
        <w:rPr>
          <w:rFonts w:ascii="Arial" w:eastAsia="Calibri" w:hAnsi="Arial" w:cs="Arial"/>
          <w:sz w:val="20"/>
          <w:szCs w:val="20"/>
        </w:rPr>
        <w:t xml:space="preserve">spaghetti </w:t>
      </w:r>
      <w:r w:rsidRPr="00304C68">
        <w:rPr>
          <w:rFonts w:ascii="Arial" w:eastAsia="Calibri" w:hAnsi="Arial" w:cs="Arial"/>
          <w:sz w:val="20"/>
          <w:szCs w:val="20"/>
        </w:rPr>
        <w:t xml:space="preserve">samples notably containing higher amounts of essential minerals such as iron, calcium, magnesium, potassium, and phosphorus, along with vitamins A, C, and E, compared to </w:t>
      </w:r>
      <w:r w:rsidR="00AB23F6" w:rsidRPr="00304C68">
        <w:rPr>
          <w:rFonts w:ascii="Arial" w:eastAsia="Calibri" w:hAnsi="Arial" w:cs="Arial"/>
          <w:sz w:val="20"/>
          <w:szCs w:val="20"/>
        </w:rPr>
        <w:t>100% wheat sample.</w:t>
      </w:r>
      <w:r w:rsidRPr="00304C68">
        <w:rPr>
          <w:rFonts w:ascii="Arial" w:eastAsia="Calibri" w:hAnsi="Arial" w:cs="Arial"/>
          <w:sz w:val="20"/>
          <w:szCs w:val="20"/>
        </w:rPr>
        <w:t xml:space="preserve"> Although some antinutritional components were detected, their levels were generally low and further decreased after processing into spaghetti. The study demonstrates that incorporating sorghum and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proofErr w:type="gramStart"/>
      <w:r w:rsidRPr="00304C68">
        <w:rPr>
          <w:rFonts w:ascii="Arial" w:eastAsia="Calibri" w:hAnsi="Arial" w:cs="Arial"/>
          <w:sz w:val="20"/>
          <w:szCs w:val="20"/>
        </w:rPr>
        <w:t>calyces</w:t>
      </w:r>
      <w:proofErr w:type="gramEnd"/>
      <w:r w:rsidRPr="00304C68">
        <w:rPr>
          <w:rFonts w:ascii="Arial" w:eastAsia="Calibri" w:hAnsi="Arial" w:cs="Arial"/>
          <w:sz w:val="20"/>
          <w:szCs w:val="20"/>
        </w:rPr>
        <w:t xml:space="preserve"> flour into wheat</w:t>
      </w:r>
      <w:r w:rsidR="002161CE" w:rsidRPr="00304C68">
        <w:rPr>
          <w:rFonts w:ascii="Arial" w:eastAsia="Calibri" w:hAnsi="Arial" w:cs="Arial"/>
          <w:sz w:val="20"/>
          <w:szCs w:val="20"/>
        </w:rPr>
        <w:t>-</w:t>
      </w:r>
      <w:r w:rsidRPr="00304C68">
        <w:rPr>
          <w:rFonts w:ascii="Arial" w:eastAsia="Calibri" w:hAnsi="Arial" w:cs="Arial"/>
          <w:sz w:val="20"/>
          <w:szCs w:val="20"/>
        </w:rPr>
        <w:t xml:space="preserve">based spaghetti can improve its nutritional </w:t>
      </w:r>
      <w:r w:rsidR="00DB2052" w:rsidRPr="00304C68">
        <w:rPr>
          <w:rFonts w:ascii="Arial" w:eastAsia="Calibri" w:hAnsi="Arial" w:cs="Arial"/>
          <w:sz w:val="20"/>
          <w:szCs w:val="20"/>
        </w:rPr>
        <w:t>profile of blended flour spaghetti</w:t>
      </w:r>
      <w:r w:rsidRPr="00304C68">
        <w:rPr>
          <w:rFonts w:ascii="Arial" w:eastAsia="Calibri" w:hAnsi="Arial" w:cs="Arial"/>
          <w:sz w:val="20"/>
          <w:szCs w:val="20"/>
        </w:rPr>
        <w:t>. Th</w:t>
      </w:r>
      <w:r w:rsidR="00DB2052" w:rsidRPr="00304C68">
        <w:rPr>
          <w:rFonts w:ascii="Arial" w:eastAsia="Calibri" w:hAnsi="Arial" w:cs="Arial"/>
          <w:sz w:val="20"/>
          <w:szCs w:val="20"/>
        </w:rPr>
        <w:t>e study</w:t>
      </w:r>
      <w:r w:rsidRPr="00304C68">
        <w:rPr>
          <w:rFonts w:ascii="Arial" w:eastAsia="Calibri" w:hAnsi="Arial" w:cs="Arial"/>
          <w:sz w:val="20"/>
          <w:szCs w:val="20"/>
        </w:rPr>
        <w:t xml:space="preserve"> highlights the potential of </w:t>
      </w:r>
      <w:r w:rsidRPr="00304C68">
        <w:rPr>
          <w:rFonts w:ascii="Arial" w:eastAsia="Calibri" w:hAnsi="Arial" w:cs="Arial"/>
          <w:i/>
          <w:sz w:val="20"/>
          <w:szCs w:val="20"/>
        </w:rPr>
        <w:t xml:space="preserve">Bombax </w:t>
      </w:r>
      <w:proofErr w:type="spellStart"/>
      <w:r w:rsidRPr="00304C68">
        <w:rPr>
          <w:rFonts w:ascii="Arial" w:eastAsia="Calibri" w:hAnsi="Arial" w:cs="Arial"/>
          <w:i/>
          <w:sz w:val="20"/>
          <w:szCs w:val="20"/>
        </w:rPr>
        <w:t>costatum</w:t>
      </w:r>
      <w:proofErr w:type="spellEnd"/>
      <w:r w:rsidRPr="00304C68">
        <w:rPr>
          <w:rFonts w:ascii="Arial" w:eastAsia="Calibri" w:hAnsi="Arial" w:cs="Arial"/>
          <w:i/>
          <w:sz w:val="20"/>
          <w:szCs w:val="20"/>
        </w:rPr>
        <w:t xml:space="preserve"> </w:t>
      </w:r>
      <w:r w:rsidRPr="00304C68">
        <w:rPr>
          <w:rFonts w:ascii="Arial" w:eastAsia="Calibri" w:hAnsi="Arial" w:cs="Arial"/>
          <w:sz w:val="20"/>
          <w:szCs w:val="20"/>
        </w:rPr>
        <w:t>calyces as a functional ingredient for develop</w:t>
      </w:r>
      <w:r w:rsidR="00DB2052" w:rsidRPr="00304C68">
        <w:rPr>
          <w:rFonts w:ascii="Arial" w:eastAsia="Calibri" w:hAnsi="Arial" w:cs="Arial"/>
          <w:sz w:val="20"/>
          <w:szCs w:val="20"/>
        </w:rPr>
        <w:t>ment of</w:t>
      </w:r>
      <w:r w:rsidR="00304C68" w:rsidRPr="00304C68">
        <w:rPr>
          <w:rFonts w:ascii="Arial" w:eastAsia="Calibri" w:hAnsi="Arial" w:cs="Arial"/>
          <w:sz w:val="20"/>
          <w:szCs w:val="20"/>
        </w:rPr>
        <w:t xml:space="preserve"> </w:t>
      </w:r>
      <w:r w:rsidRPr="00304C68">
        <w:rPr>
          <w:rFonts w:ascii="Arial" w:eastAsia="Calibri" w:hAnsi="Arial" w:cs="Arial"/>
          <w:sz w:val="20"/>
          <w:szCs w:val="20"/>
        </w:rPr>
        <w:t>healthier</w:t>
      </w:r>
      <w:r w:rsidR="00DB2052" w:rsidRPr="00304C68">
        <w:rPr>
          <w:rFonts w:ascii="Arial" w:eastAsia="Calibri" w:hAnsi="Arial" w:cs="Arial"/>
          <w:sz w:val="20"/>
          <w:szCs w:val="20"/>
        </w:rPr>
        <w:t xml:space="preserve"> and</w:t>
      </w:r>
      <w:r w:rsidRPr="00304C68">
        <w:rPr>
          <w:rFonts w:ascii="Arial" w:eastAsia="Calibri" w:hAnsi="Arial" w:cs="Arial"/>
          <w:sz w:val="20"/>
          <w:szCs w:val="20"/>
        </w:rPr>
        <w:t xml:space="preserve"> diverse pasta products.</w:t>
      </w:r>
    </w:p>
    <w:p w14:paraId="42635828" w14:textId="60D611AA" w:rsidR="00FE7B4B" w:rsidRPr="00304C68" w:rsidRDefault="00F56D82" w:rsidP="00F56D82">
      <w:pPr>
        <w:pStyle w:val="Heading1"/>
        <w:jc w:val="both"/>
        <w:rPr>
          <w:rFonts w:ascii="Arial" w:hAnsi="Arial" w:cs="Arial"/>
          <w:b/>
          <w:bCs/>
          <w:color w:val="auto"/>
          <w:sz w:val="22"/>
          <w:szCs w:val="22"/>
        </w:rPr>
      </w:pPr>
      <w:r w:rsidRPr="00304C68">
        <w:rPr>
          <w:rFonts w:ascii="Arial" w:hAnsi="Arial" w:cs="Arial"/>
          <w:b/>
          <w:bCs/>
          <w:color w:val="auto"/>
          <w:sz w:val="22"/>
          <w:szCs w:val="22"/>
        </w:rPr>
        <w:t xml:space="preserve">1.0 </w:t>
      </w:r>
      <w:r w:rsidR="00FE7B4B" w:rsidRPr="00304C68">
        <w:rPr>
          <w:rFonts w:ascii="Arial" w:hAnsi="Arial" w:cs="Arial"/>
          <w:b/>
          <w:bCs/>
          <w:color w:val="auto"/>
          <w:sz w:val="22"/>
          <w:szCs w:val="22"/>
        </w:rPr>
        <w:t>INTRODUCTION</w:t>
      </w:r>
      <w:bookmarkEnd w:id="1"/>
    </w:p>
    <w:p w14:paraId="5A359E20"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Pasta products like spaghetti remain among the most widely eaten cereal-based foods worldwide because of their convenience, affordability, long shelf life, and versatility in cooking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{"citationItems":[{"id":"ITEM-1","itemData":{"DOI":"doi.org/10.3390/ foods11121796","author":[{"dropping-particle":"","family":"Sarkar","given":"Ashok","non-dropping-particle":"","parse-names":false,"suffix":""},{"dropping-particle":"","family":"Fu","given":"Bin Xiao","non-dropping-particle":"","parse-names":false,"suffix":""}],"container-title":"Foods","id":"ITEM-1","issue":"1796","issued":{"date-parts":[["2022"]]},"title":"Impact of Quality Improvement and Milling Innovations on Durum Wheat and End Products","type":"article-journal","volume":"11"},"uris":["http://www.mendeley.com/documents/?uuid=838285f8-6124-4893-a217-f21d05b9d34f"]}],"mendeley":{"formattedCitation":"(Sarkar &amp; Fu, 2022)","manualFormatting":"Sarkar &amp; Fu, 2022 ; Shewry &amp; Hey, 2015)","plainTextFormattedCitation":"(Sarkar &amp; Fu, 2022)","previouslyFormattedCitation":"(Sarkar &amp; Fu, 2022)"},"properties":{"noteIndex":0},"schema":"https://github.com/citation-style-language/schema/raw/master/csl-citation.json"}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 xml:space="preserve">Sarkar &amp; Fu, 2022 </w:t>
      </w:r>
      <w:r w:rsidRPr="00304C68">
        <w:rPr>
          <w:rFonts w:ascii="Arial" w:eastAsia="Times New Roman" w:hAnsi="Arial" w:cs="Arial"/>
          <w:noProof/>
          <w:kern w:val="0"/>
          <w:sz w:val="20"/>
          <w:szCs w:val="20"/>
          <w:lang w:eastAsia="en-GB"/>
          <w14:ligatures w14:val="none"/>
        </w:rPr>
        <w:fldChar w:fldCharType="begin" w:fldLock="1"/>
      </w:r>
      <w:r w:rsidRPr="00304C68">
        <w:rPr>
          <w:rFonts w:ascii="Arial" w:eastAsia="Times New Roman" w:hAnsi="Arial" w:cs="Arial"/>
          <w:noProof/>
          <w:kern w:val="0"/>
          <w:sz w:val="20"/>
          <w:szCs w:val="20"/>
          <w:lang w:eastAsia="en-GB"/>
          <w14:ligatures w14:val="none"/>
        </w:rPr>
        <w:instrText>ADDIN CSL_CITATION {"citationItems":[{"id":"ITEM-1","itemData":{"DOI":"10.1002/fes3.64","author":[{"dropping-particle":"","family":"Shewry","given":"Peter R.","non-dropping-particle":"","parse-names":false,"suffix":""},{"dropping-particle":"","family":"Hey","given":"Sandra J.","non-dropping-particle":"","parse-names":false,"suffix":""}],"container-title":"Food and Energy Security","id":"ITEM-1","issue":"3","issued":{"date-parts":[["2015"]]},"page":"178-202","title":"The contribution of wheat to human diet and health","type":"article-journal","volume":"4"},"uris":["http://www.mendeley.com/documents/?uuid=bde90d85-3a21-4a21-b02a-75fc0a6d2c36"]}],"mendeley":{"formattedCitation":"(Shewry &amp; Hey, 2015)","manualFormatting":"; Shewry &amp; Hey, 2015","plainTextFormattedCitation":"(Shewry &amp; Hey, 2015)","previouslyFormattedCitation":"(Shewry &amp; Hey, 2015)"},"properties":{"noteIndex":0},"schema":"https://github.com/citation-style-language/schema/raw/master/csl-citation.json"}</w:instrText>
      </w:r>
      <w:r w:rsidRPr="00304C68">
        <w:rPr>
          <w:rFonts w:ascii="Arial" w:eastAsia="Times New Roman" w:hAnsi="Arial" w:cs="Arial"/>
          <w:noProof/>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 Shewry &amp; Hey, 2015</w:t>
      </w:r>
      <w:r w:rsidRPr="00304C68">
        <w:rPr>
          <w:rFonts w:ascii="Arial" w:eastAsia="Times New Roman" w:hAnsi="Arial" w:cs="Arial"/>
          <w:noProof/>
          <w:kern w:val="0"/>
          <w:sz w:val="20"/>
          <w:szCs w:val="20"/>
          <w:lang w:eastAsia="en-GB"/>
          <w14:ligatures w14:val="none"/>
        </w:rPr>
        <w:fldChar w:fldCharType="end"/>
      </w:r>
      <w:r w:rsidRPr="00304C68">
        <w:rPr>
          <w:rFonts w:ascii="Arial" w:eastAsia="Times New Roman" w:hAnsi="Arial" w:cs="Arial"/>
          <w:noProof/>
          <w:kern w:val="0"/>
          <w:sz w:val="20"/>
          <w:szCs w:val="20"/>
          <w:lang w:eastAsia="en-GB"/>
          <w14:ligatures w14:val="none"/>
        </w:rPr>
        <w:t>)</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In many developing countries, including Nigeria, spaghetti consumption has grown substantially due to urbanization, population increase, and shifting dietary habits. Usually, spaghetti is made from durum wheat because of its high gluten content, which gives the dough the necessary viscoelastic properties, cooking stability, and appealing texture.</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10.3389/frfst.2024.1416654","author":[{"dropping-particle":"","family":"Carpentieri","given":"Serena","non-dropping-particle":"","parse-names":false,"suffix":""},{"dropping-particle":"","family":"Larrea-wachtendorff","given":"Dominique","non-dropping-particle":"","parse-names":false,"suffix":""}],"container-title":"Frontiers in Food Science and Technology","id":"ITEM-1","issue":"1416654","issued":{"date-parts":[["2024"]]},"title":"Influence of semolina characteristics and pasta-making process on the physicochemical , structural , and sensorial properties of commercial durum wheat spaghetti","type":"article-journal","volume":"4"},"uris":["http://www.mendeley.com/documents/?uuid=07d072dd-185b-4941-acb1-f8ff8e2aa0bc"]}],"mendeley":{"formattedCitation":"(Carpentieri &amp; Larrea-wachtendorff, 2024)","plainTextFormattedCitation":"(Carpentieri &amp; Larrea-wachtendorff, 2024)","previouslyFormattedCitation":"(Carpentieri &amp; Larrea-wachtendorff, 2024)"},"properties":{"noteIndex":0},"schema":"https://github.com/citation-style-language/schema/raw/master/csl-citation.json"}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(Carpentieri &amp; Larrea-wachtendorff, 2024)</w:t>
      </w:r>
      <w:r w:rsidRPr="00304C68">
        <w:rPr>
          <w:rFonts w:ascii="Arial" w:eastAsia="Times New Roman" w:hAnsi="Arial" w:cs="Arial"/>
          <w:kern w:val="0"/>
          <w:sz w:val="20"/>
          <w:szCs w:val="20"/>
          <w:lang w:eastAsia="en-GB"/>
          <w14:ligatures w14:val="none"/>
        </w:rPr>
        <w:fldChar w:fldCharType="end"/>
      </w:r>
    </w:p>
    <w:p w14:paraId="56001F8B"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Despite its technological advantages, the exclusive use of wheat in spaghetti production presents economic and nutritional challenges. Nigeria depends heavily on wheat importation to meet industrial and consumer demands, leading to high production costs and pressure on foreign exchange reserves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{"citationItems":[{"id":"ITEM-1","itemData":{"DOI":"10.1007/s12571-024-01490-9","ISSN":"1876-4525","abstract":"The Russo-Ukrainian war has shocked global food prices and supply chains. Some of the largest impacts are expected in food-importing African countries. This includes Nigeria, where a combination of increasing population, urbanization, and declining domestic production increased households’ exposure to global price shocks. To understand how food demand responds to price shocks, we estimate household-level demand elasticities for selected food categories using the Exact Affine Stone Index (EASI) demand model. We simulate the effect of increasing grain and edible oil prices on demand by households across several food groups and items. Our results vary across regional and income groups and often differ because grains and edible oils represent different proportions of the respective sub-national budget shares. We find that, given their low price elasticity, a shock to the price of edible oils generally leads to changes to the household budget share. We also find that the war is expected to have the highest impact on non-grain starches and vegetable proteins, which had the highest own-price elasticities. Nevertheless, given that palm and groundnut oil are the dominant edible oils in Nigeria, the effects of the war depend on the elasticity of substitution between sunflower and these two oils on the global markets, as well as between edible oils and other foods. One policy implication of the study is the need for targeted food and nutrition interventions in response to crises or global price shocks, given the substantial sub-national variation in observed food budget shares, and in the effects of price shocks.","author":[{"dropping-particle":"","family":"Dhar","given":"Rahul","non-dropping-particle":"","parse-names":false,"suffix":""},{"dropping-particle":"","family":"Olabisi","given":"Michael Adetayo","non-dropping-particle":"","parse-names":false,"suffix":""},{"dropping-particle":"","family":"Ogunbayo","given":"Iredele Emmanuel","non-dropping-particle":"","parse-names":false,"suffix":""},{"dropping-particle":"","family":"Olutegbe","given":"Nathaniel Siji","non-dropping-particle":"","parse-names":false,"suffix":""},{"dropping-particle":"","family":"Akano","given":"Oreoluwa Ibukun","non-dropping-particle":"","parse-names":false,"suffix":""},{"dropping-particle":"","family":"Tschirley","given":"David L","non-dropping-particle":"","parse-names":false,"suffix":""}],"container-title":"Food Security","id":"ITEM-1","issue":"6","issued":{"date-parts":[["2024"]]},"page":"1419-1443","title":"Food demand responses to global price shocks: Contrasts in sub-national evidence from Nigeria","type":"article-journal","volume":"16"},"uris":["http://www.mendeley.com/documents/?uuid=26256218-25bf-4b4c-98d2-9c70b2d1aec6"]}],"mendeley":{"formattedCitation":"(Dhar et al., 2024)","manualFormatting":"(Dhar et al., 2024","plainTextFormattedCitation":"(Dhar et al., 2024)","previouslyFormattedCitation":"(Dhar et al., 2024)"},"properties":{"noteIndex":0},"schema":"https://github.com/citation-style-language/schema/raw/master/csl-citation.json"}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(Dhar et al., 2024</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author":[{"dropping-particle":"","family":"Umar","given":"U.A.","non-dropping-particle":"","parse-names":false,"suffix":""},{"dropping-particle":"","family":"Muhammad","given":"M.B.","non-dropping-particle":"","parse-names":false,"suffix":""}],"container-title":"Journal of Agriculture and Environment","id":"ITEM-1","issue":"2","issued":{"date-parts":[["2021"]]},"page":"1-6","title":"Challenges and strategies of wheat production in Nigeria amidst growing demands for wheat and wheat products","type":"article-journal","volume":"17"},"uris":["http://www.mendeley.com/documents/?uuid=6e3a1e48-33ee-47a3-9352-dc86f66777a5"]}],"mendeley":{"formattedCitation":"(Umar &amp; Muhammad, 2021)","manualFormatting":"Umar &amp; Muhammad, 2021)","plainTextFormattedCitation":"(Umar &amp; Muhammad, 2021)","previouslyFormattedCitation":"(Umar &amp; Muhammad, 2021)"},"properties":{"noteIndex":0},"schema":"https://github.com/citation-style-language/schema/raw/master/csl-citation.json"}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Umar &amp; Muhammad, 2021)</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Nutritionally, conventional wheat spaghetti is relatively low in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minerals, and bioactive compounds, which are increasingly recognized as important in preventing diet-related non-communicable diseases such as diabetes and cardiovascular disorders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org/10.3390/plants12030530","author":[{"dropping-particle":"","family":"Zingale","given":"Silvia","non-dropping-particle":"","parse-names":false,"suffix":""},{"dropping-particle":"","family":"Spina","given":"Alfio","non-dropping-particle":"","parse-names":false,"suffix":""},{"dropping-particle":"","family":"Ingrao","given":"Carlo","non-dropping-particle":"","parse-names":false,"suffix":""},{"dropping-particle":"","family":"Fallico","given":"Biagio","non-dropping-particle":"","parse-names":false,"suffix":""},{"dropping-particle":"","family":"Timpanaro","given":"Giuseppe","non-dropping-particle":"","parse-names":false,"suffix":""},{"dropping-particle":"","family":"Anastasi","given":"Umberto","non-dropping-particle":"","parse-names":false,"suffix":""},{"dropping-particle":"","family":"Guarnaccia","given":"Paolo","non-dropping-particle":"","parse-names":false,"suffix":""}],"container-title":"Plants","id":"ITEM-1","issue":"3","issued":{"date-parts":[["2023"]]},"page":"530","title":"Factors Affecting the Nutritional , Health , and Technological Literature Review","type":"article-journal","volume":"12"},"uris":["http://www.mendeley.com/documents/?uuid=03760990-e034-48d7-9b81-fee3b957f244"]}],"mendeley":{"formattedCitation":"(Zingale et al., 2023)","manualFormatting":"(Zingale et al., 2023","plainTextFormattedCitation":"(Zingale et al., 2023)","previouslyFormattedCitation":"(Zingale et al., 2023)"},"properties":{"noteIndex":0},"schema":"https://github.com/citation-style-language/schema/raw/master/csl-citation.json"}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(Zingale et al., 2023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{"citationItems":[{"id":"ITEM-1","itemData":{"DOI":"10.1111/1541-4337.12475","ISSN":"1541-4337 (Electronic)","PMID":"33336916","abstract":"Wheat is an important staple food globally, providing a significant contribution  to daily energy, fiber, and micronutrient intake. Observational evidence for health impacts of consuming more whole grains, among which wheat is a major contributor, points to significant risk reduction for diabetes, cardiovascular disease, and colon cancer. However, specific wheat components may also elicit adverse physical reactions in susceptible individuals such as celiac disease (CD) and wheat allergy (WA). Recently, broad coverage in the popular and social media has suggested that wheat consumption leads to a wide range of adverse health effects. This has motivated many consumers to avoid or reduce their consumption of foods that contain wheat/gluten, despite the absence of diagnosed CD or WA, raising questions about underlying mechanisms and possible nocebo effects. However, recent studies did show that some individuals may suffer from adverse reactions in absence of CD and WA. This condition is called non-celiac gluten sensitivity (NCGS) or non-celiac wheat sensitivity (NCWS). In addition to gluten, wheat and derived products contain many other components which may trigger symptoms, including inhibitors of α-amylase and trypsin (ATIs), lectins, and rapidly fermentable carbohydrates (FODMAPs). Furthermore, the way in which foods are being processed, such as the use of yeast or sourdough fermentation, fermentation time and baking conditions, may also affect the presence and bioactivity of these components. The present review systematically describes the characteristics of wheat-related intolerances, including their etiology, prevalence, the components responsible, diagnosis, and strategies to reduce adverse reactions.","author":[{"dropping-particle":"","family":"Brouns","given":"Fred","non-dropping-particle":"","parse-names":false,"suffix":""},{"dropping-particle":"","family":"Rooy","given":"Gonny","non-dropping-particle":"van","parse-names":false,"suffix":""},{"dropping-particle":"","family":"Shewry","given":"Peter","non-dropping-particle":"","parse-names":false,"suffix":""},{"dropping-particle":"","family":"Rustgi","given":"Sachin","non-dropping-particle":"","parse-names":false,"suffix":""},{"dropping-particle":"","family":"Jonkers","given":"Daisy","non-dropping-particle":"","parse-names":false,"suffix":""}],"container-title":"Comprehensive reviews in food science and food safety","id":"ITEM-1","issue":"5","issued":{"date-parts":[["2019","9"]]},"language":"eng","page":"1437-1452","publisher-place":"United States","title":"Adverse Reactions to Wheat or Wheat Components.","type":"article-journal","volume":"18"},"uris":["http://www.mendeley.com/documents/?uuid=63c96351-1f01-477c-9caf-f4d21ce7515a"]}],"mendeley":{"formattedCitation":"(Brouns et al., 2019)","manualFormatting":"Brouns et al., 2019)","plainTextFormattedCitation":"(Brouns et al., 2019)","previouslyFormattedCitation":"(Brouns et al., 2019)"},"properties":{"noteIndex":0},"schema":"https://github.com/citation-style-language/schema/raw/master/csl-citation.json"}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Brouns et al., 2019)</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These limitations have stimulated growing interest in the development of spaghetti from composite flours that incorporate locally available, nutrient-dense raw materials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{"citationItems":[{"id":"ITEM-1","itemData":{"DOI":"ISSN: 2581-7752","author":[{"dropping-particle":"","family":"Akinwotu","given":"K.O.","non-dropping-particle":"","parse-names":false,"suffix":""},{"dropping-particle":"","family":"Taiwo","given":"K.A.","non-dropping-particle":"","parse-names":false,"suffix":""},{"dropping-particle":"","family":"Ikujenlola","given":"A.V.","non-dropping-particle":"","parse-names":false,"suffix":""}],"container-title":"Asian Food Science Journal","id":"ITEM-1","issue":"6","issued":{"date-parts":[["2025"]]},"page":"24-36","title":"Advancements in Composite Flours : Applications , Nutritional Benefits and Processing Techniques","type":"article-journal","volume":"24"},"uris":["http://www.mendeley.com/documents/?uuid=40c28459-22f2-4776-af6a-2fe006f5c25f"]}],"mendeley":{"formattedCitation":"(Akinwotu et al., 2025)","plainTextFormattedCitation":"(Akinwotu et al., 2025)","previouslyFormattedCitation":"(Akinwotu et al., 2025)"},"properties":{"noteIndex":0},"schema":"https://github.com/citation-style-language/schema/raw/master/csl-citation.json"}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(Akinwotu et al., 2025)</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5DC7033E"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Composite flour technology involves the partial replacement of wheat flour with non-wheat flours derived from cereals, legumes, roots, tubers, or plant-based functional ingredients to enhance nutritional quality, reduce reliance on imported wheat, and promote sustainable food systems (FAO, 2019). Among locally </w:t>
      </w:r>
      <w:r w:rsidRPr="00304C68">
        <w:rPr>
          <w:rFonts w:ascii="Arial" w:eastAsia="Times New Roman" w:hAnsi="Arial" w:cs="Arial"/>
          <w:kern w:val="0"/>
          <w:sz w:val="20"/>
          <w:szCs w:val="20"/>
          <w:lang w:eastAsia="en-GB"/>
          <w14:ligatures w14:val="none"/>
        </w:rPr>
        <w:lastRenderedPageBreak/>
        <w:t>available cereals, sorghum (</w:t>
      </w:r>
      <w:r w:rsidRPr="00304C68">
        <w:rPr>
          <w:rFonts w:ascii="Arial" w:eastAsia="Times New Roman" w:hAnsi="Arial" w:cs="Arial"/>
          <w:i/>
          <w:iCs/>
          <w:kern w:val="0"/>
          <w:sz w:val="20"/>
          <w:szCs w:val="20"/>
          <w:lang w:eastAsia="en-GB"/>
          <w14:ligatures w14:val="none"/>
        </w:rPr>
        <w:t>Sorghum bicolor</w:t>
      </w:r>
      <w:r w:rsidRPr="00304C68">
        <w:rPr>
          <w:rFonts w:ascii="Arial" w:eastAsia="Times New Roman" w:hAnsi="Arial" w:cs="Arial"/>
          <w:kern w:val="0"/>
          <w:sz w:val="20"/>
          <w:szCs w:val="20"/>
          <w:lang w:eastAsia="en-GB"/>
          <w14:ligatures w14:val="none"/>
        </w:rPr>
        <w:t xml:space="preserve"> L. Moench) has gained increasing attention for pasta and noodle production. Sorghum is a climate-resilient crop widely cultivated in sub-Saharan Africa and valued for its tolerance to drought, adaptability to marginal soils, and contribution to food security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org/10.3390/agronomy14123025","author":[{"dropping-particle":"","family":"Mwamahonje","given":"Andekelile","non-dropping-particle":"","parse-names":false,"suffix":""},{"dropping-particle":"","family":"Mdindikasi","given":"Zamu","non-dropping-particle":"","parse-names":false,"suffix":""},{"dropping-particle":"","family":"Mchau","given":"Devotha","non-dropping-particle":"","parse-names":false,"suffix":""},{"dropping-particle":"","family":"Mwenda","given":"Emmanuel","non-dropping-particle":"","parse-names":false,"suffix":""},{"dropping-particle":"","family":"Sanga","given":"Daines","non-dropping-particle":"","parse-names":false,"suffix":""},{"dropping-particle":"","family":"Lu","given":"Ana","non-dropping-particle":"","parse-names":false,"suffix":""},{"dropping-particle":"","family":"Ojiewo","given":"Chris O","non-dropping-particle":"","parse-names":false,"suffix":""}],"container-title":"Agronomy","id":"ITEM-1","issue":"12","issued":{"date-parts":[["2024"]]},"page":"3025","title":"Advances in Sorghum Improvement for Climate Resilience in the Global Arid and Semi-Arid Tropics : A Review","type":"article-journal","volume":"14"},"uris":["http://www.mendeley.com/documents/?uuid=c963ce50-06ad-4b8f-9e7e-7739b807220c"]}],"mendeley":{"formattedCitation":"(Mwamahonje et al., 2024)","plainTextFormattedCitation":"(Mwamahonje et al., 2024)","previouslyFormattedCitation":"(Mwamahonje et al., 2024)"},"properties":{"noteIndex":0},"schema":"https://github.com/citation-style-language/schema/raw/master/csl-citation.json"}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(Mwamahonje et al., 2024)</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1DC7FE2E" w14:textId="77777777" w:rsid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Sorghum is a rich source of complex carbohydrates,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minerals, and phenolic compounds with antioxidant activity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10.1080/10942912.2022.2071293","ISSN":"1094-2912","author":[{"dropping-particle":"","family":"Khalid","given":"Waseem","non-dropping-particle":"","parse-names":false,"suffix":""},{"dropping-particle":"","family":"Ali","given":"Anwar","non-dropping-particle":"","parse-names":false,"suffix":""},{"dropping-particle":"","family":"Arshad","given":"Muhammad Sajid","non-dropping-particle":"","parse-names":false,"suffix":""},{"dropping-particle":"","family":"Afzal","given":"Fareed","non-dropping-particle":"","parse-names":false,"suffix":""},{"dropping-particle":"","family":"Siddeeg","given":"Azhari","non-dropping-particle":"","parse-names":false,"suffix":""},{"dropping-particle":"","family":"Kousar","given":"Safura","non-dropping-particle":"","parse-names":false,"suffix":""},{"dropping-particle":"","family":"Rahim","given":"Muhammad Abdul","non-dropping-particle":"","parse-names":false,"suffix":""},{"dropping-particle":"","family":"Aziz","given":"Afifa","non-dropping-particle":"","parse-names":false,"suffix":""},{"dropping-particle":"","family":"Maqbool","given":"Zahra","non-dropping-particle":"","parse-names":false,"suffix":""},{"dropping-particle":"","family":"Saeed","given":"Ayesha","non-dropping-particle":"","parse-names":false,"suffix":""},{"dropping-particle":"","family":"Akram","given":"Ramish","non-dropping-particle":"","parse-names":false,"suffix":""},{"dropping-particle":"","family":"Siddeeg","given":"Azhari","non-dropping-particle":"","parse-names":false,"suffix":""}],"container-title":"International Journal of Food Properties","id":"ITEM-1","issue":"1","issued":{"date-parts":[["2022"]]},"page":"1045-1062","publisher":"Taylor &amp; Francis","title":"Nutrients and bioactive compounds of Sorghum bicolor L . used to prepare functional foods : a review on the efficacy against different chronic disorders","type":"article-journal","volume":"25"},"uris":["http://www.mendeley.com/documents/?uuid=be02735c-bf61-4ab8-adda-17026aa9add5"]}],"mendeley":{"formattedCitation":"(Khalid et al., 2022)","plainTextFormattedCitation":"(Khalid et al., 2022)","previouslyFormattedCitation":"(Khalid et al., 2022)"},"properties":{"noteIndex":0},"schema":"https://github.com/citation-style-language/schema/raw/master/csl-citation.json"}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(Khalid et al., 2022)</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Incorporation of sorghum flour into wheat-based products has been reported to enhance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content, improve mineral availability, and lower the </w:t>
      </w:r>
      <w:proofErr w:type="spellStart"/>
      <w:r w:rsidRPr="00304C68">
        <w:rPr>
          <w:rFonts w:ascii="Arial" w:eastAsia="Times New Roman" w:hAnsi="Arial" w:cs="Arial"/>
          <w:kern w:val="0"/>
          <w:sz w:val="20"/>
          <w:szCs w:val="20"/>
          <w:lang w:eastAsia="en-GB"/>
          <w14:ligatures w14:val="none"/>
        </w:rPr>
        <w:t>glycaemic</w:t>
      </w:r>
      <w:proofErr w:type="spellEnd"/>
      <w:r w:rsidRPr="00304C68">
        <w:rPr>
          <w:rFonts w:ascii="Arial" w:eastAsia="Times New Roman" w:hAnsi="Arial" w:cs="Arial"/>
          <w:kern w:val="0"/>
          <w:sz w:val="20"/>
          <w:szCs w:val="20"/>
          <w:lang w:eastAsia="en-GB"/>
          <w14:ligatures w14:val="none"/>
        </w:rPr>
        <w:t xml:space="preserve"> response of cereal foods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10.1016/j.focha.2023.100501","ISSN":"2772-753X","author":[{"dropping-particle":"","family":"Tanwar","given":"Ronak","non-dropping-particle":"","parse-names":false,"suffix":""},{"dropping-particle":"","family":"Panghal","given":"Anil","non-dropping-particle":"","parse-names":false,"suffix":""},{"dropping-particle":"","family":"Chaudhary","given":"Gaurav","non-dropping-particle":"","parse-names":false,"suffix":""},{"dropping-particle":"","family":"Kumari","given":"Anju","non-dropping-particle":"","parse-names":false,"suffix":""},{"dropping-particle":"","family":"Chhikara","given":"Navnidhi","non-dropping-particle":"","parse-names":false,"suffix":""}],"container-title":"Food Chemistry Advances","id":"ITEM-1","issue":"100501","issued":{"date-parts":[["2023"]]},"publisher":"Elsevier Ltd","title":"Nutritional , phytochemical and functional potential of sorghum : A review","type":"article-journal","volume":"3"},"uris":["http://www.mendeley.com/documents/?uuid=cfe88a19-9f13-45dd-a23f-8f45a3741674"]}],"mendeley":{"formattedCitation":"(Tanwar et al., 2023)","plainTextFormattedCitation":"(Tanwar et al., 2023)","previouslyFormattedCitation":"(Tanwar et al., 2023)"},"properties":{"noteIndex":0},"schema":"https://github.com/citation-style-language/schema/raw/master/csl-citation.json"}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(Tanwar et al., 2023)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However, sorghum is gluten-free, and its incorporation into pasta formulations can adversely affect dough handling properties, cooking loss, texture, and overall product acceptability if not carefully optimized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{"citationItems":[{"id":"ITEM-1","itemData":{"DOI":"10.1080/10408398.2023.2271952","author":[{"dropping-particle":"","family":"Pinel","given":"P","non-dropping-particle":"","parse-names":false,"suffix":""},{"dropping-particle":"","family":"Emmambux","given":"M N","non-dropping-particle":"","parse-names":false,"suffix":""},{"dropping-particle":"","family":"Bourlieu","given":"C","non-dropping-particle":"","parse-names":false,"suffix":""},{"dropping-particle":"","family":"Micard","given":"V","non-dropping-particle":"","parse-names":false,"suffix":""}],"container-title":"Critical Reviews in Food Science and Nutrition","id":"ITEM-1","issue":"2","issued":{"date-parts":[["2025"]]},"page":"207-242","publisher":"Taylor &amp; Francis","title":"Nutritional contributions and processability of pasta made from climate-smart , sustainable crops : A critical review","type":"article-journal","volume":"65"},"uris":["http://www.mendeley.com/documents/?uuid=1d9e2ca7-b1ce-4bc0-8592-828a95284b8f"]}],"mendeley":{"formattedCitation":"(Pinel et al., 2025)","plainTextFormattedCitation":"(Pinel et al., 2025)","previouslyFormattedCitation":"(Pinel et al., 2025)"},"properties":{"noteIndex":0},"schema":"https://github.com/citation-style-language/schema/raw/master/csl-citation.json"}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(Pinel et al., 2025)</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081B6345" w14:textId="7B3E3D70"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Research has expanded beyond cereals to explore underutilized plant materials with functional and nutritional advantages.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kern w:val="0"/>
          <w:sz w:val="20"/>
          <w:szCs w:val="20"/>
          <w:lang w:eastAsia="en-GB"/>
          <w14:ligatures w14:val="none"/>
        </w:rPr>
        <w:t>, commonly known as the red silk cotton tree (</w:t>
      </w:r>
      <w:r w:rsidRPr="00304C68">
        <w:rPr>
          <w:rFonts w:ascii="Arial" w:eastAsia="Times New Roman" w:hAnsi="Arial" w:cs="Arial"/>
          <w:i/>
          <w:iCs/>
          <w:kern w:val="0"/>
          <w:sz w:val="20"/>
          <w:szCs w:val="20"/>
          <w:lang w:eastAsia="en-GB"/>
          <w14:ligatures w14:val="none"/>
        </w:rPr>
        <w:t>Genger</w:t>
      </w:r>
      <w:r w:rsidRPr="00304C68">
        <w:rPr>
          <w:rFonts w:ascii="Arial" w:eastAsia="Times New Roman" w:hAnsi="Arial" w:cs="Arial"/>
          <w:kern w:val="0"/>
          <w:sz w:val="20"/>
          <w:szCs w:val="20"/>
          <w:lang w:eastAsia="en-GB"/>
          <w14:ligatures w14:val="none"/>
        </w:rPr>
        <w:t>)</w:t>
      </w:r>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 xml:space="preserve">in Tiv, is indigenous to West Africa, and its dried calyces are traditionally used as soup thickeners in many Nigerian households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 : http://dx.doi.org/10.12944/CRNFSJ.1.1.08","author":[{"dropping-particle":"","family":"Gernah D. I","given":"","non-dropping-particle":"","parse-names":false,"suffix":""},{"dropping-particle":"","family":"Gbakaan","given":"P.","non-dropping-particle":"","parse-names":false,"suffix":""}],"container-title":"Current Research in Nutrition and Food Science","id":"ITEM-1","issue":"1","issued":{"date-parts":[["2013"]]},"page":"77-82","title":"Effect of Potassium Carbonate (K2CO3) on the Viscosity and Related Physico – Chemical Properties of Genger (Bombax costatum) Powder during Storage","type":"article-journal","volume":"1"},"uris":["http://www.mendeley.com/documents/?uuid=600065ca-1472-4a4f-8fc3-36870af7fe27"]}],"mendeley":{"formattedCitation":"(Gernah D. I &amp; Gbakaan, 2013)","manualFormatting":"(Gernah &amp; Gbakaan, 2013)","plainTextFormattedCitation":"(Gernah D. I &amp; Gbakaan, 2013)","previouslyFormattedCitation":"(Gernah D. I &amp; Gbakaan, 2013)"},"properties":{"noteIndex":0},"schema":"https://github.com/citation-style-language/schema/raw/master/csl-citation.json"}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(Gernah &amp; Gbakaan, 2013)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The calyces are rich in mucilage,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and minerals, which confer thickening, water-binding, and stabilizing properties in food systems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{"citationItems":[{"id":"ITEM-1","itemData":{"DOI":"ISSN: 1920-3853","author":[{"dropping-particle":"","family":"Adebowale","given":"Kayode O","non-dropping-particle":"","parse-names":false,"suffix":""},{"dropping-particle":"","family":"Nwokocha","given":"Louis M","non-dropping-particle":"","parse-names":false,"suffix":""},{"dropping-particle":"","family":"Agbaje","given":"Wasiu B","non-dropping-particle":"","parse-names":false,"suffix":""},{"dropping-particle":"","family":"Chemistry","given":"Applied","non-dropping-particle":"","parse-names":false,"suffix":""}],"container-title":"Canadian Journal of Pure and Applied Sciences","id":"ITEM-1","issue":"1","issued":{"date-parts":[["2015"]]},"page":"3221-3227","title":"Composition and food value of leavesof two tropical food thickeners- Bombax costatumvand Cissus populenea","type":"article-journal","volume":"9"},"uris":["http://www.mendeley.com/documents/?uuid=21b462d2-24e2-46fd-a0bc-5efd601806f9"]}],"mendeley":{"formattedCitation":"(Adebowale et al., 2015)","plainTextFormattedCitation":"(Adebowale et al., 2015)","previouslyFormattedCitation":"(Adebowale et al., 2015)"},"properties":{"noteIndex":0},"schema":"https://github.com/citation-style-language/schema/raw/master/csl-citation.json"}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 xml:space="preserve">(Adebowale et al., 2015 ; </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 : http://dx.doi.org/10.12944/CRNFSJ.1.1.08","author":[{"dropping-particle":"","family":"Gernah D. I","given":"","non-dropping-particle":"","parse-names":false,"suffix":""},{"dropping-particle":"","family":"Gbakaan","given":"P.","non-dropping-particle":"","parse-names":false,"suffix":""}],"container-title":"Current Research in Nutrition and Food Science","id":"ITEM-1","issue":"1","issued":{"date-parts":[["2013"]]},"page":"77-82","title":"Effect of Potassium Carbonate (K2CO3) on the Viscosity and Related Physico – Chemical Properties of Genger (Bombax costatum) Powder during Storage","type":"article-journal","volume":"1"},"uris":["http://www.mendeley.com/documents/?uuid=600065ca-1472-4a4f-8fc3-36870af7fe27"]}],"mendeley":{"formattedCitation":"(Gernah D. I &amp; Gbakaan, 2013)","manualFormatting":"(Gernah &amp; Gbakaan, 2013)","plainTextFormattedCitation":"(Gernah D. I &amp; Gbakaan, 2013)","previouslyFormattedCitation":"(Gernah D. I &amp; Gbakaan, 2013)"},"properties":{"noteIndex":0},"schema":"https://github.com/citation-style-language/schema/raw/master/csl-citation.json"}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Gernah &amp; Gbakaan, 2013)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These functional attributes suggest that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 xml:space="preserve">calyces flour may play a helpful role in improving the texture and nutritional quality of cereal-based products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{"citationItems":[{"id":"ITEM-1","itemData":{"DOI":"doi : http://dx.doi.org/10.12944/CRNFSJ.1.1.08","author":[{"dropping-particle":"","family":"Gernah D. I","given":"","non-dropping-particle":"","parse-names":false,"suffix":""},{"dropping-particle":"","family":"Gbakaan","given":"P.","non-dropping-particle":"","parse-names":false,"suffix":""}],"container-title":"Current Research in Nutrition and Food Science","id":"ITEM-1","issue":"1","issued":{"date-parts":[["2013"]]},"page":"77-82","title":"Effect of Potassium Carbonate (K2CO3) on the Viscosity and Related Physico – Chemical Properties of Genger (Bombax costatum) Powder during Storage","type":"article-journal","volume":"1"},"uris":["http://www.mendeley.com/documents/?uuid=600065ca-1472-4a4f-8fc3-36870af7fe27"]}],"mendeley":{"formattedCitation":"(Gernah D. I &amp; Gbakaan, 2013)","manualFormatting":"(Gernah &amp; Gbakaan, 2013)","plainTextFormattedCitation":"(Gernah D. I &amp; Gbakaan, 2013)","previouslyFormattedCitation":"(Gernah D. I &amp; Gbakaan, 2013)"},"properties":{"noteIndex":0},"schema":"https://github.com/citation-style-language/schema/raw/master/csl-citation.json"}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(Gernah &amp; Gbakaan, 2013)</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w:t>
      </w:r>
    </w:p>
    <w:p w14:paraId="1DBC02BE"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 xml:space="preserve">Despite its traditional culinary relevance,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 xml:space="preserve">calyces remain largely underexploited in food processing </w:t>
      </w:r>
      <w:r w:rsidRPr="00304C68">
        <w:rPr>
          <w:rFonts w:ascii="Arial" w:eastAsia="Times New Roman" w:hAnsi="Arial" w:cs="Arial"/>
          <w:kern w:val="0"/>
          <w:sz w:val="20"/>
          <w:szCs w:val="20"/>
          <w:lang w:eastAsia="en-GB"/>
          <w14:ligatures w14:val="none"/>
        </w:rPr>
        <w:fldChar w:fldCharType="begin" w:fldLock="1"/>
      </w:r>
      <w:r w:rsidRPr="00304C68">
        <w:rPr>
          <w:rFonts w:ascii="Arial" w:eastAsia="Times New Roman" w:hAnsi="Arial" w:cs="Arial"/>
          <w:kern w:val="0"/>
          <w:sz w:val="20"/>
          <w:szCs w:val="20"/>
          <w:lang w:eastAsia="en-GB"/>
          <w14:ligatures w14:val="none"/>
        </w:rPr>
        <w:instrText>ADDIN CSL_CITATION {"citationItems":[{"id":"ITEM-1","itemData":{"DOI":"ISSN: 1920-3853","author":[{"dropping-particle":"","family":"Adebowale","given":"Kayode O","non-dropping-particle":"","parse-names":false,"suffix":""},{"dropping-particle":"","family":"Nwokocha","given":"Louis M","non-dropping-particle":"","parse-names":false,"suffix":""},{"dropping-particle":"","family":"Agbaje","given":"Wasiu B","non-dropping-particle":"","parse-names":false,"suffix":""},{"dropping-particle":"","family":"Chemistry","given":"Applied","non-dropping-particle":"","parse-names":false,"suffix":""}],"container-title":"Canadian Journal of Pure and Applied Sciences","id":"ITEM-1","issue":"1","issued":{"date-parts":[["2015"]]},"page":"3221-3227","title":"Composition and food value of leavesof two tropical food thickeners- Bombax costatumvand Cissus populenea","type":"article-journal","volume":"9"},"uris":["http://www.mendeley.com/documents/?uuid=21b462d2-24e2-46fd-a0bc-5efd601806f9"]}],"mendeley":{"formattedCitation":"(Adebowale et al., 2015)","plainTextFormattedCitation":"(Adebowale et al., 2015)","previouslyFormattedCitation":"(Adebowale et al., 2015)"},"properties":{"noteIndex":0},"schema":"https://github.com/citation-style-language/schema/raw/master/csl-citation.json"}</w:instrText>
      </w:r>
      <w:r w:rsidRPr="00304C68">
        <w:rPr>
          <w:rFonts w:ascii="Arial" w:eastAsia="Times New Roman" w:hAnsi="Arial" w:cs="Arial"/>
          <w:kern w:val="0"/>
          <w:sz w:val="20"/>
          <w:szCs w:val="20"/>
          <w:lang w:eastAsia="en-GB"/>
          <w14:ligatures w14:val="none"/>
        </w:rPr>
        <w:fldChar w:fldCharType="separate"/>
      </w:r>
      <w:r w:rsidRPr="00304C68">
        <w:rPr>
          <w:rFonts w:ascii="Arial" w:eastAsia="Times New Roman" w:hAnsi="Arial" w:cs="Arial"/>
          <w:noProof/>
          <w:kern w:val="0"/>
          <w:sz w:val="20"/>
          <w:szCs w:val="20"/>
          <w:lang w:eastAsia="en-GB"/>
          <w14:ligatures w14:val="none"/>
        </w:rPr>
        <w:t>(Adebowale et al., 2015)</w:t>
      </w:r>
      <w:r w:rsidRPr="00304C68">
        <w:rPr>
          <w:rFonts w:ascii="Arial" w:eastAsia="Times New Roman" w:hAnsi="Arial" w:cs="Arial"/>
          <w:kern w:val="0"/>
          <w:sz w:val="20"/>
          <w:szCs w:val="20"/>
          <w:lang w:eastAsia="en-GB"/>
          <w14:ligatures w14:val="none"/>
        </w:rPr>
        <w:fldChar w:fldCharType="end"/>
      </w:r>
      <w:r w:rsidRPr="00304C68">
        <w:rPr>
          <w:rFonts w:ascii="Arial" w:eastAsia="Times New Roman" w:hAnsi="Arial" w:cs="Arial"/>
          <w:kern w:val="0"/>
          <w:sz w:val="20"/>
          <w:szCs w:val="20"/>
          <w:lang w:eastAsia="en-GB"/>
          <w14:ligatures w14:val="none"/>
        </w:rPr>
        <w:t xml:space="preserve">. Scientific studies on their application in pasta products are minimal, particularly in combination with cereal flours such as wheat and sorghum. The incorporation of </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proofErr w:type="gramStart"/>
      <w:r w:rsidRPr="00304C68">
        <w:rPr>
          <w:rFonts w:ascii="Arial" w:eastAsia="Times New Roman" w:hAnsi="Arial" w:cs="Arial"/>
          <w:kern w:val="0"/>
          <w:sz w:val="20"/>
          <w:szCs w:val="20"/>
          <w:lang w:eastAsia="en-GB"/>
          <w14:ligatures w14:val="none"/>
        </w:rPr>
        <w:t>calyces</w:t>
      </w:r>
      <w:proofErr w:type="gramEnd"/>
      <w:r w:rsidRPr="00304C68">
        <w:rPr>
          <w:rFonts w:ascii="Arial" w:eastAsia="Times New Roman" w:hAnsi="Arial" w:cs="Arial"/>
          <w:kern w:val="0"/>
          <w:sz w:val="20"/>
          <w:szCs w:val="20"/>
          <w:lang w:eastAsia="en-GB"/>
          <w14:ligatures w14:val="none"/>
        </w:rPr>
        <w:t xml:space="preserve"> flour into spaghetti formulations may enhance dietary </w:t>
      </w:r>
      <w:proofErr w:type="spellStart"/>
      <w:r w:rsidRPr="00304C68">
        <w:rPr>
          <w:rFonts w:ascii="Arial" w:eastAsia="Times New Roman" w:hAnsi="Arial" w:cs="Arial"/>
          <w:kern w:val="0"/>
          <w:sz w:val="20"/>
          <w:szCs w:val="20"/>
          <w:lang w:eastAsia="en-GB"/>
          <w14:ligatures w14:val="none"/>
        </w:rPr>
        <w:t>fibre</w:t>
      </w:r>
      <w:proofErr w:type="spellEnd"/>
      <w:r w:rsidRPr="00304C68">
        <w:rPr>
          <w:rFonts w:ascii="Arial" w:eastAsia="Times New Roman" w:hAnsi="Arial" w:cs="Arial"/>
          <w:kern w:val="0"/>
          <w:sz w:val="20"/>
          <w:szCs w:val="20"/>
          <w:lang w:eastAsia="en-GB"/>
          <w14:ligatures w14:val="none"/>
        </w:rPr>
        <w:t xml:space="preserve"> content and influence cooking and textural properties.</w:t>
      </w:r>
    </w:p>
    <w:p w14:paraId="50C20119" w14:textId="77777777" w:rsidR="00FE7B4B" w:rsidRPr="00304C68" w:rsidRDefault="00FE7B4B" w:rsidP="007526D0">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304C68">
        <w:rPr>
          <w:rFonts w:ascii="Arial" w:eastAsia="Times New Roman" w:hAnsi="Arial" w:cs="Arial"/>
          <w:kern w:val="0"/>
          <w:sz w:val="20"/>
          <w:szCs w:val="20"/>
          <w:lang w:eastAsia="en-GB"/>
          <w14:ligatures w14:val="none"/>
        </w:rPr>
        <w:t>This study aims to assess the nutritional, cooking, and sensory qualities of spaghetti made from wheat-sorghum-</w:t>
      </w:r>
      <w:r w:rsidRPr="00304C68">
        <w:rPr>
          <w:rFonts w:ascii="Arial" w:eastAsia="Times New Roman" w:hAnsi="Arial" w:cs="Arial"/>
          <w:i/>
          <w:iCs/>
          <w:kern w:val="0"/>
          <w:sz w:val="20"/>
          <w:szCs w:val="20"/>
          <w:lang w:eastAsia="en-GB"/>
          <w14:ligatures w14:val="none"/>
        </w:rPr>
        <w:t xml:space="preserve">Bombax </w:t>
      </w:r>
      <w:proofErr w:type="spellStart"/>
      <w:r w:rsidRPr="00304C68">
        <w:rPr>
          <w:rFonts w:ascii="Arial" w:eastAsia="Times New Roman" w:hAnsi="Arial" w:cs="Arial"/>
          <w:i/>
          <w:iCs/>
          <w:kern w:val="0"/>
          <w:sz w:val="20"/>
          <w:szCs w:val="20"/>
          <w:lang w:eastAsia="en-GB"/>
          <w14:ligatures w14:val="none"/>
        </w:rPr>
        <w:t>costatum</w:t>
      </w:r>
      <w:proofErr w:type="spellEnd"/>
      <w:r w:rsidRPr="00304C68">
        <w:rPr>
          <w:rFonts w:ascii="Arial" w:eastAsia="Times New Roman" w:hAnsi="Arial" w:cs="Arial"/>
          <w:i/>
          <w:iCs/>
          <w:kern w:val="0"/>
          <w:sz w:val="20"/>
          <w:szCs w:val="20"/>
          <w:lang w:eastAsia="en-GB"/>
          <w14:ligatures w14:val="none"/>
        </w:rPr>
        <w:t xml:space="preserve"> </w:t>
      </w:r>
      <w:r w:rsidRPr="00304C68">
        <w:rPr>
          <w:rFonts w:ascii="Arial" w:eastAsia="Times New Roman" w:hAnsi="Arial" w:cs="Arial"/>
          <w:kern w:val="0"/>
          <w:sz w:val="20"/>
          <w:szCs w:val="20"/>
          <w:lang w:eastAsia="en-GB"/>
          <w14:ligatures w14:val="none"/>
        </w:rPr>
        <w:t>calyces flour blends, to add value, improve nutritional content, and increase the use of locally available raw materials.</w:t>
      </w:r>
    </w:p>
    <w:p w14:paraId="1E739F3E" w14:textId="4AF24831" w:rsidR="00FE7B4B" w:rsidRPr="00B0610D" w:rsidRDefault="00F56D82" w:rsidP="00B0610D">
      <w:pPr>
        <w:pStyle w:val="Heading1"/>
        <w:spacing w:before="0" w:line="240" w:lineRule="auto"/>
        <w:rPr>
          <w:rFonts w:ascii="Arial" w:hAnsi="Arial" w:cs="Arial"/>
          <w:b/>
          <w:bCs/>
          <w:color w:val="auto"/>
          <w:sz w:val="22"/>
          <w:szCs w:val="22"/>
        </w:rPr>
      </w:pPr>
      <w:bookmarkStart w:id="2" w:name="_Toc220922843"/>
      <w:r w:rsidRPr="00B0610D">
        <w:rPr>
          <w:rFonts w:ascii="Arial" w:hAnsi="Arial" w:cs="Arial"/>
          <w:b/>
          <w:bCs/>
          <w:color w:val="auto"/>
          <w:sz w:val="22"/>
          <w:szCs w:val="22"/>
        </w:rPr>
        <w:t xml:space="preserve">2.0 </w:t>
      </w:r>
      <w:r w:rsidR="00FE7B4B" w:rsidRPr="00B0610D">
        <w:rPr>
          <w:rFonts w:ascii="Arial" w:hAnsi="Arial" w:cs="Arial"/>
          <w:b/>
          <w:bCs/>
          <w:color w:val="auto"/>
          <w:sz w:val="22"/>
          <w:szCs w:val="22"/>
        </w:rPr>
        <w:t>MATERIALS AND METHODS</w:t>
      </w:r>
      <w:bookmarkEnd w:id="2"/>
    </w:p>
    <w:p w14:paraId="54B0D5D4" w14:textId="5E0FF22C" w:rsidR="00FE7B4B" w:rsidRPr="00B0610D" w:rsidRDefault="00F56D82" w:rsidP="00B0610D">
      <w:pPr>
        <w:pStyle w:val="Heading1"/>
        <w:spacing w:before="0" w:line="240" w:lineRule="auto"/>
        <w:rPr>
          <w:rFonts w:ascii="Arial" w:hAnsi="Arial" w:cs="Arial"/>
          <w:b/>
          <w:bCs/>
          <w:color w:val="auto"/>
          <w:sz w:val="22"/>
          <w:szCs w:val="22"/>
        </w:rPr>
      </w:pPr>
      <w:bookmarkStart w:id="3" w:name="_Toc220922844"/>
      <w:r w:rsidRPr="00B0610D">
        <w:rPr>
          <w:rFonts w:ascii="Arial" w:hAnsi="Arial" w:cs="Arial"/>
          <w:b/>
          <w:bCs/>
          <w:color w:val="auto"/>
          <w:sz w:val="22"/>
          <w:szCs w:val="22"/>
        </w:rPr>
        <w:t>2</w:t>
      </w:r>
      <w:r w:rsidR="00FE7B4B" w:rsidRPr="00B0610D">
        <w:rPr>
          <w:rFonts w:ascii="Arial" w:hAnsi="Arial" w:cs="Arial"/>
          <w:b/>
          <w:bCs/>
          <w:color w:val="auto"/>
          <w:sz w:val="22"/>
          <w:szCs w:val="22"/>
        </w:rPr>
        <w:t>.1 Source of Materials</w:t>
      </w:r>
      <w:bookmarkEnd w:id="3"/>
      <w:r w:rsidR="00FE7B4B" w:rsidRPr="00B0610D">
        <w:rPr>
          <w:rFonts w:ascii="Arial" w:hAnsi="Arial" w:cs="Arial"/>
          <w:b/>
          <w:bCs/>
          <w:color w:val="auto"/>
          <w:sz w:val="22"/>
          <w:szCs w:val="22"/>
        </w:rPr>
        <w:t xml:space="preserve"> </w:t>
      </w:r>
    </w:p>
    <w:p w14:paraId="1F080AB9" w14:textId="77777777" w:rsidR="00FE7B4B" w:rsidRPr="00B0610D" w:rsidRDefault="00FE7B4B" w:rsidP="00B0610D">
      <w:pPr>
        <w:spacing w:line="240" w:lineRule="auto"/>
        <w:jc w:val="both"/>
        <w:rPr>
          <w:rFonts w:ascii="Arial" w:hAnsi="Arial" w:cs="Arial"/>
          <w:sz w:val="20"/>
          <w:szCs w:val="20"/>
        </w:rPr>
      </w:pPr>
      <w:r w:rsidRPr="00B0610D">
        <w:rPr>
          <w:rFonts w:ascii="Arial" w:hAnsi="Arial" w:cs="Arial"/>
          <w:i/>
          <w:iCs/>
          <w:sz w:val="20"/>
          <w:szCs w:val="20"/>
        </w:rPr>
        <w:t xml:space="preserve">Bombax </w:t>
      </w:r>
      <w:proofErr w:type="spellStart"/>
      <w:r w:rsidRPr="00B0610D">
        <w:rPr>
          <w:rFonts w:ascii="Arial" w:hAnsi="Arial" w:cs="Arial"/>
          <w:i/>
          <w:iCs/>
          <w:sz w:val="20"/>
          <w:szCs w:val="20"/>
        </w:rPr>
        <w:t>costatuum</w:t>
      </w:r>
      <w:proofErr w:type="spellEnd"/>
      <w:r w:rsidRPr="00B0610D">
        <w:rPr>
          <w:rFonts w:ascii="Arial" w:hAnsi="Arial" w:cs="Arial"/>
          <w:i/>
          <w:iCs/>
          <w:sz w:val="20"/>
          <w:szCs w:val="20"/>
        </w:rPr>
        <w:t xml:space="preserve"> calyces</w:t>
      </w:r>
      <w:r w:rsidRPr="00B0610D">
        <w:rPr>
          <w:rFonts w:ascii="Arial" w:hAnsi="Arial" w:cs="Arial"/>
          <w:sz w:val="20"/>
          <w:szCs w:val="20"/>
        </w:rPr>
        <w:t xml:space="preserve"> were collected from a local farmer in </w:t>
      </w:r>
      <w:proofErr w:type="spellStart"/>
      <w:r w:rsidRPr="00B0610D">
        <w:rPr>
          <w:rFonts w:ascii="Arial" w:hAnsi="Arial" w:cs="Arial"/>
          <w:sz w:val="20"/>
          <w:szCs w:val="20"/>
        </w:rPr>
        <w:t>Yandev</w:t>
      </w:r>
      <w:proofErr w:type="spellEnd"/>
      <w:r w:rsidRPr="00B0610D">
        <w:rPr>
          <w:rFonts w:ascii="Arial" w:hAnsi="Arial" w:cs="Arial"/>
          <w:sz w:val="20"/>
          <w:szCs w:val="20"/>
        </w:rPr>
        <w:t xml:space="preserve">, </w:t>
      </w:r>
      <w:proofErr w:type="spellStart"/>
      <w:r w:rsidRPr="00B0610D">
        <w:rPr>
          <w:rFonts w:ascii="Arial" w:hAnsi="Arial" w:cs="Arial"/>
          <w:sz w:val="20"/>
          <w:szCs w:val="20"/>
        </w:rPr>
        <w:t>Gboko</w:t>
      </w:r>
      <w:proofErr w:type="spellEnd"/>
      <w:r w:rsidRPr="00B0610D">
        <w:rPr>
          <w:rFonts w:ascii="Arial" w:hAnsi="Arial" w:cs="Arial"/>
          <w:sz w:val="20"/>
          <w:szCs w:val="20"/>
        </w:rPr>
        <w:t xml:space="preserve"> Local Government Area of Benue State, while sorghum and wheat flour were purchased from </w:t>
      </w:r>
      <w:proofErr w:type="spellStart"/>
      <w:r w:rsidRPr="00B0610D">
        <w:rPr>
          <w:rFonts w:ascii="Arial" w:hAnsi="Arial" w:cs="Arial"/>
          <w:sz w:val="20"/>
          <w:szCs w:val="20"/>
        </w:rPr>
        <w:t>Wurukum</w:t>
      </w:r>
      <w:proofErr w:type="spellEnd"/>
      <w:r w:rsidRPr="00B0610D">
        <w:rPr>
          <w:rFonts w:ascii="Arial" w:hAnsi="Arial" w:cs="Arial"/>
          <w:sz w:val="20"/>
          <w:szCs w:val="20"/>
        </w:rPr>
        <w:t xml:space="preserve"> market in Makurdi Local Government Area of Benue State and transported to the Department of Food Processing Laboratory, Joseph Sarwuan Tarkaa University, Makurdi, for processing.   </w:t>
      </w:r>
    </w:p>
    <w:p w14:paraId="108A7DF9" w14:textId="77777777" w:rsidR="00B0610D" w:rsidRPr="00B0610D" w:rsidRDefault="00F56D82" w:rsidP="00B0610D">
      <w:pPr>
        <w:pStyle w:val="Heading1"/>
        <w:spacing w:line="240" w:lineRule="auto"/>
        <w:rPr>
          <w:rFonts w:ascii="Arial" w:hAnsi="Arial" w:cs="Arial"/>
          <w:b/>
          <w:bCs/>
          <w:color w:val="auto"/>
          <w:sz w:val="22"/>
          <w:szCs w:val="22"/>
        </w:rPr>
      </w:pPr>
      <w:bookmarkStart w:id="4" w:name="_Toc220922845"/>
      <w:r w:rsidRPr="00B0610D">
        <w:rPr>
          <w:rFonts w:ascii="Arial" w:hAnsi="Arial" w:cs="Arial"/>
          <w:b/>
          <w:bCs/>
          <w:color w:val="auto"/>
          <w:sz w:val="22"/>
          <w:szCs w:val="22"/>
        </w:rPr>
        <w:t>2</w:t>
      </w:r>
      <w:r w:rsidR="00FE7B4B" w:rsidRPr="00B0610D">
        <w:rPr>
          <w:rFonts w:ascii="Arial" w:hAnsi="Arial" w:cs="Arial"/>
          <w:b/>
          <w:bCs/>
          <w:color w:val="auto"/>
          <w:sz w:val="22"/>
          <w:szCs w:val="22"/>
        </w:rPr>
        <w:t>.2 Methods</w:t>
      </w:r>
      <w:bookmarkEnd w:id="4"/>
      <w:r w:rsidR="00FE7B4B" w:rsidRPr="00B0610D">
        <w:rPr>
          <w:rFonts w:ascii="Arial" w:hAnsi="Arial" w:cs="Arial"/>
          <w:b/>
          <w:bCs/>
          <w:color w:val="auto"/>
          <w:sz w:val="22"/>
          <w:szCs w:val="22"/>
        </w:rPr>
        <w:t xml:space="preserve"> </w:t>
      </w:r>
      <w:bookmarkStart w:id="5" w:name="_Toc220922846"/>
    </w:p>
    <w:p w14:paraId="3C4818F8" w14:textId="790A05B9" w:rsidR="00FE7B4B" w:rsidRPr="00B0610D" w:rsidRDefault="00F56D82" w:rsidP="00B0610D">
      <w:pPr>
        <w:pStyle w:val="Heading1"/>
        <w:spacing w:line="240" w:lineRule="auto"/>
        <w:rPr>
          <w:rFonts w:ascii="Arial" w:hAnsi="Arial" w:cs="Arial"/>
          <w:b/>
          <w:bCs/>
          <w:color w:val="auto"/>
          <w:sz w:val="20"/>
          <w:szCs w:val="20"/>
        </w:rPr>
      </w:pPr>
      <w:r w:rsidRPr="00B0610D">
        <w:rPr>
          <w:rFonts w:ascii="Arial" w:hAnsi="Arial" w:cs="Arial"/>
          <w:b/>
          <w:bCs/>
          <w:color w:val="auto"/>
          <w:sz w:val="20"/>
          <w:szCs w:val="20"/>
        </w:rPr>
        <w:t>2</w:t>
      </w:r>
      <w:r w:rsidR="00FE7B4B" w:rsidRPr="00B0610D">
        <w:rPr>
          <w:rFonts w:ascii="Arial" w:hAnsi="Arial" w:cs="Arial"/>
          <w:b/>
          <w:bCs/>
          <w:color w:val="auto"/>
          <w:sz w:val="20"/>
          <w:szCs w:val="20"/>
        </w:rPr>
        <w:t>.2.1 Production of sorghum flour</w:t>
      </w:r>
      <w:bookmarkEnd w:id="5"/>
    </w:p>
    <w:p w14:paraId="34F2C048" w14:textId="716AB052" w:rsidR="00FE7B4B" w:rsidRPr="00B0610D" w:rsidRDefault="00FE7B4B" w:rsidP="00B0610D">
      <w:pPr>
        <w:autoSpaceDE w:val="0"/>
        <w:autoSpaceDN w:val="0"/>
        <w:adjustRightInd w:val="0"/>
        <w:spacing w:line="240" w:lineRule="auto"/>
        <w:jc w:val="both"/>
        <w:rPr>
          <w:rFonts w:ascii="Arial" w:eastAsia="MinionPro-Capt" w:hAnsi="Arial" w:cs="Arial"/>
          <w:sz w:val="20"/>
          <w:szCs w:val="20"/>
        </w:rPr>
      </w:pPr>
      <w:r w:rsidRPr="00B0610D">
        <w:rPr>
          <w:rFonts w:ascii="Arial" w:eastAsia="MinionPro-Capt" w:hAnsi="Arial" w:cs="Arial"/>
          <w:sz w:val="20"/>
          <w:szCs w:val="20"/>
        </w:rPr>
        <w:t xml:space="preserve">Sorghum grains were cleaned to remove extraneous plant parts, broken seeds, and stones, then washed, sun-dried (12 h), dry-milled (hammer mill), and sieved (0.2 mm mesh screen) using a modified method of Hallen et al., (2004). The flour was packaged in an airtight plastic container for further use. The flow chart for producing sorghum flour is shown in Figure </w:t>
      </w:r>
      <w:r w:rsidR="00B0610D">
        <w:rPr>
          <w:rFonts w:ascii="Arial" w:eastAsia="MinionPro-Capt" w:hAnsi="Arial" w:cs="Arial"/>
          <w:sz w:val="20"/>
          <w:szCs w:val="20"/>
        </w:rPr>
        <w:t>1</w:t>
      </w:r>
      <w:r w:rsidRPr="00B0610D">
        <w:rPr>
          <w:rFonts w:ascii="Arial" w:eastAsia="MinionPro-Capt" w:hAnsi="Arial" w:cs="Arial"/>
          <w:sz w:val="20"/>
          <w:szCs w:val="20"/>
        </w:rPr>
        <w:t>.</w:t>
      </w:r>
    </w:p>
    <w:p w14:paraId="1C1D8429" w14:textId="77777777" w:rsidR="00E47883" w:rsidRDefault="00E47883" w:rsidP="004B3820">
      <w:pPr>
        <w:spacing w:before="240" w:line="276" w:lineRule="auto"/>
        <w:jc w:val="center"/>
        <w:rPr>
          <w:rFonts w:ascii="Arial" w:hAnsi="Arial" w:cs="Arial"/>
          <w:noProof/>
          <w:sz w:val="20"/>
          <w:szCs w:val="20"/>
        </w:rPr>
      </w:pPr>
    </w:p>
    <w:p w14:paraId="049E43A8" w14:textId="36766ABA" w:rsidR="00FE7B4B" w:rsidRPr="00B0610D" w:rsidRDefault="004B3820" w:rsidP="004B3820">
      <w:pPr>
        <w:spacing w:before="240" w:line="276" w:lineRule="auto"/>
        <w:jc w:val="center"/>
        <w:rPr>
          <w:rFonts w:ascii="Arial" w:hAnsi="Arial" w:cs="Arial"/>
          <w:sz w:val="20"/>
          <w:szCs w:val="20"/>
        </w:rPr>
      </w:pPr>
      <w:r w:rsidRPr="004B3820">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5F290E2C" wp14:editId="70084907">
                <wp:simplePos x="0" y="0"/>
                <wp:positionH relativeFrom="margin">
                  <wp:align>center</wp:align>
                </wp:positionH>
                <wp:positionV relativeFrom="paragraph">
                  <wp:posOffset>329</wp:posOffset>
                </wp:positionV>
                <wp:extent cx="1446530" cy="433705"/>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433705"/>
                        </a:xfrm>
                        <a:prstGeom prst="rect">
                          <a:avLst/>
                        </a:prstGeom>
                        <a:solidFill>
                          <a:srgbClr val="FFFFFF"/>
                        </a:solidFill>
                        <a:ln w="9525">
                          <a:solidFill>
                            <a:srgbClr val="000000"/>
                          </a:solidFill>
                          <a:miter lim="800000"/>
                          <a:headEnd/>
                          <a:tailEnd/>
                        </a:ln>
                      </wps:spPr>
                      <wps:txbx>
                        <w:txbxContent>
                          <w:p w14:paraId="548CCB33" w14:textId="77777777" w:rsidR="004B3820" w:rsidRPr="00B0610D" w:rsidRDefault="004B3820" w:rsidP="004B3820">
                            <w:pPr>
                              <w:spacing w:before="240" w:line="276" w:lineRule="auto"/>
                              <w:jc w:val="center"/>
                              <w:rPr>
                                <w:rFonts w:ascii="Arial" w:hAnsi="Arial" w:cs="Arial"/>
                                <w:sz w:val="20"/>
                                <w:szCs w:val="20"/>
                              </w:rPr>
                            </w:pPr>
                            <w:r w:rsidRPr="00B0610D">
                              <w:rPr>
                                <w:rFonts w:ascii="Arial" w:hAnsi="Arial" w:cs="Arial"/>
                                <w:sz w:val="20"/>
                                <w:szCs w:val="20"/>
                              </w:rPr>
                              <w:t>Sorghum</w:t>
                            </w:r>
                          </w:p>
                          <w:p w14:paraId="4CF61965" w14:textId="133E9222" w:rsidR="004B3820" w:rsidRDefault="004B38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90E2C" id="_x0000_t202" coordsize="21600,21600" o:spt="202" path="m,l,21600r21600,l21600,xe">
                <v:stroke joinstyle="miter"/>
                <v:path gradientshapeok="t" o:connecttype="rect"/>
              </v:shapetype>
              <v:shape id="Text Box 2" o:spid="_x0000_s1026" type="#_x0000_t202" style="position:absolute;left:0;text-align:left;margin-left:0;margin-top:.05pt;width:113.9pt;height:34.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">
                <v:textbox>
                  <w:txbxContent>
                    <w:p w14:paraId="548CCB33" w14:textId="77777777" w:rsidR="004B3820" w:rsidRPr="00B0610D" w:rsidRDefault="004B3820" w:rsidP="004B3820">
                      <w:pPr>
                        <w:spacing w:before="240" w:line="276" w:lineRule="auto"/>
                        <w:jc w:val="center"/>
                        <w:rPr>
                          <w:rFonts w:ascii="Arial" w:hAnsi="Arial" w:cs="Arial"/>
                          <w:sz w:val="20"/>
                          <w:szCs w:val="20"/>
                        </w:rPr>
                      </w:pPr>
                      <w:r w:rsidRPr="00B0610D">
                        <w:rPr>
                          <w:rFonts w:ascii="Arial" w:hAnsi="Arial" w:cs="Arial"/>
                          <w:sz w:val="20"/>
                          <w:szCs w:val="20"/>
                        </w:rPr>
                        <w:t>Sorghum</w:t>
                      </w:r>
                    </w:p>
                    <w:p w14:paraId="4CF61965" w14:textId="133E9222" w:rsidR="004B3820" w:rsidRDefault="004B3820"/>
                  </w:txbxContent>
                </v:textbox>
                <w10:wrap type="square" anchorx="margin"/>
              </v:shape>
            </w:pict>
          </mc:Fallback>
        </mc:AlternateContent>
      </w:r>
    </w:p>
    <w:p w14:paraId="3A9D8A49" w14:textId="61078335" w:rsidR="004B3820"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36385168" wp14:editId="01E9870A">
                <wp:simplePos x="0" y="0"/>
                <wp:positionH relativeFrom="column">
                  <wp:posOffset>2942252</wp:posOffset>
                </wp:positionH>
                <wp:positionV relativeFrom="paragraph">
                  <wp:posOffset>218473</wp:posOffset>
                </wp:positionV>
                <wp:extent cx="5787" cy="167833"/>
                <wp:effectExtent l="76200" t="0" r="70485" b="60960"/>
                <wp:wrapNone/>
                <wp:docPr id="798154315"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8569A5" id="_x0000_t32" coordsize="21600,21600" o:spt="32" o:oned="t" path="m,l21600,21600e" filled="f">
                <v:path arrowok="t" fillok="f" o:connecttype="none"/>
                <o:lock v:ext="edit" shapetype="t"/>
              </v:shapetype>
              <v:shape id="Straight Arrow Connector 19" o:spid="_x0000_s1026" type="#_x0000_t32" style="position:absolute;margin-left:231.65pt;margin-top:17.2pt;width:.45pt;height:13.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" strokecolor="#4472c4 [3204]" strokeweight=".5pt">
                <v:stroke endarrow="block" joinstyle="miter"/>
              </v:shape>
            </w:pict>
          </mc:Fallback>
        </mc:AlternateContent>
      </w:r>
    </w:p>
    <w:p w14:paraId="4F254C07" w14:textId="5096060E" w:rsidR="004B3820" w:rsidRDefault="00E47883" w:rsidP="004B3820">
      <w:pPr>
        <w:spacing w:before="240" w:line="276" w:lineRule="auto"/>
        <w:jc w:val="cente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80768" behindDoc="0" locked="0" layoutInCell="1" allowOverlap="1" wp14:anchorId="52A8F2BB" wp14:editId="13053E49">
                <wp:simplePos x="0" y="0"/>
                <wp:positionH relativeFrom="column">
                  <wp:posOffset>2947991</wp:posOffset>
                </wp:positionH>
                <wp:positionV relativeFrom="paragraph">
                  <wp:posOffset>204551</wp:posOffset>
                </wp:positionV>
                <wp:extent cx="5787" cy="167833"/>
                <wp:effectExtent l="76200" t="0" r="70485" b="60960"/>
                <wp:wrapNone/>
                <wp:docPr id="1837540148"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064335" id="Straight Arrow Connector 19" o:spid="_x0000_s1026" type="#_x0000_t32" style="position:absolute;margin-left:232.15pt;margin-top:16.1pt;width:.45pt;height:13.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" strokecolor="#4472c4 [3204]" strokeweight=".5pt">
                <v:stroke endarrow="block" joinstyle="miter"/>
              </v:shape>
            </w:pict>
          </mc:Fallback>
        </mc:AlternateContent>
      </w:r>
      <w:r w:rsidR="004B3820">
        <w:rPr>
          <w:rFonts w:ascii="Arial" w:hAnsi="Arial" w:cs="Arial"/>
          <w:sz w:val="20"/>
          <w:szCs w:val="20"/>
        </w:rPr>
        <w:t>Sorting</w:t>
      </w:r>
    </w:p>
    <w:p w14:paraId="469637BB" w14:textId="6E9581A0" w:rsidR="00FE7B4B" w:rsidRPr="00B0610D"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030EA334" wp14:editId="67718131">
                <wp:simplePos x="0" y="0"/>
                <wp:positionH relativeFrom="column">
                  <wp:posOffset>2954366</wp:posOffset>
                </wp:positionH>
                <wp:positionV relativeFrom="paragraph">
                  <wp:posOffset>202766</wp:posOffset>
                </wp:positionV>
                <wp:extent cx="5787" cy="167833"/>
                <wp:effectExtent l="76200" t="0" r="70485" b="60960"/>
                <wp:wrapNone/>
                <wp:docPr id="1435042734"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27869C" id="Straight Arrow Connector 19" o:spid="_x0000_s1026" type="#_x0000_t32" style="position:absolute;margin-left:232.65pt;margin-top:15.95pt;width:.45pt;height:13.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" strokecolor="#4472c4 [3204]" strokeweight=".5pt">
                <v:stroke endarrow="block" joinstyle="miter"/>
              </v:shape>
            </w:pict>
          </mc:Fallback>
        </mc:AlternateContent>
      </w:r>
      <w:r w:rsidR="00FE7B4B" w:rsidRPr="00B0610D">
        <w:rPr>
          <w:rFonts w:ascii="Arial" w:hAnsi="Arial" w:cs="Arial"/>
          <w:sz w:val="20"/>
          <w:szCs w:val="20"/>
        </w:rPr>
        <w:t>Weighing</w:t>
      </w:r>
    </w:p>
    <w:p w14:paraId="47FCE3D7" w14:textId="4D528010" w:rsidR="00B0610D" w:rsidRPr="00B0610D"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8FC94A1" wp14:editId="4F78D08C">
                <wp:simplePos x="0" y="0"/>
                <wp:positionH relativeFrom="margin">
                  <wp:align>center</wp:align>
                </wp:positionH>
                <wp:positionV relativeFrom="paragraph">
                  <wp:posOffset>240882</wp:posOffset>
                </wp:positionV>
                <wp:extent cx="5787" cy="167833"/>
                <wp:effectExtent l="76200" t="0" r="70485" b="60960"/>
                <wp:wrapNone/>
                <wp:docPr id="933746209"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72B92" id="Straight Arrow Connector 19" o:spid="_x0000_s1026" type="#_x0000_t32" style="position:absolute;margin-left:0;margin-top:18.95pt;width:.45pt;height:13.2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" strokecolor="#4472c4 [3204]" strokeweight=".5pt">
                <v:stroke endarrow="block" joinstyle="miter"/>
                <w10:wrap anchorx="margin"/>
              </v:shape>
            </w:pict>
          </mc:Fallback>
        </mc:AlternateContent>
      </w:r>
      <w:r w:rsidR="00FE7B4B" w:rsidRPr="00B0610D">
        <w:rPr>
          <w:rFonts w:ascii="Arial" w:hAnsi="Arial" w:cs="Arial"/>
          <w:sz w:val="20"/>
          <w:szCs w:val="20"/>
        </w:rPr>
        <w:t>Washing</w:t>
      </w:r>
    </w:p>
    <w:p w14:paraId="6792599D" w14:textId="5B0604F6" w:rsidR="00FE7B4B" w:rsidRPr="00B0610D" w:rsidRDefault="00E47883" w:rsidP="004B3820">
      <w:pPr>
        <w:spacing w:before="240" w:line="276" w:lineRule="auto"/>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732B61FD" wp14:editId="425494EB">
                <wp:simplePos x="0" y="0"/>
                <wp:positionH relativeFrom="column">
                  <wp:posOffset>2977467</wp:posOffset>
                </wp:positionH>
                <wp:positionV relativeFrom="paragraph">
                  <wp:posOffset>205032</wp:posOffset>
                </wp:positionV>
                <wp:extent cx="5787" cy="167833"/>
                <wp:effectExtent l="76200" t="0" r="70485" b="60960"/>
                <wp:wrapNone/>
                <wp:docPr id="58848767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C1796D" id="Straight Arrow Connector 19" o:spid="_x0000_s1026" type="#_x0000_t32" style="position:absolute;margin-left:234.45pt;margin-top:16.15pt;width:.45pt;height:13.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" strokecolor="#4472c4 [3204]" strokeweight=".5pt">
                <v:stroke endarrow="block" joinstyle="miter"/>
              </v:shape>
            </w:pict>
          </mc:Fallback>
        </mc:AlternateContent>
      </w:r>
      <w:r w:rsidR="00FE7B4B" w:rsidRPr="00B0610D">
        <w:rPr>
          <w:rFonts w:ascii="Arial" w:hAnsi="Arial" w:cs="Arial"/>
          <w:sz w:val="20"/>
          <w:szCs w:val="20"/>
        </w:rPr>
        <w:t>Sun drying</w:t>
      </w:r>
    </w:p>
    <w:p w14:paraId="7484D1BF" w14:textId="0BA4199F" w:rsidR="00FE7B4B" w:rsidRPr="00B0610D" w:rsidRDefault="00E47883" w:rsidP="004B3820">
      <w:pPr>
        <w:spacing w:before="240" w:line="276" w:lineRule="auto"/>
        <w:ind w:left="720" w:firstLine="72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460BBC4" wp14:editId="3177A5D4">
                <wp:simplePos x="0" y="0"/>
                <wp:positionH relativeFrom="margin">
                  <wp:align>center</wp:align>
                </wp:positionH>
                <wp:positionV relativeFrom="paragraph">
                  <wp:posOffset>237361</wp:posOffset>
                </wp:positionV>
                <wp:extent cx="5787" cy="167833"/>
                <wp:effectExtent l="76200" t="0" r="70485" b="60960"/>
                <wp:wrapNone/>
                <wp:docPr id="14628030"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DAF2BB" id="Straight Arrow Connector 19" o:spid="_x0000_s1026" type="#_x0000_t32" style="position:absolute;margin-left:0;margin-top:18.7pt;width:.45pt;height:13.2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" strokecolor="#4472c4 [3204]" strokeweight=".5pt">
                <v:stroke endarrow="block" joinstyle="miter"/>
                <w10:wrap anchorx="margin"/>
              </v:shape>
            </w:pict>
          </mc:Fallback>
        </mc:AlternateContent>
      </w:r>
      <w:r w:rsidR="00FE7B4B" w:rsidRPr="00B0610D">
        <w:rPr>
          <w:rFonts w:ascii="Arial" w:hAnsi="Arial" w:cs="Arial"/>
          <w:sz w:val="20"/>
          <w:szCs w:val="20"/>
        </w:rPr>
        <w:t>Dry milling (Hammer mill)</w:t>
      </w:r>
    </w:p>
    <w:p w14:paraId="266F73F1" w14:textId="1B4C2FDA" w:rsidR="00FE7B4B" w:rsidRPr="00B0610D" w:rsidRDefault="00E47883" w:rsidP="004B3820">
      <w:pPr>
        <w:spacing w:before="240" w:line="276" w:lineRule="auto"/>
        <w:ind w:left="360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A3409C4" wp14:editId="755042B2">
                <wp:simplePos x="0" y="0"/>
                <wp:positionH relativeFrom="margin">
                  <wp:align>center</wp:align>
                </wp:positionH>
                <wp:positionV relativeFrom="paragraph">
                  <wp:posOffset>229814</wp:posOffset>
                </wp:positionV>
                <wp:extent cx="5787" cy="167833"/>
                <wp:effectExtent l="76200" t="0" r="70485" b="60960"/>
                <wp:wrapNone/>
                <wp:docPr id="178419448"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0A85B" id="Straight Arrow Connector 19" o:spid="_x0000_s1026" type="#_x0000_t32" style="position:absolute;margin-left:0;margin-top:18.1pt;width:.45pt;height:13.2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" strokecolor="#4472c4 [3204]" strokeweight=".5pt">
                <v:stroke endarrow="block" joinstyle="miter"/>
                <w10:wrap anchorx="margin"/>
              </v:shape>
            </w:pict>
          </mc:Fallback>
        </mc:AlternateContent>
      </w:r>
      <w:r w:rsidR="00FE7B4B" w:rsidRPr="00B0610D">
        <w:rPr>
          <w:rFonts w:ascii="Arial" w:hAnsi="Arial" w:cs="Arial"/>
          <w:sz w:val="20"/>
          <w:szCs w:val="20"/>
        </w:rPr>
        <w:t>Sieving (0.2mm)</w:t>
      </w:r>
    </w:p>
    <w:p w14:paraId="1CBF993A" w14:textId="324501D6" w:rsidR="00FE7B4B" w:rsidRPr="00B0610D" w:rsidRDefault="00E47883" w:rsidP="004B3820">
      <w:pPr>
        <w:spacing w:before="240" w:line="276" w:lineRule="auto"/>
        <w:ind w:left="360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7F5E28EA" wp14:editId="2494D907">
                <wp:simplePos x="0" y="0"/>
                <wp:positionH relativeFrom="margin">
                  <wp:align>center</wp:align>
                </wp:positionH>
                <wp:positionV relativeFrom="paragraph">
                  <wp:posOffset>248662</wp:posOffset>
                </wp:positionV>
                <wp:extent cx="5787" cy="167833"/>
                <wp:effectExtent l="76200" t="0" r="70485" b="60960"/>
                <wp:wrapNone/>
                <wp:docPr id="24786117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ECCF8" id="Straight Arrow Connector 19" o:spid="_x0000_s1026" type="#_x0000_t32" style="position:absolute;margin-left:0;margin-top:19.6pt;width:.45pt;height:13.2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" strokecolor="#4472c4 [3204]" strokeweight=".5pt">
                <v:stroke endarrow="block" joinstyle="miter"/>
                <w10:wrap anchorx="margin"/>
              </v:shape>
            </w:pict>
          </mc:Fallback>
        </mc:AlternateContent>
      </w:r>
      <w:r w:rsidR="00B0610D" w:rsidRPr="00B0610D">
        <w:rPr>
          <w:rFonts w:ascii="Arial" w:hAnsi="Arial" w:cs="Arial"/>
          <w:sz w:val="20"/>
          <w:szCs w:val="20"/>
        </w:rPr>
        <w:t>Sorghum flour</w:t>
      </w:r>
    </w:p>
    <w:p w14:paraId="4E72D4C1" w14:textId="43551AD2" w:rsidR="00E76E13" w:rsidRDefault="00E76E13" w:rsidP="004B3820">
      <w:pPr>
        <w:pStyle w:val="Heading2"/>
        <w:spacing w:before="0" w:line="240" w:lineRule="auto"/>
        <w:jc w:val="center"/>
        <w:rPr>
          <w:rFonts w:ascii="Arial" w:hAnsi="Arial" w:cs="Arial"/>
          <w:bCs/>
          <w:color w:val="auto"/>
          <w:sz w:val="20"/>
          <w:szCs w:val="20"/>
        </w:rPr>
      </w:pPr>
      <w:bookmarkStart w:id="6" w:name="_Toc220922593"/>
    </w:p>
    <w:p w14:paraId="359EFA74" w14:textId="6D4C8F62" w:rsidR="00E76E13" w:rsidRDefault="00E76E13" w:rsidP="004B3820">
      <w:pPr>
        <w:pStyle w:val="Heading2"/>
        <w:spacing w:before="0" w:line="240" w:lineRule="auto"/>
        <w:jc w:val="center"/>
        <w:rPr>
          <w:rFonts w:ascii="Arial" w:hAnsi="Arial" w:cs="Arial"/>
          <w:bCs/>
          <w:color w:val="auto"/>
          <w:sz w:val="20"/>
          <w:szCs w:val="20"/>
        </w:rPr>
      </w:pPr>
      <w:r w:rsidRPr="004B3820">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30809B64" wp14:editId="07B1CCEA">
                <wp:simplePos x="0" y="0"/>
                <wp:positionH relativeFrom="margin">
                  <wp:posOffset>2407285</wp:posOffset>
                </wp:positionH>
                <wp:positionV relativeFrom="paragraph">
                  <wp:posOffset>3175</wp:posOffset>
                </wp:positionV>
                <wp:extent cx="1446530" cy="450850"/>
                <wp:effectExtent l="0" t="0" r="20320" b="25400"/>
                <wp:wrapSquare wrapText="bothSides"/>
                <wp:docPr id="260758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450850"/>
                        </a:xfrm>
                        <a:prstGeom prst="rect">
                          <a:avLst/>
                        </a:prstGeom>
                        <a:solidFill>
                          <a:srgbClr val="FFFFFF"/>
                        </a:solidFill>
                        <a:ln w="9525">
                          <a:solidFill>
                            <a:srgbClr val="000000"/>
                          </a:solidFill>
                          <a:miter lim="800000"/>
                          <a:headEnd/>
                          <a:tailEnd/>
                        </a:ln>
                      </wps:spPr>
                      <wps:txbx>
                        <w:txbxContent>
                          <w:p w14:paraId="6C6E9B41" w14:textId="249A99EE" w:rsidR="00E76E13" w:rsidRPr="00B0610D" w:rsidRDefault="00E76E13" w:rsidP="004B3820">
                            <w:pPr>
                              <w:spacing w:before="240" w:line="276" w:lineRule="auto"/>
                              <w:jc w:val="center"/>
                              <w:rPr>
                                <w:rFonts w:ascii="Arial" w:hAnsi="Arial" w:cs="Arial"/>
                                <w:sz w:val="20"/>
                                <w:szCs w:val="20"/>
                              </w:rPr>
                            </w:pPr>
                            <w:r>
                              <w:rPr>
                                <w:rFonts w:ascii="Arial" w:hAnsi="Arial" w:cs="Arial"/>
                                <w:sz w:val="20"/>
                                <w:szCs w:val="20"/>
                              </w:rPr>
                              <w:t>Sorghum flour</w:t>
                            </w:r>
                          </w:p>
                          <w:p w14:paraId="6A46F057" w14:textId="77777777" w:rsidR="00E76E13" w:rsidRDefault="00E76E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09B64" id="_x0000_s1027" type="#_x0000_t202" style="position:absolute;left:0;text-align:left;margin-left:189.55pt;margin-top:.25pt;width:113.9pt;height:3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">
                <v:textbox>
                  <w:txbxContent>
                    <w:p w14:paraId="6C6E9B41" w14:textId="249A99EE" w:rsidR="00E76E13" w:rsidRPr="00B0610D" w:rsidRDefault="00E76E13" w:rsidP="004B3820">
                      <w:pPr>
                        <w:spacing w:before="240" w:line="276" w:lineRule="auto"/>
                        <w:jc w:val="center"/>
                        <w:rPr>
                          <w:rFonts w:ascii="Arial" w:hAnsi="Arial" w:cs="Arial"/>
                          <w:sz w:val="20"/>
                          <w:szCs w:val="20"/>
                        </w:rPr>
                      </w:pPr>
                      <w:r>
                        <w:rPr>
                          <w:rFonts w:ascii="Arial" w:hAnsi="Arial" w:cs="Arial"/>
                          <w:sz w:val="20"/>
                          <w:szCs w:val="20"/>
                        </w:rPr>
                        <w:t>Sorghum flour</w:t>
                      </w:r>
                    </w:p>
                    <w:p w14:paraId="6A46F057" w14:textId="77777777" w:rsidR="00E76E13" w:rsidRDefault="00E76E13"/>
                  </w:txbxContent>
                </v:textbox>
                <w10:wrap type="square" anchorx="margin"/>
              </v:shape>
            </w:pict>
          </mc:Fallback>
        </mc:AlternateContent>
      </w:r>
    </w:p>
    <w:p w14:paraId="6FAD6F5B" w14:textId="77777777" w:rsidR="00E76E13" w:rsidRDefault="00E76E13" w:rsidP="004B3820">
      <w:pPr>
        <w:pStyle w:val="Heading2"/>
        <w:spacing w:before="0" w:line="240" w:lineRule="auto"/>
        <w:jc w:val="center"/>
        <w:rPr>
          <w:rFonts w:ascii="Arial" w:hAnsi="Arial" w:cs="Arial"/>
          <w:bCs/>
          <w:color w:val="auto"/>
          <w:sz w:val="20"/>
          <w:szCs w:val="20"/>
        </w:rPr>
      </w:pPr>
    </w:p>
    <w:p w14:paraId="6E976DD0" w14:textId="619E7617" w:rsidR="00E76E13" w:rsidRDefault="00E76E13" w:rsidP="004B3820">
      <w:pPr>
        <w:pStyle w:val="Heading2"/>
        <w:spacing w:before="0" w:line="240" w:lineRule="auto"/>
        <w:jc w:val="center"/>
        <w:rPr>
          <w:rFonts w:ascii="Arial" w:hAnsi="Arial" w:cs="Arial"/>
          <w:bCs/>
          <w:color w:val="auto"/>
          <w:sz w:val="20"/>
          <w:szCs w:val="20"/>
        </w:rPr>
      </w:pPr>
    </w:p>
    <w:p w14:paraId="7CC45BA3" w14:textId="48959E67" w:rsidR="00E76E13" w:rsidRDefault="00E76E13" w:rsidP="004B3820">
      <w:pPr>
        <w:pStyle w:val="Heading2"/>
        <w:spacing w:before="0" w:line="240" w:lineRule="auto"/>
        <w:jc w:val="center"/>
        <w:rPr>
          <w:rFonts w:ascii="Arial" w:hAnsi="Arial" w:cs="Arial"/>
          <w:bCs/>
          <w:color w:val="auto"/>
          <w:sz w:val="20"/>
          <w:szCs w:val="20"/>
        </w:rPr>
      </w:pPr>
    </w:p>
    <w:p w14:paraId="7D661424" w14:textId="5BBE7CDA" w:rsidR="00FE7B4B" w:rsidRPr="00594B49" w:rsidRDefault="00FE7B4B" w:rsidP="004B3820">
      <w:pPr>
        <w:pStyle w:val="Heading2"/>
        <w:spacing w:before="0" w:line="240" w:lineRule="auto"/>
        <w:jc w:val="center"/>
        <w:rPr>
          <w:rFonts w:ascii="Arial" w:hAnsi="Arial" w:cs="Arial"/>
          <w:color w:val="auto"/>
          <w:sz w:val="20"/>
          <w:szCs w:val="20"/>
        </w:rPr>
      </w:pPr>
      <w:r w:rsidRPr="00594B49">
        <w:rPr>
          <w:rFonts w:ascii="Arial" w:hAnsi="Arial" w:cs="Arial"/>
          <w:bCs/>
          <w:color w:val="auto"/>
          <w:sz w:val="20"/>
          <w:szCs w:val="20"/>
        </w:rPr>
        <w:t>Figure</w:t>
      </w:r>
      <w:r w:rsidR="00B0610D" w:rsidRPr="00594B49">
        <w:rPr>
          <w:rFonts w:ascii="Arial" w:hAnsi="Arial" w:cs="Arial"/>
          <w:bCs/>
          <w:color w:val="auto"/>
          <w:sz w:val="20"/>
          <w:szCs w:val="20"/>
        </w:rPr>
        <w:t xml:space="preserve"> </w:t>
      </w:r>
      <w:r w:rsidRPr="00594B49">
        <w:rPr>
          <w:rFonts w:ascii="Arial" w:hAnsi="Arial" w:cs="Arial"/>
          <w:bCs/>
          <w:color w:val="auto"/>
          <w:sz w:val="20"/>
          <w:szCs w:val="20"/>
        </w:rPr>
        <w:t>1</w:t>
      </w:r>
      <w:r w:rsidRPr="00594B49">
        <w:rPr>
          <w:rFonts w:ascii="Arial" w:hAnsi="Arial" w:cs="Arial"/>
          <w:color w:val="auto"/>
          <w:sz w:val="20"/>
          <w:szCs w:val="20"/>
        </w:rPr>
        <w:t>: Flow chart for production of sorghum flour</w:t>
      </w:r>
      <w:bookmarkEnd w:id="6"/>
    </w:p>
    <w:p w14:paraId="501FB39F" w14:textId="7A0CE445" w:rsidR="00FE7B4B" w:rsidRPr="00594B49" w:rsidRDefault="00FE7B4B" w:rsidP="004B3820">
      <w:pPr>
        <w:spacing w:line="240" w:lineRule="auto"/>
        <w:jc w:val="center"/>
        <w:rPr>
          <w:rFonts w:ascii="Arial" w:hAnsi="Arial" w:cs="Arial"/>
          <w:sz w:val="20"/>
          <w:szCs w:val="20"/>
        </w:rPr>
      </w:pPr>
      <w:r w:rsidRPr="00594B49">
        <w:rPr>
          <w:rFonts w:ascii="Arial" w:hAnsi="Arial" w:cs="Arial"/>
          <w:sz w:val="20"/>
          <w:szCs w:val="20"/>
        </w:rPr>
        <w:t>Source: Hallen et al (2004) Modified*</w:t>
      </w:r>
    </w:p>
    <w:p w14:paraId="1E90D7CD" w14:textId="6374BCF1" w:rsidR="00E47883" w:rsidRDefault="00F56D82" w:rsidP="00E47883">
      <w:pPr>
        <w:spacing w:line="480" w:lineRule="auto"/>
        <w:jc w:val="both"/>
        <w:rPr>
          <w:rFonts w:ascii="Arial" w:hAnsi="Arial" w:cs="Arial"/>
          <w:b/>
          <w:bCs/>
          <w:sz w:val="20"/>
          <w:szCs w:val="20"/>
        </w:rPr>
      </w:pPr>
      <w:bookmarkStart w:id="7" w:name="_Toc220922847"/>
      <w:r w:rsidRPr="004B3820">
        <w:rPr>
          <w:rFonts w:ascii="Arial" w:hAnsi="Arial" w:cs="Arial"/>
          <w:b/>
          <w:bCs/>
          <w:sz w:val="20"/>
          <w:szCs w:val="20"/>
        </w:rPr>
        <w:t>2</w:t>
      </w:r>
      <w:r w:rsidR="00FE7B4B" w:rsidRPr="004B3820">
        <w:rPr>
          <w:rFonts w:ascii="Arial" w:hAnsi="Arial" w:cs="Arial"/>
          <w:b/>
          <w:bCs/>
          <w:sz w:val="20"/>
          <w:szCs w:val="20"/>
        </w:rPr>
        <w:t xml:space="preserve">.2.2 Production of </w:t>
      </w:r>
      <w:r w:rsidR="00FE7B4B" w:rsidRPr="004B3820">
        <w:rPr>
          <w:rFonts w:ascii="Arial" w:hAnsi="Arial" w:cs="Arial"/>
          <w:b/>
          <w:bCs/>
          <w:i/>
          <w:iCs/>
          <w:sz w:val="20"/>
          <w:szCs w:val="20"/>
        </w:rPr>
        <w:t xml:space="preserve">Bombax </w:t>
      </w:r>
      <w:proofErr w:type="spellStart"/>
      <w:r w:rsidR="00FE7B4B" w:rsidRPr="004B3820">
        <w:rPr>
          <w:rFonts w:ascii="Arial" w:hAnsi="Arial" w:cs="Arial"/>
          <w:b/>
          <w:bCs/>
          <w:i/>
          <w:iCs/>
          <w:sz w:val="20"/>
          <w:szCs w:val="20"/>
        </w:rPr>
        <w:t>costatum</w:t>
      </w:r>
      <w:proofErr w:type="spellEnd"/>
      <w:r w:rsidR="00FE7B4B" w:rsidRPr="004B3820">
        <w:rPr>
          <w:rFonts w:ascii="Arial" w:hAnsi="Arial" w:cs="Arial"/>
          <w:b/>
          <w:bCs/>
          <w:i/>
          <w:iCs/>
          <w:sz w:val="20"/>
          <w:szCs w:val="20"/>
        </w:rPr>
        <w:t xml:space="preserve"> </w:t>
      </w:r>
      <w:proofErr w:type="gramStart"/>
      <w:r w:rsidR="00FE7B4B" w:rsidRPr="004B3820">
        <w:rPr>
          <w:rFonts w:ascii="Arial" w:hAnsi="Arial" w:cs="Arial"/>
          <w:b/>
          <w:bCs/>
          <w:sz w:val="20"/>
          <w:szCs w:val="20"/>
        </w:rPr>
        <w:t>calyces</w:t>
      </w:r>
      <w:proofErr w:type="gramEnd"/>
      <w:r w:rsidR="00FE7B4B" w:rsidRPr="004B3820">
        <w:rPr>
          <w:rFonts w:ascii="Arial" w:hAnsi="Arial" w:cs="Arial"/>
          <w:b/>
          <w:bCs/>
          <w:sz w:val="20"/>
          <w:szCs w:val="20"/>
        </w:rPr>
        <w:t xml:space="preserve"> flour</w:t>
      </w:r>
      <w:bookmarkEnd w:id="7"/>
    </w:p>
    <w:p w14:paraId="07F487BC" w14:textId="48DF30DE" w:rsidR="00FE7B4B" w:rsidRPr="00E47883" w:rsidRDefault="00FE7B4B" w:rsidP="00E47883">
      <w:pPr>
        <w:spacing w:line="240" w:lineRule="auto"/>
        <w:jc w:val="both"/>
        <w:rPr>
          <w:rFonts w:ascii="Arial" w:hAnsi="Arial" w:cs="Arial"/>
          <w:b/>
          <w:bCs/>
          <w:sz w:val="20"/>
          <w:szCs w:val="20"/>
        </w:rPr>
      </w:pPr>
      <w:r w:rsidRPr="004B3820">
        <w:rPr>
          <w:rFonts w:ascii="Arial" w:hAnsi="Arial" w:cs="Arial"/>
          <w:i/>
          <w:iCs/>
          <w:sz w:val="20"/>
          <w:szCs w:val="20"/>
        </w:rPr>
        <w:t xml:space="preserve">Bombax </w:t>
      </w:r>
      <w:proofErr w:type="spellStart"/>
      <w:r w:rsidRPr="004B3820">
        <w:rPr>
          <w:rFonts w:ascii="Arial" w:hAnsi="Arial" w:cs="Arial"/>
          <w:i/>
          <w:iCs/>
          <w:sz w:val="20"/>
          <w:szCs w:val="20"/>
        </w:rPr>
        <w:t>costatum</w:t>
      </w:r>
      <w:proofErr w:type="spellEnd"/>
      <w:r w:rsidRPr="004B3820">
        <w:rPr>
          <w:rFonts w:ascii="Arial" w:hAnsi="Arial" w:cs="Arial"/>
          <w:i/>
          <w:iCs/>
          <w:sz w:val="20"/>
          <w:szCs w:val="20"/>
        </w:rPr>
        <w:t xml:space="preserve"> </w:t>
      </w:r>
      <w:r w:rsidRPr="004B3820">
        <w:rPr>
          <w:rFonts w:ascii="Arial" w:hAnsi="Arial" w:cs="Arial"/>
          <w:sz w:val="20"/>
          <w:szCs w:val="20"/>
        </w:rPr>
        <w:t>caly</w:t>
      </w:r>
      <w:r w:rsidR="009A0282" w:rsidRPr="004B3820">
        <w:rPr>
          <w:rFonts w:ascii="Arial" w:hAnsi="Arial" w:cs="Arial"/>
          <w:sz w:val="20"/>
          <w:szCs w:val="20"/>
        </w:rPr>
        <w:t>c</w:t>
      </w:r>
      <w:r w:rsidRPr="004B3820">
        <w:rPr>
          <w:rFonts w:ascii="Arial" w:hAnsi="Arial" w:cs="Arial"/>
          <w:sz w:val="20"/>
          <w:szCs w:val="20"/>
        </w:rPr>
        <w:t>es were collected from a selected tree as they dropped</w:t>
      </w:r>
      <w:r w:rsidRPr="004B3820">
        <w:rPr>
          <w:rFonts w:ascii="Arial" w:hAnsi="Arial" w:cs="Arial"/>
          <w:i/>
          <w:iCs/>
          <w:sz w:val="20"/>
          <w:szCs w:val="20"/>
        </w:rPr>
        <w:t>,</w:t>
      </w:r>
      <w:r w:rsidRPr="004B3820">
        <w:rPr>
          <w:rFonts w:ascii="Arial" w:hAnsi="Arial" w:cs="Arial"/>
          <w:sz w:val="20"/>
          <w:szCs w:val="20"/>
        </w:rPr>
        <w:t xml:space="preserve"> without the influence of any human activity. Petals were manually detached using hands while the caly</w:t>
      </w:r>
      <w:r w:rsidR="009A0282" w:rsidRPr="004B3820">
        <w:rPr>
          <w:rFonts w:ascii="Arial" w:hAnsi="Arial" w:cs="Arial"/>
          <w:sz w:val="20"/>
          <w:szCs w:val="20"/>
        </w:rPr>
        <w:t>ces</w:t>
      </w:r>
      <w:r w:rsidRPr="004B3820">
        <w:rPr>
          <w:rFonts w:ascii="Arial" w:hAnsi="Arial" w:cs="Arial"/>
          <w:sz w:val="20"/>
          <w:szCs w:val="20"/>
        </w:rPr>
        <w:t xml:space="preserve"> </w:t>
      </w:r>
      <w:r w:rsidR="009A0282" w:rsidRPr="004B3820">
        <w:rPr>
          <w:rFonts w:ascii="Arial" w:hAnsi="Arial" w:cs="Arial"/>
          <w:sz w:val="20"/>
          <w:szCs w:val="20"/>
        </w:rPr>
        <w:t>were</w:t>
      </w:r>
      <w:r w:rsidRPr="004B3820">
        <w:rPr>
          <w:rFonts w:ascii="Arial" w:hAnsi="Arial" w:cs="Arial"/>
          <w:sz w:val="20"/>
          <w:szCs w:val="20"/>
        </w:rPr>
        <w:t xml:space="preserve"> washed thoroughly to remove dust and other adhering soil, which was further sun-dried, milled into powder, and sieved with a 100µm screen mesh to obtain a fine powder.  The flow chart for the production of sorghum flour is presented in Figure </w:t>
      </w:r>
      <w:r w:rsidR="00F56D82" w:rsidRPr="004B3820">
        <w:rPr>
          <w:rFonts w:ascii="Arial" w:hAnsi="Arial" w:cs="Arial"/>
          <w:sz w:val="20"/>
          <w:szCs w:val="20"/>
        </w:rPr>
        <w:t>2</w:t>
      </w:r>
      <w:r w:rsidR="00E47883">
        <w:rPr>
          <w:rFonts w:ascii="Arial" w:hAnsi="Arial" w:cs="Arial"/>
          <w:sz w:val="20"/>
          <w:szCs w:val="20"/>
        </w:rPr>
        <w:t>.</w:t>
      </w:r>
    </w:p>
    <w:p w14:paraId="4B648510" w14:textId="1754239E" w:rsidR="00FE7B4B" w:rsidRPr="00E47883" w:rsidRDefault="00E47883" w:rsidP="004B3820">
      <w:pPr>
        <w:spacing w:line="276" w:lineRule="auto"/>
        <w:rPr>
          <w:rFonts w:ascii="Times New Roman" w:hAnsi="Times New Roman" w:cs="Times New Roman"/>
          <w:i/>
          <w:iCs/>
        </w:rPr>
      </w:pPr>
      <w:r w:rsidRPr="00E47883">
        <w:rPr>
          <w:rFonts w:ascii="Arial" w:hAnsi="Arial" w:cs="Arial"/>
          <w:bCs/>
          <w:noProof/>
          <w:sz w:val="20"/>
          <w:szCs w:val="20"/>
        </w:rPr>
        <mc:AlternateContent>
          <mc:Choice Requires="wps">
            <w:drawing>
              <wp:anchor distT="45720" distB="45720" distL="114300" distR="114300" simplePos="0" relativeHeight="251663360" behindDoc="0" locked="0" layoutInCell="1" allowOverlap="1" wp14:anchorId="555CD44E" wp14:editId="69637FDB">
                <wp:simplePos x="0" y="0"/>
                <wp:positionH relativeFrom="margin">
                  <wp:align>center</wp:align>
                </wp:positionH>
                <wp:positionV relativeFrom="paragraph">
                  <wp:posOffset>5490</wp:posOffset>
                </wp:positionV>
                <wp:extent cx="1695450" cy="266065"/>
                <wp:effectExtent l="0" t="0" r="19050" b="19685"/>
                <wp:wrapSquare wrapText="bothSides"/>
                <wp:docPr id="1819579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065"/>
                        </a:xfrm>
                        <a:prstGeom prst="rect">
                          <a:avLst/>
                        </a:prstGeom>
                        <a:solidFill>
                          <a:srgbClr val="FFFFFF"/>
                        </a:solidFill>
                        <a:ln w="9525">
                          <a:solidFill>
                            <a:srgbClr val="000000"/>
                          </a:solidFill>
                          <a:miter lim="800000"/>
                          <a:headEnd/>
                          <a:tailEnd/>
                        </a:ln>
                      </wps:spPr>
                      <wps:txbx>
                        <w:txbxContent>
                          <w:p w14:paraId="7ED2CBAA" w14:textId="32AEA71D"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r w:rsidRPr="00594B49">
                              <w:rPr>
                                <w:rFonts w:ascii="Arial" w:hAnsi="Arial" w:cs="Arial"/>
                                <w:sz w:val="20"/>
                                <w:szCs w:val="20"/>
                              </w:rPr>
                              <w:t>calyces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D44E" id="_x0000_s1028" type="#_x0000_t202" style="position:absolute;margin-left:0;margin-top:.45pt;width:133.5pt;height:20.9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">
                <v:textbox>
                  <w:txbxContent>
                    <w:p w14:paraId="7ED2CBAA" w14:textId="32AEA71D"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r w:rsidRPr="00594B49">
                        <w:rPr>
                          <w:rFonts w:ascii="Arial" w:hAnsi="Arial" w:cs="Arial"/>
                          <w:sz w:val="20"/>
                          <w:szCs w:val="20"/>
                        </w:rPr>
                        <w:t>calyces</w:t>
                      </w:r>
                    </w:p>
                  </w:txbxContent>
                </v:textbox>
                <w10:wrap type="square" anchorx="margin"/>
              </v:shape>
            </w:pict>
          </mc:Fallback>
        </mc:AlternateContent>
      </w:r>
      <w:r w:rsidR="00594B49">
        <w:rPr>
          <w:rFonts w:ascii="Times New Roman" w:hAnsi="Times New Roman" w:cs="Times New Roman"/>
          <w:i/>
          <w:iCs/>
        </w:rPr>
        <w:tab/>
      </w:r>
      <w:r w:rsidR="00594B49">
        <w:rPr>
          <w:rFonts w:ascii="Times New Roman" w:hAnsi="Times New Roman" w:cs="Times New Roman"/>
          <w:i/>
          <w:iCs/>
        </w:rPr>
        <w:tab/>
      </w:r>
      <w:r w:rsidR="00594B49">
        <w:rPr>
          <w:rFonts w:ascii="Times New Roman" w:hAnsi="Times New Roman" w:cs="Times New Roman"/>
          <w:i/>
          <w:iCs/>
        </w:rPr>
        <w:tab/>
      </w:r>
      <w:r w:rsidR="00594B49">
        <w:rPr>
          <w:rFonts w:ascii="Times New Roman" w:hAnsi="Times New Roman" w:cs="Times New Roman"/>
          <w:i/>
          <w:iCs/>
        </w:rPr>
        <w:tab/>
      </w:r>
      <w:r w:rsidR="00594B49">
        <w:rPr>
          <w:rFonts w:ascii="Times New Roman" w:hAnsi="Times New Roman" w:cs="Times New Roman"/>
          <w:i/>
          <w:iCs/>
        </w:rPr>
        <w:tab/>
      </w:r>
      <w:r w:rsidR="00594B49" w:rsidRPr="00594B49">
        <w:rPr>
          <w:rFonts w:ascii="Arial" w:hAnsi="Arial" w:cs="Arial"/>
          <w:sz w:val="20"/>
          <w:szCs w:val="20"/>
        </w:rPr>
        <w:t xml:space="preserve"> </w:t>
      </w:r>
    </w:p>
    <w:p w14:paraId="07AC0F3F" w14:textId="1B20D550" w:rsidR="00E47883"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50C818B6" wp14:editId="254177E8">
                <wp:simplePos x="0" y="0"/>
                <wp:positionH relativeFrom="margin">
                  <wp:align>center</wp:align>
                </wp:positionH>
                <wp:positionV relativeFrom="paragraph">
                  <wp:posOffset>121293</wp:posOffset>
                </wp:positionV>
                <wp:extent cx="5787" cy="167833"/>
                <wp:effectExtent l="76200" t="0" r="70485" b="60960"/>
                <wp:wrapNone/>
                <wp:docPr id="374922740"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88C0B1" id="Straight Arrow Connector 19" o:spid="_x0000_s1026" type="#_x0000_t32" style="position:absolute;margin-left:0;margin-top:9.55pt;width:.45pt;height:13.2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" strokecolor="#4472c4 [3204]" strokeweight=".5pt">
                <v:stroke endarrow="block" joinstyle="miter"/>
                <w10:wrap anchorx="margin"/>
              </v:shape>
            </w:pict>
          </mc:Fallback>
        </mc:AlternateContent>
      </w:r>
    </w:p>
    <w:p w14:paraId="42F108CB" w14:textId="15D0E3D0" w:rsidR="004B3820"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478E25B9" wp14:editId="50BE445C">
                <wp:simplePos x="0" y="0"/>
                <wp:positionH relativeFrom="margin">
                  <wp:posOffset>2954438</wp:posOffset>
                </wp:positionH>
                <wp:positionV relativeFrom="paragraph">
                  <wp:posOffset>119291</wp:posOffset>
                </wp:positionV>
                <wp:extent cx="5787" cy="167833"/>
                <wp:effectExtent l="76200" t="0" r="70485" b="60960"/>
                <wp:wrapNone/>
                <wp:docPr id="193647186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273" id="Straight Arrow Connector 19" o:spid="_x0000_s1026" type="#_x0000_t32" style="position:absolute;margin-left:232.65pt;margin-top:9.4pt;width:.45pt;height:13.2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" strokecolor="#4472c4 [3204]" strokeweight=".5pt">
                <v:stroke endarrow="block" joinstyle="miter"/>
                <w10:wrap anchorx="margin"/>
              </v:shape>
            </w:pict>
          </mc:Fallback>
        </mc:AlternateContent>
      </w:r>
      <w:r w:rsidR="00FE7B4B" w:rsidRPr="00594B49">
        <w:rPr>
          <w:rFonts w:ascii="Arial" w:hAnsi="Arial" w:cs="Arial"/>
          <w:sz w:val="20"/>
          <w:szCs w:val="20"/>
        </w:rPr>
        <w:t>De-coating</w:t>
      </w:r>
    </w:p>
    <w:p w14:paraId="54F3962D" w14:textId="2200C476" w:rsidR="00FE7B4B" w:rsidRPr="00594B49"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168B1527" wp14:editId="4E722B1E">
                <wp:simplePos x="0" y="0"/>
                <wp:positionH relativeFrom="margin">
                  <wp:posOffset>2983302</wp:posOffset>
                </wp:positionH>
                <wp:positionV relativeFrom="paragraph">
                  <wp:posOffset>155117</wp:posOffset>
                </wp:positionV>
                <wp:extent cx="5787" cy="167833"/>
                <wp:effectExtent l="76200" t="0" r="70485" b="60960"/>
                <wp:wrapNone/>
                <wp:docPr id="725822753"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CED930" id="Straight Arrow Connector 19" o:spid="_x0000_s1026" type="#_x0000_t32" style="position:absolute;margin-left:234.9pt;margin-top:12.2pt;width:.45pt;height:13.2pt;z-index:251688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" strokecolor="#4472c4 [3204]" strokeweight=".5pt">
                <v:stroke endarrow="block" joinstyle="miter"/>
                <w10:wrap anchorx="margin"/>
              </v:shape>
            </w:pict>
          </mc:Fallback>
        </mc:AlternateContent>
      </w:r>
      <w:r w:rsidR="00FE7B4B" w:rsidRPr="00594B49">
        <w:rPr>
          <w:rFonts w:ascii="Arial" w:hAnsi="Arial" w:cs="Arial"/>
          <w:sz w:val="20"/>
          <w:szCs w:val="20"/>
        </w:rPr>
        <w:t>Washing</w:t>
      </w:r>
    </w:p>
    <w:p w14:paraId="1FD528B2" w14:textId="3471D955" w:rsidR="00FE7B4B" w:rsidRPr="00594B49"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536D7178" wp14:editId="617E4172">
                <wp:simplePos x="0" y="0"/>
                <wp:positionH relativeFrom="margin">
                  <wp:posOffset>2979372</wp:posOffset>
                </wp:positionH>
                <wp:positionV relativeFrom="paragraph">
                  <wp:posOffset>130062</wp:posOffset>
                </wp:positionV>
                <wp:extent cx="5787" cy="167833"/>
                <wp:effectExtent l="76200" t="0" r="70485" b="60960"/>
                <wp:wrapNone/>
                <wp:docPr id="735729112"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CD26C4" id="Straight Arrow Connector 19" o:spid="_x0000_s1026" type="#_x0000_t32" style="position:absolute;margin-left:234.6pt;margin-top:10.25pt;width:.45pt;height:13.2pt;z-index:2516910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" strokecolor="#4472c4 [3204]" strokeweight=".5pt">
                <v:stroke endarrow="block" joinstyle="miter"/>
                <w10:wrap anchorx="margin"/>
              </v:shape>
            </w:pict>
          </mc:Fallback>
        </mc:AlternateContent>
      </w:r>
      <w:r w:rsidR="00FE7B4B" w:rsidRPr="00594B49">
        <w:rPr>
          <w:rFonts w:ascii="Arial" w:hAnsi="Arial" w:cs="Arial"/>
          <w:sz w:val="20"/>
          <w:szCs w:val="20"/>
        </w:rPr>
        <w:t>Sun drying *</w:t>
      </w:r>
    </w:p>
    <w:p w14:paraId="4F87012A" w14:textId="22D6BFF6" w:rsidR="00FE7B4B" w:rsidRPr="00594B49" w:rsidRDefault="00E47883" w:rsidP="004B3820">
      <w:pPr>
        <w:spacing w:line="276" w:lineRule="auto"/>
        <w:ind w:left="288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4BCF15F1" wp14:editId="20FF9048">
                <wp:simplePos x="0" y="0"/>
                <wp:positionH relativeFrom="margin">
                  <wp:posOffset>2992875</wp:posOffset>
                </wp:positionH>
                <wp:positionV relativeFrom="paragraph">
                  <wp:posOffset>140544</wp:posOffset>
                </wp:positionV>
                <wp:extent cx="5787" cy="167833"/>
                <wp:effectExtent l="76200" t="0" r="70485" b="60960"/>
                <wp:wrapNone/>
                <wp:docPr id="1482259530"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A841C" id="Straight Arrow Connector 19" o:spid="_x0000_s1026" type="#_x0000_t32" style="position:absolute;margin-left:235.65pt;margin-top:11.05pt;width:.45pt;height:13.2pt;z-index:2516930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" strokecolor="#4472c4 [3204]" strokeweight=".5pt">
                <v:stroke endarrow="block" joinstyle="miter"/>
                <w10:wrap anchorx="margin"/>
              </v:shape>
            </w:pict>
          </mc:Fallback>
        </mc:AlternateContent>
      </w:r>
      <w:r w:rsidR="00FE7B4B" w:rsidRPr="00594B49">
        <w:rPr>
          <w:rFonts w:ascii="Arial" w:hAnsi="Arial" w:cs="Arial"/>
          <w:sz w:val="20"/>
          <w:szCs w:val="20"/>
        </w:rPr>
        <w:t>milling into powder</w:t>
      </w:r>
    </w:p>
    <w:p w14:paraId="0944938F" w14:textId="238EFAE3" w:rsidR="00FE7B4B" w:rsidRPr="00594B49" w:rsidRDefault="00E47883" w:rsidP="004B3820">
      <w:pPr>
        <w:spacing w:line="276" w:lineRule="auto"/>
        <w:ind w:left="360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303B4BEA" wp14:editId="53BA4FE3">
                <wp:simplePos x="0" y="0"/>
                <wp:positionH relativeFrom="margin">
                  <wp:align>center</wp:align>
                </wp:positionH>
                <wp:positionV relativeFrom="paragraph">
                  <wp:posOffset>103778</wp:posOffset>
                </wp:positionV>
                <wp:extent cx="5787" cy="167833"/>
                <wp:effectExtent l="76200" t="0" r="70485" b="60960"/>
                <wp:wrapNone/>
                <wp:docPr id="907337249" name="Straight Arrow Connector 19"/>
                <wp:cNvGraphicFramePr/>
                <a:graphic xmlns:a="http://schemas.openxmlformats.org/drawingml/2006/main">
                  <a:graphicData uri="http://schemas.microsoft.com/office/word/2010/wordprocessingShape">
                    <wps:wsp>
                      <wps:cNvCnPr/>
                      <wps:spPr>
                        <a:xfrm>
                          <a:off x="0" y="0"/>
                          <a:ext cx="5787" cy="16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FD8CF1" id="Straight Arrow Connector 19" o:spid="_x0000_s1026" type="#_x0000_t32" style="position:absolute;margin-left:0;margin-top:8.15pt;width:.45pt;height:13.2pt;z-index:2516951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" strokecolor="#4472c4 [3204]" strokeweight=".5pt">
                <v:stroke endarrow="block" joinstyle="miter"/>
                <w10:wrap anchorx="margin"/>
              </v:shape>
            </w:pict>
          </mc:Fallback>
        </mc:AlternateContent>
      </w:r>
      <w:r w:rsidR="00FE7B4B" w:rsidRPr="00594B49">
        <w:rPr>
          <w:rFonts w:ascii="Arial" w:hAnsi="Arial" w:cs="Arial"/>
          <w:sz w:val="20"/>
          <w:szCs w:val="20"/>
        </w:rPr>
        <w:t>Sieving</w:t>
      </w:r>
    </w:p>
    <w:p w14:paraId="1DA99BC5" w14:textId="2D45A5F7" w:rsidR="00594B49" w:rsidRPr="00594B49" w:rsidRDefault="00E47883" w:rsidP="004B3820">
      <w:pPr>
        <w:spacing w:line="276" w:lineRule="auto"/>
        <w:ind w:left="2880" w:firstLine="720"/>
        <w:rPr>
          <w:rFonts w:ascii="Arial" w:hAnsi="Arial" w:cs="Arial"/>
          <w:sz w:val="20"/>
          <w:szCs w:val="20"/>
        </w:rPr>
      </w:pPr>
      <w:r w:rsidRPr="00E47883">
        <w:rPr>
          <w:rFonts w:ascii="Arial" w:hAnsi="Arial" w:cs="Arial"/>
          <w:bCs/>
          <w:noProof/>
          <w:sz w:val="20"/>
          <w:szCs w:val="20"/>
        </w:rPr>
        <mc:AlternateContent>
          <mc:Choice Requires="wps">
            <w:drawing>
              <wp:anchor distT="45720" distB="45720" distL="114300" distR="114300" simplePos="0" relativeHeight="251665408" behindDoc="0" locked="0" layoutInCell="1" allowOverlap="1" wp14:anchorId="52E79F89" wp14:editId="008B2697">
                <wp:simplePos x="0" y="0"/>
                <wp:positionH relativeFrom="margin">
                  <wp:posOffset>2127740</wp:posOffset>
                </wp:positionH>
                <wp:positionV relativeFrom="paragraph">
                  <wp:posOffset>58348</wp:posOffset>
                </wp:positionV>
                <wp:extent cx="1695450" cy="266065"/>
                <wp:effectExtent l="0" t="0" r="19050" b="19685"/>
                <wp:wrapSquare wrapText="bothSides"/>
                <wp:docPr id="2083754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065"/>
                        </a:xfrm>
                        <a:prstGeom prst="rect">
                          <a:avLst/>
                        </a:prstGeom>
                        <a:solidFill>
                          <a:srgbClr val="FFFFFF"/>
                        </a:solidFill>
                        <a:ln w="9525">
                          <a:solidFill>
                            <a:srgbClr val="000000"/>
                          </a:solidFill>
                          <a:miter lim="800000"/>
                          <a:headEnd/>
                          <a:tailEnd/>
                        </a:ln>
                      </wps:spPr>
                      <wps:txbx>
                        <w:txbxContent>
                          <w:p w14:paraId="04D2ECDB" w14:textId="5D5084EB"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proofErr w:type="gramStart"/>
                            <w:r w:rsidRPr="00594B49">
                              <w:rPr>
                                <w:rFonts w:ascii="Arial" w:hAnsi="Arial" w:cs="Arial"/>
                                <w:sz w:val="20"/>
                                <w:szCs w:val="20"/>
                              </w:rPr>
                              <w:t>calyces</w:t>
                            </w:r>
                            <w:proofErr w:type="gramEnd"/>
                            <w:r>
                              <w:rPr>
                                <w:rFonts w:ascii="Arial" w:hAnsi="Arial" w:cs="Arial"/>
                                <w:sz w:val="20"/>
                                <w:szCs w:val="20"/>
                              </w:rPr>
                              <w:t xml:space="preserve">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79F89" id="_x0000_s1029" type="#_x0000_t202" style="position:absolute;left:0;text-align:left;margin-left:167.55pt;margin-top:4.6pt;width:133.5pt;height:20.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">
                <v:textbox>
                  <w:txbxContent>
                    <w:p w14:paraId="04D2ECDB" w14:textId="5D5084EB" w:rsidR="00E47883" w:rsidRDefault="00E47883">
                      <w:r w:rsidRPr="00594B49">
                        <w:rPr>
                          <w:rFonts w:ascii="Arial" w:hAnsi="Arial" w:cs="Arial"/>
                          <w:i/>
                          <w:iCs/>
                          <w:sz w:val="20"/>
                          <w:szCs w:val="20"/>
                        </w:rPr>
                        <w:t xml:space="preserve">Bombax </w:t>
                      </w:r>
                      <w:proofErr w:type="spellStart"/>
                      <w:r w:rsidRPr="00594B49">
                        <w:rPr>
                          <w:rFonts w:ascii="Arial" w:hAnsi="Arial" w:cs="Arial"/>
                          <w:i/>
                          <w:iCs/>
                          <w:sz w:val="20"/>
                          <w:szCs w:val="20"/>
                        </w:rPr>
                        <w:t>costatum</w:t>
                      </w:r>
                      <w:proofErr w:type="spellEnd"/>
                      <w:r w:rsidRPr="00594B49">
                        <w:rPr>
                          <w:rFonts w:ascii="Arial" w:hAnsi="Arial" w:cs="Arial"/>
                          <w:i/>
                          <w:iCs/>
                          <w:sz w:val="20"/>
                          <w:szCs w:val="20"/>
                        </w:rPr>
                        <w:t xml:space="preserve"> </w:t>
                      </w:r>
                      <w:proofErr w:type="gramStart"/>
                      <w:r w:rsidRPr="00594B49">
                        <w:rPr>
                          <w:rFonts w:ascii="Arial" w:hAnsi="Arial" w:cs="Arial"/>
                          <w:sz w:val="20"/>
                          <w:szCs w:val="20"/>
                        </w:rPr>
                        <w:t>calyces</w:t>
                      </w:r>
                      <w:proofErr w:type="gramEnd"/>
                      <w:r>
                        <w:rPr>
                          <w:rFonts w:ascii="Arial" w:hAnsi="Arial" w:cs="Arial"/>
                          <w:sz w:val="20"/>
                          <w:szCs w:val="20"/>
                        </w:rPr>
                        <w:t xml:space="preserve"> flour</w:t>
                      </w:r>
                    </w:p>
                  </w:txbxContent>
                </v:textbox>
                <w10:wrap type="square" anchorx="margin"/>
              </v:shape>
            </w:pict>
          </mc:Fallback>
        </mc:AlternateContent>
      </w:r>
    </w:p>
    <w:p w14:paraId="39B2B1A9" w14:textId="77777777" w:rsidR="00E47883" w:rsidRDefault="00E47883" w:rsidP="004B3820">
      <w:pPr>
        <w:pStyle w:val="Heading2"/>
        <w:rPr>
          <w:rFonts w:ascii="Arial" w:hAnsi="Arial" w:cs="Arial"/>
          <w:color w:val="auto"/>
          <w:sz w:val="20"/>
          <w:szCs w:val="20"/>
        </w:rPr>
      </w:pPr>
      <w:bookmarkStart w:id="8" w:name="_Toc220922594"/>
    </w:p>
    <w:p w14:paraId="1C688808" w14:textId="75542F97" w:rsidR="00FE7B4B" w:rsidRPr="004B3820" w:rsidRDefault="00FE7B4B" w:rsidP="004B3820">
      <w:pPr>
        <w:pStyle w:val="Heading2"/>
        <w:rPr>
          <w:rFonts w:ascii="Arial" w:hAnsi="Arial" w:cs="Arial"/>
          <w:color w:val="auto"/>
          <w:sz w:val="20"/>
          <w:szCs w:val="20"/>
        </w:rPr>
      </w:pPr>
      <w:r w:rsidRPr="004B3820">
        <w:rPr>
          <w:rFonts w:ascii="Arial" w:hAnsi="Arial" w:cs="Arial"/>
          <w:color w:val="auto"/>
          <w:sz w:val="20"/>
          <w:szCs w:val="20"/>
        </w:rPr>
        <w:t xml:space="preserve">Figure </w:t>
      </w:r>
      <w:r w:rsidR="00F56D82" w:rsidRPr="004B3820">
        <w:rPr>
          <w:rFonts w:ascii="Arial" w:hAnsi="Arial" w:cs="Arial"/>
          <w:color w:val="auto"/>
          <w:sz w:val="20"/>
          <w:szCs w:val="20"/>
        </w:rPr>
        <w:t>2</w:t>
      </w:r>
      <w:r w:rsidRPr="004B3820">
        <w:rPr>
          <w:rFonts w:ascii="Arial" w:hAnsi="Arial" w:cs="Arial"/>
          <w:color w:val="auto"/>
          <w:sz w:val="20"/>
          <w:szCs w:val="20"/>
        </w:rPr>
        <w:t xml:space="preserve">: Flow chart for preparation of </w:t>
      </w:r>
      <w:r w:rsidRPr="004B3820">
        <w:rPr>
          <w:rFonts w:ascii="Arial" w:hAnsi="Arial" w:cs="Arial"/>
          <w:i/>
          <w:iCs/>
          <w:color w:val="auto"/>
          <w:sz w:val="20"/>
          <w:szCs w:val="20"/>
        </w:rPr>
        <w:t xml:space="preserve">Bombax </w:t>
      </w:r>
      <w:proofErr w:type="spellStart"/>
      <w:r w:rsidRPr="004B3820">
        <w:rPr>
          <w:rFonts w:ascii="Arial" w:hAnsi="Arial" w:cs="Arial"/>
          <w:i/>
          <w:iCs/>
          <w:color w:val="auto"/>
          <w:sz w:val="20"/>
          <w:szCs w:val="20"/>
        </w:rPr>
        <w:t>costatum</w:t>
      </w:r>
      <w:proofErr w:type="spellEnd"/>
      <w:r w:rsidRPr="004B3820">
        <w:rPr>
          <w:rFonts w:ascii="Arial" w:hAnsi="Arial" w:cs="Arial"/>
          <w:i/>
          <w:iCs/>
          <w:color w:val="auto"/>
          <w:sz w:val="20"/>
          <w:szCs w:val="20"/>
        </w:rPr>
        <w:t xml:space="preserve"> </w:t>
      </w:r>
      <w:proofErr w:type="gramStart"/>
      <w:r w:rsidRPr="004B3820">
        <w:rPr>
          <w:rFonts w:ascii="Arial" w:hAnsi="Arial" w:cs="Arial"/>
          <w:color w:val="auto"/>
          <w:sz w:val="20"/>
          <w:szCs w:val="20"/>
        </w:rPr>
        <w:t>calyces</w:t>
      </w:r>
      <w:proofErr w:type="gramEnd"/>
      <w:r w:rsidRPr="004B3820">
        <w:rPr>
          <w:rFonts w:ascii="Arial" w:hAnsi="Arial" w:cs="Arial"/>
          <w:color w:val="auto"/>
          <w:sz w:val="20"/>
          <w:szCs w:val="20"/>
        </w:rPr>
        <w:t xml:space="preserve"> flour</w:t>
      </w:r>
      <w:bookmarkEnd w:id="8"/>
    </w:p>
    <w:p w14:paraId="71374D55" w14:textId="77777777" w:rsidR="00FE7B4B" w:rsidRPr="004B3820" w:rsidRDefault="00FE7B4B" w:rsidP="00FE7B4B">
      <w:pPr>
        <w:spacing w:line="240" w:lineRule="auto"/>
        <w:ind w:left="1440" w:firstLine="720"/>
        <w:jc w:val="both"/>
        <w:rPr>
          <w:rFonts w:ascii="Arial" w:hAnsi="Arial" w:cs="Arial"/>
          <w:sz w:val="20"/>
          <w:szCs w:val="20"/>
        </w:rPr>
      </w:pPr>
      <w:r w:rsidRPr="004B3820">
        <w:rPr>
          <w:rFonts w:ascii="Arial" w:hAnsi="Arial" w:cs="Arial"/>
          <w:sz w:val="20"/>
          <w:szCs w:val="20"/>
        </w:rPr>
        <w:t xml:space="preserve">Source: </w:t>
      </w:r>
      <w:proofErr w:type="spellStart"/>
      <w:r w:rsidRPr="004B3820">
        <w:rPr>
          <w:rFonts w:ascii="Arial" w:hAnsi="Arial" w:cs="Arial"/>
          <w:sz w:val="20"/>
          <w:szCs w:val="20"/>
        </w:rPr>
        <w:t>Chiroma</w:t>
      </w:r>
      <w:proofErr w:type="spellEnd"/>
      <w:r w:rsidRPr="004B3820">
        <w:rPr>
          <w:rFonts w:ascii="Arial" w:hAnsi="Arial" w:cs="Arial"/>
          <w:sz w:val="20"/>
          <w:szCs w:val="20"/>
        </w:rPr>
        <w:t xml:space="preserve"> et al (2023) modified *</w:t>
      </w:r>
    </w:p>
    <w:p w14:paraId="63FD2908" w14:textId="63CF7EBA" w:rsidR="00FE7B4B" w:rsidRPr="00301B8E" w:rsidRDefault="00F56D82" w:rsidP="00FE7B4B">
      <w:pPr>
        <w:pStyle w:val="Heading1"/>
        <w:rPr>
          <w:rFonts w:ascii="Arial" w:hAnsi="Arial" w:cs="Arial"/>
          <w:b/>
          <w:bCs/>
          <w:color w:val="auto"/>
          <w:sz w:val="22"/>
          <w:szCs w:val="22"/>
        </w:rPr>
      </w:pPr>
      <w:bookmarkStart w:id="9" w:name="_Toc220922848"/>
      <w:r w:rsidRPr="00301B8E">
        <w:rPr>
          <w:rFonts w:ascii="Arial" w:hAnsi="Arial" w:cs="Arial"/>
          <w:b/>
          <w:bCs/>
          <w:color w:val="auto"/>
          <w:sz w:val="22"/>
          <w:szCs w:val="22"/>
        </w:rPr>
        <w:lastRenderedPageBreak/>
        <w:t>2</w:t>
      </w:r>
      <w:r w:rsidR="00FE7B4B" w:rsidRPr="00301B8E">
        <w:rPr>
          <w:rFonts w:ascii="Arial" w:hAnsi="Arial" w:cs="Arial"/>
          <w:b/>
          <w:bCs/>
          <w:color w:val="auto"/>
          <w:sz w:val="22"/>
          <w:szCs w:val="22"/>
        </w:rPr>
        <w:t>.2 Form</w:t>
      </w:r>
      <w:r w:rsidR="00577CC7" w:rsidRPr="00301B8E">
        <w:rPr>
          <w:rFonts w:ascii="Arial" w:hAnsi="Arial" w:cs="Arial"/>
          <w:b/>
          <w:bCs/>
          <w:color w:val="auto"/>
          <w:sz w:val="22"/>
          <w:szCs w:val="22"/>
        </w:rPr>
        <w:t xml:space="preserve">ulation </w:t>
      </w:r>
      <w:r w:rsidR="00FE7B4B" w:rsidRPr="00301B8E">
        <w:rPr>
          <w:rFonts w:ascii="Arial" w:hAnsi="Arial" w:cs="Arial"/>
          <w:b/>
          <w:bCs/>
          <w:color w:val="auto"/>
          <w:sz w:val="22"/>
          <w:szCs w:val="22"/>
        </w:rPr>
        <w:t>of Wheat-Sorghum-</w:t>
      </w:r>
      <w:r w:rsidR="00FE7B4B" w:rsidRPr="00301B8E">
        <w:rPr>
          <w:rFonts w:ascii="Arial" w:hAnsi="Arial" w:cs="Arial"/>
          <w:b/>
          <w:bCs/>
          <w:i/>
          <w:iCs/>
          <w:color w:val="auto"/>
          <w:sz w:val="22"/>
          <w:szCs w:val="22"/>
        </w:rPr>
        <w:t xml:space="preserve">Bombax </w:t>
      </w:r>
      <w:proofErr w:type="spellStart"/>
      <w:r w:rsidR="00FE7B4B" w:rsidRPr="00301B8E">
        <w:rPr>
          <w:rFonts w:ascii="Arial" w:hAnsi="Arial" w:cs="Arial"/>
          <w:b/>
          <w:bCs/>
          <w:i/>
          <w:iCs/>
          <w:color w:val="auto"/>
          <w:sz w:val="22"/>
          <w:szCs w:val="22"/>
        </w:rPr>
        <w:t>costatum</w:t>
      </w:r>
      <w:proofErr w:type="spellEnd"/>
      <w:r w:rsidR="00FE7B4B" w:rsidRPr="00301B8E">
        <w:rPr>
          <w:rFonts w:ascii="Arial" w:hAnsi="Arial" w:cs="Arial"/>
          <w:b/>
          <w:bCs/>
          <w:i/>
          <w:iCs/>
          <w:color w:val="auto"/>
          <w:sz w:val="22"/>
          <w:szCs w:val="22"/>
        </w:rPr>
        <w:t xml:space="preserve"> </w:t>
      </w:r>
      <w:r w:rsidR="00FE7B4B" w:rsidRPr="00301B8E">
        <w:rPr>
          <w:rFonts w:ascii="Arial" w:hAnsi="Arial" w:cs="Arial"/>
          <w:b/>
          <w:bCs/>
          <w:color w:val="auto"/>
          <w:sz w:val="22"/>
          <w:szCs w:val="22"/>
        </w:rPr>
        <w:t>Calyces Flour</w:t>
      </w:r>
      <w:bookmarkEnd w:id="9"/>
      <w:r w:rsidR="00577CC7" w:rsidRPr="00301B8E">
        <w:rPr>
          <w:rFonts w:ascii="Arial" w:hAnsi="Arial" w:cs="Arial"/>
          <w:b/>
          <w:bCs/>
          <w:color w:val="auto"/>
          <w:sz w:val="22"/>
          <w:szCs w:val="22"/>
        </w:rPr>
        <w:t xml:space="preserve"> blend</w:t>
      </w:r>
    </w:p>
    <w:p w14:paraId="021C08D4" w14:textId="77777777" w:rsidR="00FE7B4B" w:rsidRPr="00301B8E" w:rsidRDefault="00FE7B4B" w:rsidP="00301B8E">
      <w:pPr>
        <w:spacing w:before="240" w:line="240" w:lineRule="auto"/>
        <w:jc w:val="both"/>
        <w:rPr>
          <w:rFonts w:ascii="Arial" w:hAnsi="Arial" w:cs="Arial"/>
          <w:sz w:val="20"/>
          <w:szCs w:val="20"/>
        </w:rPr>
      </w:pPr>
      <w:r w:rsidRPr="00301B8E">
        <w:rPr>
          <w:rFonts w:ascii="Arial" w:hAnsi="Arial" w:cs="Arial"/>
          <w:sz w:val="20"/>
          <w:szCs w:val="20"/>
        </w:rPr>
        <w:t xml:space="preserve">Wheat-sorghum flour was blended in a food blender at 12 rpm with </w:t>
      </w:r>
      <w:r w:rsidRPr="00301B8E">
        <w:rPr>
          <w:rFonts w:ascii="Arial" w:hAnsi="Arial" w:cs="Arial"/>
          <w:i/>
          <w:iCs/>
          <w:sz w:val="20"/>
          <w:szCs w:val="20"/>
        </w:rPr>
        <w:t xml:space="preserve">Bombax </w:t>
      </w:r>
      <w:proofErr w:type="spellStart"/>
      <w:r w:rsidRPr="00301B8E">
        <w:rPr>
          <w:rFonts w:ascii="Arial" w:hAnsi="Arial" w:cs="Arial"/>
          <w:i/>
          <w:iCs/>
          <w:sz w:val="20"/>
          <w:szCs w:val="20"/>
        </w:rPr>
        <w:t>costatum</w:t>
      </w:r>
      <w:proofErr w:type="spellEnd"/>
      <w:r w:rsidRPr="00301B8E">
        <w:rPr>
          <w:rFonts w:ascii="Arial" w:hAnsi="Arial" w:cs="Arial"/>
          <w:i/>
          <w:iCs/>
          <w:sz w:val="20"/>
          <w:szCs w:val="20"/>
        </w:rPr>
        <w:t xml:space="preserve"> </w:t>
      </w:r>
      <w:r w:rsidRPr="00301B8E">
        <w:rPr>
          <w:rFonts w:ascii="Arial" w:hAnsi="Arial" w:cs="Arial"/>
          <w:sz w:val="20"/>
          <w:szCs w:val="20"/>
        </w:rPr>
        <w:t xml:space="preserve">flour at ratios of 20:80:0, 20:70:10, 20:60:20, 20:50:30, and 20:40:40 (wheat: sorghum: </w:t>
      </w:r>
      <w:r w:rsidRPr="00301B8E">
        <w:rPr>
          <w:rFonts w:ascii="Arial" w:hAnsi="Arial" w:cs="Arial"/>
          <w:i/>
          <w:iCs/>
          <w:sz w:val="20"/>
          <w:szCs w:val="20"/>
        </w:rPr>
        <w:t xml:space="preserve">Bombax </w:t>
      </w:r>
      <w:proofErr w:type="spellStart"/>
      <w:r w:rsidRPr="00301B8E">
        <w:rPr>
          <w:rFonts w:ascii="Arial" w:hAnsi="Arial" w:cs="Arial"/>
          <w:i/>
          <w:iCs/>
          <w:sz w:val="20"/>
          <w:szCs w:val="20"/>
        </w:rPr>
        <w:t>costatum</w:t>
      </w:r>
      <w:proofErr w:type="spellEnd"/>
      <w:r w:rsidRPr="00301B8E">
        <w:rPr>
          <w:rFonts w:ascii="Arial" w:hAnsi="Arial" w:cs="Arial"/>
          <w:sz w:val="20"/>
          <w:szCs w:val="20"/>
        </w:rPr>
        <w:t>), while 100% wheat flour served as the control.</w:t>
      </w:r>
    </w:p>
    <w:p w14:paraId="088B563B" w14:textId="77777777" w:rsidR="00FE7B4B" w:rsidRPr="00301B8E" w:rsidRDefault="00FE7B4B" w:rsidP="00301B8E">
      <w:pPr>
        <w:spacing w:before="240" w:line="240" w:lineRule="auto"/>
        <w:jc w:val="both"/>
        <w:rPr>
          <w:rFonts w:ascii="Arial" w:hAnsi="Arial" w:cs="Arial"/>
          <w:sz w:val="20"/>
          <w:szCs w:val="20"/>
        </w:rPr>
      </w:pPr>
      <w:r w:rsidRPr="00301B8E">
        <w:rPr>
          <w:rFonts w:ascii="Arial" w:hAnsi="Arial" w:cs="Arial"/>
          <w:sz w:val="20"/>
          <w:szCs w:val="20"/>
        </w:rPr>
        <w:t xml:space="preserve">The sorghum flour decreases as the ratio of </w:t>
      </w:r>
      <w:r w:rsidRPr="00301B8E">
        <w:rPr>
          <w:rFonts w:ascii="Arial" w:hAnsi="Arial" w:cs="Arial"/>
          <w:i/>
          <w:sz w:val="20"/>
          <w:szCs w:val="20"/>
        </w:rPr>
        <w:t xml:space="preserve">Bombax </w:t>
      </w:r>
      <w:proofErr w:type="spellStart"/>
      <w:r w:rsidRPr="00301B8E">
        <w:rPr>
          <w:rFonts w:ascii="Arial" w:hAnsi="Arial" w:cs="Arial"/>
          <w:i/>
          <w:sz w:val="20"/>
          <w:szCs w:val="20"/>
        </w:rPr>
        <w:t>costatum</w:t>
      </w:r>
      <w:proofErr w:type="spellEnd"/>
      <w:r w:rsidRPr="00301B8E">
        <w:rPr>
          <w:rFonts w:ascii="Arial" w:hAnsi="Arial" w:cs="Arial"/>
          <w:i/>
          <w:sz w:val="20"/>
          <w:szCs w:val="20"/>
        </w:rPr>
        <w:t xml:space="preserve"> </w:t>
      </w:r>
      <w:r w:rsidRPr="00301B8E">
        <w:rPr>
          <w:rFonts w:ascii="Arial" w:hAnsi="Arial" w:cs="Arial"/>
          <w:sz w:val="20"/>
          <w:szCs w:val="20"/>
        </w:rPr>
        <w:t>increases to 40%, while wheat remains constant at 20%. The blended flours were packaged in an airtight plastic container for future use.</w:t>
      </w:r>
    </w:p>
    <w:p w14:paraId="14BA12FE" w14:textId="21614BF0" w:rsidR="00301B8E" w:rsidRDefault="00FE7B4B" w:rsidP="00301B8E">
      <w:pPr>
        <w:spacing w:before="240" w:line="480" w:lineRule="auto"/>
        <w:jc w:val="both"/>
        <w:rPr>
          <w:rFonts w:ascii="Arial" w:hAnsi="Arial" w:cs="Arial"/>
          <w:sz w:val="20"/>
          <w:szCs w:val="20"/>
        </w:rPr>
      </w:pPr>
      <w:r w:rsidRPr="00301B8E">
        <w:rPr>
          <w:rFonts w:ascii="Arial" w:hAnsi="Arial" w:cs="Arial"/>
          <w:sz w:val="20"/>
          <w:szCs w:val="20"/>
        </w:rPr>
        <w:t>The blend formulation of Wheat-Sorghum-</w:t>
      </w:r>
      <w:r w:rsidRPr="00301B8E">
        <w:rPr>
          <w:rFonts w:ascii="Arial" w:hAnsi="Arial" w:cs="Arial"/>
          <w:i/>
          <w:sz w:val="20"/>
          <w:szCs w:val="20"/>
        </w:rPr>
        <w:t xml:space="preserve">Bombax </w:t>
      </w:r>
      <w:proofErr w:type="spellStart"/>
      <w:r w:rsidRPr="00301B8E">
        <w:rPr>
          <w:rFonts w:ascii="Arial" w:hAnsi="Arial" w:cs="Arial"/>
          <w:i/>
          <w:sz w:val="20"/>
          <w:szCs w:val="20"/>
        </w:rPr>
        <w:t>costatum</w:t>
      </w:r>
      <w:proofErr w:type="spellEnd"/>
      <w:r w:rsidRPr="00301B8E">
        <w:rPr>
          <w:rFonts w:ascii="Arial" w:hAnsi="Arial" w:cs="Arial"/>
          <w:i/>
          <w:sz w:val="20"/>
          <w:szCs w:val="20"/>
        </w:rPr>
        <w:t xml:space="preserve"> </w:t>
      </w:r>
      <w:r w:rsidRPr="00301B8E">
        <w:rPr>
          <w:rFonts w:ascii="Arial" w:hAnsi="Arial" w:cs="Arial"/>
          <w:sz w:val="20"/>
          <w:szCs w:val="20"/>
        </w:rPr>
        <w:t>flour is shown in Table 1.</w:t>
      </w:r>
      <w:bookmarkStart w:id="10" w:name="_Toc220922695"/>
    </w:p>
    <w:p w14:paraId="3CAF1A46" w14:textId="2CAB0D8E" w:rsidR="00FE7B4B" w:rsidRDefault="00FE7B4B" w:rsidP="00301B8E">
      <w:pPr>
        <w:spacing w:before="240" w:line="480" w:lineRule="auto"/>
        <w:jc w:val="both"/>
        <w:rPr>
          <w:rFonts w:ascii="Arial" w:hAnsi="Arial" w:cs="Arial"/>
          <w:b/>
          <w:bCs/>
          <w:sz w:val="20"/>
          <w:szCs w:val="20"/>
        </w:rPr>
      </w:pPr>
      <w:r w:rsidRPr="00301B8E">
        <w:rPr>
          <w:rFonts w:ascii="Arial" w:hAnsi="Arial" w:cs="Arial"/>
          <w:b/>
          <w:bCs/>
          <w:sz w:val="20"/>
          <w:szCs w:val="20"/>
        </w:rPr>
        <w:t>Table 1 Formulation of wheat-sorghum-</w:t>
      </w:r>
      <w:r w:rsidRPr="00301B8E">
        <w:rPr>
          <w:rFonts w:ascii="Arial" w:hAnsi="Arial" w:cs="Arial"/>
          <w:b/>
          <w:bCs/>
          <w:i/>
          <w:iCs/>
          <w:sz w:val="20"/>
          <w:szCs w:val="20"/>
        </w:rPr>
        <w:t xml:space="preserve">Bombax </w:t>
      </w:r>
      <w:proofErr w:type="spellStart"/>
      <w:r w:rsidRPr="00301B8E">
        <w:rPr>
          <w:rFonts w:ascii="Arial" w:hAnsi="Arial" w:cs="Arial"/>
          <w:b/>
          <w:bCs/>
          <w:i/>
          <w:iCs/>
          <w:sz w:val="20"/>
          <w:szCs w:val="20"/>
        </w:rPr>
        <w:t>costatum</w:t>
      </w:r>
      <w:proofErr w:type="spellEnd"/>
      <w:r w:rsidRPr="00301B8E">
        <w:rPr>
          <w:rFonts w:ascii="Arial" w:hAnsi="Arial" w:cs="Arial"/>
          <w:b/>
          <w:bCs/>
          <w:i/>
          <w:iCs/>
          <w:sz w:val="20"/>
          <w:szCs w:val="20"/>
        </w:rPr>
        <w:t xml:space="preserve"> </w:t>
      </w:r>
      <w:r w:rsidRPr="00301B8E">
        <w:rPr>
          <w:rFonts w:ascii="Arial" w:hAnsi="Arial" w:cs="Arial"/>
          <w:b/>
          <w:bCs/>
          <w:sz w:val="20"/>
          <w:szCs w:val="20"/>
        </w:rPr>
        <w:t>calyces flour blends</w:t>
      </w:r>
      <w:bookmarkEnd w:id="1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301B8E" w14:paraId="02E0C481" w14:textId="77777777" w:rsidTr="006C2C9C">
        <w:tc>
          <w:tcPr>
            <w:tcW w:w="2337" w:type="dxa"/>
            <w:tcBorders>
              <w:bottom w:val="single" w:sz="4" w:space="0" w:color="auto"/>
            </w:tcBorders>
          </w:tcPr>
          <w:p w14:paraId="0BEA702A" w14:textId="2F51F9C2" w:rsidR="00301B8E" w:rsidRPr="00301B8E" w:rsidRDefault="00301B8E" w:rsidP="00301B8E">
            <w:pPr>
              <w:jc w:val="both"/>
              <w:rPr>
                <w:rFonts w:ascii="Arial" w:hAnsi="Arial" w:cs="Arial"/>
                <w:sz w:val="20"/>
                <w:szCs w:val="20"/>
              </w:rPr>
            </w:pPr>
            <w:r w:rsidRPr="00301B8E">
              <w:rPr>
                <w:rFonts w:ascii="Arial" w:hAnsi="Arial" w:cs="Arial"/>
                <w:sz w:val="20"/>
                <w:szCs w:val="20"/>
              </w:rPr>
              <w:t>Sample</w:t>
            </w:r>
          </w:p>
        </w:tc>
        <w:tc>
          <w:tcPr>
            <w:tcW w:w="2337" w:type="dxa"/>
            <w:tcBorders>
              <w:bottom w:val="single" w:sz="4" w:space="0" w:color="auto"/>
            </w:tcBorders>
          </w:tcPr>
          <w:p w14:paraId="3BDDBA46" w14:textId="76E7419E" w:rsidR="00301B8E" w:rsidRPr="00301B8E" w:rsidRDefault="00301B8E" w:rsidP="00301B8E">
            <w:pPr>
              <w:jc w:val="both"/>
              <w:rPr>
                <w:rFonts w:ascii="Arial" w:hAnsi="Arial" w:cs="Arial"/>
                <w:sz w:val="20"/>
                <w:szCs w:val="20"/>
              </w:rPr>
            </w:pPr>
            <w:r w:rsidRPr="00301B8E">
              <w:rPr>
                <w:rFonts w:ascii="Arial" w:hAnsi="Arial" w:cs="Arial"/>
                <w:sz w:val="20"/>
                <w:szCs w:val="20"/>
              </w:rPr>
              <w:t>Wheat flour%</w:t>
            </w:r>
          </w:p>
        </w:tc>
        <w:tc>
          <w:tcPr>
            <w:tcW w:w="2338" w:type="dxa"/>
            <w:tcBorders>
              <w:bottom w:val="single" w:sz="4" w:space="0" w:color="auto"/>
            </w:tcBorders>
          </w:tcPr>
          <w:p w14:paraId="443FE00D" w14:textId="20CD48CE" w:rsidR="00301B8E" w:rsidRPr="00301B8E" w:rsidRDefault="00301B8E" w:rsidP="00301B8E">
            <w:pPr>
              <w:jc w:val="both"/>
              <w:rPr>
                <w:rFonts w:ascii="Arial" w:hAnsi="Arial" w:cs="Arial"/>
                <w:sz w:val="20"/>
                <w:szCs w:val="20"/>
              </w:rPr>
            </w:pPr>
            <w:r w:rsidRPr="00301B8E">
              <w:rPr>
                <w:rFonts w:ascii="Arial" w:hAnsi="Arial" w:cs="Arial"/>
                <w:sz w:val="20"/>
                <w:szCs w:val="20"/>
              </w:rPr>
              <w:t>Sorghum flour%</w:t>
            </w:r>
          </w:p>
        </w:tc>
        <w:tc>
          <w:tcPr>
            <w:tcW w:w="2338" w:type="dxa"/>
            <w:tcBorders>
              <w:bottom w:val="single" w:sz="4" w:space="0" w:color="auto"/>
            </w:tcBorders>
          </w:tcPr>
          <w:p w14:paraId="61833DA5" w14:textId="7E6ECACB" w:rsidR="00301B8E" w:rsidRPr="00301B8E" w:rsidRDefault="00301B8E" w:rsidP="00301B8E">
            <w:pPr>
              <w:jc w:val="both"/>
              <w:rPr>
                <w:rFonts w:ascii="Arial" w:hAnsi="Arial" w:cs="Arial"/>
                <w:sz w:val="20"/>
                <w:szCs w:val="20"/>
              </w:rPr>
            </w:pPr>
            <w:r w:rsidRPr="00301B8E">
              <w:rPr>
                <w:rFonts w:ascii="Arial" w:hAnsi="Arial" w:cs="Arial"/>
                <w:i/>
                <w:iCs/>
                <w:sz w:val="20"/>
                <w:szCs w:val="20"/>
              </w:rPr>
              <w:t xml:space="preserve">Bombax </w:t>
            </w:r>
            <w:proofErr w:type="spellStart"/>
            <w:r w:rsidRPr="00301B8E">
              <w:rPr>
                <w:rFonts w:ascii="Arial" w:hAnsi="Arial" w:cs="Arial"/>
                <w:i/>
                <w:iCs/>
                <w:sz w:val="20"/>
                <w:szCs w:val="20"/>
              </w:rPr>
              <w:t>costatun</w:t>
            </w:r>
            <w:proofErr w:type="spellEnd"/>
            <w:r w:rsidRPr="00301B8E">
              <w:rPr>
                <w:rFonts w:ascii="Arial" w:hAnsi="Arial" w:cs="Arial"/>
                <w:sz w:val="20"/>
                <w:szCs w:val="20"/>
              </w:rPr>
              <w:t xml:space="preserve"> </w:t>
            </w:r>
            <w:proofErr w:type="gramStart"/>
            <w:r w:rsidRPr="00301B8E">
              <w:rPr>
                <w:rFonts w:ascii="Arial" w:hAnsi="Arial" w:cs="Arial"/>
                <w:sz w:val="20"/>
                <w:szCs w:val="20"/>
              </w:rPr>
              <w:t>calyces</w:t>
            </w:r>
            <w:proofErr w:type="gramEnd"/>
            <w:r w:rsidRPr="00301B8E">
              <w:rPr>
                <w:rFonts w:ascii="Arial" w:hAnsi="Arial" w:cs="Arial"/>
                <w:sz w:val="20"/>
                <w:szCs w:val="20"/>
              </w:rPr>
              <w:t xml:space="preserve"> flour</w:t>
            </w:r>
          </w:p>
        </w:tc>
      </w:tr>
      <w:tr w:rsidR="00301B8E" w14:paraId="7BCB10AA" w14:textId="77777777" w:rsidTr="006C2C9C">
        <w:tc>
          <w:tcPr>
            <w:tcW w:w="2337" w:type="dxa"/>
            <w:tcBorders>
              <w:bottom w:val="nil"/>
            </w:tcBorders>
          </w:tcPr>
          <w:p w14:paraId="03DF2903" w14:textId="7B66C448" w:rsidR="00301B8E" w:rsidRPr="00301B8E" w:rsidRDefault="00301B8E" w:rsidP="00301B8E">
            <w:pPr>
              <w:jc w:val="both"/>
              <w:rPr>
                <w:rFonts w:ascii="Arial" w:hAnsi="Arial" w:cs="Arial"/>
                <w:sz w:val="20"/>
                <w:szCs w:val="20"/>
              </w:rPr>
            </w:pPr>
            <w:r w:rsidRPr="00301B8E">
              <w:rPr>
                <w:rFonts w:ascii="Arial" w:hAnsi="Arial" w:cs="Arial"/>
                <w:sz w:val="20"/>
                <w:szCs w:val="20"/>
              </w:rPr>
              <w:t>A</w:t>
            </w:r>
          </w:p>
        </w:tc>
        <w:tc>
          <w:tcPr>
            <w:tcW w:w="2337" w:type="dxa"/>
            <w:tcBorders>
              <w:bottom w:val="nil"/>
            </w:tcBorders>
          </w:tcPr>
          <w:p w14:paraId="233508A6" w14:textId="3084E5C9" w:rsidR="00301B8E" w:rsidRPr="00301B8E" w:rsidRDefault="00301B8E" w:rsidP="00301B8E">
            <w:pPr>
              <w:jc w:val="both"/>
              <w:rPr>
                <w:rFonts w:ascii="Arial" w:hAnsi="Arial" w:cs="Arial"/>
                <w:sz w:val="20"/>
                <w:szCs w:val="20"/>
              </w:rPr>
            </w:pPr>
            <w:r w:rsidRPr="00301B8E">
              <w:rPr>
                <w:rFonts w:ascii="Arial" w:hAnsi="Arial" w:cs="Arial"/>
                <w:sz w:val="20"/>
                <w:szCs w:val="20"/>
              </w:rPr>
              <w:t>100</w:t>
            </w:r>
          </w:p>
        </w:tc>
        <w:tc>
          <w:tcPr>
            <w:tcW w:w="2338" w:type="dxa"/>
            <w:tcBorders>
              <w:bottom w:val="nil"/>
            </w:tcBorders>
          </w:tcPr>
          <w:p w14:paraId="44998763" w14:textId="75700B96" w:rsidR="00301B8E" w:rsidRPr="00301B8E" w:rsidRDefault="00301B8E" w:rsidP="00301B8E">
            <w:pPr>
              <w:jc w:val="both"/>
              <w:rPr>
                <w:rFonts w:ascii="Arial" w:hAnsi="Arial" w:cs="Arial"/>
                <w:sz w:val="20"/>
                <w:szCs w:val="20"/>
              </w:rPr>
            </w:pPr>
            <w:r w:rsidRPr="00301B8E">
              <w:rPr>
                <w:rFonts w:ascii="Arial" w:hAnsi="Arial" w:cs="Arial"/>
                <w:sz w:val="20"/>
                <w:szCs w:val="20"/>
              </w:rPr>
              <w:t>0</w:t>
            </w:r>
          </w:p>
        </w:tc>
        <w:tc>
          <w:tcPr>
            <w:tcW w:w="2338" w:type="dxa"/>
            <w:tcBorders>
              <w:bottom w:val="nil"/>
            </w:tcBorders>
          </w:tcPr>
          <w:p w14:paraId="50EBA94F" w14:textId="667962D7" w:rsidR="00301B8E" w:rsidRPr="00301B8E" w:rsidRDefault="00301B8E" w:rsidP="00301B8E">
            <w:pPr>
              <w:jc w:val="both"/>
              <w:rPr>
                <w:rFonts w:ascii="Arial" w:hAnsi="Arial" w:cs="Arial"/>
                <w:sz w:val="20"/>
                <w:szCs w:val="20"/>
              </w:rPr>
            </w:pPr>
            <w:r w:rsidRPr="00301B8E">
              <w:rPr>
                <w:rFonts w:ascii="Arial" w:hAnsi="Arial" w:cs="Arial"/>
                <w:sz w:val="20"/>
                <w:szCs w:val="20"/>
              </w:rPr>
              <w:t>0</w:t>
            </w:r>
          </w:p>
        </w:tc>
      </w:tr>
      <w:tr w:rsidR="00301B8E" w14:paraId="6B51910B" w14:textId="77777777" w:rsidTr="006C2C9C">
        <w:tc>
          <w:tcPr>
            <w:tcW w:w="2337" w:type="dxa"/>
            <w:tcBorders>
              <w:top w:val="nil"/>
              <w:bottom w:val="nil"/>
            </w:tcBorders>
          </w:tcPr>
          <w:p w14:paraId="384B4936" w14:textId="59D1BAEE" w:rsidR="00301B8E" w:rsidRPr="00301B8E" w:rsidRDefault="00301B8E" w:rsidP="00301B8E">
            <w:pPr>
              <w:jc w:val="both"/>
              <w:rPr>
                <w:rFonts w:ascii="Arial" w:hAnsi="Arial" w:cs="Arial"/>
                <w:sz w:val="20"/>
                <w:szCs w:val="20"/>
              </w:rPr>
            </w:pPr>
            <w:r w:rsidRPr="00301B8E">
              <w:rPr>
                <w:rFonts w:ascii="Arial" w:hAnsi="Arial" w:cs="Arial"/>
                <w:sz w:val="20"/>
                <w:szCs w:val="20"/>
              </w:rPr>
              <w:t>B</w:t>
            </w:r>
          </w:p>
        </w:tc>
        <w:tc>
          <w:tcPr>
            <w:tcW w:w="2337" w:type="dxa"/>
            <w:tcBorders>
              <w:top w:val="nil"/>
              <w:bottom w:val="nil"/>
            </w:tcBorders>
          </w:tcPr>
          <w:p w14:paraId="3B447568" w14:textId="5DFD1AB8"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4C58F9FC" w14:textId="51F6F203" w:rsidR="00301B8E" w:rsidRPr="00301B8E" w:rsidRDefault="00301B8E" w:rsidP="00301B8E">
            <w:pPr>
              <w:jc w:val="both"/>
              <w:rPr>
                <w:rFonts w:ascii="Arial" w:hAnsi="Arial" w:cs="Arial"/>
                <w:sz w:val="20"/>
                <w:szCs w:val="20"/>
              </w:rPr>
            </w:pPr>
            <w:r w:rsidRPr="00301B8E">
              <w:rPr>
                <w:rFonts w:ascii="Arial" w:hAnsi="Arial" w:cs="Arial"/>
                <w:sz w:val="20"/>
                <w:szCs w:val="20"/>
              </w:rPr>
              <w:t>80</w:t>
            </w:r>
          </w:p>
        </w:tc>
        <w:tc>
          <w:tcPr>
            <w:tcW w:w="2338" w:type="dxa"/>
            <w:tcBorders>
              <w:top w:val="nil"/>
              <w:bottom w:val="nil"/>
            </w:tcBorders>
          </w:tcPr>
          <w:p w14:paraId="0C7B2545" w14:textId="09AF4FE2" w:rsidR="00301B8E" w:rsidRPr="00301B8E" w:rsidRDefault="00301B8E" w:rsidP="00301B8E">
            <w:pPr>
              <w:jc w:val="both"/>
              <w:rPr>
                <w:rFonts w:ascii="Arial" w:hAnsi="Arial" w:cs="Arial"/>
                <w:sz w:val="20"/>
                <w:szCs w:val="20"/>
              </w:rPr>
            </w:pPr>
            <w:r w:rsidRPr="00301B8E">
              <w:rPr>
                <w:rFonts w:ascii="Arial" w:hAnsi="Arial" w:cs="Arial"/>
                <w:sz w:val="20"/>
                <w:szCs w:val="20"/>
              </w:rPr>
              <w:t>0</w:t>
            </w:r>
          </w:p>
        </w:tc>
      </w:tr>
      <w:tr w:rsidR="00301B8E" w14:paraId="7FF0BB09" w14:textId="77777777" w:rsidTr="006C2C9C">
        <w:tc>
          <w:tcPr>
            <w:tcW w:w="2337" w:type="dxa"/>
            <w:tcBorders>
              <w:top w:val="nil"/>
              <w:bottom w:val="nil"/>
            </w:tcBorders>
          </w:tcPr>
          <w:p w14:paraId="3336500D" w14:textId="25984F12" w:rsidR="00301B8E" w:rsidRPr="00301B8E" w:rsidRDefault="00301B8E" w:rsidP="00301B8E">
            <w:pPr>
              <w:jc w:val="both"/>
              <w:rPr>
                <w:rFonts w:ascii="Arial" w:hAnsi="Arial" w:cs="Arial"/>
                <w:sz w:val="20"/>
                <w:szCs w:val="20"/>
              </w:rPr>
            </w:pPr>
            <w:r w:rsidRPr="00301B8E">
              <w:rPr>
                <w:rFonts w:ascii="Arial" w:hAnsi="Arial" w:cs="Arial"/>
                <w:sz w:val="20"/>
                <w:szCs w:val="20"/>
              </w:rPr>
              <w:t>C</w:t>
            </w:r>
          </w:p>
        </w:tc>
        <w:tc>
          <w:tcPr>
            <w:tcW w:w="2337" w:type="dxa"/>
            <w:tcBorders>
              <w:top w:val="nil"/>
              <w:bottom w:val="nil"/>
            </w:tcBorders>
          </w:tcPr>
          <w:p w14:paraId="45A9E2B5" w14:textId="5F1E2155"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216B0762" w14:textId="21F191C6" w:rsidR="00301B8E" w:rsidRPr="00301B8E" w:rsidRDefault="00301B8E" w:rsidP="00301B8E">
            <w:pPr>
              <w:jc w:val="both"/>
              <w:rPr>
                <w:rFonts w:ascii="Arial" w:hAnsi="Arial" w:cs="Arial"/>
                <w:sz w:val="20"/>
                <w:szCs w:val="20"/>
              </w:rPr>
            </w:pPr>
            <w:r w:rsidRPr="00301B8E">
              <w:rPr>
                <w:rFonts w:ascii="Arial" w:hAnsi="Arial" w:cs="Arial"/>
                <w:sz w:val="20"/>
                <w:szCs w:val="20"/>
              </w:rPr>
              <w:t>70</w:t>
            </w:r>
          </w:p>
        </w:tc>
        <w:tc>
          <w:tcPr>
            <w:tcW w:w="2338" w:type="dxa"/>
            <w:tcBorders>
              <w:top w:val="nil"/>
              <w:bottom w:val="nil"/>
            </w:tcBorders>
          </w:tcPr>
          <w:p w14:paraId="2206F4F9" w14:textId="4B720EE1" w:rsidR="00301B8E" w:rsidRPr="00301B8E" w:rsidRDefault="00301B8E" w:rsidP="00301B8E">
            <w:pPr>
              <w:jc w:val="both"/>
              <w:rPr>
                <w:rFonts w:ascii="Arial" w:hAnsi="Arial" w:cs="Arial"/>
                <w:sz w:val="20"/>
                <w:szCs w:val="20"/>
              </w:rPr>
            </w:pPr>
            <w:r w:rsidRPr="00301B8E">
              <w:rPr>
                <w:rFonts w:ascii="Arial" w:hAnsi="Arial" w:cs="Arial"/>
                <w:sz w:val="20"/>
                <w:szCs w:val="20"/>
              </w:rPr>
              <w:t>10</w:t>
            </w:r>
          </w:p>
        </w:tc>
      </w:tr>
      <w:tr w:rsidR="00301B8E" w14:paraId="7F15E69C" w14:textId="77777777" w:rsidTr="006C2C9C">
        <w:tc>
          <w:tcPr>
            <w:tcW w:w="2337" w:type="dxa"/>
            <w:tcBorders>
              <w:top w:val="nil"/>
              <w:bottom w:val="nil"/>
            </w:tcBorders>
          </w:tcPr>
          <w:p w14:paraId="51444C84" w14:textId="71B19F2F" w:rsidR="00301B8E" w:rsidRPr="00301B8E" w:rsidRDefault="00301B8E" w:rsidP="00301B8E">
            <w:pPr>
              <w:jc w:val="both"/>
              <w:rPr>
                <w:rFonts w:ascii="Arial" w:hAnsi="Arial" w:cs="Arial"/>
                <w:sz w:val="20"/>
                <w:szCs w:val="20"/>
              </w:rPr>
            </w:pPr>
            <w:r w:rsidRPr="00301B8E">
              <w:rPr>
                <w:rFonts w:ascii="Arial" w:hAnsi="Arial" w:cs="Arial"/>
                <w:sz w:val="20"/>
                <w:szCs w:val="20"/>
              </w:rPr>
              <w:t>D</w:t>
            </w:r>
          </w:p>
        </w:tc>
        <w:tc>
          <w:tcPr>
            <w:tcW w:w="2337" w:type="dxa"/>
            <w:tcBorders>
              <w:top w:val="nil"/>
              <w:bottom w:val="nil"/>
            </w:tcBorders>
          </w:tcPr>
          <w:p w14:paraId="443854B8" w14:textId="4634B8EC"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4016FED8" w14:textId="6FA71078" w:rsidR="00301B8E" w:rsidRPr="00301B8E" w:rsidRDefault="00301B8E" w:rsidP="00301B8E">
            <w:pPr>
              <w:jc w:val="both"/>
              <w:rPr>
                <w:rFonts w:ascii="Arial" w:hAnsi="Arial" w:cs="Arial"/>
                <w:sz w:val="20"/>
                <w:szCs w:val="20"/>
              </w:rPr>
            </w:pPr>
            <w:r w:rsidRPr="00301B8E">
              <w:rPr>
                <w:rFonts w:ascii="Arial" w:hAnsi="Arial" w:cs="Arial"/>
                <w:sz w:val="20"/>
                <w:szCs w:val="20"/>
              </w:rPr>
              <w:t>60</w:t>
            </w:r>
          </w:p>
        </w:tc>
        <w:tc>
          <w:tcPr>
            <w:tcW w:w="2338" w:type="dxa"/>
            <w:tcBorders>
              <w:top w:val="nil"/>
              <w:bottom w:val="nil"/>
            </w:tcBorders>
          </w:tcPr>
          <w:p w14:paraId="4D3B82CE" w14:textId="772FCA85"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r>
      <w:tr w:rsidR="00301B8E" w14:paraId="7C76E76D" w14:textId="77777777" w:rsidTr="006C2C9C">
        <w:tc>
          <w:tcPr>
            <w:tcW w:w="2337" w:type="dxa"/>
            <w:tcBorders>
              <w:top w:val="nil"/>
              <w:bottom w:val="nil"/>
            </w:tcBorders>
          </w:tcPr>
          <w:p w14:paraId="063CDD58" w14:textId="7F794520" w:rsidR="00301B8E" w:rsidRPr="00301B8E" w:rsidRDefault="00301B8E" w:rsidP="00301B8E">
            <w:pPr>
              <w:jc w:val="both"/>
              <w:rPr>
                <w:rFonts w:ascii="Arial" w:hAnsi="Arial" w:cs="Arial"/>
                <w:sz w:val="20"/>
                <w:szCs w:val="20"/>
              </w:rPr>
            </w:pPr>
            <w:r w:rsidRPr="00301B8E">
              <w:rPr>
                <w:rFonts w:ascii="Arial" w:hAnsi="Arial" w:cs="Arial"/>
                <w:sz w:val="20"/>
                <w:szCs w:val="20"/>
              </w:rPr>
              <w:t>E</w:t>
            </w:r>
          </w:p>
        </w:tc>
        <w:tc>
          <w:tcPr>
            <w:tcW w:w="2337" w:type="dxa"/>
            <w:tcBorders>
              <w:top w:val="nil"/>
              <w:bottom w:val="nil"/>
            </w:tcBorders>
          </w:tcPr>
          <w:p w14:paraId="68043762" w14:textId="6A5DE3B8"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bottom w:val="nil"/>
            </w:tcBorders>
          </w:tcPr>
          <w:p w14:paraId="04CD9035" w14:textId="2EF5F6DE" w:rsidR="00301B8E" w:rsidRPr="00301B8E" w:rsidRDefault="00301B8E" w:rsidP="00301B8E">
            <w:pPr>
              <w:jc w:val="both"/>
              <w:rPr>
                <w:rFonts w:ascii="Arial" w:hAnsi="Arial" w:cs="Arial"/>
                <w:sz w:val="20"/>
                <w:szCs w:val="20"/>
              </w:rPr>
            </w:pPr>
            <w:r w:rsidRPr="00301B8E">
              <w:rPr>
                <w:rFonts w:ascii="Arial" w:hAnsi="Arial" w:cs="Arial"/>
                <w:sz w:val="20"/>
                <w:szCs w:val="20"/>
              </w:rPr>
              <w:t>50</w:t>
            </w:r>
          </w:p>
        </w:tc>
        <w:tc>
          <w:tcPr>
            <w:tcW w:w="2338" w:type="dxa"/>
            <w:tcBorders>
              <w:top w:val="nil"/>
              <w:bottom w:val="nil"/>
            </w:tcBorders>
          </w:tcPr>
          <w:p w14:paraId="5D22006B" w14:textId="2D0C6124" w:rsidR="00301B8E" w:rsidRPr="00301B8E" w:rsidRDefault="00301B8E" w:rsidP="00301B8E">
            <w:pPr>
              <w:jc w:val="both"/>
              <w:rPr>
                <w:rFonts w:ascii="Arial" w:hAnsi="Arial" w:cs="Arial"/>
                <w:sz w:val="20"/>
                <w:szCs w:val="20"/>
              </w:rPr>
            </w:pPr>
            <w:r w:rsidRPr="00301B8E">
              <w:rPr>
                <w:rFonts w:ascii="Arial" w:hAnsi="Arial" w:cs="Arial"/>
                <w:sz w:val="20"/>
                <w:szCs w:val="20"/>
              </w:rPr>
              <w:t>30</w:t>
            </w:r>
          </w:p>
        </w:tc>
      </w:tr>
      <w:tr w:rsidR="00301B8E" w14:paraId="4CE1AA5A" w14:textId="77777777" w:rsidTr="006C2C9C">
        <w:tc>
          <w:tcPr>
            <w:tcW w:w="2337" w:type="dxa"/>
            <w:tcBorders>
              <w:top w:val="nil"/>
            </w:tcBorders>
          </w:tcPr>
          <w:p w14:paraId="765AB0B1" w14:textId="4EF76849" w:rsidR="00301B8E" w:rsidRPr="00301B8E" w:rsidRDefault="00301B8E" w:rsidP="00301B8E">
            <w:pPr>
              <w:jc w:val="both"/>
              <w:rPr>
                <w:rFonts w:ascii="Arial" w:hAnsi="Arial" w:cs="Arial"/>
                <w:sz w:val="20"/>
                <w:szCs w:val="20"/>
              </w:rPr>
            </w:pPr>
            <w:r w:rsidRPr="00301B8E">
              <w:rPr>
                <w:rFonts w:ascii="Arial" w:hAnsi="Arial" w:cs="Arial"/>
                <w:sz w:val="20"/>
                <w:szCs w:val="20"/>
              </w:rPr>
              <w:t>F</w:t>
            </w:r>
          </w:p>
        </w:tc>
        <w:tc>
          <w:tcPr>
            <w:tcW w:w="2337" w:type="dxa"/>
            <w:tcBorders>
              <w:top w:val="nil"/>
            </w:tcBorders>
          </w:tcPr>
          <w:p w14:paraId="10397D53" w14:textId="046899EE" w:rsidR="00301B8E" w:rsidRPr="00301B8E" w:rsidRDefault="00301B8E" w:rsidP="00301B8E">
            <w:pPr>
              <w:jc w:val="both"/>
              <w:rPr>
                <w:rFonts w:ascii="Arial" w:hAnsi="Arial" w:cs="Arial"/>
                <w:sz w:val="20"/>
                <w:szCs w:val="20"/>
              </w:rPr>
            </w:pPr>
            <w:r w:rsidRPr="00301B8E">
              <w:rPr>
                <w:rFonts w:ascii="Arial" w:hAnsi="Arial" w:cs="Arial"/>
                <w:sz w:val="20"/>
                <w:szCs w:val="20"/>
              </w:rPr>
              <w:t>20</w:t>
            </w:r>
          </w:p>
        </w:tc>
        <w:tc>
          <w:tcPr>
            <w:tcW w:w="2338" w:type="dxa"/>
            <w:tcBorders>
              <w:top w:val="nil"/>
            </w:tcBorders>
          </w:tcPr>
          <w:p w14:paraId="088998EC" w14:textId="3BE5F808" w:rsidR="00301B8E" w:rsidRPr="00301B8E" w:rsidRDefault="00301B8E" w:rsidP="00301B8E">
            <w:pPr>
              <w:jc w:val="both"/>
              <w:rPr>
                <w:rFonts w:ascii="Arial" w:hAnsi="Arial" w:cs="Arial"/>
                <w:sz w:val="20"/>
                <w:szCs w:val="20"/>
              </w:rPr>
            </w:pPr>
            <w:r w:rsidRPr="00301B8E">
              <w:rPr>
                <w:rFonts w:ascii="Arial" w:hAnsi="Arial" w:cs="Arial"/>
                <w:sz w:val="20"/>
                <w:szCs w:val="20"/>
              </w:rPr>
              <w:t>40</w:t>
            </w:r>
          </w:p>
        </w:tc>
        <w:tc>
          <w:tcPr>
            <w:tcW w:w="2338" w:type="dxa"/>
            <w:tcBorders>
              <w:top w:val="nil"/>
            </w:tcBorders>
          </w:tcPr>
          <w:p w14:paraId="21BC38F4" w14:textId="00692A12" w:rsidR="00301B8E" w:rsidRPr="00301B8E" w:rsidRDefault="00301B8E" w:rsidP="00301B8E">
            <w:pPr>
              <w:jc w:val="both"/>
              <w:rPr>
                <w:rFonts w:ascii="Arial" w:hAnsi="Arial" w:cs="Arial"/>
                <w:sz w:val="20"/>
                <w:szCs w:val="20"/>
              </w:rPr>
            </w:pPr>
            <w:r w:rsidRPr="00301B8E">
              <w:rPr>
                <w:rFonts w:ascii="Arial" w:hAnsi="Arial" w:cs="Arial"/>
                <w:sz w:val="20"/>
                <w:szCs w:val="20"/>
              </w:rPr>
              <w:t>40</w:t>
            </w:r>
          </w:p>
        </w:tc>
      </w:tr>
    </w:tbl>
    <w:p w14:paraId="7A8D040A" w14:textId="77777777" w:rsidR="00FE7B4B" w:rsidRPr="00301B8E" w:rsidRDefault="00FE7B4B" w:rsidP="00301B8E">
      <w:pPr>
        <w:spacing w:before="240" w:line="240" w:lineRule="auto"/>
        <w:jc w:val="both"/>
        <w:rPr>
          <w:rFonts w:ascii="Arial" w:hAnsi="Arial" w:cs="Arial"/>
          <w:sz w:val="22"/>
          <w:szCs w:val="22"/>
        </w:rPr>
      </w:pPr>
      <w:r w:rsidRPr="00301B8E">
        <w:rPr>
          <w:rFonts w:ascii="Arial" w:hAnsi="Arial" w:cs="Arial"/>
          <w:sz w:val="22"/>
          <w:szCs w:val="22"/>
        </w:rPr>
        <w:t>Source: Akinyemi et al (2020) Modified*</w:t>
      </w:r>
    </w:p>
    <w:p w14:paraId="7011B11E" w14:textId="5B7E1BC1" w:rsidR="00FE7B4B" w:rsidRPr="00301B8E" w:rsidRDefault="00F56D82" w:rsidP="00FE7B4B">
      <w:pPr>
        <w:pStyle w:val="Heading1"/>
        <w:rPr>
          <w:rFonts w:ascii="Arial" w:hAnsi="Arial" w:cs="Arial"/>
          <w:b/>
          <w:bCs/>
          <w:color w:val="auto"/>
          <w:sz w:val="20"/>
          <w:szCs w:val="20"/>
        </w:rPr>
      </w:pPr>
      <w:bookmarkStart w:id="11" w:name="_Toc220922849"/>
      <w:r w:rsidRPr="00301B8E">
        <w:rPr>
          <w:rFonts w:ascii="Arial" w:hAnsi="Arial" w:cs="Arial"/>
          <w:b/>
          <w:bCs/>
          <w:color w:val="auto"/>
          <w:sz w:val="20"/>
          <w:szCs w:val="20"/>
        </w:rPr>
        <w:t>2</w:t>
      </w:r>
      <w:r w:rsidR="00FE7B4B" w:rsidRPr="00301B8E">
        <w:rPr>
          <w:rFonts w:ascii="Arial" w:hAnsi="Arial" w:cs="Arial"/>
          <w:b/>
          <w:bCs/>
          <w:color w:val="auto"/>
          <w:sz w:val="20"/>
          <w:szCs w:val="20"/>
        </w:rPr>
        <w:t>.2.4 Preparation of Wheat-Sorghum -</w:t>
      </w:r>
      <w:r w:rsidR="00FE7B4B" w:rsidRPr="00301B8E">
        <w:rPr>
          <w:rFonts w:ascii="Arial" w:hAnsi="Arial" w:cs="Arial"/>
          <w:b/>
          <w:bCs/>
          <w:i/>
          <w:iCs/>
          <w:color w:val="auto"/>
          <w:sz w:val="20"/>
          <w:szCs w:val="20"/>
        </w:rPr>
        <w:t xml:space="preserve">Bombax </w:t>
      </w:r>
      <w:proofErr w:type="spellStart"/>
      <w:r w:rsidR="00FE7B4B" w:rsidRPr="00301B8E">
        <w:rPr>
          <w:rFonts w:ascii="Arial" w:hAnsi="Arial" w:cs="Arial"/>
          <w:b/>
          <w:bCs/>
          <w:i/>
          <w:iCs/>
          <w:color w:val="auto"/>
          <w:sz w:val="20"/>
          <w:szCs w:val="20"/>
        </w:rPr>
        <w:t>costatum</w:t>
      </w:r>
      <w:proofErr w:type="spellEnd"/>
      <w:r w:rsidR="00FE7B4B" w:rsidRPr="00301B8E">
        <w:rPr>
          <w:rFonts w:ascii="Arial" w:hAnsi="Arial" w:cs="Arial"/>
          <w:b/>
          <w:bCs/>
          <w:i/>
          <w:iCs/>
          <w:color w:val="auto"/>
          <w:sz w:val="20"/>
          <w:szCs w:val="20"/>
        </w:rPr>
        <w:t xml:space="preserve"> </w:t>
      </w:r>
      <w:r w:rsidR="00FE7B4B" w:rsidRPr="00301B8E">
        <w:rPr>
          <w:rFonts w:ascii="Arial" w:hAnsi="Arial" w:cs="Arial"/>
          <w:b/>
          <w:bCs/>
          <w:color w:val="auto"/>
          <w:sz w:val="20"/>
          <w:szCs w:val="20"/>
        </w:rPr>
        <w:t>dough for spaghetti</w:t>
      </w:r>
      <w:bookmarkEnd w:id="11"/>
    </w:p>
    <w:p w14:paraId="71C4AFB3" w14:textId="141EA6FB" w:rsidR="00FE7B4B" w:rsidRPr="00301B8E" w:rsidRDefault="00FE7B4B" w:rsidP="00301B8E">
      <w:pPr>
        <w:spacing w:line="240" w:lineRule="auto"/>
        <w:jc w:val="both"/>
        <w:rPr>
          <w:rFonts w:ascii="Arial" w:hAnsi="Arial" w:cs="Arial"/>
          <w:sz w:val="20"/>
          <w:szCs w:val="20"/>
        </w:rPr>
      </w:pPr>
      <w:r w:rsidRPr="00301B8E">
        <w:rPr>
          <w:rFonts w:ascii="Arial" w:hAnsi="Arial" w:cs="Arial"/>
          <w:sz w:val="20"/>
          <w:szCs w:val="20"/>
        </w:rPr>
        <w:t xml:space="preserve">Flour and water were the only ingredients used in preparing the spaghetti dough. To make the dough, different percentage weight fractions of flours listed in Table </w:t>
      </w:r>
      <w:r w:rsidR="0080510B">
        <w:rPr>
          <w:rFonts w:ascii="Arial" w:hAnsi="Arial" w:cs="Arial"/>
          <w:sz w:val="20"/>
          <w:szCs w:val="20"/>
        </w:rPr>
        <w:t>2</w:t>
      </w:r>
      <w:r w:rsidRPr="00301B8E">
        <w:rPr>
          <w:rFonts w:ascii="Arial" w:hAnsi="Arial" w:cs="Arial"/>
          <w:sz w:val="20"/>
          <w:szCs w:val="20"/>
        </w:rPr>
        <w:t xml:space="preserve"> were added to warm water for each formulation, and the mixture was heated to 69.5°C in a water bath for 40 minutes. Afterwards, the </w:t>
      </w:r>
      <w:r w:rsidRPr="00301B8E">
        <w:rPr>
          <w:rFonts w:ascii="Arial" w:hAnsi="Arial" w:cs="Arial"/>
          <w:i/>
          <w:iCs/>
          <w:sz w:val="20"/>
          <w:szCs w:val="20"/>
        </w:rPr>
        <w:t xml:space="preserve">Bombax </w:t>
      </w:r>
      <w:proofErr w:type="spellStart"/>
      <w:r w:rsidRPr="00301B8E">
        <w:rPr>
          <w:rFonts w:ascii="Arial" w:hAnsi="Arial" w:cs="Arial"/>
          <w:i/>
          <w:iCs/>
          <w:sz w:val="20"/>
          <w:szCs w:val="20"/>
        </w:rPr>
        <w:t>costatum</w:t>
      </w:r>
      <w:proofErr w:type="spellEnd"/>
      <w:r w:rsidRPr="00301B8E">
        <w:rPr>
          <w:rFonts w:ascii="Arial" w:hAnsi="Arial" w:cs="Arial"/>
          <w:i/>
          <w:iCs/>
          <w:sz w:val="20"/>
          <w:szCs w:val="20"/>
        </w:rPr>
        <w:t xml:space="preserve"> </w:t>
      </w:r>
      <w:r w:rsidRPr="00301B8E">
        <w:rPr>
          <w:rFonts w:ascii="Arial" w:hAnsi="Arial" w:cs="Arial"/>
          <w:sz w:val="20"/>
          <w:szCs w:val="20"/>
        </w:rPr>
        <w:t>calyces were cooled to about 40°C in an ice water bath, then added to the remaining flour to form a homogeneous dough using a domestic blender (KitchenAid 4.5-quart tilt-head stand mixer, Model Classic Plus KSM75WH, St. Joseph, MI, USA). Finally, kneading was performed for 20 minutes.</w:t>
      </w:r>
    </w:p>
    <w:p w14:paraId="21956422" w14:textId="4581F8CA" w:rsidR="00FE7B4B" w:rsidRPr="00301B8E" w:rsidRDefault="00F56D82" w:rsidP="00FE7B4B">
      <w:pPr>
        <w:pStyle w:val="Heading1"/>
        <w:rPr>
          <w:rFonts w:ascii="Arial" w:hAnsi="Arial" w:cs="Arial"/>
          <w:b/>
          <w:bCs/>
          <w:color w:val="auto"/>
          <w:sz w:val="20"/>
          <w:szCs w:val="20"/>
        </w:rPr>
      </w:pPr>
      <w:bookmarkStart w:id="12" w:name="_Toc220922850"/>
      <w:r w:rsidRPr="00301B8E">
        <w:rPr>
          <w:rFonts w:ascii="Arial" w:hAnsi="Arial" w:cs="Arial"/>
          <w:b/>
          <w:bCs/>
          <w:color w:val="auto"/>
          <w:sz w:val="20"/>
          <w:szCs w:val="20"/>
        </w:rPr>
        <w:t>2</w:t>
      </w:r>
      <w:r w:rsidR="00FE7B4B" w:rsidRPr="00301B8E">
        <w:rPr>
          <w:rFonts w:ascii="Arial" w:hAnsi="Arial" w:cs="Arial"/>
          <w:b/>
          <w:bCs/>
          <w:color w:val="auto"/>
          <w:sz w:val="20"/>
          <w:szCs w:val="20"/>
        </w:rPr>
        <w:t>.2.5 Spaghetti preparation with an extruder</w:t>
      </w:r>
      <w:bookmarkEnd w:id="12"/>
      <w:r w:rsidR="00FE7B4B" w:rsidRPr="00301B8E">
        <w:rPr>
          <w:rFonts w:ascii="Arial" w:hAnsi="Arial" w:cs="Arial"/>
          <w:b/>
          <w:bCs/>
          <w:color w:val="auto"/>
          <w:sz w:val="20"/>
          <w:szCs w:val="20"/>
        </w:rPr>
        <w:t xml:space="preserve"> </w:t>
      </w:r>
    </w:p>
    <w:p w14:paraId="0AEEFC49" w14:textId="77777777" w:rsidR="005A34AE" w:rsidRPr="00301B8E" w:rsidRDefault="00FE7B4B" w:rsidP="00301B8E">
      <w:pPr>
        <w:spacing w:line="240" w:lineRule="auto"/>
        <w:jc w:val="both"/>
        <w:rPr>
          <w:rFonts w:ascii="Arial" w:hAnsi="Arial" w:cs="Arial"/>
          <w:sz w:val="20"/>
          <w:szCs w:val="20"/>
        </w:rPr>
      </w:pPr>
      <w:r w:rsidRPr="00301B8E">
        <w:rPr>
          <w:rFonts w:ascii="Arial" w:hAnsi="Arial" w:cs="Arial"/>
          <w:sz w:val="20"/>
          <w:szCs w:val="20"/>
        </w:rPr>
        <w:t>After preparing the pasta dough with this formulation using the KitchenAid, wheat-sorghum-</w:t>
      </w:r>
      <w:r w:rsidRPr="00301B8E">
        <w:rPr>
          <w:rFonts w:ascii="Arial" w:hAnsi="Arial" w:cs="Arial"/>
          <w:i/>
          <w:iCs/>
          <w:sz w:val="20"/>
          <w:szCs w:val="20"/>
        </w:rPr>
        <w:t xml:space="preserve">Bombax </w:t>
      </w:r>
      <w:proofErr w:type="spellStart"/>
      <w:r w:rsidRPr="00301B8E">
        <w:rPr>
          <w:rFonts w:ascii="Arial" w:hAnsi="Arial" w:cs="Arial"/>
          <w:i/>
          <w:iCs/>
          <w:sz w:val="20"/>
          <w:szCs w:val="20"/>
        </w:rPr>
        <w:t>costatum</w:t>
      </w:r>
      <w:proofErr w:type="spellEnd"/>
      <w:r w:rsidRPr="00301B8E">
        <w:rPr>
          <w:rFonts w:ascii="Arial" w:hAnsi="Arial" w:cs="Arial"/>
          <w:i/>
          <w:iCs/>
          <w:sz w:val="20"/>
          <w:szCs w:val="20"/>
        </w:rPr>
        <w:t xml:space="preserve"> </w:t>
      </w:r>
      <w:r w:rsidRPr="00301B8E">
        <w:rPr>
          <w:rFonts w:ascii="Arial" w:hAnsi="Arial" w:cs="Arial"/>
          <w:sz w:val="20"/>
          <w:szCs w:val="20"/>
        </w:rPr>
        <w:t xml:space="preserve">spaghetti was made with an extruder (model 2003, C.W. Brabender Instruments, South Hackensack, NJ, USA). The extruder has an inner diameter of 19.18 mm and a screw compression ratio of 1:1 (the screw depth at the feed matches that at the die). The die has a diameter of 1.40 mm. The screw (model 05-00-035, Brabender) measures 381 mm in length, with an outside diameter of 19.05 mm, a screw length-to-diameter ratio of 20:1, a uniform pitch of 19.05 mm, an initial screw root diameter of 11.43 mm, and an initial screw feed depth of 3.81 mm. This setup is used with a rheometer drive control system (model PL 2000, </w:t>
      </w:r>
      <w:proofErr w:type="spellStart"/>
      <w:r w:rsidRPr="00301B8E">
        <w:rPr>
          <w:rFonts w:ascii="Arial" w:hAnsi="Arial" w:cs="Arial"/>
          <w:sz w:val="20"/>
          <w:szCs w:val="20"/>
        </w:rPr>
        <w:t>Plasti-Corder</w:t>
      </w:r>
      <w:proofErr w:type="spellEnd"/>
      <w:r w:rsidRPr="00301B8E">
        <w:rPr>
          <w:rFonts w:ascii="Arial" w:hAnsi="Arial" w:cs="Arial"/>
          <w:sz w:val="20"/>
          <w:szCs w:val="20"/>
        </w:rPr>
        <w:t xml:space="preserve">, </w:t>
      </w:r>
      <w:proofErr w:type="spellStart"/>
      <w:r w:rsidRPr="00301B8E">
        <w:rPr>
          <w:rFonts w:ascii="Arial" w:hAnsi="Arial" w:cs="Arial"/>
          <w:sz w:val="20"/>
          <w:szCs w:val="20"/>
        </w:rPr>
        <w:t>Brabender</w:t>
      </w:r>
      <w:proofErr w:type="spellEnd"/>
      <w:r w:rsidRPr="00301B8E">
        <w:rPr>
          <w:rFonts w:ascii="Arial" w:hAnsi="Arial" w:cs="Arial"/>
          <w:sz w:val="20"/>
          <w:szCs w:val="20"/>
        </w:rPr>
        <w:t>). The screw speed was maintained at 50 rpm, and the temperature was controlled and kept at 20°C (ambient conditions) during extrusion. Dough was manually added in small amounts to prevent overloading the extruder.</w:t>
      </w:r>
      <w:bookmarkStart w:id="13" w:name="_Toc220922851"/>
    </w:p>
    <w:p w14:paraId="5E09037A" w14:textId="026E5C86" w:rsidR="00FE7B4B" w:rsidRPr="001F4175" w:rsidRDefault="00F56D82" w:rsidP="005A34AE">
      <w:pPr>
        <w:spacing w:line="480" w:lineRule="auto"/>
        <w:jc w:val="both"/>
        <w:rPr>
          <w:rFonts w:ascii="Arial" w:hAnsi="Arial" w:cs="Arial"/>
          <w:b/>
          <w:bCs/>
          <w:sz w:val="22"/>
          <w:szCs w:val="22"/>
        </w:rPr>
      </w:pPr>
      <w:r w:rsidRPr="001F4175">
        <w:rPr>
          <w:rFonts w:ascii="Arial" w:hAnsi="Arial" w:cs="Arial"/>
          <w:b/>
          <w:bCs/>
          <w:sz w:val="22"/>
          <w:szCs w:val="22"/>
        </w:rPr>
        <w:t>2</w:t>
      </w:r>
      <w:r w:rsidR="00FE7B4B" w:rsidRPr="001F4175">
        <w:rPr>
          <w:rFonts w:ascii="Arial" w:hAnsi="Arial" w:cs="Arial"/>
          <w:b/>
          <w:bCs/>
          <w:sz w:val="22"/>
          <w:szCs w:val="22"/>
        </w:rPr>
        <w:t xml:space="preserve">.3 Proximate Composition Spaghetti </w:t>
      </w:r>
      <w:bookmarkEnd w:id="13"/>
    </w:p>
    <w:p w14:paraId="1AD74766" w14:textId="532E5818" w:rsidR="00FE7B4B" w:rsidRPr="001F4175" w:rsidRDefault="00F56D82" w:rsidP="001F4175">
      <w:pPr>
        <w:pStyle w:val="Heading1"/>
        <w:spacing w:line="240" w:lineRule="auto"/>
        <w:rPr>
          <w:rFonts w:ascii="Arial" w:hAnsi="Arial" w:cs="Arial"/>
          <w:b/>
          <w:bCs/>
          <w:color w:val="auto"/>
          <w:sz w:val="20"/>
          <w:szCs w:val="20"/>
        </w:rPr>
      </w:pPr>
      <w:bookmarkStart w:id="14" w:name="_Toc220922852"/>
      <w:r w:rsidRPr="001F4175">
        <w:rPr>
          <w:rFonts w:ascii="Arial" w:hAnsi="Arial" w:cs="Arial"/>
          <w:b/>
          <w:bCs/>
          <w:color w:val="auto"/>
          <w:sz w:val="20"/>
          <w:szCs w:val="20"/>
        </w:rPr>
        <w:t>2</w:t>
      </w:r>
      <w:r w:rsidR="00FE7B4B" w:rsidRPr="001F4175">
        <w:rPr>
          <w:rFonts w:ascii="Arial" w:hAnsi="Arial" w:cs="Arial"/>
          <w:b/>
          <w:bCs/>
          <w:color w:val="auto"/>
          <w:sz w:val="20"/>
          <w:szCs w:val="20"/>
        </w:rPr>
        <w:t>.3.1 Determination of moisture content</w:t>
      </w:r>
      <w:bookmarkEnd w:id="14"/>
      <w:r w:rsidR="00FE7B4B" w:rsidRPr="001F4175">
        <w:rPr>
          <w:rFonts w:ascii="Arial" w:hAnsi="Arial" w:cs="Arial"/>
          <w:b/>
          <w:bCs/>
          <w:color w:val="auto"/>
          <w:sz w:val="20"/>
          <w:szCs w:val="20"/>
        </w:rPr>
        <w:t xml:space="preserve"> </w:t>
      </w:r>
    </w:p>
    <w:p w14:paraId="4FDAD2FE"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Moisture content was determined using the oven drying method as outlined by Nwafor et al. (2020). Exactly 5 g of the sample was weighed into pre-weighed, dry crucibles and heated in an oven at 105°C for 3 hours. </w:t>
      </w:r>
      <w:r w:rsidRPr="001F4175">
        <w:rPr>
          <w:rFonts w:ascii="Arial" w:hAnsi="Arial" w:cs="Arial"/>
          <w:sz w:val="20"/>
          <w:szCs w:val="20"/>
        </w:rPr>
        <w:lastRenderedPageBreak/>
        <w:t>Cooling and weighing of the dried samples were performed at 30-minute intervals until there was no weight change after three successive measurements. The final weight of the dried samples was recorded, and the moisture content was calculated as described by equation 1.</w:t>
      </w:r>
    </w:p>
    <w:p w14:paraId="18DD4A4B" w14:textId="1C41CB4E" w:rsidR="00FE7B4B" w:rsidRPr="001F4175" w:rsidRDefault="00FE7B4B" w:rsidP="001F4175">
      <w:pPr>
        <w:spacing w:line="240" w:lineRule="auto"/>
        <w:jc w:val="both"/>
        <w:rPr>
          <w:rFonts w:ascii="Arial" w:eastAsiaTheme="minorEastAsia" w:hAnsi="Arial" w:cs="Arial"/>
          <w:sz w:val="20"/>
          <w:szCs w:val="20"/>
        </w:rPr>
      </w:pPr>
      <m:oMath>
        <m:r>
          <w:rPr>
            <w:rFonts w:ascii="Cambria Math" w:hAnsi="Cambria Math" w:cs="Arial"/>
            <w:sz w:val="20"/>
            <w:szCs w:val="20"/>
          </w:rPr>
          <m:t>Moisture content(%)</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w1-w2</m:t>
            </m:r>
          </m:num>
          <m:den>
            <m:r>
              <m:rPr>
                <m:sty m:val="p"/>
              </m:rPr>
              <w:rPr>
                <w:rFonts w:ascii="Cambria Math" w:hAnsi="Cambria Math" w:cs="Arial"/>
                <w:sz w:val="20"/>
                <w:szCs w:val="20"/>
              </w:rPr>
              <m:t>w1-wo</m:t>
            </m:r>
          </m:den>
        </m:f>
      </m:oMath>
      <w:r w:rsidRPr="001F4175">
        <w:rPr>
          <w:rFonts w:ascii="Arial" w:eastAsiaTheme="minorEastAsia" w:hAnsi="Arial" w:cs="Arial"/>
          <w:sz w:val="20"/>
          <w:szCs w:val="20"/>
        </w:rPr>
        <w:t xml:space="preserve"> x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100</m:t>
            </m:r>
          </m:num>
          <m:den>
            <m:r>
              <m:rPr>
                <m:sty m:val="p"/>
              </m:rPr>
              <w:rPr>
                <w:rFonts w:ascii="Cambria Math" w:eastAsiaTheme="minorEastAsia" w:hAnsi="Cambria Math" w:cs="Arial"/>
                <w:sz w:val="20"/>
                <w:szCs w:val="20"/>
              </w:rPr>
              <m:t>1</m:t>
            </m:r>
          </m:den>
        </m:f>
      </m:oMath>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301B8E" w:rsidRPr="001F4175">
        <w:rPr>
          <w:rFonts w:ascii="Arial" w:eastAsiaTheme="minorEastAsia" w:hAnsi="Arial" w:cs="Arial"/>
          <w:sz w:val="20"/>
          <w:szCs w:val="20"/>
        </w:rPr>
        <w:tab/>
      </w:r>
      <w:r w:rsidR="00301B8E" w:rsidRPr="001F4175">
        <w:rPr>
          <w:rFonts w:ascii="Arial" w:eastAsiaTheme="minorEastAsia" w:hAnsi="Arial" w:cs="Arial"/>
          <w:sz w:val="20"/>
          <w:szCs w:val="20"/>
        </w:rPr>
        <w:tab/>
      </w:r>
      <w:r w:rsidR="00301B8E" w:rsidRP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1</w:t>
      </w:r>
      <w:r w:rsidR="001F4175">
        <w:rPr>
          <w:rFonts w:ascii="Arial" w:eastAsiaTheme="minorEastAsia" w:hAnsi="Arial" w:cs="Arial"/>
          <w:sz w:val="20"/>
          <w:szCs w:val="20"/>
        </w:rPr>
        <w:t>)</w:t>
      </w:r>
    </w:p>
    <w:p w14:paraId="7C77E7EC"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Where, W0 =weight of dish only, W1= weight of dish and sample after drying, W2 =weight of dish and sample before drying, W1-W0 = weight of sample originally before drying.</w:t>
      </w:r>
    </w:p>
    <w:p w14:paraId="1F095048" w14:textId="110C2E7C" w:rsidR="00FE7B4B" w:rsidRPr="001F4175" w:rsidRDefault="00F56D82" w:rsidP="001F4175">
      <w:pPr>
        <w:pStyle w:val="Heading1"/>
        <w:spacing w:line="240" w:lineRule="auto"/>
        <w:rPr>
          <w:rFonts w:ascii="Arial" w:hAnsi="Arial" w:cs="Arial"/>
          <w:b/>
          <w:bCs/>
          <w:color w:val="auto"/>
          <w:sz w:val="20"/>
          <w:szCs w:val="20"/>
        </w:rPr>
      </w:pPr>
      <w:bookmarkStart w:id="15" w:name="_Toc220922853"/>
      <w:r w:rsidRPr="001F4175">
        <w:rPr>
          <w:rFonts w:ascii="Arial" w:hAnsi="Arial" w:cs="Arial"/>
          <w:b/>
          <w:bCs/>
          <w:color w:val="auto"/>
          <w:sz w:val="20"/>
          <w:szCs w:val="20"/>
        </w:rPr>
        <w:t>2</w:t>
      </w:r>
      <w:r w:rsidR="00FE7B4B" w:rsidRPr="001F4175">
        <w:rPr>
          <w:rFonts w:ascii="Arial" w:hAnsi="Arial" w:cs="Arial"/>
          <w:b/>
          <w:bCs/>
          <w:color w:val="auto"/>
          <w:sz w:val="20"/>
          <w:szCs w:val="20"/>
        </w:rPr>
        <w:t>.3.2 Determination of ash content</w:t>
      </w:r>
      <w:bookmarkEnd w:id="15"/>
    </w:p>
    <w:p w14:paraId="4359A443"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Total ash content was determined by dry </w:t>
      </w:r>
      <w:proofErr w:type="spellStart"/>
      <w:r w:rsidRPr="001F4175">
        <w:rPr>
          <w:rFonts w:ascii="Arial" w:hAnsi="Arial" w:cs="Arial"/>
          <w:sz w:val="20"/>
          <w:szCs w:val="20"/>
        </w:rPr>
        <w:t>ashing</w:t>
      </w:r>
      <w:proofErr w:type="spellEnd"/>
      <w:r w:rsidRPr="001F4175">
        <w:rPr>
          <w:rFonts w:ascii="Arial" w:hAnsi="Arial" w:cs="Arial"/>
          <w:sz w:val="20"/>
          <w:szCs w:val="20"/>
        </w:rPr>
        <w:t xml:space="preserve"> according to </w:t>
      </w:r>
      <w:proofErr w:type="spellStart"/>
      <w:r w:rsidRPr="001F4175">
        <w:rPr>
          <w:rFonts w:ascii="Arial" w:hAnsi="Arial" w:cs="Arial"/>
          <w:sz w:val="20"/>
          <w:szCs w:val="20"/>
        </w:rPr>
        <w:t>Nwafor</w:t>
      </w:r>
      <w:proofErr w:type="spellEnd"/>
      <w:r w:rsidRPr="001F4175">
        <w:rPr>
          <w:rFonts w:ascii="Arial" w:hAnsi="Arial" w:cs="Arial"/>
          <w:sz w:val="20"/>
          <w:szCs w:val="20"/>
        </w:rPr>
        <w:t xml:space="preserve"> et al. (2020). 5 g of the sample was weighed in dry crucibles, </w:t>
      </w:r>
      <w:proofErr w:type="spellStart"/>
      <w:r w:rsidRPr="001F4175">
        <w:rPr>
          <w:rFonts w:ascii="Arial" w:hAnsi="Arial" w:cs="Arial"/>
          <w:sz w:val="20"/>
          <w:szCs w:val="20"/>
        </w:rPr>
        <w:t>carbonised</w:t>
      </w:r>
      <w:proofErr w:type="spellEnd"/>
      <w:r w:rsidRPr="001F4175">
        <w:rPr>
          <w:rFonts w:ascii="Arial" w:hAnsi="Arial" w:cs="Arial"/>
          <w:sz w:val="20"/>
          <w:szCs w:val="20"/>
        </w:rPr>
        <w:t xml:space="preserve"> on a hot plate and heated on a muffle furnace at 600 0C for 8 h after which they were cooled in a desiccator and weighed. Ash content was determined by the difference in weight after cooling the samples in desiccators at ambient temperatures. Percentage Ash was calculated as described by equation 2: </w:t>
      </w:r>
    </w:p>
    <w:p w14:paraId="60FF6A77" w14:textId="3084725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Ash (%)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weight of ash</m:t>
            </m:r>
          </m:num>
          <m:den>
            <m:r>
              <w:rPr>
                <w:rFonts w:ascii="Cambria Math" w:hAnsi="Cambria Math" w:cs="Arial"/>
                <w:sz w:val="20"/>
                <w:szCs w:val="20"/>
              </w:rPr>
              <m:t>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2</w:t>
      </w:r>
      <w:r w:rsidR="001F4175">
        <w:rPr>
          <w:rFonts w:ascii="Arial" w:eastAsiaTheme="minorEastAsia" w:hAnsi="Arial" w:cs="Arial"/>
          <w:sz w:val="20"/>
          <w:szCs w:val="20"/>
        </w:rPr>
        <w:t>)</w:t>
      </w:r>
    </w:p>
    <w:p w14:paraId="56202D00" w14:textId="4D386667" w:rsidR="00FE7B4B" w:rsidRPr="001F4175" w:rsidRDefault="00F56D82" w:rsidP="001F4175">
      <w:pPr>
        <w:pStyle w:val="Heading1"/>
        <w:spacing w:line="240" w:lineRule="auto"/>
        <w:rPr>
          <w:rFonts w:ascii="Arial" w:hAnsi="Arial" w:cs="Arial"/>
          <w:b/>
          <w:bCs/>
          <w:color w:val="auto"/>
          <w:sz w:val="20"/>
          <w:szCs w:val="20"/>
        </w:rPr>
      </w:pPr>
      <w:bookmarkStart w:id="16" w:name="_Toc220922854"/>
      <w:r w:rsidRPr="001F4175">
        <w:rPr>
          <w:rFonts w:ascii="Arial" w:hAnsi="Arial" w:cs="Arial"/>
          <w:b/>
          <w:bCs/>
          <w:color w:val="auto"/>
          <w:sz w:val="20"/>
          <w:szCs w:val="20"/>
        </w:rPr>
        <w:t>2</w:t>
      </w:r>
      <w:r w:rsidR="00FE7B4B" w:rsidRPr="001F4175">
        <w:rPr>
          <w:rFonts w:ascii="Arial" w:hAnsi="Arial" w:cs="Arial"/>
          <w:b/>
          <w:bCs/>
          <w:color w:val="auto"/>
          <w:sz w:val="20"/>
          <w:szCs w:val="20"/>
        </w:rPr>
        <w:t>.3.3 Determination of crude fat</w:t>
      </w:r>
      <w:bookmarkEnd w:id="16"/>
    </w:p>
    <w:p w14:paraId="6BA450C8" w14:textId="4860F782" w:rsidR="002161CE"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Crude fat was determined by the Soxhlet extraction method as outlined by Nwafor et al. (2020). 5 g of dried samples were weighed into a preconditioned extraction thimble (W0) and placed in the Soxhlet extraction apparatus. The fat content of the samples was extracted using petroleum ether and boiled under reflux for 6 h. The extraction thimbles were then removed and dried in an oven at 105 0C for 30 min, then cooled and weighed (W1). The percentage of fat content was calculated as described in equation 3:</w:t>
      </w:r>
    </w:p>
    <w:p w14:paraId="4A05F9BA" w14:textId="586667AE"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The fat content was calculated as</w:t>
      </w:r>
    </w:p>
    <w:p w14:paraId="624A2BB6" w14:textId="4972B0A0"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Fat (%)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weight of fat</m:t>
            </m:r>
          </m:num>
          <m:den>
            <m:r>
              <w:rPr>
                <w:rFonts w:ascii="Cambria Math" w:hAnsi="Cambria Math" w:cs="Arial"/>
                <w:sz w:val="20"/>
                <w:szCs w:val="20"/>
              </w:rPr>
              <m:t>original 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 xml:space="preserve"> </w:t>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proofErr w:type="gramStart"/>
      <w:r w:rsidRPr="001F4175">
        <w:rPr>
          <w:rFonts w:ascii="Arial" w:eastAsiaTheme="minorEastAsia" w:hAnsi="Arial" w:cs="Arial"/>
          <w:sz w:val="20"/>
          <w:szCs w:val="20"/>
        </w:rPr>
        <w:t xml:space="preserve">3 </w:t>
      </w:r>
      <w:r w:rsidR="001F4175">
        <w:rPr>
          <w:rFonts w:ascii="Arial" w:eastAsiaTheme="minorEastAsia" w:hAnsi="Arial" w:cs="Arial"/>
          <w:sz w:val="20"/>
          <w:szCs w:val="20"/>
        </w:rPr>
        <w:t>)</w:t>
      </w:r>
      <w:proofErr w:type="gramEnd"/>
    </w:p>
    <w:p w14:paraId="527BC879" w14:textId="060E4D8C" w:rsidR="00FE7B4B" w:rsidRPr="001F4175" w:rsidRDefault="00F56D82" w:rsidP="001F4175">
      <w:pPr>
        <w:pStyle w:val="Heading1"/>
        <w:spacing w:line="240" w:lineRule="auto"/>
        <w:rPr>
          <w:rFonts w:ascii="Arial" w:hAnsi="Arial" w:cs="Arial"/>
          <w:b/>
          <w:bCs/>
          <w:color w:val="auto"/>
          <w:sz w:val="20"/>
          <w:szCs w:val="20"/>
        </w:rPr>
      </w:pPr>
      <w:bookmarkStart w:id="17" w:name="_Toc220922855"/>
      <w:r w:rsidRPr="001F4175">
        <w:rPr>
          <w:rFonts w:ascii="Arial" w:hAnsi="Arial" w:cs="Arial"/>
          <w:b/>
          <w:bCs/>
          <w:color w:val="auto"/>
          <w:sz w:val="20"/>
          <w:szCs w:val="20"/>
        </w:rPr>
        <w:t>2</w:t>
      </w:r>
      <w:r w:rsidR="00FE7B4B" w:rsidRPr="001F4175">
        <w:rPr>
          <w:rFonts w:ascii="Arial" w:hAnsi="Arial" w:cs="Arial"/>
          <w:b/>
          <w:bCs/>
          <w:color w:val="auto"/>
          <w:sz w:val="20"/>
          <w:szCs w:val="20"/>
        </w:rPr>
        <w:t>.3.4 Determination of crude protein</w:t>
      </w:r>
      <w:bookmarkEnd w:id="17"/>
    </w:p>
    <w:p w14:paraId="71C69E40"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Protein content was determined using the method described by Yusufu and Ejeh (2018). Nitrogen content was determined using the micro-Kjeldahl procedure. 0.5 g of the sample was weighed, heated and digested using conc. </w:t>
      </w:r>
      <w:proofErr w:type="spellStart"/>
      <w:r w:rsidRPr="001F4175">
        <w:rPr>
          <w:rFonts w:ascii="Arial" w:hAnsi="Arial" w:cs="Arial"/>
          <w:sz w:val="20"/>
          <w:szCs w:val="20"/>
        </w:rPr>
        <w:t>Sulphuric</w:t>
      </w:r>
      <w:proofErr w:type="spellEnd"/>
      <w:r w:rsidRPr="001F4175">
        <w:rPr>
          <w:rFonts w:ascii="Arial" w:hAnsi="Arial" w:cs="Arial"/>
          <w:sz w:val="20"/>
          <w:szCs w:val="20"/>
        </w:rPr>
        <w:t xml:space="preserve"> acid with the aid of a catalyst mixture. The digest was </w:t>
      </w:r>
      <w:proofErr w:type="spellStart"/>
      <w:r w:rsidRPr="001F4175">
        <w:rPr>
          <w:rFonts w:ascii="Arial" w:hAnsi="Arial" w:cs="Arial"/>
          <w:sz w:val="20"/>
          <w:szCs w:val="20"/>
        </w:rPr>
        <w:t>neutralised</w:t>
      </w:r>
      <w:proofErr w:type="spellEnd"/>
      <w:r w:rsidRPr="001F4175">
        <w:rPr>
          <w:rFonts w:ascii="Arial" w:hAnsi="Arial" w:cs="Arial"/>
          <w:sz w:val="20"/>
          <w:szCs w:val="20"/>
        </w:rPr>
        <w:t xml:space="preserve"> with alkali and distilled into a boric acid solution. The borate anions formed are titrated with </w:t>
      </w:r>
      <w:proofErr w:type="spellStart"/>
      <w:r w:rsidRPr="001F4175">
        <w:rPr>
          <w:rFonts w:ascii="Arial" w:hAnsi="Arial" w:cs="Arial"/>
          <w:sz w:val="20"/>
          <w:szCs w:val="20"/>
        </w:rPr>
        <w:t>standardised</w:t>
      </w:r>
      <w:proofErr w:type="spellEnd"/>
      <w:r w:rsidRPr="001F4175">
        <w:rPr>
          <w:rFonts w:ascii="Arial" w:hAnsi="Arial" w:cs="Arial"/>
          <w:sz w:val="20"/>
          <w:szCs w:val="20"/>
        </w:rPr>
        <w:t xml:space="preserve"> acid, which is converted to nitrogen in the sample. The protein content was calculated using the formula. The percentage Nitrogen was calculated as shown in equation 4. </w:t>
      </w:r>
    </w:p>
    <w:p w14:paraId="6BB1E459" w14:textId="18CF7965"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 Nitrogen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titre X0.0014X dilution factor</m:t>
            </m:r>
          </m:num>
          <m:den>
            <m:r>
              <w:rPr>
                <w:rFonts w:ascii="Cambria Math" w:hAnsi="Cambria Math" w:cs="Arial"/>
                <w:sz w:val="20"/>
                <w:szCs w:val="20"/>
              </w:rPr>
              <m:t>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4</w:t>
      </w:r>
      <w:r w:rsidR="001F4175">
        <w:rPr>
          <w:rFonts w:ascii="Arial" w:eastAsiaTheme="minorEastAsia" w:hAnsi="Arial" w:cs="Arial"/>
          <w:sz w:val="20"/>
          <w:szCs w:val="20"/>
        </w:rPr>
        <w:t>)</w:t>
      </w:r>
      <w:r w:rsidR="001F4175">
        <w:rPr>
          <w:rFonts w:ascii="Arial" w:eastAsiaTheme="minorEastAsia" w:hAnsi="Arial" w:cs="Arial"/>
          <w:sz w:val="20"/>
          <w:szCs w:val="20"/>
        </w:rPr>
        <w:tab/>
      </w:r>
    </w:p>
    <w:p w14:paraId="22922824" w14:textId="633CC1B5"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Protein = % Nitrogen X Factor (6.25)</w:t>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Pr="001F4175">
        <w:rPr>
          <w:rFonts w:ascii="Arial" w:hAnsi="Arial" w:cs="Arial"/>
          <w:sz w:val="20"/>
          <w:szCs w:val="20"/>
        </w:rPr>
        <w:tab/>
      </w:r>
      <w:r w:rsidR="001F4175">
        <w:rPr>
          <w:rFonts w:ascii="Arial" w:hAnsi="Arial" w:cs="Arial"/>
          <w:sz w:val="20"/>
          <w:szCs w:val="20"/>
        </w:rPr>
        <w:tab/>
      </w:r>
      <w:r w:rsidR="001F4175">
        <w:rPr>
          <w:rFonts w:ascii="Arial" w:hAnsi="Arial" w:cs="Arial"/>
          <w:sz w:val="20"/>
          <w:szCs w:val="20"/>
        </w:rPr>
        <w:tab/>
        <w:t>(</w:t>
      </w:r>
      <w:r w:rsidRPr="001F4175">
        <w:rPr>
          <w:rFonts w:ascii="Arial" w:hAnsi="Arial" w:cs="Arial"/>
          <w:sz w:val="20"/>
          <w:szCs w:val="20"/>
        </w:rPr>
        <w:t>5</w:t>
      </w:r>
      <w:r w:rsidR="001F4175">
        <w:rPr>
          <w:rFonts w:ascii="Arial" w:hAnsi="Arial" w:cs="Arial"/>
          <w:sz w:val="20"/>
          <w:szCs w:val="20"/>
        </w:rPr>
        <w:t>)</w:t>
      </w:r>
    </w:p>
    <w:p w14:paraId="046BBAD0" w14:textId="77777777" w:rsidR="00FE7B4B" w:rsidRPr="001F4175" w:rsidRDefault="00FE7B4B" w:rsidP="001F4175">
      <w:pPr>
        <w:pStyle w:val="Heading1"/>
        <w:spacing w:line="240" w:lineRule="auto"/>
        <w:rPr>
          <w:rFonts w:ascii="Arial" w:hAnsi="Arial" w:cs="Arial"/>
          <w:b/>
          <w:bCs/>
          <w:color w:val="auto"/>
          <w:sz w:val="20"/>
          <w:szCs w:val="20"/>
        </w:rPr>
      </w:pPr>
      <w:bookmarkStart w:id="18" w:name="_Toc220922856"/>
      <w:r w:rsidRPr="001F4175">
        <w:rPr>
          <w:rFonts w:ascii="Arial" w:hAnsi="Arial" w:cs="Arial"/>
          <w:b/>
          <w:bCs/>
          <w:color w:val="auto"/>
          <w:sz w:val="20"/>
          <w:szCs w:val="20"/>
        </w:rPr>
        <w:t>3.3.5 Determination crude fiber content</w:t>
      </w:r>
      <w:bookmarkEnd w:id="18"/>
      <w:r w:rsidRPr="001F4175">
        <w:rPr>
          <w:rFonts w:ascii="Arial" w:hAnsi="Arial" w:cs="Arial"/>
          <w:b/>
          <w:bCs/>
          <w:color w:val="auto"/>
          <w:sz w:val="20"/>
          <w:szCs w:val="20"/>
        </w:rPr>
        <w:t xml:space="preserve"> </w:t>
      </w:r>
    </w:p>
    <w:p w14:paraId="33EA7BAE"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Crude </w:t>
      </w:r>
      <w:proofErr w:type="spellStart"/>
      <w:r w:rsidRPr="001F4175">
        <w:rPr>
          <w:rFonts w:ascii="Arial" w:hAnsi="Arial" w:cs="Arial"/>
          <w:sz w:val="20"/>
          <w:szCs w:val="20"/>
        </w:rPr>
        <w:t>fibre</w:t>
      </w:r>
      <w:proofErr w:type="spellEnd"/>
      <w:r w:rsidRPr="001F4175">
        <w:rPr>
          <w:rFonts w:ascii="Arial" w:hAnsi="Arial" w:cs="Arial"/>
          <w:sz w:val="20"/>
          <w:szCs w:val="20"/>
        </w:rPr>
        <w:t xml:space="preserve"> was determined using a method described by Nwafor et al. (2020). Exactly 2 g of samples were digested in a conical flask with 100 mL of Trichloroacetic acid (TCA). This solution was boiled and refluxed for 40 min. After digestion, the flask was removed from the heater, cooled and the solution filtered with (Whatman number 1) filter paper. 1 g of the residues was washed with distilled water several times and once with methylated spirit. The residue was transferred to a porcelain (Evaporating dish) dish and heated for 24 h at 500 0C. The porcelain dishes were later taken to the desiccator to cool and their weight taken. The digested residue after drying was </w:t>
      </w:r>
      <w:proofErr w:type="spellStart"/>
      <w:r w:rsidRPr="001F4175">
        <w:rPr>
          <w:rFonts w:ascii="Arial" w:hAnsi="Arial" w:cs="Arial"/>
          <w:sz w:val="20"/>
          <w:szCs w:val="20"/>
        </w:rPr>
        <w:t>ashed</w:t>
      </w:r>
      <w:proofErr w:type="spellEnd"/>
      <w:r w:rsidRPr="001F4175">
        <w:rPr>
          <w:rFonts w:ascii="Arial" w:hAnsi="Arial" w:cs="Arial"/>
          <w:sz w:val="20"/>
          <w:szCs w:val="20"/>
        </w:rPr>
        <w:t xml:space="preserve"> at 600 0C for 6 h, cooled and its weight recorded. The crude </w:t>
      </w:r>
      <w:proofErr w:type="spellStart"/>
      <w:r w:rsidRPr="001F4175">
        <w:rPr>
          <w:rFonts w:ascii="Arial" w:hAnsi="Arial" w:cs="Arial"/>
          <w:sz w:val="20"/>
          <w:szCs w:val="20"/>
        </w:rPr>
        <w:t>fibre</w:t>
      </w:r>
      <w:proofErr w:type="spellEnd"/>
      <w:r w:rsidRPr="001F4175">
        <w:rPr>
          <w:rFonts w:ascii="Arial" w:hAnsi="Arial" w:cs="Arial"/>
          <w:sz w:val="20"/>
          <w:szCs w:val="20"/>
        </w:rPr>
        <w:t xml:space="preserve"> was calculated using equation 6:</w:t>
      </w:r>
    </w:p>
    <w:p w14:paraId="45978BF1" w14:textId="31371298" w:rsidR="00FE7B4B" w:rsidRPr="001F4175" w:rsidRDefault="00FE7B4B" w:rsidP="001F4175">
      <w:pPr>
        <w:spacing w:line="240" w:lineRule="auto"/>
        <w:jc w:val="both"/>
        <w:rPr>
          <w:rFonts w:ascii="Arial" w:hAnsi="Arial" w:cs="Arial"/>
          <w:sz w:val="20"/>
          <w:szCs w:val="20"/>
        </w:rPr>
      </w:pPr>
      <w:proofErr w:type="spellStart"/>
      <w:r w:rsidRPr="001F4175">
        <w:rPr>
          <w:rFonts w:ascii="Arial" w:hAnsi="Arial" w:cs="Arial"/>
          <w:sz w:val="20"/>
          <w:szCs w:val="20"/>
        </w:rPr>
        <w:t>Fibre</w:t>
      </w:r>
      <w:proofErr w:type="spellEnd"/>
      <w:r w:rsidRPr="001F4175">
        <w:rPr>
          <w:rFonts w:ascii="Arial" w:hAnsi="Arial" w:cs="Arial"/>
          <w:sz w:val="20"/>
          <w:szCs w:val="20"/>
        </w:rPr>
        <w:t xml:space="preserve"> (%) </w:t>
      </w: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final weigt of crucible-initial weight of crucile</m:t>
            </m:r>
          </m:num>
          <m:den>
            <m:r>
              <w:rPr>
                <w:rFonts w:ascii="Cambria Math" w:hAnsi="Cambria Math" w:cs="Arial"/>
                <w:sz w:val="20"/>
                <w:szCs w:val="20"/>
              </w:rPr>
              <m:t>original weight of sample</m:t>
            </m:r>
          </m:den>
        </m:f>
        <m:r>
          <w:rPr>
            <w:rFonts w:ascii="Cambria Math" w:hAnsi="Cambria Math" w:cs="Arial"/>
            <w:sz w:val="20"/>
            <w:szCs w:val="20"/>
          </w:rPr>
          <m:t>X</m:t>
        </m:r>
        <m:f>
          <m:fPr>
            <m:ctrlPr>
              <w:rPr>
                <w:rFonts w:ascii="Cambria Math" w:hAnsi="Cambria Math" w:cs="Arial"/>
                <w:sz w:val="20"/>
                <w:szCs w:val="20"/>
              </w:rPr>
            </m:ctrlPr>
          </m:fPr>
          <m:num>
            <m:r>
              <w:rPr>
                <w:rFonts w:ascii="Cambria Math" w:hAnsi="Cambria Math" w:cs="Arial"/>
                <w:sz w:val="20"/>
                <w:szCs w:val="20"/>
              </w:rPr>
              <m:t>100</m:t>
            </m:r>
          </m:num>
          <m:den>
            <m:r>
              <w:rPr>
                <w:rFonts w:ascii="Cambria Math" w:hAnsi="Cambria Math" w:cs="Arial"/>
                <w:sz w:val="20"/>
                <w:szCs w:val="20"/>
              </w:rPr>
              <m:t>1</m:t>
            </m:r>
          </m:den>
        </m:f>
      </m:oMath>
      <w:r w:rsidRPr="001F4175">
        <w:rPr>
          <w:rFonts w:ascii="Arial" w:eastAsiaTheme="minorEastAsia" w:hAnsi="Arial" w:cs="Arial"/>
          <w:sz w:val="20"/>
          <w:szCs w:val="20"/>
        </w:rPr>
        <w:t xml:space="preserve"> </w:t>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Pr="001F4175">
        <w:rPr>
          <w:rFonts w:ascii="Arial" w:eastAsiaTheme="minorEastAsia" w:hAnsi="Arial" w:cs="Arial"/>
          <w:sz w:val="20"/>
          <w:szCs w:val="20"/>
        </w:rPr>
        <w:tab/>
      </w:r>
      <w:r w:rsidR="001F4175">
        <w:rPr>
          <w:rFonts w:ascii="Arial" w:eastAsiaTheme="minorEastAsia" w:hAnsi="Arial" w:cs="Arial"/>
          <w:sz w:val="20"/>
          <w:szCs w:val="20"/>
        </w:rPr>
        <w:tab/>
      </w:r>
      <w:r w:rsidR="001F4175">
        <w:rPr>
          <w:rFonts w:ascii="Arial" w:eastAsiaTheme="minorEastAsia" w:hAnsi="Arial" w:cs="Arial"/>
          <w:sz w:val="20"/>
          <w:szCs w:val="20"/>
        </w:rPr>
        <w:tab/>
        <w:t>(</w:t>
      </w:r>
      <w:r w:rsidRPr="001F4175">
        <w:rPr>
          <w:rFonts w:ascii="Arial" w:eastAsiaTheme="minorEastAsia" w:hAnsi="Arial" w:cs="Arial"/>
          <w:sz w:val="20"/>
          <w:szCs w:val="20"/>
        </w:rPr>
        <w:t>6</w:t>
      </w:r>
      <w:r w:rsidR="001F4175">
        <w:rPr>
          <w:rFonts w:ascii="Arial" w:eastAsiaTheme="minorEastAsia" w:hAnsi="Arial" w:cs="Arial"/>
          <w:sz w:val="20"/>
          <w:szCs w:val="20"/>
        </w:rPr>
        <w:t>)</w:t>
      </w:r>
    </w:p>
    <w:p w14:paraId="61E06C33" w14:textId="3B9904C2" w:rsidR="00FE7B4B" w:rsidRPr="001F4175" w:rsidRDefault="00F56D82" w:rsidP="001F4175">
      <w:pPr>
        <w:pStyle w:val="Heading1"/>
        <w:spacing w:line="240" w:lineRule="auto"/>
        <w:rPr>
          <w:rFonts w:ascii="Arial" w:hAnsi="Arial" w:cs="Arial"/>
          <w:b/>
          <w:bCs/>
          <w:color w:val="auto"/>
          <w:sz w:val="20"/>
          <w:szCs w:val="20"/>
        </w:rPr>
      </w:pPr>
      <w:bookmarkStart w:id="19" w:name="_Toc220922857"/>
      <w:r w:rsidRPr="001F4175">
        <w:rPr>
          <w:rFonts w:ascii="Arial" w:hAnsi="Arial" w:cs="Arial"/>
          <w:b/>
          <w:bCs/>
          <w:color w:val="auto"/>
          <w:sz w:val="20"/>
          <w:szCs w:val="20"/>
        </w:rPr>
        <w:lastRenderedPageBreak/>
        <w:t>2</w:t>
      </w:r>
      <w:r w:rsidR="00FE7B4B" w:rsidRPr="001F4175">
        <w:rPr>
          <w:rFonts w:ascii="Arial" w:hAnsi="Arial" w:cs="Arial"/>
          <w:b/>
          <w:bCs/>
          <w:color w:val="auto"/>
          <w:sz w:val="20"/>
          <w:szCs w:val="20"/>
        </w:rPr>
        <w:t>.3.6 Determination of carbohydrate (%)</w:t>
      </w:r>
      <w:bookmarkEnd w:id="19"/>
    </w:p>
    <w:p w14:paraId="79A3BD96"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The total carbohydrate content was estimated by difference as previously reported by Nwafor et al. (2020) using equation 7: </w:t>
      </w:r>
    </w:p>
    <w:p w14:paraId="19AD1443" w14:textId="1BC08DDE"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Total Carbohydrate (%) =100 – (% moisture + % Ash + % Fat + % protein + </w:t>
      </w:r>
      <w:proofErr w:type="spellStart"/>
      <w:r w:rsidRPr="001F4175">
        <w:rPr>
          <w:rFonts w:ascii="Arial" w:hAnsi="Arial" w:cs="Arial"/>
          <w:sz w:val="20"/>
          <w:szCs w:val="20"/>
        </w:rPr>
        <w:t>fibre</w:t>
      </w:r>
      <w:proofErr w:type="spellEnd"/>
      <w:r w:rsidRPr="001F4175">
        <w:rPr>
          <w:rFonts w:ascii="Arial" w:hAnsi="Arial" w:cs="Arial"/>
          <w:sz w:val="20"/>
          <w:szCs w:val="20"/>
        </w:rPr>
        <w:t>).</w:t>
      </w:r>
      <w:r w:rsidRPr="001F4175">
        <w:rPr>
          <w:rFonts w:ascii="Arial" w:hAnsi="Arial" w:cs="Arial"/>
          <w:sz w:val="20"/>
          <w:szCs w:val="20"/>
        </w:rPr>
        <w:tab/>
      </w:r>
      <w:r w:rsidR="001F4175">
        <w:rPr>
          <w:rFonts w:ascii="Arial" w:hAnsi="Arial" w:cs="Arial"/>
          <w:sz w:val="20"/>
          <w:szCs w:val="20"/>
        </w:rPr>
        <w:tab/>
        <w:t>(</w:t>
      </w:r>
      <w:r w:rsidRPr="001F4175">
        <w:rPr>
          <w:rFonts w:ascii="Arial" w:hAnsi="Arial" w:cs="Arial"/>
          <w:sz w:val="20"/>
          <w:szCs w:val="20"/>
        </w:rPr>
        <w:t>7</w:t>
      </w:r>
      <w:r w:rsidR="001F4175">
        <w:rPr>
          <w:rFonts w:ascii="Arial" w:hAnsi="Arial" w:cs="Arial"/>
          <w:sz w:val="20"/>
          <w:szCs w:val="20"/>
        </w:rPr>
        <w:t>)</w:t>
      </w:r>
    </w:p>
    <w:p w14:paraId="1FEF100E" w14:textId="55072915" w:rsidR="00FE7B4B" w:rsidRPr="001F4175" w:rsidRDefault="00F56D82" w:rsidP="00FE7B4B">
      <w:pPr>
        <w:pStyle w:val="Heading1"/>
        <w:rPr>
          <w:rFonts w:ascii="Arial" w:hAnsi="Arial" w:cs="Arial"/>
          <w:b/>
          <w:bCs/>
          <w:color w:val="auto"/>
          <w:sz w:val="22"/>
          <w:szCs w:val="22"/>
        </w:rPr>
      </w:pPr>
      <w:bookmarkStart w:id="20" w:name="_Toc220922858"/>
      <w:r w:rsidRPr="001F4175">
        <w:rPr>
          <w:rFonts w:ascii="Arial" w:hAnsi="Arial" w:cs="Arial"/>
          <w:b/>
          <w:bCs/>
          <w:color w:val="auto"/>
          <w:sz w:val="22"/>
          <w:szCs w:val="22"/>
        </w:rPr>
        <w:t>2</w:t>
      </w:r>
      <w:r w:rsidR="00FE7B4B" w:rsidRPr="001F4175">
        <w:rPr>
          <w:rFonts w:ascii="Arial" w:hAnsi="Arial" w:cs="Arial"/>
          <w:b/>
          <w:bCs/>
          <w:color w:val="auto"/>
          <w:sz w:val="22"/>
          <w:szCs w:val="22"/>
        </w:rPr>
        <w:t>.4 Determination of Minerals Composition of Spaghetti Produced</w:t>
      </w:r>
      <w:bookmarkEnd w:id="20"/>
    </w:p>
    <w:p w14:paraId="3147A807"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The spaghetti sample was dried in an oven at 105°C for 24 hours at constant weight. The collected sample was ground using a porcelain mortar and pestle. It was then labeled, placed in dry plastic containers, and stored in desiccators until digestion. A 3 g portion of the ground sample was carefully weighed with a digital chemical balance, then mixed with 20 mL HNO</w:t>
      </w:r>
      <w:r w:rsidRPr="001F4175">
        <w:rPr>
          <w:rFonts w:ascii="Arial" w:hAnsi="Arial" w:cs="Arial"/>
          <w:sz w:val="20"/>
          <w:szCs w:val="20"/>
          <w:vertAlign w:val="subscript"/>
        </w:rPr>
        <w:t>3</w:t>
      </w:r>
      <w:r w:rsidRPr="001F4175">
        <w:rPr>
          <w:rFonts w:ascii="Arial" w:hAnsi="Arial" w:cs="Arial"/>
          <w:sz w:val="20"/>
          <w:szCs w:val="20"/>
        </w:rPr>
        <w:t>, 4 mL HClO</w:t>
      </w:r>
      <w:r w:rsidRPr="001F4175">
        <w:rPr>
          <w:rFonts w:ascii="Arial" w:hAnsi="Arial" w:cs="Arial"/>
          <w:sz w:val="20"/>
          <w:szCs w:val="20"/>
          <w:vertAlign w:val="subscript"/>
        </w:rPr>
        <w:t>4</w:t>
      </w:r>
      <w:r w:rsidRPr="001F4175">
        <w:rPr>
          <w:rFonts w:ascii="Arial" w:hAnsi="Arial" w:cs="Arial"/>
          <w:sz w:val="20"/>
          <w:szCs w:val="20"/>
        </w:rPr>
        <w:t>, and 2 mL H</w:t>
      </w:r>
      <w:r w:rsidRPr="001F4175">
        <w:rPr>
          <w:rFonts w:ascii="Arial" w:hAnsi="Arial" w:cs="Arial"/>
          <w:sz w:val="20"/>
          <w:szCs w:val="20"/>
          <w:vertAlign w:val="subscript"/>
        </w:rPr>
        <w:t>2</w:t>
      </w:r>
      <w:r w:rsidRPr="001F4175">
        <w:rPr>
          <w:rFonts w:ascii="Arial" w:hAnsi="Arial" w:cs="Arial"/>
          <w:sz w:val="20"/>
          <w:szCs w:val="20"/>
        </w:rPr>
        <w:t>SO</w:t>
      </w:r>
      <w:r w:rsidRPr="001F4175">
        <w:rPr>
          <w:rFonts w:ascii="Arial" w:hAnsi="Arial" w:cs="Arial"/>
          <w:sz w:val="20"/>
          <w:szCs w:val="20"/>
          <w:vertAlign w:val="subscript"/>
        </w:rPr>
        <w:t>4</w:t>
      </w:r>
      <w:r w:rsidRPr="001F4175">
        <w:rPr>
          <w:rFonts w:ascii="Arial" w:hAnsi="Arial" w:cs="Arial"/>
          <w:sz w:val="20"/>
          <w:szCs w:val="20"/>
        </w:rPr>
        <w:t>. The mixture was heated on a hot plate for one hour until digestion was complete. The digest was stored in pre-cleaned polyethylene bottles for analysis using an Atomic Absorption Spectrophotometer.</w:t>
      </w:r>
    </w:p>
    <w:p w14:paraId="4D023590" w14:textId="77777777" w:rsidR="001F4175" w:rsidRDefault="00F56D82" w:rsidP="00FE7B4B">
      <w:pPr>
        <w:pStyle w:val="Heading1"/>
        <w:rPr>
          <w:rFonts w:ascii="Arial" w:hAnsi="Arial" w:cs="Arial"/>
          <w:b/>
          <w:color w:val="auto"/>
          <w:sz w:val="22"/>
          <w:szCs w:val="22"/>
        </w:rPr>
      </w:pPr>
      <w:bookmarkStart w:id="21" w:name="_Toc220922859"/>
      <w:r w:rsidRPr="001F4175">
        <w:rPr>
          <w:rFonts w:ascii="Arial" w:hAnsi="Arial" w:cs="Arial"/>
          <w:b/>
          <w:color w:val="auto"/>
          <w:sz w:val="22"/>
          <w:szCs w:val="22"/>
        </w:rPr>
        <w:t>2</w:t>
      </w:r>
      <w:r w:rsidR="00FE7B4B" w:rsidRPr="001F4175">
        <w:rPr>
          <w:rFonts w:ascii="Arial" w:hAnsi="Arial" w:cs="Arial"/>
          <w:b/>
          <w:color w:val="auto"/>
          <w:sz w:val="22"/>
          <w:szCs w:val="22"/>
        </w:rPr>
        <w:t xml:space="preserve">.5 Determination of Vitamins </w:t>
      </w:r>
      <w:r w:rsidR="005A34AE" w:rsidRPr="001F4175">
        <w:rPr>
          <w:rFonts w:ascii="Arial" w:hAnsi="Arial" w:cs="Arial"/>
          <w:b/>
          <w:color w:val="auto"/>
          <w:sz w:val="22"/>
          <w:szCs w:val="22"/>
        </w:rPr>
        <w:t>Composition of Spaghetti</w:t>
      </w:r>
      <w:r w:rsidR="00FE7B4B" w:rsidRPr="001F4175">
        <w:rPr>
          <w:rFonts w:ascii="Arial" w:hAnsi="Arial" w:cs="Arial"/>
          <w:b/>
          <w:color w:val="auto"/>
          <w:sz w:val="22"/>
          <w:szCs w:val="22"/>
        </w:rPr>
        <w:t xml:space="preserve"> Produced</w:t>
      </w:r>
      <w:bookmarkStart w:id="22" w:name="_Toc220922860"/>
      <w:bookmarkEnd w:id="21"/>
    </w:p>
    <w:p w14:paraId="6D2A1335" w14:textId="3458C820" w:rsidR="00FE7B4B" w:rsidRPr="001F4175" w:rsidRDefault="00F56D82" w:rsidP="001F4175">
      <w:pPr>
        <w:pStyle w:val="Heading1"/>
        <w:spacing w:line="240" w:lineRule="auto"/>
        <w:rPr>
          <w:rFonts w:ascii="Arial" w:hAnsi="Arial" w:cs="Arial"/>
          <w:b/>
          <w:color w:val="auto"/>
          <w:sz w:val="20"/>
          <w:szCs w:val="20"/>
        </w:rPr>
      </w:pPr>
      <w:r w:rsidRPr="005A34AE">
        <w:rPr>
          <w:rFonts w:ascii="Times New Roman" w:hAnsi="Times New Roman" w:cs="Times New Roman"/>
          <w:b/>
          <w:bCs/>
          <w:color w:val="auto"/>
          <w:sz w:val="24"/>
          <w:szCs w:val="24"/>
        </w:rPr>
        <w:t>2</w:t>
      </w:r>
      <w:r w:rsidR="00FE7B4B" w:rsidRPr="001F4175">
        <w:rPr>
          <w:rFonts w:ascii="Arial" w:hAnsi="Arial" w:cs="Arial"/>
          <w:b/>
          <w:bCs/>
          <w:color w:val="auto"/>
          <w:sz w:val="20"/>
          <w:szCs w:val="20"/>
        </w:rPr>
        <w:t>.5.1 Determination of ascorbic acid (Vitamin C)</w:t>
      </w:r>
      <w:bookmarkEnd w:id="22"/>
      <w:r w:rsidR="00FE7B4B" w:rsidRPr="001F4175">
        <w:rPr>
          <w:rFonts w:ascii="Arial" w:hAnsi="Arial" w:cs="Arial"/>
          <w:b/>
          <w:bCs/>
          <w:color w:val="auto"/>
          <w:sz w:val="20"/>
          <w:szCs w:val="20"/>
        </w:rPr>
        <w:t xml:space="preserve"> </w:t>
      </w:r>
    </w:p>
    <w:p w14:paraId="022FB971"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Vitamin C content was determined according to AOAC 2005. Five grams of the sample were weighed into an extraction tube, and 100 mL of EDTA/TCA (2:1) extracting solution was added. The mixture was shaken for 30 minutes. It was then transferred into a centrifuge tube and centrifuged at 3000 rpm for 20 minutes. The supernatant was transferred into a 100 mL volumetric flask and made up to the mark with the extracting solution. Then, 20 mL of the extract was pipetted into a separate volumetric flask, and 1% starch indicator was added. The solution was titrated with 20 % CuSO</w:t>
      </w:r>
      <w:r w:rsidRPr="001F4175">
        <w:rPr>
          <w:rFonts w:ascii="Arial" w:hAnsi="Arial" w:cs="Arial"/>
          <w:sz w:val="20"/>
          <w:szCs w:val="20"/>
          <w:vertAlign w:val="subscript"/>
        </w:rPr>
        <w:t>4</w:t>
      </w:r>
      <w:r w:rsidRPr="001F4175">
        <w:rPr>
          <w:rFonts w:ascii="Arial" w:hAnsi="Arial" w:cs="Arial"/>
          <w:sz w:val="20"/>
          <w:szCs w:val="20"/>
        </w:rPr>
        <w:t xml:space="preserve"> solution until a dark end point was reached. </w:t>
      </w:r>
    </w:p>
    <w:p w14:paraId="7BE9C7CA" w14:textId="4C99783C" w:rsidR="00FE7B4B" w:rsidRPr="001F4175" w:rsidRDefault="00D64787" w:rsidP="001F4175">
      <w:pPr>
        <w:pStyle w:val="Heading1"/>
        <w:spacing w:line="240" w:lineRule="auto"/>
        <w:rPr>
          <w:rFonts w:ascii="Arial" w:hAnsi="Arial" w:cs="Arial"/>
          <w:b/>
          <w:bCs/>
          <w:color w:val="auto"/>
          <w:sz w:val="20"/>
          <w:szCs w:val="20"/>
        </w:rPr>
      </w:pPr>
      <w:bookmarkStart w:id="23" w:name="_Toc220922861"/>
      <w:r w:rsidRPr="001F4175">
        <w:rPr>
          <w:rFonts w:ascii="Arial" w:hAnsi="Arial" w:cs="Arial"/>
          <w:b/>
          <w:bCs/>
          <w:color w:val="auto"/>
          <w:sz w:val="20"/>
          <w:szCs w:val="20"/>
        </w:rPr>
        <w:t>2</w:t>
      </w:r>
      <w:r w:rsidR="00FE7B4B" w:rsidRPr="001F4175">
        <w:rPr>
          <w:rFonts w:ascii="Arial" w:hAnsi="Arial" w:cs="Arial"/>
          <w:b/>
          <w:bCs/>
          <w:color w:val="auto"/>
          <w:sz w:val="20"/>
          <w:szCs w:val="20"/>
        </w:rPr>
        <w:t>.5.2 Determination of vitamin A</w:t>
      </w:r>
      <w:bookmarkEnd w:id="23"/>
      <w:r w:rsidR="00FE7B4B" w:rsidRPr="001F4175">
        <w:rPr>
          <w:rFonts w:ascii="Arial" w:hAnsi="Arial" w:cs="Arial"/>
          <w:b/>
          <w:bCs/>
          <w:color w:val="auto"/>
          <w:sz w:val="20"/>
          <w:szCs w:val="20"/>
        </w:rPr>
        <w:t xml:space="preserve"> </w:t>
      </w:r>
    </w:p>
    <w:p w14:paraId="52A282E0"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Vitamin A was determined according to the method of AOAC 2005. One gram (1g) of the sample was weighed and macerated with 20 mL of petroleum ether. It was evaporated to dryness and 0.2 mL of chloroform acetic anhydride was added and 2 mL of TCA chloroform was added and the absorbance measured at 620 nm. Then concentration of vitamin A will be extrapolated from the standard curve. </w:t>
      </w:r>
    </w:p>
    <w:p w14:paraId="3F83AAE9" w14:textId="28C26126" w:rsidR="00FE7B4B" w:rsidRPr="001F4175" w:rsidRDefault="00D64787" w:rsidP="001F4175">
      <w:pPr>
        <w:pStyle w:val="Heading1"/>
        <w:spacing w:line="240" w:lineRule="auto"/>
        <w:rPr>
          <w:rFonts w:ascii="Arial" w:hAnsi="Arial" w:cs="Arial"/>
          <w:b/>
          <w:bCs/>
          <w:color w:val="auto"/>
          <w:sz w:val="20"/>
          <w:szCs w:val="20"/>
        </w:rPr>
      </w:pPr>
      <w:bookmarkStart w:id="24" w:name="_Toc220922862"/>
      <w:r w:rsidRPr="001F4175">
        <w:rPr>
          <w:rFonts w:ascii="Arial" w:hAnsi="Arial" w:cs="Arial"/>
          <w:b/>
          <w:bCs/>
          <w:color w:val="auto"/>
          <w:sz w:val="20"/>
          <w:szCs w:val="20"/>
        </w:rPr>
        <w:t>2</w:t>
      </w:r>
      <w:r w:rsidR="00FE7B4B" w:rsidRPr="001F4175">
        <w:rPr>
          <w:rFonts w:ascii="Arial" w:hAnsi="Arial" w:cs="Arial"/>
          <w:b/>
          <w:bCs/>
          <w:color w:val="auto"/>
          <w:sz w:val="20"/>
          <w:szCs w:val="20"/>
        </w:rPr>
        <w:t>.5.3 Determination of vitamin E</w:t>
      </w:r>
      <w:bookmarkEnd w:id="24"/>
      <w:r w:rsidR="00FE7B4B" w:rsidRPr="001F4175">
        <w:rPr>
          <w:rFonts w:ascii="Arial" w:hAnsi="Arial" w:cs="Arial"/>
          <w:b/>
          <w:bCs/>
          <w:color w:val="auto"/>
          <w:sz w:val="20"/>
          <w:szCs w:val="20"/>
        </w:rPr>
        <w:t xml:space="preserve"> </w:t>
      </w:r>
    </w:p>
    <w:p w14:paraId="394076D3" w14:textId="77777777" w:rsidR="00FE7B4B" w:rsidRPr="00FE7B4B" w:rsidRDefault="00FE7B4B" w:rsidP="001F4175">
      <w:pPr>
        <w:spacing w:line="240" w:lineRule="auto"/>
        <w:jc w:val="both"/>
        <w:rPr>
          <w:rFonts w:ascii="Times New Roman" w:hAnsi="Times New Roman" w:cs="Times New Roman"/>
          <w:b/>
          <w:bCs/>
        </w:rPr>
      </w:pPr>
      <w:r w:rsidRPr="001F4175">
        <w:rPr>
          <w:rFonts w:ascii="Arial" w:hAnsi="Arial" w:cs="Arial"/>
          <w:sz w:val="20"/>
          <w:szCs w:val="20"/>
        </w:rPr>
        <w:t>One gram (1g) of the sample was weighed and macerated with 20 mL of ethanol. One milliliter (1ml) of 0.2 % ferric chloride in ethanol was added, then 1ml of 0.5 % α, α-dipyridyl was add, it was diluted to 5 mL with distilled water and absorbance was measured at 520 nm. The concentration of Vitamin E was extrapolated from the standard curve. (AOAC 2005)</w:t>
      </w:r>
    </w:p>
    <w:p w14:paraId="791B4FBF" w14:textId="10D0C9DC" w:rsidR="00FE7B4B" w:rsidRPr="001F4175" w:rsidRDefault="00D64787" w:rsidP="00FE7B4B">
      <w:pPr>
        <w:pStyle w:val="Heading1"/>
        <w:rPr>
          <w:rFonts w:ascii="Arial" w:hAnsi="Arial" w:cs="Arial"/>
          <w:b/>
          <w:bCs/>
          <w:color w:val="auto"/>
          <w:sz w:val="22"/>
          <w:szCs w:val="22"/>
        </w:rPr>
      </w:pPr>
      <w:bookmarkStart w:id="25" w:name="_Toc220922863"/>
      <w:r w:rsidRPr="001F4175">
        <w:rPr>
          <w:rFonts w:ascii="Arial" w:hAnsi="Arial" w:cs="Arial"/>
          <w:b/>
          <w:bCs/>
          <w:color w:val="auto"/>
          <w:sz w:val="22"/>
          <w:szCs w:val="22"/>
        </w:rPr>
        <w:t>2</w:t>
      </w:r>
      <w:r w:rsidR="00FE7B4B" w:rsidRPr="001F4175">
        <w:rPr>
          <w:rFonts w:ascii="Arial" w:hAnsi="Arial" w:cs="Arial"/>
          <w:b/>
          <w:bCs/>
          <w:color w:val="auto"/>
          <w:sz w:val="22"/>
          <w:szCs w:val="22"/>
        </w:rPr>
        <w:t>.6 Determination of Antinutrients Composition of Spaghetti Produced</w:t>
      </w:r>
      <w:bookmarkEnd w:id="25"/>
    </w:p>
    <w:p w14:paraId="27CF3D16" w14:textId="14142BF3" w:rsidR="00FE7B4B" w:rsidRPr="001F4175" w:rsidRDefault="00D64787" w:rsidP="001F4175">
      <w:pPr>
        <w:pStyle w:val="Heading1"/>
        <w:spacing w:line="240" w:lineRule="auto"/>
        <w:rPr>
          <w:rFonts w:ascii="Arial" w:hAnsi="Arial" w:cs="Arial"/>
          <w:b/>
          <w:bCs/>
          <w:color w:val="auto"/>
          <w:sz w:val="20"/>
          <w:szCs w:val="20"/>
        </w:rPr>
      </w:pPr>
      <w:bookmarkStart w:id="26" w:name="_Toc220922864"/>
      <w:r w:rsidRPr="001F4175">
        <w:rPr>
          <w:rFonts w:ascii="Arial" w:hAnsi="Arial" w:cs="Arial"/>
          <w:b/>
          <w:bCs/>
          <w:color w:val="auto"/>
          <w:sz w:val="20"/>
          <w:szCs w:val="20"/>
        </w:rPr>
        <w:t>2</w:t>
      </w:r>
      <w:r w:rsidR="00FE7B4B" w:rsidRPr="001F4175">
        <w:rPr>
          <w:rFonts w:ascii="Arial" w:hAnsi="Arial" w:cs="Arial"/>
          <w:b/>
          <w:bCs/>
          <w:color w:val="auto"/>
          <w:sz w:val="20"/>
          <w:szCs w:val="20"/>
        </w:rPr>
        <w:t>.6.1 Oxalate determination</w:t>
      </w:r>
      <w:bookmarkEnd w:id="26"/>
      <w:r w:rsidR="00FE7B4B" w:rsidRPr="001F4175">
        <w:rPr>
          <w:rFonts w:ascii="Arial" w:hAnsi="Arial" w:cs="Arial"/>
          <w:b/>
          <w:bCs/>
          <w:color w:val="auto"/>
          <w:sz w:val="20"/>
          <w:szCs w:val="20"/>
        </w:rPr>
        <w:t xml:space="preserve"> </w:t>
      </w:r>
    </w:p>
    <w:p w14:paraId="546741A5"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The oxalates were determined using the method described by Savage et al (2018) with slight modification. Oxalates were extracted from 0.5 g of composite flour samples with 50 mL of 0.2M HCl and then incubated in a water bath at 80 °C for 15 min. The extracts were allowed to cool to ambient temperature before being transferred to a 100 mL volumetric flask; the final volume was adjusted with water. Subsequently, the extracted samples were centrifuged at 2800 rpm for 15 min. The supernatant was filtered through a 0.45 </w:t>
      </w:r>
      <w:proofErr w:type="spellStart"/>
      <w:r w:rsidRPr="001F4175">
        <w:rPr>
          <w:rFonts w:ascii="Arial" w:hAnsi="Arial" w:cs="Arial"/>
          <w:sz w:val="20"/>
          <w:szCs w:val="20"/>
        </w:rPr>
        <w:t>μm</w:t>
      </w:r>
      <w:proofErr w:type="spellEnd"/>
      <w:r w:rsidRPr="001F4175">
        <w:rPr>
          <w:rFonts w:ascii="Arial" w:hAnsi="Arial" w:cs="Arial"/>
          <w:sz w:val="20"/>
          <w:szCs w:val="20"/>
        </w:rPr>
        <w:t xml:space="preserve"> cellulose acetate filter (Sartorius, Gottingen, Germany) prior to analysis with High-Performance Liquid Chromatography (HPLC). The HPLC system used consisted of a binary pump (model </w:t>
      </w:r>
      <w:proofErr w:type="spellStart"/>
      <w:r w:rsidRPr="001F4175">
        <w:rPr>
          <w:rFonts w:ascii="Arial" w:hAnsi="Arial" w:cs="Arial"/>
          <w:sz w:val="20"/>
          <w:szCs w:val="20"/>
        </w:rPr>
        <w:t>ProStar</w:t>
      </w:r>
      <w:proofErr w:type="spellEnd"/>
      <w:r w:rsidRPr="001F4175">
        <w:rPr>
          <w:rFonts w:ascii="Arial" w:hAnsi="Arial" w:cs="Arial"/>
          <w:sz w:val="20"/>
          <w:szCs w:val="20"/>
        </w:rPr>
        <w:t xml:space="preserve"> 210, Varian, USA), auto-sampler (model Triathlon, Spark, Holland) with a UV detector set at 210 nm (model Waters 2487 Dual λ, absorbance detector, Waters Corporation, USA). Separation was conducted in a </w:t>
      </w:r>
      <w:proofErr w:type="spellStart"/>
      <w:r w:rsidRPr="001F4175">
        <w:rPr>
          <w:rFonts w:ascii="Arial" w:hAnsi="Arial" w:cs="Arial"/>
          <w:sz w:val="20"/>
          <w:szCs w:val="20"/>
        </w:rPr>
        <w:t>Supelco</w:t>
      </w:r>
      <w:proofErr w:type="spellEnd"/>
      <w:r w:rsidRPr="001F4175">
        <w:rPr>
          <w:rFonts w:ascii="Arial" w:hAnsi="Arial" w:cs="Arial"/>
          <w:sz w:val="20"/>
          <w:szCs w:val="20"/>
        </w:rPr>
        <w:t xml:space="preserve"> reversed phase column (4.6mm I.D.×250mm length). The mobile phase was 0.25 g/100 mL dehydrogenase </w:t>
      </w:r>
      <w:r w:rsidRPr="001F4175">
        <w:rPr>
          <w:rFonts w:ascii="Arial" w:hAnsi="Arial" w:cs="Arial"/>
          <w:sz w:val="20"/>
          <w:szCs w:val="20"/>
        </w:rPr>
        <w:lastRenderedPageBreak/>
        <w:t xml:space="preserve">phosphate and 0.0025 mol/L tetrabutylammonium hydrogen sulphate buffered at pH 2.0 with ortho-phosphoric acid. The column temperature was set at ambient temperature and the total running time was 20 min at a flow rate of 1 mL/min. The injection volume was 5 </w:t>
      </w:r>
      <w:proofErr w:type="spellStart"/>
      <w:r w:rsidRPr="001F4175">
        <w:rPr>
          <w:rFonts w:ascii="Arial" w:hAnsi="Arial" w:cs="Arial"/>
          <w:sz w:val="20"/>
          <w:szCs w:val="20"/>
        </w:rPr>
        <w:t>μL</w:t>
      </w:r>
      <w:proofErr w:type="spellEnd"/>
      <w:r w:rsidRPr="001F4175">
        <w:rPr>
          <w:rFonts w:ascii="Arial" w:hAnsi="Arial" w:cs="Arial"/>
          <w:sz w:val="20"/>
          <w:szCs w:val="20"/>
        </w:rPr>
        <w:t>. Identification of oxalic acid was carried out by comparing the HPLC retention time of unknown peaks to the chromatogram with added standard.</w:t>
      </w:r>
    </w:p>
    <w:p w14:paraId="09A6E65C" w14:textId="0550EDDB" w:rsidR="00FE7B4B" w:rsidRPr="001F4175" w:rsidRDefault="00D64787" w:rsidP="001F4175">
      <w:pPr>
        <w:pStyle w:val="Heading1"/>
        <w:spacing w:line="240" w:lineRule="auto"/>
        <w:rPr>
          <w:rFonts w:ascii="Arial" w:hAnsi="Arial" w:cs="Arial"/>
          <w:b/>
          <w:bCs/>
          <w:color w:val="auto"/>
          <w:sz w:val="20"/>
          <w:szCs w:val="20"/>
        </w:rPr>
      </w:pPr>
      <w:bookmarkStart w:id="27" w:name="_Toc220922865"/>
      <w:r w:rsidRPr="001F4175">
        <w:rPr>
          <w:rFonts w:ascii="Arial" w:hAnsi="Arial" w:cs="Arial"/>
          <w:b/>
          <w:bCs/>
          <w:color w:val="auto"/>
          <w:sz w:val="20"/>
          <w:szCs w:val="20"/>
        </w:rPr>
        <w:t>2</w:t>
      </w:r>
      <w:r w:rsidR="00FE7B4B" w:rsidRPr="001F4175">
        <w:rPr>
          <w:rFonts w:ascii="Arial" w:hAnsi="Arial" w:cs="Arial"/>
          <w:b/>
          <w:bCs/>
          <w:color w:val="auto"/>
          <w:sz w:val="20"/>
          <w:szCs w:val="20"/>
        </w:rPr>
        <w:t>.6.2 Phytate determination</w:t>
      </w:r>
      <w:bookmarkEnd w:id="27"/>
      <w:r w:rsidR="00FE7B4B" w:rsidRPr="001F4175">
        <w:rPr>
          <w:rFonts w:ascii="Arial" w:hAnsi="Arial" w:cs="Arial"/>
          <w:b/>
          <w:bCs/>
          <w:color w:val="auto"/>
          <w:sz w:val="20"/>
          <w:szCs w:val="20"/>
        </w:rPr>
        <w:t xml:space="preserve"> </w:t>
      </w:r>
    </w:p>
    <w:p w14:paraId="62E00A12" w14:textId="77777777"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 xml:space="preserve">The method of Abera et al. (2023) was modified to determine the phytate content. Phytate was extracted from 1 g of the sample with 20 mL of 2.4% (v/v) hydrochloric acid (HCl) by shaking at room temperature for 2 h, followed by high-speed centrifugation of the suspension for 15 min. The supernatant decanted and filtered through Whatman No. 1 filter paper. A 3 mL aliquot of filtrate was diluted to 18 mL with distilled water and the diluted sample was passed through a 200–400 mesh AG1-X8 chloride anion exchange resin (Bio-Rad Laboratories GmbH, Munchen, Germany). Inorganic phosphorus was eluted with 0.07M sodium chloride (NaCl) followed by elution of phytate with 0.7M NaCl. Phytate was determined </w:t>
      </w:r>
      <w:proofErr w:type="spellStart"/>
      <w:r w:rsidRPr="001F4175">
        <w:rPr>
          <w:rFonts w:ascii="Arial" w:hAnsi="Arial" w:cs="Arial"/>
          <w:sz w:val="20"/>
          <w:szCs w:val="20"/>
        </w:rPr>
        <w:t>colorimetrically</w:t>
      </w:r>
      <w:proofErr w:type="spellEnd"/>
      <w:r w:rsidRPr="001F4175">
        <w:rPr>
          <w:rFonts w:ascii="Arial" w:hAnsi="Arial" w:cs="Arial"/>
          <w:sz w:val="20"/>
          <w:szCs w:val="20"/>
        </w:rPr>
        <w:t xml:space="preserve"> based on the pink </w:t>
      </w:r>
      <w:proofErr w:type="spellStart"/>
      <w:r w:rsidRPr="001F4175">
        <w:rPr>
          <w:rFonts w:ascii="Arial" w:hAnsi="Arial" w:cs="Arial"/>
          <w:sz w:val="20"/>
          <w:szCs w:val="20"/>
        </w:rPr>
        <w:t>colour</w:t>
      </w:r>
      <w:proofErr w:type="spellEnd"/>
      <w:r w:rsidRPr="001F4175">
        <w:rPr>
          <w:rFonts w:ascii="Arial" w:hAnsi="Arial" w:cs="Arial"/>
          <w:sz w:val="20"/>
          <w:szCs w:val="20"/>
        </w:rPr>
        <w:t xml:space="preserve"> of Wade reagent, which is formed upon the reaction of the ferric ion and sulfosalicylic acid. One </w:t>
      </w:r>
      <w:proofErr w:type="spellStart"/>
      <w:r w:rsidRPr="001F4175">
        <w:rPr>
          <w:rFonts w:ascii="Arial" w:hAnsi="Arial" w:cs="Arial"/>
          <w:sz w:val="20"/>
          <w:szCs w:val="20"/>
        </w:rPr>
        <w:t>millilitre</w:t>
      </w:r>
      <w:proofErr w:type="spellEnd"/>
      <w:r w:rsidRPr="001F4175">
        <w:rPr>
          <w:rFonts w:ascii="Arial" w:hAnsi="Arial" w:cs="Arial"/>
          <w:sz w:val="20"/>
          <w:szCs w:val="20"/>
        </w:rPr>
        <w:t xml:space="preserve"> of Wade reagent (0.03% solution of FeCl3</w:t>
      </w:r>
      <w:r w:rsidRPr="001F4175">
        <w:rPr>
          <w:rFonts w:ascii="Cambria Math" w:hAnsi="Cambria Math" w:cs="Cambria Math"/>
          <w:sz w:val="20"/>
          <w:szCs w:val="20"/>
        </w:rPr>
        <w:t>⋅</w:t>
      </w:r>
      <w:r w:rsidRPr="001F4175">
        <w:rPr>
          <w:rFonts w:ascii="Arial" w:hAnsi="Arial" w:cs="Arial"/>
          <w:sz w:val="20"/>
          <w:szCs w:val="20"/>
        </w:rPr>
        <w:t xml:space="preserve">6H2O containing 0.3% (v/v) sulfosalicylic acid in water) was added to 3 mL of the clear supernatant sample and then centrifuged at 2000 rpm for 15 min. The absorbance was measured by a spectrophotometer (model Genesys G10S, USA) at 500 nm. The phytate content was calculated using a standard phytic acid curve and results were expressed as mg/100 g. </w:t>
      </w:r>
    </w:p>
    <w:p w14:paraId="47EF4CA6" w14:textId="799C5F2A" w:rsidR="00FE7B4B" w:rsidRPr="001F4175" w:rsidRDefault="00D64787" w:rsidP="001F4175">
      <w:pPr>
        <w:pStyle w:val="Heading1"/>
        <w:spacing w:line="240" w:lineRule="auto"/>
        <w:rPr>
          <w:rFonts w:ascii="Arial" w:hAnsi="Arial" w:cs="Arial"/>
          <w:b/>
          <w:bCs/>
          <w:color w:val="auto"/>
          <w:sz w:val="20"/>
          <w:szCs w:val="20"/>
        </w:rPr>
      </w:pPr>
      <w:bookmarkStart w:id="28" w:name="_Toc220922866"/>
      <w:r w:rsidRPr="001F4175">
        <w:rPr>
          <w:rFonts w:ascii="Arial" w:hAnsi="Arial" w:cs="Arial"/>
          <w:b/>
          <w:bCs/>
          <w:color w:val="auto"/>
          <w:sz w:val="20"/>
          <w:szCs w:val="20"/>
        </w:rPr>
        <w:t>2</w:t>
      </w:r>
      <w:r w:rsidR="00FE7B4B" w:rsidRPr="001F4175">
        <w:rPr>
          <w:rFonts w:ascii="Arial" w:hAnsi="Arial" w:cs="Arial"/>
          <w:b/>
          <w:bCs/>
          <w:color w:val="auto"/>
          <w:sz w:val="20"/>
          <w:szCs w:val="20"/>
        </w:rPr>
        <w:t>.6.3 Trypsin inhibitor determination</w:t>
      </w:r>
      <w:bookmarkEnd w:id="28"/>
      <w:r w:rsidR="00FE7B4B" w:rsidRPr="001F4175">
        <w:rPr>
          <w:rFonts w:ascii="Arial" w:hAnsi="Arial" w:cs="Arial"/>
          <w:b/>
          <w:bCs/>
          <w:color w:val="auto"/>
          <w:sz w:val="20"/>
          <w:szCs w:val="20"/>
        </w:rPr>
        <w:t xml:space="preserve"> </w:t>
      </w:r>
    </w:p>
    <w:p w14:paraId="425C5CAA" w14:textId="5A4A54A3" w:rsidR="00FE7B4B" w:rsidRPr="001F4175" w:rsidRDefault="00FE7B4B" w:rsidP="001F4175">
      <w:pPr>
        <w:spacing w:line="240" w:lineRule="auto"/>
        <w:jc w:val="both"/>
        <w:rPr>
          <w:rFonts w:ascii="Arial" w:hAnsi="Arial" w:cs="Arial"/>
          <w:sz w:val="20"/>
          <w:szCs w:val="20"/>
        </w:rPr>
      </w:pPr>
      <w:r w:rsidRPr="001F4175">
        <w:rPr>
          <w:rFonts w:ascii="Arial" w:hAnsi="Arial" w:cs="Arial"/>
          <w:sz w:val="20"/>
          <w:szCs w:val="20"/>
        </w:rPr>
        <w:t>About 1 gram of each sample A and B was dispersed in 50 mL of 0.5 m NaCl solution. The mixture was stirred for 30 min at room temperature and centrifuged at 1500 rpm for 5 min. The supernatants were filtered, and the filtrates were used for the assay. 2 mL of the standard trypsin solution was added to 10 mL of the substrate of each sample. The absorbance of the mixture was taken at 410 nm using 10 mL of the same substrate as a blank (</w:t>
      </w:r>
      <w:proofErr w:type="spellStart"/>
      <w:r w:rsidRPr="001F4175">
        <w:rPr>
          <w:rFonts w:ascii="Arial" w:hAnsi="Arial" w:cs="Arial"/>
          <w:sz w:val="20"/>
          <w:szCs w:val="20"/>
        </w:rPr>
        <w:t>Prokopet</w:t>
      </w:r>
      <w:proofErr w:type="spellEnd"/>
      <w:r w:rsidRPr="001F4175">
        <w:rPr>
          <w:rFonts w:ascii="Arial" w:hAnsi="Arial" w:cs="Arial"/>
          <w:sz w:val="20"/>
          <w:szCs w:val="20"/>
        </w:rPr>
        <w:t xml:space="preserve"> &amp; </w:t>
      </w:r>
      <w:proofErr w:type="spellStart"/>
      <w:r w:rsidRPr="001F4175">
        <w:rPr>
          <w:rFonts w:ascii="Arial" w:hAnsi="Arial" w:cs="Arial"/>
          <w:sz w:val="20"/>
          <w:szCs w:val="20"/>
        </w:rPr>
        <w:t>Unlenbruck</w:t>
      </w:r>
      <w:proofErr w:type="spellEnd"/>
      <w:r w:rsidRPr="001F4175">
        <w:rPr>
          <w:rFonts w:ascii="Arial" w:hAnsi="Arial" w:cs="Arial"/>
          <w:sz w:val="20"/>
          <w:szCs w:val="20"/>
        </w:rPr>
        <w:t>, 2002). Alkaloid determination: 5 g of each sample was dispersed into 50 mL of 10 % acetic acid in ethanol; the mixture was shaken and allowed to stand for 4 h before filtration. The filtrate was evaporated to one-quarter of the original volume. Concentrated NH</w:t>
      </w:r>
      <w:r w:rsidRPr="001F4175">
        <w:rPr>
          <w:rFonts w:ascii="Arial" w:hAnsi="Arial" w:cs="Arial"/>
          <w:sz w:val="20"/>
          <w:szCs w:val="20"/>
          <w:vertAlign w:val="subscript"/>
        </w:rPr>
        <w:t>4</w:t>
      </w:r>
      <w:r w:rsidRPr="001F4175">
        <w:rPr>
          <w:rFonts w:ascii="Arial" w:hAnsi="Arial" w:cs="Arial"/>
          <w:sz w:val="20"/>
          <w:szCs w:val="20"/>
        </w:rPr>
        <w:t>OH was added dropwise to each sample to precipitate the alkaloid. The precipitate was filtered off with weighed filter paper and washed with 1% NH</w:t>
      </w:r>
      <w:r w:rsidRPr="001F4175">
        <w:rPr>
          <w:rFonts w:ascii="Arial" w:hAnsi="Arial" w:cs="Arial"/>
          <w:sz w:val="20"/>
          <w:szCs w:val="20"/>
          <w:vertAlign w:val="subscript"/>
        </w:rPr>
        <w:t>4</w:t>
      </w:r>
      <w:r w:rsidRPr="001F4175">
        <w:rPr>
          <w:rFonts w:ascii="Arial" w:hAnsi="Arial" w:cs="Arial"/>
          <w:sz w:val="20"/>
          <w:szCs w:val="20"/>
        </w:rPr>
        <w:t>OH solution. The precipitates in each case will be dried at 60ºC for 30 min and reweighed.</w:t>
      </w:r>
    </w:p>
    <w:p w14:paraId="2BFC9E76" w14:textId="77777777" w:rsidR="00D7734C" w:rsidRPr="001F4175" w:rsidRDefault="00D7734C" w:rsidP="00D7734C">
      <w:pPr>
        <w:pStyle w:val="Heading1"/>
        <w:rPr>
          <w:rFonts w:ascii="Arial" w:hAnsi="Arial" w:cs="Arial"/>
          <w:b/>
          <w:bCs/>
          <w:color w:val="auto"/>
          <w:sz w:val="22"/>
          <w:szCs w:val="22"/>
        </w:rPr>
      </w:pPr>
      <w:bookmarkStart w:id="29" w:name="_Toc220922878"/>
      <w:r w:rsidRPr="001F4175">
        <w:rPr>
          <w:rFonts w:ascii="Arial" w:hAnsi="Arial" w:cs="Arial"/>
          <w:b/>
          <w:bCs/>
          <w:color w:val="auto"/>
          <w:sz w:val="22"/>
          <w:szCs w:val="22"/>
        </w:rPr>
        <w:t>2.7 Data Analysis</w:t>
      </w:r>
      <w:bookmarkEnd w:id="29"/>
    </w:p>
    <w:p w14:paraId="33CC7E39" w14:textId="77777777" w:rsidR="001F4175" w:rsidRDefault="00D7734C" w:rsidP="001F4175">
      <w:pPr>
        <w:spacing w:line="240" w:lineRule="auto"/>
        <w:jc w:val="both"/>
        <w:rPr>
          <w:rFonts w:ascii="Arial" w:hAnsi="Arial" w:cs="Arial"/>
          <w:sz w:val="20"/>
          <w:szCs w:val="20"/>
        </w:rPr>
      </w:pPr>
      <w:r w:rsidRPr="001F4175">
        <w:rPr>
          <w:rFonts w:ascii="Arial" w:hAnsi="Arial" w:cs="Arial"/>
          <w:sz w:val="20"/>
          <w:szCs w:val="20"/>
        </w:rPr>
        <w:t>All analyses were carried out in triplicate, and SPSS version 20.0 was used for data analysis. The data were analyzed with analysis of variance (ANOVA) to identify significant differences between means, which were expressed as mean ± standard deviation (SD). The Duncan multiple range test was employed for mean separation.</w:t>
      </w:r>
      <w:bookmarkStart w:id="30" w:name="_Toc220922880"/>
    </w:p>
    <w:p w14:paraId="440E1569" w14:textId="77777777" w:rsidR="001F4175" w:rsidRPr="001F4175" w:rsidRDefault="00D64787" w:rsidP="001F4175">
      <w:pPr>
        <w:spacing w:line="240" w:lineRule="auto"/>
        <w:jc w:val="both"/>
        <w:rPr>
          <w:rFonts w:ascii="Arial" w:hAnsi="Arial" w:cs="Arial"/>
          <w:b/>
          <w:bCs/>
          <w:sz w:val="22"/>
          <w:szCs w:val="22"/>
        </w:rPr>
      </w:pPr>
      <w:r w:rsidRPr="001F4175">
        <w:rPr>
          <w:rFonts w:ascii="Arial" w:hAnsi="Arial" w:cs="Arial"/>
          <w:b/>
          <w:bCs/>
          <w:sz w:val="22"/>
          <w:szCs w:val="22"/>
        </w:rPr>
        <w:t xml:space="preserve">3.0 </w:t>
      </w:r>
      <w:r w:rsidR="006D66F1" w:rsidRPr="001F4175">
        <w:rPr>
          <w:rFonts w:ascii="Arial" w:hAnsi="Arial" w:cs="Arial"/>
          <w:b/>
          <w:bCs/>
          <w:sz w:val="22"/>
          <w:szCs w:val="22"/>
        </w:rPr>
        <w:t>RESULTS AND DISCUSSION</w:t>
      </w:r>
      <w:bookmarkStart w:id="31" w:name="_Toc220922881"/>
      <w:bookmarkEnd w:id="30"/>
    </w:p>
    <w:p w14:paraId="4D74338F" w14:textId="09C605DA" w:rsidR="006D66F1" w:rsidRPr="001F4175" w:rsidRDefault="00D64787" w:rsidP="006D66F1">
      <w:pPr>
        <w:pStyle w:val="Heading1"/>
        <w:rPr>
          <w:rFonts w:ascii="Arial" w:hAnsi="Arial" w:cs="Arial"/>
          <w:b/>
          <w:bCs/>
          <w:color w:val="auto"/>
          <w:sz w:val="20"/>
          <w:szCs w:val="20"/>
        </w:rPr>
      </w:pPr>
      <w:bookmarkStart w:id="32" w:name="_Toc220922882"/>
      <w:bookmarkEnd w:id="31"/>
      <w:r w:rsidRPr="001F4175">
        <w:rPr>
          <w:rFonts w:ascii="Arial" w:hAnsi="Arial" w:cs="Arial"/>
          <w:b/>
          <w:bCs/>
          <w:color w:val="auto"/>
          <w:sz w:val="20"/>
          <w:szCs w:val="20"/>
        </w:rPr>
        <w:t>3</w:t>
      </w:r>
      <w:r w:rsidR="006D66F1" w:rsidRPr="001F4175">
        <w:rPr>
          <w:rFonts w:ascii="Arial" w:hAnsi="Arial" w:cs="Arial"/>
          <w:b/>
          <w:bCs/>
          <w:color w:val="auto"/>
          <w:sz w:val="20"/>
          <w:szCs w:val="20"/>
        </w:rPr>
        <w:t xml:space="preserve">.1 Proximate composition </w:t>
      </w:r>
      <w:bookmarkEnd w:id="32"/>
      <w:r w:rsidRPr="001F4175">
        <w:rPr>
          <w:rFonts w:ascii="Arial" w:hAnsi="Arial" w:cs="Arial"/>
          <w:b/>
          <w:bCs/>
          <w:color w:val="auto"/>
          <w:sz w:val="20"/>
          <w:szCs w:val="20"/>
        </w:rPr>
        <w:t>of spaghetti</w:t>
      </w:r>
    </w:p>
    <w:p w14:paraId="7A116AF4" w14:textId="09067938" w:rsidR="00557457" w:rsidRDefault="006D66F1" w:rsidP="00557457">
      <w:pPr>
        <w:spacing w:before="240" w:after="0" w:line="240" w:lineRule="auto"/>
        <w:jc w:val="both"/>
        <w:rPr>
          <w:rFonts w:ascii="Arial" w:hAnsi="Arial" w:cs="Arial"/>
          <w:sz w:val="20"/>
          <w:szCs w:val="20"/>
        </w:rPr>
      </w:pPr>
      <w:r w:rsidRPr="00557457">
        <w:rPr>
          <w:rFonts w:ascii="Arial" w:hAnsi="Arial" w:cs="Arial"/>
          <w:sz w:val="20"/>
          <w:szCs w:val="20"/>
        </w:rPr>
        <w:t>The proximate composition of Wheat-Sorghum -</w:t>
      </w:r>
      <w:r w:rsidRPr="00557457">
        <w:rPr>
          <w:rFonts w:ascii="Arial" w:hAnsi="Arial" w:cs="Arial"/>
          <w:i/>
          <w:iCs/>
          <w:sz w:val="20"/>
          <w:szCs w:val="20"/>
        </w:rPr>
        <w:t xml:space="preserve">Bombax </w:t>
      </w:r>
      <w:proofErr w:type="spellStart"/>
      <w:r w:rsidRPr="00557457">
        <w:rPr>
          <w:rFonts w:ascii="Arial" w:hAnsi="Arial" w:cs="Arial"/>
          <w:i/>
          <w:iCs/>
          <w:sz w:val="20"/>
          <w:szCs w:val="20"/>
        </w:rPr>
        <w:t>costatum</w:t>
      </w:r>
      <w:proofErr w:type="spellEnd"/>
      <w:r w:rsidRPr="00557457">
        <w:rPr>
          <w:rFonts w:ascii="Arial" w:hAnsi="Arial" w:cs="Arial"/>
          <w:i/>
          <w:iCs/>
          <w:sz w:val="20"/>
          <w:szCs w:val="20"/>
        </w:rPr>
        <w:t xml:space="preserve"> </w:t>
      </w:r>
      <w:proofErr w:type="gramStart"/>
      <w:r w:rsidRPr="00557457">
        <w:rPr>
          <w:rFonts w:ascii="Arial" w:hAnsi="Arial" w:cs="Arial"/>
          <w:i/>
          <w:iCs/>
          <w:sz w:val="20"/>
          <w:szCs w:val="20"/>
        </w:rPr>
        <w:t>calyces</w:t>
      </w:r>
      <w:proofErr w:type="gramEnd"/>
      <w:r w:rsidRPr="00557457">
        <w:rPr>
          <w:rFonts w:ascii="Arial" w:hAnsi="Arial" w:cs="Arial"/>
          <w:sz w:val="20"/>
          <w:szCs w:val="20"/>
        </w:rPr>
        <w:t xml:space="preserve"> spaghetti is shown in Table </w:t>
      </w:r>
      <w:r w:rsidR="007526D0" w:rsidRPr="00557457">
        <w:rPr>
          <w:rFonts w:ascii="Arial" w:hAnsi="Arial" w:cs="Arial"/>
          <w:sz w:val="20"/>
          <w:szCs w:val="20"/>
        </w:rPr>
        <w:t>1</w:t>
      </w:r>
      <w:r w:rsidRPr="00557457">
        <w:rPr>
          <w:rFonts w:ascii="Arial" w:hAnsi="Arial" w:cs="Arial"/>
          <w:sz w:val="20"/>
          <w:szCs w:val="20"/>
        </w:rPr>
        <w:t xml:space="preserve">. </w:t>
      </w:r>
      <w:r w:rsidR="00557457" w:rsidRPr="00557457">
        <w:rPr>
          <w:rFonts w:ascii="Arial" w:hAnsi="Arial" w:cs="Arial"/>
          <w:sz w:val="20"/>
          <w:szCs w:val="20"/>
        </w:rPr>
        <w:t xml:space="preserve">The moisture content of the spaghetti blends ranged from 9.28% to 13.25%. The moisture content decreased with the addition of </w:t>
      </w:r>
      <w:r w:rsidR="00557457" w:rsidRPr="00557457">
        <w:rPr>
          <w:rFonts w:ascii="Arial" w:hAnsi="Arial" w:cs="Arial"/>
          <w:i/>
          <w:iCs/>
          <w:sz w:val="20"/>
          <w:szCs w:val="20"/>
        </w:rPr>
        <w:t xml:space="preserve">Bombax </w:t>
      </w:r>
      <w:proofErr w:type="spellStart"/>
      <w:r w:rsidR="00557457" w:rsidRPr="00557457">
        <w:rPr>
          <w:rFonts w:ascii="Arial" w:hAnsi="Arial" w:cs="Arial"/>
          <w:i/>
          <w:iCs/>
          <w:sz w:val="20"/>
          <w:szCs w:val="20"/>
        </w:rPr>
        <w:t>costatum</w:t>
      </w:r>
      <w:proofErr w:type="spellEnd"/>
      <w:r w:rsidR="00557457" w:rsidRPr="00557457">
        <w:rPr>
          <w:rFonts w:ascii="Arial" w:hAnsi="Arial" w:cs="Arial"/>
          <w:i/>
          <w:iCs/>
          <w:sz w:val="20"/>
          <w:szCs w:val="20"/>
        </w:rPr>
        <w:t xml:space="preserve"> </w:t>
      </w:r>
      <w:r w:rsidR="00557457" w:rsidRPr="00557457">
        <w:rPr>
          <w:rFonts w:ascii="Arial" w:hAnsi="Arial" w:cs="Arial"/>
          <w:sz w:val="20"/>
          <w:szCs w:val="20"/>
        </w:rPr>
        <w:t>calyces</w:t>
      </w:r>
      <w:r w:rsidR="00557457" w:rsidRPr="00557457">
        <w:rPr>
          <w:rFonts w:ascii="Arial" w:hAnsi="Arial" w:cs="Arial"/>
          <w:i/>
          <w:iCs/>
          <w:sz w:val="20"/>
          <w:szCs w:val="20"/>
        </w:rPr>
        <w:t xml:space="preserve">. </w:t>
      </w:r>
      <w:r w:rsidR="00557457" w:rsidRPr="00557457">
        <w:rPr>
          <w:rFonts w:ascii="Arial" w:hAnsi="Arial" w:cs="Arial"/>
          <w:sz w:val="20"/>
          <w:szCs w:val="20"/>
        </w:rPr>
        <w:t>The values of the moisture content of the samples (9.28 to 13.25%) are comparably higher than 8.25 to 8.72% reported by Akinyemi et al. (2020) for a blend of wheat flour and plantain, 8.2 to 8.7 % as recorded by</w:t>
      </w:r>
      <w:r w:rsidR="00557457" w:rsidRPr="00557457">
        <w:rPr>
          <w:rFonts w:ascii="Arial" w:hAnsi="Arial" w:cs="Arial"/>
          <w:b/>
          <w:bCs/>
          <w:sz w:val="20"/>
          <w:szCs w:val="20"/>
        </w:rPr>
        <w:t xml:space="preserve"> </w:t>
      </w:r>
      <w:r w:rsidR="00557457" w:rsidRPr="00557457">
        <w:rPr>
          <w:rFonts w:ascii="Arial" w:hAnsi="Arial" w:cs="Arial"/>
          <w:sz w:val="20"/>
          <w:szCs w:val="20"/>
        </w:rPr>
        <w:t xml:space="preserve">Sakshi et al. (2024) for wheat bran, Oat </w:t>
      </w:r>
      <w:proofErr w:type="spellStart"/>
      <w:r w:rsidR="00557457" w:rsidRPr="00557457">
        <w:rPr>
          <w:rFonts w:ascii="Arial" w:hAnsi="Arial" w:cs="Arial"/>
          <w:sz w:val="20"/>
          <w:szCs w:val="20"/>
        </w:rPr>
        <w:t>fibre</w:t>
      </w:r>
      <w:proofErr w:type="spellEnd"/>
      <w:r w:rsidR="00557457" w:rsidRPr="00557457">
        <w:rPr>
          <w:rFonts w:ascii="Arial" w:hAnsi="Arial" w:cs="Arial"/>
          <w:sz w:val="20"/>
          <w:szCs w:val="20"/>
        </w:rPr>
        <w:t xml:space="preserve"> and psyllium husk blends but lower than 60.7 to 65.3 % reported for jackfruit, rice flour blend pasta (</w:t>
      </w:r>
      <w:proofErr w:type="spellStart"/>
      <w:r w:rsidR="00557457" w:rsidRPr="00557457">
        <w:rPr>
          <w:rFonts w:ascii="Arial" w:hAnsi="Arial" w:cs="Arial"/>
          <w:sz w:val="20"/>
          <w:szCs w:val="20"/>
        </w:rPr>
        <w:t>Nathaphon</w:t>
      </w:r>
      <w:proofErr w:type="spellEnd"/>
      <w:r w:rsidR="00557457" w:rsidRPr="00557457">
        <w:rPr>
          <w:rFonts w:ascii="Arial" w:hAnsi="Arial" w:cs="Arial"/>
          <w:sz w:val="20"/>
          <w:szCs w:val="20"/>
        </w:rPr>
        <w:t xml:space="preserve"> et al., 2023).</w:t>
      </w:r>
      <w:r w:rsidR="00557457" w:rsidRPr="00557457">
        <w:rPr>
          <w:rFonts w:ascii="Arial" w:hAnsi="Arial" w:cs="Arial"/>
          <w:b/>
          <w:bCs/>
          <w:sz w:val="20"/>
          <w:szCs w:val="20"/>
        </w:rPr>
        <w:t xml:space="preserve"> </w:t>
      </w:r>
      <w:r w:rsidR="00557457" w:rsidRPr="00557457">
        <w:rPr>
          <w:rFonts w:ascii="Arial" w:hAnsi="Arial" w:cs="Arial"/>
          <w:sz w:val="20"/>
          <w:szCs w:val="20"/>
        </w:rPr>
        <w:t xml:space="preserve">This may be due to the effect of drying at different temperatures. Low moisture content of this study incorporated with </w:t>
      </w:r>
      <w:r w:rsidR="00557457" w:rsidRPr="00557457">
        <w:rPr>
          <w:rFonts w:ascii="Arial" w:hAnsi="Arial" w:cs="Arial"/>
          <w:i/>
          <w:iCs/>
          <w:sz w:val="20"/>
          <w:szCs w:val="20"/>
        </w:rPr>
        <w:t xml:space="preserve">Bombax </w:t>
      </w:r>
      <w:proofErr w:type="spellStart"/>
      <w:r w:rsidR="00557457" w:rsidRPr="00557457">
        <w:rPr>
          <w:rFonts w:ascii="Arial" w:hAnsi="Arial" w:cs="Arial"/>
          <w:i/>
          <w:iCs/>
          <w:sz w:val="20"/>
          <w:szCs w:val="20"/>
        </w:rPr>
        <w:t>costatum</w:t>
      </w:r>
      <w:proofErr w:type="spellEnd"/>
      <w:r w:rsidR="00557457" w:rsidRPr="00557457">
        <w:rPr>
          <w:rFonts w:ascii="Arial" w:hAnsi="Arial" w:cs="Arial"/>
          <w:i/>
          <w:iCs/>
          <w:sz w:val="20"/>
          <w:szCs w:val="20"/>
        </w:rPr>
        <w:t xml:space="preserve"> calyces</w:t>
      </w:r>
      <w:r w:rsidR="00557457" w:rsidRPr="00557457">
        <w:rPr>
          <w:rFonts w:ascii="Arial" w:hAnsi="Arial" w:cs="Arial"/>
          <w:sz w:val="20"/>
          <w:szCs w:val="20"/>
        </w:rPr>
        <w:t xml:space="preserve"> is an indication that the spaghetti blends may have prolonged shelf life if properly packaged (Ibeabuchi et al.,</w:t>
      </w:r>
      <w:r w:rsidR="00557457" w:rsidRPr="00557457">
        <w:rPr>
          <w:rFonts w:ascii="Arial" w:hAnsi="Arial" w:cs="Arial"/>
          <w:i/>
          <w:iCs/>
          <w:sz w:val="20"/>
          <w:szCs w:val="20"/>
        </w:rPr>
        <w:t xml:space="preserve"> </w:t>
      </w:r>
      <w:r w:rsidR="00557457" w:rsidRPr="00557457">
        <w:rPr>
          <w:rFonts w:ascii="Arial" w:hAnsi="Arial" w:cs="Arial"/>
          <w:sz w:val="20"/>
          <w:szCs w:val="20"/>
        </w:rPr>
        <w:t>2020).</w:t>
      </w:r>
      <w:r w:rsidR="00557457" w:rsidRPr="00557457">
        <w:rPr>
          <w:rFonts w:ascii="Arial" w:hAnsi="Arial" w:cs="Arial"/>
          <w:b/>
          <w:bCs/>
          <w:sz w:val="20"/>
          <w:szCs w:val="20"/>
        </w:rPr>
        <w:t xml:space="preserve"> </w:t>
      </w:r>
      <w:r w:rsidR="00557457" w:rsidRPr="00557457">
        <w:rPr>
          <w:rFonts w:ascii="Arial" w:hAnsi="Arial" w:cs="Arial"/>
          <w:sz w:val="20"/>
          <w:szCs w:val="20"/>
        </w:rPr>
        <w:t>Higher moisture content is not a desirable quality of food products because it can influence microbial growth and cause spoilage. (Danso et al., 2019).</w:t>
      </w:r>
      <w:r w:rsidR="00557457" w:rsidRPr="00557457">
        <w:rPr>
          <w:rFonts w:ascii="Arial" w:hAnsi="Arial" w:cs="Arial"/>
          <w:b/>
          <w:bCs/>
          <w:sz w:val="20"/>
          <w:szCs w:val="20"/>
        </w:rPr>
        <w:t xml:space="preserve"> </w:t>
      </w:r>
      <w:r w:rsidR="00557457" w:rsidRPr="00557457">
        <w:rPr>
          <w:rFonts w:ascii="Arial" w:hAnsi="Arial" w:cs="Arial"/>
          <w:sz w:val="20"/>
          <w:szCs w:val="20"/>
        </w:rPr>
        <w:lastRenderedPageBreak/>
        <w:t xml:space="preserve">Moisture content is one of the valuable factors in the preservation of food materials (Akinyemi et al., 2020). In general, the moisture content of this study is, however within the acceptable range of &lt;14%, as recommended by USRDA (2015) </w:t>
      </w:r>
    </w:p>
    <w:p w14:paraId="605AB3AE" w14:textId="228B76C1" w:rsidR="006D66F1" w:rsidRDefault="00557457" w:rsidP="00557457">
      <w:pPr>
        <w:spacing w:before="240" w:after="0" w:line="240" w:lineRule="auto"/>
        <w:jc w:val="both"/>
        <w:rPr>
          <w:rFonts w:ascii="Arial" w:hAnsi="Arial" w:cs="Arial"/>
          <w:sz w:val="20"/>
          <w:szCs w:val="20"/>
        </w:rPr>
      </w:pPr>
      <w:r w:rsidRPr="00557457">
        <w:rPr>
          <w:rFonts w:ascii="Arial" w:hAnsi="Arial" w:cs="Arial"/>
          <w:sz w:val="20"/>
          <w:szCs w:val="20"/>
        </w:rPr>
        <w:t>The protein content of the samples ranged from 9.31% to 12.42%, with that of 20:40:40 (wheat-sorghum-</w:t>
      </w:r>
      <w:r w:rsidRPr="00557457">
        <w:rPr>
          <w:rFonts w:ascii="Arial" w:hAnsi="Arial" w:cs="Arial"/>
          <w:i/>
          <w:sz w:val="20"/>
          <w:szCs w:val="20"/>
        </w:rPr>
        <w:t xml:space="preserve">Bombax </w:t>
      </w:r>
      <w:proofErr w:type="spellStart"/>
      <w:r w:rsidRPr="00557457">
        <w:rPr>
          <w:rFonts w:ascii="Arial" w:hAnsi="Arial" w:cs="Arial"/>
          <w:i/>
          <w:sz w:val="20"/>
          <w:szCs w:val="20"/>
        </w:rPr>
        <w:t>costatum</w:t>
      </w:r>
      <w:proofErr w:type="spellEnd"/>
      <w:r w:rsidRPr="00557457">
        <w:rPr>
          <w:rFonts w:ascii="Arial" w:hAnsi="Arial" w:cs="Arial"/>
          <w:i/>
          <w:sz w:val="20"/>
          <w:szCs w:val="20"/>
        </w:rPr>
        <w:t xml:space="preserve"> </w:t>
      </w:r>
      <w:r w:rsidRPr="00557457">
        <w:rPr>
          <w:rFonts w:ascii="Arial" w:hAnsi="Arial" w:cs="Arial"/>
          <w:i/>
          <w:iCs/>
          <w:sz w:val="20"/>
          <w:szCs w:val="20"/>
        </w:rPr>
        <w:t>calyces</w:t>
      </w:r>
      <w:r w:rsidRPr="00557457">
        <w:rPr>
          <w:rFonts w:ascii="Arial" w:hAnsi="Arial" w:cs="Arial"/>
          <w:sz w:val="20"/>
          <w:szCs w:val="20"/>
        </w:rPr>
        <w:t xml:space="preserve">) spaghetti being the lowest (9.31%), compared to 9.84%, 9.94%, 10.15%, 10.25% for the blends of 20:50:30, 20:60:20, 20:70:10, and 20:80:0 ratio of </w:t>
      </w:r>
      <w:r w:rsidRPr="00557457">
        <w:rPr>
          <w:rFonts w:ascii="Arial" w:hAnsi="Arial" w:cs="Arial"/>
          <w:i/>
          <w:iCs/>
          <w:sz w:val="20"/>
          <w:szCs w:val="20"/>
        </w:rPr>
        <w:t xml:space="preserve">Bombax </w:t>
      </w:r>
      <w:proofErr w:type="spellStart"/>
      <w:r w:rsidRPr="00557457">
        <w:rPr>
          <w:rFonts w:ascii="Arial" w:hAnsi="Arial" w:cs="Arial"/>
          <w:i/>
          <w:iCs/>
          <w:sz w:val="20"/>
          <w:szCs w:val="20"/>
        </w:rPr>
        <w:t>costatum</w:t>
      </w:r>
      <w:proofErr w:type="spellEnd"/>
      <w:r w:rsidRPr="00557457">
        <w:rPr>
          <w:rFonts w:ascii="Arial" w:hAnsi="Arial" w:cs="Arial"/>
          <w:i/>
          <w:iCs/>
          <w:sz w:val="20"/>
          <w:szCs w:val="20"/>
        </w:rPr>
        <w:t xml:space="preserve"> calyces</w:t>
      </w:r>
      <w:r w:rsidRPr="00557457">
        <w:rPr>
          <w:rFonts w:ascii="Arial" w:hAnsi="Arial" w:cs="Arial"/>
          <w:sz w:val="20"/>
          <w:szCs w:val="20"/>
        </w:rPr>
        <w:t xml:space="preserve"> flour substitution respectively, (wheat-sorghum-</w:t>
      </w:r>
      <w:r w:rsidRPr="00557457">
        <w:rPr>
          <w:rFonts w:ascii="Arial" w:hAnsi="Arial" w:cs="Arial"/>
          <w:i/>
          <w:iCs/>
          <w:sz w:val="20"/>
          <w:szCs w:val="20"/>
        </w:rPr>
        <w:t xml:space="preserve"> Bombax </w:t>
      </w:r>
      <w:proofErr w:type="spellStart"/>
      <w:r w:rsidRPr="00557457">
        <w:rPr>
          <w:rFonts w:ascii="Arial" w:hAnsi="Arial" w:cs="Arial"/>
          <w:i/>
          <w:iCs/>
          <w:sz w:val="20"/>
          <w:szCs w:val="20"/>
        </w:rPr>
        <w:t>costatum</w:t>
      </w:r>
      <w:proofErr w:type="spellEnd"/>
      <w:r w:rsidRPr="00557457">
        <w:rPr>
          <w:rFonts w:ascii="Arial" w:hAnsi="Arial" w:cs="Arial"/>
          <w:i/>
          <w:iCs/>
          <w:sz w:val="20"/>
          <w:szCs w:val="20"/>
        </w:rPr>
        <w:t xml:space="preserve"> calyces</w:t>
      </w:r>
      <w:r w:rsidRPr="00557457">
        <w:rPr>
          <w:rFonts w:ascii="Arial" w:hAnsi="Arial" w:cs="Arial"/>
          <w:sz w:val="20"/>
          <w:szCs w:val="20"/>
        </w:rPr>
        <w:t>).</w:t>
      </w:r>
      <w:r w:rsidRPr="00557457">
        <w:rPr>
          <w:rFonts w:ascii="Arial" w:hAnsi="Arial" w:cs="Arial"/>
          <w:i/>
          <w:iCs/>
          <w:sz w:val="20"/>
          <w:szCs w:val="20"/>
        </w:rPr>
        <w:t xml:space="preserve"> </w:t>
      </w:r>
      <w:r w:rsidRPr="00557457">
        <w:rPr>
          <w:rFonts w:ascii="Arial" w:hAnsi="Arial" w:cs="Arial"/>
          <w:sz w:val="20"/>
          <w:szCs w:val="20"/>
        </w:rPr>
        <w:t xml:space="preserve">The protein values are relatively within 10.86 to 15.36% reported by Akinyemi et al. (2020), 11.2 to 11.8% of Sakshi et al. (2024), and 11.27 -14.84 % as documented by </w:t>
      </w:r>
      <w:proofErr w:type="spellStart"/>
      <w:r w:rsidRPr="00557457">
        <w:rPr>
          <w:rFonts w:ascii="Arial" w:hAnsi="Arial" w:cs="Arial"/>
          <w:sz w:val="20"/>
          <w:szCs w:val="20"/>
        </w:rPr>
        <w:t>Nathaphon</w:t>
      </w:r>
      <w:proofErr w:type="spellEnd"/>
      <w:r w:rsidRPr="00557457">
        <w:rPr>
          <w:rFonts w:ascii="Arial" w:hAnsi="Arial" w:cs="Arial"/>
          <w:sz w:val="20"/>
          <w:szCs w:val="20"/>
        </w:rPr>
        <w:t xml:space="preserve"> et al. (2023), but lower than 13.68 to 14.28% reported by Bitrus et al. (2017). The protein values were within the recommended range of 10-35% as reported by USRDA (2015). Protein has been shown to play a vital role in organoleptic properties of food, boost the immune system, and play a key role in cell division and growth (Okorie et al., 2015). Protein can serve as a fuel source to the body.</w:t>
      </w:r>
    </w:p>
    <w:p w14:paraId="72F5ECB0" w14:textId="77777777" w:rsidR="0006358C" w:rsidRP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fat content of the blend’s spaghetti ranged from 3.30 to 3.83%, indicating an increase in the level of </w:t>
      </w:r>
      <w:r w:rsidRPr="0006358C">
        <w:rPr>
          <w:rFonts w:ascii="Arial" w:hAnsi="Arial" w:cs="Arial"/>
          <w:i/>
          <w:sz w:val="20"/>
          <w:szCs w:val="20"/>
        </w:rPr>
        <w:t xml:space="preserve">Bombax </w:t>
      </w:r>
      <w:proofErr w:type="spellStart"/>
      <w:r w:rsidRPr="0006358C">
        <w:rPr>
          <w:rFonts w:ascii="Arial" w:hAnsi="Arial" w:cs="Arial"/>
          <w:i/>
          <w:sz w:val="20"/>
          <w:szCs w:val="20"/>
        </w:rPr>
        <w:t>costatum</w:t>
      </w:r>
      <w:proofErr w:type="spellEnd"/>
      <w:r w:rsidRPr="0006358C">
        <w:rPr>
          <w:rFonts w:ascii="Arial" w:hAnsi="Arial" w:cs="Arial"/>
          <w:i/>
          <w:sz w:val="20"/>
          <w:szCs w:val="20"/>
        </w:rPr>
        <w:t xml:space="preserve"> </w:t>
      </w:r>
      <w:r w:rsidRPr="0006358C">
        <w:rPr>
          <w:rFonts w:ascii="Arial" w:hAnsi="Arial" w:cs="Arial"/>
          <w:i/>
          <w:iCs/>
          <w:sz w:val="20"/>
          <w:szCs w:val="20"/>
        </w:rPr>
        <w:t xml:space="preserve">calyces’ </w:t>
      </w:r>
      <w:r w:rsidRPr="0006358C">
        <w:rPr>
          <w:rFonts w:ascii="Arial" w:hAnsi="Arial" w:cs="Arial"/>
          <w:sz w:val="20"/>
          <w:szCs w:val="20"/>
        </w:rPr>
        <w:t xml:space="preserve">substitution.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w:t>
      </w:r>
      <w:r w:rsidRPr="0006358C">
        <w:rPr>
          <w:rFonts w:ascii="Arial" w:hAnsi="Arial" w:cs="Arial"/>
          <w:sz w:val="20"/>
          <w:szCs w:val="20"/>
        </w:rPr>
        <w:t xml:space="preserve"> generally is a good source of fat. The fat content of the formulation is higher than 1.4 to 1.8% reported by Sakshi et al. (2024) for wheat bran, Oat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and psyllium </w:t>
      </w:r>
      <w:proofErr w:type="spellStart"/>
      <w:r w:rsidRPr="0006358C">
        <w:rPr>
          <w:rFonts w:ascii="Arial" w:hAnsi="Arial" w:cs="Arial"/>
          <w:sz w:val="20"/>
          <w:szCs w:val="20"/>
        </w:rPr>
        <w:t>Hust</w:t>
      </w:r>
      <w:proofErr w:type="spellEnd"/>
      <w:r w:rsidRPr="0006358C">
        <w:rPr>
          <w:rFonts w:ascii="Arial" w:hAnsi="Arial" w:cs="Arial"/>
          <w:sz w:val="20"/>
          <w:szCs w:val="20"/>
        </w:rPr>
        <w:t xml:space="preserve"> and 2.40 to 2.75 % James et al. (2017) for wheat, Bambara nut and cassava flours, but lower than 9.12 to 11.84 for wheat flour and plantain spaghetti blends as reported by Akinyemi et al. (2020)</w:t>
      </w:r>
      <w:r w:rsidRPr="0006358C">
        <w:rPr>
          <w:rFonts w:ascii="Arial" w:hAnsi="Arial" w:cs="Arial"/>
          <w:b/>
          <w:bCs/>
          <w:sz w:val="20"/>
          <w:szCs w:val="20"/>
        </w:rPr>
        <w:t xml:space="preserve">. </w:t>
      </w:r>
      <w:r w:rsidRPr="0006358C">
        <w:rPr>
          <w:rFonts w:ascii="Arial" w:hAnsi="Arial" w:cs="Arial"/>
          <w:sz w:val="20"/>
          <w:szCs w:val="20"/>
        </w:rPr>
        <w:t>The fat content in this study was found to be lower than 20 to 30 % recommended dietary allowance (RDA). However, it can be augmented by other dietary sources. Fats are reported to have health benefits of lowering blood cholesterol levels and absorption of water-soluble minerals; however, low-fat foods would be suitable for weight watchers (Naureen et al., 2019). A relatively low-fat content in spaghetti could be desirable because it helps inhibit rancidity, preserving its pleasant taste and extending its shelf life. Lipids provide very good sources of energy and aid in the transport of fat-soluble vitamins, insulate and protect internal tissue, and contribute to important cell processes (</w:t>
      </w:r>
      <w:proofErr w:type="spellStart"/>
      <w:r w:rsidRPr="0006358C">
        <w:rPr>
          <w:rFonts w:ascii="Arial" w:hAnsi="Arial" w:cs="Arial"/>
          <w:sz w:val="20"/>
          <w:szCs w:val="20"/>
        </w:rPr>
        <w:t>Kabilar</w:t>
      </w:r>
      <w:proofErr w:type="spellEnd"/>
      <w:r w:rsidRPr="0006358C">
        <w:rPr>
          <w:rFonts w:ascii="Arial" w:hAnsi="Arial" w:cs="Arial"/>
          <w:sz w:val="20"/>
          <w:szCs w:val="20"/>
        </w:rPr>
        <w:t xml:space="preserve"> et al., 2018). Furthermore, higher fat composition may cause rancidity and encourage contamination of flours. </w:t>
      </w:r>
    </w:p>
    <w:p w14:paraId="5F861F6F" w14:textId="77777777" w:rsidR="0006358C" w:rsidRP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crude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 of the spaghetti blends ranged from 2.35% to 8.56%. The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contents of this study were reported higher than that of </w:t>
      </w:r>
      <w:proofErr w:type="spellStart"/>
      <w:r w:rsidRPr="0006358C">
        <w:rPr>
          <w:rFonts w:ascii="Arial" w:hAnsi="Arial" w:cs="Arial"/>
          <w:sz w:val="20"/>
          <w:szCs w:val="20"/>
        </w:rPr>
        <w:t>Animasaun</w:t>
      </w:r>
      <w:proofErr w:type="spellEnd"/>
      <w:r w:rsidRPr="0006358C">
        <w:rPr>
          <w:rFonts w:ascii="Arial" w:hAnsi="Arial" w:cs="Arial"/>
          <w:sz w:val="20"/>
          <w:szCs w:val="20"/>
        </w:rPr>
        <w:t xml:space="preserve"> et al. (2017) and Edet et al. (2017) who reported crude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range of 0.23% to 0.79%, and are comparably higher than 2.41 to 2.98% previously reported for wheat flour and plantain spaghetti blend by Akinyemi et al. (2020) and 1.33 to 2.67 % by James et al.</w:t>
      </w:r>
      <w:r w:rsidRPr="0006358C">
        <w:rPr>
          <w:rFonts w:ascii="Arial" w:hAnsi="Arial" w:cs="Arial"/>
          <w:i/>
          <w:iCs/>
          <w:sz w:val="20"/>
          <w:szCs w:val="20"/>
        </w:rPr>
        <w:t xml:space="preserve"> </w:t>
      </w:r>
      <w:r w:rsidRPr="0006358C">
        <w:rPr>
          <w:rFonts w:ascii="Arial" w:hAnsi="Arial" w:cs="Arial"/>
          <w:sz w:val="20"/>
          <w:szCs w:val="20"/>
        </w:rPr>
        <w:t>(2017), for the blends of wheat, Bambara nut and cassava flour but within the ranged of 2.0 to 8.2% as documented by</w:t>
      </w:r>
      <w:r w:rsidRPr="0006358C">
        <w:rPr>
          <w:rFonts w:ascii="Arial" w:hAnsi="Arial" w:cs="Arial"/>
          <w:b/>
          <w:bCs/>
          <w:sz w:val="20"/>
          <w:szCs w:val="20"/>
        </w:rPr>
        <w:t xml:space="preserve"> </w:t>
      </w:r>
      <w:r w:rsidRPr="0006358C">
        <w:rPr>
          <w:rFonts w:ascii="Arial" w:hAnsi="Arial" w:cs="Arial"/>
          <w:sz w:val="20"/>
          <w:szCs w:val="20"/>
        </w:rPr>
        <w:t xml:space="preserve">Sakshi et al. (2024). The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 increased with increasing levels of substitution with </w:t>
      </w:r>
      <w:r w:rsidRPr="0006358C">
        <w:rPr>
          <w:rFonts w:ascii="Arial" w:hAnsi="Arial" w:cs="Arial"/>
          <w:i/>
          <w:sz w:val="20"/>
          <w:szCs w:val="20"/>
        </w:rPr>
        <w:t xml:space="preserve">Bombax </w:t>
      </w:r>
      <w:proofErr w:type="spellStart"/>
      <w:r w:rsidRPr="0006358C">
        <w:rPr>
          <w:rFonts w:ascii="Arial" w:hAnsi="Arial" w:cs="Arial"/>
          <w:i/>
          <w:sz w:val="20"/>
          <w:szCs w:val="20"/>
        </w:rPr>
        <w:t>costatum</w:t>
      </w:r>
      <w:proofErr w:type="spellEnd"/>
      <w:r w:rsidRPr="0006358C">
        <w:rPr>
          <w:rFonts w:ascii="Arial" w:hAnsi="Arial" w:cs="Arial"/>
          <w:i/>
          <w:sz w:val="20"/>
          <w:szCs w:val="20"/>
        </w:rPr>
        <w:t xml:space="preserve"> </w:t>
      </w:r>
      <w:r w:rsidRPr="0006358C">
        <w:rPr>
          <w:rFonts w:ascii="Arial" w:hAnsi="Arial" w:cs="Arial"/>
          <w:sz w:val="20"/>
          <w:szCs w:val="20"/>
        </w:rPr>
        <w:t xml:space="preserve">calyces. The increased value indicates that </w:t>
      </w:r>
      <w:r w:rsidRPr="0006358C">
        <w:rPr>
          <w:rFonts w:ascii="Arial" w:hAnsi="Arial" w:cs="Arial"/>
          <w:i/>
          <w:sz w:val="20"/>
          <w:szCs w:val="20"/>
        </w:rPr>
        <w:t xml:space="preserve">Bombax </w:t>
      </w:r>
      <w:proofErr w:type="spellStart"/>
      <w:r w:rsidRPr="0006358C">
        <w:rPr>
          <w:rFonts w:ascii="Arial" w:hAnsi="Arial" w:cs="Arial"/>
          <w:i/>
          <w:sz w:val="20"/>
          <w:szCs w:val="20"/>
        </w:rPr>
        <w:t>costatum</w:t>
      </w:r>
      <w:proofErr w:type="spellEnd"/>
      <w:r w:rsidRPr="0006358C">
        <w:rPr>
          <w:rFonts w:ascii="Arial" w:hAnsi="Arial" w:cs="Arial"/>
          <w:i/>
          <w:sz w:val="20"/>
          <w:szCs w:val="20"/>
        </w:rPr>
        <w:t xml:space="preserve"> </w:t>
      </w:r>
      <w:r w:rsidRPr="0006358C">
        <w:rPr>
          <w:rFonts w:ascii="Arial" w:hAnsi="Arial" w:cs="Arial"/>
          <w:sz w:val="20"/>
          <w:szCs w:val="20"/>
        </w:rPr>
        <w:t xml:space="preserve">calyces are a good source of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The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content was below the recommended range of 10 to 35% of the USRDA, 2015.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assists digestion and keeps the gastrointestinal tract healthy, adds bulk to the stomach, helps keep blood sugar stable, and reduces constipation (</w:t>
      </w:r>
      <w:proofErr w:type="spellStart"/>
      <w:r w:rsidRPr="0006358C">
        <w:rPr>
          <w:rFonts w:ascii="Arial" w:hAnsi="Arial" w:cs="Arial"/>
          <w:sz w:val="20"/>
          <w:szCs w:val="20"/>
        </w:rPr>
        <w:t>Egbuonu</w:t>
      </w:r>
      <w:proofErr w:type="spellEnd"/>
      <w:r w:rsidRPr="0006358C">
        <w:rPr>
          <w:rFonts w:ascii="Arial" w:hAnsi="Arial" w:cs="Arial"/>
          <w:sz w:val="20"/>
          <w:szCs w:val="20"/>
        </w:rPr>
        <w:t xml:space="preserve"> &amp; </w:t>
      </w:r>
      <w:proofErr w:type="spellStart"/>
      <w:r w:rsidRPr="0006358C">
        <w:rPr>
          <w:rFonts w:ascii="Arial" w:hAnsi="Arial" w:cs="Arial"/>
          <w:sz w:val="20"/>
          <w:szCs w:val="20"/>
        </w:rPr>
        <w:t>Nzewi</w:t>
      </w:r>
      <w:proofErr w:type="spellEnd"/>
      <w:r w:rsidRPr="0006358C">
        <w:rPr>
          <w:rFonts w:ascii="Arial" w:hAnsi="Arial" w:cs="Arial"/>
          <w:sz w:val="20"/>
          <w:szCs w:val="20"/>
        </w:rPr>
        <w:t xml:space="preserve">, 2016). The viscose and fibrous structure of dietary </w:t>
      </w:r>
      <w:proofErr w:type="spellStart"/>
      <w:r w:rsidRPr="0006358C">
        <w:rPr>
          <w:rFonts w:ascii="Arial" w:hAnsi="Arial" w:cs="Arial"/>
          <w:sz w:val="20"/>
          <w:szCs w:val="20"/>
        </w:rPr>
        <w:t>fibre</w:t>
      </w:r>
      <w:proofErr w:type="spellEnd"/>
      <w:r w:rsidRPr="0006358C">
        <w:rPr>
          <w:rFonts w:ascii="Arial" w:hAnsi="Arial" w:cs="Arial"/>
          <w:sz w:val="20"/>
          <w:szCs w:val="20"/>
        </w:rPr>
        <w:t xml:space="preserve"> controls the release of glucose with time in the blood, which helps in the proper control and management of diabetes mellitus and obesity (Giovanna et al., 2021)</w:t>
      </w:r>
    </w:p>
    <w:p w14:paraId="3770DD23" w14:textId="77777777" w:rsidR="0006358C" w:rsidRP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results for the ash content of the spaghetti show values ranging from 2.03% to 3.56. The ash content increased with increasing level of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 </w:t>
      </w:r>
      <w:r w:rsidRPr="0006358C">
        <w:rPr>
          <w:rFonts w:ascii="Arial" w:hAnsi="Arial" w:cs="Arial"/>
          <w:sz w:val="20"/>
          <w:szCs w:val="20"/>
        </w:rPr>
        <w:t xml:space="preserve">in the spaghetti blends and the flour. This could be as the result of the extrusion. Ash content is an indication of the raw mineral profiles of food products. The increase in ash content indicates the high mineral content of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w:t>
      </w:r>
      <w:r w:rsidRPr="0006358C">
        <w:rPr>
          <w:rFonts w:ascii="Arial" w:hAnsi="Arial" w:cs="Arial"/>
          <w:sz w:val="20"/>
          <w:szCs w:val="20"/>
        </w:rPr>
        <w:t xml:space="preserve"> The ash content in the present study is higher than the 1.08 to 1.50% and 1.78 to 2.40% reported by James </w:t>
      </w:r>
      <w:r w:rsidRPr="0006358C">
        <w:rPr>
          <w:rFonts w:ascii="Arial" w:hAnsi="Arial" w:cs="Arial"/>
          <w:i/>
          <w:iCs/>
          <w:sz w:val="20"/>
          <w:szCs w:val="20"/>
        </w:rPr>
        <w:t>et al.</w:t>
      </w:r>
      <w:r w:rsidRPr="0006358C">
        <w:rPr>
          <w:rFonts w:ascii="Arial" w:hAnsi="Arial" w:cs="Arial"/>
          <w:sz w:val="20"/>
          <w:szCs w:val="20"/>
        </w:rPr>
        <w:t xml:space="preserve"> (2017) and Akinyemi et al</w:t>
      </w:r>
      <w:r w:rsidRPr="0006358C">
        <w:rPr>
          <w:rFonts w:ascii="Arial" w:hAnsi="Arial" w:cs="Arial"/>
          <w:i/>
          <w:iCs/>
          <w:sz w:val="20"/>
          <w:szCs w:val="20"/>
        </w:rPr>
        <w:t>.</w:t>
      </w:r>
      <w:r w:rsidRPr="0006358C">
        <w:rPr>
          <w:rFonts w:ascii="Arial" w:hAnsi="Arial" w:cs="Arial"/>
          <w:sz w:val="20"/>
          <w:szCs w:val="20"/>
        </w:rPr>
        <w:t xml:space="preserve"> (2020), respectively, as well as the 1.5 to 2.3% reported by Sakshi et al</w:t>
      </w:r>
      <w:r w:rsidRPr="0006358C">
        <w:rPr>
          <w:rFonts w:ascii="Arial" w:hAnsi="Arial" w:cs="Arial"/>
          <w:i/>
          <w:iCs/>
          <w:sz w:val="20"/>
          <w:szCs w:val="20"/>
        </w:rPr>
        <w:t>.</w:t>
      </w:r>
      <w:r w:rsidRPr="0006358C">
        <w:rPr>
          <w:rFonts w:ascii="Arial" w:hAnsi="Arial" w:cs="Arial"/>
          <w:sz w:val="20"/>
          <w:szCs w:val="20"/>
        </w:rPr>
        <w:t xml:space="preserve"> (2024). The high mineral content of the spaghetti blends is advantageous for preventing micronutrient malnutrition through food supplementation.</w:t>
      </w:r>
    </w:p>
    <w:p w14:paraId="7FE04C32" w14:textId="77777777" w:rsidR="0006358C" w:rsidRDefault="0006358C" w:rsidP="0006358C">
      <w:pPr>
        <w:spacing w:before="240" w:after="0" w:line="240" w:lineRule="auto"/>
        <w:jc w:val="both"/>
        <w:rPr>
          <w:rFonts w:ascii="Arial" w:hAnsi="Arial" w:cs="Arial"/>
          <w:sz w:val="20"/>
          <w:szCs w:val="20"/>
        </w:rPr>
      </w:pPr>
      <w:r w:rsidRPr="0006358C">
        <w:rPr>
          <w:rFonts w:ascii="Arial" w:hAnsi="Arial" w:cs="Arial"/>
          <w:sz w:val="20"/>
          <w:szCs w:val="20"/>
        </w:rPr>
        <w:t xml:space="preserve">The carbohydrate content of the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 </w:t>
      </w:r>
      <w:r w:rsidRPr="0006358C">
        <w:rPr>
          <w:rFonts w:ascii="Arial" w:hAnsi="Arial" w:cs="Arial"/>
          <w:sz w:val="20"/>
          <w:szCs w:val="20"/>
        </w:rPr>
        <w:t xml:space="preserve">blends samples ranged from 65.47% to 68.82%, decreasing considerably from 68.82% wheat -sorghum blends to 65.47% in the blends containing 40% </w:t>
      </w:r>
      <w:r w:rsidRPr="0006358C">
        <w:rPr>
          <w:rFonts w:ascii="Arial" w:hAnsi="Arial" w:cs="Arial"/>
          <w:i/>
          <w:iCs/>
          <w:sz w:val="20"/>
          <w:szCs w:val="20"/>
        </w:rPr>
        <w:t xml:space="preserve">Bombax </w:t>
      </w:r>
      <w:proofErr w:type="spellStart"/>
      <w:r w:rsidRPr="0006358C">
        <w:rPr>
          <w:rFonts w:ascii="Arial" w:hAnsi="Arial" w:cs="Arial"/>
          <w:i/>
          <w:iCs/>
          <w:sz w:val="20"/>
          <w:szCs w:val="20"/>
        </w:rPr>
        <w:t>costatum</w:t>
      </w:r>
      <w:proofErr w:type="spellEnd"/>
      <w:r w:rsidRPr="0006358C">
        <w:rPr>
          <w:rFonts w:ascii="Arial" w:hAnsi="Arial" w:cs="Arial"/>
          <w:i/>
          <w:iCs/>
          <w:sz w:val="20"/>
          <w:szCs w:val="20"/>
        </w:rPr>
        <w:t xml:space="preserve"> calyces </w:t>
      </w:r>
      <w:r w:rsidRPr="0006358C">
        <w:rPr>
          <w:rFonts w:ascii="Arial" w:hAnsi="Arial" w:cs="Arial"/>
          <w:sz w:val="20"/>
          <w:szCs w:val="20"/>
        </w:rPr>
        <w:t xml:space="preserve">and 61.12% to 68.71% from the range of raw flour blends. However, the values are within the range of 59.53 to 67.08% as reported by Akinyemi et al. (2020) in wheat flour and plantain. and slightly below the 75.10 to 77.32 % as reported by James et al. (2017) in the blend of wheat flour, </w:t>
      </w:r>
      <w:r w:rsidRPr="0006358C">
        <w:rPr>
          <w:rFonts w:ascii="Arial" w:hAnsi="Arial" w:cs="Arial"/>
          <w:sz w:val="20"/>
          <w:szCs w:val="20"/>
        </w:rPr>
        <w:lastRenderedPageBreak/>
        <w:t xml:space="preserve">cassava flour, and Bambara nut flour. Carbohydrates, apart from supplying energy to cells such as the brain, muscles, and blood, and contributing to mechanisms, act as a mild natural laxative, and spare proteins as an energy source (Idowu </w:t>
      </w:r>
      <w:r w:rsidRPr="0006358C">
        <w:rPr>
          <w:rFonts w:ascii="Arial" w:hAnsi="Arial" w:cs="Arial"/>
          <w:i/>
          <w:iCs/>
          <w:sz w:val="20"/>
          <w:szCs w:val="20"/>
        </w:rPr>
        <w:t>et al.,</w:t>
      </w:r>
      <w:r w:rsidRPr="0006358C">
        <w:rPr>
          <w:rFonts w:ascii="Arial" w:hAnsi="Arial" w:cs="Arial"/>
          <w:sz w:val="20"/>
          <w:szCs w:val="20"/>
        </w:rPr>
        <w:t xml:space="preserve"> 2017). It is therefore inferred that the formulated spaghetti blends are rich in energy and can provide energy for growing infants.</w:t>
      </w:r>
    </w:p>
    <w:p w14:paraId="05B2BC4B" w14:textId="77777777" w:rsidR="00012D5B" w:rsidRPr="00D64787" w:rsidRDefault="00836009" w:rsidP="00012D5B">
      <w:pPr>
        <w:pStyle w:val="Heading3"/>
        <w:rPr>
          <w:rFonts w:ascii="Times New Roman" w:hAnsi="Times New Roman" w:cs="Times New Roman"/>
          <w:b/>
          <w:bCs/>
          <w:color w:val="auto"/>
          <w:sz w:val="24"/>
          <w:szCs w:val="24"/>
        </w:rPr>
      </w:pPr>
      <w:r w:rsidRPr="00012D5B">
        <w:rPr>
          <w:rFonts w:ascii="Arial" w:hAnsi="Arial" w:cs="Arial"/>
          <w:sz w:val="22"/>
          <w:szCs w:val="22"/>
        </w:rPr>
        <w:t xml:space="preserve">3.2 </w:t>
      </w:r>
      <w:r w:rsidR="00012D5B" w:rsidRPr="00012D5B">
        <w:rPr>
          <w:rFonts w:ascii="Arial" w:hAnsi="Arial" w:cs="Arial"/>
          <w:b/>
          <w:bCs/>
          <w:color w:val="auto"/>
          <w:sz w:val="22"/>
          <w:szCs w:val="22"/>
        </w:rPr>
        <w:t>Mineral composition (mg/100g) of Wheat-Sorghum-</w:t>
      </w:r>
      <w:r w:rsidR="00012D5B" w:rsidRPr="00012D5B">
        <w:rPr>
          <w:rFonts w:ascii="Arial" w:hAnsi="Arial" w:cs="Arial"/>
          <w:b/>
          <w:bCs/>
          <w:i/>
          <w:iCs/>
          <w:color w:val="auto"/>
          <w:sz w:val="22"/>
          <w:szCs w:val="22"/>
        </w:rPr>
        <w:t xml:space="preserve">Bombax </w:t>
      </w:r>
      <w:proofErr w:type="spellStart"/>
      <w:r w:rsidR="00012D5B" w:rsidRPr="00012D5B">
        <w:rPr>
          <w:rFonts w:ascii="Arial" w:hAnsi="Arial" w:cs="Arial"/>
          <w:b/>
          <w:bCs/>
          <w:i/>
          <w:iCs/>
          <w:color w:val="auto"/>
          <w:sz w:val="22"/>
          <w:szCs w:val="22"/>
        </w:rPr>
        <w:t>costatum</w:t>
      </w:r>
      <w:proofErr w:type="spellEnd"/>
      <w:r w:rsidR="00012D5B" w:rsidRPr="00D64787">
        <w:rPr>
          <w:rFonts w:ascii="Times New Roman" w:hAnsi="Times New Roman" w:cs="Times New Roman"/>
          <w:b/>
          <w:bCs/>
          <w:i/>
          <w:iCs/>
          <w:color w:val="auto"/>
          <w:sz w:val="24"/>
          <w:szCs w:val="24"/>
        </w:rPr>
        <w:t xml:space="preserve"> </w:t>
      </w:r>
      <w:r w:rsidR="00012D5B" w:rsidRPr="00D64787">
        <w:rPr>
          <w:rFonts w:ascii="Times New Roman" w:hAnsi="Times New Roman" w:cs="Times New Roman"/>
          <w:b/>
          <w:bCs/>
          <w:color w:val="auto"/>
          <w:sz w:val="24"/>
          <w:szCs w:val="24"/>
        </w:rPr>
        <w:t xml:space="preserve">spaghetti </w:t>
      </w:r>
    </w:p>
    <w:p w14:paraId="1C312209" w14:textId="56C6F3DE" w:rsidR="00836009" w:rsidRDefault="00836009" w:rsidP="00836009">
      <w:pPr>
        <w:spacing w:before="240" w:line="240" w:lineRule="auto"/>
        <w:jc w:val="both"/>
        <w:rPr>
          <w:rFonts w:ascii="Arial" w:hAnsi="Arial" w:cs="Arial"/>
          <w:sz w:val="20"/>
          <w:szCs w:val="20"/>
        </w:rPr>
      </w:pPr>
      <w:r w:rsidRPr="00836009">
        <w:rPr>
          <w:rFonts w:ascii="Arial" w:hAnsi="Arial" w:cs="Arial"/>
          <w:sz w:val="20"/>
          <w:szCs w:val="20"/>
        </w:rPr>
        <w:t>The mineral composition of wheat-sorghum-</w:t>
      </w:r>
      <w:r w:rsidRPr="00836009">
        <w:rPr>
          <w:rFonts w:ascii="Arial" w:hAnsi="Arial" w:cs="Arial"/>
          <w:i/>
          <w:iCs/>
          <w:sz w:val="20"/>
          <w:szCs w:val="20"/>
        </w:rPr>
        <w:t xml:space="preserve"> 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calyces’ </w:t>
      </w:r>
      <w:r w:rsidRPr="00836009">
        <w:rPr>
          <w:rFonts w:ascii="Arial" w:hAnsi="Arial" w:cs="Arial"/>
          <w:sz w:val="20"/>
          <w:szCs w:val="20"/>
        </w:rPr>
        <w:t xml:space="preserve">spaghetti are presented in Table 2. There was a significant difference (p&gt;0.05) among the samples for all the minerals, with a significant increase in the addition of </w:t>
      </w:r>
      <w:r w:rsidRPr="00836009">
        <w:rPr>
          <w:rFonts w:ascii="Arial" w:hAnsi="Arial" w:cs="Arial"/>
          <w:i/>
          <w:sz w:val="20"/>
          <w:szCs w:val="20"/>
        </w:rPr>
        <w:t xml:space="preserve">Bombax </w:t>
      </w:r>
      <w:proofErr w:type="spellStart"/>
      <w:r w:rsidRPr="00836009">
        <w:rPr>
          <w:rFonts w:ascii="Arial" w:hAnsi="Arial" w:cs="Arial"/>
          <w:i/>
          <w:sz w:val="20"/>
          <w:szCs w:val="20"/>
        </w:rPr>
        <w:t>costatum</w:t>
      </w:r>
      <w:proofErr w:type="spellEnd"/>
      <w:r w:rsidRPr="00836009">
        <w:rPr>
          <w:rFonts w:ascii="Arial" w:hAnsi="Arial" w:cs="Arial"/>
          <w:i/>
          <w:sz w:val="20"/>
          <w:szCs w:val="20"/>
        </w:rPr>
        <w:t xml:space="preserve"> </w:t>
      </w:r>
      <w:r w:rsidRPr="00836009">
        <w:rPr>
          <w:rFonts w:ascii="Arial" w:hAnsi="Arial" w:cs="Arial"/>
          <w:i/>
          <w:iCs/>
          <w:sz w:val="20"/>
          <w:szCs w:val="20"/>
        </w:rPr>
        <w:t xml:space="preserve">calyces </w:t>
      </w:r>
      <w:r w:rsidRPr="00836009">
        <w:rPr>
          <w:rFonts w:ascii="Arial" w:hAnsi="Arial" w:cs="Arial"/>
          <w:sz w:val="20"/>
          <w:szCs w:val="20"/>
        </w:rPr>
        <w:t xml:space="preserve">for the spaghetti. The iron content of the spaghetti ranged from 5.20 mg/100g to 8.98 mg/100g with the blends 20:80 of (wheat: sorghum) and 20:40:40, for wheat, sorghum, and </w:t>
      </w:r>
      <w:r w:rsidRPr="00836009">
        <w:rPr>
          <w:rFonts w:ascii="Arial" w:hAnsi="Arial" w:cs="Arial"/>
          <w:i/>
          <w:iCs/>
          <w:sz w:val="20"/>
          <w:szCs w:val="20"/>
        </w:rPr>
        <w:t xml:space="preserve">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w:t>
      </w:r>
      <w:proofErr w:type="gramStart"/>
      <w:r w:rsidRPr="00836009">
        <w:rPr>
          <w:rFonts w:ascii="Arial" w:hAnsi="Arial" w:cs="Arial"/>
          <w:i/>
          <w:iCs/>
          <w:sz w:val="20"/>
          <w:szCs w:val="20"/>
        </w:rPr>
        <w:t>calyces</w:t>
      </w:r>
      <w:proofErr w:type="gramEnd"/>
      <w:r w:rsidRPr="00836009">
        <w:rPr>
          <w:rFonts w:ascii="Arial" w:hAnsi="Arial" w:cs="Arial"/>
          <w:i/>
          <w:iCs/>
          <w:sz w:val="20"/>
          <w:szCs w:val="20"/>
        </w:rPr>
        <w:t xml:space="preserve"> </w:t>
      </w:r>
      <w:r w:rsidRPr="00836009">
        <w:rPr>
          <w:rFonts w:ascii="Arial" w:hAnsi="Arial" w:cs="Arial"/>
          <w:sz w:val="20"/>
          <w:szCs w:val="20"/>
        </w:rPr>
        <w:t xml:space="preserve">spaghetti having the least and highest values, respectively. The iron content significantly increased with the addition of </w:t>
      </w:r>
      <w:r w:rsidRPr="00836009">
        <w:rPr>
          <w:rFonts w:ascii="Arial" w:hAnsi="Arial" w:cs="Arial"/>
          <w:i/>
          <w:iCs/>
          <w:sz w:val="20"/>
          <w:szCs w:val="20"/>
        </w:rPr>
        <w:t xml:space="preserve">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calyces, </w:t>
      </w:r>
      <w:r w:rsidRPr="00836009">
        <w:rPr>
          <w:rFonts w:ascii="Arial" w:hAnsi="Arial" w:cs="Arial"/>
          <w:sz w:val="20"/>
          <w:szCs w:val="20"/>
        </w:rPr>
        <w:t xml:space="preserve">demonstrating that </w:t>
      </w:r>
      <w:r w:rsidRPr="00836009">
        <w:rPr>
          <w:rFonts w:ascii="Arial" w:hAnsi="Arial" w:cs="Arial"/>
          <w:i/>
          <w:iCs/>
          <w:sz w:val="20"/>
          <w:szCs w:val="20"/>
        </w:rPr>
        <w:t xml:space="preserve">Bombax </w:t>
      </w:r>
      <w:proofErr w:type="spellStart"/>
      <w:r w:rsidRPr="00836009">
        <w:rPr>
          <w:rFonts w:ascii="Arial" w:hAnsi="Arial" w:cs="Arial"/>
          <w:i/>
          <w:iCs/>
          <w:sz w:val="20"/>
          <w:szCs w:val="20"/>
        </w:rPr>
        <w:t>costatum</w:t>
      </w:r>
      <w:proofErr w:type="spellEnd"/>
      <w:r w:rsidRPr="00836009">
        <w:rPr>
          <w:rFonts w:ascii="Arial" w:hAnsi="Arial" w:cs="Arial"/>
          <w:i/>
          <w:iCs/>
          <w:sz w:val="20"/>
          <w:szCs w:val="20"/>
        </w:rPr>
        <w:t xml:space="preserve"> is </w:t>
      </w:r>
      <w:r w:rsidRPr="00836009">
        <w:rPr>
          <w:rFonts w:ascii="Arial" w:hAnsi="Arial" w:cs="Arial"/>
          <w:sz w:val="20"/>
          <w:szCs w:val="20"/>
        </w:rPr>
        <w:t xml:space="preserve">a good source of iron. The iron content of the study samples was significantly low to recommended daily allowance of 16 mg/day to 18 mg/day for men and 12 mg/day for women. (USRDA, 2015). Iron has several functions in the human body, including being a constituent of the hemoglobin molecule (70%), myoglobin stored in muscles, an activating molecule for several enzymes, and a component of storage molecules such as ferritin and hemosiderin. Iron deficiency </w:t>
      </w:r>
      <w:proofErr w:type="spellStart"/>
      <w:r w:rsidRPr="00836009">
        <w:rPr>
          <w:rFonts w:ascii="Arial" w:hAnsi="Arial" w:cs="Arial"/>
          <w:sz w:val="20"/>
          <w:szCs w:val="20"/>
        </w:rPr>
        <w:t>anaemia</w:t>
      </w:r>
      <w:proofErr w:type="spellEnd"/>
      <w:r w:rsidRPr="00836009">
        <w:rPr>
          <w:rFonts w:ascii="Arial" w:hAnsi="Arial" w:cs="Arial"/>
          <w:sz w:val="20"/>
          <w:szCs w:val="20"/>
        </w:rPr>
        <w:t xml:space="preserve"> is characterized by small red cells (microcytosis) with low </w:t>
      </w:r>
      <w:proofErr w:type="spellStart"/>
      <w:r w:rsidRPr="00836009">
        <w:rPr>
          <w:rFonts w:ascii="Arial" w:hAnsi="Arial" w:cs="Arial"/>
          <w:sz w:val="20"/>
          <w:szCs w:val="20"/>
        </w:rPr>
        <w:t>haemoglobin</w:t>
      </w:r>
      <w:proofErr w:type="spellEnd"/>
      <w:r w:rsidRPr="00836009">
        <w:rPr>
          <w:rFonts w:ascii="Arial" w:hAnsi="Arial" w:cs="Arial"/>
          <w:sz w:val="20"/>
          <w:szCs w:val="20"/>
        </w:rPr>
        <w:t xml:space="preserve"> (</w:t>
      </w:r>
      <w:proofErr w:type="spellStart"/>
      <w:r w:rsidRPr="00836009">
        <w:rPr>
          <w:rFonts w:ascii="Arial" w:hAnsi="Arial" w:cs="Arial"/>
          <w:sz w:val="20"/>
          <w:szCs w:val="20"/>
        </w:rPr>
        <w:t>Pharmics</w:t>
      </w:r>
      <w:proofErr w:type="spellEnd"/>
      <w:r w:rsidRPr="00836009">
        <w:rPr>
          <w:rFonts w:ascii="Arial" w:hAnsi="Arial" w:cs="Arial"/>
          <w:sz w:val="20"/>
          <w:szCs w:val="20"/>
        </w:rPr>
        <w:t>, 2019).</w:t>
      </w:r>
    </w:p>
    <w:p w14:paraId="446DB959" w14:textId="77777777" w:rsidR="00012D5B" w:rsidRP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calcium content in the spaghetti blend samples ranged from 30.12 mg/100 g to 35.76 mg/100 g, with significant differences between them at p&lt;0.05. The calcium level increased as more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were added to the formulation. These values in the spaghetti were below the USRDA (1000 to 1200 mg) recommended daily calcium intake for adults aged 19 and above, 1300 mg for adolescents (9 to 18 years), and 700 to 1000 mg/day for pregnant and lactating women. Although the calcium levels in this study are below the recommended daily intake, they can still contribute to overall calcium intake when combined with other diets. Calcium plays a crucial role in blood clotting, muscle contractions, and the healthy growth and development of infants and children, as well as promoting bone formation. It is also an important component of intracellular processes in insulin-responsive tissues like skeletal muscle and adipose tissue (Akinsola et al., 2018). However, low calcium intake can lead to rickets in children, osteomalacia in adults, and osteoporosis, or bone thinning, in older individuals (</w:t>
      </w:r>
      <w:proofErr w:type="spellStart"/>
      <w:r w:rsidRPr="00012D5B">
        <w:rPr>
          <w:rFonts w:ascii="Arial" w:hAnsi="Arial" w:cs="Arial"/>
          <w:sz w:val="20"/>
          <w:szCs w:val="20"/>
        </w:rPr>
        <w:t>Arukwe</w:t>
      </w:r>
      <w:proofErr w:type="spellEnd"/>
      <w:r w:rsidRPr="00012D5B">
        <w:rPr>
          <w:rFonts w:ascii="Arial" w:hAnsi="Arial" w:cs="Arial"/>
          <w:sz w:val="20"/>
          <w:szCs w:val="20"/>
        </w:rPr>
        <w:t xml:space="preserve"> et al., 2023).</w:t>
      </w:r>
    </w:p>
    <w:p w14:paraId="406C537D" w14:textId="3D13723C" w:rsidR="00012D5B" w:rsidRP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magnesium content in the spaghetti ranged from 15.02 mg/100g to 56.72 mg/100g, as shown in Table 2. A significant increase in magnesium levels was observed as the ratio of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increased. However, magnesium levels were still below the US RDA of 80 to 130 mg/day for infants and children, 240 mg/day for adolescents and adults, 420 mg/day for men, and 310 mg/day for women. Magnesium helps maintain electrical potentials in nerves, activates many enzymes, and works with calcium to support muscle contraction, blood clotting, blood pressure regulation, and lung function (</w:t>
      </w:r>
      <w:proofErr w:type="spellStart"/>
      <w:r w:rsidRPr="00012D5B">
        <w:rPr>
          <w:rFonts w:ascii="Arial" w:hAnsi="Arial" w:cs="Arial"/>
          <w:sz w:val="20"/>
          <w:szCs w:val="20"/>
        </w:rPr>
        <w:t>Ndife</w:t>
      </w:r>
      <w:proofErr w:type="spellEnd"/>
      <w:r w:rsidRPr="00012D5B">
        <w:rPr>
          <w:rFonts w:ascii="Arial" w:hAnsi="Arial" w:cs="Arial"/>
          <w:sz w:val="20"/>
          <w:szCs w:val="20"/>
        </w:rPr>
        <w:t xml:space="preserve"> et al., 2020). It is essential for all biosynthetic processes, including glycolysis, cyclic ATP formation, energy-dependent membrane transport, and genetic code transmission (Koua et al., 2018). Magnesium is a vital component of all cells and necessary for enzymes involved in energy use and bone formation (Vivienne et al., 2016).</w:t>
      </w:r>
    </w:p>
    <w:p w14:paraId="16CBB92E" w14:textId="77777777" w:rsidR="00012D5B" w:rsidRP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blended spaghetti samples showed potassium levels ranging from 85.72 mg/100g to 144.15 mg/100g. These values were well below the USRDA value for both men and women adults (4700 mg/day). The potassium levels in the samples were higher than the 113.46 to 133.81 mg/100g reported by </w:t>
      </w:r>
      <w:proofErr w:type="spellStart"/>
      <w:r w:rsidRPr="00012D5B">
        <w:rPr>
          <w:rFonts w:ascii="Arial" w:hAnsi="Arial" w:cs="Arial"/>
          <w:sz w:val="20"/>
          <w:szCs w:val="20"/>
        </w:rPr>
        <w:t>Arukwe</w:t>
      </w:r>
      <w:proofErr w:type="spellEnd"/>
      <w:r w:rsidRPr="00012D5B">
        <w:rPr>
          <w:rFonts w:ascii="Arial" w:hAnsi="Arial" w:cs="Arial"/>
          <w:sz w:val="20"/>
          <w:szCs w:val="20"/>
        </w:rPr>
        <w:t xml:space="preserve"> et al. (2023). This could be due to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being a good source of potassium. Potassium is essential in blood clotting, muscle contraction, as an intracellular cation—most of which is bound to protein—and, along with sodium, influences osmotic pressure and helps maintain normal pH balance (</w:t>
      </w:r>
      <w:proofErr w:type="spellStart"/>
      <w:r w:rsidRPr="00012D5B">
        <w:rPr>
          <w:rFonts w:ascii="Arial" w:hAnsi="Arial" w:cs="Arial"/>
          <w:sz w:val="20"/>
          <w:szCs w:val="20"/>
        </w:rPr>
        <w:t>Chisom</w:t>
      </w:r>
      <w:proofErr w:type="spellEnd"/>
      <w:r w:rsidRPr="00012D5B">
        <w:rPr>
          <w:rFonts w:ascii="Arial" w:hAnsi="Arial" w:cs="Arial"/>
          <w:sz w:val="20"/>
          <w:szCs w:val="20"/>
        </w:rPr>
        <w:t xml:space="preserve"> &amp; </w:t>
      </w:r>
      <w:proofErr w:type="spellStart"/>
      <w:r w:rsidRPr="00012D5B">
        <w:rPr>
          <w:rFonts w:ascii="Arial" w:hAnsi="Arial" w:cs="Arial"/>
          <w:sz w:val="20"/>
          <w:szCs w:val="20"/>
        </w:rPr>
        <w:t>Okenwa</w:t>
      </w:r>
      <w:proofErr w:type="spellEnd"/>
      <w:r w:rsidRPr="00012D5B">
        <w:rPr>
          <w:rFonts w:ascii="Arial" w:hAnsi="Arial" w:cs="Arial"/>
          <w:sz w:val="20"/>
          <w:szCs w:val="20"/>
        </w:rPr>
        <w:t>, 2021).</w:t>
      </w:r>
    </w:p>
    <w:p w14:paraId="3F40FD4E" w14:textId="208BDA3A" w:rsidR="00012D5B"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phosphorus content in the spaghetti blends ranged from 35.26 mg/100g to 40.87 mg/100g, there was a significant decrease in phosphorus levels with the addition of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in the spaghetti. These results agree with previous findings that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are a good source of phosphorus (</w:t>
      </w:r>
      <w:proofErr w:type="spellStart"/>
      <w:r w:rsidRPr="00012D5B">
        <w:rPr>
          <w:rFonts w:ascii="Arial" w:hAnsi="Arial" w:cs="Arial"/>
          <w:sz w:val="20"/>
          <w:szCs w:val="20"/>
        </w:rPr>
        <w:t>Asiwa</w:t>
      </w:r>
      <w:proofErr w:type="spellEnd"/>
      <w:r w:rsidRPr="00012D5B">
        <w:rPr>
          <w:rFonts w:ascii="Arial" w:hAnsi="Arial" w:cs="Arial"/>
          <w:sz w:val="20"/>
          <w:szCs w:val="20"/>
        </w:rPr>
        <w:t xml:space="preserve"> &amp; </w:t>
      </w:r>
      <w:proofErr w:type="spellStart"/>
      <w:r w:rsidRPr="00012D5B">
        <w:rPr>
          <w:rFonts w:ascii="Arial" w:hAnsi="Arial" w:cs="Arial"/>
          <w:sz w:val="20"/>
          <w:szCs w:val="20"/>
        </w:rPr>
        <w:t>Ojo</w:t>
      </w:r>
      <w:proofErr w:type="spellEnd"/>
      <w:r w:rsidRPr="00012D5B">
        <w:rPr>
          <w:rFonts w:ascii="Arial" w:hAnsi="Arial" w:cs="Arial"/>
          <w:sz w:val="20"/>
          <w:szCs w:val="20"/>
        </w:rPr>
        <w:t xml:space="preserve">, 2024). The values observed in this study are lower than the 700 mg/day recommended by USRDA for adult males and females. Phosphorus plays a vital role in ATP formation, normal bone growth, </w:t>
      </w:r>
      <w:r w:rsidRPr="00012D5B">
        <w:rPr>
          <w:rFonts w:ascii="Arial" w:hAnsi="Arial" w:cs="Arial"/>
          <w:sz w:val="20"/>
          <w:szCs w:val="20"/>
        </w:rPr>
        <w:lastRenderedPageBreak/>
        <w:t>blood sugar regulation, and cell growth (</w:t>
      </w:r>
      <w:proofErr w:type="spellStart"/>
      <w:r w:rsidRPr="00012D5B">
        <w:rPr>
          <w:rFonts w:ascii="Arial" w:hAnsi="Arial" w:cs="Arial"/>
          <w:sz w:val="20"/>
          <w:szCs w:val="20"/>
        </w:rPr>
        <w:t>Chisom</w:t>
      </w:r>
      <w:proofErr w:type="spellEnd"/>
      <w:r w:rsidRPr="00012D5B">
        <w:rPr>
          <w:rFonts w:ascii="Arial" w:hAnsi="Arial" w:cs="Arial"/>
          <w:sz w:val="20"/>
          <w:szCs w:val="20"/>
        </w:rPr>
        <w:t xml:space="preserve"> &amp; </w:t>
      </w:r>
      <w:proofErr w:type="spellStart"/>
      <w:r w:rsidRPr="00012D5B">
        <w:rPr>
          <w:rFonts w:ascii="Arial" w:hAnsi="Arial" w:cs="Arial"/>
          <w:sz w:val="20"/>
          <w:szCs w:val="20"/>
        </w:rPr>
        <w:t>Okenwa</w:t>
      </w:r>
      <w:proofErr w:type="spellEnd"/>
      <w:r w:rsidRPr="00012D5B">
        <w:rPr>
          <w:rFonts w:ascii="Arial" w:hAnsi="Arial" w:cs="Arial"/>
          <w:sz w:val="20"/>
          <w:szCs w:val="20"/>
        </w:rPr>
        <w:t xml:space="preserve">, 2021). It is an essential element involved in numerous biological processes, including maintaining cell membrane integrity, nucleic acid synthesis, ATP production, and acid-base homeostasis (Penido &amp; Alon, 2012). Overall, considering these factors,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generally presents a good potential for supplementation in mineral-deficient diets and products, supporting the core objectives of this study.</w:t>
      </w:r>
    </w:p>
    <w:p w14:paraId="5C60DAE1" w14:textId="0C45E991" w:rsidR="00012D5B" w:rsidRPr="00BC1B66" w:rsidRDefault="00012D5B" w:rsidP="00012D5B">
      <w:pPr>
        <w:spacing w:before="240" w:line="240" w:lineRule="auto"/>
        <w:jc w:val="both"/>
        <w:rPr>
          <w:rFonts w:ascii="Arial" w:hAnsi="Arial" w:cs="Arial"/>
          <w:b/>
          <w:bCs/>
          <w:sz w:val="22"/>
          <w:szCs w:val="22"/>
        </w:rPr>
      </w:pPr>
      <w:r w:rsidRPr="00BC1B66">
        <w:rPr>
          <w:rFonts w:ascii="Arial" w:hAnsi="Arial" w:cs="Arial"/>
          <w:b/>
          <w:bCs/>
          <w:sz w:val="22"/>
          <w:szCs w:val="22"/>
        </w:rPr>
        <w:t>3.</w:t>
      </w:r>
      <w:r w:rsidR="00BC1B66" w:rsidRPr="00BC1B66">
        <w:rPr>
          <w:rFonts w:ascii="Arial" w:hAnsi="Arial" w:cs="Arial"/>
          <w:b/>
          <w:bCs/>
          <w:sz w:val="22"/>
          <w:szCs w:val="22"/>
        </w:rPr>
        <w:t>3</w:t>
      </w:r>
      <w:r w:rsidRPr="00BC1B66">
        <w:rPr>
          <w:rFonts w:ascii="Arial" w:hAnsi="Arial" w:cs="Arial"/>
          <w:b/>
          <w:bCs/>
          <w:sz w:val="22"/>
          <w:szCs w:val="22"/>
        </w:rPr>
        <w:t xml:space="preserve"> Vitamins composition of wheat-sorghum-Bombax </w:t>
      </w:r>
      <w:proofErr w:type="spellStart"/>
      <w:r w:rsidRPr="00BC1B66">
        <w:rPr>
          <w:rFonts w:ascii="Arial" w:hAnsi="Arial" w:cs="Arial"/>
          <w:b/>
          <w:bCs/>
          <w:sz w:val="22"/>
          <w:szCs w:val="22"/>
        </w:rPr>
        <w:t>costatum</w:t>
      </w:r>
      <w:proofErr w:type="spellEnd"/>
      <w:r w:rsidRPr="00BC1B66">
        <w:rPr>
          <w:rFonts w:ascii="Arial" w:hAnsi="Arial" w:cs="Arial"/>
          <w:b/>
          <w:bCs/>
          <w:sz w:val="22"/>
          <w:szCs w:val="22"/>
        </w:rPr>
        <w:t xml:space="preserve"> spaghetti and flour</w:t>
      </w:r>
    </w:p>
    <w:p w14:paraId="615E987B" w14:textId="76F8AD0B" w:rsidR="00012D5B" w:rsidRPr="00836009" w:rsidRDefault="00012D5B" w:rsidP="00012D5B">
      <w:pPr>
        <w:spacing w:before="240" w:line="240" w:lineRule="auto"/>
        <w:jc w:val="both"/>
        <w:rPr>
          <w:rFonts w:ascii="Arial" w:hAnsi="Arial" w:cs="Arial"/>
          <w:sz w:val="20"/>
          <w:szCs w:val="20"/>
        </w:rPr>
      </w:pPr>
      <w:r w:rsidRPr="00012D5B">
        <w:rPr>
          <w:rFonts w:ascii="Arial" w:hAnsi="Arial" w:cs="Arial"/>
          <w:sz w:val="20"/>
          <w:szCs w:val="20"/>
        </w:rPr>
        <w:t xml:space="preserve">The results for vitamin C, A, and E contents in the spaghetti blends ranged from 0.0115 mg/100g to 0.0255 mg/100g, 0.0525 mg/100g to 0.1350 mg/100g, and 0.1350 mg/100g to 0.3850 mg/100g, respectively, as presented in Table.3. Statistical differences were observed in all the samples tested. Vitamins are essential nutrients beneficial to humans because of their involvement in biochemical activities, especially in the Krebs cycle pathway, which helps maintain body temperature and provide energy, even during sleep or rest. Vitamin C is necessary for maintaining health, gum health, wound healing, removing excess oxygen from the system, and acts as a powerful antioxidant (Akinyemi et al., 2020). Price (2015) reported that vitamin C is vital for collagen formation, iron absorption, and the metabolism of certain proteins and folic acid. It also prevents oxidation of other vitamins, assists in the metabolism of acids and calcium, stops internal bleeding, strengthens blood vessels, and helps maintain strong bones and teeth. Additionally, it enhances stamina, supports the integrity of body cells, prevents infections, colds, fatigue, and stress, reduces allergies, and aids in healing burns (Margret &amp; James, 2025). Vitamin A is very important for growth, reproduction, good vision, healthy skin, hair, and nails, and for maintaining energy balance in the human body, as reported in Akinyemi et al., (2020). The vitamin A content increases with the inclusion of Bombax </w:t>
      </w:r>
      <w:proofErr w:type="spellStart"/>
      <w:r w:rsidRPr="00012D5B">
        <w:rPr>
          <w:rFonts w:ascii="Arial" w:hAnsi="Arial" w:cs="Arial"/>
          <w:sz w:val="20"/>
          <w:szCs w:val="20"/>
        </w:rPr>
        <w:t>costatum</w:t>
      </w:r>
      <w:proofErr w:type="spellEnd"/>
      <w:r w:rsidRPr="00012D5B">
        <w:rPr>
          <w:rFonts w:ascii="Arial" w:hAnsi="Arial" w:cs="Arial"/>
          <w:sz w:val="20"/>
          <w:szCs w:val="20"/>
        </w:rPr>
        <w:t xml:space="preserve"> calyces. According to Edet et al., (2017), vitamin A also regulates the immune system, helping to fight infections by producing white blood cells that destroy harmful bacteria and viruses.</w:t>
      </w:r>
    </w:p>
    <w:p w14:paraId="2863B2EE" w14:textId="13D42A8E" w:rsidR="00BC1B66" w:rsidRDefault="00BC1B66" w:rsidP="00BC1B66">
      <w:pPr>
        <w:spacing w:before="240" w:after="0" w:line="240" w:lineRule="auto"/>
        <w:jc w:val="both"/>
        <w:rPr>
          <w:rFonts w:ascii="Arial" w:hAnsi="Arial" w:cs="Arial"/>
          <w:b/>
          <w:bCs/>
          <w:sz w:val="22"/>
          <w:szCs w:val="22"/>
        </w:rPr>
      </w:pPr>
      <w:r w:rsidRPr="00BC1B66">
        <w:rPr>
          <w:rFonts w:ascii="Arial" w:hAnsi="Arial" w:cs="Arial"/>
          <w:sz w:val="22"/>
          <w:szCs w:val="22"/>
        </w:rPr>
        <w:t>3.4</w:t>
      </w:r>
      <w:r w:rsidRPr="00BC1B66">
        <w:rPr>
          <w:rFonts w:ascii="Arial" w:hAnsi="Arial" w:cs="Arial"/>
          <w:b/>
          <w:bCs/>
          <w:sz w:val="22"/>
          <w:szCs w:val="22"/>
        </w:rPr>
        <w:t>: Antinutrients composition (mg/100g) of wheat-sorghum-</w:t>
      </w:r>
      <w:r w:rsidRPr="00BC1B66">
        <w:rPr>
          <w:rFonts w:ascii="Arial" w:hAnsi="Arial" w:cs="Arial"/>
          <w:b/>
          <w:bCs/>
          <w:i/>
          <w:iCs/>
          <w:sz w:val="22"/>
          <w:szCs w:val="22"/>
        </w:rPr>
        <w:t xml:space="preserve">Bombax </w:t>
      </w:r>
      <w:proofErr w:type="spellStart"/>
      <w:r w:rsidRPr="00BC1B66">
        <w:rPr>
          <w:rFonts w:ascii="Arial" w:hAnsi="Arial" w:cs="Arial"/>
          <w:b/>
          <w:bCs/>
          <w:i/>
          <w:iCs/>
          <w:sz w:val="22"/>
          <w:szCs w:val="22"/>
        </w:rPr>
        <w:t>costatum</w:t>
      </w:r>
      <w:proofErr w:type="spellEnd"/>
      <w:r w:rsidRPr="00BC1B66">
        <w:rPr>
          <w:rFonts w:ascii="Arial" w:hAnsi="Arial" w:cs="Arial"/>
          <w:b/>
          <w:bCs/>
          <w:i/>
          <w:iCs/>
          <w:sz w:val="22"/>
          <w:szCs w:val="22"/>
        </w:rPr>
        <w:t xml:space="preserve"> </w:t>
      </w:r>
      <w:r w:rsidRPr="00BC1B66">
        <w:rPr>
          <w:rFonts w:ascii="Arial" w:hAnsi="Arial" w:cs="Arial"/>
          <w:b/>
          <w:bCs/>
          <w:sz w:val="22"/>
          <w:szCs w:val="22"/>
        </w:rPr>
        <w:t>spaghetti</w:t>
      </w:r>
    </w:p>
    <w:p w14:paraId="59DE136A" w14:textId="2AF5446D" w:rsidR="0006358C" w:rsidRPr="00D80646" w:rsidRDefault="00BC1B66" w:rsidP="00D80646">
      <w:pPr>
        <w:spacing w:before="240" w:after="0" w:line="240" w:lineRule="auto"/>
        <w:jc w:val="both"/>
        <w:rPr>
          <w:rFonts w:ascii="Arial" w:hAnsi="Arial" w:cs="Arial"/>
          <w:sz w:val="20"/>
          <w:szCs w:val="20"/>
        </w:rPr>
      </w:pPr>
      <w:r w:rsidRPr="00BC1B66">
        <w:rPr>
          <w:rFonts w:ascii="Arial" w:hAnsi="Arial" w:cs="Arial"/>
          <w:b/>
          <w:bCs/>
          <w:sz w:val="22"/>
          <w:szCs w:val="22"/>
        </w:rPr>
        <w:t xml:space="preserve"> </w:t>
      </w:r>
      <w:r w:rsidRPr="00BC1B66">
        <w:rPr>
          <w:rFonts w:ascii="Arial" w:hAnsi="Arial" w:cs="Arial"/>
          <w:sz w:val="20"/>
          <w:szCs w:val="20"/>
        </w:rPr>
        <w:t>Anti-nutritional factors are chemical compounds naturally produced in food and/or feedstuffs by the normal metabolism of species, which have effects that are contrary to optimal nutrition (</w:t>
      </w:r>
      <w:proofErr w:type="spellStart"/>
      <w:r w:rsidRPr="00BC1B66">
        <w:rPr>
          <w:rFonts w:ascii="Arial" w:hAnsi="Arial" w:cs="Arial"/>
          <w:sz w:val="20"/>
          <w:szCs w:val="20"/>
        </w:rPr>
        <w:t>Gemede</w:t>
      </w:r>
      <w:proofErr w:type="spellEnd"/>
      <w:r w:rsidRPr="00BC1B66">
        <w:rPr>
          <w:rFonts w:ascii="Arial" w:hAnsi="Arial" w:cs="Arial"/>
          <w:sz w:val="20"/>
          <w:szCs w:val="20"/>
        </w:rPr>
        <w:t xml:space="preserve"> &amp; </w:t>
      </w:r>
      <w:proofErr w:type="spellStart"/>
      <w:r w:rsidRPr="00BC1B66">
        <w:rPr>
          <w:rFonts w:ascii="Arial" w:hAnsi="Arial" w:cs="Arial"/>
          <w:sz w:val="20"/>
          <w:szCs w:val="20"/>
        </w:rPr>
        <w:t>Ratta</w:t>
      </w:r>
      <w:proofErr w:type="spellEnd"/>
      <w:r w:rsidRPr="00BC1B66">
        <w:rPr>
          <w:rFonts w:ascii="Arial" w:hAnsi="Arial" w:cs="Arial"/>
          <w:sz w:val="20"/>
          <w:szCs w:val="20"/>
        </w:rPr>
        <w:t>, 2014). These factors also reduce the maximum utilization of nutrients, especially proteins, vitamins, and minerals, thereby hindering the efficient use of nutrients in food and reducing its nutritive value (</w:t>
      </w:r>
      <w:proofErr w:type="spellStart"/>
      <w:r w:rsidRPr="00BC1B66">
        <w:rPr>
          <w:rFonts w:ascii="Arial" w:hAnsi="Arial" w:cs="Arial"/>
          <w:sz w:val="20"/>
          <w:szCs w:val="20"/>
        </w:rPr>
        <w:t>Natol</w:t>
      </w:r>
      <w:proofErr w:type="spellEnd"/>
      <w:r w:rsidRPr="00BC1B66">
        <w:rPr>
          <w:rFonts w:ascii="Arial" w:hAnsi="Arial" w:cs="Arial"/>
          <w:sz w:val="20"/>
          <w:szCs w:val="20"/>
        </w:rPr>
        <w:t xml:space="preserve"> et al., 2023). The results for the antinutritional factors in spaghetti blends shown in Table 4. There was no significant (p&gt;0.05) decrease in any of the samples studied. The oxalate content ranged from 0.0</w:t>
      </w:r>
      <w:r w:rsidR="008D1A88">
        <w:rPr>
          <w:rFonts w:ascii="Arial" w:hAnsi="Arial" w:cs="Arial"/>
          <w:sz w:val="20"/>
          <w:szCs w:val="20"/>
        </w:rPr>
        <w:t>3</w:t>
      </w:r>
      <w:r w:rsidRPr="00BC1B66">
        <w:rPr>
          <w:rFonts w:ascii="Arial" w:hAnsi="Arial" w:cs="Arial"/>
          <w:sz w:val="20"/>
          <w:szCs w:val="20"/>
        </w:rPr>
        <w:t xml:space="preserve"> mg/100g to 0.0</w:t>
      </w:r>
      <w:r w:rsidR="006C2C9C">
        <w:rPr>
          <w:rFonts w:ascii="Arial" w:hAnsi="Arial" w:cs="Arial"/>
          <w:sz w:val="20"/>
          <w:szCs w:val="20"/>
        </w:rPr>
        <w:t>6</w:t>
      </w:r>
      <w:r w:rsidRPr="00BC1B66">
        <w:rPr>
          <w:rFonts w:ascii="Arial" w:hAnsi="Arial" w:cs="Arial"/>
          <w:sz w:val="20"/>
          <w:szCs w:val="20"/>
        </w:rPr>
        <w:t xml:space="preserve"> mg/100g in the spaghetti. A gradual decrease in oxalates was observed in spaghetti samples containing Bombax </w:t>
      </w:r>
      <w:proofErr w:type="spellStart"/>
      <w:r w:rsidRPr="00BC1B66">
        <w:rPr>
          <w:rFonts w:ascii="Arial" w:hAnsi="Arial" w:cs="Arial"/>
          <w:sz w:val="20"/>
          <w:szCs w:val="20"/>
        </w:rPr>
        <w:t>costatum</w:t>
      </w:r>
      <w:proofErr w:type="spellEnd"/>
      <w:r w:rsidRPr="00BC1B66">
        <w:rPr>
          <w:rFonts w:ascii="Arial" w:hAnsi="Arial" w:cs="Arial"/>
          <w:sz w:val="20"/>
          <w:szCs w:val="20"/>
        </w:rPr>
        <w:t xml:space="preserve"> calyces, with no significant difference across all samples. The oxalate content was lowest in samples with </w:t>
      </w:r>
      <w:r w:rsidRPr="006C2C9C">
        <w:rPr>
          <w:rFonts w:ascii="Arial" w:hAnsi="Arial" w:cs="Arial"/>
          <w:i/>
          <w:iCs/>
          <w:sz w:val="20"/>
          <w:szCs w:val="20"/>
        </w:rPr>
        <w:t xml:space="preserve">Bombax </w:t>
      </w:r>
      <w:proofErr w:type="spellStart"/>
      <w:r w:rsidRPr="006C2C9C">
        <w:rPr>
          <w:rFonts w:ascii="Arial" w:hAnsi="Arial" w:cs="Arial"/>
          <w:i/>
          <w:iCs/>
          <w:sz w:val="20"/>
          <w:szCs w:val="20"/>
        </w:rPr>
        <w:t>costatum</w:t>
      </w:r>
      <w:proofErr w:type="spellEnd"/>
      <w:r w:rsidRPr="00BC1B66">
        <w:rPr>
          <w:rFonts w:ascii="Arial" w:hAnsi="Arial" w:cs="Arial"/>
          <w:sz w:val="20"/>
          <w:szCs w:val="20"/>
        </w:rPr>
        <w:t xml:space="preserve"> calyces and highest in the 20:80:0 mixture. Usman (2012) reported that the oxalate content of African yam bean (</w:t>
      </w:r>
      <w:proofErr w:type="spellStart"/>
      <w:r w:rsidRPr="006C2C9C">
        <w:rPr>
          <w:rFonts w:ascii="Arial" w:hAnsi="Arial" w:cs="Arial"/>
          <w:i/>
          <w:iCs/>
          <w:sz w:val="20"/>
          <w:szCs w:val="20"/>
        </w:rPr>
        <w:t>Sphenostylis</w:t>
      </w:r>
      <w:proofErr w:type="spellEnd"/>
      <w:r w:rsidRPr="006C2C9C">
        <w:rPr>
          <w:rFonts w:ascii="Arial" w:hAnsi="Arial" w:cs="Arial"/>
          <w:i/>
          <w:iCs/>
          <w:sz w:val="20"/>
          <w:szCs w:val="20"/>
        </w:rPr>
        <w:t xml:space="preserve"> </w:t>
      </w:r>
      <w:proofErr w:type="spellStart"/>
      <w:r w:rsidRPr="006C2C9C">
        <w:rPr>
          <w:rFonts w:ascii="Arial" w:hAnsi="Arial" w:cs="Arial"/>
          <w:i/>
          <w:iCs/>
          <w:sz w:val="20"/>
          <w:szCs w:val="20"/>
        </w:rPr>
        <w:t>stenocarpa</w:t>
      </w:r>
      <w:proofErr w:type="spellEnd"/>
      <w:r w:rsidRPr="00BC1B66">
        <w:rPr>
          <w:rFonts w:ascii="Arial" w:hAnsi="Arial" w:cs="Arial"/>
          <w:sz w:val="20"/>
          <w:szCs w:val="20"/>
        </w:rPr>
        <w:t>), maize (</w:t>
      </w:r>
      <w:proofErr w:type="spellStart"/>
      <w:r w:rsidRPr="006C2C9C">
        <w:rPr>
          <w:rFonts w:ascii="Arial" w:hAnsi="Arial" w:cs="Arial"/>
          <w:i/>
          <w:iCs/>
          <w:sz w:val="20"/>
          <w:szCs w:val="20"/>
        </w:rPr>
        <w:t>Zea</w:t>
      </w:r>
      <w:proofErr w:type="spellEnd"/>
      <w:r w:rsidRPr="006C2C9C">
        <w:rPr>
          <w:rFonts w:ascii="Arial" w:hAnsi="Arial" w:cs="Arial"/>
          <w:i/>
          <w:iCs/>
          <w:sz w:val="20"/>
          <w:szCs w:val="20"/>
        </w:rPr>
        <w:t xml:space="preserve"> mays</w:t>
      </w:r>
      <w:r w:rsidRPr="00BC1B66">
        <w:rPr>
          <w:rFonts w:ascii="Arial" w:hAnsi="Arial" w:cs="Arial"/>
          <w:sz w:val="20"/>
          <w:szCs w:val="20"/>
        </w:rPr>
        <w:t>), and defatted coconut (</w:t>
      </w:r>
      <w:r w:rsidRPr="006C2C9C">
        <w:rPr>
          <w:rFonts w:ascii="Arial" w:hAnsi="Arial" w:cs="Arial"/>
          <w:i/>
          <w:iCs/>
          <w:sz w:val="20"/>
          <w:szCs w:val="20"/>
        </w:rPr>
        <w:t>Cocos nucifera</w:t>
      </w:r>
      <w:r w:rsidRPr="00BC1B66">
        <w:rPr>
          <w:rFonts w:ascii="Arial" w:hAnsi="Arial" w:cs="Arial"/>
          <w:sz w:val="20"/>
          <w:szCs w:val="20"/>
        </w:rPr>
        <w:t>) ranged from 0.076 to 0.302 mg/100g, which is higher than the levels reported in this study. The phytate content in spaghetti ranged from 0.0</w:t>
      </w:r>
      <w:r w:rsidR="008D1A88">
        <w:rPr>
          <w:rFonts w:ascii="Arial" w:hAnsi="Arial" w:cs="Arial"/>
          <w:sz w:val="20"/>
          <w:szCs w:val="20"/>
        </w:rPr>
        <w:t>1</w:t>
      </w:r>
      <w:r w:rsidRPr="00BC1B66">
        <w:rPr>
          <w:rFonts w:ascii="Arial" w:hAnsi="Arial" w:cs="Arial"/>
          <w:sz w:val="20"/>
          <w:szCs w:val="20"/>
        </w:rPr>
        <w:t xml:space="preserve"> mg/100g to 0.0</w:t>
      </w:r>
      <w:r w:rsidR="008D1A88">
        <w:rPr>
          <w:rFonts w:ascii="Arial" w:hAnsi="Arial" w:cs="Arial"/>
          <w:sz w:val="20"/>
          <w:szCs w:val="20"/>
        </w:rPr>
        <w:t>4</w:t>
      </w:r>
      <w:r w:rsidRPr="00BC1B66">
        <w:rPr>
          <w:rFonts w:ascii="Arial" w:hAnsi="Arial" w:cs="Arial"/>
          <w:sz w:val="20"/>
          <w:szCs w:val="20"/>
        </w:rPr>
        <w:t xml:space="preserve"> mg/100g. Phytate levels decreased gradually as the level of Bombax </w:t>
      </w:r>
      <w:proofErr w:type="spellStart"/>
      <w:r w:rsidRPr="00BC1B66">
        <w:rPr>
          <w:rFonts w:ascii="Arial" w:hAnsi="Arial" w:cs="Arial"/>
          <w:sz w:val="20"/>
          <w:szCs w:val="20"/>
        </w:rPr>
        <w:t>costatum</w:t>
      </w:r>
      <w:proofErr w:type="spellEnd"/>
      <w:r w:rsidRPr="00BC1B66">
        <w:rPr>
          <w:rFonts w:ascii="Arial" w:hAnsi="Arial" w:cs="Arial"/>
          <w:sz w:val="20"/>
          <w:szCs w:val="20"/>
        </w:rPr>
        <w:t xml:space="preserve"> calyces increased. The phytate content reported here is lower than that of a composite flour containing 39.4% raw oat cereal (</w:t>
      </w:r>
      <w:proofErr w:type="spellStart"/>
      <w:r w:rsidRPr="00BC1B66">
        <w:rPr>
          <w:rFonts w:ascii="Arial" w:hAnsi="Arial" w:cs="Arial"/>
          <w:sz w:val="20"/>
          <w:szCs w:val="20"/>
        </w:rPr>
        <w:t>Norhaizan</w:t>
      </w:r>
      <w:proofErr w:type="spellEnd"/>
      <w:r w:rsidRPr="00BC1B66">
        <w:rPr>
          <w:rFonts w:ascii="Arial" w:hAnsi="Arial" w:cs="Arial"/>
          <w:sz w:val="20"/>
          <w:szCs w:val="20"/>
        </w:rPr>
        <w:t xml:space="preserve"> &amp; </w:t>
      </w:r>
      <w:proofErr w:type="spellStart"/>
      <w:r w:rsidRPr="00BC1B66">
        <w:rPr>
          <w:rFonts w:ascii="Arial" w:hAnsi="Arial" w:cs="Arial"/>
          <w:sz w:val="20"/>
          <w:szCs w:val="20"/>
        </w:rPr>
        <w:t>Norfazadatul</w:t>
      </w:r>
      <w:proofErr w:type="spellEnd"/>
      <w:r w:rsidRPr="00BC1B66">
        <w:rPr>
          <w:rFonts w:ascii="Arial" w:hAnsi="Arial" w:cs="Arial"/>
          <w:sz w:val="20"/>
          <w:szCs w:val="20"/>
        </w:rPr>
        <w:t xml:space="preserve">, 2009) and is also much lower than the 25.7-39.4% range reported in malted sorghum-soy flour (Bolarinwa et al., 2015). The sample with 40% Bombax </w:t>
      </w:r>
      <w:proofErr w:type="spellStart"/>
      <w:r w:rsidRPr="00BC1B66">
        <w:rPr>
          <w:rFonts w:ascii="Arial" w:hAnsi="Arial" w:cs="Arial"/>
          <w:sz w:val="20"/>
          <w:szCs w:val="20"/>
        </w:rPr>
        <w:t>costatum</w:t>
      </w:r>
      <w:proofErr w:type="spellEnd"/>
      <w:r w:rsidRPr="00BC1B66">
        <w:rPr>
          <w:rFonts w:ascii="Arial" w:hAnsi="Arial" w:cs="Arial"/>
          <w:sz w:val="20"/>
          <w:szCs w:val="20"/>
        </w:rPr>
        <w:t xml:space="preserve"> calyces flour had the lowest phytate level at 0.0010 mg/100g, while the wheat-sorghum (20:80) sample had the highest at 0.0370 mg/100g. The trypsin activity in the spaghetti ranged from 0.0</w:t>
      </w:r>
      <w:r w:rsidR="008D1A88">
        <w:rPr>
          <w:rFonts w:ascii="Arial" w:hAnsi="Arial" w:cs="Arial"/>
          <w:sz w:val="20"/>
          <w:szCs w:val="20"/>
        </w:rPr>
        <w:t>2</w:t>
      </w:r>
      <w:r w:rsidRPr="00BC1B66">
        <w:rPr>
          <w:rFonts w:ascii="Arial" w:hAnsi="Arial" w:cs="Arial"/>
          <w:sz w:val="20"/>
          <w:szCs w:val="20"/>
        </w:rPr>
        <w:t>mg/100g to 0.0</w:t>
      </w:r>
      <w:r w:rsidR="008D1A88">
        <w:rPr>
          <w:rFonts w:ascii="Arial" w:hAnsi="Arial" w:cs="Arial"/>
          <w:sz w:val="20"/>
          <w:szCs w:val="20"/>
        </w:rPr>
        <w:t>4</w:t>
      </w:r>
      <w:r w:rsidRPr="00BC1B66">
        <w:rPr>
          <w:rFonts w:ascii="Arial" w:hAnsi="Arial" w:cs="Arial"/>
          <w:sz w:val="20"/>
          <w:szCs w:val="20"/>
        </w:rPr>
        <w:t xml:space="preserve"> mg/100g. The wheat-sorghum spaghetti (20:80) exhibited the highest trypsin content at 0.0</w:t>
      </w:r>
      <w:r w:rsidR="008D1A88">
        <w:rPr>
          <w:rFonts w:ascii="Arial" w:hAnsi="Arial" w:cs="Arial"/>
          <w:sz w:val="20"/>
          <w:szCs w:val="20"/>
        </w:rPr>
        <w:t>4</w:t>
      </w:r>
      <w:r w:rsidRPr="00BC1B66">
        <w:rPr>
          <w:rFonts w:ascii="Arial" w:hAnsi="Arial" w:cs="Arial"/>
          <w:sz w:val="20"/>
          <w:szCs w:val="20"/>
        </w:rPr>
        <w:t xml:space="preserve"> mg/100g, while the spaghetti containing 40% </w:t>
      </w:r>
      <w:r w:rsidRPr="00D80646">
        <w:rPr>
          <w:rFonts w:ascii="Arial" w:hAnsi="Arial" w:cs="Arial"/>
          <w:i/>
          <w:iCs/>
          <w:sz w:val="20"/>
          <w:szCs w:val="20"/>
        </w:rPr>
        <w:t xml:space="preserve">Bombax </w:t>
      </w:r>
      <w:proofErr w:type="spellStart"/>
      <w:r w:rsidRPr="00D80646">
        <w:rPr>
          <w:rFonts w:ascii="Arial" w:hAnsi="Arial" w:cs="Arial"/>
          <w:i/>
          <w:iCs/>
          <w:sz w:val="20"/>
          <w:szCs w:val="20"/>
        </w:rPr>
        <w:t>costatum</w:t>
      </w:r>
      <w:proofErr w:type="spellEnd"/>
      <w:r w:rsidRPr="00BC1B66">
        <w:rPr>
          <w:rFonts w:ascii="Arial" w:hAnsi="Arial" w:cs="Arial"/>
          <w:sz w:val="20"/>
          <w:szCs w:val="20"/>
        </w:rPr>
        <w:t xml:space="preserve"> calyces had the lowest at 0.0</w:t>
      </w:r>
      <w:r w:rsidR="008D1A88">
        <w:rPr>
          <w:rFonts w:ascii="Arial" w:hAnsi="Arial" w:cs="Arial"/>
          <w:sz w:val="20"/>
          <w:szCs w:val="20"/>
        </w:rPr>
        <w:t>2</w:t>
      </w:r>
      <w:r w:rsidRPr="00BC1B66">
        <w:rPr>
          <w:rFonts w:ascii="Arial" w:hAnsi="Arial" w:cs="Arial"/>
          <w:sz w:val="20"/>
          <w:szCs w:val="20"/>
        </w:rPr>
        <w:t xml:space="preserve">mg/100g. Trypsin activity decreased as the level of </w:t>
      </w:r>
      <w:r w:rsidRPr="00D80646">
        <w:rPr>
          <w:rFonts w:ascii="Arial" w:hAnsi="Arial" w:cs="Arial"/>
          <w:i/>
          <w:iCs/>
          <w:sz w:val="20"/>
          <w:szCs w:val="20"/>
        </w:rPr>
        <w:t xml:space="preserve">Bombax </w:t>
      </w:r>
      <w:proofErr w:type="spellStart"/>
      <w:r w:rsidRPr="00D80646">
        <w:rPr>
          <w:rFonts w:ascii="Arial" w:hAnsi="Arial" w:cs="Arial"/>
          <w:i/>
          <w:iCs/>
          <w:sz w:val="20"/>
          <w:szCs w:val="20"/>
        </w:rPr>
        <w:t>costatum</w:t>
      </w:r>
      <w:proofErr w:type="spellEnd"/>
      <w:r w:rsidRPr="00BC1B66">
        <w:rPr>
          <w:rFonts w:ascii="Arial" w:hAnsi="Arial" w:cs="Arial"/>
          <w:sz w:val="20"/>
          <w:szCs w:val="20"/>
        </w:rPr>
        <w:t xml:space="preserve"> calyces increased. The values obtained for trypsin inhibitors in these products were well below the critical threshold of 0.25 mg/100g reported by </w:t>
      </w:r>
      <w:proofErr w:type="spellStart"/>
      <w:r w:rsidRPr="00BC1B66">
        <w:rPr>
          <w:rFonts w:ascii="Arial" w:hAnsi="Arial" w:cs="Arial"/>
          <w:sz w:val="20"/>
          <w:szCs w:val="20"/>
        </w:rPr>
        <w:t>Adeoti</w:t>
      </w:r>
      <w:proofErr w:type="spellEnd"/>
      <w:r w:rsidRPr="00BC1B66">
        <w:rPr>
          <w:rFonts w:ascii="Arial" w:hAnsi="Arial" w:cs="Arial"/>
          <w:sz w:val="20"/>
          <w:szCs w:val="20"/>
        </w:rPr>
        <w:t xml:space="preserve"> &amp; </w:t>
      </w:r>
      <w:proofErr w:type="spellStart"/>
      <w:r w:rsidRPr="00BC1B66">
        <w:rPr>
          <w:rFonts w:ascii="Arial" w:hAnsi="Arial" w:cs="Arial"/>
          <w:sz w:val="20"/>
          <w:szCs w:val="20"/>
        </w:rPr>
        <w:t>Osundahunsi</w:t>
      </w:r>
      <w:proofErr w:type="spellEnd"/>
      <w:r w:rsidRPr="00BC1B66">
        <w:rPr>
          <w:rFonts w:ascii="Arial" w:hAnsi="Arial" w:cs="Arial"/>
          <w:sz w:val="20"/>
          <w:szCs w:val="20"/>
        </w:rPr>
        <w:t xml:space="preserve"> (2017), indicating that the formulated products are safe and unlikely to affect nutrient bioavailability.</w:t>
      </w:r>
    </w:p>
    <w:p w14:paraId="5A3B3C6D" w14:textId="77777777" w:rsidR="0006358C" w:rsidRDefault="0006358C" w:rsidP="006D66F1">
      <w:pPr>
        <w:spacing w:before="240" w:after="0" w:line="480" w:lineRule="auto"/>
        <w:jc w:val="both"/>
        <w:rPr>
          <w:rFonts w:ascii="Times New Roman" w:hAnsi="Times New Roman" w:cs="Times New Roman"/>
        </w:rPr>
        <w:sectPr w:rsidR="000635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EB6FAA6" w14:textId="1D7CACA9" w:rsidR="0006358C" w:rsidRPr="00D64787" w:rsidRDefault="0006358C" w:rsidP="0006358C">
      <w:pPr>
        <w:pStyle w:val="Heading3"/>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T</w:t>
      </w:r>
      <w:r w:rsidRPr="00D64787">
        <w:rPr>
          <w:rFonts w:ascii="Times New Roman" w:hAnsi="Times New Roman" w:cs="Times New Roman"/>
          <w:b/>
          <w:bCs/>
          <w:color w:val="auto"/>
          <w:sz w:val="24"/>
          <w:szCs w:val="24"/>
        </w:rPr>
        <w:t xml:space="preserve">able </w:t>
      </w:r>
      <w:r w:rsidR="00B74C20">
        <w:rPr>
          <w:rFonts w:ascii="Times New Roman" w:hAnsi="Times New Roman" w:cs="Times New Roman"/>
          <w:b/>
          <w:bCs/>
          <w:color w:val="auto"/>
          <w:sz w:val="24"/>
          <w:szCs w:val="24"/>
        </w:rPr>
        <w:t>2</w:t>
      </w:r>
      <w:r w:rsidRPr="00D64787">
        <w:rPr>
          <w:rFonts w:ascii="Times New Roman" w:hAnsi="Times New Roman" w:cs="Times New Roman"/>
          <w:b/>
          <w:bCs/>
          <w:color w:val="auto"/>
          <w:sz w:val="24"/>
          <w:szCs w:val="24"/>
        </w:rPr>
        <w:t>: Proximate composition (%) of wheat-sorghum-</w:t>
      </w:r>
      <w:r w:rsidRPr="00D64787">
        <w:rPr>
          <w:rFonts w:ascii="Times New Roman" w:hAnsi="Times New Roman" w:cs="Times New Roman"/>
          <w:b/>
          <w:bCs/>
          <w:i/>
          <w:iCs/>
          <w:color w:val="auto"/>
          <w:sz w:val="24"/>
          <w:szCs w:val="24"/>
        </w:rPr>
        <w:t xml:space="preserve">Bombax </w:t>
      </w:r>
      <w:proofErr w:type="spellStart"/>
      <w:r w:rsidRPr="00D64787">
        <w:rPr>
          <w:rFonts w:ascii="Times New Roman" w:hAnsi="Times New Roman" w:cs="Times New Roman"/>
          <w:b/>
          <w:bCs/>
          <w:i/>
          <w:iCs/>
          <w:color w:val="auto"/>
          <w:sz w:val="24"/>
          <w:szCs w:val="24"/>
        </w:rPr>
        <w:t>costatum</w:t>
      </w:r>
      <w:proofErr w:type="spellEnd"/>
      <w:r w:rsidRPr="00D64787">
        <w:rPr>
          <w:rFonts w:ascii="Times New Roman" w:hAnsi="Times New Roman" w:cs="Times New Roman"/>
          <w:b/>
          <w:bCs/>
          <w:i/>
          <w:iCs/>
          <w:color w:val="auto"/>
          <w:sz w:val="24"/>
          <w:szCs w:val="24"/>
        </w:rPr>
        <w:t xml:space="preserve"> </w:t>
      </w:r>
      <w:r w:rsidRPr="00D64787">
        <w:rPr>
          <w:rFonts w:ascii="Times New Roman" w:hAnsi="Times New Roman" w:cs="Times New Roman"/>
          <w:b/>
          <w:bCs/>
          <w:color w:val="auto"/>
          <w:sz w:val="24"/>
          <w:szCs w:val="24"/>
        </w:rPr>
        <w:t xml:space="preserve">spaghetti </w:t>
      </w:r>
    </w:p>
    <w:tbl>
      <w:tblPr>
        <w:tblStyle w:val="TableGrid"/>
        <w:tblW w:w="15106" w:type="dxa"/>
        <w:tblInd w:w="-1076" w:type="dxa"/>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8"/>
        <w:gridCol w:w="2158"/>
        <w:gridCol w:w="2158"/>
      </w:tblGrid>
      <w:tr w:rsidR="0006358C" w14:paraId="06DE752D" w14:textId="77777777" w:rsidTr="0006358C">
        <w:tc>
          <w:tcPr>
            <w:tcW w:w="2158" w:type="dxa"/>
            <w:tcBorders>
              <w:bottom w:val="single" w:sz="4" w:space="0" w:color="auto"/>
            </w:tcBorders>
          </w:tcPr>
          <w:p w14:paraId="1DA67822" w14:textId="57863122" w:rsidR="0006358C" w:rsidRPr="0006358C" w:rsidRDefault="0006358C" w:rsidP="0006358C">
            <w:pPr>
              <w:jc w:val="both"/>
              <w:rPr>
                <w:rFonts w:ascii="Arial" w:hAnsi="Arial" w:cs="Arial"/>
                <w:sz w:val="20"/>
                <w:szCs w:val="20"/>
              </w:rPr>
            </w:pPr>
            <w:proofErr w:type="gramStart"/>
            <w:r w:rsidRPr="0006358C">
              <w:rPr>
                <w:rFonts w:ascii="Arial" w:hAnsi="Arial" w:cs="Arial"/>
                <w:sz w:val="20"/>
                <w:szCs w:val="20"/>
              </w:rPr>
              <w:t>WF:SF</w:t>
            </w:r>
            <w:proofErr w:type="gramEnd"/>
            <w:r w:rsidRPr="0006358C">
              <w:rPr>
                <w:rFonts w:ascii="Arial" w:hAnsi="Arial" w:cs="Arial"/>
                <w:sz w:val="20"/>
                <w:szCs w:val="20"/>
              </w:rPr>
              <w:t>:BF</w:t>
            </w:r>
          </w:p>
        </w:tc>
        <w:tc>
          <w:tcPr>
            <w:tcW w:w="2158" w:type="dxa"/>
            <w:tcBorders>
              <w:bottom w:val="single" w:sz="4" w:space="0" w:color="auto"/>
            </w:tcBorders>
          </w:tcPr>
          <w:p w14:paraId="165B6986" w14:textId="5217DAFD" w:rsidR="0006358C" w:rsidRPr="0006358C" w:rsidRDefault="0006358C" w:rsidP="0006358C">
            <w:pPr>
              <w:jc w:val="both"/>
              <w:rPr>
                <w:rFonts w:ascii="Arial" w:hAnsi="Arial" w:cs="Arial"/>
                <w:sz w:val="20"/>
                <w:szCs w:val="20"/>
              </w:rPr>
            </w:pPr>
            <w:r w:rsidRPr="0006358C">
              <w:rPr>
                <w:rFonts w:ascii="Arial" w:hAnsi="Arial" w:cs="Arial"/>
                <w:sz w:val="20"/>
                <w:szCs w:val="20"/>
              </w:rPr>
              <w:t>Moisture</w:t>
            </w:r>
          </w:p>
        </w:tc>
        <w:tc>
          <w:tcPr>
            <w:tcW w:w="2158" w:type="dxa"/>
            <w:tcBorders>
              <w:bottom w:val="single" w:sz="4" w:space="0" w:color="auto"/>
            </w:tcBorders>
          </w:tcPr>
          <w:p w14:paraId="4BEC03DC" w14:textId="7838FC7D" w:rsidR="0006358C" w:rsidRPr="0006358C" w:rsidRDefault="0006358C" w:rsidP="0006358C">
            <w:pPr>
              <w:jc w:val="both"/>
              <w:rPr>
                <w:rFonts w:ascii="Arial" w:hAnsi="Arial" w:cs="Arial"/>
                <w:sz w:val="20"/>
                <w:szCs w:val="20"/>
              </w:rPr>
            </w:pPr>
            <w:r w:rsidRPr="0006358C">
              <w:rPr>
                <w:rFonts w:ascii="Arial" w:hAnsi="Arial" w:cs="Arial"/>
                <w:sz w:val="20"/>
                <w:szCs w:val="20"/>
              </w:rPr>
              <w:t>Protein</w:t>
            </w:r>
          </w:p>
        </w:tc>
        <w:tc>
          <w:tcPr>
            <w:tcW w:w="2158" w:type="dxa"/>
            <w:tcBorders>
              <w:bottom w:val="single" w:sz="4" w:space="0" w:color="auto"/>
            </w:tcBorders>
          </w:tcPr>
          <w:p w14:paraId="385CE205" w14:textId="3D3B4CC8" w:rsidR="0006358C" w:rsidRPr="0006358C" w:rsidRDefault="0006358C" w:rsidP="0006358C">
            <w:pPr>
              <w:jc w:val="both"/>
              <w:rPr>
                <w:rFonts w:ascii="Arial" w:hAnsi="Arial" w:cs="Arial"/>
                <w:sz w:val="20"/>
                <w:szCs w:val="20"/>
              </w:rPr>
            </w:pPr>
            <w:r w:rsidRPr="0006358C">
              <w:rPr>
                <w:rFonts w:ascii="Arial" w:hAnsi="Arial" w:cs="Arial"/>
                <w:sz w:val="20"/>
                <w:szCs w:val="20"/>
              </w:rPr>
              <w:t>Fat</w:t>
            </w:r>
          </w:p>
        </w:tc>
        <w:tc>
          <w:tcPr>
            <w:tcW w:w="2158" w:type="dxa"/>
            <w:tcBorders>
              <w:bottom w:val="single" w:sz="4" w:space="0" w:color="auto"/>
            </w:tcBorders>
          </w:tcPr>
          <w:p w14:paraId="5E579E26" w14:textId="26FD7AC9" w:rsidR="0006358C" w:rsidRPr="0006358C" w:rsidRDefault="0006358C" w:rsidP="0006358C">
            <w:pPr>
              <w:jc w:val="both"/>
              <w:rPr>
                <w:rFonts w:ascii="Arial" w:hAnsi="Arial" w:cs="Arial"/>
                <w:sz w:val="20"/>
                <w:szCs w:val="20"/>
              </w:rPr>
            </w:pPr>
            <w:r w:rsidRPr="0006358C">
              <w:rPr>
                <w:rFonts w:ascii="Arial" w:hAnsi="Arial" w:cs="Arial"/>
                <w:sz w:val="20"/>
                <w:szCs w:val="20"/>
              </w:rPr>
              <w:t>Fiber</w:t>
            </w:r>
          </w:p>
        </w:tc>
        <w:tc>
          <w:tcPr>
            <w:tcW w:w="2158" w:type="dxa"/>
            <w:tcBorders>
              <w:bottom w:val="single" w:sz="4" w:space="0" w:color="auto"/>
            </w:tcBorders>
          </w:tcPr>
          <w:p w14:paraId="625B0AD1" w14:textId="655C3A99" w:rsidR="0006358C" w:rsidRPr="0006358C" w:rsidRDefault="0006358C" w:rsidP="0006358C">
            <w:pPr>
              <w:jc w:val="both"/>
              <w:rPr>
                <w:rFonts w:ascii="Arial" w:hAnsi="Arial" w:cs="Arial"/>
                <w:sz w:val="20"/>
                <w:szCs w:val="20"/>
              </w:rPr>
            </w:pPr>
            <w:r w:rsidRPr="0006358C">
              <w:rPr>
                <w:rFonts w:ascii="Arial" w:hAnsi="Arial" w:cs="Arial"/>
                <w:sz w:val="20"/>
                <w:szCs w:val="20"/>
              </w:rPr>
              <w:t>Ash</w:t>
            </w:r>
          </w:p>
        </w:tc>
        <w:tc>
          <w:tcPr>
            <w:tcW w:w="2158" w:type="dxa"/>
            <w:tcBorders>
              <w:bottom w:val="single" w:sz="4" w:space="0" w:color="auto"/>
            </w:tcBorders>
          </w:tcPr>
          <w:p w14:paraId="59BAED29" w14:textId="1E40E7A9" w:rsidR="0006358C" w:rsidRPr="0006358C" w:rsidRDefault="0006358C" w:rsidP="0006358C">
            <w:pPr>
              <w:jc w:val="both"/>
              <w:rPr>
                <w:rFonts w:ascii="Arial" w:hAnsi="Arial" w:cs="Arial"/>
                <w:sz w:val="20"/>
                <w:szCs w:val="20"/>
              </w:rPr>
            </w:pPr>
            <w:r w:rsidRPr="0006358C">
              <w:rPr>
                <w:rFonts w:ascii="Arial" w:hAnsi="Arial" w:cs="Arial"/>
                <w:sz w:val="20"/>
                <w:szCs w:val="20"/>
              </w:rPr>
              <w:t>Carbohydrates</w:t>
            </w:r>
          </w:p>
        </w:tc>
      </w:tr>
      <w:tr w:rsidR="0006358C" w14:paraId="24FF328F" w14:textId="77777777" w:rsidTr="0006358C">
        <w:tc>
          <w:tcPr>
            <w:tcW w:w="2158" w:type="dxa"/>
            <w:tcBorders>
              <w:bottom w:val="nil"/>
            </w:tcBorders>
          </w:tcPr>
          <w:p w14:paraId="09E51FF5" w14:textId="3B03FD56" w:rsidR="0006358C" w:rsidRPr="0006358C" w:rsidRDefault="0006358C" w:rsidP="0006358C">
            <w:pPr>
              <w:jc w:val="both"/>
              <w:rPr>
                <w:rFonts w:ascii="Arial" w:hAnsi="Arial" w:cs="Arial"/>
                <w:sz w:val="20"/>
                <w:szCs w:val="20"/>
              </w:rPr>
            </w:pPr>
            <w:r w:rsidRPr="0006358C">
              <w:rPr>
                <w:rFonts w:ascii="Arial" w:hAnsi="Arial" w:cs="Arial"/>
                <w:sz w:val="20"/>
                <w:szCs w:val="20"/>
              </w:rPr>
              <w:t>100:0:0</w:t>
            </w:r>
          </w:p>
        </w:tc>
        <w:tc>
          <w:tcPr>
            <w:tcW w:w="2158" w:type="dxa"/>
            <w:tcBorders>
              <w:bottom w:val="nil"/>
            </w:tcBorders>
          </w:tcPr>
          <w:p w14:paraId="3607A563" w14:textId="231A95E6" w:rsidR="0006358C" w:rsidRPr="0006358C" w:rsidRDefault="0006358C" w:rsidP="0006358C">
            <w:pPr>
              <w:jc w:val="both"/>
              <w:rPr>
                <w:rFonts w:ascii="Arial" w:hAnsi="Arial" w:cs="Arial"/>
                <w:sz w:val="20"/>
                <w:szCs w:val="20"/>
              </w:rPr>
            </w:pPr>
            <w:r w:rsidRPr="0006358C">
              <w:rPr>
                <w:rFonts w:ascii="Arial" w:hAnsi="Arial" w:cs="Arial"/>
                <w:sz w:val="20"/>
                <w:szCs w:val="20"/>
              </w:rPr>
              <w:t>9.35</w:t>
            </w:r>
            <w:r w:rsidRPr="0006358C">
              <w:rPr>
                <w:rFonts w:ascii="Arial" w:hAnsi="Arial" w:cs="Arial"/>
                <w:sz w:val="20"/>
                <w:szCs w:val="20"/>
                <w:vertAlign w:val="superscript"/>
              </w:rPr>
              <w:t>a</w:t>
            </w:r>
            <w:r w:rsidRPr="0006358C">
              <w:rPr>
                <w:rFonts w:ascii="Arial" w:hAnsi="Arial" w:cs="Arial"/>
                <w:sz w:val="20"/>
                <w:szCs w:val="20"/>
              </w:rPr>
              <w:t>±1.04</w:t>
            </w:r>
          </w:p>
        </w:tc>
        <w:tc>
          <w:tcPr>
            <w:tcW w:w="2158" w:type="dxa"/>
            <w:tcBorders>
              <w:bottom w:val="nil"/>
            </w:tcBorders>
          </w:tcPr>
          <w:p w14:paraId="5E60A752" w14:textId="4DF5613C" w:rsidR="0006358C" w:rsidRPr="0006358C" w:rsidRDefault="0006358C" w:rsidP="0006358C">
            <w:pPr>
              <w:jc w:val="both"/>
              <w:rPr>
                <w:rFonts w:ascii="Arial" w:hAnsi="Arial" w:cs="Arial"/>
                <w:sz w:val="20"/>
                <w:szCs w:val="20"/>
              </w:rPr>
            </w:pPr>
            <w:r w:rsidRPr="0006358C">
              <w:rPr>
                <w:rFonts w:ascii="Arial" w:hAnsi="Arial" w:cs="Arial"/>
                <w:sz w:val="20"/>
                <w:szCs w:val="20"/>
              </w:rPr>
              <w:t>12.42</w:t>
            </w:r>
            <w:r w:rsidRPr="0006358C">
              <w:rPr>
                <w:rFonts w:ascii="Arial" w:hAnsi="Arial" w:cs="Arial"/>
                <w:sz w:val="20"/>
                <w:szCs w:val="20"/>
                <w:vertAlign w:val="superscript"/>
              </w:rPr>
              <w:t>a</w:t>
            </w:r>
            <w:r w:rsidRPr="0006358C">
              <w:rPr>
                <w:rFonts w:ascii="Arial" w:hAnsi="Arial" w:cs="Arial"/>
                <w:sz w:val="20"/>
                <w:szCs w:val="20"/>
              </w:rPr>
              <w:t>±0.05</w:t>
            </w:r>
          </w:p>
        </w:tc>
        <w:tc>
          <w:tcPr>
            <w:tcW w:w="2158" w:type="dxa"/>
            <w:tcBorders>
              <w:bottom w:val="nil"/>
            </w:tcBorders>
          </w:tcPr>
          <w:p w14:paraId="3CFFE542" w14:textId="59A01BFA" w:rsidR="0006358C" w:rsidRPr="0006358C" w:rsidRDefault="0006358C" w:rsidP="0006358C">
            <w:pPr>
              <w:jc w:val="both"/>
              <w:rPr>
                <w:rFonts w:ascii="Arial" w:hAnsi="Arial" w:cs="Arial"/>
                <w:sz w:val="20"/>
                <w:szCs w:val="20"/>
              </w:rPr>
            </w:pPr>
            <w:r w:rsidRPr="0006358C">
              <w:rPr>
                <w:rFonts w:ascii="Arial" w:hAnsi="Arial" w:cs="Arial"/>
                <w:sz w:val="20"/>
                <w:szCs w:val="20"/>
              </w:rPr>
              <w:t>5.35</w:t>
            </w:r>
            <w:r w:rsidRPr="0006358C">
              <w:rPr>
                <w:rFonts w:ascii="Arial" w:hAnsi="Arial" w:cs="Arial"/>
                <w:sz w:val="20"/>
                <w:szCs w:val="20"/>
                <w:vertAlign w:val="superscript"/>
              </w:rPr>
              <w:t>a</w:t>
            </w:r>
            <w:r w:rsidRPr="0006358C">
              <w:rPr>
                <w:rFonts w:ascii="Arial" w:hAnsi="Arial" w:cs="Arial"/>
                <w:sz w:val="20"/>
                <w:szCs w:val="20"/>
              </w:rPr>
              <w:t>±0.35</w:t>
            </w:r>
          </w:p>
        </w:tc>
        <w:tc>
          <w:tcPr>
            <w:tcW w:w="2158" w:type="dxa"/>
            <w:tcBorders>
              <w:bottom w:val="nil"/>
            </w:tcBorders>
          </w:tcPr>
          <w:p w14:paraId="400AE11B" w14:textId="6E5E3636" w:rsidR="0006358C" w:rsidRPr="0006358C" w:rsidRDefault="0006358C" w:rsidP="0006358C">
            <w:pPr>
              <w:jc w:val="both"/>
              <w:rPr>
                <w:rFonts w:ascii="Arial" w:hAnsi="Arial" w:cs="Arial"/>
                <w:sz w:val="20"/>
                <w:szCs w:val="20"/>
              </w:rPr>
            </w:pPr>
            <w:r w:rsidRPr="0006358C">
              <w:rPr>
                <w:rFonts w:ascii="Arial" w:hAnsi="Arial" w:cs="Arial"/>
                <w:sz w:val="20"/>
                <w:szCs w:val="20"/>
              </w:rPr>
              <w:t>2.76</w:t>
            </w:r>
            <w:r w:rsidRPr="0006358C">
              <w:rPr>
                <w:rFonts w:ascii="Arial" w:hAnsi="Arial" w:cs="Arial"/>
                <w:sz w:val="20"/>
                <w:szCs w:val="20"/>
                <w:vertAlign w:val="superscript"/>
              </w:rPr>
              <w:t>a</w:t>
            </w:r>
            <w:r w:rsidRPr="0006358C">
              <w:rPr>
                <w:rFonts w:ascii="Arial" w:hAnsi="Arial" w:cs="Arial"/>
                <w:sz w:val="20"/>
                <w:szCs w:val="20"/>
              </w:rPr>
              <w:t>±0.36</w:t>
            </w:r>
          </w:p>
        </w:tc>
        <w:tc>
          <w:tcPr>
            <w:tcW w:w="2158" w:type="dxa"/>
            <w:tcBorders>
              <w:bottom w:val="nil"/>
            </w:tcBorders>
          </w:tcPr>
          <w:p w14:paraId="7C6A9143" w14:textId="2F52A124" w:rsidR="0006358C" w:rsidRPr="0006358C" w:rsidRDefault="0006358C" w:rsidP="0006358C">
            <w:pPr>
              <w:jc w:val="both"/>
              <w:rPr>
                <w:rFonts w:ascii="Arial" w:hAnsi="Arial" w:cs="Arial"/>
                <w:sz w:val="20"/>
                <w:szCs w:val="20"/>
              </w:rPr>
            </w:pPr>
            <w:r w:rsidRPr="0006358C">
              <w:rPr>
                <w:rFonts w:ascii="Arial" w:hAnsi="Arial" w:cs="Arial"/>
                <w:sz w:val="20"/>
                <w:szCs w:val="20"/>
              </w:rPr>
              <w:t>2.61</w:t>
            </w:r>
            <w:r w:rsidRPr="0006358C">
              <w:rPr>
                <w:rFonts w:ascii="Arial" w:hAnsi="Arial" w:cs="Arial"/>
                <w:sz w:val="20"/>
                <w:szCs w:val="20"/>
                <w:vertAlign w:val="superscript"/>
              </w:rPr>
              <w:t>a</w:t>
            </w:r>
            <w:r w:rsidRPr="0006358C">
              <w:rPr>
                <w:rFonts w:ascii="Arial" w:hAnsi="Arial" w:cs="Arial"/>
                <w:sz w:val="20"/>
                <w:szCs w:val="20"/>
              </w:rPr>
              <w:t>±0.28</w:t>
            </w:r>
          </w:p>
        </w:tc>
        <w:tc>
          <w:tcPr>
            <w:tcW w:w="2158" w:type="dxa"/>
            <w:tcBorders>
              <w:bottom w:val="nil"/>
            </w:tcBorders>
          </w:tcPr>
          <w:p w14:paraId="1F53A9FC" w14:textId="0FFCAEBC" w:rsidR="0006358C" w:rsidRPr="0006358C" w:rsidRDefault="0006358C" w:rsidP="0006358C">
            <w:pPr>
              <w:jc w:val="both"/>
              <w:rPr>
                <w:rFonts w:ascii="Arial" w:hAnsi="Arial" w:cs="Arial"/>
                <w:sz w:val="20"/>
                <w:szCs w:val="20"/>
              </w:rPr>
            </w:pPr>
            <w:r w:rsidRPr="0006358C">
              <w:rPr>
                <w:rFonts w:ascii="Arial" w:hAnsi="Arial" w:cs="Arial"/>
                <w:sz w:val="20"/>
                <w:szCs w:val="20"/>
              </w:rPr>
              <w:t>67.+58</w:t>
            </w:r>
            <w:r w:rsidRPr="0006358C">
              <w:rPr>
                <w:rFonts w:ascii="Arial" w:hAnsi="Arial" w:cs="Arial"/>
                <w:sz w:val="20"/>
                <w:szCs w:val="20"/>
                <w:vertAlign w:val="superscript"/>
              </w:rPr>
              <w:t>a</w:t>
            </w:r>
            <w:r w:rsidRPr="0006358C">
              <w:rPr>
                <w:rFonts w:ascii="Arial" w:hAnsi="Arial" w:cs="Arial"/>
                <w:sz w:val="20"/>
                <w:szCs w:val="20"/>
              </w:rPr>
              <w:t>±0.10</w:t>
            </w:r>
          </w:p>
        </w:tc>
      </w:tr>
      <w:tr w:rsidR="0006358C" w14:paraId="6CE9BA40" w14:textId="77777777" w:rsidTr="0006358C">
        <w:tc>
          <w:tcPr>
            <w:tcW w:w="2158" w:type="dxa"/>
            <w:tcBorders>
              <w:top w:val="nil"/>
              <w:bottom w:val="nil"/>
            </w:tcBorders>
          </w:tcPr>
          <w:p w14:paraId="6D03298A" w14:textId="6BC80ECD" w:rsidR="0006358C" w:rsidRPr="0006358C" w:rsidRDefault="0006358C" w:rsidP="0006358C">
            <w:pPr>
              <w:jc w:val="both"/>
              <w:rPr>
                <w:rFonts w:ascii="Arial" w:hAnsi="Arial" w:cs="Arial"/>
                <w:sz w:val="20"/>
                <w:szCs w:val="20"/>
              </w:rPr>
            </w:pPr>
            <w:r w:rsidRPr="0006358C">
              <w:rPr>
                <w:rFonts w:ascii="Arial" w:hAnsi="Arial" w:cs="Arial"/>
                <w:sz w:val="20"/>
                <w:szCs w:val="20"/>
              </w:rPr>
              <w:t>20:80:0</w:t>
            </w:r>
          </w:p>
        </w:tc>
        <w:tc>
          <w:tcPr>
            <w:tcW w:w="2158" w:type="dxa"/>
            <w:tcBorders>
              <w:top w:val="nil"/>
              <w:bottom w:val="nil"/>
            </w:tcBorders>
          </w:tcPr>
          <w:p w14:paraId="2D5D8866" w14:textId="74ECCAA0" w:rsidR="0006358C" w:rsidRPr="0006358C" w:rsidRDefault="0006358C" w:rsidP="0006358C">
            <w:pPr>
              <w:jc w:val="both"/>
              <w:rPr>
                <w:rFonts w:ascii="Arial" w:hAnsi="Arial" w:cs="Arial"/>
                <w:sz w:val="20"/>
                <w:szCs w:val="20"/>
              </w:rPr>
            </w:pPr>
            <w:r w:rsidRPr="0006358C">
              <w:rPr>
                <w:rFonts w:ascii="Arial" w:hAnsi="Arial" w:cs="Arial"/>
                <w:sz w:val="20"/>
                <w:szCs w:val="20"/>
              </w:rPr>
              <w:t>13.25</w:t>
            </w:r>
            <w:r w:rsidRPr="0006358C">
              <w:rPr>
                <w:rFonts w:ascii="Arial" w:hAnsi="Arial" w:cs="Arial"/>
                <w:sz w:val="20"/>
                <w:szCs w:val="20"/>
                <w:vertAlign w:val="superscript"/>
              </w:rPr>
              <w:t>b</w:t>
            </w:r>
            <w:r w:rsidRPr="0006358C">
              <w:rPr>
                <w:rFonts w:ascii="Arial" w:hAnsi="Arial" w:cs="Arial"/>
                <w:sz w:val="20"/>
                <w:szCs w:val="20"/>
              </w:rPr>
              <w:t>±0.04</w:t>
            </w:r>
          </w:p>
        </w:tc>
        <w:tc>
          <w:tcPr>
            <w:tcW w:w="2158" w:type="dxa"/>
            <w:tcBorders>
              <w:top w:val="nil"/>
              <w:bottom w:val="nil"/>
            </w:tcBorders>
          </w:tcPr>
          <w:p w14:paraId="78466EDE" w14:textId="3B265B94" w:rsidR="0006358C" w:rsidRPr="0006358C" w:rsidRDefault="0006358C" w:rsidP="0006358C">
            <w:pPr>
              <w:jc w:val="both"/>
              <w:rPr>
                <w:rFonts w:ascii="Arial" w:hAnsi="Arial" w:cs="Arial"/>
                <w:sz w:val="20"/>
                <w:szCs w:val="20"/>
              </w:rPr>
            </w:pPr>
            <w:r w:rsidRPr="0006358C">
              <w:rPr>
                <w:rFonts w:ascii="Arial" w:hAnsi="Arial" w:cs="Arial"/>
                <w:sz w:val="20"/>
                <w:szCs w:val="20"/>
              </w:rPr>
              <w:t>10.25</w:t>
            </w:r>
            <w:r w:rsidRPr="0006358C">
              <w:rPr>
                <w:rFonts w:ascii="Arial" w:hAnsi="Arial" w:cs="Arial"/>
                <w:sz w:val="20"/>
                <w:szCs w:val="20"/>
                <w:vertAlign w:val="superscript"/>
              </w:rPr>
              <w:t>b</w:t>
            </w:r>
            <w:r w:rsidRPr="0006358C">
              <w:rPr>
                <w:rFonts w:ascii="Arial" w:hAnsi="Arial" w:cs="Arial"/>
                <w:sz w:val="20"/>
                <w:szCs w:val="20"/>
              </w:rPr>
              <w:t>±0.00</w:t>
            </w:r>
          </w:p>
        </w:tc>
        <w:tc>
          <w:tcPr>
            <w:tcW w:w="2158" w:type="dxa"/>
            <w:tcBorders>
              <w:top w:val="nil"/>
              <w:bottom w:val="nil"/>
            </w:tcBorders>
          </w:tcPr>
          <w:p w14:paraId="4118353B" w14:textId="4994158E" w:rsidR="0006358C" w:rsidRPr="0006358C" w:rsidRDefault="0006358C" w:rsidP="0006358C">
            <w:pPr>
              <w:jc w:val="both"/>
              <w:rPr>
                <w:rFonts w:ascii="Arial" w:hAnsi="Arial" w:cs="Arial"/>
                <w:sz w:val="20"/>
                <w:szCs w:val="20"/>
              </w:rPr>
            </w:pPr>
            <w:r w:rsidRPr="0006358C">
              <w:rPr>
                <w:rFonts w:ascii="Arial" w:hAnsi="Arial" w:cs="Arial"/>
                <w:sz w:val="20"/>
                <w:szCs w:val="20"/>
              </w:rPr>
              <w:t>3.30</w:t>
            </w:r>
            <w:r w:rsidRPr="0006358C">
              <w:rPr>
                <w:rFonts w:ascii="Arial" w:hAnsi="Arial" w:cs="Arial"/>
                <w:sz w:val="20"/>
                <w:szCs w:val="20"/>
                <w:vertAlign w:val="superscript"/>
              </w:rPr>
              <w:t>b</w:t>
            </w:r>
            <w:r w:rsidRPr="0006358C">
              <w:rPr>
                <w:rFonts w:ascii="Arial" w:hAnsi="Arial" w:cs="Arial"/>
                <w:sz w:val="20"/>
                <w:szCs w:val="20"/>
              </w:rPr>
              <w:t>±0.15</w:t>
            </w:r>
          </w:p>
        </w:tc>
        <w:tc>
          <w:tcPr>
            <w:tcW w:w="2158" w:type="dxa"/>
            <w:tcBorders>
              <w:top w:val="nil"/>
              <w:bottom w:val="nil"/>
            </w:tcBorders>
          </w:tcPr>
          <w:p w14:paraId="58BEF891" w14:textId="510BCBCA" w:rsidR="0006358C" w:rsidRPr="0006358C" w:rsidRDefault="0006358C" w:rsidP="0006358C">
            <w:pPr>
              <w:jc w:val="both"/>
              <w:rPr>
                <w:rFonts w:ascii="Arial" w:hAnsi="Arial" w:cs="Arial"/>
                <w:sz w:val="20"/>
                <w:szCs w:val="20"/>
              </w:rPr>
            </w:pPr>
            <w:r w:rsidRPr="0006358C">
              <w:rPr>
                <w:rFonts w:ascii="Arial" w:hAnsi="Arial" w:cs="Arial"/>
                <w:sz w:val="20"/>
                <w:szCs w:val="20"/>
              </w:rPr>
              <w:t>2.35</w:t>
            </w:r>
            <w:r w:rsidRPr="0006358C">
              <w:rPr>
                <w:rFonts w:ascii="Arial" w:hAnsi="Arial" w:cs="Arial"/>
                <w:sz w:val="20"/>
                <w:szCs w:val="20"/>
                <w:vertAlign w:val="superscript"/>
              </w:rPr>
              <w:t>b</w:t>
            </w:r>
            <w:r w:rsidRPr="0006358C">
              <w:rPr>
                <w:rFonts w:ascii="Arial" w:hAnsi="Arial" w:cs="Arial"/>
                <w:sz w:val="20"/>
                <w:szCs w:val="20"/>
              </w:rPr>
              <w:t>±0.35</w:t>
            </w:r>
          </w:p>
        </w:tc>
        <w:tc>
          <w:tcPr>
            <w:tcW w:w="2158" w:type="dxa"/>
            <w:tcBorders>
              <w:top w:val="nil"/>
              <w:bottom w:val="nil"/>
            </w:tcBorders>
          </w:tcPr>
          <w:p w14:paraId="3152AE3D" w14:textId="4C95F11A" w:rsidR="0006358C" w:rsidRPr="0006358C" w:rsidRDefault="0006358C" w:rsidP="0006358C">
            <w:pPr>
              <w:jc w:val="both"/>
              <w:rPr>
                <w:rFonts w:ascii="Arial" w:hAnsi="Arial" w:cs="Arial"/>
                <w:sz w:val="20"/>
                <w:szCs w:val="20"/>
              </w:rPr>
            </w:pPr>
            <w:r w:rsidRPr="0006358C">
              <w:rPr>
                <w:rFonts w:ascii="Arial" w:hAnsi="Arial" w:cs="Arial"/>
                <w:sz w:val="20"/>
                <w:szCs w:val="20"/>
              </w:rPr>
              <w:t>2.03</w:t>
            </w:r>
            <w:r w:rsidRPr="0006358C">
              <w:rPr>
                <w:rFonts w:ascii="Arial" w:hAnsi="Arial" w:cs="Arial"/>
                <w:sz w:val="20"/>
                <w:szCs w:val="20"/>
                <w:vertAlign w:val="superscript"/>
              </w:rPr>
              <w:t>b</w:t>
            </w:r>
            <w:r w:rsidRPr="0006358C">
              <w:rPr>
                <w:rFonts w:ascii="Arial" w:hAnsi="Arial" w:cs="Arial"/>
                <w:sz w:val="20"/>
                <w:szCs w:val="20"/>
              </w:rPr>
              <w:t>±0.04</w:t>
            </w:r>
          </w:p>
        </w:tc>
        <w:tc>
          <w:tcPr>
            <w:tcW w:w="2158" w:type="dxa"/>
            <w:tcBorders>
              <w:top w:val="nil"/>
              <w:bottom w:val="nil"/>
            </w:tcBorders>
          </w:tcPr>
          <w:p w14:paraId="4BF332A6" w14:textId="2F4F61CA" w:rsidR="0006358C" w:rsidRPr="0006358C" w:rsidRDefault="0006358C" w:rsidP="0006358C">
            <w:pPr>
              <w:jc w:val="both"/>
              <w:rPr>
                <w:rFonts w:ascii="Arial" w:hAnsi="Arial" w:cs="Arial"/>
                <w:sz w:val="20"/>
                <w:szCs w:val="20"/>
              </w:rPr>
            </w:pPr>
            <w:r w:rsidRPr="0006358C">
              <w:rPr>
                <w:rFonts w:ascii="Arial" w:hAnsi="Arial" w:cs="Arial"/>
                <w:sz w:val="20"/>
                <w:szCs w:val="20"/>
              </w:rPr>
              <w:t>68.82</w:t>
            </w:r>
            <w:r w:rsidRPr="0006358C">
              <w:rPr>
                <w:rFonts w:ascii="Arial" w:hAnsi="Arial" w:cs="Arial"/>
                <w:sz w:val="20"/>
                <w:szCs w:val="20"/>
                <w:vertAlign w:val="superscript"/>
              </w:rPr>
              <w:t>b</w:t>
            </w:r>
            <w:r w:rsidRPr="0006358C">
              <w:rPr>
                <w:rFonts w:ascii="Arial" w:hAnsi="Arial" w:cs="Arial"/>
                <w:sz w:val="20"/>
                <w:szCs w:val="20"/>
              </w:rPr>
              <w:t>±0.52</w:t>
            </w:r>
          </w:p>
        </w:tc>
      </w:tr>
      <w:tr w:rsidR="0006358C" w14:paraId="3FDE7269" w14:textId="77777777" w:rsidTr="0006358C">
        <w:tc>
          <w:tcPr>
            <w:tcW w:w="2158" w:type="dxa"/>
            <w:tcBorders>
              <w:top w:val="nil"/>
              <w:bottom w:val="nil"/>
            </w:tcBorders>
          </w:tcPr>
          <w:p w14:paraId="1038EED8" w14:textId="13675914" w:rsidR="0006358C" w:rsidRPr="0006358C" w:rsidRDefault="0006358C" w:rsidP="0006358C">
            <w:pPr>
              <w:jc w:val="both"/>
              <w:rPr>
                <w:rFonts w:ascii="Arial" w:hAnsi="Arial" w:cs="Arial"/>
                <w:sz w:val="20"/>
                <w:szCs w:val="20"/>
              </w:rPr>
            </w:pPr>
            <w:r w:rsidRPr="0006358C">
              <w:rPr>
                <w:rFonts w:ascii="Arial" w:hAnsi="Arial" w:cs="Arial"/>
                <w:sz w:val="20"/>
                <w:szCs w:val="20"/>
              </w:rPr>
              <w:t>20:70:10</w:t>
            </w:r>
          </w:p>
        </w:tc>
        <w:tc>
          <w:tcPr>
            <w:tcW w:w="2158" w:type="dxa"/>
            <w:tcBorders>
              <w:top w:val="nil"/>
              <w:bottom w:val="nil"/>
            </w:tcBorders>
          </w:tcPr>
          <w:p w14:paraId="732F9BF3" w14:textId="7ED10DCF" w:rsidR="0006358C" w:rsidRPr="0006358C" w:rsidRDefault="0006358C" w:rsidP="0006358C">
            <w:pPr>
              <w:jc w:val="both"/>
              <w:rPr>
                <w:rFonts w:ascii="Arial" w:hAnsi="Arial" w:cs="Arial"/>
                <w:sz w:val="20"/>
                <w:szCs w:val="20"/>
              </w:rPr>
            </w:pPr>
            <w:r w:rsidRPr="0006358C">
              <w:rPr>
                <w:rFonts w:ascii="Arial" w:hAnsi="Arial" w:cs="Arial"/>
                <w:sz w:val="20"/>
                <w:szCs w:val="20"/>
              </w:rPr>
              <w:t>11.40</w:t>
            </w:r>
            <w:r w:rsidRPr="0006358C">
              <w:rPr>
                <w:rFonts w:ascii="Arial" w:hAnsi="Arial" w:cs="Arial"/>
                <w:sz w:val="20"/>
                <w:szCs w:val="20"/>
                <w:vertAlign w:val="superscript"/>
              </w:rPr>
              <w:t>c</w:t>
            </w:r>
            <w:r w:rsidRPr="0006358C">
              <w:rPr>
                <w:rFonts w:ascii="Arial" w:hAnsi="Arial" w:cs="Arial"/>
                <w:sz w:val="20"/>
                <w:szCs w:val="20"/>
              </w:rPr>
              <w:t>±0.03</w:t>
            </w:r>
          </w:p>
        </w:tc>
        <w:tc>
          <w:tcPr>
            <w:tcW w:w="2158" w:type="dxa"/>
            <w:tcBorders>
              <w:top w:val="nil"/>
              <w:bottom w:val="nil"/>
            </w:tcBorders>
          </w:tcPr>
          <w:p w14:paraId="047E9E0F" w14:textId="350BAB39" w:rsidR="0006358C" w:rsidRPr="0006358C" w:rsidRDefault="0006358C" w:rsidP="0006358C">
            <w:pPr>
              <w:jc w:val="both"/>
              <w:rPr>
                <w:rFonts w:ascii="Arial" w:hAnsi="Arial" w:cs="Arial"/>
                <w:sz w:val="20"/>
                <w:szCs w:val="20"/>
              </w:rPr>
            </w:pPr>
            <w:r w:rsidRPr="0006358C">
              <w:rPr>
                <w:rFonts w:ascii="Arial" w:hAnsi="Arial" w:cs="Arial"/>
                <w:sz w:val="20"/>
                <w:szCs w:val="20"/>
              </w:rPr>
              <w:t>10.15</w:t>
            </w:r>
            <w:r w:rsidRPr="0006358C">
              <w:rPr>
                <w:rFonts w:ascii="Arial" w:hAnsi="Arial" w:cs="Arial"/>
                <w:sz w:val="20"/>
                <w:szCs w:val="20"/>
                <w:vertAlign w:val="superscript"/>
              </w:rPr>
              <w:t>b</w:t>
            </w:r>
            <w:r w:rsidRPr="0006358C">
              <w:rPr>
                <w:rFonts w:ascii="Arial" w:hAnsi="Arial" w:cs="Arial"/>
                <w:sz w:val="20"/>
                <w:szCs w:val="20"/>
              </w:rPr>
              <w:t>±0.04</w:t>
            </w:r>
          </w:p>
        </w:tc>
        <w:tc>
          <w:tcPr>
            <w:tcW w:w="2158" w:type="dxa"/>
            <w:tcBorders>
              <w:top w:val="nil"/>
              <w:bottom w:val="nil"/>
            </w:tcBorders>
          </w:tcPr>
          <w:p w14:paraId="088264C4" w14:textId="1BB46846" w:rsidR="0006358C" w:rsidRPr="0006358C" w:rsidRDefault="0006358C" w:rsidP="0006358C">
            <w:pPr>
              <w:jc w:val="both"/>
              <w:rPr>
                <w:rFonts w:ascii="Arial" w:hAnsi="Arial" w:cs="Arial"/>
                <w:sz w:val="20"/>
                <w:szCs w:val="20"/>
              </w:rPr>
            </w:pPr>
            <w:r w:rsidRPr="0006358C">
              <w:rPr>
                <w:rFonts w:ascii="Arial" w:hAnsi="Arial" w:cs="Arial"/>
                <w:sz w:val="20"/>
                <w:szCs w:val="20"/>
              </w:rPr>
              <w:t>3.65</w:t>
            </w:r>
            <w:r w:rsidRPr="0006358C">
              <w:rPr>
                <w:rFonts w:ascii="Arial" w:hAnsi="Arial" w:cs="Arial"/>
                <w:sz w:val="20"/>
                <w:szCs w:val="20"/>
                <w:vertAlign w:val="superscript"/>
              </w:rPr>
              <w:t>b</w:t>
            </w:r>
            <w:r w:rsidRPr="0006358C">
              <w:rPr>
                <w:rFonts w:ascii="Arial" w:hAnsi="Arial" w:cs="Arial"/>
                <w:sz w:val="20"/>
                <w:szCs w:val="20"/>
              </w:rPr>
              <w:t>±0.30</w:t>
            </w:r>
          </w:p>
        </w:tc>
        <w:tc>
          <w:tcPr>
            <w:tcW w:w="2158" w:type="dxa"/>
            <w:tcBorders>
              <w:top w:val="nil"/>
              <w:bottom w:val="nil"/>
            </w:tcBorders>
          </w:tcPr>
          <w:p w14:paraId="0D607957" w14:textId="7311129A" w:rsidR="0006358C" w:rsidRPr="0006358C" w:rsidRDefault="0006358C" w:rsidP="0006358C">
            <w:pPr>
              <w:jc w:val="both"/>
              <w:rPr>
                <w:rFonts w:ascii="Arial" w:hAnsi="Arial" w:cs="Arial"/>
                <w:sz w:val="20"/>
                <w:szCs w:val="20"/>
              </w:rPr>
            </w:pPr>
            <w:r w:rsidRPr="0006358C">
              <w:rPr>
                <w:rFonts w:ascii="Arial" w:hAnsi="Arial" w:cs="Arial"/>
                <w:sz w:val="20"/>
                <w:szCs w:val="20"/>
              </w:rPr>
              <w:t>3.72</w:t>
            </w:r>
            <w:r w:rsidRPr="0006358C">
              <w:rPr>
                <w:rFonts w:ascii="Arial" w:hAnsi="Arial" w:cs="Arial"/>
                <w:sz w:val="20"/>
                <w:szCs w:val="20"/>
                <w:vertAlign w:val="superscript"/>
              </w:rPr>
              <w:t>c</w:t>
            </w:r>
            <w:r w:rsidRPr="0006358C">
              <w:rPr>
                <w:rFonts w:ascii="Arial" w:hAnsi="Arial" w:cs="Arial"/>
                <w:sz w:val="20"/>
                <w:szCs w:val="20"/>
              </w:rPr>
              <w:t>±0.00</w:t>
            </w:r>
          </w:p>
        </w:tc>
        <w:tc>
          <w:tcPr>
            <w:tcW w:w="2158" w:type="dxa"/>
            <w:tcBorders>
              <w:top w:val="nil"/>
              <w:bottom w:val="nil"/>
            </w:tcBorders>
          </w:tcPr>
          <w:p w14:paraId="491BB2AE" w14:textId="7103A197" w:rsidR="0006358C" w:rsidRPr="0006358C" w:rsidRDefault="0006358C" w:rsidP="0006358C">
            <w:pPr>
              <w:jc w:val="both"/>
              <w:rPr>
                <w:rFonts w:ascii="Arial" w:hAnsi="Arial" w:cs="Arial"/>
                <w:sz w:val="20"/>
                <w:szCs w:val="20"/>
              </w:rPr>
            </w:pPr>
            <w:r w:rsidRPr="0006358C">
              <w:rPr>
                <w:rFonts w:ascii="Arial" w:hAnsi="Arial" w:cs="Arial"/>
                <w:sz w:val="20"/>
                <w:szCs w:val="20"/>
              </w:rPr>
              <w:t>2.36</w:t>
            </w:r>
            <w:r w:rsidRPr="0006358C">
              <w:rPr>
                <w:rFonts w:ascii="Arial" w:hAnsi="Arial" w:cs="Arial"/>
                <w:sz w:val="20"/>
                <w:szCs w:val="20"/>
                <w:vertAlign w:val="superscript"/>
              </w:rPr>
              <w:t>c</w:t>
            </w:r>
            <w:r w:rsidRPr="0006358C">
              <w:rPr>
                <w:rFonts w:ascii="Arial" w:hAnsi="Arial" w:cs="Arial"/>
                <w:sz w:val="20"/>
                <w:szCs w:val="20"/>
              </w:rPr>
              <w:t>±0.01</w:t>
            </w:r>
          </w:p>
        </w:tc>
        <w:tc>
          <w:tcPr>
            <w:tcW w:w="2158" w:type="dxa"/>
            <w:tcBorders>
              <w:top w:val="nil"/>
              <w:bottom w:val="nil"/>
            </w:tcBorders>
          </w:tcPr>
          <w:p w14:paraId="46A2A044" w14:textId="335B239B" w:rsidR="0006358C" w:rsidRPr="0006358C" w:rsidRDefault="0006358C" w:rsidP="0006358C">
            <w:pPr>
              <w:jc w:val="both"/>
              <w:rPr>
                <w:rFonts w:ascii="Arial" w:hAnsi="Arial" w:cs="Arial"/>
                <w:sz w:val="20"/>
                <w:szCs w:val="20"/>
              </w:rPr>
            </w:pPr>
            <w:r w:rsidRPr="0006358C">
              <w:rPr>
                <w:rFonts w:ascii="Arial" w:hAnsi="Arial" w:cs="Arial"/>
                <w:sz w:val="20"/>
                <w:szCs w:val="20"/>
              </w:rPr>
              <w:t>68.68</w:t>
            </w:r>
            <w:r w:rsidRPr="0006358C">
              <w:rPr>
                <w:rFonts w:ascii="Arial" w:hAnsi="Arial" w:cs="Arial"/>
                <w:sz w:val="20"/>
                <w:szCs w:val="20"/>
                <w:vertAlign w:val="superscript"/>
              </w:rPr>
              <w:t>b</w:t>
            </w:r>
            <w:r w:rsidRPr="0006358C">
              <w:rPr>
                <w:rFonts w:ascii="Arial" w:hAnsi="Arial" w:cs="Arial"/>
                <w:sz w:val="20"/>
                <w:szCs w:val="20"/>
              </w:rPr>
              <w:t>±0.45</w:t>
            </w:r>
          </w:p>
        </w:tc>
      </w:tr>
      <w:tr w:rsidR="0006358C" w14:paraId="02982D0E" w14:textId="77777777" w:rsidTr="0006358C">
        <w:tc>
          <w:tcPr>
            <w:tcW w:w="2158" w:type="dxa"/>
            <w:tcBorders>
              <w:top w:val="nil"/>
              <w:bottom w:val="nil"/>
            </w:tcBorders>
          </w:tcPr>
          <w:p w14:paraId="44899FA2" w14:textId="4A71ADA0" w:rsidR="0006358C" w:rsidRPr="0006358C" w:rsidRDefault="0006358C" w:rsidP="0006358C">
            <w:pPr>
              <w:jc w:val="both"/>
              <w:rPr>
                <w:rFonts w:ascii="Arial" w:hAnsi="Arial" w:cs="Arial"/>
                <w:sz w:val="20"/>
                <w:szCs w:val="20"/>
              </w:rPr>
            </w:pPr>
            <w:r w:rsidRPr="0006358C">
              <w:rPr>
                <w:rFonts w:ascii="Arial" w:hAnsi="Arial" w:cs="Arial"/>
                <w:sz w:val="20"/>
                <w:szCs w:val="20"/>
              </w:rPr>
              <w:t>20:60:20</w:t>
            </w:r>
          </w:p>
        </w:tc>
        <w:tc>
          <w:tcPr>
            <w:tcW w:w="2158" w:type="dxa"/>
            <w:tcBorders>
              <w:top w:val="nil"/>
              <w:bottom w:val="nil"/>
            </w:tcBorders>
          </w:tcPr>
          <w:p w14:paraId="6EBDDFCB" w14:textId="061EB56F" w:rsidR="0006358C" w:rsidRPr="0006358C" w:rsidRDefault="0006358C" w:rsidP="0006358C">
            <w:pPr>
              <w:jc w:val="both"/>
              <w:rPr>
                <w:rFonts w:ascii="Arial" w:hAnsi="Arial" w:cs="Arial"/>
                <w:sz w:val="20"/>
                <w:szCs w:val="20"/>
              </w:rPr>
            </w:pPr>
            <w:r w:rsidRPr="0006358C">
              <w:rPr>
                <w:rFonts w:ascii="Arial" w:hAnsi="Arial" w:cs="Arial"/>
                <w:sz w:val="20"/>
                <w:szCs w:val="20"/>
              </w:rPr>
              <w:t>10.94</w:t>
            </w:r>
            <w:r w:rsidRPr="0006358C">
              <w:rPr>
                <w:rFonts w:ascii="Arial" w:hAnsi="Arial" w:cs="Arial"/>
                <w:sz w:val="20"/>
                <w:szCs w:val="20"/>
                <w:vertAlign w:val="superscript"/>
              </w:rPr>
              <w:t>d</w:t>
            </w:r>
            <w:r w:rsidRPr="0006358C">
              <w:rPr>
                <w:rFonts w:ascii="Arial" w:hAnsi="Arial" w:cs="Arial"/>
                <w:sz w:val="20"/>
                <w:szCs w:val="20"/>
              </w:rPr>
              <w:t>±0.10</w:t>
            </w:r>
          </w:p>
        </w:tc>
        <w:tc>
          <w:tcPr>
            <w:tcW w:w="2158" w:type="dxa"/>
            <w:tcBorders>
              <w:top w:val="nil"/>
              <w:bottom w:val="nil"/>
            </w:tcBorders>
          </w:tcPr>
          <w:p w14:paraId="053F55B4" w14:textId="632322C9" w:rsidR="0006358C" w:rsidRPr="0006358C" w:rsidRDefault="0006358C" w:rsidP="0006358C">
            <w:pPr>
              <w:jc w:val="both"/>
              <w:rPr>
                <w:rFonts w:ascii="Arial" w:hAnsi="Arial" w:cs="Arial"/>
                <w:sz w:val="20"/>
                <w:szCs w:val="20"/>
              </w:rPr>
            </w:pPr>
            <w:r w:rsidRPr="0006358C">
              <w:rPr>
                <w:rFonts w:ascii="Arial" w:hAnsi="Arial" w:cs="Arial"/>
                <w:sz w:val="20"/>
                <w:szCs w:val="20"/>
              </w:rPr>
              <w:t>9.94</w:t>
            </w:r>
            <w:r w:rsidRPr="0006358C">
              <w:rPr>
                <w:rFonts w:ascii="Arial" w:hAnsi="Arial" w:cs="Arial"/>
                <w:sz w:val="20"/>
                <w:szCs w:val="20"/>
                <w:vertAlign w:val="superscript"/>
              </w:rPr>
              <w:t>c</w:t>
            </w:r>
            <w:r w:rsidRPr="0006358C">
              <w:rPr>
                <w:rFonts w:ascii="Arial" w:hAnsi="Arial" w:cs="Arial"/>
                <w:sz w:val="20"/>
                <w:szCs w:val="20"/>
              </w:rPr>
              <w:t>±0.13</w:t>
            </w:r>
          </w:p>
        </w:tc>
        <w:tc>
          <w:tcPr>
            <w:tcW w:w="2158" w:type="dxa"/>
            <w:tcBorders>
              <w:top w:val="nil"/>
              <w:bottom w:val="nil"/>
            </w:tcBorders>
          </w:tcPr>
          <w:p w14:paraId="69C77DAE" w14:textId="55FA7374" w:rsidR="0006358C" w:rsidRPr="0006358C" w:rsidRDefault="0006358C" w:rsidP="0006358C">
            <w:pPr>
              <w:jc w:val="both"/>
              <w:rPr>
                <w:rFonts w:ascii="Arial" w:hAnsi="Arial" w:cs="Arial"/>
                <w:sz w:val="20"/>
                <w:szCs w:val="20"/>
              </w:rPr>
            </w:pPr>
            <w:r w:rsidRPr="0006358C">
              <w:rPr>
                <w:rFonts w:ascii="Arial" w:hAnsi="Arial" w:cs="Arial"/>
                <w:sz w:val="20"/>
                <w:szCs w:val="20"/>
              </w:rPr>
              <w:t>3.76</w:t>
            </w:r>
            <w:r w:rsidRPr="0006358C">
              <w:rPr>
                <w:rFonts w:ascii="Arial" w:hAnsi="Arial" w:cs="Arial"/>
                <w:sz w:val="20"/>
                <w:szCs w:val="20"/>
                <w:vertAlign w:val="superscript"/>
              </w:rPr>
              <w:t>b</w:t>
            </w:r>
            <w:r w:rsidRPr="0006358C">
              <w:rPr>
                <w:rFonts w:ascii="Arial" w:hAnsi="Arial" w:cs="Arial"/>
                <w:sz w:val="20"/>
                <w:szCs w:val="20"/>
              </w:rPr>
              <w:t>±0.50</w:t>
            </w:r>
          </w:p>
        </w:tc>
        <w:tc>
          <w:tcPr>
            <w:tcW w:w="2158" w:type="dxa"/>
            <w:tcBorders>
              <w:top w:val="nil"/>
              <w:bottom w:val="nil"/>
            </w:tcBorders>
          </w:tcPr>
          <w:p w14:paraId="252D6B42" w14:textId="042BFB57" w:rsidR="0006358C" w:rsidRPr="0006358C" w:rsidRDefault="0006358C" w:rsidP="0006358C">
            <w:pPr>
              <w:jc w:val="both"/>
              <w:rPr>
                <w:rFonts w:ascii="Arial" w:hAnsi="Arial" w:cs="Arial"/>
                <w:sz w:val="20"/>
                <w:szCs w:val="20"/>
              </w:rPr>
            </w:pPr>
            <w:r w:rsidRPr="0006358C">
              <w:rPr>
                <w:rFonts w:ascii="Arial" w:hAnsi="Arial" w:cs="Arial"/>
                <w:sz w:val="20"/>
                <w:szCs w:val="20"/>
              </w:rPr>
              <w:t>5.45</w:t>
            </w:r>
            <w:r w:rsidRPr="0006358C">
              <w:rPr>
                <w:rFonts w:ascii="Arial" w:hAnsi="Arial" w:cs="Arial"/>
                <w:sz w:val="20"/>
                <w:szCs w:val="20"/>
                <w:vertAlign w:val="superscript"/>
              </w:rPr>
              <w:t>c</w:t>
            </w:r>
            <w:r w:rsidRPr="0006358C">
              <w:rPr>
                <w:rFonts w:ascii="Arial" w:hAnsi="Arial" w:cs="Arial"/>
                <w:sz w:val="20"/>
                <w:szCs w:val="20"/>
              </w:rPr>
              <w:t>±0.21</w:t>
            </w:r>
          </w:p>
        </w:tc>
        <w:tc>
          <w:tcPr>
            <w:tcW w:w="2158" w:type="dxa"/>
            <w:tcBorders>
              <w:top w:val="nil"/>
              <w:bottom w:val="nil"/>
            </w:tcBorders>
          </w:tcPr>
          <w:p w14:paraId="5A787DCB" w14:textId="2655F60C" w:rsidR="0006358C" w:rsidRPr="0006358C" w:rsidRDefault="0006358C" w:rsidP="0006358C">
            <w:pPr>
              <w:jc w:val="both"/>
              <w:rPr>
                <w:rFonts w:ascii="Arial" w:hAnsi="Arial" w:cs="Arial"/>
                <w:sz w:val="20"/>
                <w:szCs w:val="20"/>
              </w:rPr>
            </w:pPr>
            <w:r w:rsidRPr="0006358C">
              <w:rPr>
                <w:rFonts w:ascii="Arial" w:hAnsi="Arial" w:cs="Arial"/>
                <w:sz w:val="20"/>
                <w:szCs w:val="20"/>
              </w:rPr>
              <w:t>2.72</w:t>
            </w:r>
            <w:r w:rsidRPr="0006358C">
              <w:rPr>
                <w:rFonts w:ascii="Arial" w:hAnsi="Arial" w:cs="Arial"/>
                <w:sz w:val="20"/>
                <w:szCs w:val="20"/>
                <w:vertAlign w:val="superscript"/>
              </w:rPr>
              <w:t>c</w:t>
            </w:r>
            <w:r w:rsidRPr="0006358C">
              <w:rPr>
                <w:rFonts w:ascii="Arial" w:hAnsi="Arial" w:cs="Arial"/>
                <w:sz w:val="20"/>
                <w:szCs w:val="20"/>
              </w:rPr>
              <w:t>±0.02</w:t>
            </w:r>
          </w:p>
        </w:tc>
        <w:tc>
          <w:tcPr>
            <w:tcW w:w="2158" w:type="dxa"/>
            <w:tcBorders>
              <w:top w:val="nil"/>
              <w:bottom w:val="nil"/>
            </w:tcBorders>
          </w:tcPr>
          <w:p w14:paraId="5B7EC523" w14:textId="4ACD021A" w:rsidR="0006358C" w:rsidRPr="0006358C" w:rsidRDefault="0006358C" w:rsidP="0006358C">
            <w:pPr>
              <w:jc w:val="both"/>
              <w:rPr>
                <w:rFonts w:ascii="Arial" w:hAnsi="Arial" w:cs="Arial"/>
                <w:sz w:val="20"/>
                <w:szCs w:val="20"/>
              </w:rPr>
            </w:pPr>
            <w:r w:rsidRPr="0006358C">
              <w:rPr>
                <w:rFonts w:ascii="Arial" w:hAnsi="Arial" w:cs="Arial"/>
                <w:sz w:val="20"/>
                <w:szCs w:val="20"/>
              </w:rPr>
              <w:t>67.19</w:t>
            </w:r>
            <w:r w:rsidRPr="0006358C">
              <w:rPr>
                <w:rFonts w:ascii="Arial" w:hAnsi="Arial" w:cs="Arial"/>
                <w:sz w:val="20"/>
                <w:szCs w:val="20"/>
                <w:vertAlign w:val="superscript"/>
              </w:rPr>
              <w:t>c</w:t>
            </w:r>
            <w:r w:rsidRPr="0006358C">
              <w:rPr>
                <w:rFonts w:ascii="Arial" w:hAnsi="Arial" w:cs="Arial"/>
                <w:sz w:val="20"/>
                <w:szCs w:val="20"/>
              </w:rPr>
              <w:t>±1.26</w:t>
            </w:r>
          </w:p>
        </w:tc>
      </w:tr>
      <w:tr w:rsidR="0006358C" w14:paraId="3D40B390" w14:textId="77777777" w:rsidTr="0006358C">
        <w:tc>
          <w:tcPr>
            <w:tcW w:w="2158" w:type="dxa"/>
            <w:tcBorders>
              <w:top w:val="nil"/>
              <w:bottom w:val="nil"/>
            </w:tcBorders>
          </w:tcPr>
          <w:p w14:paraId="0BE4DFBE" w14:textId="35D66DD2" w:rsidR="0006358C" w:rsidRPr="0006358C" w:rsidRDefault="0006358C" w:rsidP="0006358C">
            <w:pPr>
              <w:jc w:val="both"/>
              <w:rPr>
                <w:rFonts w:ascii="Arial" w:hAnsi="Arial" w:cs="Arial"/>
                <w:sz w:val="20"/>
                <w:szCs w:val="20"/>
              </w:rPr>
            </w:pPr>
            <w:r w:rsidRPr="0006358C">
              <w:rPr>
                <w:rFonts w:ascii="Arial" w:hAnsi="Arial" w:cs="Arial"/>
                <w:sz w:val="20"/>
                <w:szCs w:val="20"/>
              </w:rPr>
              <w:t>20:50:30</w:t>
            </w:r>
          </w:p>
        </w:tc>
        <w:tc>
          <w:tcPr>
            <w:tcW w:w="2158" w:type="dxa"/>
            <w:tcBorders>
              <w:top w:val="nil"/>
              <w:bottom w:val="nil"/>
            </w:tcBorders>
          </w:tcPr>
          <w:p w14:paraId="6668218F" w14:textId="7E3FEAFA" w:rsidR="0006358C" w:rsidRPr="0006358C" w:rsidRDefault="0006358C" w:rsidP="0006358C">
            <w:pPr>
              <w:jc w:val="both"/>
              <w:rPr>
                <w:rFonts w:ascii="Arial" w:hAnsi="Arial" w:cs="Arial"/>
                <w:sz w:val="20"/>
                <w:szCs w:val="20"/>
              </w:rPr>
            </w:pPr>
            <w:r w:rsidRPr="0006358C">
              <w:rPr>
                <w:rFonts w:ascii="Arial" w:hAnsi="Arial" w:cs="Arial"/>
                <w:sz w:val="20"/>
                <w:szCs w:val="20"/>
              </w:rPr>
              <w:t>9.35</w:t>
            </w:r>
            <w:r w:rsidRPr="0006358C">
              <w:rPr>
                <w:rFonts w:ascii="Arial" w:hAnsi="Arial" w:cs="Arial"/>
                <w:sz w:val="20"/>
                <w:szCs w:val="20"/>
                <w:vertAlign w:val="superscript"/>
              </w:rPr>
              <w:t>f</w:t>
            </w:r>
            <w:r w:rsidRPr="0006358C">
              <w:rPr>
                <w:rFonts w:ascii="Arial" w:hAnsi="Arial" w:cs="Arial"/>
                <w:sz w:val="20"/>
                <w:szCs w:val="20"/>
              </w:rPr>
              <w:t>±0.39</w:t>
            </w:r>
          </w:p>
        </w:tc>
        <w:tc>
          <w:tcPr>
            <w:tcW w:w="2158" w:type="dxa"/>
            <w:tcBorders>
              <w:top w:val="nil"/>
              <w:bottom w:val="nil"/>
            </w:tcBorders>
          </w:tcPr>
          <w:p w14:paraId="43DC6B3A" w14:textId="752662EA" w:rsidR="0006358C" w:rsidRPr="0006358C" w:rsidRDefault="0006358C" w:rsidP="0006358C">
            <w:pPr>
              <w:jc w:val="both"/>
              <w:rPr>
                <w:rFonts w:ascii="Arial" w:hAnsi="Arial" w:cs="Arial"/>
                <w:sz w:val="20"/>
                <w:szCs w:val="20"/>
              </w:rPr>
            </w:pPr>
            <w:r w:rsidRPr="0006358C">
              <w:rPr>
                <w:rFonts w:ascii="Arial" w:hAnsi="Arial" w:cs="Arial"/>
                <w:sz w:val="20"/>
                <w:szCs w:val="20"/>
              </w:rPr>
              <w:t>9.84</w:t>
            </w:r>
            <w:r w:rsidRPr="0006358C">
              <w:rPr>
                <w:rFonts w:ascii="Arial" w:hAnsi="Arial" w:cs="Arial"/>
                <w:sz w:val="20"/>
                <w:szCs w:val="20"/>
                <w:vertAlign w:val="superscript"/>
              </w:rPr>
              <w:t>c</w:t>
            </w:r>
            <w:r w:rsidRPr="0006358C">
              <w:rPr>
                <w:rFonts w:ascii="Arial" w:hAnsi="Arial" w:cs="Arial"/>
                <w:sz w:val="20"/>
                <w:szCs w:val="20"/>
              </w:rPr>
              <w:t>±0.39</w:t>
            </w:r>
          </w:p>
        </w:tc>
        <w:tc>
          <w:tcPr>
            <w:tcW w:w="2158" w:type="dxa"/>
            <w:tcBorders>
              <w:top w:val="nil"/>
              <w:bottom w:val="nil"/>
            </w:tcBorders>
          </w:tcPr>
          <w:p w14:paraId="7A0A68B5" w14:textId="5CADB300" w:rsidR="0006358C" w:rsidRPr="0006358C" w:rsidRDefault="0006358C" w:rsidP="0006358C">
            <w:pPr>
              <w:jc w:val="both"/>
              <w:rPr>
                <w:rFonts w:ascii="Arial" w:hAnsi="Arial" w:cs="Arial"/>
                <w:sz w:val="20"/>
                <w:szCs w:val="20"/>
              </w:rPr>
            </w:pPr>
            <w:r w:rsidRPr="0006358C">
              <w:rPr>
                <w:rFonts w:ascii="Arial" w:hAnsi="Arial" w:cs="Arial"/>
                <w:sz w:val="20"/>
                <w:szCs w:val="20"/>
              </w:rPr>
              <w:t>3.80</w:t>
            </w:r>
            <w:r w:rsidRPr="0006358C">
              <w:rPr>
                <w:rFonts w:ascii="Arial" w:hAnsi="Arial" w:cs="Arial"/>
                <w:sz w:val="20"/>
                <w:szCs w:val="20"/>
                <w:vertAlign w:val="superscript"/>
              </w:rPr>
              <w:t>b</w:t>
            </w:r>
            <w:r w:rsidRPr="0006358C">
              <w:rPr>
                <w:rFonts w:ascii="Arial" w:hAnsi="Arial" w:cs="Arial"/>
                <w:sz w:val="20"/>
                <w:szCs w:val="20"/>
              </w:rPr>
              <w:t>±0.56</w:t>
            </w:r>
          </w:p>
        </w:tc>
        <w:tc>
          <w:tcPr>
            <w:tcW w:w="2158" w:type="dxa"/>
            <w:tcBorders>
              <w:top w:val="nil"/>
              <w:bottom w:val="nil"/>
            </w:tcBorders>
          </w:tcPr>
          <w:p w14:paraId="7C5FE362" w14:textId="0EB8FAEB" w:rsidR="0006358C" w:rsidRPr="0006358C" w:rsidRDefault="0006358C" w:rsidP="0006358C">
            <w:pPr>
              <w:jc w:val="both"/>
              <w:rPr>
                <w:rFonts w:ascii="Arial" w:hAnsi="Arial" w:cs="Arial"/>
                <w:sz w:val="20"/>
                <w:szCs w:val="20"/>
              </w:rPr>
            </w:pPr>
            <w:r w:rsidRPr="0006358C">
              <w:rPr>
                <w:rFonts w:ascii="Arial" w:hAnsi="Arial" w:cs="Arial"/>
                <w:sz w:val="20"/>
                <w:szCs w:val="20"/>
              </w:rPr>
              <w:t>6.83</w:t>
            </w:r>
            <w:r w:rsidRPr="0006358C">
              <w:rPr>
                <w:rFonts w:ascii="Arial" w:hAnsi="Arial" w:cs="Arial"/>
                <w:sz w:val="20"/>
                <w:szCs w:val="20"/>
                <w:vertAlign w:val="superscript"/>
              </w:rPr>
              <w:t>d</w:t>
            </w:r>
            <w:r w:rsidRPr="0006358C">
              <w:rPr>
                <w:rFonts w:ascii="Arial" w:hAnsi="Arial" w:cs="Arial"/>
                <w:sz w:val="20"/>
                <w:szCs w:val="20"/>
              </w:rPr>
              <w:t>±0.04</w:t>
            </w:r>
          </w:p>
        </w:tc>
        <w:tc>
          <w:tcPr>
            <w:tcW w:w="2158" w:type="dxa"/>
            <w:tcBorders>
              <w:top w:val="nil"/>
              <w:bottom w:val="nil"/>
            </w:tcBorders>
          </w:tcPr>
          <w:p w14:paraId="05A31BB8" w14:textId="697EBCC5" w:rsidR="0006358C" w:rsidRPr="0006358C" w:rsidRDefault="0006358C" w:rsidP="0006358C">
            <w:pPr>
              <w:jc w:val="both"/>
              <w:rPr>
                <w:rFonts w:ascii="Arial" w:hAnsi="Arial" w:cs="Arial"/>
                <w:sz w:val="20"/>
                <w:szCs w:val="20"/>
              </w:rPr>
            </w:pPr>
            <w:r w:rsidRPr="0006358C">
              <w:rPr>
                <w:rFonts w:ascii="Arial" w:hAnsi="Arial" w:cs="Arial"/>
                <w:sz w:val="20"/>
                <w:szCs w:val="20"/>
              </w:rPr>
              <w:t>3.08</w:t>
            </w:r>
            <w:r w:rsidRPr="0006358C">
              <w:rPr>
                <w:rFonts w:ascii="Arial" w:hAnsi="Arial" w:cs="Arial"/>
                <w:sz w:val="20"/>
                <w:szCs w:val="20"/>
                <w:vertAlign w:val="superscript"/>
              </w:rPr>
              <w:t>d</w:t>
            </w:r>
            <w:r w:rsidRPr="0006358C">
              <w:rPr>
                <w:rFonts w:ascii="Arial" w:hAnsi="Arial" w:cs="Arial"/>
                <w:sz w:val="20"/>
                <w:szCs w:val="20"/>
              </w:rPr>
              <w:t>±0.04</w:t>
            </w:r>
          </w:p>
        </w:tc>
        <w:tc>
          <w:tcPr>
            <w:tcW w:w="2158" w:type="dxa"/>
            <w:tcBorders>
              <w:top w:val="nil"/>
              <w:bottom w:val="nil"/>
            </w:tcBorders>
          </w:tcPr>
          <w:p w14:paraId="5D6B11B9" w14:textId="3E1CC2A2" w:rsidR="0006358C" w:rsidRPr="0006358C" w:rsidRDefault="0006358C" w:rsidP="0006358C">
            <w:pPr>
              <w:jc w:val="both"/>
              <w:rPr>
                <w:rFonts w:ascii="Arial" w:hAnsi="Arial" w:cs="Arial"/>
                <w:sz w:val="20"/>
                <w:szCs w:val="20"/>
              </w:rPr>
            </w:pPr>
            <w:r w:rsidRPr="0006358C">
              <w:rPr>
                <w:rFonts w:ascii="Arial" w:hAnsi="Arial" w:cs="Arial"/>
                <w:sz w:val="20"/>
                <w:szCs w:val="20"/>
              </w:rPr>
              <w:t>67.10</w:t>
            </w:r>
            <w:r w:rsidRPr="0006358C">
              <w:rPr>
                <w:rFonts w:ascii="Arial" w:hAnsi="Arial" w:cs="Arial"/>
                <w:sz w:val="20"/>
                <w:szCs w:val="20"/>
                <w:vertAlign w:val="superscript"/>
              </w:rPr>
              <w:t>d</w:t>
            </w:r>
            <w:r w:rsidRPr="0006358C">
              <w:rPr>
                <w:rFonts w:ascii="Arial" w:hAnsi="Arial" w:cs="Arial"/>
                <w:sz w:val="20"/>
                <w:szCs w:val="20"/>
              </w:rPr>
              <w:t>±1.06</w:t>
            </w:r>
          </w:p>
        </w:tc>
      </w:tr>
      <w:tr w:rsidR="0006358C" w14:paraId="595B5D93" w14:textId="77777777" w:rsidTr="0006358C">
        <w:tc>
          <w:tcPr>
            <w:tcW w:w="2158" w:type="dxa"/>
            <w:tcBorders>
              <w:top w:val="nil"/>
            </w:tcBorders>
          </w:tcPr>
          <w:p w14:paraId="129FF982" w14:textId="70639E5C" w:rsidR="0006358C" w:rsidRPr="0006358C" w:rsidRDefault="0006358C" w:rsidP="0006358C">
            <w:pPr>
              <w:jc w:val="both"/>
              <w:rPr>
                <w:rFonts w:ascii="Arial" w:hAnsi="Arial" w:cs="Arial"/>
                <w:sz w:val="20"/>
                <w:szCs w:val="20"/>
              </w:rPr>
            </w:pPr>
            <w:r w:rsidRPr="0006358C">
              <w:rPr>
                <w:rFonts w:ascii="Arial" w:hAnsi="Arial" w:cs="Arial"/>
                <w:sz w:val="20"/>
                <w:szCs w:val="20"/>
              </w:rPr>
              <w:t>20:40:40</w:t>
            </w:r>
          </w:p>
        </w:tc>
        <w:tc>
          <w:tcPr>
            <w:tcW w:w="2158" w:type="dxa"/>
            <w:tcBorders>
              <w:top w:val="nil"/>
            </w:tcBorders>
          </w:tcPr>
          <w:p w14:paraId="1E33AC8C" w14:textId="38BF23A3" w:rsidR="0006358C" w:rsidRPr="0006358C" w:rsidRDefault="0006358C" w:rsidP="0006358C">
            <w:pPr>
              <w:jc w:val="both"/>
              <w:rPr>
                <w:rFonts w:ascii="Arial" w:hAnsi="Arial" w:cs="Arial"/>
                <w:sz w:val="20"/>
                <w:szCs w:val="20"/>
              </w:rPr>
            </w:pPr>
            <w:r w:rsidRPr="0006358C">
              <w:rPr>
                <w:rFonts w:ascii="Arial" w:hAnsi="Arial" w:cs="Arial"/>
                <w:sz w:val="20"/>
                <w:szCs w:val="20"/>
              </w:rPr>
              <w:t>9.28</w:t>
            </w:r>
            <w:r w:rsidRPr="0006358C">
              <w:rPr>
                <w:rFonts w:ascii="Arial" w:hAnsi="Arial" w:cs="Arial"/>
                <w:sz w:val="20"/>
                <w:szCs w:val="20"/>
                <w:vertAlign w:val="superscript"/>
              </w:rPr>
              <w:t>e</w:t>
            </w:r>
            <w:r w:rsidRPr="0006358C">
              <w:rPr>
                <w:rFonts w:ascii="Arial" w:hAnsi="Arial" w:cs="Arial"/>
                <w:sz w:val="20"/>
                <w:szCs w:val="20"/>
              </w:rPr>
              <w:t>±0.39</w:t>
            </w:r>
          </w:p>
        </w:tc>
        <w:tc>
          <w:tcPr>
            <w:tcW w:w="2158" w:type="dxa"/>
            <w:tcBorders>
              <w:top w:val="nil"/>
            </w:tcBorders>
          </w:tcPr>
          <w:p w14:paraId="3F6F32CD" w14:textId="17C6F391" w:rsidR="0006358C" w:rsidRPr="0006358C" w:rsidRDefault="0006358C" w:rsidP="0006358C">
            <w:pPr>
              <w:jc w:val="both"/>
              <w:rPr>
                <w:rFonts w:ascii="Arial" w:hAnsi="Arial" w:cs="Arial"/>
                <w:sz w:val="20"/>
                <w:szCs w:val="20"/>
              </w:rPr>
            </w:pPr>
            <w:r w:rsidRPr="0006358C">
              <w:rPr>
                <w:rFonts w:ascii="Arial" w:hAnsi="Arial" w:cs="Arial"/>
                <w:sz w:val="20"/>
                <w:szCs w:val="20"/>
              </w:rPr>
              <w:t>9.31±0.05</w:t>
            </w:r>
          </w:p>
        </w:tc>
        <w:tc>
          <w:tcPr>
            <w:tcW w:w="2158" w:type="dxa"/>
            <w:tcBorders>
              <w:top w:val="nil"/>
            </w:tcBorders>
          </w:tcPr>
          <w:p w14:paraId="27FCC84D" w14:textId="467AC2DD" w:rsidR="0006358C" w:rsidRPr="0006358C" w:rsidRDefault="0006358C" w:rsidP="0006358C">
            <w:pPr>
              <w:jc w:val="both"/>
              <w:rPr>
                <w:rFonts w:ascii="Arial" w:hAnsi="Arial" w:cs="Arial"/>
                <w:sz w:val="20"/>
                <w:szCs w:val="20"/>
              </w:rPr>
            </w:pPr>
            <w:r w:rsidRPr="0006358C">
              <w:rPr>
                <w:rFonts w:ascii="Arial" w:hAnsi="Arial" w:cs="Arial"/>
                <w:sz w:val="20"/>
                <w:szCs w:val="20"/>
              </w:rPr>
              <w:t>3.83</w:t>
            </w:r>
            <w:r w:rsidRPr="0006358C">
              <w:rPr>
                <w:rFonts w:ascii="Arial" w:hAnsi="Arial" w:cs="Arial"/>
                <w:sz w:val="20"/>
                <w:szCs w:val="20"/>
                <w:vertAlign w:val="superscript"/>
              </w:rPr>
              <w:t>b</w:t>
            </w:r>
            <w:r w:rsidRPr="0006358C">
              <w:rPr>
                <w:rFonts w:ascii="Arial" w:hAnsi="Arial" w:cs="Arial"/>
                <w:sz w:val="20"/>
                <w:szCs w:val="20"/>
              </w:rPr>
              <w:t>±0.61</w:t>
            </w:r>
          </w:p>
        </w:tc>
        <w:tc>
          <w:tcPr>
            <w:tcW w:w="2158" w:type="dxa"/>
            <w:tcBorders>
              <w:top w:val="nil"/>
            </w:tcBorders>
          </w:tcPr>
          <w:p w14:paraId="279D060B" w14:textId="6E92732C" w:rsidR="0006358C" w:rsidRPr="0006358C" w:rsidRDefault="0006358C" w:rsidP="0006358C">
            <w:pPr>
              <w:jc w:val="both"/>
              <w:rPr>
                <w:rFonts w:ascii="Arial" w:hAnsi="Arial" w:cs="Arial"/>
                <w:sz w:val="20"/>
                <w:szCs w:val="20"/>
              </w:rPr>
            </w:pPr>
            <w:r w:rsidRPr="0006358C">
              <w:rPr>
                <w:rFonts w:ascii="Arial" w:hAnsi="Arial" w:cs="Arial"/>
                <w:sz w:val="20"/>
                <w:szCs w:val="20"/>
              </w:rPr>
              <w:t>8.55</w:t>
            </w:r>
            <w:r w:rsidRPr="0006358C">
              <w:rPr>
                <w:rFonts w:ascii="Arial" w:hAnsi="Arial" w:cs="Arial"/>
                <w:sz w:val="20"/>
                <w:szCs w:val="20"/>
                <w:vertAlign w:val="superscript"/>
              </w:rPr>
              <w:t>e</w:t>
            </w:r>
            <w:r w:rsidRPr="0006358C">
              <w:rPr>
                <w:rFonts w:ascii="Arial" w:hAnsi="Arial" w:cs="Arial"/>
                <w:sz w:val="20"/>
                <w:szCs w:val="20"/>
              </w:rPr>
              <w:t>±0.07</w:t>
            </w:r>
          </w:p>
        </w:tc>
        <w:tc>
          <w:tcPr>
            <w:tcW w:w="2158" w:type="dxa"/>
            <w:tcBorders>
              <w:top w:val="nil"/>
            </w:tcBorders>
          </w:tcPr>
          <w:p w14:paraId="4DFDA631" w14:textId="0359457E" w:rsidR="0006358C" w:rsidRPr="0006358C" w:rsidRDefault="0006358C" w:rsidP="0006358C">
            <w:pPr>
              <w:jc w:val="both"/>
              <w:rPr>
                <w:rFonts w:ascii="Arial" w:hAnsi="Arial" w:cs="Arial"/>
                <w:sz w:val="20"/>
                <w:szCs w:val="20"/>
              </w:rPr>
            </w:pPr>
            <w:r w:rsidRPr="0006358C">
              <w:rPr>
                <w:rFonts w:ascii="Arial" w:hAnsi="Arial" w:cs="Arial"/>
                <w:sz w:val="20"/>
                <w:szCs w:val="20"/>
              </w:rPr>
              <w:t>3.56</w:t>
            </w:r>
            <w:r w:rsidRPr="0006358C">
              <w:rPr>
                <w:rFonts w:ascii="Arial" w:hAnsi="Arial" w:cs="Arial"/>
                <w:sz w:val="20"/>
                <w:szCs w:val="20"/>
                <w:vertAlign w:val="superscript"/>
              </w:rPr>
              <w:t>e</w:t>
            </w:r>
            <w:r w:rsidRPr="0006358C">
              <w:rPr>
                <w:rFonts w:ascii="Arial" w:hAnsi="Arial" w:cs="Arial"/>
                <w:sz w:val="20"/>
                <w:szCs w:val="20"/>
              </w:rPr>
              <w:t>±0.22</w:t>
            </w:r>
          </w:p>
        </w:tc>
        <w:tc>
          <w:tcPr>
            <w:tcW w:w="2158" w:type="dxa"/>
            <w:tcBorders>
              <w:top w:val="nil"/>
            </w:tcBorders>
          </w:tcPr>
          <w:p w14:paraId="16DD899C" w14:textId="12CB9279" w:rsidR="0006358C" w:rsidRPr="0006358C" w:rsidRDefault="0006358C" w:rsidP="0006358C">
            <w:pPr>
              <w:jc w:val="both"/>
              <w:rPr>
                <w:rFonts w:ascii="Arial" w:hAnsi="Arial" w:cs="Arial"/>
                <w:sz w:val="20"/>
                <w:szCs w:val="20"/>
              </w:rPr>
            </w:pPr>
            <w:r w:rsidRPr="0006358C">
              <w:rPr>
                <w:rFonts w:ascii="Arial" w:hAnsi="Arial" w:cs="Arial"/>
                <w:sz w:val="20"/>
                <w:szCs w:val="20"/>
              </w:rPr>
              <w:t>65.47</w:t>
            </w:r>
            <w:r w:rsidRPr="0006358C">
              <w:rPr>
                <w:rFonts w:ascii="Arial" w:hAnsi="Arial" w:cs="Arial"/>
                <w:sz w:val="20"/>
                <w:szCs w:val="20"/>
                <w:vertAlign w:val="superscript"/>
              </w:rPr>
              <w:t>e</w:t>
            </w:r>
            <w:r w:rsidRPr="0006358C">
              <w:rPr>
                <w:rFonts w:ascii="Arial" w:hAnsi="Arial" w:cs="Arial"/>
                <w:sz w:val="20"/>
                <w:szCs w:val="20"/>
              </w:rPr>
              <w:t>±0.98</w:t>
            </w:r>
          </w:p>
        </w:tc>
      </w:tr>
    </w:tbl>
    <w:p w14:paraId="653577BF" w14:textId="4F3FD737" w:rsidR="0006358C" w:rsidRPr="008D1A88" w:rsidRDefault="0006358C" w:rsidP="0006358C">
      <w:pPr>
        <w:spacing w:after="0" w:line="240" w:lineRule="auto"/>
        <w:jc w:val="both"/>
        <w:rPr>
          <w:rFonts w:ascii="Arial" w:hAnsi="Arial" w:cs="Arial"/>
          <w:sz w:val="20"/>
          <w:szCs w:val="20"/>
        </w:rPr>
      </w:pPr>
      <w:r w:rsidRPr="008D1A88">
        <w:rPr>
          <w:rFonts w:ascii="Arial" w:hAnsi="Arial" w:cs="Arial"/>
          <w:sz w:val="20"/>
          <w:szCs w:val="20"/>
        </w:rPr>
        <w:t xml:space="preserve">Values are means + standard deviation of triplicate (3) </w:t>
      </w:r>
      <w:proofErr w:type="spellStart"/>
      <w:r w:rsidRPr="008D1A88">
        <w:rPr>
          <w:rFonts w:ascii="Arial" w:hAnsi="Arial" w:cs="Arial"/>
          <w:sz w:val="20"/>
          <w:szCs w:val="20"/>
        </w:rPr>
        <w:t>determinationMeans</w:t>
      </w:r>
      <w:proofErr w:type="spellEnd"/>
      <w:r w:rsidRPr="008D1A88">
        <w:rPr>
          <w:rFonts w:ascii="Arial" w:hAnsi="Arial" w:cs="Arial"/>
          <w:sz w:val="20"/>
          <w:szCs w:val="20"/>
        </w:rPr>
        <w:t xml:space="preserve"> within a column with the same superscript are not significantly different (p&gt;0.05) WF=Wheat flour, SF=Sorghum flour, BF= </w:t>
      </w:r>
      <w:r w:rsidRPr="008D1A88">
        <w:rPr>
          <w:rFonts w:ascii="Arial" w:hAnsi="Arial" w:cs="Arial"/>
          <w:i/>
          <w:iCs/>
          <w:sz w:val="20"/>
          <w:szCs w:val="20"/>
        </w:rPr>
        <w:t xml:space="preserve">Bombax </w:t>
      </w:r>
      <w:proofErr w:type="spellStart"/>
      <w:r w:rsidRPr="008D1A88">
        <w:rPr>
          <w:rFonts w:ascii="Arial" w:hAnsi="Arial" w:cs="Arial"/>
          <w:i/>
          <w:iCs/>
          <w:sz w:val="20"/>
          <w:szCs w:val="20"/>
        </w:rPr>
        <w:t>costatum</w:t>
      </w:r>
      <w:proofErr w:type="spellEnd"/>
      <w:r w:rsidRPr="008D1A88">
        <w:rPr>
          <w:rFonts w:ascii="Arial" w:hAnsi="Arial" w:cs="Arial"/>
          <w:i/>
          <w:iCs/>
          <w:sz w:val="20"/>
          <w:szCs w:val="20"/>
        </w:rPr>
        <w:t xml:space="preserve"> </w:t>
      </w:r>
      <w:proofErr w:type="gramStart"/>
      <w:r w:rsidRPr="008D1A88">
        <w:rPr>
          <w:rFonts w:ascii="Arial" w:hAnsi="Arial" w:cs="Arial"/>
          <w:i/>
          <w:iCs/>
          <w:sz w:val="20"/>
          <w:szCs w:val="20"/>
        </w:rPr>
        <w:t>calyces</w:t>
      </w:r>
      <w:proofErr w:type="gramEnd"/>
      <w:r w:rsidRPr="008D1A88">
        <w:rPr>
          <w:rFonts w:ascii="Arial" w:hAnsi="Arial" w:cs="Arial"/>
          <w:i/>
          <w:iCs/>
          <w:sz w:val="20"/>
          <w:szCs w:val="20"/>
        </w:rPr>
        <w:t xml:space="preserve"> </w:t>
      </w:r>
      <w:r w:rsidRPr="008D1A88">
        <w:rPr>
          <w:rFonts w:ascii="Arial" w:hAnsi="Arial" w:cs="Arial"/>
          <w:sz w:val="20"/>
          <w:szCs w:val="20"/>
        </w:rPr>
        <w:t>flour</w:t>
      </w:r>
    </w:p>
    <w:p w14:paraId="5AA10B5A" w14:textId="77777777" w:rsidR="0006358C" w:rsidRPr="008D1A88" w:rsidRDefault="0006358C" w:rsidP="0006358C">
      <w:pPr>
        <w:spacing w:after="0" w:line="240" w:lineRule="auto"/>
        <w:jc w:val="both"/>
        <w:rPr>
          <w:rFonts w:ascii="Arial" w:hAnsi="Arial" w:cs="Arial"/>
          <w:sz w:val="20"/>
          <w:szCs w:val="20"/>
        </w:rPr>
      </w:pPr>
    </w:p>
    <w:p w14:paraId="5D5313E5" w14:textId="229378C1" w:rsidR="00836009" w:rsidRPr="008D1A88" w:rsidRDefault="00836009" w:rsidP="00836009">
      <w:pPr>
        <w:pStyle w:val="Heading3"/>
        <w:rPr>
          <w:rFonts w:ascii="Arial" w:hAnsi="Arial" w:cs="Arial"/>
          <w:b/>
          <w:bCs/>
          <w:color w:val="auto"/>
          <w:sz w:val="20"/>
          <w:szCs w:val="20"/>
        </w:rPr>
      </w:pPr>
      <w:r w:rsidRPr="008D1A88">
        <w:rPr>
          <w:rFonts w:ascii="Arial" w:hAnsi="Arial" w:cs="Arial"/>
          <w:b/>
          <w:bCs/>
          <w:color w:val="auto"/>
          <w:sz w:val="20"/>
          <w:szCs w:val="20"/>
        </w:rPr>
        <w:t xml:space="preserve">Table </w:t>
      </w:r>
      <w:r w:rsidR="00B74C20">
        <w:rPr>
          <w:rFonts w:ascii="Arial" w:hAnsi="Arial" w:cs="Arial"/>
          <w:b/>
          <w:bCs/>
          <w:color w:val="auto"/>
          <w:sz w:val="20"/>
          <w:szCs w:val="20"/>
        </w:rPr>
        <w:t>3</w:t>
      </w:r>
      <w:r w:rsidRPr="008D1A88">
        <w:rPr>
          <w:rFonts w:ascii="Arial" w:hAnsi="Arial" w:cs="Arial"/>
          <w:b/>
          <w:bCs/>
          <w:color w:val="auto"/>
          <w:sz w:val="20"/>
          <w:szCs w:val="20"/>
        </w:rPr>
        <w:t>: Mineral composition (mg/100g) of Wheat-Sorghum-</w:t>
      </w:r>
      <w:r w:rsidRPr="008D1A88">
        <w:rPr>
          <w:rFonts w:ascii="Arial" w:hAnsi="Arial" w:cs="Arial"/>
          <w:b/>
          <w:bCs/>
          <w:i/>
          <w:iCs/>
          <w:color w:val="auto"/>
          <w:sz w:val="20"/>
          <w:szCs w:val="20"/>
        </w:rPr>
        <w:t xml:space="preserve">Bombax </w:t>
      </w:r>
      <w:proofErr w:type="spellStart"/>
      <w:r w:rsidRPr="008D1A88">
        <w:rPr>
          <w:rFonts w:ascii="Arial" w:hAnsi="Arial" w:cs="Arial"/>
          <w:b/>
          <w:bCs/>
          <w:i/>
          <w:iCs/>
          <w:color w:val="auto"/>
          <w:sz w:val="20"/>
          <w:szCs w:val="20"/>
        </w:rPr>
        <w:t>costatum</w:t>
      </w:r>
      <w:proofErr w:type="spellEnd"/>
      <w:r w:rsidRPr="008D1A88">
        <w:rPr>
          <w:rFonts w:ascii="Arial" w:hAnsi="Arial" w:cs="Arial"/>
          <w:b/>
          <w:bCs/>
          <w:i/>
          <w:iCs/>
          <w:color w:val="auto"/>
          <w:sz w:val="20"/>
          <w:szCs w:val="20"/>
        </w:rPr>
        <w:t xml:space="preserve"> </w:t>
      </w:r>
      <w:r w:rsidRPr="008D1A88">
        <w:rPr>
          <w:rFonts w:ascii="Arial" w:hAnsi="Arial" w:cs="Arial"/>
          <w:b/>
          <w:bCs/>
          <w:color w:val="auto"/>
          <w:sz w:val="20"/>
          <w:szCs w:val="20"/>
        </w:rPr>
        <w:t xml:space="preserve">spaghetti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9"/>
        <w:gridCol w:w="2159"/>
      </w:tblGrid>
      <w:tr w:rsidR="00836009" w14:paraId="4FE70FBF" w14:textId="77777777" w:rsidTr="00836009">
        <w:tc>
          <w:tcPr>
            <w:tcW w:w="2158" w:type="dxa"/>
            <w:tcBorders>
              <w:bottom w:val="single" w:sz="4" w:space="0" w:color="auto"/>
            </w:tcBorders>
          </w:tcPr>
          <w:p w14:paraId="287EB6CB" w14:textId="329A4BF6" w:rsidR="00836009" w:rsidRPr="00836009" w:rsidRDefault="00836009" w:rsidP="00836009">
            <w:pPr>
              <w:jc w:val="both"/>
              <w:rPr>
                <w:rFonts w:ascii="Arial" w:hAnsi="Arial" w:cs="Arial"/>
                <w:sz w:val="20"/>
                <w:szCs w:val="20"/>
              </w:rPr>
            </w:pPr>
            <w:proofErr w:type="gramStart"/>
            <w:r w:rsidRPr="00836009">
              <w:rPr>
                <w:rFonts w:ascii="Arial" w:hAnsi="Arial" w:cs="Arial"/>
                <w:sz w:val="20"/>
                <w:szCs w:val="20"/>
              </w:rPr>
              <w:t>WF:SF</w:t>
            </w:r>
            <w:proofErr w:type="gramEnd"/>
            <w:r w:rsidRPr="00836009">
              <w:rPr>
                <w:rFonts w:ascii="Arial" w:hAnsi="Arial" w:cs="Arial"/>
                <w:sz w:val="20"/>
                <w:szCs w:val="20"/>
              </w:rPr>
              <w:t>:BF</w:t>
            </w:r>
          </w:p>
        </w:tc>
        <w:tc>
          <w:tcPr>
            <w:tcW w:w="2158" w:type="dxa"/>
            <w:tcBorders>
              <w:bottom w:val="single" w:sz="4" w:space="0" w:color="auto"/>
            </w:tcBorders>
          </w:tcPr>
          <w:p w14:paraId="20374ADC" w14:textId="6460EE7D" w:rsidR="00836009" w:rsidRPr="00836009" w:rsidRDefault="00836009" w:rsidP="00836009">
            <w:pPr>
              <w:jc w:val="both"/>
              <w:rPr>
                <w:rFonts w:ascii="Arial" w:hAnsi="Arial" w:cs="Arial"/>
                <w:sz w:val="20"/>
                <w:szCs w:val="20"/>
              </w:rPr>
            </w:pPr>
            <w:r w:rsidRPr="00836009">
              <w:rPr>
                <w:rFonts w:ascii="Arial" w:hAnsi="Arial" w:cs="Arial"/>
                <w:sz w:val="20"/>
                <w:szCs w:val="20"/>
              </w:rPr>
              <w:t>Iron</w:t>
            </w:r>
          </w:p>
        </w:tc>
        <w:tc>
          <w:tcPr>
            <w:tcW w:w="2158" w:type="dxa"/>
            <w:tcBorders>
              <w:bottom w:val="single" w:sz="4" w:space="0" w:color="auto"/>
            </w:tcBorders>
          </w:tcPr>
          <w:p w14:paraId="043FADD8" w14:textId="75AA0E3E" w:rsidR="00836009" w:rsidRPr="00836009" w:rsidRDefault="00836009" w:rsidP="00836009">
            <w:pPr>
              <w:jc w:val="both"/>
              <w:rPr>
                <w:rFonts w:ascii="Arial" w:hAnsi="Arial" w:cs="Arial"/>
                <w:sz w:val="20"/>
                <w:szCs w:val="20"/>
              </w:rPr>
            </w:pPr>
            <w:r w:rsidRPr="00836009">
              <w:rPr>
                <w:rFonts w:ascii="Arial" w:hAnsi="Arial" w:cs="Arial"/>
                <w:sz w:val="20"/>
                <w:szCs w:val="20"/>
              </w:rPr>
              <w:t>Calcium</w:t>
            </w:r>
          </w:p>
        </w:tc>
        <w:tc>
          <w:tcPr>
            <w:tcW w:w="2158" w:type="dxa"/>
            <w:tcBorders>
              <w:bottom w:val="single" w:sz="4" w:space="0" w:color="auto"/>
            </w:tcBorders>
          </w:tcPr>
          <w:p w14:paraId="19FCFBBB" w14:textId="17F162C0" w:rsidR="00836009" w:rsidRPr="00836009" w:rsidRDefault="00836009" w:rsidP="00836009">
            <w:pPr>
              <w:jc w:val="both"/>
              <w:rPr>
                <w:rFonts w:ascii="Arial" w:hAnsi="Arial" w:cs="Arial"/>
                <w:sz w:val="20"/>
                <w:szCs w:val="20"/>
              </w:rPr>
            </w:pPr>
            <w:r w:rsidRPr="00836009">
              <w:rPr>
                <w:rFonts w:ascii="Arial" w:hAnsi="Arial" w:cs="Arial"/>
                <w:sz w:val="20"/>
                <w:szCs w:val="20"/>
              </w:rPr>
              <w:t>Magnesium</w:t>
            </w:r>
          </w:p>
        </w:tc>
        <w:tc>
          <w:tcPr>
            <w:tcW w:w="2159" w:type="dxa"/>
            <w:tcBorders>
              <w:bottom w:val="single" w:sz="4" w:space="0" w:color="auto"/>
            </w:tcBorders>
          </w:tcPr>
          <w:p w14:paraId="1951FA9F" w14:textId="22662DE7" w:rsidR="00836009" w:rsidRPr="00836009" w:rsidRDefault="00836009" w:rsidP="00836009">
            <w:pPr>
              <w:jc w:val="both"/>
              <w:rPr>
                <w:rFonts w:ascii="Arial" w:hAnsi="Arial" w:cs="Arial"/>
                <w:sz w:val="20"/>
                <w:szCs w:val="20"/>
              </w:rPr>
            </w:pPr>
            <w:r w:rsidRPr="00836009">
              <w:rPr>
                <w:rFonts w:ascii="Arial" w:hAnsi="Arial" w:cs="Arial"/>
                <w:sz w:val="20"/>
                <w:szCs w:val="20"/>
              </w:rPr>
              <w:t>Potassium</w:t>
            </w:r>
          </w:p>
        </w:tc>
        <w:tc>
          <w:tcPr>
            <w:tcW w:w="2159" w:type="dxa"/>
            <w:tcBorders>
              <w:bottom w:val="single" w:sz="4" w:space="0" w:color="auto"/>
            </w:tcBorders>
          </w:tcPr>
          <w:p w14:paraId="79085663" w14:textId="44FBBBB4" w:rsidR="00836009" w:rsidRPr="00836009" w:rsidRDefault="00836009" w:rsidP="00836009">
            <w:pPr>
              <w:jc w:val="both"/>
              <w:rPr>
                <w:rFonts w:ascii="Arial" w:hAnsi="Arial" w:cs="Arial"/>
                <w:sz w:val="20"/>
                <w:szCs w:val="20"/>
              </w:rPr>
            </w:pPr>
            <w:r w:rsidRPr="00836009">
              <w:rPr>
                <w:rFonts w:ascii="Arial" w:hAnsi="Arial" w:cs="Arial"/>
                <w:sz w:val="20"/>
                <w:szCs w:val="20"/>
              </w:rPr>
              <w:t>Phosphorus</w:t>
            </w:r>
          </w:p>
        </w:tc>
      </w:tr>
      <w:tr w:rsidR="00836009" w14:paraId="7045CE13" w14:textId="77777777" w:rsidTr="00836009">
        <w:tc>
          <w:tcPr>
            <w:tcW w:w="2158" w:type="dxa"/>
            <w:tcBorders>
              <w:bottom w:val="nil"/>
            </w:tcBorders>
          </w:tcPr>
          <w:p w14:paraId="6E53EEEC" w14:textId="085CB87E" w:rsidR="00836009" w:rsidRPr="00836009" w:rsidRDefault="00836009" w:rsidP="00836009">
            <w:pPr>
              <w:jc w:val="both"/>
              <w:rPr>
                <w:rFonts w:ascii="Arial" w:hAnsi="Arial" w:cs="Arial"/>
                <w:sz w:val="20"/>
                <w:szCs w:val="20"/>
              </w:rPr>
            </w:pPr>
            <w:r w:rsidRPr="00836009">
              <w:rPr>
                <w:rFonts w:ascii="Arial" w:hAnsi="Arial" w:cs="Arial"/>
                <w:sz w:val="20"/>
                <w:szCs w:val="20"/>
              </w:rPr>
              <w:t>100:0:0</w:t>
            </w:r>
          </w:p>
        </w:tc>
        <w:tc>
          <w:tcPr>
            <w:tcW w:w="2158" w:type="dxa"/>
            <w:tcBorders>
              <w:bottom w:val="nil"/>
            </w:tcBorders>
          </w:tcPr>
          <w:p w14:paraId="2501BA17" w14:textId="681E73EA" w:rsidR="00836009" w:rsidRPr="00836009" w:rsidRDefault="00836009" w:rsidP="00836009">
            <w:pPr>
              <w:jc w:val="both"/>
              <w:rPr>
                <w:rFonts w:ascii="Arial" w:hAnsi="Arial" w:cs="Arial"/>
                <w:sz w:val="20"/>
                <w:szCs w:val="20"/>
              </w:rPr>
            </w:pPr>
            <w:r w:rsidRPr="00836009">
              <w:rPr>
                <w:rFonts w:ascii="Arial" w:hAnsi="Arial" w:cs="Arial"/>
                <w:sz w:val="20"/>
                <w:szCs w:val="20"/>
              </w:rPr>
              <w:t>5.11</w:t>
            </w:r>
            <w:r w:rsidRPr="00836009">
              <w:rPr>
                <w:rFonts w:ascii="Arial" w:hAnsi="Arial" w:cs="Arial"/>
                <w:sz w:val="20"/>
                <w:szCs w:val="20"/>
                <w:vertAlign w:val="superscript"/>
              </w:rPr>
              <w:t>a</w:t>
            </w:r>
            <w:r w:rsidRPr="00836009">
              <w:rPr>
                <w:rFonts w:ascii="Arial" w:hAnsi="Arial" w:cs="Arial"/>
                <w:sz w:val="20"/>
                <w:szCs w:val="20"/>
              </w:rPr>
              <w:t>±0.00</w:t>
            </w:r>
          </w:p>
        </w:tc>
        <w:tc>
          <w:tcPr>
            <w:tcW w:w="2158" w:type="dxa"/>
            <w:tcBorders>
              <w:bottom w:val="nil"/>
            </w:tcBorders>
          </w:tcPr>
          <w:p w14:paraId="4E4CBCA0" w14:textId="7351D669" w:rsidR="00836009" w:rsidRPr="00836009" w:rsidRDefault="00836009" w:rsidP="00836009">
            <w:pPr>
              <w:jc w:val="both"/>
              <w:rPr>
                <w:rFonts w:ascii="Arial" w:hAnsi="Arial" w:cs="Arial"/>
                <w:sz w:val="20"/>
                <w:szCs w:val="20"/>
              </w:rPr>
            </w:pPr>
            <w:r w:rsidRPr="00836009">
              <w:rPr>
                <w:rFonts w:ascii="Arial" w:hAnsi="Arial" w:cs="Arial"/>
                <w:sz w:val="20"/>
                <w:szCs w:val="20"/>
              </w:rPr>
              <w:t>27.00</w:t>
            </w:r>
            <w:r w:rsidRPr="00836009">
              <w:rPr>
                <w:rFonts w:ascii="Arial" w:hAnsi="Arial" w:cs="Arial"/>
                <w:sz w:val="20"/>
                <w:szCs w:val="20"/>
                <w:vertAlign w:val="superscript"/>
              </w:rPr>
              <w:t>a</w:t>
            </w:r>
            <w:r w:rsidRPr="00836009">
              <w:rPr>
                <w:rFonts w:ascii="Arial" w:hAnsi="Arial" w:cs="Arial"/>
                <w:sz w:val="20"/>
                <w:szCs w:val="20"/>
              </w:rPr>
              <w:t>±0.00</w:t>
            </w:r>
          </w:p>
        </w:tc>
        <w:tc>
          <w:tcPr>
            <w:tcW w:w="2158" w:type="dxa"/>
            <w:tcBorders>
              <w:bottom w:val="nil"/>
            </w:tcBorders>
          </w:tcPr>
          <w:p w14:paraId="70ED2FC5" w14:textId="259B6465" w:rsidR="00836009" w:rsidRPr="00836009" w:rsidRDefault="00836009" w:rsidP="00836009">
            <w:pPr>
              <w:jc w:val="both"/>
              <w:rPr>
                <w:rFonts w:ascii="Arial" w:hAnsi="Arial" w:cs="Arial"/>
                <w:sz w:val="20"/>
                <w:szCs w:val="20"/>
              </w:rPr>
            </w:pPr>
            <w:r w:rsidRPr="00836009">
              <w:rPr>
                <w:rFonts w:ascii="Arial" w:hAnsi="Arial" w:cs="Arial"/>
                <w:sz w:val="20"/>
                <w:szCs w:val="20"/>
              </w:rPr>
              <w:t>13.68</w:t>
            </w:r>
            <w:r w:rsidRPr="00836009">
              <w:rPr>
                <w:rFonts w:ascii="Arial" w:hAnsi="Arial" w:cs="Arial"/>
                <w:sz w:val="20"/>
                <w:szCs w:val="20"/>
                <w:vertAlign w:val="superscript"/>
              </w:rPr>
              <w:t>a</w:t>
            </w:r>
            <w:r w:rsidRPr="00836009">
              <w:rPr>
                <w:rFonts w:ascii="Arial" w:hAnsi="Arial" w:cs="Arial"/>
                <w:sz w:val="20"/>
                <w:szCs w:val="20"/>
              </w:rPr>
              <w:t>±0.01</w:t>
            </w:r>
          </w:p>
        </w:tc>
        <w:tc>
          <w:tcPr>
            <w:tcW w:w="2159" w:type="dxa"/>
            <w:tcBorders>
              <w:bottom w:val="nil"/>
            </w:tcBorders>
          </w:tcPr>
          <w:p w14:paraId="564E9D1D" w14:textId="5567400C" w:rsidR="00836009" w:rsidRPr="00836009" w:rsidRDefault="00836009" w:rsidP="00836009">
            <w:pPr>
              <w:jc w:val="both"/>
              <w:rPr>
                <w:rFonts w:ascii="Arial" w:hAnsi="Arial" w:cs="Arial"/>
                <w:sz w:val="20"/>
                <w:szCs w:val="20"/>
              </w:rPr>
            </w:pPr>
            <w:r w:rsidRPr="00836009">
              <w:rPr>
                <w:rFonts w:ascii="Arial" w:hAnsi="Arial" w:cs="Arial"/>
                <w:sz w:val="20"/>
                <w:szCs w:val="20"/>
              </w:rPr>
              <w:t>70.71</w:t>
            </w:r>
            <w:r w:rsidRPr="00836009">
              <w:rPr>
                <w:rFonts w:ascii="Arial" w:hAnsi="Arial" w:cs="Arial"/>
                <w:sz w:val="20"/>
                <w:szCs w:val="20"/>
                <w:vertAlign w:val="superscript"/>
              </w:rPr>
              <w:t>a</w:t>
            </w:r>
            <w:r w:rsidRPr="00836009">
              <w:rPr>
                <w:rFonts w:ascii="Arial" w:hAnsi="Arial" w:cs="Arial"/>
                <w:sz w:val="20"/>
                <w:szCs w:val="20"/>
              </w:rPr>
              <w:t>±0.05</w:t>
            </w:r>
          </w:p>
        </w:tc>
        <w:tc>
          <w:tcPr>
            <w:tcW w:w="2159" w:type="dxa"/>
            <w:tcBorders>
              <w:bottom w:val="nil"/>
            </w:tcBorders>
          </w:tcPr>
          <w:p w14:paraId="20EE47D1" w14:textId="7510DF87" w:rsidR="00836009" w:rsidRPr="00836009" w:rsidRDefault="00836009" w:rsidP="00836009">
            <w:pPr>
              <w:jc w:val="both"/>
              <w:rPr>
                <w:rFonts w:ascii="Arial" w:hAnsi="Arial" w:cs="Arial"/>
                <w:sz w:val="20"/>
                <w:szCs w:val="20"/>
              </w:rPr>
            </w:pPr>
            <w:r w:rsidRPr="00836009">
              <w:rPr>
                <w:rFonts w:ascii="Arial" w:hAnsi="Arial" w:cs="Arial"/>
                <w:sz w:val="20"/>
                <w:szCs w:val="20"/>
              </w:rPr>
              <w:t>33.23</w:t>
            </w:r>
            <w:r w:rsidRPr="00836009">
              <w:rPr>
                <w:rFonts w:ascii="Arial" w:hAnsi="Arial" w:cs="Arial"/>
                <w:sz w:val="20"/>
                <w:szCs w:val="20"/>
                <w:vertAlign w:val="superscript"/>
              </w:rPr>
              <w:t>a</w:t>
            </w:r>
            <w:r w:rsidRPr="00836009">
              <w:rPr>
                <w:rFonts w:ascii="Arial" w:hAnsi="Arial" w:cs="Arial"/>
                <w:sz w:val="20"/>
                <w:szCs w:val="20"/>
              </w:rPr>
              <w:t>±0.00</w:t>
            </w:r>
          </w:p>
        </w:tc>
      </w:tr>
      <w:tr w:rsidR="00836009" w14:paraId="7EFA6124" w14:textId="77777777" w:rsidTr="00836009">
        <w:tc>
          <w:tcPr>
            <w:tcW w:w="2158" w:type="dxa"/>
            <w:tcBorders>
              <w:top w:val="nil"/>
              <w:bottom w:val="nil"/>
            </w:tcBorders>
          </w:tcPr>
          <w:p w14:paraId="40FFB519" w14:textId="235C2FB6" w:rsidR="00836009" w:rsidRPr="00836009" w:rsidRDefault="00836009" w:rsidP="00836009">
            <w:pPr>
              <w:jc w:val="both"/>
              <w:rPr>
                <w:rFonts w:ascii="Arial" w:hAnsi="Arial" w:cs="Arial"/>
                <w:sz w:val="20"/>
                <w:szCs w:val="20"/>
              </w:rPr>
            </w:pPr>
            <w:r w:rsidRPr="00836009">
              <w:rPr>
                <w:rFonts w:ascii="Arial" w:hAnsi="Arial" w:cs="Arial"/>
                <w:sz w:val="20"/>
                <w:szCs w:val="20"/>
              </w:rPr>
              <w:t>20:80:0</w:t>
            </w:r>
          </w:p>
        </w:tc>
        <w:tc>
          <w:tcPr>
            <w:tcW w:w="2158" w:type="dxa"/>
            <w:tcBorders>
              <w:top w:val="nil"/>
              <w:bottom w:val="nil"/>
            </w:tcBorders>
          </w:tcPr>
          <w:p w14:paraId="2CD36636" w14:textId="229F21BA" w:rsidR="00836009" w:rsidRPr="00836009" w:rsidRDefault="00836009" w:rsidP="00836009">
            <w:pPr>
              <w:jc w:val="both"/>
              <w:rPr>
                <w:rFonts w:ascii="Arial" w:hAnsi="Arial" w:cs="Arial"/>
                <w:sz w:val="20"/>
                <w:szCs w:val="20"/>
              </w:rPr>
            </w:pPr>
            <w:r w:rsidRPr="00836009">
              <w:rPr>
                <w:rFonts w:ascii="Arial" w:hAnsi="Arial" w:cs="Arial"/>
                <w:sz w:val="20"/>
                <w:szCs w:val="20"/>
              </w:rPr>
              <w:t>5.20</w:t>
            </w:r>
            <w:r w:rsidRPr="00836009">
              <w:rPr>
                <w:rFonts w:ascii="Arial" w:hAnsi="Arial" w:cs="Arial"/>
                <w:sz w:val="20"/>
                <w:szCs w:val="20"/>
                <w:vertAlign w:val="superscript"/>
              </w:rPr>
              <w:t>b</w:t>
            </w:r>
            <w:r w:rsidRPr="00836009">
              <w:rPr>
                <w:rFonts w:ascii="Arial" w:hAnsi="Arial" w:cs="Arial"/>
                <w:sz w:val="20"/>
                <w:szCs w:val="20"/>
              </w:rPr>
              <w:t>±0.00</w:t>
            </w:r>
          </w:p>
        </w:tc>
        <w:tc>
          <w:tcPr>
            <w:tcW w:w="2158" w:type="dxa"/>
            <w:tcBorders>
              <w:top w:val="nil"/>
              <w:bottom w:val="nil"/>
            </w:tcBorders>
          </w:tcPr>
          <w:p w14:paraId="4504EF32" w14:textId="4DDD906C" w:rsidR="00836009" w:rsidRPr="00836009" w:rsidRDefault="00836009" w:rsidP="00836009">
            <w:pPr>
              <w:jc w:val="both"/>
              <w:rPr>
                <w:rFonts w:ascii="Arial" w:hAnsi="Arial" w:cs="Arial"/>
                <w:sz w:val="20"/>
                <w:szCs w:val="20"/>
              </w:rPr>
            </w:pPr>
            <w:r w:rsidRPr="00836009">
              <w:rPr>
                <w:rFonts w:ascii="Arial" w:hAnsi="Arial" w:cs="Arial"/>
                <w:sz w:val="20"/>
                <w:szCs w:val="20"/>
              </w:rPr>
              <w:t>30.12</w:t>
            </w:r>
            <w:r w:rsidRPr="00836009">
              <w:rPr>
                <w:rFonts w:ascii="Arial" w:hAnsi="Arial" w:cs="Arial"/>
                <w:sz w:val="20"/>
                <w:szCs w:val="20"/>
                <w:vertAlign w:val="superscript"/>
              </w:rPr>
              <w:t>b</w:t>
            </w:r>
            <w:r w:rsidRPr="00836009">
              <w:rPr>
                <w:rFonts w:ascii="Arial" w:hAnsi="Arial" w:cs="Arial"/>
                <w:sz w:val="20"/>
                <w:szCs w:val="20"/>
              </w:rPr>
              <w:t>±0.00</w:t>
            </w:r>
          </w:p>
        </w:tc>
        <w:tc>
          <w:tcPr>
            <w:tcW w:w="2158" w:type="dxa"/>
            <w:tcBorders>
              <w:top w:val="nil"/>
              <w:bottom w:val="nil"/>
            </w:tcBorders>
          </w:tcPr>
          <w:p w14:paraId="6959393D" w14:textId="47FA4D62" w:rsidR="00836009" w:rsidRPr="00836009" w:rsidRDefault="00836009" w:rsidP="00836009">
            <w:pPr>
              <w:jc w:val="both"/>
              <w:rPr>
                <w:rFonts w:ascii="Arial" w:hAnsi="Arial" w:cs="Arial"/>
                <w:sz w:val="20"/>
                <w:szCs w:val="20"/>
              </w:rPr>
            </w:pPr>
            <w:r w:rsidRPr="00836009">
              <w:rPr>
                <w:rFonts w:ascii="Arial" w:hAnsi="Arial" w:cs="Arial"/>
                <w:sz w:val="20"/>
                <w:szCs w:val="20"/>
              </w:rPr>
              <w:t>15.02</w:t>
            </w:r>
            <w:r w:rsidRPr="00836009">
              <w:rPr>
                <w:rFonts w:ascii="Arial" w:hAnsi="Arial" w:cs="Arial"/>
                <w:sz w:val="20"/>
                <w:szCs w:val="20"/>
                <w:vertAlign w:val="superscript"/>
              </w:rPr>
              <w:t>b</w:t>
            </w:r>
            <w:r w:rsidRPr="00836009">
              <w:rPr>
                <w:rFonts w:ascii="Arial" w:hAnsi="Arial" w:cs="Arial"/>
                <w:sz w:val="20"/>
                <w:szCs w:val="20"/>
              </w:rPr>
              <w:t>±0.00</w:t>
            </w:r>
          </w:p>
        </w:tc>
        <w:tc>
          <w:tcPr>
            <w:tcW w:w="2159" w:type="dxa"/>
            <w:tcBorders>
              <w:top w:val="nil"/>
              <w:bottom w:val="nil"/>
            </w:tcBorders>
          </w:tcPr>
          <w:p w14:paraId="1EF5BE77" w14:textId="687793BF" w:rsidR="00836009" w:rsidRPr="00836009" w:rsidRDefault="00836009" w:rsidP="00836009">
            <w:pPr>
              <w:jc w:val="both"/>
              <w:rPr>
                <w:rFonts w:ascii="Arial" w:hAnsi="Arial" w:cs="Arial"/>
                <w:sz w:val="20"/>
                <w:szCs w:val="20"/>
              </w:rPr>
            </w:pPr>
            <w:r w:rsidRPr="00836009">
              <w:rPr>
                <w:rFonts w:ascii="Arial" w:hAnsi="Arial" w:cs="Arial"/>
                <w:sz w:val="20"/>
                <w:szCs w:val="20"/>
              </w:rPr>
              <w:t>85.72</w:t>
            </w:r>
            <w:r w:rsidRPr="00836009">
              <w:rPr>
                <w:rFonts w:ascii="Arial" w:hAnsi="Arial" w:cs="Arial"/>
                <w:sz w:val="20"/>
                <w:szCs w:val="20"/>
                <w:vertAlign w:val="superscript"/>
              </w:rPr>
              <w:t>b</w:t>
            </w:r>
            <w:r w:rsidRPr="00836009">
              <w:rPr>
                <w:rFonts w:ascii="Arial" w:hAnsi="Arial" w:cs="Arial"/>
                <w:sz w:val="20"/>
                <w:szCs w:val="20"/>
              </w:rPr>
              <w:t>±0.01</w:t>
            </w:r>
          </w:p>
        </w:tc>
        <w:tc>
          <w:tcPr>
            <w:tcW w:w="2159" w:type="dxa"/>
            <w:tcBorders>
              <w:top w:val="nil"/>
              <w:bottom w:val="nil"/>
            </w:tcBorders>
          </w:tcPr>
          <w:p w14:paraId="5498A4E2" w14:textId="4E6BFCD9" w:rsidR="00836009" w:rsidRPr="00836009" w:rsidRDefault="00836009" w:rsidP="00836009">
            <w:pPr>
              <w:jc w:val="both"/>
              <w:rPr>
                <w:rFonts w:ascii="Arial" w:hAnsi="Arial" w:cs="Arial"/>
                <w:sz w:val="20"/>
                <w:szCs w:val="20"/>
              </w:rPr>
            </w:pPr>
            <w:r w:rsidRPr="00836009">
              <w:rPr>
                <w:rFonts w:ascii="Arial" w:hAnsi="Arial" w:cs="Arial"/>
                <w:sz w:val="20"/>
                <w:szCs w:val="20"/>
              </w:rPr>
              <w:t>35.26</w:t>
            </w:r>
            <w:r w:rsidRPr="00836009">
              <w:rPr>
                <w:rFonts w:ascii="Arial" w:hAnsi="Arial" w:cs="Arial"/>
                <w:sz w:val="20"/>
                <w:szCs w:val="20"/>
                <w:vertAlign w:val="superscript"/>
              </w:rPr>
              <w:t>b</w:t>
            </w:r>
            <w:r w:rsidRPr="00836009">
              <w:rPr>
                <w:rFonts w:ascii="Arial" w:hAnsi="Arial" w:cs="Arial"/>
                <w:sz w:val="20"/>
                <w:szCs w:val="20"/>
              </w:rPr>
              <w:t>±0.00</w:t>
            </w:r>
          </w:p>
        </w:tc>
      </w:tr>
      <w:tr w:rsidR="00836009" w14:paraId="56223352" w14:textId="77777777" w:rsidTr="00836009">
        <w:tc>
          <w:tcPr>
            <w:tcW w:w="2158" w:type="dxa"/>
            <w:tcBorders>
              <w:top w:val="nil"/>
              <w:bottom w:val="nil"/>
            </w:tcBorders>
          </w:tcPr>
          <w:p w14:paraId="666DA99F" w14:textId="1FCFF158" w:rsidR="00836009" w:rsidRPr="00836009" w:rsidRDefault="00836009" w:rsidP="00836009">
            <w:pPr>
              <w:jc w:val="both"/>
              <w:rPr>
                <w:rFonts w:ascii="Arial" w:hAnsi="Arial" w:cs="Arial"/>
                <w:sz w:val="20"/>
                <w:szCs w:val="20"/>
              </w:rPr>
            </w:pPr>
            <w:r w:rsidRPr="00836009">
              <w:rPr>
                <w:rFonts w:ascii="Arial" w:hAnsi="Arial" w:cs="Arial"/>
                <w:sz w:val="20"/>
                <w:szCs w:val="20"/>
              </w:rPr>
              <w:t>20:70:10</w:t>
            </w:r>
          </w:p>
        </w:tc>
        <w:tc>
          <w:tcPr>
            <w:tcW w:w="2158" w:type="dxa"/>
            <w:tcBorders>
              <w:top w:val="nil"/>
              <w:bottom w:val="nil"/>
            </w:tcBorders>
          </w:tcPr>
          <w:p w14:paraId="1811293B" w14:textId="076A6EA6" w:rsidR="00836009" w:rsidRPr="00836009" w:rsidRDefault="00836009" w:rsidP="00836009">
            <w:pPr>
              <w:jc w:val="both"/>
              <w:rPr>
                <w:rFonts w:ascii="Arial" w:hAnsi="Arial" w:cs="Arial"/>
                <w:sz w:val="20"/>
                <w:szCs w:val="20"/>
              </w:rPr>
            </w:pPr>
            <w:r w:rsidRPr="00836009">
              <w:rPr>
                <w:rFonts w:ascii="Arial" w:hAnsi="Arial" w:cs="Arial"/>
                <w:sz w:val="20"/>
                <w:szCs w:val="20"/>
              </w:rPr>
              <w:t>6.31</w:t>
            </w:r>
            <w:r w:rsidRPr="00836009">
              <w:rPr>
                <w:rFonts w:ascii="Arial" w:hAnsi="Arial" w:cs="Arial"/>
                <w:sz w:val="20"/>
                <w:szCs w:val="20"/>
                <w:vertAlign w:val="superscript"/>
              </w:rPr>
              <w:t>c</w:t>
            </w:r>
            <w:r w:rsidRPr="00836009">
              <w:rPr>
                <w:rFonts w:ascii="Arial" w:hAnsi="Arial" w:cs="Arial"/>
                <w:sz w:val="20"/>
                <w:szCs w:val="20"/>
              </w:rPr>
              <w:t>±0.00</w:t>
            </w:r>
          </w:p>
        </w:tc>
        <w:tc>
          <w:tcPr>
            <w:tcW w:w="2158" w:type="dxa"/>
            <w:tcBorders>
              <w:top w:val="nil"/>
              <w:bottom w:val="nil"/>
            </w:tcBorders>
          </w:tcPr>
          <w:p w14:paraId="6567888F" w14:textId="19239A31" w:rsidR="00836009" w:rsidRPr="00836009" w:rsidRDefault="00836009" w:rsidP="00836009">
            <w:pPr>
              <w:jc w:val="both"/>
              <w:rPr>
                <w:rFonts w:ascii="Arial" w:hAnsi="Arial" w:cs="Arial"/>
                <w:sz w:val="20"/>
                <w:szCs w:val="20"/>
              </w:rPr>
            </w:pPr>
            <w:r w:rsidRPr="00836009">
              <w:rPr>
                <w:rFonts w:ascii="Arial" w:hAnsi="Arial" w:cs="Arial"/>
                <w:sz w:val="20"/>
                <w:szCs w:val="20"/>
              </w:rPr>
              <w:t>32.17</w:t>
            </w:r>
            <w:r w:rsidRPr="00836009">
              <w:rPr>
                <w:rFonts w:ascii="Arial" w:hAnsi="Arial" w:cs="Arial"/>
                <w:sz w:val="20"/>
                <w:szCs w:val="20"/>
                <w:vertAlign w:val="superscript"/>
              </w:rPr>
              <w:t>c</w:t>
            </w:r>
            <w:r w:rsidRPr="00836009">
              <w:rPr>
                <w:rFonts w:ascii="Arial" w:hAnsi="Arial" w:cs="Arial"/>
                <w:sz w:val="20"/>
                <w:szCs w:val="20"/>
              </w:rPr>
              <w:t>±0.00</w:t>
            </w:r>
          </w:p>
        </w:tc>
        <w:tc>
          <w:tcPr>
            <w:tcW w:w="2158" w:type="dxa"/>
            <w:tcBorders>
              <w:top w:val="nil"/>
              <w:bottom w:val="nil"/>
            </w:tcBorders>
          </w:tcPr>
          <w:p w14:paraId="4FEEC4C4" w14:textId="05DF1302" w:rsidR="00836009" w:rsidRPr="00836009" w:rsidRDefault="00836009" w:rsidP="00836009">
            <w:pPr>
              <w:jc w:val="both"/>
              <w:rPr>
                <w:rFonts w:ascii="Arial" w:hAnsi="Arial" w:cs="Arial"/>
                <w:sz w:val="20"/>
                <w:szCs w:val="20"/>
              </w:rPr>
            </w:pPr>
            <w:r w:rsidRPr="00836009">
              <w:rPr>
                <w:rFonts w:ascii="Arial" w:hAnsi="Arial" w:cs="Arial"/>
                <w:sz w:val="20"/>
                <w:szCs w:val="20"/>
              </w:rPr>
              <w:t>27.47</w:t>
            </w:r>
            <w:r w:rsidRPr="00836009">
              <w:rPr>
                <w:rFonts w:ascii="Arial" w:hAnsi="Arial" w:cs="Arial"/>
                <w:sz w:val="20"/>
                <w:szCs w:val="20"/>
                <w:vertAlign w:val="superscript"/>
              </w:rPr>
              <w:t>c</w:t>
            </w:r>
            <w:r w:rsidRPr="00836009">
              <w:rPr>
                <w:rFonts w:ascii="Arial" w:hAnsi="Arial" w:cs="Arial"/>
                <w:sz w:val="20"/>
                <w:szCs w:val="20"/>
              </w:rPr>
              <w:t>±0.04</w:t>
            </w:r>
          </w:p>
        </w:tc>
        <w:tc>
          <w:tcPr>
            <w:tcW w:w="2159" w:type="dxa"/>
            <w:tcBorders>
              <w:top w:val="nil"/>
              <w:bottom w:val="nil"/>
            </w:tcBorders>
          </w:tcPr>
          <w:p w14:paraId="15FF85D9" w14:textId="59E8F8F6" w:rsidR="00836009" w:rsidRPr="00836009" w:rsidRDefault="00836009" w:rsidP="00836009">
            <w:pPr>
              <w:jc w:val="both"/>
              <w:rPr>
                <w:rFonts w:ascii="Arial" w:hAnsi="Arial" w:cs="Arial"/>
                <w:sz w:val="20"/>
                <w:szCs w:val="20"/>
              </w:rPr>
            </w:pPr>
            <w:r w:rsidRPr="00836009">
              <w:rPr>
                <w:rFonts w:ascii="Arial" w:hAnsi="Arial" w:cs="Arial"/>
                <w:sz w:val="20"/>
                <w:szCs w:val="20"/>
              </w:rPr>
              <w:t>111.51</w:t>
            </w:r>
            <w:r w:rsidRPr="00836009">
              <w:rPr>
                <w:rFonts w:ascii="Arial" w:hAnsi="Arial" w:cs="Arial"/>
                <w:sz w:val="20"/>
                <w:szCs w:val="20"/>
                <w:vertAlign w:val="superscript"/>
              </w:rPr>
              <w:t>c</w:t>
            </w:r>
            <w:r w:rsidRPr="00836009">
              <w:rPr>
                <w:rFonts w:ascii="Arial" w:hAnsi="Arial" w:cs="Arial"/>
                <w:sz w:val="20"/>
                <w:szCs w:val="20"/>
              </w:rPr>
              <w:t>±0.70</w:t>
            </w:r>
          </w:p>
        </w:tc>
        <w:tc>
          <w:tcPr>
            <w:tcW w:w="2159" w:type="dxa"/>
            <w:tcBorders>
              <w:top w:val="nil"/>
              <w:bottom w:val="nil"/>
            </w:tcBorders>
          </w:tcPr>
          <w:p w14:paraId="06BE85DD" w14:textId="59A3C8E9" w:rsidR="00836009" w:rsidRPr="00836009" w:rsidRDefault="00836009" w:rsidP="00836009">
            <w:pPr>
              <w:jc w:val="both"/>
              <w:rPr>
                <w:rFonts w:ascii="Arial" w:hAnsi="Arial" w:cs="Arial"/>
                <w:sz w:val="20"/>
                <w:szCs w:val="20"/>
              </w:rPr>
            </w:pPr>
            <w:r w:rsidRPr="00836009">
              <w:rPr>
                <w:rFonts w:ascii="Arial" w:hAnsi="Arial" w:cs="Arial"/>
                <w:sz w:val="20"/>
                <w:szCs w:val="20"/>
              </w:rPr>
              <w:t>39.29</w:t>
            </w:r>
            <w:r w:rsidRPr="00836009">
              <w:rPr>
                <w:rFonts w:ascii="Arial" w:hAnsi="Arial" w:cs="Arial"/>
                <w:sz w:val="20"/>
                <w:szCs w:val="20"/>
                <w:vertAlign w:val="superscript"/>
              </w:rPr>
              <w:t>c</w:t>
            </w:r>
            <w:r w:rsidRPr="00836009">
              <w:rPr>
                <w:rFonts w:ascii="Arial" w:hAnsi="Arial" w:cs="Arial"/>
                <w:sz w:val="20"/>
                <w:szCs w:val="20"/>
              </w:rPr>
              <w:t>±0.00</w:t>
            </w:r>
          </w:p>
        </w:tc>
      </w:tr>
      <w:tr w:rsidR="00836009" w14:paraId="69C12B25" w14:textId="77777777" w:rsidTr="00836009">
        <w:tc>
          <w:tcPr>
            <w:tcW w:w="2158" w:type="dxa"/>
            <w:tcBorders>
              <w:top w:val="nil"/>
              <w:bottom w:val="nil"/>
            </w:tcBorders>
          </w:tcPr>
          <w:p w14:paraId="7917A7ED" w14:textId="7B5F80C9" w:rsidR="00836009" w:rsidRPr="00836009" w:rsidRDefault="00836009" w:rsidP="00836009">
            <w:pPr>
              <w:jc w:val="both"/>
              <w:rPr>
                <w:rFonts w:ascii="Arial" w:hAnsi="Arial" w:cs="Arial"/>
                <w:sz w:val="20"/>
                <w:szCs w:val="20"/>
              </w:rPr>
            </w:pPr>
            <w:r w:rsidRPr="00836009">
              <w:rPr>
                <w:rFonts w:ascii="Arial" w:hAnsi="Arial" w:cs="Arial"/>
                <w:sz w:val="20"/>
                <w:szCs w:val="20"/>
              </w:rPr>
              <w:t>20:60:20</w:t>
            </w:r>
          </w:p>
        </w:tc>
        <w:tc>
          <w:tcPr>
            <w:tcW w:w="2158" w:type="dxa"/>
            <w:tcBorders>
              <w:top w:val="nil"/>
              <w:bottom w:val="nil"/>
            </w:tcBorders>
          </w:tcPr>
          <w:p w14:paraId="1B9238D2" w14:textId="19DC9FAD" w:rsidR="00836009" w:rsidRPr="00836009" w:rsidRDefault="00836009" w:rsidP="00836009">
            <w:pPr>
              <w:jc w:val="both"/>
              <w:rPr>
                <w:rFonts w:ascii="Arial" w:hAnsi="Arial" w:cs="Arial"/>
                <w:sz w:val="20"/>
                <w:szCs w:val="20"/>
              </w:rPr>
            </w:pPr>
            <w:r w:rsidRPr="00836009">
              <w:rPr>
                <w:rFonts w:ascii="Arial" w:hAnsi="Arial" w:cs="Arial"/>
                <w:sz w:val="20"/>
                <w:szCs w:val="20"/>
              </w:rPr>
              <w:t>7.62</w:t>
            </w:r>
            <w:r w:rsidRPr="00836009">
              <w:rPr>
                <w:rFonts w:ascii="Arial" w:hAnsi="Arial" w:cs="Arial"/>
                <w:sz w:val="20"/>
                <w:szCs w:val="20"/>
                <w:vertAlign w:val="superscript"/>
              </w:rPr>
              <w:t>d</w:t>
            </w:r>
            <w:r w:rsidRPr="00836009">
              <w:rPr>
                <w:rFonts w:ascii="Arial" w:hAnsi="Arial" w:cs="Arial"/>
                <w:sz w:val="20"/>
                <w:szCs w:val="20"/>
              </w:rPr>
              <w:t>±0.00</w:t>
            </w:r>
          </w:p>
        </w:tc>
        <w:tc>
          <w:tcPr>
            <w:tcW w:w="2158" w:type="dxa"/>
            <w:tcBorders>
              <w:top w:val="nil"/>
              <w:bottom w:val="nil"/>
            </w:tcBorders>
          </w:tcPr>
          <w:p w14:paraId="539A7E5E" w14:textId="3FE65EAE" w:rsidR="00836009" w:rsidRPr="00836009" w:rsidRDefault="00836009" w:rsidP="00836009">
            <w:pPr>
              <w:jc w:val="both"/>
              <w:rPr>
                <w:rFonts w:ascii="Arial" w:hAnsi="Arial" w:cs="Arial"/>
                <w:sz w:val="20"/>
                <w:szCs w:val="20"/>
              </w:rPr>
            </w:pPr>
            <w:r w:rsidRPr="00836009">
              <w:rPr>
                <w:rFonts w:ascii="Arial" w:hAnsi="Arial" w:cs="Arial"/>
                <w:sz w:val="20"/>
                <w:szCs w:val="20"/>
              </w:rPr>
              <w:t>34.69</w:t>
            </w:r>
            <w:r w:rsidRPr="00836009">
              <w:rPr>
                <w:rFonts w:ascii="Arial" w:hAnsi="Arial" w:cs="Arial"/>
                <w:sz w:val="20"/>
                <w:szCs w:val="20"/>
                <w:vertAlign w:val="superscript"/>
              </w:rPr>
              <w:t>d</w:t>
            </w:r>
            <w:r w:rsidRPr="00836009">
              <w:rPr>
                <w:rFonts w:ascii="Arial" w:hAnsi="Arial" w:cs="Arial"/>
                <w:sz w:val="20"/>
                <w:szCs w:val="20"/>
              </w:rPr>
              <w:t>±0.01</w:t>
            </w:r>
          </w:p>
        </w:tc>
        <w:tc>
          <w:tcPr>
            <w:tcW w:w="2158" w:type="dxa"/>
            <w:tcBorders>
              <w:top w:val="nil"/>
              <w:bottom w:val="nil"/>
            </w:tcBorders>
          </w:tcPr>
          <w:p w14:paraId="68EED12F" w14:textId="03CB00D9" w:rsidR="00836009" w:rsidRPr="00836009" w:rsidRDefault="00836009" w:rsidP="00836009">
            <w:pPr>
              <w:jc w:val="both"/>
              <w:rPr>
                <w:rFonts w:ascii="Arial" w:hAnsi="Arial" w:cs="Arial"/>
                <w:sz w:val="20"/>
                <w:szCs w:val="20"/>
              </w:rPr>
            </w:pPr>
            <w:r w:rsidRPr="00836009">
              <w:rPr>
                <w:rFonts w:ascii="Arial" w:hAnsi="Arial" w:cs="Arial"/>
                <w:sz w:val="20"/>
                <w:szCs w:val="20"/>
              </w:rPr>
              <w:t>36.33</w:t>
            </w:r>
            <w:r w:rsidRPr="00836009">
              <w:rPr>
                <w:rFonts w:ascii="Arial" w:hAnsi="Arial" w:cs="Arial"/>
                <w:sz w:val="20"/>
                <w:szCs w:val="20"/>
                <w:vertAlign w:val="superscript"/>
              </w:rPr>
              <w:t>d</w:t>
            </w:r>
            <w:r w:rsidRPr="00836009">
              <w:rPr>
                <w:rFonts w:ascii="Arial" w:hAnsi="Arial" w:cs="Arial"/>
                <w:sz w:val="20"/>
                <w:szCs w:val="20"/>
              </w:rPr>
              <w:t>±0.01</w:t>
            </w:r>
          </w:p>
        </w:tc>
        <w:tc>
          <w:tcPr>
            <w:tcW w:w="2159" w:type="dxa"/>
            <w:tcBorders>
              <w:top w:val="nil"/>
              <w:bottom w:val="nil"/>
            </w:tcBorders>
          </w:tcPr>
          <w:p w14:paraId="2CDBEDA3" w14:textId="1DEC2AD3" w:rsidR="00836009" w:rsidRPr="00836009" w:rsidRDefault="00836009" w:rsidP="00836009">
            <w:pPr>
              <w:jc w:val="both"/>
              <w:rPr>
                <w:rFonts w:ascii="Arial" w:hAnsi="Arial" w:cs="Arial"/>
                <w:sz w:val="20"/>
                <w:szCs w:val="20"/>
              </w:rPr>
            </w:pPr>
            <w:r w:rsidRPr="00836009">
              <w:rPr>
                <w:rFonts w:ascii="Arial" w:hAnsi="Arial" w:cs="Arial"/>
                <w:sz w:val="20"/>
                <w:szCs w:val="20"/>
              </w:rPr>
              <w:t>129.25</w:t>
            </w:r>
            <w:r w:rsidRPr="00836009">
              <w:rPr>
                <w:rFonts w:ascii="Arial" w:hAnsi="Arial" w:cs="Arial"/>
                <w:sz w:val="20"/>
                <w:szCs w:val="20"/>
                <w:vertAlign w:val="superscript"/>
              </w:rPr>
              <w:t>d</w:t>
            </w:r>
            <w:r w:rsidRPr="00836009">
              <w:rPr>
                <w:rFonts w:ascii="Arial" w:hAnsi="Arial" w:cs="Arial"/>
                <w:sz w:val="20"/>
                <w:szCs w:val="20"/>
              </w:rPr>
              <w:t>±0.00</w:t>
            </w:r>
          </w:p>
        </w:tc>
        <w:tc>
          <w:tcPr>
            <w:tcW w:w="2159" w:type="dxa"/>
            <w:tcBorders>
              <w:top w:val="nil"/>
              <w:bottom w:val="nil"/>
            </w:tcBorders>
          </w:tcPr>
          <w:p w14:paraId="0C385FD5" w14:textId="083397A7" w:rsidR="00836009" w:rsidRPr="00836009" w:rsidRDefault="00836009" w:rsidP="00836009">
            <w:pPr>
              <w:jc w:val="both"/>
              <w:rPr>
                <w:rFonts w:ascii="Arial" w:hAnsi="Arial" w:cs="Arial"/>
                <w:sz w:val="20"/>
                <w:szCs w:val="20"/>
              </w:rPr>
            </w:pPr>
            <w:r w:rsidRPr="00836009">
              <w:rPr>
                <w:rFonts w:ascii="Arial" w:hAnsi="Arial" w:cs="Arial"/>
                <w:sz w:val="20"/>
                <w:szCs w:val="20"/>
              </w:rPr>
              <w:t>39.82</w:t>
            </w:r>
            <w:r w:rsidRPr="00836009">
              <w:rPr>
                <w:rFonts w:ascii="Arial" w:hAnsi="Arial" w:cs="Arial"/>
                <w:sz w:val="20"/>
                <w:szCs w:val="20"/>
                <w:vertAlign w:val="superscript"/>
              </w:rPr>
              <w:t>d</w:t>
            </w:r>
            <w:r w:rsidRPr="00836009">
              <w:rPr>
                <w:rFonts w:ascii="Arial" w:hAnsi="Arial" w:cs="Arial"/>
                <w:sz w:val="20"/>
                <w:szCs w:val="20"/>
              </w:rPr>
              <w:t>±0.00</w:t>
            </w:r>
          </w:p>
        </w:tc>
      </w:tr>
      <w:tr w:rsidR="00836009" w14:paraId="7C524BD5" w14:textId="77777777" w:rsidTr="00836009">
        <w:tc>
          <w:tcPr>
            <w:tcW w:w="2158" w:type="dxa"/>
            <w:tcBorders>
              <w:top w:val="nil"/>
              <w:bottom w:val="nil"/>
            </w:tcBorders>
          </w:tcPr>
          <w:p w14:paraId="32A11032" w14:textId="3E4DA195" w:rsidR="00836009" w:rsidRPr="00836009" w:rsidRDefault="00836009" w:rsidP="00836009">
            <w:pPr>
              <w:jc w:val="both"/>
              <w:rPr>
                <w:rFonts w:ascii="Arial" w:hAnsi="Arial" w:cs="Arial"/>
                <w:sz w:val="20"/>
                <w:szCs w:val="20"/>
              </w:rPr>
            </w:pPr>
            <w:r w:rsidRPr="00836009">
              <w:rPr>
                <w:rFonts w:ascii="Arial" w:hAnsi="Arial" w:cs="Arial"/>
                <w:sz w:val="20"/>
                <w:szCs w:val="20"/>
              </w:rPr>
              <w:t>20:50:30</w:t>
            </w:r>
          </w:p>
        </w:tc>
        <w:tc>
          <w:tcPr>
            <w:tcW w:w="2158" w:type="dxa"/>
            <w:tcBorders>
              <w:top w:val="nil"/>
              <w:bottom w:val="nil"/>
            </w:tcBorders>
          </w:tcPr>
          <w:p w14:paraId="67F71B43" w14:textId="433CA8A5" w:rsidR="00836009" w:rsidRPr="00836009" w:rsidRDefault="00836009" w:rsidP="00836009">
            <w:pPr>
              <w:jc w:val="both"/>
              <w:rPr>
                <w:rFonts w:ascii="Arial" w:hAnsi="Arial" w:cs="Arial"/>
                <w:sz w:val="20"/>
                <w:szCs w:val="20"/>
              </w:rPr>
            </w:pPr>
            <w:r w:rsidRPr="00836009">
              <w:rPr>
                <w:rFonts w:ascii="Arial" w:hAnsi="Arial" w:cs="Arial"/>
                <w:sz w:val="20"/>
                <w:szCs w:val="20"/>
              </w:rPr>
              <w:t>8.34</w:t>
            </w:r>
            <w:r w:rsidRPr="00836009">
              <w:rPr>
                <w:rFonts w:ascii="Arial" w:hAnsi="Arial" w:cs="Arial"/>
                <w:sz w:val="20"/>
                <w:szCs w:val="20"/>
                <w:vertAlign w:val="superscript"/>
              </w:rPr>
              <w:t>e</w:t>
            </w:r>
            <w:r w:rsidRPr="00836009">
              <w:rPr>
                <w:rFonts w:ascii="Arial" w:hAnsi="Arial" w:cs="Arial"/>
                <w:sz w:val="20"/>
                <w:szCs w:val="20"/>
              </w:rPr>
              <w:t>±0.00</w:t>
            </w:r>
          </w:p>
        </w:tc>
        <w:tc>
          <w:tcPr>
            <w:tcW w:w="2158" w:type="dxa"/>
            <w:tcBorders>
              <w:top w:val="nil"/>
              <w:bottom w:val="nil"/>
            </w:tcBorders>
          </w:tcPr>
          <w:p w14:paraId="0DDDD606" w14:textId="091EA1C7" w:rsidR="00836009" w:rsidRPr="00836009" w:rsidRDefault="00836009" w:rsidP="00836009">
            <w:pPr>
              <w:jc w:val="both"/>
              <w:rPr>
                <w:rFonts w:ascii="Arial" w:hAnsi="Arial" w:cs="Arial"/>
                <w:sz w:val="20"/>
                <w:szCs w:val="20"/>
              </w:rPr>
            </w:pPr>
            <w:r w:rsidRPr="00836009">
              <w:rPr>
                <w:rFonts w:ascii="Arial" w:hAnsi="Arial" w:cs="Arial"/>
                <w:sz w:val="20"/>
                <w:szCs w:val="20"/>
              </w:rPr>
              <w:t>34.74</w:t>
            </w:r>
            <w:r w:rsidRPr="00836009">
              <w:rPr>
                <w:rFonts w:ascii="Arial" w:hAnsi="Arial" w:cs="Arial"/>
                <w:sz w:val="20"/>
                <w:szCs w:val="20"/>
                <w:vertAlign w:val="superscript"/>
              </w:rPr>
              <w:t>d</w:t>
            </w:r>
            <w:r w:rsidRPr="00836009">
              <w:rPr>
                <w:rFonts w:ascii="Arial" w:hAnsi="Arial" w:cs="Arial"/>
                <w:sz w:val="20"/>
                <w:szCs w:val="20"/>
              </w:rPr>
              <w:t>±0.00</w:t>
            </w:r>
          </w:p>
        </w:tc>
        <w:tc>
          <w:tcPr>
            <w:tcW w:w="2158" w:type="dxa"/>
            <w:tcBorders>
              <w:top w:val="nil"/>
              <w:bottom w:val="nil"/>
            </w:tcBorders>
          </w:tcPr>
          <w:p w14:paraId="12686140" w14:textId="77310EFB" w:rsidR="00836009" w:rsidRPr="00836009" w:rsidRDefault="00836009" w:rsidP="00836009">
            <w:pPr>
              <w:jc w:val="both"/>
              <w:rPr>
                <w:rFonts w:ascii="Arial" w:hAnsi="Arial" w:cs="Arial"/>
                <w:sz w:val="20"/>
                <w:szCs w:val="20"/>
              </w:rPr>
            </w:pPr>
            <w:r w:rsidRPr="00836009">
              <w:rPr>
                <w:rFonts w:ascii="Arial" w:hAnsi="Arial" w:cs="Arial"/>
                <w:sz w:val="20"/>
                <w:szCs w:val="20"/>
              </w:rPr>
              <w:t>51.92</w:t>
            </w:r>
            <w:r w:rsidRPr="00836009">
              <w:rPr>
                <w:rFonts w:ascii="Arial" w:hAnsi="Arial" w:cs="Arial"/>
                <w:sz w:val="20"/>
                <w:szCs w:val="20"/>
                <w:vertAlign w:val="superscript"/>
              </w:rPr>
              <w:t>e</w:t>
            </w:r>
            <w:r w:rsidRPr="00836009">
              <w:rPr>
                <w:rFonts w:ascii="Arial" w:hAnsi="Arial" w:cs="Arial"/>
                <w:sz w:val="20"/>
                <w:szCs w:val="20"/>
              </w:rPr>
              <w:t>±0.00</w:t>
            </w:r>
          </w:p>
        </w:tc>
        <w:tc>
          <w:tcPr>
            <w:tcW w:w="2159" w:type="dxa"/>
            <w:tcBorders>
              <w:top w:val="nil"/>
              <w:bottom w:val="nil"/>
            </w:tcBorders>
          </w:tcPr>
          <w:p w14:paraId="49678926" w14:textId="30189C29" w:rsidR="00836009" w:rsidRPr="00836009" w:rsidRDefault="00836009" w:rsidP="00836009">
            <w:pPr>
              <w:jc w:val="both"/>
              <w:rPr>
                <w:rFonts w:ascii="Arial" w:hAnsi="Arial" w:cs="Arial"/>
                <w:sz w:val="20"/>
                <w:szCs w:val="20"/>
              </w:rPr>
            </w:pPr>
            <w:r w:rsidRPr="00836009">
              <w:rPr>
                <w:rFonts w:ascii="Arial" w:hAnsi="Arial" w:cs="Arial"/>
                <w:sz w:val="20"/>
                <w:szCs w:val="20"/>
              </w:rPr>
              <w:t>136.35</w:t>
            </w:r>
            <w:r w:rsidRPr="00836009">
              <w:rPr>
                <w:rFonts w:ascii="Arial" w:hAnsi="Arial" w:cs="Arial"/>
                <w:sz w:val="20"/>
                <w:szCs w:val="20"/>
                <w:vertAlign w:val="superscript"/>
              </w:rPr>
              <w:t>e</w:t>
            </w:r>
            <w:r w:rsidRPr="00836009">
              <w:rPr>
                <w:rFonts w:ascii="Arial" w:hAnsi="Arial" w:cs="Arial"/>
                <w:sz w:val="20"/>
                <w:szCs w:val="20"/>
              </w:rPr>
              <w:t>±0.00</w:t>
            </w:r>
          </w:p>
        </w:tc>
        <w:tc>
          <w:tcPr>
            <w:tcW w:w="2159" w:type="dxa"/>
            <w:tcBorders>
              <w:top w:val="nil"/>
              <w:bottom w:val="nil"/>
            </w:tcBorders>
          </w:tcPr>
          <w:p w14:paraId="240559C9" w14:textId="3B2B96CE" w:rsidR="00836009" w:rsidRPr="00836009" w:rsidRDefault="00836009" w:rsidP="00836009">
            <w:pPr>
              <w:jc w:val="both"/>
              <w:rPr>
                <w:rFonts w:ascii="Arial" w:hAnsi="Arial" w:cs="Arial"/>
                <w:sz w:val="20"/>
                <w:szCs w:val="20"/>
              </w:rPr>
            </w:pPr>
            <w:r w:rsidRPr="00836009">
              <w:rPr>
                <w:rFonts w:ascii="Arial" w:hAnsi="Arial" w:cs="Arial"/>
                <w:sz w:val="20"/>
                <w:szCs w:val="20"/>
              </w:rPr>
              <w:t>40.60</w:t>
            </w:r>
            <w:r w:rsidRPr="00836009">
              <w:rPr>
                <w:rFonts w:ascii="Arial" w:hAnsi="Arial" w:cs="Arial"/>
                <w:sz w:val="20"/>
                <w:szCs w:val="20"/>
                <w:vertAlign w:val="superscript"/>
              </w:rPr>
              <w:t>e</w:t>
            </w:r>
            <w:r w:rsidRPr="00836009">
              <w:rPr>
                <w:rFonts w:ascii="Arial" w:hAnsi="Arial" w:cs="Arial"/>
                <w:sz w:val="20"/>
                <w:szCs w:val="20"/>
              </w:rPr>
              <w:t>±0.00</w:t>
            </w:r>
          </w:p>
        </w:tc>
      </w:tr>
      <w:tr w:rsidR="00836009" w14:paraId="07EDCF65" w14:textId="77777777" w:rsidTr="00836009">
        <w:tc>
          <w:tcPr>
            <w:tcW w:w="2158" w:type="dxa"/>
            <w:tcBorders>
              <w:top w:val="nil"/>
            </w:tcBorders>
          </w:tcPr>
          <w:p w14:paraId="627EEEFC" w14:textId="1245225F" w:rsidR="00836009" w:rsidRPr="00836009" w:rsidRDefault="00836009" w:rsidP="00836009">
            <w:pPr>
              <w:jc w:val="both"/>
              <w:rPr>
                <w:rFonts w:ascii="Arial" w:hAnsi="Arial" w:cs="Arial"/>
                <w:sz w:val="20"/>
                <w:szCs w:val="20"/>
              </w:rPr>
            </w:pPr>
            <w:r w:rsidRPr="00836009">
              <w:rPr>
                <w:rFonts w:ascii="Arial" w:hAnsi="Arial" w:cs="Arial"/>
                <w:sz w:val="20"/>
                <w:szCs w:val="20"/>
              </w:rPr>
              <w:t>20:40:40</w:t>
            </w:r>
          </w:p>
        </w:tc>
        <w:tc>
          <w:tcPr>
            <w:tcW w:w="2158" w:type="dxa"/>
            <w:tcBorders>
              <w:top w:val="nil"/>
            </w:tcBorders>
          </w:tcPr>
          <w:p w14:paraId="3AA32538" w14:textId="01445F92" w:rsidR="00836009" w:rsidRPr="00836009" w:rsidRDefault="00836009" w:rsidP="00836009">
            <w:pPr>
              <w:jc w:val="both"/>
              <w:rPr>
                <w:rFonts w:ascii="Arial" w:hAnsi="Arial" w:cs="Arial"/>
                <w:sz w:val="20"/>
                <w:szCs w:val="20"/>
              </w:rPr>
            </w:pPr>
            <w:r w:rsidRPr="00836009">
              <w:rPr>
                <w:rFonts w:ascii="Arial" w:hAnsi="Arial" w:cs="Arial"/>
                <w:sz w:val="20"/>
                <w:szCs w:val="20"/>
              </w:rPr>
              <w:t>8.98</w:t>
            </w:r>
            <w:r w:rsidRPr="00836009">
              <w:rPr>
                <w:rFonts w:ascii="Arial" w:hAnsi="Arial" w:cs="Arial"/>
                <w:sz w:val="20"/>
                <w:szCs w:val="20"/>
                <w:vertAlign w:val="superscript"/>
              </w:rPr>
              <w:t>f</w:t>
            </w:r>
            <w:r w:rsidRPr="00836009">
              <w:rPr>
                <w:rFonts w:ascii="Arial" w:hAnsi="Arial" w:cs="Arial"/>
                <w:sz w:val="20"/>
                <w:szCs w:val="20"/>
              </w:rPr>
              <w:t>±0.00</w:t>
            </w:r>
          </w:p>
        </w:tc>
        <w:tc>
          <w:tcPr>
            <w:tcW w:w="2158" w:type="dxa"/>
            <w:tcBorders>
              <w:top w:val="nil"/>
            </w:tcBorders>
          </w:tcPr>
          <w:p w14:paraId="1FD7AFDC" w14:textId="37131B56" w:rsidR="00836009" w:rsidRPr="00836009" w:rsidRDefault="00836009" w:rsidP="00836009">
            <w:pPr>
              <w:jc w:val="both"/>
              <w:rPr>
                <w:rFonts w:ascii="Arial" w:hAnsi="Arial" w:cs="Arial"/>
                <w:sz w:val="20"/>
                <w:szCs w:val="20"/>
              </w:rPr>
            </w:pPr>
            <w:r w:rsidRPr="00836009">
              <w:rPr>
                <w:rFonts w:ascii="Arial" w:hAnsi="Arial" w:cs="Arial"/>
                <w:sz w:val="20"/>
                <w:szCs w:val="20"/>
              </w:rPr>
              <w:t>35.76</w:t>
            </w:r>
            <w:r w:rsidRPr="00836009">
              <w:rPr>
                <w:rFonts w:ascii="Arial" w:hAnsi="Arial" w:cs="Arial"/>
                <w:sz w:val="20"/>
                <w:szCs w:val="20"/>
                <w:vertAlign w:val="superscript"/>
              </w:rPr>
              <w:t>e</w:t>
            </w:r>
            <w:r w:rsidRPr="00836009">
              <w:rPr>
                <w:rFonts w:ascii="Arial" w:hAnsi="Arial" w:cs="Arial"/>
                <w:sz w:val="20"/>
                <w:szCs w:val="20"/>
              </w:rPr>
              <w:t>±0.01</w:t>
            </w:r>
          </w:p>
        </w:tc>
        <w:tc>
          <w:tcPr>
            <w:tcW w:w="2158" w:type="dxa"/>
            <w:tcBorders>
              <w:top w:val="nil"/>
            </w:tcBorders>
          </w:tcPr>
          <w:p w14:paraId="30824E95" w14:textId="730C8E07" w:rsidR="00836009" w:rsidRPr="00836009" w:rsidRDefault="00836009" w:rsidP="00836009">
            <w:pPr>
              <w:jc w:val="both"/>
              <w:rPr>
                <w:rFonts w:ascii="Arial" w:hAnsi="Arial" w:cs="Arial"/>
                <w:sz w:val="20"/>
                <w:szCs w:val="20"/>
              </w:rPr>
            </w:pPr>
            <w:r w:rsidRPr="00836009">
              <w:rPr>
                <w:rFonts w:ascii="Arial" w:hAnsi="Arial" w:cs="Arial"/>
                <w:sz w:val="20"/>
                <w:szCs w:val="20"/>
              </w:rPr>
              <w:t>56.72</w:t>
            </w:r>
            <w:r w:rsidRPr="00836009">
              <w:rPr>
                <w:rFonts w:ascii="Arial" w:hAnsi="Arial" w:cs="Arial"/>
                <w:sz w:val="20"/>
                <w:szCs w:val="20"/>
                <w:vertAlign w:val="superscript"/>
              </w:rPr>
              <w:t>f</w:t>
            </w:r>
            <w:r w:rsidRPr="00836009">
              <w:rPr>
                <w:rFonts w:ascii="Arial" w:hAnsi="Arial" w:cs="Arial"/>
                <w:sz w:val="20"/>
                <w:szCs w:val="20"/>
              </w:rPr>
              <w:t>±0.00</w:t>
            </w:r>
          </w:p>
        </w:tc>
        <w:tc>
          <w:tcPr>
            <w:tcW w:w="2159" w:type="dxa"/>
            <w:tcBorders>
              <w:top w:val="nil"/>
            </w:tcBorders>
          </w:tcPr>
          <w:p w14:paraId="120D84CC" w14:textId="43B19B67" w:rsidR="00836009" w:rsidRPr="00836009" w:rsidRDefault="00836009" w:rsidP="00836009">
            <w:pPr>
              <w:jc w:val="both"/>
              <w:rPr>
                <w:rFonts w:ascii="Arial" w:hAnsi="Arial" w:cs="Arial"/>
                <w:sz w:val="20"/>
                <w:szCs w:val="20"/>
              </w:rPr>
            </w:pPr>
            <w:r w:rsidRPr="00836009">
              <w:rPr>
                <w:rFonts w:ascii="Arial" w:hAnsi="Arial" w:cs="Arial"/>
                <w:sz w:val="20"/>
                <w:szCs w:val="20"/>
              </w:rPr>
              <w:t>144.15</w:t>
            </w:r>
            <w:r w:rsidRPr="00836009">
              <w:rPr>
                <w:rFonts w:ascii="Arial" w:hAnsi="Arial" w:cs="Arial"/>
                <w:sz w:val="20"/>
                <w:szCs w:val="20"/>
                <w:vertAlign w:val="superscript"/>
              </w:rPr>
              <w:t>f</w:t>
            </w:r>
            <w:r w:rsidRPr="00836009">
              <w:rPr>
                <w:rFonts w:ascii="Arial" w:hAnsi="Arial" w:cs="Arial"/>
                <w:sz w:val="20"/>
                <w:szCs w:val="20"/>
              </w:rPr>
              <w:t>±0.00</w:t>
            </w:r>
          </w:p>
        </w:tc>
        <w:tc>
          <w:tcPr>
            <w:tcW w:w="2159" w:type="dxa"/>
            <w:tcBorders>
              <w:top w:val="nil"/>
            </w:tcBorders>
          </w:tcPr>
          <w:p w14:paraId="2BAC3158" w14:textId="0FA397D0" w:rsidR="00836009" w:rsidRPr="00836009" w:rsidRDefault="00836009" w:rsidP="00836009">
            <w:pPr>
              <w:jc w:val="both"/>
              <w:rPr>
                <w:rFonts w:ascii="Arial" w:hAnsi="Arial" w:cs="Arial"/>
                <w:sz w:val="20"/>
                <w:szCs w:val="20"/>
              </w:rPr>
            </w:pPr>
            <w:r w:rsidRPr="00836009">
              <w:rPr>
                <w:rFonts w:ascii="Arial" w:hAnsi="Arial" w:cs="Arial"/>
                <w:sz w:val="20"/>
                <w:szCs w:val="20"/>
              </w:rPr>
              <w:t>40.87</w:t>
            </w:r>
            <w:r w:rsidRPr="00836009">
              <w:rPr>
                <w:rFonts w:ascii="Arial" w:hAnsi="Arial" w:cs="Arial"/>
                <w:sz w:val="20"/>
                <w:szCs w:val="20"/>
                <w:vertAlign w:val="superscript"/>
              </w:rPr>
              <w:t>f</w:t>
            </w:r>
            <w:r w:rsidRPr="00836009">
              <w:rPr>
                <w:rFonts w:ascii="Arial" w:hAnsi="Arial" w:cs="Arial"/>
                <w:sz w:val="20"/>
                <w:szCs w:val="20"/>
              </w:rPr>
              <w:t>±0.01</w:t>
            </w:r>
          </w:p>
        </w:tc>
      </w:tr>
    </w:tbl>
    <w:p w14:paraId="6CB208F2" w14:textId="77777777" w:rsidR="00836009" w:rsidRPr="008D1A88" w:rsidRDefault="00836009" w:rsidP="00836009">
      <w:pPr>
        <w:spacing w:after="0" w:line="240" w:lineRule="auto"/>
        <w:jc w:val="both"/>
        <w:rPr>
          <w:rFonts w:ascii="Arial" w:hAnsi="Arial" w:cs="Arial"/>
          <w:sz w:val="20"/>
          <w:szCs w:val="20"/>
        </w:rPr>
      </w:pPr>
      <w:r w:rsidRPr="008D1A88">
        <w:rPr>
          <w:rFonts w:ascii="Arial" w:hAnsi="Arial" w:cs="Arial"/>
          <w:sz w:val="20"/>
          <w:szCs w:val="20"/>
        </w:rPr>
        <w:t xml:space="preserve">Values are means + standard deviation of triplicate (3) </w:t>
      </w:r>
      <w:proofErr w:type="spellStart"/>
      <w:r w:rsidRPr="008D1A88">
        <w:rPr>
          <w:rFonts w:ascii="Arial" w:hAnsi="Arial" w:cs="Arial"/>
          <w:sz w:val="20"/>
          <w:szCs w:val="20"/>
        </w:rPr>
        <w:t>determinationMeans</w:t>
      </w:r>
      <w:proofErr w:type="spellEnd"/>
      <w:r w:rsidRPr="008D1A88">
        <w:rPr>
          <w:rFonts w:ascii="Arial" w:hAnsi="Arial" w:cs="Arial"/>
          <w:sz w:val="20"/>
          <w:szCs w:val="20"/>
        </w:rPr>
        <w:t xml:space="preserve"> within a column with the same superscript are not significantly different (p&gt;0.05) WF=Wheat flour, SF=Sorghum flour, BF= </w:t>
      </w:r>
      <w:r w:rsidRPr="008D1A88">
        <w:rPr>
          <w:rFonts w:ascii="Arial" w:hAnsi="Arial" w:cs="Arial"/>
          <w:i/>
          <w:iCs/>
          <w:sz w:val="20"/>
          <w:szCs w:val="20"/>
        </w:rPr>
        <w:t xml:space="preserve">Bombax </w:t>
      </w:r>
      <w:proofErr w:type="spellStart"/>
      <w:r w:rsidRPr="008D1A88">
        <w:rPr>
          <w:rFonts w:ascii="Arial" w:hAnsi="Arial" w:cs="Arial"/>
          <w:i/>
          <w:iCs/>
          <w:sz w:val="20"/>
          <w:szCs w:val="20"/>
        </w:rPr>
        <w:t>costatum</w:t>
      </w:r>
      <w:proofErr w:type="spellEnd"/>
      <w:r w:rsidRPr="008D1A88">
        <w:rPr>
          <w:rFonts w:ascii="Arial" w:hAnsi="Arial" w:cs="Arial"/>
          <w:i/>
          <w:iCs/>
          <w:sz w:val="20"/>
          <w:szCs w:val="20"/>
        </w:rPr>
        <w:t xml:space="preserve"> </w:t>
      </w:r>
      <w:proofErr w:type="gramStart"/>
      <w:r w:rsidRPr="008D1A88">
        <w:rPr>
          <w:rFonts w:ascii="Arial" w:hAnsi="Arial" w:cs="Arial"/>
          <w:i/>
          <w:iCs/>
          <w:sz w:val="20"/>
          <w:szCs w:val="20"/>
        </w:rPr>
        <w:t>calyces</w:t>
      </w:r>
      <w:proofErr w:type="gramEnd"/>
      <w:r w:rsidRPr="008D1A88">
        <w:rPr>
          <w:rFonts w:ascii="Arial" w:hAnsi="Arial" w:cs="Arial"/>
          <w:i/>
          <w:iCs/>
          <w:sz w:val="20"/>
          <w:szCs w:val="20"/>
        </w:rPr>
        <w:t xml:space="preserve"> </w:t>
      </w:r>
      <w:r w:rsidRPr="008D1A88">
        <w:rPr>
          <w:rFonts w:ascii="Arial" w:hAnsi="Arial" w:cs="Arial"/>
          <w:sz w:val="20"/>
          <w:szCs w:val="20"/>
        </w:rPr>
        <w:t>flour</w:t>
      </w:r>
    </w:p>
    <w:p w14:paraId="1CFEDA85" w14:textId="77777777" w:rsidR="00D80646" w:rsidRPr="008D1A88" w:rsidRDefault="00D80646" w:rsidP="00836009">
      <w:pPr>
        <w:spacing w:after="0" w:line="240" w:lineRule="auto"/>
        <w:jc w:val="both"/>
        <w:rPr>
          <w:rFonts w:ascii="Arial" w:hAnsi="Arial" w:cs="Arial"/>
          <w:sz w:val="20"/>
          <w:szCs w:val="20"/>
        </w:rPr>
      </w:pPr>
    </w:p>
    <w:p w14:paraId="45170E8B" w14:textId="384DFEB6" w:rsidR="00D80646" w:rsidRPr="008D1A88" w:rsidRDefault="00D80646" w:rsidP="00836009">
      <w:pPr>
        <w:spacing w:after="0" w:line="240" w:lineRule="auto"/>
        <w:jc w:val="both"/>
        <w:rPr>
          <w:rFonts w:ascii="Times New Roman" w:hAnsi="Times New Roman" w:cs="Times New Roman"/>
          <w:b/>
          <w:bCs/>
          <w:sz w:val="20"/>
          <w:szCs w:val="20"/>
        </w:rPr>
      </w:pPr>
      <w:r w:rsidRPr="008D1A88">
        <w:rPr>
          <w:rFonts w:ascii="Times New Roman" w:hAnsi="Times New Roman" w:cs="Times New Roman"/>
          <w:b/>
          <w:bCs/>
          <w:sz w:val="20"/>
          <w:szCs w:val="20"/>
        </w:rPr>
        <w:t xml:space="preserve">Table </w:t>
      </w:r>
      <w:r w:rsidR="00B74C20">
        <w:rPr>
          <w:rFonts w:ascii="Times New Roman" w:hAnsi="Times New Roman" w:cs="Times New Roman"/>
          <w:b/>
          <w:bCs/>
          <w:sz w:val="20"/>
          <w:szCs w:val="20"/>
        </w:rPr>
        <w:t>4</w:t>
      </w:r>
      <w:r w:rsidRPr="008D1A88">
        <w:rPr>
          <w:rFonts w:ascii="Times New Roman" w:hAnsi="Times New Roman" w:cs="Times New Roman"/>
          <w:b/>
          <w:bCs/>
          <w:sz w:val="20"/>
          <w:szCs w:val="20"/>
        </w:rPr>
        <w:t xml:space="preserve">: Vitamins composition of wheat-sorghum-Bombax </w:t>
      </w:r>
      <w:proofErr w:type="spellStart"/>
      <w:r w:rsidRPr="008D1A88">
        <w:rPr>
          <w:rFonts w:ascii="Times New Roman" w:hAnsi="Times New Roman" w:cs="Times New Roman"/>
          <w:b/>
          <w:bCs/>
          <w:sz w:val="20"/>
          <w:szCs w:val="20"/>
        </w:rPr>
        <w:t>costatum</w:t>
      </w:r>
      <w:proofErr w:type="spellEnd"/>
      <w:r w:rsidRPr="008D1A88">
        <w:rPr>
          <w:rFonts w:ascii="Times New Roman" w:hAnsi="Times New Roman" w:cs="Times New Roman"/>
          <w:b/>
          <w:bCs/>
          <w:sz w:val="20"/>
          <w:szCs w:val="20"/>
        </w:rPr>
        <w:t xml:space="preserve"> spaghetti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7"/>
        <w:gridCol w:w="3237"/>
        <w:gridCol w:w="3238"/>
        <w:gridCol w:w="3238"/>
      </w:tblGrid>
      <w:tr w:rsidR="00D80646" w14:paraId="4735CACE" w14:textId="77777777" w:rsidTr="00D80646">
        <w:tc>
          <w:tcPr>
            <w:tcW w:w="3237" w:type="dxa"/>
            <w:tcBorders>
              <w:bottom w:val="single" w:sz="4" w:space="0" w:color="auto"/>
            </w:tcBorders>
          </w:tcPr>
          <w:p w14:paraId="652BB26B" w14:textId="4C87AED7" w:rsidR="00D80646" w:rsidRPr="00D80646" w:rsidRDefault="00D80646" w:rsidP="00D80646">
            <w:pPr>
              <w:jc w:val="both"/>
              <w:rPr>
                <w:rFonts w:ascii="Arial" w:hAnsi="Arial" w:cs="Arial"/>
                <w:sz w:val="20"/>
                <w:szCs w:val="20"/>
              </w:rPr>
            </w:pPr>
            <w:proofErr w:type="gramStart"/>
            <w:r w:rsidRPr="00D80646">
              <w:rPr>
                <w:rFonts w:ascii="Arial" w:hAnsi="Arial" w:cs="Arial"/>
                <w:sz w:val="20"/>
                <w:szCs w:val="20"/>
              </w:rPr>
              <w:t>WF:SF</w:t>
            </w:r>
            <w:proofErr w:type="gramEnd"/>
            <w:r w:rsidRPr="00D80646">
              <w:rPr>
                <w:rFonts w:ascii="Arial" w:hAnsi="Arial" w:cs="Arial"/>
                <w:sz w:val="20"/>
                <w:szCs w:val="20"/>
              </w:rPr>
              <w:t>:BF</w:t>
            </w:r>
          </w:p>
        </w:tc>
        <w:tc>
          <w:tcPr>
            <w:tcW w:w="3237" w:type="dxa"/>
            <w:tcBorders>
              <w:bottom w:val="single" w:sz="4" w:space="0" w:color="auto"/>
            </w:tcBorders>
          </w:tcPr>
          <w:p w14:paraId="58689E51" w14:textId="0C4B4D91" w:rsidR="00D80646" w:rsidRPr="00D80646" w:rsidRDefault="00D80646" w:rsidP="00D80646">
            <w:pPr>
              <w:jc w:val="both"/>
              <w:rPr>
                <w:rFonts w:ascii="Arial" w:hAnsi="Arial" w:cs="Arial"/>
                <w:sz w:val="20"/>
                <w:szCs w:val="20"/>
              </w:rPr>
            </w:pPr>
            <w:r w:rsidRPr="00D80646">
              <w:rPr>
                <w:rFonts w:ascii="Arial" w:hAnsi="Arial" w:cs="Arial"/>
                <w:sz w:val="20"/>
                <w:szCs w:val="20"/>
              </w:rPr>
              <w:t>Vitamin C(mg/100g)</w:t>
            </w:r>
          </w:p>
        </w:tc>
        <w:tc>
          <w:tcPr>
            <w:tcW w:w="3238" w:type="dxa"/>
            <w:tcBorders>
              <w:bottom w:val="single" w:sz="4" w:space="0" w:color="auto"/>
            </w:tcBorders>
          </w:tcPr>
          <w:p w14:paraId="408E7566" w14:textId="3FEB76E3" w:rsidR="00D80646" w:rsidRPr="00D80646" w:rsidRDefault="00D80646" w:rsidP="00D80646">
            <w:pPr>
              <w:jc w:val="both"/>
              <w:rPr>
                <w:rFonts w:ascii="Arial" w:hAnsi="Arial" w:cs="Arial"/>
                <w:sz w:val="20"/>
                <w:szCs w:val="20"/>
              </w:rPr>
            </w:pPr>
            <w:r w:rsidRPr="00D80646">
              <w:rPr>
                <w:rFonts w:ascii="Arial" w:hAnsi="Arial" w:cs="Arial"/>
                <w:sz w:val="20"/>
                <w:szCs w:val="20"/>
              </w:rPr>
              <w:t>Vitamin A(mg/100g)</w:t>
            </w:r>
          </w:p>
        </w:tc>
        <w:tc>
          <w:tcPr>
            <w:tcW w:w="3238" w:type="dxa"/>
            <w:tcBorders>
              <w:bottom w:val="single" w:sz="4" w:space="0" w:color="auto"/>
            </w:tcBorders>
          </w:tcPr>
          <w:p w14:paraId="343A9A14" w14:textId="473CB9AE" w:rsidR="00D80646" w:rsidRPr="00D80646" w:rsidRDefault="00D80646" w:rsidP="00D80646">
            <w:pPr>
              <w:jc w:val="both"/>
              <w:rPr>
                <w:rFonts w:ascii="Arial" w:hAnsi="Arial" w:cs="Arial"/>
                <w:sz w:val="20"/>
                <w:szCs w:val="20"/>
              </w:rPr>
            </w:pPr>
            <w:r w:rsidRPr="00D80646">
              <w:rPr>
                <w:rFonts w:ascii="Arial" w:hAnsi="Arial" w:cs="Arial"/>
                <w:sz w:val="20"/>
                <w:szCs w:val="20"/>
              </w:rPr>
              <w:t>Vitamin E(mg/100g)</w:t>
            </w:r>
          </w:p>
        </w:tc>
      </w:tr>
      <w:tr w:rsidR="00D80646" w14:paraId="7F582F43" w14:textId="77777777" w:rsidTr="00D80646">
        <w:tc>
          <w:tcPr>
            <w:tcW w:w="3237" w:type="dxa"/>
            <w:tcBorders>
              <w:bottom w:val="nil"/>
            </w:tcBorders>
          </w:tcPr>
          <w:p w14:paraId="75B21CFF" w14:textId="7FAC3288" w:rsidR="00D80646" w:rsidRPr="00D80646" w:rsidRDefault="00D80646" w:rsidP="00D80646">
            <w:pPr>
              <w:jc w:val="both"/>
              <w:rPr>
                <w:rFonts w:ascii="Arial" w:hAnsi="Arial" w:cs="Arial"/>
                <w:sz w:val="20"/>
                <w:szCs w:val="20"/>
              </w:rPr>
            </w:pPr>
            <w:r w:rsidRPr="00D80646">
              <w:rPr>
                <w:rFonts w:ascii="Arial" w:hAnsi="Arial" w:cs="Arial"/>
                <w:sz w:val="20"/>
                <w:szCs w:val="20"/>
              </w:rPr>
              <w:t>100:0:0</w:t>
            </w:r>
          </w:p>
        </w:tc>
        <w:tc>
          <w:tcPr>
            <w:tcW w:w="3237" w:type="dxa"/>
            <w:tcBorders>
              <w:bottom w:val="nil"/>
            </w:tcBorders>
          </w:tcPr>
          <w:p w14:paraId="4D0F4C83" w14:textId="0C1B81F2" w:rsidR="00D80646" w:rsidRPr="00D80646" w:rsidRDefault="00D80646" w:rsidP="00D80646">
            <w:pPr>
              <w:jc w:val="both"/>
              <w:rPr>
                <w:rFonts w:ascii="Arial" w:hAnsi="Arial" w:cs="Arial"/>
                <w:sz w:val="20"/>
                <w:szCs w:val="20"/>
              </w:rPr>
            </w:pPr>
            <w:r w:rsidRPr="00D80646">
              <w:rPr>
                <w:rFonts w:ascii="Arial" w:hAnsi="Arial" w:cs="Arial"/>
                <w:sz w:val="20"/>
                <w:szCs w:val="20"/>
              </w:rPr>
              <w:t>0.01</w:t>
            </w:r>
            <w:r w:rsidRPr="00D80646">
              <w:rPr>
                <w:rFonts w:ascii="Arial" w:hAnsi="Arial" w:cs="Arial"/>
                <w:sz w:val="20"/>
                <w:szCs w:val="20"/>
                <w:vertAlign w:val="superscript"/>
              </w:rPr>
              <w:t>a</w:t>
            </w:r>
            <w:r w:rsidRPr="00D80646">
              <w:rPr>
                <w:rFonts w:ascii="Arial" w:hAnsi="Arial" w:cs="Arial"/>
                <w:sz w:val="20"/>
                <w:szCs w:val="20"/>
              </w:rPr>
              <w:t>±0.00</w:t>
            </w:r>
          </w:p>
        </w:tc>
        <w:tc>
          <w:tcPr>
            <w:tcW w:w="3238" w:type="dxa"/>
            <w:tcBorders>
              <w:bottom w:val="nil"/>
            </w:tcBorders>
          </w:tcPr>
          <w:p w14:paraId="5EF70A64" w14:textId="1654E22E" w:rsidR="00D80646" w:rsidRPr="00D80646" w:rsidRDefault="00D80646" w:rsidP="00D80646">
            <w:pPr>
              <w:jc w:val="both"/>
              <w:rPr>
                <w:rFonts w:ascii="Arial" w:hAnsi="Arial" w:cs="Arial"/>
                <w:sz w:val="20"/>
                <w:szCs w:val="20"/>
              </w:rPr>
            </w:pPr>
            <w:r w:rsidRPr="00D80646">
              <w:rPr>
                <w:rFonts w:ascii="Arial" w:hAnsi="Arial" w:cs="Arial"/>
                <w:sz w:val="20"/>
                <w:szCs w:val="20"/>
              </w:rPr>
              <w:t>0.03</w:t>
            </w:r>
            <w:r w:rsidRPr="00D80646">
              <w:rPr>
                <w:rFonts w:ascii="Arial" w:hAnsi="Arial" w:cs="Arial"/>
                <w:sz w:val="20"/>
                <w:szCs w:val="20"/>
                <w:vertAlign w:val="superscript"/>
              </w:rPr>
              <w:t>a</w:t>
            </w:r>
            <w:r w:rsidRPr="00D80646">
              <w:rPr>
                <w:rFonts w:ascii="Arial" w:hAnsi="Arial" w:cs="Arial"/>
                <w:sz w:val="20"/>
                <w:szCs w:val="20"/>
              </w:rPr>
              <w:t>±0.00</w:t>
            </w:r>
          </w:p>
        </w:tc>
        <w:tc>
          <w:tcPr>
            <w:tcW w:w="3238" w:type="dxa"/>
            <w:tcBorders>
              <w:bottom w:val="nil"/>
            </w:tcBorders>
          </w:tcPr>
          <w:p w14:paraId="46567F23" w14:textId="5175BA34"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a</w:t>
            </w:r>
            <w:r w:rsidRPr="00D80646">
              <w:rPr>
                <w:rFonts w:ascii="Arial" w:hAnsi="Arial" w:cs="Arial"/>
                <w:sz w:val="20"/>
                <w:szCs w:val="20"/>
              </w:rPr>
              <w:t>±0.00</w:t>
            </w:r>
          </w:p>
        </w:tc>
      </w:tr>
      <w:tr w:rsidR="00D80646" w14:paraId="29A78D1B" w14:textId="77777777" w:rsidTr="00D80646">
        <w:tc>
          <w:tcPr>
            <w:tcW w:w="3237" w:type="dxa"/>
            <w:tcBorders>
              <w:top w:val="nil"/>
              <w:bottom w:val="nil"/>
            </w:tcBorders>
          </w:tcPr>
          <w:p w14:paraId="751A1D77" w14:textId="2C753F46" w:rsidR="00D80646" w:rsidRPr="00D80646" w:rsidRDefault="00D80646" w:rsidP="00D80646">
            <w:pPr>
              <w:jc w:val="both"/>
              <w:rPr>
                <w:rFonts w:ascii="Arial" w:hAnsi="Arial" w:cs="Arial"/>
                <w:sz w:val="20"/>
                <w:szCs w:val="20"/>
              </w:rPr>
            </w:pPr>
            <w:r w:rsidRPr="00D80646">
              <w:rPr>
                <w:rFonts w:ascii="Arial" w:hAnsi="Arial" w:cs="Arial"/>
                <w:sz w:val="20"/>
                <w:szCs w:val="20"/>
              </w:rPr>
              <w:t>20:80:0</w:t>
            </w:r>
          </w:p>
        </w:tc>
        <w:tc>
          <w:tcPr>
            <w:tcW w:w="3237" w:type="dxa"/>
            <w:tcBorders>
              <w:top w:val="nil"/>
              <w:bottom w:val="nil"/>
            </w:tcBorders>
          </w:tcPr>
          <w:p w14:paraId="05E94F73" w14:textId="290926DD" w:rsidR="00D80646" w:rsidRPr="00D80646" w:rsidRDefault="00D80646" w:rsidP="00D80646">
            <w:pPr>
              <w:jc w:val="both"/>
              <w:rPr>
                <w:rFonts w:ascii="Arial" w:hAnsi="Arial" w:cs="Arial"/>
                <w:sz w:val="20"/>
                <w:szCs w:val="20"/>
              </w:rPr>
            </w:pPr>
            <w:r w:rsidRPr="00D80646">
              <w:rPr>
                <w:rFonts w:ascii="Arial" w:hAnsi="Arial" w:cs="Arial"/>
                <w:sz w:val="20"/>
                <w:szCs w:val="20"/>
              </w:rPr>
              <w:t>0.01</w:t>
            </w:r>
            <w:r w:rsidRPr="00D80646">
              <w:rPr>
                <w:rFonts w:ascii="Arial" w:hAnsi="Arial" w:cs="Arial"/>
                <w:sz w:val="20"/>
                <w:szCs w:val="20"/>
                <w:vertAlign w:val="superscript"/>
              </w:rPr>
              <w:t>b</w:t>
            </w:r>
            <w:r w:rsidRPr="00D80646">
              <w:rPr>
                <w:rFonts w:ascii="Arial" w:hAnsi="Arial" w:cs="Arial"/>
                <w:sz w:val="20"/>
                <w:szCs w:val="20"/>
              </w:rPr>
              <w:t>±0.00</w:t>
            </w:r>
          </w:p>
        </w:tc>
        <w:tc>
          <w:tcPr>
            <w:tcW w:w="3238" w:type="dxa"/>
            <w:tcBorders>
              <w:top w:val="nil"/>
              <w:bottom w:val="nil"/>
            </w:tcBorders>
          </w:tcPr>
          <w:p w14:paraId="6299B3EF" w14:textId="5F24BC3B" w:rsidR="00D80646" w:rsidRPr="00D80646" w:rsidRDefault="00D80646" w:rsidP="00D80646">
            <w:pPr>
              <w:jc w:val="both"/>
              <w:rPr>
                <w:rFonts w:ascii="Arial" w:hAnsi="Arial" w:cs="Arial"/>
                <w:sz w:val="20"/>
                <w:szCs w:val="20"/>
              </w:rPr>
            </w:pPr>
            <w:r w:rsidRPr="00D80646">
              <w:rPr>
                <w:rFonts w:ascii="Arial" w:hAnsi="Arial" w:cs="Arial"/>
                <w:sz w:val="20"/>
                <w:szCs w:val="20"/>
              </w:rPr>
              <w:t>0.05</w:t>
            </w:r>
            <w:r w:rsidRPr="00D80646">
              <w:rPr>
                <w:rFonts w:ascii="Arial" w:hAnsi="Arial" w:cs="Arial"/>
                <w:sz w:val="20"/>
                <w:szCs w:val="20"/>
                <w:vertAlign w:val="superscript"/>
              </w:rPr>
              <w:t>b</w:t>
            </w:r>
            <w:r w:rsidRPr="00D80646">
              <w:rPr>
                <w:rFonts w:ascii="Arial" w:hAnsi="Arial" w:cs="Arial"/>
                <w:sz w:val="20"/>
                <w:szCs w:val="20"/>
              </w:rPr>
              <w:t>±0.00</w:t>
            </w:r>
          </w:p>
        </w:tc>
        <w:tc>
          <w:tcPr>
            <w:tcW w:w="3238" w:type="dxa"/>
            <w:tcBorders>
              <w:top w:val="nil"/>
              <w:bottom w:val="nil"/>
            </w:tcBorders>
          </w:tcPr>
          <w:p w14:paraId="3D98CAC4" w14:textId="1F561C5F" w:rsidR="00D80646" w:rsidRPr="00D80646" w:rsidRDefault="00D80646" w:rsidP="00D80646">
            <w:pPr>
              <w:jc w:val="both"/>
              <w:rPr>
                <w:rFonts w:ascii="Arial" w:hAnsi="Arial" w:cs="Arial"/>
                <w:sz w:val="20"/>
                <w:szCs w:val="20"/>
              </w:rPr>
            </w:pPr>
            <w:r w:rsidRPr="00D80646">
              <w:rPr>
                <w:rFonts w:ascii="Arial" w:hAnsi="Arial" w:cs="Arial"/>
                <w:sz w:val="20"/>
                <w:szCs w:val="20"/>
              </w:rPr>
              <w:t>0.14</w:t>
            </w:r>
            <w:r w:rsidRPr="00D80646">
              <w:rPr>
                <w:rFonts w:ascii="Arial" w:hAnsi="Arial" w:cs="Arial"/>
                <w:sz w:val="20"/>
                <w:szCs w:val="20"/>
                <w:vertAlign w:val="superscript"/>
              </w:rPr>
              <w:t>b</w:t>
            </w:r>
            <w:r w:rsidRPr="00D80646">
              <w:rPr>
                <w:rFonts w:ascii="Arial" w:hAnsi="Arial" w:cs="Arial"/>
                <w:sz w:val="20"/>
                <w:szCs w:val="20"/>
              </w:rPr>
              <w:t>±0.01</w:t>
            </w:r>
          </w:p>
        </w:tc>
      </w:tr>
      <w:tr w:rsidR="00D80646" w14:paraId="158FF598" w14:textId="77777777" w:rsidTr="00D80646">
        <w:tc>
          <w:tcPr>
            <w:tcW w:w="3237" w:type="dxa"/>
            <w:tcBorders>
              <w:top w:val="nil"/>
              <w:bottom w:val="nil"/>
            </w:tcBorders>
          </w:tcPr>
          <w:p w14:paraId="1BDD1EBA" w14:textId="458B226E" w:rsidR="00D80646" w:rsidRPr="00D80646" w:rsidRDefault="00D80646" w:rsidP="00D80646">
            <w:pPr>
              <w:jc w:val="both"/>
              <w:rPr>
                <w:rFonts w:ascii="Arial" w:hAnsi="Arial" w:cs="Arial"/>
                <w:sz w:val="20"/>
                <w:szCs w:val="20"/>
              </w:rPr>
            </w:pPr>
            <w:r w:rsidRPr="00D80646">
              <w:rPr>
                <w:rFonts w:ascii="Arial" w:hAnsi="Arial" w:cs="Arial"/>
                <w:sz w:val="20"/>
                <w:szCs w:val="20"/>
              </w:rPr>
              <w:t>20:70:10</w:t>
            </w:r>
          </w:p>
        </w:tc>
        <w:tc>
          <w:tcPr>
            <w:tcW w:w="3237" w:type="dxa"/>
            <w:tcBorders>
              <w:top w:val="nil"/>
              <w:bottom w:val="nil"/>
            </w:tcBorders>
          </w:tcPr>
          <w:p w14:paraId="0CF077DA" w14:textId="05B4BF77"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c</w:t>
            </w:r>
            <w:r w:rsidRPr="00D80646">
              <w:rPr>
                <w:rFonts w:ascii="Arial" w:hAnsi="Arial" w:cs="Arial"/>
                <w:sz w:val="20"/>
                <w:szCs w:val="20"/>
              </w:rPr>
              <w:t>±0.00</w:t>
            </w:r>
          </w:p>
        </w:tc>
        <w:tc>
          <w:tcPr>
            <w:tcW w:w="3238" w:type="dxa"/>
            <w:tcBorders>
              <w:top w:val="nil"/>
              <w:bottom w:val="nil"/>
            </w:tcBorders>
          </w:tcPr>
          <w:p w14:paraId="0032951B" w14:textId="0221E21F" w:rsidR="00D80646" w:rsidRPr="00D80646" w:rsidRDefault="00D80646" w:rsidP="00D80646">
            <w:pPr>
              <w:jc w:val="both"/>
              <w:rPr>
                <w:rFonts w:ascii="Arial" w:hAnsi="Arial" w:cs="Arial"/>
                <w:sz w:val="20"/>
                <w:szCs w:val="20"/>
              </w:rPr>
            </w:pPr>
            <w:r w:rsidRPr="00D80646">
              <w:rPr>
                <w:rFonts w:ascii="Arial" w:hAnsi="Arial" w:cs="Arial"/>
                <w:sz w:val="20"/>
                <w:szCs w:val="20"/>
              </w:rPr>
              <w:t>0.06</w:t>
            </w:r>
            <w:r w:rsidRPr="00D80646">
              <w:rPr>
                <w:rFonts w:ascii="Arial" w:hAnsi="Arial" w:cs="Arial"/>
                <w:sz w:val="20"/>
                <w:szCs w:val="20"/>
                <w:vertAlign w:val="superscript"/>
              </w:rPr>
              <w:t>b</w:t>
            </w:r>
            <w:r w:rsidRPr="00D80646">
              <w:rPr>
                <w:rFonts w:ascii="Arial" w:hAnsi="Arial" w:cs="Arial"/>
                <w:sz w:val="20"/>
                <w:szCs w:val="20"/>
              </w:rPr>
              <w:t>±0.00</w:t>
            </w:r>
          </w:p>
        </w:tc>
        <w:tc>
          <w:tcPr>
            <w:tcW w:w="3238" w:type="dxa"/>
            <w:tcBorders>
              <w:top w:val="nil"/>
              <w:bottom w:val="nil"/>
            </w:tcBorders>
          </w:tcPr>
          <w:p w14:paraId="2F8ED50C" w14:textId="68EC60FA" w:rsidR="00D80646" w:rsidRPr="00D80646" w:rsidRDefault="00D80646" w:rsidP="00D80646">
            <w:pPr>
              <w:jc w:val="both"/>
              <w:rPr>
                <w:rFonts w:ascii="Arial" w:hAnsi="Arial" w:cs="Arial"/>
                <w:sz w:val="20"/>
                <w:szCs w:val="20"/>
              </w:rPr>
            </w:pPr>
            <w:r w:rsidRPr="00D80646">
              <w:rPr>
                <w:rFonts w:ascii="Arial" w:hAnsi="Arial" w:cs="Arial"/>
                <w:sz w:val="20"/>
                <w:szCs w:val="20"/>
              </w:rPr>
              <w:t>0.28</w:t>
            </w:r>
            <w:r w:rsidRPr="00D80646">
              <w:rPr>
                <w:rFonts w:ascii="Arial" w:hAnsi="Arial" w:cs="Arial"/>
                <w:sz w:val="20"/>
                <w:szCs w:val="20"/>
                <w:vertAlign w:val="superscript"/>
              </w:rPr>
              <w:t>c</w:t>
            </w:r>
            <w:r w:rsidRPr="00D80646">
              <w:rPr>
                <w:rFonts w:ascii="Arial" w:hAnsi="Arial" w:cs="Arial"/>
                <w:sz w:val="20"/>
                <w:szCs w:val="20"/>
              </w:rPr>
              <w:t>±0.01</w:t>
            </w:r>
          </w:p>
        </w:tc>
      </w:tr>
      <w:tr w:rsidR="00D80646" w14:paraId="73682F0D" w14:textId="77777777" w:rsidTr="00D80646">
        <w:tc>
          <w:tcPr>
            <w:tcW w:w="3237" w:type="dxa"/>
            <w:tcBorders>
              <w:top w:val="nil"/>
              <w:bottom w:val="nil"/>
            </w:tcBorders>
          </w:tcPr>
          <w:p w14:paraId="4ECD8DFA" w14:textId="4F514CFC" w:rsidR="00D80646" w:rsidRPr="00D80646" w:rsidRDefault="00D80646" w:rsidP="00D80646">
            <w:pPr>
              <w:jc w:val="both"/>
              <w:rPr>
                <w:rFonts w:ascii="Arial" w:hAnsi="Arial" w:cs="Arial"/>
                <w:sz w:val="20"/>
                <w:szCs w:val="20"/>
              </w:rPr>
            </w:pPr>
            <w:r w:rsidRPr="00D80646">
              <w:rPr>
                <w:rFonts w:ascii="Arial" w:hAnsi="Arial" w:cs="Arial"/>
                <w:sz w:val="20"/>
                <w:szCs w:val="20"/>
              </w:rPr>
              <w:t>20:60:20</w:t>
            </w:r>
          </w:p>
        </w:tc>
        <w:tc>
          <w:tcPr>
            <w:tcW w:w="3237" w:type="dxa"/>
            <w:tcBorders>
              <w:top w:val="nil"/>
              <w:bottom w:val="nil"/>
            </w:tcBorders>
          </w:tcPr>
          <w:p w14:paraId="3ECC8DC8" w14:textId="7D033B2E"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d</w:t>
            </w:r>
            <w:r w:rsidRPr="00D80646">
              <w:rPr>
                <w:rFonts w:ascii="Arial" w:hAnsi="Arial" w:cs="Arial"/>
                <w:sz w:val="20"/>
                <w:szCs w:val="20"/>
              </w:rPr>
              <w:t>±0.00</w:t>
            </w:r>
          </w:p>
        </w:tc>
        <w:tc>
          <w:tcPr>
            <w:tcW w:w="3238" w:type="dxa"/>
            <w:tcBorders>
              <w:top w:val="nil"/>
              <w:bottom w:val="nil"/>
            </w:tcBorders>
          </w:tcPr>
          <w:p w14:paraId="486802F4" w14:textId="00025989" w:rsidR="00D80646" w:rsidRPr="00D80646" w:rsidRDefault="00D80646" w:rsidP="00D80646">
            <w:pPr>
              <w:jc w:val="both"/>
              <w:rPr>
                <w:rFonts w:ascii="Arial" w:hAnsi="Arial" w:cs="Arial"/>
                <w:sz w:val="20"/>
                <w:szCs w:val="20"/>
              </w:rPr>
            </w:pPr>
            <w:r w:rsidRPr="00D80646">
              <w:rPr>
                <w:rFonts w:ascii="Arial" w:hAnsi="Arial" w:cs="Arial"/>
                <w:sz w:val="20"/>
                <w:szCs w:val="20"/>
              </w:rPr>
              <w:t>0.07</w:t>
            </w:r>
            <w:r w:rsidRPr="00D80646">
              <w:rPr>
                <w:rFonts w:ascii="Arial" w:hAnsi="Arial" w:cs="Arial"/>
                <w:sz w:val="20"/>
                <w:szCs w:val="20"/>
                <w:vertAlign w:val="superscript"/>
              </w:rPr>
              <w:t>c</w:t>
            </w:r>
            <w:r w:rsidRPr="00D80646">
              <w:rPr>
                <w:rFonts w:ascii="Arial" w:hAnsi="Arial" w:cs="Arial"/>
                <w:sz w:val="20"/>
                <w:szCs w:val="20"/>
              </w:rPr>
              <w:t>±0.00</w:t>
            </w:r>
          </w:p>
        </w:tc>
        <w:tc>
          <w:tcPr>
            <w:tcW w:w="3238" w:type="dxa"/>
            <w:tcBorders>
              <w:top w:val="nil"/>
              <w:bottom w:val="nil"/>
            </w:tcBorders>
          </w:tcPr>
          <w:p w14:paraId="5946278D" w14:textId="7531A021" w:rsidR="00D80646" w:rsidRPr="00D80646" w:rsidRDefault="00D80646" w:rsidP="00D80646">
            <w:pPr>
              <w:jc w:val="both"/>
              <w:rPr>
                <w:rFonts w:ascii="Arial" w:hAnsi="Arial" w:cs="Arial"/>
                <w:sz w:val="20"/>
                <w:szCs w:val="20"/>
              </w:rPr>
            </w:pPr>
            <w:r w:rsidRPr="00D80646">
              <w:rPr>
                <w:rFonts w:ascii="Arial" w:hAnsi="Arial" w:cs="Arial"/>
                <w:sz w:val="20"/>
                <w:szCs w:val="20"/>
              </w:rPr>
              <w:t>0.32</w:t>
            </w:r>
            <w:r w:rsidRPr="00D80646">
              <w:rPr>
                <w:rFonts w:ascii="Arial" w:hAnsi="Arial" w:cs="Arial"/>
                <w:sz w:val="20"/>
                <w:szCs w:val="20"/>
                <w:vertAlign w:val="superscript"/>
              </w:rPr>
              <w:t>d</w:t>
            </w:r>
            <w:r w:rsidRPr="00D80646">
              <w:rPr>
                <w:rFonts w:ascii="Arial" w:hAnsi="Arial" w:cs="Arial"/>
                <w:sz w:val="20"/>
                <w:szCs w:val="20"/>
              </w:rPr>
              <w:t>±0.01</w:t>
            </w:r>
          </w:p>
        </w:tc>
      </w:tr>
      <w:tr w:rsidR="00D80646" w14:paraId="046958E4" w14:textId="77777777" w:rsidTr="00D80646">
        <w:tc>
          <w:tcPr>
            <w:tcW w:w="3237" w:type="dxa"/>
            <w:tcBorders>
              <w:top w:val="nil"/>
              <w:bottom w:val="nil"/>
            </w:tcBorders>
          </w:tcPr>
          <w:p w14:paraId="7EE1F5F6" w14:textId="0BD8F725" w:rsidR="00D80646" w:rsidRPr="00D80646" w:rsidRDefault="00D80646" w:rsidP="00D80646">
            <w:pPr>
              <w:jc w:val="both"/>
              <w:rPr>
                <w:rFonts w:ascii="Arial" w:hAnsi="Arial" w:cs="Arial"/>
                <w:sz w:val="20"/>
                <w:szCs w:val="20"/>
              </w:rPr>
            </w:pPr>
            <w:r w:rsidRPr="00D80646">
              <w:rPr>
                <w:rFonts w:ascii="Arial" w:hAnsi="Arial" w:cs="Arial"/>
                <w:sz w:val="20"/>
                <w:szCs w:val="20"/>
              </w:rPr>
              <w:t>20:50:30</w:t>
            </w:r>
          </w:p>
        </w:tc>
        <w:tc>
          <w:tcPr>
            <w:tcW w:w="3237" w:type="dxa"/>
            <w:tcBorders>
              <w:top w:val="nil"/>
              <w:bottom w:val="nil"/>
            </w:tcBorders>
          </w:tcPr>
          <w:p w14:paraId="3DA5E277" w14:textId="1D8E1019" w:rsidR="00D80646" w:rsidRPr="00D80646" w:rsidRDefault="00D80646" w:rsidP="00D80646">
            <w:pPr>
              <w:jc w:val="both"/>
              <w:rPr>
                <w:rFonts w:ascii="Arial" w:hAnsi="Arial" w:cs="Arial"/>
                <w:sz w:val="20"/>
                <w:szCs w:val="20"/>
              </w:rPr>
            </w:pPr>
            <w:r w:rsidRPr="00D80646">
              <w:rPr>
                <w:rFonts w:ascii="Arial" w:hAnsi="Arial" w:cs="Arial"/>
                <w:sz w:val="20"/>
                <w:szCs w:val="20"/>
              </w:rPr>
              <w:t>0.02</w:t>
            </w:r>
            <w:r w:rsidRPr="00D80646">
              <w:rPr>
                <w:rFonts w:ascii="Arial" w:hAnsi="Arial" w:cs="Arial"/>
                <w:sz w:val="20"/>
                <w:szCs w:val="20"/>
                <w:vertAlign w:val="superscript"/>
              </w:rPr>
              <w:t>e</w:t>
            </w:r>
            <w:r w:rsidRPr="00D80646">
              <w:rPr>
                <w:rFonts w:ascii="Arial" w:hAnsi="Arial" w:cs="Arial"/>
                <w:sz w:val="20"/>
                <w:szCs w:val="20"/>
              </w:rPr>
              <w:t>±0.00</w:t>
            </w:r>
          </w:p>
        </w:tc>
        <w:tc>
          <w:tcPr>
            <w:tcW w:w="3238" w:type="dxa"/>
            <w:tcBorders>
              <w:top w:val="nil"/>
              <w:bottom w:val="nil"/>
            </w:tcBorders>
          </w:tcPr>
          <w:p w14:paraId="1FEDD210" w14:textId="6E0C57C3" w:rsidR="00D80646" w:rsidRPr="00D80646" w:rsidRDefault="00D80646" w:rsidP="00D80646">
            <w:pPr>
              <w:jc w:val="both"/>
              <w:rPr>
                <w:rFonts w:ascii="Arial" w:hAnsi="Arial" w:cs="Arial"/>
                <w:sz w:val="20"/>
                <w:szCs w:val="20"/>
              </w:rPr>
            </w:pPr>
            <w:r w:rsidRPr="00D80646">
              <w:rPr>
                <w:rFonts w:ascii="Arial" w:hAnsi="Arial" w:cs="Arial"/>
                <w:sz w:val="20"/>
                <w:szCs w:val="20"/>
              </w:rPr>
              <w:t>0.09</w:t>
            </w:r>
            <w:r w:rsidRPr="00D80646">
              <w:rPr>
                <w:rFonts w:ascii="Arial" w:hAnsi="Arial" w:cs="Arial"/>
                <w:sz w:val="20"/>
                <w:szCs w:val="20"/>
                <w:vertAlign w:val="superscript"/>
              </w:rPr>
              <w:t>d</w:t>
            </w:r>
            <w:r w:rsidRPr="00D80646">
              <w:rPr>
                <w:rFonts w:ascii="Arial" w:hAnsi="Arial" w:cs="Arial"/>
                <w:sz w:val="20"/>
                <w:szCs w:val="20"/>
              </w:rPr>
              <w:t>±0.00</w:t>
            </w:r>
          </w:p>
        </w:tc>
        <w:tc>
          <w:tcPr>
            <w:tcW w:w="3238" w:type="dxa"/>
            <w:tcBorders>
              <w:top w:val="nil"/>
              <w:bottom w:val="nil"/>
            </w:tcBorders>
          </w:tcPr>
          <w:p w14:paraId="01A079B2" w14:textId="6A8FB505" w:rsidR="00D80646" w:rsidRPr="00D80646" w:rsidRDefault="00D80646" w:rsidP="00D80646">
            <w:pPr>
              <w:jc w:val="both"/>
              <w:rPr>
                <w:rFonts w:ascii="Arial" w:hAnsi="Arial" w:cs="Arial"/>
                <w:sz w:val="20"/>
                <w:szCs w:val="20"/>
              </w:rPr>
            </w:pPr>
            <w:r w:rsidRPr="00D80646">
              <w:rPr>
                <w:rFonts w:ascii="Arial" w:hAnsi="Arial" w:cs="Arial"/>
                <w:sz w:val="20"/>
                <w:szCs w:val="20"/>
              </w:rPr>
              <w:t>0.35</w:t>
            </w:r>
            <w:r w:rsidRPr="00D80646">
              <w:rPr>
                <w:rFonts w:ascii="Arial" w:hAnsi="Arial" w:cs="Arial"/>
                <w:sz w:val="20"/>
                <w:szCs w:val="20"/>
                <w:vertAlign w:val="superscript"/>
              </w:rPr>
              <w:t>e</w:t>
            </w:r>
            <w:r w:rsidRPr="00D80646">
              <w:rPr>
                <w:rFonts w:ascii="Arial" w:hAnsi="Arial" w:cs="Arial"/>
                <w:sz w:val="20"/>
                <w:szCs w:val="20"/>
              </w:rPr>
              <w:t>±0.01</w:t>
            </w:r>
          </w:p>
        </w:tc>
      </w:tr>
      <w:tr w:rsidR="00D80646" w14:paraId="4A1E668F" w14:textId="77777777" w:rsidTr="00D80646">
        <w:tc>
          <w:tcPr>
            <w:tcW w:w="3237" w:type="dxa"/>
            <w:tcBorders>
              <w:top w:val="nil"/>
            </w:tcBorders>
          </w:tcPr>
          <w:p w14:paraId="444034A1" w14:textId="26207149" w:rsidR="00D80646" w:rsidRPr="00D80646" w:rsidRDefault="00D80646" w:rsidP="00D80646">
            <w:pPr>
              <w:jc w:val="both"/>
              <w:rPr>
                <w:rFonts w:ascii="Arial" w:hAnsi="Arial" w:cs="Arial"/>
                <w:sz w:val="20"/>
                <w:szCs w:val="20"/>
              </w:rPr>
            </w:pPr>
            <w:r w:rsidRPr="00D80646">
              <w:rPr>
                <w:rFonts w:ascii="Arial" w:hAnsi="Arial" w:cs="Arial"/>
                <w:sz w:val="20"/>
                <w:szCs w:val="20"/>
              </w:rPr>
              <w:t>20:40:40</w:t>
            </w:r>
          </w:p>
        </w:tc>
        <w:tc>
          <w:tcPr>
            <w:tcW w:w="3237" w:type="dxa"/>
            <w:tcBorders>
              <w:top w:val="nil"/>
            </w:tcBorders>
          </w:tcPr>
          <w:p w14:paraId="6E2FDF99" w14:textId="45A6C9A6" w:rsidR="00D80646" w:rsidRPr="00D80646" w:rsidRDefault="00D80646" w:rsidP="00D80646">
            <w:pPr>
              <w:jc w:val="both"/>
              <w:rPr>
                <w:rFonts w:ascii="Arial" w:hAnsi="Arial" w:cs="Arial"/>
                <w:sz w:val="20"/>
                <w:szCs w:val="20"/>
              </w:rPr>
            </w:pPr>
            <w:r w:rsidRPr="00D80646">
              <w:rPr>
                <w:rFonts w:ascii="Arial" w:hAnsi="Arial" w:cs="Arial"/>
                <w:sz w:val="20"/>
                <w:szCs w:val="20"/>
              </w:rPr>
              <w:t>0.03</w:t>
            </w:r>
            <w:r w:rsidRPr="00D80646">
              <w:rPr>
                <w:rFonts w:ascii="Arial" w:hAnsi="Arial" w:cs="Arial"/>
                <w:sz w:val="20"/>
                <w:szCs w:val="20"/>
                <w:vertAlign w:val="superscript"/>
              </w:rPr>
              <w:t>f</w:t>
            </w:r>
            <w:r w:rsidRPr="00D80646">
              <w:rPr>
                <w:rFonts w:ascii="Arial" w:hAnsi="Arial" w:cs="Arial"/>
                <w:sz w:val="20"/>
                <w:szCs w:val="20"/>
              </w:rPr>
              <w:t>±0.00</w:t>
            </w:r>
          </w:p>
        </w:tc>
        <w:tc>
          <w:tcPr>
            <w:tcW w:w="3238" w:type="dxa"/>
            <w:tcBorders>
              <w:top w:val="nil"/>
            </w:tcBorders>
          </w:tcPr>
          <w:p w14:paraId="3DA1EBFD" w14:textId="2A92ADC3" w:rsidR="00D80646" w:rsidRPr="00D80646" w:rsidRDefault="00D80646" w:rsidP="00D80646">
            <w:pPr>
              <w:jc w:val="both"/>
              <w:rPr>
                <w:rFonts w:ascii="Arial" w:hAnsi="Arial" w:cs="Arial"/>
                <w:sz w:val="20"/>
                <w:szCs w:val="20"/>
              </w:rPr>
            </w:pPr>
            <w:r w:rsidRPr="00D80646">
              <w:rPr>
                <w:rFonts w:ascii="Arial" w:hAnsi="Arial" w:cs="Arial"/>
                <w:sz w:val="20"/>
                <w:szCs w:val="20"/>
              </w:rPr>
              <w:t>0.14</w:t>
            </w:r>
            <w:r w:rsidRPr="00D80646">
              <w:rPr>
                <w:rFonts w:ascii="Arial" w:hAnsi="Arial" w:cs="Arial"/>
                <w:sz w:val="20"/>
                <w:szCs w:val="20"/>
                <w:vertAlign w:val="superscript"/>
              </w:rPr>
              <w:t>e</w:t>
            </w:r>
            <w:r w:rsidRPr="00D80646">
              <w:rPr>
                <w:rFonts w:ascii="Arial" w:hAnsi="Arial" w:cs="Arial"/>
                <w:sz w:val="20"/>
                <w:szCs w:val="20"/>
              </w:rPr>
              <w:t>±0.00</w:t>
            </w:r>
          </w:p>
        </w:tc>
        <w:tc>
          <w:tcPr>
            <w:tcW w:w="3238" w:type="dxa"/>
            <w:tcBorders>
              <w:top w:val="nil"/>
            </w:tcBorders>
          </w:tcPr>
          <w:p w14:paraId="07E7290C" w14:textId="5820DE1E" w:rsidR="00D80646" w:rsidRPr="00D80646" w:rsidRDefault="00D80646" w:rsidP="00D80646">
            <w:pPr>
              <w:jc w:val="both"/>
              <w:rPr>
                <w:rFonts w:ascii="Arial" w:hAnsi="Arial" w:cs="Arial"/>
                <w:sz w:val="20"/>
                <w:szCs w:val="20"/>
              </w:rPr>
            </w:pPr>
            <w:r w:rsidRPr="00D80646">
              <w:rPr>
                <w:rFonts w:ascii="Arial" w:hAnsi="Arial" w:cs="Arial"/>
                <w:sz w:val="20"/>
                <w:szCs w:val="20"/>
              </w:rPr>
              <w:t>0.39</w:t>
            </w:r>
            <w:r w:rsidRPr="00D80646">
              <w:rPr>
                <w:rFonts w:ascii="Arial" w:hAnsi="Arial" w:cs="Arial"/>
                <w:sz w:val="20"/>
                <w:szCs w:val="20"/>
                <w:vertAlign w:val="superscript"/>
              </w:rPr>
              <w:t>f</w:t>
            </w:r>
            <w:r w:rsidRPr="00D80646">
              <w:rPr>
                <w:rFonts w:ascii="Arial" w:hAnsi="Arial" w:cs="Arial"/>
                <w:sz w:val="20"/>
                <w:szCs w:val="20"/>
              </w:rPr>
              <w:t>±0.01</w:t>
            </w:r>
          </w:p>
        </w:tc>
      </w:tr>
    </w:tbl>
    <w:p w14:paraId="1A6A94C5" w14:textId="77777777" w:rsidR="008D1A88" w:rsidRPr="008D1A88" w:rsidRDefault="008D1A88" w:rsidP="008D1A88">
      <w:pPr>
        <w:spacing w:after="0" w:line="240" w:lineRule="auto"/>
        <w:jc w:val="both"/>
        <w:rPr>
          <w:rFonts w:ascii="Arial" w:hAnsi="Arial" w:cs="Arial"/>
          <w:sz w:val="20"/>
          <w:szCs w:val="20"/>
        </w:rPr>
      </w:pPr>
      <w:r w:rsidRPr="008D1A88">
        <w:rPr>
          <w:rFonts w:ascii="Arial" w:hAnsi="Arial" w:cs="Arial"/>
          <w:sz w:val="20"/>
          <w:szCs w:val="20"/>
        </w:rPr>
        <w:t xml:space="preserve">Values are means + standard deviation of triplicate (3) </w:t>
      </w:r>
      <w:proofErr w:type="spellStart"/>
      <w:r w:rsidRPr="008D1A88">
        <w:rPr>
          <w:rFonts w:ascii="Arial" w:hAnsi="Arial" w:cs="Arial"/>
          <w:sz w:val="20"/>
          <w:szCs w:val="20"/>
        </w:rPr>
        <w:t>determinationMeans</w:t>
      </w:r>
      <w:proofErr w:type="spellEnd"/>
      <w:r w:rsidRPr="008D1A88">
        <w:rPr>
          <w:rFonts w:ascii="Arial" w:hAnsi="Arial" w:cs="Arial"/>
          <w:sz w:val="20"/>
          <w:szCs w:val="20"/>
        </w:rPr>
        <w:t xml:space="preserve"> within a column with the same superscript are not significantly different (p&gt;0.05) WF=Wheat flour, SF=Sorghum flour, BF= </w:t>
      </w:r>
      <w:r w:rsidRPr="008D1A88">
        <w:rPr>
          <w:rFonts w:ascii="Arial" w:hAnsi="Arial" w:cs="Arial"/>
          <w:i/>
          <w:iCs/>
          <w:sz w:val="20"/>
          <w:szCs w:val="20"/>
        </w:rPr>
        <w:t xml:space="preserve">Bombax </w:t>
      </w:r>
      <w:proofErr w:type="spellStart"/>
      <w:r w:rsidRPr="008D1A88">
        <w:rPr>
          <w:rFonts w:ascii="Arial" w:hAnsi="Arial" w:cs="Arial"/>
          <w:i/>
          <w:iCs/>
          <w:sz w:val="20"/>
          <w:szCs w:val="20"/>
        </w:rPr>
        <w:t>costatum</w:t>
      </w:r>
      <w:proofErr w:type="spellEnd"/>
      <w:r w:rsidRPr="008D1A88">
        <w:rPr>
          <w:rFonts w:ascii="Arial" w:hAnsi="Arial" w:cs="Arial"/>
          <w:i/>
          <w:iCs/>
          <w:sz w:val="20"/>
          <w:szCs w:val="20"/>
        </w:rPr>
        <w:t xml:space="preserve"> </w:t>
      </w:r>
      <w:proofErr w:type="gramStart"/>
      <w:r w:rsidRPr="008D1A88">
        <w:rPr>
          <w:rFonts w:ascii="Arial" w:hAnsi="Arial" w:cs="Arial"/>
          <w:i/>
          <w:iCs/>
          <w:sz w:val="20"/>
          <w:szCs w:val="20"/>
        </w:rPr>
        <w:t>calyces</w:t>
      </w:r>
      <w:proofErr w:type="gramEnd"/>
      <w:r w:rsidRPr="008D1A88">
        <w:rPr>
          <w:rFonts w:ascii="Arial" w:hAnsi="Arial" w:cs="Arial"/>
          <w:i/>
          <w:iCs/>
          <w:sz w:val="20"/>
          <w:szCs w:val="20"/>
        </w:rPr>
        <w:t xml:space="preserve"> </w:t>
      </w:r>
      <w:r w:rsidRPr="008D1A88">
        <w:rPr>
          <w:rFonts w:ascii="Arial" w:hAnsi="Arial" w:cs="Arial"/>
          <w:sz w:val="20"/>
          <w:szCs w:val="20"/>
        </w:rPr>
        <w:t>flour</w:t>
      </w:r>
    </w:p>
    <w:p w14:paraId="05DA043D" w14:textId="77777777" w:rsidR="008D1A88" w:rsidRPr="008D1A88" w:rsidRDefault="008D1A88" w:rsidP="008D1A88">
      <w:pPr>
        <w:spacing w:after="0" w:line="240" w:lineRule="auto"/>
        <w:jc w:val="both"/>
        <w:rPr>
          <w:rFonts w:ascii="Arial" w:hAnsi="Arial" w:cs="Arial"/>
          <w:sz w:val="20"/>
          <w:szCs w:val="20"/>
        </w:rPr>
      </w:pPr>
    </w:p>
    <w:p w14:paraId="2D0A03DF" w14:textId="77777777" w:rsidR="00D80646" w:rsidRDefault="00D80646" w:rsidP="00836009">
      <w:pPr>
        <w:spacing w:after="0" w:line="240" w:lineRule="auto"/>
        <w:jc w:val="both"/>
        <w:rPr>
          <w:rFonts w:ascii="Times New Roman" w:hAnsi="Times New Roman" w:cs="Times New Roman"/>
          <w:sz w:val="22"/>
          <w:szCs w:val="22"/>
        </w:rPr>
      </w:pPr>
    </w:p>
    <w:p w14:paraId="050E1411" w14:textId="77777777" w:rsidR="00836009" w:rsidRDefault="00836009" w:rsidP="00836009">
      <w:pPr>
        <w:spacing w:after="0" w:line="240" w:lineRule="auto"/>
        <w:jc w:val="both"/>
        <w:rPr>
          <w:rFonts w:ascii="Times New Roman" w:hAnsi="Times New Roman" w:cs="Times New Roman"/>
          <w:sz w:val="22"/>
          <w:szCs w:val="22"/>
        </w:rPr>
      </w:pPr>
    </w:p>
    <w:p w14:paraId="7EA44F43" w14:textId="77777777" w:rsidR="00836009" w:rsidRDefault="00836009" w:rsidP="00836009">
      <w:pPr>
        <w:spacing w:after="0" w:line="240" w:lineRule="auto"/>
        <w:jc w:val="both"/>
        <w:rPr>
          <w:rFonts w:ascii="Times New Roman" w:hAnsi="Times New Roman" w:cs="Times New Roman"/>
          <w:sz w:val="22"/>
          <w:szCs w:val="22"/>
        </w:rPr>
      </w:pPr>
    </w:p>
    <w:p w14:paraId="2D89F7B1" w14:textId="77777777" w:rsidR="0006358C" w:rsidRDefault="0006358C" w:rsidP="006D66F1">
      <w:pPr>
        <w:spacing w:before="240" w:after="0" w:line="480" w:lineRule="auto"/>
        <w:jc w:val="both"/>
        <w:rPr>
          <w:rFonts w:ascii="Times New Roman" w:hAnsi="Times New Roman" w:cs="Times New Roman"/>
        </w:rPr>
        <w:sectPr w:rsidR="0006358C" w:rsidSect="0006358C">
          <w:pgSz w:w="15840" w:h="12240" w:orient="landscape"/>
          <w:pgMar w:top="1440" w:right="1440" w:bottom="1440" w:left="1440" w:header="720" w:footer="720" w:gutter="0"/>
          <w:cols w:space="720"/>
          <w:docGrid w:linePitch="360"/>
        </w:sectPr>
      </w:pPr>
    </w:p>
    <w:p w14:paraId="62B5EE79" w14:textId="39B6B2F4" w:rsidR="008D1A88" w:rsidRPr="008D1A88" w:rsidRDefault="008D1A88" w:rsidP="008D1A88">
      <w:pPr>
        <w:pStyle w:val="Heading3"/>
        <w:rPr>
          <w:rFonts w:ascii="Times New Roman" w:hAnsi="Times New Roman" w:cs="Times New Roman"/>
          <w:color w:val="auto"/>
          <w:sz w:val="24"/>
          <w:szCs w:val="24"/>
        </w:rPr>
      </w:pPr>
      <w:bookmarkStart w:id="33" w:name="_Toc220922703"/>
      <w:r w:rsidRPr="008D1A88">
        <w:rPr>
          <w:rFonts w:ascii="Times New Roman" w:hAnsi="Times New Roman" w:cs="Times New Roman"/>
          <w:color w:val="auto"/>
          <w:sz w:val="24"/>
          <w:szCs w:val="24"/>
        </w:rPr>
        <w:lastRenderedPageBreak/>
        <w:t xml:space="preserve">Table </w:t>
      </w:r>
      <w:r w:rsidR="00B74C20">
        <w:rPr>
          <w:rFonts w:ascii="Times New Roman" w:hAnsi="Times New Roman" w:cs="Times New Roman"/>
          <w:color w:val="auto"/>
          <w:sz w:val="24"/>
          <w:szCs w:val="24"/>
        </w:rPr>
        <w:t>5</w:t>
      </w:r>
      <w:r w:rsidRPr="008D1A88">
        <w:rPr>
          <w:rFonts w:ascii="Times New Roman" w:hAnsi="Times New Roman" w:cs="Times New Roman"/>
          <w:color w:val="auto"/>
          <w:sz w:val="24"/>
          <w:szCs w:val="24"/>
        </w:rPr>
        <w:t>: Antinutrients composition (mg/100g) of wheat-sorghum-</w:t>
      </w:r>
      <w:r w:rsidRPr="008D1A88">
        <w:rPr>
          <w:rFonts w:ascii="Times New Roman" w:hAnsi="Times New Roman" w:cs="Times New Roman"/>
          <w:i/>
          <w:iCs/>
          <w:color w:val="auto"/>
          <w:sz w:val="24"/>
          <w:szCs w:val="24"/>
        </w:rPr>
        <w:t xml:space="preserve">Bombax </w:t>
      </w:r>
      <w:proofErr w:type="spellStart"/>
      <w:r w:rsidRPr="008D1A88">
        <w:rPr>
          <w:rFonts w:ascii="Times New Roman" w:hAnsi="Times New Roman" w:cs="Times New Roman"/>
          <w:i/>
          <w:iCs/>
          <w:color w:val="auto"/>
          <w:sz w:val="24"/>
          <w:szCs w:val="24"/>
        </w:rPr>
        <w:t>costatum</w:t>
      </w:r>
      <w:proofErr w:type="spellEnd"/>
      <w:r w:rsidRPr="008D1A88">
        <w:rPr>
          <w:rFonts w:ascii="Times New Roman" w:hAnsi="Times New Roman" w:cs="Times New Roman"/>
          <w:i/>
          <w:iCs/>
          <w:color w:val="auto"/>
          <w:sz w:val="24"/>
          <w:szCs w:val="24"/>
        </w:rPr>
        <w:t xml:space="preserve"> </w:t>
      </w:r>
      <w:r w:rsidRPr="008D1A88">
        <w:rPr>
          <w:rFonts w:ascii="Times New Roman" w:hAnsi="Times New Roman" w:cs="Times New Roman"/>
          <w:color w:val="auto"/>
          <w:sz w:val="24"/>
          <w:szCs w:val="24"/>
        </w:rPr>
        <w:t>spaghetti</w:t>
      </w:r>
      <w:bookmarkEnd w:id="33"/>
      <w:r w:rsidRPr="008D1A88">
        <w:rPr>
          <w:rFonts w:ascii="Times New Roman" w:hAnsi="Times New Roman" w:cs="Times New Roman"/>
          <w:color w:val="auto"/>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8D1A88" w14:paraId="059948B1" w14:textId="77777777" w:rsidTr="00BC7498">
        <w:tc>
          <w:tcPr>
            <w:tcW w:w="2337" w:type="dxa"/>
            <w:tcBorders>
              <w:bottom w:val="single" w:sz="4" w:space="0" w:color="auto"/>
            </w:tcBorders>
          </w:tcPr>
          <w:p w14:paraId="76E6278E" w14:textId="0D9E8996" w:rsidR="008D1A88" w:rsidRDefault="008D1A88" w:rsidP="008D1A88">
            <w:proofErr w:type="gramStart"/>
            <w:r w:rsidRPr="000D5729">
              <w:rPr>
                <w:rFonts w:ascii="Times New Roman" w:hAnsi="Times New Roman" w:cs="Times New Roman"/>
              </w:rPr>
              <w:t>WF:SF</w:t>
            </w:r>
            <w:proofErr w:type="gramEnd"/>
            <w:r w:rsidRPr="000D5729">
              <w:rPr>
                <w:rFonts w:ascii="Times New Roman" w:hAnsi="Times New Roman" w:cs="Times New Roman"/>
              </w:rPr>
              <w:t>:BF</w:t>
            </w:r>
          </w:p>
        </w:tc>
        <w:tc>
          <w:tcPr>
            <w:tcW w:w="2337" w:type="dxa"/>
            <w:tcBorders>
              <w:bottom w:val="single" w:sz="4" w:space="0" w:color="auto"/>
            </w:tcBorders>
          </w:tcPr>
          <w:p w14:paraId="76885736" w14:textId="1610F405" w:rsidR="008D1A88" w:rsidRDefault="008D1A88" w:rsidP="008D1A88">
            <w:r w:rsidRPr="000D5729">
              <w:rPr>
                <w:rFonts w:ascii="Times New Roman" w:hAnsi="Times New Roman" w:cs="Times New Roman"/>
              </w:rPr>
              <w:t>Oxalate</w:t>
            </w:r>
          </w:p>
        </w:tc>
        <w:tc>
          <w:tcPr>
            <w:tcW w:w="2338" w:type="dxa"/>
            <w:tcBorders>
              <w:bottom w:val="single" w:sz="4" w:space="0" w:color="auto"/>
            </w:tcBorders>
          </w:tcPr>
          <w:p w14:paraId="6786B0B8" w14:textId="236E23F5" w:rsidR="008D1A88" w:rsidRDefault="008D1A88" w:rsidP="008D1A88">
            <w:r w:rsidRPr="000D5729">
              <w:rPr>
                <w:rFonts w:ascii="Times New Roman" w:hAnsi="Times New Roman" w:cs="Times New Roman"/>
              </w:rPr>
              <w:t>Phytate</w:t>
            </w:r>
          </w:p>
        </w:tc>
        <w:tc>
          <w:tcPr>
            <w:tcW w:w="2338" w:type="dxa"/>
            <w:tcBorders>
              <w:bottom w:val="single" w:sz="4" w:space="0" w:color="auto"/>
            </w:tcBorders>
          </w:tcPr>
          <w:p w14:paraId="353677A8" w14:textId="53663410" w:rsidR="008D1A88" w:rsidRDefault="008D1A88" w:rsidP="008D1A88">
            <w:r w:rsidRPr="000D5729">
              <w:rPr>
                <w:rFonts w:ascii="Times New Roman" w:hAnsi="Times New Roman" w:cs="Times New Roman"/>
              </w:rPr>
              <w:t xml:space="preserve">Trypsin </w:t>
            </w:r>
            <w:proofErr w:type="spellStart"/>
            <w:r w:rsidRPr="000D5729">
              <w:rPr>
                <w:rFonts w:ascii="Times New Roman" w:hAnsi="Times New Roman" w:cs="Times New Roman"/>
              </w:rPr>
              <w:t>inhib</w:t>
            </w:r>
            <w:proofErr w:type="spellEnd"/>
          </w:p>
        </w:tc>
      </w:tr>
      <w:tr w:rsidR="008D1A88" w14:paraId="39897CF1" w14:textId="77777777" w:rsidTr="00BC7498">
        <w:tc>
          <w:tcPr>
            <w:tcW w:w="2337" w:type="dxa"/>
            <w:tcBorders>
              <w:bottom w:val="nil"/>
            </w:tcBorders>
          </w:tcPr>
          <w:p w14:paraId="64866DEA" w14:textId="12E81D49" w:rsidR="008D1A88" w:rsidRDefault="008D1A88" w:rsidP="008D1A88">
            <w:r w:rsidRPr="000D5729">
              <w:rPr>
                <w:rFonts w:ascii="Times New Roman" w:hAnsi="Times New Roman" w:cs="Times New Roman"/>
              </w:rPr>
              <w:t>100:0:0</w:t>
            </w:r>
          </w:p>
        </w:tc>
        <w:tc>
          <w:tcPr>
            <w:tcW w:w="2337" w:type="dxa"/>
            <w:tcBorders>
              <w:bottom w:val="nil"/>
            </w:tcBorders>
          </w:tcPr>
          <w:p w14:paraId="14338C04" w14:textId="302609A3"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b</w:t>
            </w:r>
            <w:r w:rsidRPr="000D5729">
              <w:rPr>
                <w:rFonts w:ascii="Times New Roman" w:hAnsi="Times New Roman" w:cs="Times New Roman"/>
              </w:rPr>
              <w:t>±0.0000</w:t>
            </w:r>
          </w:p>
        </w:tc>
        <w:tc>
          <w:tcPr>
            <w:tcW w:w="2338" w:type="dxa"/>
            <w:tcBorders>
              <w:bottom w:val="nil"/>
            </w:tcBorders>
          </w:tcPr>
          <w:p w14:paraId="188F3F69" w14:textId="3F72C5C6" w:rsidR="008D1A88" w:rsidRDefault="008D1A88" w:rsidP="008D1A88">
            <w:r w:rsidRPr="000D5729">
              <w:rPr>
                <w:rFonts w:ascii="Times New Roman" w:hAnsi="Times New Roman" w:cs="Times New Roman"/>
              </w:rPr>
              <w:t>0.0</w:t>
            </w:r>
            <w:r>
              <w:rPr>
                <w:rFonts w:ascii="Times New Roman" w:hAnsi="Times New Roman" w:cs="Times New Roman"/>
              </w:rPr>
              <w:t>3</w:t>
            </w:r>
            <w:r w:rsidRPr="000D5729">
              <w:rPr>
                <w:rFonts w:ascii="Times New Roman" w:hAnsi="Times New Roman" w:cs="Times New Roman"/>
                <w:vertAlign w:val="superscript"/>
              </w:rPr>
              <w:t>b</w:t>
            </w:r>
            <w:r w:rsidRPr="000D5729">
              <w:rPr>
                <w:rFonts w:ascii="Times New Roman" w:hAnsi="Times New Roman" w:cs="Times New Roman"/>
              </w:rPr>
              <w:t>±0.0014</w:t>
            </w:r>
          </w:p>
        </w:tc>
        <w:tc>
          <w:tcPr>
            <w:tcW w:w="2338" w:type="dxa"/>
            <w:tcBorders>
              <w:bottom w:val="nil"/>
            </w:tcBorders>
          </w:tcPr>
          <w:p w14:paraId="4A805D56" w14:textId="65FEBCA9"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vertAlign w:val="superscript"/>
              </w:rPr>
              <w:t>c</w:t>
            </w:r>
            <w:r w:rsidRPr="000D5729">
              <w:rPr>
                <w:rFonts w:ascii="Times New Roman" w:hAnsi="Times New Roman" w:cs="Times New Roman"/>
              </w:rPr>
              <w:t>±0.0000</w:t>
            </w:r>
          </w:p>
        </w:tc>
      </w:tr>
      <w:tr w:rsidR="008D1A88" w14:paraId="16B45F9B" w14:textId="77777777" w:rsidTr="00BC7498">
        <w:tc>
          <w:tcPr>
            <w:tcW w:w="2337" w:type="dxa"/>
            <w:tcBorders>
              <w:top w:val="nil"/>
              <w:bottom w:val="nil"/>
            </w:tcBorders>
          </w:tcPr>
          <w:p w14:paraId="6A8AF514" w14:textId="332A18AD" w:rsidR="008D1A88" w:rsidRDefault="008D1A88" w:rsidP="008D1A88">
            <w:r w:rsidRPr="000D5729">
              <w:rPr>
                <w:rFonts w:ascii="Times New Roman" w:hAnsi="Times New Roman" w:cs="Times New Roman"/>
              </w:rPr>
              <w:t>20:80:0</w:t>
            </w:r>
          </w:p>
        </w:tc>
        <w:tc>
          <w:tcPr>
            <w:tcW w:w="2337" w:type="dxa"/>
            <w:tcBorders>
              <w:top w:val="nil"/>
              <w:bottom w:val="nil"/>
            </w:tcBorders>
          </w:tcPr>
          <w:p w14:paraId="6FE8DDB3" w14:textId="108C3328"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d</w:t>
            </w:r>
            <w:r w:rsidRPr="000D5729">
              <w:rPr>
                <w:rFonts w:ascii="Times New Roman" w:hAnsi="Times New Roman" w:cs="Times New Roman"/>
              </w:rPr>
              <w:t>±0.0002</w:t>
            </w:r>
          </w:p>
        </w:tc>
        <w:tc>
          <w:tcPr>
            <w:tcW w:w="2338" w:type="dxa"/>
            <w:tcBorders>
              <w:top w:val="nil"/>
              <w:bottom w:val="nil"/>
            </w:tcBorders>
          </w:tcPr>
          <w:p w14:paraId="538E0946" w14:textId="4479C79F"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f</w:t>
            </w:r>
            <w:r w:rsidRPr="000D5729">
              <w:rPr>
                <w:rFonts w:ascii="Times New Roman" w:hAnsi="Times New Roman" w:cs="Times New Roman"/>
              </w:rPr>
              <w:t>±0.0118</w:t>
            </w:r>
          </w:p>
        </w:tc>
        <w:tc>
          <w:tcPr>
            <w:tcW w:w="2338" w:type="dxa"/>
            <w:tcBorders>
              <w:top w:val="nil"/>
              <w:bottom w:val="nil"/>
            </w:tcBorders>
          </w:tcPr>
          <w:p w14:paraId="0B0695FA" w14:textId="11F750D1"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b</w:t>
            </w:r>
            <w:r w:rsidRPr="000D5729">
              <w:rPr>
                <w:rFonts w:ascii="Times New Roman" w:hAnsi="Times New Roman" w:cs="Times New Roman"/>
              </w:rPr>
              <w:t>±0.0043</w:t>
            </w:r>
          </w:p>
        </w:tc>
      </w:tr>
      <w:tr w:rsidR="008D1A88" w14:paraId="677A4E02" w14:textId="77777777" w:rsidTr="00BC7498">
        <w:tc>
          <w:tcPr>
            <w:tcW w:w="2337" w:type="dxa"/>
            <w:tcBorders>
              <w:top w:val="nil"/>
              <w:bottom w:val="nil"/>
            </w:tcBorders>
          </w:tcPr>
          <w:p w14:paraId="20C4713C" w14:textId="3754CBA3" w:rsidR="008D1A88" w:rsidRDefault="008D1A88" w:rsidP="008D1A88">
            <w:r w:rsidRPr="000D5729">
              <w:rPr>
                <w:rFonts w:ascii="Times New Roman" w:hAnsi="Times New Roman" w:cs="Times New Roman"/>
              </w:rPr>
              <w:t>20:70:10</w:t>
            </w:r>
          </w:p>
        </w:tc>
        <w:tc>
          <w:tcPr>
            <w:tcW w:w="2337" w:type="dxa"/>
            <w:tcBorders>
              <w:top w:val="nil"/>
              <w:bottom w:val="nil"/>
            </w:tcBorders>
          </w:tcPr>
          <w:p w14:paraId="2B38DFEB" w14:textId="1E24A396"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d</w:t>
            </w:r>
            <w:r w:rsidRPr="000D5729">
              <w:rPr>
                <w:rFonts w:ascii="Times New Roman" w:hAnsi="Times New Roman" w:cs="Times New Roman"/>
              </w:rPr>
              <w:t>±0.0001</w:t>
            </w:r>
          </w:p>
        </w:tc>
        <w:tc>
          <w:tcPr>
            <w:tcW w:w="2338" w:type="dxa"/>
            <w:tcBorders>
              <w:top w:val="nil"/>
              <w:bottom w:val="nil"/>
            </w:tcBorders>
          </w:tcPr>
          <w:p w14:paraId="3FF2FB09" w14:textId="19C42DF3"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e</w:t>
            </w:r>
            <w:r w:rsidRPr="000D5729">
              <w:rPr>
                <w:rFonts w:ascii="Times New Roman" w:hAnsi="Times New Roman" w:cs="Times New Roman"/>
              </w:rPr>
              <w:t>±0.0074</w:t>
            </w:r>
          </w:p>
        </w:tc>
        <w:tc>
          <w:tcPr>
            <w:tcW w:w="2338" w:type="dxa"/>
            <w:tcBorders>
              <w:top w:val="nil"/>
              <w:bottom w:val="nil"/>
            </w:tcBorders>
          </w:tcPr>
          <w:p w14:paraId="679558BE" w14:textId="38BFFE3F" w:rsidR="008D1A88" w:rsidRDefault="008D1A88" w:rsidP="008D1A88">
            <w:r w:rsidRPr="000D5729">
              <w:rPr>
                <w:rFonts w:ascii="Times New Roman" w:hAnsi="Times New Roman" w:cs="Times New Roman"/>
              </w:rPr>
              <w:t>0.0</w:t>
            </w:r>
            <w:r>
              <w:rPr>
                <w:rFonts w:ascii="Times New Roman" w:hAnsi="Times New Roman" w:cs="Times New Roman"/>
              </w:rPr>
              <w:t>2</w:t>
            </w:r>
            <w:r w:rsidRPr="000D5729">
              <w:rPr>
                <w:rFonts w:ascii="Times New Roman" w:hAnsi="Times New Roman" w:cs="Times New Roman"/>
                <w:vertAlign w:val="superscript"/>
              </w:rPr>
              <w:t>f</w:t>
            </w:r>
            <w:r w:rsidRPr="000D5729">
              <w:rPr>
                <w:rFonts w:ascii="Times New Roman" w:hAnsi="Times New Roman" w:cs="Times New Roman"/>
              </w:rPr>
              <w:t>±0.0002</w:t>
            </w:r>
          </w:p>
        </w:tc>
      </w:tr>
      <w:tr w:rsidR="008D1A88" w14:paraId="588A89AC" w14:textId="77777777" w:rsidTr="00BC7498">
        <w:tc>
          <w:tcPr>
            <w:tcW w:w="2337" w:type="dxa"/>
            <w:tcBorders>
              <w:top w:val="nil"/>
              <w:bottom w:val="nil"/>
            </w:tcBorders>
          </w:tcPr>
          <w:p w14:paraId="5A0F8C86" w14:textId="78FD5BC0" w:rsidR="008D1A88" w:rsidRDefault="008D1A88" w:rsidP="008D1A88">
            <w:r w:rsidRPr="000D5729">
              <w:rPr>
                <w:rFonts w:ascii="Times New Roman" w:hAnsi="Times New Roman" w:cs="Times New Roman"/>
              </w:rPr>
              <w:t>20:60:20</w:t>
            </w:r>
          </w:p>
        </w:tc>
        <w:tc>
          <w:tcPr>
            <w:tcW w:w="2337" w:type="dxa"/>
            <w:tcBorders>
              <w:top w:val="nil"/>
              <w:bottom w:val="nil"/>
            </w:tcBorders>
          </w:tcPr>
          <w:p w14:paraId="218EDCCE" w14:textId="3134733A"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c</w:t>
            </w:r>
            <w:r w:rsidRPr="000D5729">
              <w:rPr>
                <w:rFonts w:ascii="Times New Roman" w:hAnsi="Times New Roman" w:cs="Times New Roman"/>
              </w:rPr>
              <w:t>±0.0000</w:t>
            </w:r>
          </w:p>
        </w:tc>
        <w:tc>
          <w:tcPr>
            <w:tcW w:w="2338" w:type="dxa"/>
            <w:tcBorders>
              <w:top w:val="nil"/>
              <w:bottom w:val="nil"/>
            </w:tcBorders>
          </w:tcPr>
          <w:p w14:paraId="00B98270" w14:textId="3DE4231F"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d</w:t>
            </w:r>
            <w:r w:rsidRPr="000D5729">
              <w:rPr>
                <w:rFonts w:ascii="Times New Roman" w:hAnsi="Times New Roman" w:cs="Times New Roman"/>
              </w:rPr>
              <w:t>±0.0007</w:t>
            </w:r>
          </w:p>
        </w:tc>
        <w:tc>
          <w:tcPr>
            <w:tcW w:w="2338" w:type="dxa"/>
            <w:tcBorders>
              <w:top w:val="nil"/>
              <w:bottom w:val="nil"/>
            </w:tcBorders>
          </w:tcPr>
          <w:p w14:paraId="67CDAD9F" w14:textId="624E17DB"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vertAlign w:val="superscript"/>
              </w:rPr>
              <w:t>e</w:t>
            </w:r>
            <w:r w:rsidRPr="000D5729">
              <w:rPr>
                <w:rFonts w:ascii="Times New Roman" w:hAnsi="Times New Roman" w:cs="Times New Roman"/>
              </w:rPr>
              <w:t>±0.0002</w:t>
            </w:r>
          </w:p>
        </w:tc>
      </w:tr>
      <w:tr w:rsidR="008D1A88" w14:paraId="35A11832" w14:textId="77777777" w:rsidTr="00BC7498">
        <w:tc>
          <w:tcPr>
            <w:tcW w:w="2337" w:type="dxa"/>
            <w:tcBorders>
              <w:top w:val="nil"/>
              <w:bottom w:val="nil"/>
            </w:tcBorders>
          </w:tcPr>
          <w:p w14:paraId="55D079C7" w14:textId="36724766" w:rsidR="008D1A88" w:rsidRDefault="008D1A88" w:rsidP="008D1A88">
            <w:r w:rsidRPr="000D5729">
              <w:rPr>
                <w:rFonts w:ascii="Times New Roman" w:hAnsi="Times New Roman" w:cs="Times New Roman"/>
              </w:rPr>
              <w:t>20:50:30</w:t>
            </w:r>
          </w:p>
        </w:tc>
        <w:tc>
          <w:tcPr>
            <w:tcW w:w="2337" w:type="dxa"/>
            <w:tcBorders>
              <w:top w:val="nil"/>
              <w:bottom w:val="nil"/>
            </w:tcBorders>
          </w:tcPr>
          <w:p w14:paraId="39DCAF85" w14:textId="7DD6A2BB" w:rsidR="008D1A88" w:rsidRDefault="008D1A88" w:rsidP="008D1A88">
            <w:r w:rsidRPr="000D5729">
              <w:rPr>
                <w:rFonts w:ascii="Times New Roman" w:hAnsi="Times New Roman" w:cs="Times New Roman"/>
              </w:rPr>
              <w:t>0.0</w:t>
            </w:r>
            <w:r>
              <w:rPr>
                <w:rFonts w:ascii="Times New Roman" w:hAnsi="Times New Roman" w:cs="Times New Roman"/>
              </w:rPr>
              <w:t>6</w:t>
            </w:r>
            <w:r w:rsidRPr="000D5729">
              <w:rPr>
                <w:rFonts w:ascii="Times New Roman" w:hAnsi="Times New Roman" w:cs="Times New Roman"/>
                <w:vertAlign w:val="superscript"/>
              </w:rPr>
              <w:t>b</w:t>
            </w:r>
            <w:r w:rsidRPr="000D5729">
              <w:rPr>
                <w:rFonts w:ascii="Times New Roman" w:hAnsi="Times New Roman" w:cs="Times New Roman"/>
              </w:rPr>
              <w:t>±0.0007</w:t>
            </w:r>
          </w:p>
        </w:tc>
        <w:tc>
          <w:tcPr>
            <w:tcW w:w="2338" w:type="dxa"/>
            <w:tcBorders>
              <w:top w:val="nil"/>
              <w:bottom w:val="nil"/>
            </w:tcBorders>
          </w:tcPr>
          <w:p w14:paraId="62464E31" w14:textId="6A93D84C" w:rsidR="008D1A88" w:rsidRDefault="008D1A88" w:rsidP="008D1A88">
            <w:r w:rsidRPr="000D5729">
              <w:rPr>
                <w:rFonts w:ascii="Times New Roman" w:hAnsi="Times New Roman" w:cs="Times New Roman"/>
              </w:rPr>
              <w:t>0.0</w:t>
            </w:r>
            <w:r>
              <w:rPr>
                <w:rFonts w:ascii="Times New Roman" w:hAnsi="Times New Roman" w:cs="Times New Roman"/>
              </w:rPr>
              <w:t>4</w:t>
            </w:r>
            <w:r w:rsidRPr="000D5729">
              <w:rPr>
                <w:rFonts w:ascii="Times New Roman" w:hAnsi="Times New Roman" w:cs="Times New Roman"/>
                <w:vertAlign w:val="superscript"/>
              </w:rPr>
              <w:t>c</w:t>
            </w:r>
            <w:r w:rsidRPr="000D5729">
              <w:rPr>
                <w:rFonts w:ascii="Times New Roman" w:hAnsi="Times New Roman" w:cs="Times New Roman"/>
              </w:rPr>
              <w:t>±0.0014</w:t>
            </w:r>
          </w:p>
        </w:tc>
        <w:tc>
          <w:tcPr>
            <w:tcW w:w="2338" w:type="dxa"/>
            <w:tcBorders>
              <w:top w:val="nil"/>
              <w:bottom w:val="nil"/>
            </w:tcBorders>
          </w:tcPr>
          <w:p w14:paraId="3E329594" w14:textId="6254ADBB"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vertAlign w:val="superscript"/>
              </w:rPr>
              <w:t>d</w:t>
            </w:r>
            <w:r w:rsidRPr="000D5729">
              <w:rPr>
                <w:rFonts w:ascii="Times New Roman" w:hAnsi="Times New Roman" w:cs="Times New Roman"/>
              </w:rPr>
              <w:t>±0.0002</w:t>
            </w:r>
          </w:p>
        </w:tc>
      </w:tr>
      <w:tr w:rsidR="008D1A88" w14:paraId="7E4E3ABE" w14:textId="77777777" w:rsidTr="00BC7498">
        <w:tc>
          <w:tcPr>
            <w:tcW w:w="2337" w:type="dxa"/>
            <w:tcBorders>
              <w:top w:val="nil"/>
            </w:tcBorders>
          </w:tcPr>
          <w:p w14:paraId="7A8519F2" w14:textId="5C3E740A" w:rsidR="008D1A88" w:rsidRDefault="008D1A88" w:rsidP="008D1A88">
            <w:r w:rsidRPr="000D5729">
              <w:rPr>
                <w:rFonts w:ascii="Times New Roman" w:hAnsi="Times New Roman" w:cs="Times New Roman"/>
              </w:rPr>
              <w:t>20:40:40</w:t>
            </w:r>
          </w:p>
        </w:tc>
        <w:tc>
          <w:tcPr>
            <w:tcW w:w="2337" w:type="dxa"/>
            <w:tcBorders>
              <w:top w:val="nil"/>
            </w:tcBorders>
          </w:tcPr>
          <w:p w14:paraId="5F415020" w14:textId="7A91E477" w:rsidR="008D1A88" w:rsidRDefault="008D1A88" w:rsidP="008D1A88">
            <w:r w:rsidRPr="000D5729">
              <w:rPr>
                <w:rFonts w:ascii="Times New Roman" w:hAnsi="Times New Roman" w:cs="Times New Roman"/>
              </w:rPr>
              <w:t>0.0</w:t>
            </w:r>
            <w:r>
              <w:rPr>
                <w:rFonts w:ascii="Times New Roman" w:hAnsi="Times New Roman" w:cs="Times New Roman"/>
              </w:rPr>
              <w:t>3</w:t>
            </w:r>
            <w:r w:rsidRPr="000D5729">
              <w:rPr>
                <w:rFonts w:ascii="Times New Roman" w:hAnsi="Times New Roman" w:cs="Times New Roman"/>
                <w:vertAlign w:val="superscript"/>
              </w:rPr>
              <w:t>a</w:t>
            </w:r>
            <w:r w:rsidRPr="000D5729">
              <w:rPr>
                <w:rFonts w:ascii="Times New Roman" w:hAnsi="Times New Roman" w:cs="Times New Roman"/>
              </w:rPr>
              <w:t>±0.0000</w:t>
            </w:r>
          </w:p>
        </w:tc>
        <w:tc>
          <w:tcPr>
            <w:tcW w:w="2338" w:type="dxa"/>
            <w:tcBorders>
              <w:top w:val="nil"/>
            </w:tcBorders>
          </w:tcPr>
          <w:p w14:paraId="67ABB52A" w14:textId="2F5B5B15" w:rsidR="008D1A88" w:rsidRDefault="008D1A88" w:rsidP="008D1A88">
            <w:r w:rsidRPr="000D5729">
              <w:rPr>
                <w:rFonts w:ascii="Times New Roman" w:hAnsi="Times New Roman" w:cs="Times New Roman"/>
              </w:rPr>
              <w:t>0.0</w:t>
            </w:r>
            <w:r>
              <w:rPr>
                <w:rFonts w:ascii="Times New Roman" w:hAnsi="Times New Roman" w:cs="Times New Roman"/>
              </w:rPr>
              <w:t>1</w:t>
            </w:r>
            <w:r w:rsidRPr="000D5729">
              <w:rPr>
                <w:rFonts w:ascii="Times New Roman" w:hAnsi="Times New Roman" w:cs="Times New Roman"/>
              </w:rPr>
              <w:t>±0.0000</w:t>
            </w:r>
          </w:p>
        </w:tc>
        <w:tc>
          <w:tcPr>
            <w:tcW w:w="2338" w:type="dxa"/>
            <w:tcBorders>
              <w:top w:val="nil"/>
            </w:tcBorders>
          </w:tcPr>
          <w:p w14:paraId="4151E86B" w14:textId="54BB1C8E" w:rsidR="008D1A88" w:rsidRDefault="008D1A88" w:rsidP="008D1A88">
            <w:r w:rsidRPr="000D5729">
              <w:rPr>
                <w:rFonts w:ascii="Times New Roman" w:hAnsi="Times New Roman" w:cs="Times New Roman"/>
              </w:rPr>
              <w:t>0.0</w:t>
            </w:r>
            <w:r>
              <w:rPr>
                <w:rFonts w:ascii="Times New Roman" w:hAnsi="Times New Roman" w:cs="Times New Roman"/>
              </w:rPr>
              <w:t>2</w:t>
            </w:r>
            <w:r w:rsidRPr="000D5729">
              <w:rPr>
                <w:rFonts w:ascii="Times New Roman" w:hAnsi="Times New Roman" w:cs="Times New Roman"/>
                <w:vertAlign w:val="superscript"/>
              </w:rPr>
              <w:t>a</w:t>
            </w:r>
            <w:r w:rsidRPr="000D5729">
              <w:rPr>
                <w:rFonts w:ascii="Times New Roman" w:hAnsi="Times New Roman" w:cs="Times New Roman"/>
              </w:rPr>
              <w:t>±0.0000</w:t>
            </w:r>
          </w:p>
        </w:tc>
      </w:tr>
    </w:tbl>
    <w:p w14:paraId="72483662" w14:textId="77777777" w:rsidR="008D1A88" w:rsidRPr="008D1A88" w:rsidRDefault="008D1A88" w:rsidP="008D1A88"/>
    <w:p w14:paraId="3B2AE4D7" w14:textId="49D38A58" w:rsidR="0006358C" w:rsidRPr="004D2DBA" w:rsidRDefault="00BC7498" w:rsidP="006D66F1">
      <w:pPr>
        <w:spacing w:before="240" w:after="0" w:line="480" w:lineRule="auto"/>
        <w:jc w:val="both"/>
        <w:rPr>
          <w:rFonts w:ascii="Arial" w:hAnsi="Arial" w:cs="Arial"/>
          <w:b/>
          <w:bCs/>
          <w:sz w:val="22"/>
          <w:szCs w:val="22"/>
        </w:rPr>
      </w:pPr>
      <w:r w:rsidRPr="004D2DBA">
        <w:rPr>
          <w:rFonts w:ascii="Arial" w:hAnsi="Arial" w:cs="Arial"/>
          <w:b/>
          <w:bCs/>
          <w:sz w:val="22"/>
          <w:szCs w:val="22"/>
        </w:rPr>
        <w:t>4.0 CONCLUSION</w:t>
      </w:r>
    </w:p>
    <w:p w14:paraId="55861E20" w14:textId="55A9B677" w:rsidR="00D45145" w:rsidRPr="00B16A0D" w:rsidRDefault="00BC7498" w:rsidP="004D2DBA">
      <w:pPr>
        <w:spacing w:line="240" w:lineRule="auto"/>
        <w:jc w:val="both"/>
        <w:rPr>
          <w:rFonts w:ascii="Arial" w:hAnsi="Arial" w:cs="Arial"/>
          <w:sz w:val="20"/>
          <w:szCs w:val="20"/>
        </w:rPr>
      </w:pPr>
      <w:r w:rsidRPr="00B16A0D">
        <w:rPr>
          <w:rFonts w:ascii="Arial" w:hAnsi="Arial" w:cs="Arial"/>
          <w:sz w:val="20"/>
          <w:szCs w:val="20"/>
        </w:rPr>
        <w:t>The study showed that spaghetti made from wheat–sorghum–</w:t>
      </w:r>
      <w:r w:rsidRPr="00B16A0D">
        <w:rPr>
          <w:rFonts w:ascii="Arial" w:hAnsi="Arial" w:cs="Arial"/>
          <w:i/>
          <w:sz w:val="20"/>
          <w:szCs w:val="20"/>
        </w:rPr>
        <w:t xml:space="preserve">Bombax </w:t>
      </w:r>
      <w:proofErr w:type="spellStart"/>
      <w:r w:rsidRPr="00B16A0D">
        <w:rPr>
          <w:rFonts w:ascii="Arial" w:hAnsi="Arial" w:cs="Arial"/>
          <w:i/>
          <w:sz w:val="20"/>
          <w:szCs w:val="20"/>
        </w:rPr>
        <w:t>costatum</w:t>
      </w:r>
      <w:proofErr w:type="spellEnd"/>
      <w:r w:rsidRPr="00B16A0D">
        <w:rPr>
          <w:rFonts w:ascii="Arial" w:hAnsi="Arial" w:cs="Arial"/>
          <w:i/>
          <w:sz w:val="20"/>
          <w:szCs w:val="20"/>
        </w:rPr>
        <w:t xml:space="preserve"> </w:t>
      </w:r>
      <w:r w:rsidRPr="00B16A0D">
        <w:rPr>
          <w:rFonts w:ascii="Arial" w:hAnsi="Arial" w:cs="Arial"/>
          <w:sz w:val="20"/>
          <w:szCs w:val="20"/>
        </w:rPr>
        <w:t>calyces flour blends have better nutrition</w:t>
      </w:r>
      <w:r w:rsidR="004D2DBA" w:rsidRPr="00B16A0D">
        <w:rPr>
          <w:rFonts w:ascii="Arial" w:hAnsi="Arial" w:cs="Arial"/>
          <w:sz w:val="20"/>
          <w:szCs w:val="20"/>
        </w:rPr>
        <w:t>al quality</w:t>
      </w:r>
      <w:r w:rsidRPr="00B16A0D">
        <w:rPr>
          <w:rFonts w:ascii="Arial" w:hAnsi="Arial" w:cs="Arial"/>
          <w:sz w:val="20"/>
          <w:szCs w:val="20"/>
        </w:rPr>
        <w:t xml:space="preserve">. Adding sorghum and </w:t>
      </w:r>
      <w:r w:rsidRPr="00B16A0D">
        <w:rPr>
          <w:rFonts w:ascii="Arial" w:hAnsi="Arial" w:cs="Arial"/>
          <w:i/>
          <w:sz w:val="20"/>
          <w:szCs w:val="20"/>
        </w:rPr>
        <w:t xml:space="preserve">Bombax </w:t>
      </w:r>
      <w:proofErr w:type="spellStart"/>
      <w:r w:rsidRPr="00B16A0D">
        <w:rPr>
          <w:rFonts w:ascii="Arial" w:hAnsi="Arial" w:cs="Arial"/>
          <w:i/>
          <w:sz w:val="20"/>
          <w:szCs w:val="20"/>
        </w:rPr>
        <w:t>costatum</w:t>
      </w:r>
      <w:proofErr w:type="spellEnd"/>
      <w:r w:rsidRPr="00B16A0D">
        <w:rPr>
          <w:rFonts w:ascii="Arial" w:hAnsi="Arial" w:cs="Arial"/>
          <w:i/>
          <w:sz w:val="20"/>
          <w:szCs w:val="20"/>
        </w:rPr>
        <w:t xml:space="preserve"> </w:t>
      </w:r>
      <w:r w:rsidRPr="00B16A0D">
        <w:rPr>
          <w:rFonts w:ascii="Arial" w:hAnsi="Arial" w:cs="Arial"/>
          <w:sz w:val="20"/>
          <w:szCs w:val="20"/>
        </w:rPr>
        <w:t xml:space="preserve">calyces increased dietary fiber, minerals, and vitamins, while antinutritional factors remained low and decreased further after processing.  The study recommends that the 20:60:20 (wheat-sorghum-Bombax </w:t>
      </w:r>
      <w:proofErr w:type="spellStart"/>
      <w:r w:rsidRPr="00B16A0D">
        <w:rPr>
          <w:rFonts w:ascii="Arial" w:hAnsi="Arial" w:cs="Arial"/>
          <w:sz w:val="20"/>
          <w:szCs w:val="20"/>
        </w:rPr>
        <w:t>costatum</w:t>
      </w:r>
      <w:proofErr w:type="spellEnd"/>
      <w:r w:rsidRPr="00B16A0D">
        <w:rPr>
          <w:rFonts w:ascii="Arial" w:hAnsi="Arial" w:cs="Arial"/>
          <w:sz w:val="20"/>
          <w:szCs w:val="20"/>
        </w:rPr>
        <w:t xml:space="preserve"> calyces) blend should be adopted for commercial production better nutritional properties.</w:t>
      </w:r>
    </w:p>
    <w:p w14:paraId="10960BF9" w14:textId="77777777" w:rsidR="00B16A0D" w:rsidRPr="004D2DBA" w:rsidRDefault="00B16A0D" w:rsidP="004D2DBA">
      <w:pPr>
        <w:spacing w:line="240" w:lineRule="auto"/>
        <w:jc w:val="both"/>
        <w:rPr>
          <w:rFonts w:ascii="Arial" w:hAnsi="Arial" w:cs="Arial"/>
          <w:b/>
          <w:bCs/>
          <w:sz w:val="20"/>
          <w:szCs w:val="20"/>
        </w:rPr>
      </w:pPr>
      <w:bookmarkStart w:id="34" w:name="_GoBack"/>
      <w:bookmarkEnd w:id="34"/>
    </w:p>
    <w:p w14:paraId="2A22892D" w14:textId="77777777" w:rsidR="009A7C20" w:rsidRPr="009A7C20" w:rsidRDefault="009A7C20" w:rsidP="009A7C20">
      <w:pPr>
        <w:pStyle w:val="Heading1"/>
        <w:jc w:val="center"/>
        <w:rPr>
          <w:rFonts w:ascii="Times New Roman" w:hAnsi="Times New Roman" w:cs="Times New Roman"/>
          <w:b/>
          <w:bCs/>
          <w:color w:val="auto"/>
          <w:sz w:val="24"/>
          <w:szCs w:val="24"/>
        </w:rPr>
      </w:pPr>
      <w:bookmarkStart w:id="35" w:name="_Toc220922900"/>
      <w:r w:rsidRPr="009A7C20">
        <w:rPr>
          <w:rFonts w:ascii="Times New Roman" w:hAnsi="Times New Roman" w:cs="Times New Roman"/>
          <w:b/>
          <w:bCs/>
          <w:color w:val="auto"/>
          <w:sz w:val="24"/>
          <w:szCs w:val="24"/>
        </w:rPr>
        <w:t>REFERENCES</w:t>
      </w:r>
      <w:bookmarkEnd w:id="35"/>
    </w:p>
    <w:p w14:paraId="4AB0E55F"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Abera, S., Yohannes, W., &amp; </w:t>
      </w:r>
      <w:proofErr w:type="spellStart"/>
      <w:r w:rsidRPr="004D2DBA">
        <w:rPr>
          <w:rFonts w:ascii="Arial" w:hAnsi="Arial" w:cs="Arial"/>
          <w:sz w:val="20"/>
          <w:szCs w:val="20"/>
        </w:rPr>
        <w:t>Chandravanshi</w:t>
      </w:r>
      <w:proofErr w:type="spellEnd"/>
      <w:r w:rsidRPr="004D2DBA">
        <w:rPr>
          <w:rFonts w:ascii="Arial" w:hAnsi="Arial" w:cs="Arial"/>
          <w:sz w:val="20"/>
          <w:szCs w:val="20"/>
        </w:rPr>
        <w:t xml:space="preserve">, B. S. (2023). Effect of processing methods on antinutritional factors (oxalate, phytate, and tannin) and their interaction with minerals (calcium, iron, and zinc) in red, white, and black kidney beans. </w:t>
      </w:r>
      <w:r w:rsidRPr="004D2DBA">
        <w:rPr>
          <w:rFonts w:ascii="Arial" w:hAnsi="Arial" w:cs="Arial"/>
          <w:i/>
          <w:iCs/>
          <w:sz w:val="20"/>
          <w:szCs w:val="20"/>
        </w:rPr>
        <w:t>International Journal of Analytical Chemistry</w:t>
      </w:r>
      <w:r w:rsidRPr="004D2DBA">
        <w:rPr>
          <w:rFonts w:ascii="Arial" w:hAnsi="Arial" w:cs="Arial"/>
          <w:sz w:val="20"/>
          <w:szCs w:val="20"/>
        </w:rPr>
        <w:t xml:space="preserve">, </w:t>
      </w:r>
      <w:r w:rsidRPr="004D2DBA">
        <w:rPr>
          <w:rFonts w:ascii="Arial" w:hAnsi="Arial" w:cs="Arial"/>
          <w:i/>
          <w:iCs/>
          <w:sz w:val="20"/>
          <w:szCs w:val="20"/>
        </w:rPr>
        <w:t>2023</w:t>
      </w:r>
      <w:r w:rsidRPr="004D2DBA">
        <w:rPr>
          <w:rFonts w:ascii="Arial" w:hAnsi="Arial" w:cs="Arial"/>
          <w:sz w:val="20"/>
          <w:szCs w:val="20"/>
        </w:rPr>
        <w:t>(1), 6762027.</w:t>
      </w:r>
    </w:p>
    <w:p w14:paraId="7F5C46E6"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Adebowale, K.O., Nwokocha, L. M., Agbaje, W. B., &amp; Chemistry, A. (2015). Composition and food value of leaves of two tropical food thickeners – </w:t>
      </w:r>
      <w:r w:rsidRPr="004D2DBA">
        <w:rPr>
          <w:rFonts w:ascii="Arial" w:hAnsi="Arial" w:cs="Arial"/>
          <w:i/>
          <w:sz w:val="20"/>
          <w:szCs w:val="20"/>
        </w:rPr>
        <w:t xml:space="preserve">Bombax </w:t>
      </w:r>
      <w:proofErr w:type="spellStart"/>
      <w:r w:rsidRPr="004D2DBA">
        <w:rPr>
          <w:rFonts w:ascii="Arial" w:hAnsi="Arial" w:cs="Arial"/>
          <w:i/>
          <w:sz w:val="20"/>
          <w:szCs w:val="20"/>
        </w:rPr>
        <w:t>costatum</w:t>
      </w:r>
      <w:proofErr w:type="spellEnd"/>
      <w:r w:rsidRPr="004D2DBA">
        <w:rPr>
          <w:rFonts w:ascii="Arial" w:hAnsi="Arial" w:cs="Arial"/>
          <w:i/>
          <w:sz w:val="20"/>
          <w:szCs w:val="20"/>
        </w:rPr>
        <w:t xml:space="preserve"> </w:t>
      </w:r>
      <w:r w:rsidRPr="004D2DBA">
        <w:rPr>
          <w:rFonts w:ascii="Arial" w:hAnsi="Arial" w:cs="Arial"/>
          <w:sz w:val="20"/>
          <w:szCs w:val="20"/>
        </w:rPr>
        <w:t xml:space="preserve">and </w:t>
      </w:r>
      <w:proofErr w:type="spellStart"/>
      <w:r w:rsidRPr="004D2DBA">
        <w:rPr>
          <w:rFonts w:ascii="Arial" w:hAnsi="Arial" w:cs="Arial"/>
          <w:sz w:val="20"/>
          <w:szCs w:val="20"/>
        </w:rPr>
        <w:t>cissus</w:t>
      </w:r>
      <w:proofErr w:type="spellEnd"/>
      <w:r w:rsidRPr="004D2DBA">
        <w:rPr>
          <w:rFonts w:ascii="Arial" w:hAnsi="Arial" w:cs="Arial"/>
          <w:sz w:val="20"/>
          <w:szCs w:val="20"/>
        </w:rPr>
        <w:t xml:space="preserve"> </w:t>
      </w:r>
      <w:proofErr w:type="spellStart"/>
      <w:r w:rsidRPr="004D2DBA">
        <w:rPr>
          <w:rFonts w:ascii="Arial" w:hAnsi="Arial" w:cs="Arial"/>
          <w:sz w:val="20"/>
          <w:szCs w:val="20"/>
        </w:rPr>
        <w:t>populenea</w:t>
      </w:r>
      <w:proofErr w:type="spellEnd"/>
      <w:r w:rsidRPr="004D2DBA">
        <w:rPr>
          <w:rFonts w:ascii="Arial" w:hAnsi="Arial" w:cs="Arial"/>
          <w:sz w:val="20"/>
          <w:szCs w:val="20"/>
        </w:rPr>
        <w:t xml:space="preserve">.  </w:t>
      </w:r>
      <w:r w:rsidRPr="004D2DBA">
        <w:rPr>
          <w:rFonts w:ascii="Arial" w:hAnsi="Arial" w:cs="Arial"/>
          <w:i/>
          <w:iCs/>
          <w:sz w:val="20"/>
          <w:szCs w:val="20"/>
        </w:rPr>
        <w:t>Canadian Journal of pure and applied Science</w:t>
      </w:r>
      <w:r w:rsidRPr="004D2DBA">
        <w:rPr>
          <w:rFonts w:ascii="Arial" w:hAnsi="Arial" w:cs="Arial"/>
          <w:sz w:val="20"/>
          <w:szCs w:val="20"/>
        </w:rPr>
        <w:t xml:space="preserve">, 9(1), 3221-3227. </w:t>
      </w:r>
      <w:hyperlink r:id="rId13" w:history="1">
        <w:r w:rsidRPr="004D2DBA">
          <w:rPr>
            <w:rStyle w:val="Hyperlink"/>
            <w:rFonts w:ascii="Arial" w:hAnsi="Arial" w:cs="Arial"/>
            <w:color w:val="auto"/>
            <w:sz w:val="20"/>
            <w:szCs w:val="20"/>
            <w:u w:val="none"/>
          </w:rPr>
          <w:t>https://doi.org/ISSN:1920-3853</w:t>
        </w:r>
      </w:hyperlink>
    </w:p>
    <w:p w14:paraId="1218DA25"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Adeoti O. A &amp; </w:t>
      </w:r>
      <w:proofErr w:type="spellStart"/>
      <w:r w:rsidRPr="004D2DBA">
        <w:rPr>
          <w:rFonts w:ascii="Arial" w:hAnsi="Arial" w:cs="Arial"/>
          <w:sz w:val="20"/>
          <w:szCs w:val="20"/>
        </w:rPr>
        <w:t>Osundahunsi</w:t>
      </w:r>
      <w:proofErr w:type="spellEnd"/>
      <w:r w:rsidRPr="004D2DBA">
        <w:rPr>
          <w:rFonts w:ascii="Arial" w:hAnsi="Arial" w:cs="Arial"/>
          <w:sz w:val="20"/>
          <w:szCs w:val="20"/>
        </w:rPr>
        <w:t xml:space="preserve"> 2017. Nutritional characteristics of maize-based complimentary Food Enriched with fermented and Germinated moringa oleifera seed flour. </w:t>
      </w:r>
      <w:r w:rsidRPr="004D2DBA">
        <w:rPr>
          <w:rFonts w:ascii="Arial" w:hAnsi="Arial" w:cs="Arial"/>
          <w:i/>
          <w:iCs/>
          <w:sz w:val="20"/>
          <w:szCs w:val="20"/>
        </w:rPr>
        <w:t xml:space="preserve">International Journal of Food science, Nutritional &amp; Dietetics (IJFS): </w:t>
      </w:r>
      <w:r w:rsidRPr="004D2DBA">
        <w:rPr>
          <w:rFonts w:ascii="Arial" w:hAnsi="Arial" w:cs="Arial"/>
          <w:sz w:val="20"/>
          <w:szCs w:val="20"/>
        </w:rPr>
        <w:t xml:space="preserve">2326-3350 </w:t>
      </w:r>
    </w:p>
    <w:p w14:paraId="5E758931"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Akinsola</w:t>
      </w:r>
      <w:proofErr w:type="spellEnd"/>
      <w:r w:rsidRPr="004D2DBA">
        <w:rPr>
          <w:rFonts w:ascii="Arial" w:hAnsi="Arial" w:cs="Arial"/>
          <w:sz w:val="20"/>
          <w:szCs w:val="20"/>
        </w:rPr>
        <w:t xml:space="preserve"> AO, </w:t>
      </w:r>
      <w:proofErr w:type="spellStart"/>
      <w:r w:rsidRPr="004D2DBA">
        <w:rPr>
          <w:rFonts w:ascii="Arial" w:hAnsi="Arial" w:cs="Arial"/>
          <w:sz w:val="20"/>
          <w:szCs w:val="20"/>
        </w:rPr>
        <w:t>Segilola</w:t>
      </w:r>
      <w:proofErr w:type="spellEnd"/>
      <w:r w:rsidRPr="004D2DBA">
        <w:rPr>
          <w:rFonts w:ascii="Arial" w:hAnsi="Arial" w:cs="Arial"/>
          <w:sz w:val="20"/>
          <w:szCs w:val="20"/>
        </w:rPr>
        <w:t xml:space="preserve"> VO, </w:t>
      </w:r>
      <w:proofErr w:type="spellStart"/>
      <w:r w:rsidRPr="004D2DBA">
        <w:rPr>
          <w:rFonts w:ascii="Arial" w:hAnsi="Arial" w:cs="Arial"/>
          <w:sz w:val="20"/>
          <w:szCs w:val="20"/>
        </w:rPr>
        <w:t>Oloso</w:t>
      </w:r>
      <w:proofErr w:type="spellEnd"/>
      <w:r w:rsidRPr="004D2DBA">
        <w:rPr>
          <w:rFonts w:ascii="Arial" w:hAnsi="Arial" w:cs="Arial"/>
          <w:sz w:val="20"/>
          <w:szCs w:val="20"/>
        </w:rPr>
        <w:t xml:space="preserve"> ES, et al. (2018) Quality evaluation of plantain-African Yam Bean flour blends and sensory properties of its cooked (</w:t>
      </w:r>
      <w:proofErr w:type="spellStart"/>
      <w:r w:rsidRPr="004D2DBA">
        <w:rPr>
          <w:rFonts w:ascii="Arial" w:hAnsi="Arial" w:cs="Arial"/>
          <w:sz w:val="20"/>
          <w:szCs w:val="20"/>
        </w:rPr>
        <w:t>amala</w:t>
      </w:r>
      <w:proofErr w:type="spellEnd"/>
      <w:r w:rsidRPr="004D2DBA">
        <w:rPr>
          <w:rFonts w:ascii="Arial" w:hAnsi="Arial" w:cs="Arial"/>
          <w:sz w:val="20"/>
          <w:szCs w:val="20"/>
        </w:rPr>
        <w:t xml:space="preserve">) paste. Research Journal of Food Science and Nutrition 3: 31-40. </w:t>
      </w:r>
    </w:p>
    <w:p w14:paraId="5E1D0F24"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Akinwotu</w:t>
      </w:r>
      <w:proofErr w:type="spellEnd"/>
      <w:r w:rsidRPr="004D2DBA">
        <w:rPr>
          <w:rFonts w:ascii="Arial" w:hAnsi="Arial" w:cs="Arial"/>
          <w:sz w:val="20"/>
          <w:szCs w:val="20"/>
        </w:rPr>
        <w:t xml:space="preserve">, K. O., Taiwo, K. A., &amp; </w:t>
      </w:r>
      <w:proofErr w:type="spellStart"/>
      <w:r w:rsidRPr="004D2DBA">
        <w:rPr>
          <w:rFonts w:ascii="Arial" w:hAnsi="Arial" w:cs="Arial"/>
          <w:sz w:val="20"/>
          <w:szCs w:val="20"/>
        </w:rPr>
        <w:t>Ikujenlola</w:t>
      </w:r>
      <w:proofErr w:type="spellEnd"/>
      <w:r w:rsidRPr="004D2DBA">
        <w:rPr>
          <w:rFonts w:ascii="Arial" w:hAnsi="Arial" w:cs="Arial"/>
          <w:sz w:val="20"/>
          <w:szCs w:val="20"/>
        </w:rPr>
        <w:t xml:space="preserve">, A. V. (2025). Advancement in Composite flours: Applications, Nutritional Benefits and processing Techniques. </w:t>
      </w:r>
      <w:r w:rsidRPr="004D2DBA">
        <w:rPr>
          <w:rFonts w:ascii="Arial" w:hAnsi="Arial" w:cs="Arial"/>
          <w:i/>
          <w:iCs/>
          <w:sz w:val="20"/>
          <w:szCs w:val="20"/>
        </w:rPr>
        <w:t>Asian food Science Journal,</w:t>
      </w:r>
      <w:r w:rsidRPr="004D2DBA">
        <w:rPr>
          <w:rFonts w:ascii="Arial" w:hAnsi="Arial" w:cs="Arial"/>
          <w:sz w:val="20"/>
          <w:szCs w:val="20"/>
        </w:rPr>
        <w:t xml:space="preserve"> 24(6), 24-36. </w:t>
      </w:r>
      <w:hyperlink r:id="rId14" w:history="1">
        <w:r w:rsidRPr="004D2DBA">
          <w:rPr>
            <w:rStyle w:val="Hyperlink"/>
            <w:rFonts w:ascii="Arial" w:hAnsi="Arial" w:cs="Arial"/>
            <w:color w:val="auto"/>
            <w:sz w:val="20"/>
            <w:szCs w:val="20"/>
            <w:u w:val="none"/>
          </w:rPr>
          <w:t>https://doi.org/ISSN</w:t>
        </w:r>
      </w:hyperlink>
      <w:r w:rsidRPr="004D2DBA">
        <w:rPr>
          <w:rFonts w:ascii="Arial" w:hAnsi="Arial" w:cs="Arial"/>
          <w:sz w:val="20"/>
          <w:szCs w:val="20"/>
        </w:rPr>
        <w:t>: 2581-7752</w:t>
      </w:r>
    </w:p>
    <w:p w14:paraId="1BDAB8F7"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Akinyemi T.A., Akinsola A.O., </w:t>
      </w:r>
      <w:proofErr w:type="spellStart"/>
      <w:r w:rsidRPr="004D2DBA">
        <w:rPr>
          <w:rFonts w:ascii="Arial" w:hAnsi="Arial" w:cs="Arial"/>
          <w:sz w:val="20"/>
          <w:szCs w:val="20"/>
        </w:rPr>
        <w:t>Adedokun</w:t>
      </w:r>
      <w:proofErr w:type="spellEnd"/>
      <w:r w:rsidRPr="004D2DBA">
        <w:rPr>
          <w:rFonts w:ascii="Arial" w:hAnsi="Arial" w:cs="Arial"/>
          <w:sz w:val="20"/>
          <w:szCs w:val="20"/>
        </w:rPr>
        <w:t xml:space="preserve"> A.F., </w:t>
      </w:r>
      <w:proofErr w:type="spellStart"/>
      <w:r w:rsidRPr="004D2DBA">
        <w:rPr>
          <w:rFonts w:ascii="Arial" w:hAnsi="Arial" w:cs="Arial"/>
          <w:sz w:val="20"/>
          <w:szCs w:val="20"/>
        </w:rPr>
        <w:t>Segilola</w:t>
      </w:r>
      <w:proofErr w:type="spellEnd"/>
      <w:r w:rsidRPr="004D2DBA">
        <w:rPr>
          <w:rFonts w:ascii="Arial" w:hAnsi="Arial" w:cs="Arial"/>
          <w:sz w:val="20"/>
          <w:szCs w:val="20"/>
        </w:rPr>
        <w:t xml:space="preserve"> V.O., </w:t>
      </w:r>
      <w:proofErr w:type="spellStart"/>
      <w:r w:rsidRPr="004D2DBA">
        <w:rPr>
          <w:rFonts w:ascii="Arial" w:hAnsi="Arial" w:cs="Arial"/>
          <w:sz w:val="20"/>
          <w:szCs w:val="20"/>
        </w:rPr>
        <w:t>Obisesan</w:t>
      </w:r>
      <w:proofErr w:type="spellEnd"/>
      <w:r w:rsidRPr="004D2DBA">
        <w:rPr>
          <w:rFonts w:ascii="Arial" w:hAnsi="Arial" w:cs="Arial"/>
          <w:sz w:val="20"/>
          <w:szCs w:val="20"/>
        </w:rPr>
        <w:t xml:space="preserve"> D.O., &amp; </w:t>
      </w:r>
      <w:proofErr w:type="spellStart"/>
      <w:r w:rsidRPr="004D2DBA">
        <w:rPr>
          <w:rFonts w:ascii="Arial" w:hAnsi="Arial" w:cs="Arial"/>
          <w:sz w:val="20"/>
          <w:szCs w:val="20"/>
        </w:rPr>
        <w:t>Afonja</w:t>
      </w:r>
      <w:proofErr w:type="spellEnd"/>
      <w:r w:rsidRPr="004D2DBA">
        <w:rPr>
          <w:rFonts w:ascii="Arial" w:hAnsi="Arial" w:cs="Arial"/>
          <w:sz w:val="20"/>
          <w:szCs w:val="20"/>
        </w:rPr>
        <w:t xml:space="preserve"> T.E. (2020). Evaluation of Quality and Sensory Characteristics of Spaghetti made from plantain and Wheat Flour Blends. Vol.1 </w:t>
      </w:r>
      <w:proofErr w:type="spellStart"/>
      <w:r w:rsidRPr="004D2DBA">
        <w:rPr>
          <w:rFonts w:ascii="Arial" w:hAnsi="Arial" w:cs="Arial"/>
          <w:sz w:val="20"/>
          <w:szCs w:val="20"/>
        </w:rPr>
        <w:t>Iss</w:t>
      </w:r>
      <w:proofErr w:type="spellEnd"/>
      <w:r w:rsidRPr="004D2DBA">
        <w:rPr>
          <w:rFonts w:ascii="Arial" w:hAnsi="Arial" w:cs="Arial"/>
          <w:sz w:val="20"/>
          <w:szCs w:val="20"/>
        </w:rPr>
        <w:t>. 1</w:t>
      </w:r>
    </w:p>
    <w:p w14:paraId="30F689E3"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Anberbir</w:t>
      </w:r>
      <w:proofErr w:type="spellEnd"/>
      <w:r w:rsidRPr="004D2DBA">
        <w:rPr>
          <w:rFonts w:ascii="Arial" w:hAnsi="Arial" w:cs="Arial"/>
          <w:sz w:val="20"/>
          <w:szCs w:val="20"/>
        </w:rPr>
        <w:t xml:space="preserve">, S. M., et al. (2024). Evaluation of nutritional composition, functional, and pasting properties of composite flour made from 70% teff, 20% buckwheat, and 10% pearl millet. Food Science &amp; Nutrition. </w:t>
      </w:r>
      <w:hyperlink r:id="rId15" w:history="1">
        <w:r w:rsidRPr="004D2DBA">
          <w:rPr>
            <w:rStyle w:val="Hyperlink"/>
            <w:rFonts w:ascii="Arial" w:hAnsi="Arial" w:cs="Arial"/>
            <w:color w:val="auto"/>
            <w:sz w:val="20"/>
            <w:szCs w:val="20"/>
            <w:u w:val="none"/>
          </w:rPr>
          <w:t>https://doi.org/10.1002/fsn3.3922</w:t>
        </w:r>
      </w:hyperlink>
      <w:r w:rsidRPr="004D2DBA">
        <w:rPr>
          <w:rFonts w:ascii="Arial" w:hAnsi="Arial" w:cs="Arial"/>
          <w:sz w:val="20"/>
          <w:szCs w:val="20"/>
        </w:rPr>
        <w:t>.</w:t>
      </w:r>
    </w:p>
    <w:p w14:paraId="7D149F1B"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lastRenderedPageBreak/>
        <w:t>Animashaun</w:t>
      </w:r>
      <w:proofErr w:type="spellEnd"/>
      <w:r w:rsidRPr="004D2DBA">
        <w:rPr>
          <w:rFonts w:ascii="Arial" w:hAnsi="Arial" w:cs="Arial"/>
          <w:sz w:val="20"/>
          <w:szCs w:val="20"/>
        </w:rPr>
        <w:t xml:space="preserve"> O.H, </w:t>
      </w:r>
      <w:proofErr w:type="spellStart"/>
      <w:r w:rsidRPr="004D2DBA">
        <w:rPr>
          <w:rFonts w:ascii="Arial" w:hAnsi="Arial" w:cs="Arial"/>
          <w:sz w:val="20"/>
          <w:szCs w:val="20"/>
        </w:rPr>
        <w:t>Olorode</w:t>
      </w:r>
      <w:proofErr w:type="spellEnd"/>
      <w:r w:rsidRPr="004D2DBA">
        <w:rPr>
          <w:rFonts w:ascii="Arial" w:hAnsi="Arial" w:cs="Arial"/>
          <w:sz w:val="20"/>
          <w:szCs w:val="20"/>
        </w:rPr>
        <w:t xml:space="preserve">. O. O, </w:t>
      </w:r>
      <w:proofErr w:type="spellStart"/>
      <w:r w:rsidRPr="004D2DBA">
        <w:rPr>
          <w:rFonts w:ascii="Arial" w:hAnsi="Arial" w:cs="Arial"/>
          <w:sz w:val="20"/>
          <w:szCs w:val="20"/>
        </w:rPr>
        <w:t>Sofunde</w:t>
      </w:r>
      <w:proofErr w:type="spellEnd"/>
      <w:r w:rsidRPr="004D2DBA">
        <w:rPr>
          <w:rFonts w:ascii="Arial" w:hAnsi="Arial" w:cs="Arial"/>
          <w:sz w:val="20"/>
          <w:szCs w:val="20"/>
        </w:rPr>
        <w:t xml:space="preserve"> K.S, Idowu M.A (2017). Quality Evaluation of Pasta fortified with Roasted sesame flour. </w:t>
      </w:r>
      <w:r w:rsidRPr="004D2DBA">
        <w:rPr>
          <w:rFonts w:ascii="Arial" w:hAnsi="Arial" w:cs="Arial"/>
          <w:i/>
          <w:iCs/>
          <w:sz w:val="20"/>
          <w:szCs w:val="20"/>
        </w:rPr>
        <w:t xml:space="preserve">IOSR Journal of </w:t>
      </w:r>
      <w:proofErr w:type="spellStart"/>
      <w:r w:rsidRPr="004D2DBA">
        <w:rPr>
          <w:rFonts w:ascii="Arial" w:hAnsi="Arial" w:cs="Arial"/>
          <w:i/>
          <w:iCs/>
          <w:sz w:val="20"/>
          <w:szCs w:val="20"/>
        </w:rPr>
        <w:t>Enviromental</w:t>
      </w:r>
      <w:proofErr w:type="spellEnd"/>
      <w:r w:rsidRPr="004D2DBA">
        <w:rPr>
          <w:rFonts w:ascii="Arial" w:hAnsi="Arial" w:cs="Arial"/>
          <w:i/>
          <w:iCs/>
          <w:sz w:val="20"/>
          <w:szCs w:val="20"/>
        </w:rPr>
        <w:t xml:space="preserve"> Science, </w:t>
      </w:r>
      <w:proofErr w:type="spellStart"/>
      <w:r w:rsidRPr="004D2DBA">
        <w:rPr>
          <w:rFonts w:ascii="Arial" w:hAnsi="Arial" w:cs="Arial"/>
          <w:i/>
          <w:iCs/>
          <w:sz w:val="20"/>
          <w:szCs w:val="20"/>
        </w:rPr>
        <w:t>Toxicologhy</w:t>
      </w:r>
      <w:proofErr w:type="spellEnd"/>
      <w:r w:rsidRPr="004D2DBA">
        <w:rPr>
          <w:rFonts w:ascii="Arial" w:hAnsi="Arial" w:cs="Arial"/>
          <w:i/>
          <w:iCs/>
          <w:sz w:val="20"/>
          <w:szCs w:val="20"/>
        </w:rPr>
        <w:t xml:space="preserve"> and Food Technology</w:t>
      </w:r>
      <w:r w:rsidRPr="004D2DBA">
        <w:rPr>
          <w:rFonts w:ascii="Arial" w:hAnsi="Arial" w:cs="Arial"/>
          <w:sz w:val="20"/>
          <w:szCs w:val="20"/>
        </w:rPr>
        <w:t xml:space="preserve"> (IOSR-JESTET) e-ISSN:2319-2402, p-ISSN: 2319-2399. Volume 11, Issue 7 ver.1(July) pp29-34 </w:t>
      </w:r>
      <w:hyperlink r:id="rId16" w:history="1">
        <w:r w:rsidRPr="004D2DBA">
          <w:rPr>
            <w:rStyle w:val="Hyperlink"/>
            <w:rFonts w:ascii="Arial" w:hAnsi="Arial" w:cs="Arial"/>
            <w:color w:val="auto"/>
            <w:sz w:val="20"/>
            <w:szCs w:val="20"/>
            <w:u w:val="none"/>
          </w:rPr>
          <w:t>www.iosrjournals.org</w:t>
        </w:r>
      </w:hyperlink>
      <w:r w:rsidRPr="004D2DBA">
        <w:rPr>
          <w:rFonts w:ascii="Arial" w:hAnsi="Arial" w:cs="Arial"/>
          <w:sz w:val="20"/>
          <w:szCs w:val="20"/>
        </w:rPr>
        <w:t>.</w:t>
      </w:r>
    </w:p>
    <w:p w14:paraId="1B28C041"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Antwi</w:t>
      </w:r>
      <w:r w:rsidRPr="004D2DBA">
        <w:rPr>
          <w:rFonts w:ascii="Arial" w:hAnsi="Arial" w:cs="Arial"/>
          <w:sz w:val="20"/>
          <w:szCs w:val="20"/>
        </w:rPr>
        <w:noBreakHyphen/>
        <w:t>Adjei, M., Yeboah, K. O., Oppong</w:t>
      </w:r>
      <w:r w:rsidRPr="004D2DBA">
        <w:rPr>
          <w:rFonts w:ascii="Arial" w:hAnsi="Arial" w:cs="Arial"/>
          <w:sz w:val="20"/>
          <w:szCs w:val="20"/>
        </w:rPr>
        <w:noBreakHyphen/>
        <w:t xml:space="preserve">Kyekyeku, J., &amp; Osafo, N. (2022). Inflammation modulating activity of the </w:t>
      </w:r>
      <w:proofErr w:type="spellStart"/>
      <w:r w:rsidRPr="004D2DBA">
        <w:rPr>
          <w:rFonts w:ascii="Arial" w:hAnsi="Arial" w:cs="Arial"/>
          <w:sz w:val="20"/>
          <w:szCs w:val="20"/>
        </w:rPr>
        <w:t>hydroethanol</w:t>
      </w:r>
      <w:proofErr w:type="spellEnd"/>
      <w:r w:rsidRPr="004D2DBA">
        <w:rPr>
          <w:rFonts w:ascii="Arial" w:hAnsi="Arial" w:cs="Arial"/>
          <w:sz w:val="20"/>
          <w:szCs w:val="20"/>
        </w:rPr>
        <w:t xml:space="preserve"> stem bark extract of </w:t>
      </w:r>
      <w:r w:rsidRPr="004D2DBA">
        <w:rPr>
          <w:rFonts w:ascii="Arial" w:hAnsi="Arial" w:cs="Arial"/>
          <w:i/>
          <w:sz w:val="20"/>
          <w:szCs w:val="20"/>
        </w:rPr>
        <w:t xml:space="preserve">Bombax </w:t>
      </w:r>
      <w:proofErr w:type="spellStart"/>
      <w:r w:rsidRPr="004D2DBA">
        <w:rPr>
          <w:rFonts w:ascii="Arial" w:hAnsi="Arial" w:cs="Arial"/>
          <w:i/>
          <w:sz w:val="20"/>
          <w:szCs w:val="20"/>
        </w:rPr>
        <w:t>costatum</w:t>
      </w:r>
      <w:proofErr w:type="spellEnd"/>
      <w:r w:rsidRPr="004D2DBA">
        <w:rPr>
          <w:rFonts w:ascii="Arial" w:hAnsi="Arial" w:cs="Arial"/>
          <w:i/>
          <w:sz w:val="20"/>
          <w:szCs w:val="20"/>
        </w:rPr>
        <w:t xml:space="preserve"> </w:t>
      </w:r>
      <w:r w:rsidRPr="004D2DBA">
        <w:rPr>
          <w:rFonts w:ascii="Arial" w:hAnsi="Arial" w:cs="Arial"/>
          <w:sz w:val="20"/>
          <w:szCs w:val="20"/>
        </w:rPr>
        <w:t xml:space="preserve">in murine models. </w:t>
      </w:r>
      <w:proofErr w:type="spellStart"/>
      <w:r w:rsidRPr="004D2DBA">
        <w:rPr>
          <w:rFonts w:ascii="Arial" w:hAnsi="Arial" w:cs="Arial"/>
          <w:sz w:val="20"/>
          <w:szCs w:val="20"/>
        </w:rPr>
        <w:t>Scientifica</w:t>
      </w:r>
      <w:proofErr w:type="spellEnd"/>
      <w:r w:rsidRPr="004D2DBA">
        <w:rPr>
          <w:rFonts w:ascii="Arial" w:hAnsi="Arial" w:cs="Arial"/>
          <w:sz w:val="20"/>
          <w:szCs w:val="20"/>
        </w:rPr>
        <w:t xml:space="preserve">, 2022, Article ID 6882147. </w:t>
      </w:r>
      <w:hyperlink r:id="rId17" w:history="1">
        <w:r w:rsidRPr="004D2DBA">
          <w:rPr>
            <w:rStyle w:val="Hyperlink"/>
            <w:rFonts w:ascii="Arial" w:hAnsi="Arial" w:cs="Arial"/>
            <w:color w:val="auto"/>
            <w:sz w:val="20"/>
            <w:szCs w:val="20"/>
            <w:u w:val="none"/>
          </w:rPr>
          <w:t>https://doi.org/10.1155/2022/6882147</w:t>
        </w:r>
      </w:hyperlink>
    </w:p>
    <w:p w14:paraId="05643165" w14:textId="77777777" w:rsidR="002161CE" w:rsidRPr="004D2DBA" w:rsidRDefault="002161CE" w:rsidP="002161CE">
      <w:pPr>
        <w:spacing w:before="240" w:line="240" w:lineRule="auto"/>
        <w:ind w:left="540" w:hanging="540"/>
        <w:jc w:val="both"/>
        <w:rPr>
          <w:rFonts w:ascii="Arial" w:hAnsi="Arial" w:cs="Arial"/>
          <w:sz w:val="20"/>
          <w:szCs w:val="20"/>
        </w:rPr>
      </w:pPr>
      <w:r w:rsidRPr="004D2DBA">
        <w:rPr>
          <w:rFonts w:ascii="Arial" w:hAnsi="Arial" w:cs="Arial"/>
          <w:sz w:val="20"/>
          <w:szCs w:val="20"/>
        </w:rPr>
        <w:t xml:space="preserve">AOAC. (2000). Association of Official Analytical Chemist Official Methods of Analysis. 17th Edition: 1105-1106.  </w:t>
      </w:r>
    </w:p>
    <w:p w14:paraId="6FC79082" w14:textId="77777777" w:rsidR="002161CE" w:rsidRPr="004D2DBA" w:rsidRDefault="002161CE" w:rsidP="002161CE">
      <w:pPr>
        <w:spacing w:line="240" w:lineRule="auto"/>
        <w:ind w:left="720" w:hanging="720"/>
        <w:jc w:val="both"/>
        <w:rPr>
          <w:rFonts w:ascii="Arial" w:hAnsi="Arial" w:cs="Arial"/>
          <w:sz w:val="20"/>
          <w:szCs w:val="20"/>
        </w:rPr>
      </w:pPr>
      <w:r w:rsidRPr="004D2DBA">
        <w:rPr>
          <w:rFonts w:ascii="Arial" w:hAnsi="Arial" w:cs="Arial"/>
          <w:sz w:val="20"/>
          <w:szCs w:val="20"/>
        </w:rPr>
        <w:t>AOAC. (2005). Official methods of Analysis (18</w:t>
      </w:r>
      <w:r w:rsidRPr="004D2DBA">
        <w:rPr>
          <w:rFonts w:ascii="Arial" w:hAnsi="Arial" w:cs="Arial"/>
          <w:sz w:val="20"/>
          <w:szCs w:val="20"/>
          <w:vertAlign w:val="superscript"/>
        </w:rPr>
        <w:t>th</w:t>
      </w:r>
      <w:r w:rsidRPr="004D2DBA">
        <w:rPr>
          <w:rFonts w:ascii="Arial" w:hAnsi="Arial" w:cs="Arial"/>
          <w:sz w:val="20"/>
          <w:szCs w:val="20"/>
        </w:rPr>
        <w:t xml:space="preserve"> ed.). </w:t>
      </w:r>
      <w:proofErr w:type="spellStart"/>
      <w:r w:rsidRPr="004D2DBA">
        <w:rPr>
          <w:rFonts w:ascii="Arial" w:hAnsi="Arial" w:cs="Arial"/>
          <w:sz w:val="20"/>
          <w:szCs w:val="20"/>
        </w:rPr>
        <w:t>washington</w:t>
      </w:r>
      <w:proofErr w:type="spellEnd"/>
      <w:r w:rsidRPr="004D2DBA">
        <w:rPr>
          <w:rFonts w:ascii="Arial" w:hAnsi="Arial" w:cs="Arial"/>
          <w:sz w:val="20"/>
          <w:szCs w:val="20"/>
        </w:rPr>
        <w:t>, DC: Association of Official Analytical Chemists</w:t>
      </w:r>
    </w:p>
    <w:p w14:paraId="55FFBA7E" w14:textId="77777777" w:rsidR="002161CE" w:rsidRPr="004D2DBA" w:rsidRDefault="002161CE" w:rsidP="002161CE">
      <w:pPr>
        <w:widowControl w:val="0"/>
        <w:autoSpaceDE w:val="0"/>
        <w:autoSpaceDN w:val="0"/>
        <w:adjustRightInd w:val="0"/>
        <w:spacing w:line="240" w:lineRule="auto"/>
        <w:ind w:left="480" w:hanging="480"/>
        <w:jc w:val="both"/>
        <w:rPr>
          <w:rFonts w:ascii="Arial" w:hAnsi="Arial" w:cs="Arial"/>
          <w:noProof/>
          <w:sz w:val="20"/>
          <w:szCs w:val="20"/>
        </w:rPr>
      </w:pPr>
      <w:r w:rsidRPr="004D2DBA">
        <w:rPr>
          <w:rFonts w:ascii="Arial" w:hAnsi="Arial" w:cs="Arial"/>
          <w:noProof/>
          <w:sz w:val="20"/>
          <w:szCs w:val="20"/>
        </w:rPr>
        <w:t xml:space="preserve">Arukwe, D.C., Ezeocha, V.C. and Obiasogu, S.P. (2023). Production and quality evaluation of snacks from blends of groundnut cake and pigeon pea flour. </w:t>
      </w:r>
      <w:r w:rsidRPr="004D2DBA">
        <w:rPr>
          <w:rFonts w:ascii="Arial" w:hAnsi="Arial" w:cs="Arial"/>
          <w:i/>
          <w:iCs/>
          <w:noProof/>
          <w:sz w:val="20"/>
          <w:szCs w:val="20"/>
        </w:rPr>
        <w:t xml:space="preserve">Journal of Agriculture and Food Sciences, </w:t>
      </w:r>
      <w:r w:rsidRPr="004D2DBA">
        <w:rPr>
          <w:rFonts w:ascii="Arial" w:hAnsi="Arial" w:cs="Arial"/>
          <w:noProof/>
          <w:sz w:val="20"/>
          <w:szCs w:val="20"/>
        </w:rPr>
        <w:t>21(1);90-113</w:t>
      </w:r>
    </w:p>
    <w:p w14:paraId="4EA269EF"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Asinwa</w:t>
      </w:r>
      <w:proofErr w:type="spellEnd"/>
      <w:r w:rsidRPr="004D2DBA">
        <w:rPr>
          <w:rFonts w:ascii="Arial" w:hAnsi="Arial" w:cs="Arial"/>
          <w:sz w:val="20"/>
          <w:szCs w:val="20"/>
        </w:rPr>
        <w:t xml:space="preserve">, I.O., &amp; </w:t>
      </w:r>
      <w:proofErr w:type="spellStart"/>
      <w:r w:rsidRPr="004D2DBA">
        <w:rPr>
          <w:rFonts w:ascii="Arial" w:hAnsi="Arial" w:cs="Arial"/>
          <w:sz w:val="20"/>
          <w:szCs w:val="20"/>
        </w:rPr>
        <w:t>Ojo</w:t>
      </w:r>
      <w:proofErr w:type="spellEnd"/>
      <w:r w:rsidRPr="004D2DBA">
        <w:rPr>
          <w:rFonts w:ascii="Arial" w:hAnsi="Arial" w:cs="Arial"/>
          <w:sz w:val="20"/>
          <w:szCs w:val="20"/>
        </w:rPr>
        <w:t xml:space="preserve">. M.O (2024). Comparative influence of mycorrhiza and phosphorus on the Growth of </w:t>
      </w:r>
      <w:r w:rsidRPr="004D2DBA">
        <w:rPr>
          <w:rFonts w:ascii="Arial" w:hAnsi="Arial" w:cs="Arial"/>
          <w:i/>
          <w:iCs/>
          <w:sz w:val="20"/>
          <w:szCs w:val="20"/>
        </w:rPr>
        <w:t xml:space="preserve">Bombax </w:t>
      </w:r>
      <w:proofErr w:type="spellStart"/>
      <w:r w:rsidRPr="004D2DBA">
        <w:rPr>
          <w:rFonts w:ascii="Arial" w:hAnsi="Arial" w:cs="Arial"/>
          <w:i/>
          <w:iCs/>
          <w:sz w:val="20"/>
          <w:szCs w:val="20"/>
        </w:rPr>
        <w:t>costatum</w:t>
      </w:r>
      <w:proofErr w:type="spellEnd"/>
      <w:r w:rsidRPr="004D2DBA">
        <w:rPr>
          <w:rFonts w:ascii="Arial" w:hAnsi="Arial" w:cs="Arial"/>
          <w:i/>
          <w:iCs/>
          <w:sz w:val="20"/>
          <w:szCs w:val="20"/>
        </w:rPr>
        <w:t xml:space="preserve"> </w:t>
      </w:r>
      <w:proofErr w:type="spellStart"/>
      <w:r w:rsidRPr="004D2DBA">
        <w:rPr>
          <w:rFonts w:ascii="Arial" w:hAnsi="Arial" w:cs="Arial"/>
          <w:sz w:val="20"/>
          <w:szCs w:val="20"/>
        </w:rPr>
        <w:t>pellegr</w:t>
      </w:r>
      <w:proofErr w:type="spellEnd"/>
      <w:r w:rsidRPr="004D2DBA">
        <w:rPr>
          <w:rFonts w:ascii="Arial" w:hAnsi="Arial" w:cs="Arial"/>
          <w:sz w:val="20"/>
          <w:szCs w:val="20"/>
        </w:rPr>
        <w:t xml:space="preserve"> &amp; </w:t>
      </w:r>
      <w:proofErr w:type="spellStart"/>
      <w:r w:rsidRPr="004D2DBA">
        <w:rPr>
          <w:rFonts w:ascii="Arial" w:hAnsi="Arial" w:cs="Arial"/>
          <w:sz w:val="20"/>
          <w:szCs w:val="20"/>
        </w:rPr>
        <w:t>vuillet</w:t>
      </w:r>
      <w:proofErr w:type="spellEnd"/>
      <w:r w:rsidRPr="004D2DBA">
        <w:rPr>
          <w:rFonts w:ascii="Arial" w:hAnsi="Arial" w:cs="Arial"/>
          <w:sz w:val="20"/>
          <w:szCs w:val="20"/>
        </w:rPr>
        <w:t xml:space="preserve"> from Different proveniences. Ghana Journal of Sciences Vol. 65. No.1 (2024)</w:t>
      </w:r>
    </w:p>
    <w:p w14:paraId="47C6E0D2"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Bolarinwa, I.F., Olaniyan, S.A., Adebayo, L.O. and Ademola, A.A. (2015). Malted sorghum-soy composite flour: preparation, chemical and physio-chemical properties. </w:t>
      </w:r>
      <w:r w:rsidRPr="004D2DBA">
        <w:rPr>
          <w:rFonts w:ascii="Arial" w:hAnsi="Arial" w:cs="Arial"/>
          <w:i/>
          <w:iCs/>
          <w:sz w:val="20"/>
          <w:szCs w:val="20"/>
        </w:rPr>
        <w:t xml:space="preserve">Journal of food process Technology, </w:t>
      </w:r>
      <w:r w:rsidRPr="004D2DBA">
        <w:rPr>
          <w:rFonts w:ascii="Arial" w:hAnsi="Arial" w:cs="Arial"/>
          <w:sz w:val="20"/>
          <w:szCs w:val="20"/>
        </w:rPr>
        <w:t>6:467</w:t>
      </w:r>
    </w:p>
    <w:p w14:paraId="33ABC0D1"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Brouns</w:t>
      </w:r>
      <w:proofErr w:type="spellEnd"/>
      <w:r w:rsidRPr="004D2DBA">
        <w:rPr>
          <w:rFonts w:ascii="Arial" w:hAnsi="Arial" w:cs="Arial"/>
          <w:sz w:val="20"/>
          <w:szCs w:val="20"/>
        </w:rPr>
        <w:t xml:space="preserve">, F., Van Rooy, G., </w:t>
      </w:r>
      <w:proofErr w:type="spellStart"/>
      <w:r w:rsidRPr="004D2DBA">
        <w:rPr>
          <w:rFonts w:ascii="Arial" w:hAnsi="Arial" w:cs="Arial"/>
          <w:sz w:val="20"/>
          <w:szCs w:val="20"/>
        </w:rPr>
        <w:t>Shewry</w:t>
      </w:r>
      <w:proofErr w:type="spellEnd"/>
      <w:r w:rsidRPr="004D2DBA">
        <w:rPr>
          <w:rFonts w:ascii="Arial" w:hAnsi="Arial" w:cs="Arial"/>
          <w:sz w:val="20"/>
          <w:szCs w:val="20"/>
        </w:rPr>
        <w:t xml:space="preserve">, P., </w:t>
      </w:r>
      <w:proofErr w:type="spellStart"/>
      <w:r w:rsidRPr="004D2DBA">
        <w:rPr>
          <w:rFonts w:ascii="Arial" w:hAnsi="Arial" w:cs="Arial"/>
          <w:sz w:val="20"/>
          <w:szCs w:val="20"/>
        </w:rPr>
        <w:t>Rustgi</w:t>
      </w:r>
      <w:proofErr w:type="spellEnd"/>
      <w:r w:rsidRPr="004D2DBA">
        <w:rPr>
          <w:rFonts w:ascii="Arial" w:hAnsi="Arial" w:cs="Arial"/>
          <w:sz w:val="20"/>
          <w:szCs w:val="20"/>
        </w:rPr>
        <w:t>, S., &amp; Jonkers, D. (2019). Adverse Reactions to what or what component. Comprehensive Reviews in Food Science and Food Safety, 18(5), 1437-1452. http://doi.org/10.1111/1541-4337.12475</w:t>
      </w:r>
    </w:p>
    <w:p w14:paraId="5F10D450"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Carpentieri, S., &amp; </w:t>
      </w:r>
      <w:proofErr w:type="spellStart"/>
      <w:r w:rsidRPr="004D2DBA">
        <w:rPr>
          <w:rFonts w:ascii="Arial" w:hAnsi="Arial" w:cs="Arial"/>
          <w:sz w:val="20"/>
          <w:szCs w:val="20"/>
        </w:rPr>
        <w:t>Larrea-wachtendorff</w:t>
      </w:r>
      <w:proofErr w:type="spellEnd"/>
      <w:r w:rsidRPr="004D2DBA">
        <w:rPr>
          <w:rFonts w:ascii="Arial" w:hAnsi="Arial" w:cs="Arial"/>
          <w:sz w:val="20"/>
          <w:szCs w:val="20"/>
        </w:rPr>
        <w:t xml:space="preserve">, D. (2024). Influence of semolina characteristics and pasta-making process on the physicochemical, structural, and sensorial properties of commercial durum wheat spaghetti. Frontier in Food Science and Technology, 4(1416654). </w:t>
      </w:r>
      <w:hyperlink r:id="rId18" w:history="1">
        <w:r w:rsidRPr="004D2DBA">
          <w:rPr>
            <w:rStyle w:val="Hyperlink"/>
            <w:rFonts w:ascii="Arial" w:hAnsi="Arial" w:cs="Arial"/>
            <w:color w:val="auto"/>
            <w:sz w:val="20"/>
            <w:szCs w:val="20"/>
            <w:u w:val="none"/>
          </w:rPr>
          <w:t>https://doi.org/10.3389/frfst.2024.1416654</w:t>
        </w:r>
      </w:hyperlink>
    </w:p>
    <w:p w14:paraId="23ADD85B" w14:textId="77777777" w:rsidR="002161CE" w:rsidRPr="004D2DBA" w:rsidRDefault="002161CE" w:rsidP="002161CE">
      <w:pPr>
        <w:spacing w:before="240" w:after="0" w:line="240" w:lineRule="auto"/>
        <w:ind w:left="810" w:hanging="810"/>
        <w:jc w:val="both"/>
        <w:rPr>
          <w:rFonts w:ascii="Arial" w:hAnsi="Arial" w:cs="Arial"/>
          <w:noProof/>
          <w:sz w:val="20"/>
          <w:szCs w:val="20"/>
        </w:rPr>
      </w:pPr>
      <w:r w:rsidRPr="004D2DBA">
        <w:rPr>
          <w:rFonts w:ascii="Arial" w:hAnsi="Arial" w:cs="Arial"/>
          <w:noProof/>
          <w:sz w:val="20"/>
          <w:szCs w:val="20"/>
        </w:rPr>
        <w:t xml:space="preserve">Chisom, F. and Okenwa, U.I.(2021). Phytochemical and nutritional profile of </w:t>
      </w:r>
      <w:r w:rsidRPr="004D2DBA">
        <w:rPr>
          <w:rFonts w:ascii="Arial" w:hAnsi="Arial" w:cs="Arial"/>
          <w:i/>
          <w:iCs/>
          <w:noProof/>
          <w:sz w:val="20"/>
          <w:szCs w:val="20"/>
        </w:rPr>
        <w:t xml:space="preserve">Tetrafonia tetragonioides </w:t>
      </w:r>
      <w:r w:rsidRPr="004D2DBA">
        <w:rPr>
          <w:rFonts w:ascii="Arial" w:hAnsi="Arial" w:cs="Arial"/>
          <w:noProof/>
          <w:sz w:val="20"/>
          <w:szCs w:val="20"/>
        </w:rPr>
        <w:t xml:space="preserve"> leaves grovon in southeastern Nigeria. </w:t>
      </w:r>
      <w:r w:rsidRPr="004D2DBA">
        <w:rPr>
          <w:rFonts w:ascii="Arial" w:hAnsi="Arial" w:cs="Arial"/>
          <w:i/>
          <w:iCs/>
          <w:noProof/>
          <w:sz w:val="20"/>
          <w:szCs w:val="20"/>
        </w:rPr>
        <w:t xml:space="preserve">Chemsearch Journal, </w:t>
      </w:r>
      <w:r w:rsidRPr="004D2DBA">
        <w:rPr>
          <w:rFonts w:ascii="Arial" w:hAnsi="Arial" w:cs="Arial"/>
          <w:noProof/>
          <w:sz w:val="20"/>
          <w:szCs w:val="20"/>
        </w:rPr>
        <w:t>12(2):1-5</w:t>
      </w:r>
    </w:p>
    <w:p w14:paraId="5F51E5FC" w14:textId="77777777" w:rsidR="002161CE" w:rsidRPr="004D2DBA" w:rsidRDefault="002161CE" w:rsidP="002161CE">
      <w:pPr>
        <w:spacing w:before="240" w:after="0" w:line="240" w:lineRule="auto"/>
        <w:ind w:left="810" w:hanging="810"/>
        <w:jc w:val="both"/>
        <w:rPr>
          <w:rFonts w:ascii="Arial" w:hAnsi="Arial" w:cs="Arial"/>
          <w:noProof/>
          <w:sz w:val="20"/>
          <w:szCs w:val="20"/>
        </w:rPr>
      </w:pPr>
      <w:r w:rsidRPr="004D2DBA">
        <w:rPr>
          <w:rFonts w:ascii="Arial" w:hAnsi="Arial" w:cs="Arial"/>
          <w:noProof/>
          <w:sz w:val="20"/>
          <w:szCs w:val="20"/>
        </w:rPr>
        <w:t xml:space="preserve">Danso, J., Alemawor, F., Boateng, R., Barimah, J., and Kumah, D.B. (2019). Effect of drying on the nutrient and anti-nutrient composition of Bombax buonopozense sepals. </w:t>
      </w:r>
      <w:r w:rsidRPr="004D2DBA">
        <w:rPr>
          <w:rFonts w:ascii="Arial" w:hAnsi="Arial" w:cs="Arial"/>
          <w:i/>
          <w:iCs/>
          <w:noProof/>
          <w:sz w:val="20"/>
          <w:szCs w:val="20"/>
        </w:rPr>
        <w:t xml:space="preserve">African Journal of Food Science, </w:t>
      </w:r>
      <w:r w:rsidRPr="004D2DBA">
        <w:rPr>
          <w:rFonts w:ascii="Arial" w:hAnsi="Arial" w:cs="Arial"/>
          <w:noProof/>
          <w:sz w:val="20"/>
          <w:szCs w:val="20"/>
        </w:rPr>
        <w:t>13(1):21-29</w:t>
      </w:r>
    </w:p>
    <w:p w14:paraId="63F0E6F6"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Dhar, R., Olabisi, M. A., </w:t>
      </w:r>
      <w:proofErr w:type="spellStart"/>
      <w:r w:rsidRPr="004D2DBA">
        <w:rPr>
          <w:rFonts w:ascii="Arial" w:hAnsi="Arial" w:cs="Arial"/>
          <w:sz w:val="20"/>
          <w:szCs w:val="20"/>
        </w:rPr>
        <w:t>Ogunbayo</w:t>
      </w:r>
      <w:proofErr w:type="spellEnd"/>
      <w:r w:rsidRPr="004D2DBA">
        <w:rPr>
          <w:rFonts w:ascii="Arial" w:hAnsi="Arial" w:cs="Arial"/>
          <w:sz w:val="20"/>
          <w:szCs w:val="20"/>
        </w:rPr>
        <w:t xml:space="preserve">, I. E., </w:t>
      </w:r>
      <w:proofErr w:type="spellStart"/>
      <w:r w:rsidRPr="004D2DBA">
        <w:rPr>
          <w:rFonts w:ascii="Arial" w:hAnsi="Arial" w:cs="Arial"/>
          <w:sz w:val="20"/>
          <w:szCs w:val="20"/>
        </w:rPr>
        <w:t>Olutegbe</w:t>
      </w:r>
      <w:proofErr w:type="spellEnd"/>
      <w:r w:rsidRPr="004D2DBA">
        <w:rPr>
          <w:rFonts w:ascii="Arial" w:hAnsi="Arial" w:cs="Arial"/>
          <w:sz w:val="20"/>
          <w:szCs w:val="20"/>
        </w:rPr>
        <w:t xml:space="preserve">, N. S., Akano, O. I., &amp; </w:t>
      </w:r>
      <w:proofErr w:type="spellStart"/>
      <w:r w:rsidRPr="004D2DBA">
        <w:rPr>
          <w:rFonts w:ascii="Arial" w:hAnsi="Arial" w:cs="Arial"/>
          <w:sz w:val="20"/>
          <w:szCs w:val="20"/>
        </w:rPr>
        <w:t>Tschirley</w:t>
      </w:r>
      <w:proofErr w:type="spellEnd"/>
      <w:r w:rsidRPr="004D2DBA">
        <w:rPr>
          <w:rFonts w:ascii="Arial" w:hAnsi="Arial" w:cs="Arial"/>
          <w:sz w:val="20"/>
          <w:szCs w:val="20"/>
        </w:rPr>
        <w:t xml:space="preserve">, D. L. (2024). Food demand responses to global price shocks: Contrasts in sub-national evidence from Nigeria. Food Security, 16(6), 1419-1443. </w:t>
      </w:r>
      <w:hyperlink r:id="rId19" w:history="1">
        <w:r w:rsidRPr="004D2DBA">
          <w:rPr>
            <w:rStyle w:val="Hyperlink"/>
            <w:rFonts w:ascii="Arial" w:hAnsi="Arial" w:cs="Arial"/>
            <w:color w:val="auto"/>
            <w:sz w:val="20"/>
            <w:szCs w:val="20"/>
            <w:u w:val="none"/>
          </w:rPr>
          <w:t>https://doi.org/10.1007/s12571-024-01490-9</w:t>
        </w:r>
      </w:hyperlink>
    </w:p>
    <w:p w14:paraId="2BD95338" w14:textId="77777777" w:rsidR="002161CE" w:rsidRPr="004D2DBA" w:rsidRDefault="002161CE" w:rsidP="002161CE">
      <w:pPr>
        <w:spacing w:before="240" w:after="0" w:line="240" w:lineRule="auto"/>
        <w:ind w:left="810" w:hanging="810"/>
        <w:jc w:val="both"/>
        <w:rPr>
          <w:rFonts w:ascii="Arial" w:hAnsi="Arial" w:cs="Arial"/>
          <w:i/>
          <w:iCs/>
          <w:sz w:val="20"/>
          <w:szCs w:val="20"/>
        </w:rPr>
      </w:pPr>
      <w:r w:rsidRPr="004D2DBA">
        <w:rPr>
          <w:rFonts w:ascii="Arial" w:hAnsi="Arial" w:cs="Arial"/>
          <w:sz w:val="20"/>
          <w:szCs w:val="20"/>
        </w:rPr>
        <w:t xml:space="preserve">Edet E.E, </w:t>
      </w:r>
      <w:proofErr w:type="spellStart"/>
      <w:r w:rsidRPr="004D2DBA">
        <w:rPr>
          <w:rFonts w:ascii="Arial" w:hAnsi="Arial" w:cs="Arial"/>
          <w:sz w:val="20"/>
          <w:szCs w:val="20"/>
        </w:rPr>
        <w:t>Onwuka</w:t>
      </w:r>
      <w:proofErr w:type="spellEnd"/>
      <w:r w:rsidRPr="004D2DBA">
        <w:rPr>
          <w:rFonts w:ascii="Arial" w:hAnsi="Arial" w:cs="Arial"/>
          <w:sz w:val="20"/>
          <w:szCs w:val="20"/>
        </w:rPr>
        <w:t xml:space="preserve"> GI, </w:t>
      </w:r>
      <w:proofErr w:type="spellStart"/>
      <w:r w:rsidRPr="004D2DBA">
        <w:rPr>
          <w:rFonts w:ascii="Arial" w:hAnsi="Arial" w:cs="Arial"/>
          <w:sz w:val="20"/>
          <w:szCs w:val="20"/>
        </w:rPr>
        <w:t>Orieke</w:t>
      </w:r>
      <w:proofErr w:type="spellEnd"/>
      <w:r w:rsidRPr="004D2DBA">
        <w:rPr>
          <w:rFonts w:ascii="Arial" w:hAnsi="Arial" w:cs="Arial"/>
          <w:sz w:val="20"/>
          <w:szCs w:val="20"/>
        </w:rPr>
        <w:t xml:space="preserve"> COM (2017) </w:t>
      </w:r>
      <w:proofErr w:type="spellStart"/>
      <w:r w:rsidRPr="004D2DBA">
        <w:rPr>
          <w:rFonts w:ascii="Arial" w:hAnsi="Arial" w:cs="Arial"/>
          <w:sz w:val="20"/>
          <w:szCs w:val="20"/>
        </w:rPr>
        <w:t>Nutritonal</w:t>
      </w:r>
      <w:proofErr w:type="spellEnd"/>
      <w:r w:rsidRPr="004D2DBA">
        <w:rPr>
          <w:rFonts w:ascii="Arial" w:hAnsi="Arial" w:cs="Arial"/>
          <w:sz w:val="20"/>
          <w:szCs w:val="20"/>
        </w:rPr>
        <w:t xml:space="preserve"> properties of composite flour (Blends of Rice (Oryza sativa), </w:t>
      </w:r>
      <w:proofErr w:type="spellStart"/>
      <w:r w:rsidRPr="004D2DBA">
        <w:rPr>
          <w:rFonts w:ascii="Arial" w:hAnsi="Arial" w:cs="Arial"/>
          <w:sz w:val="20"/>
          <w:szCs w:val="20"/>
        </w:rPr>
        <w:t>acha</w:t>
      </w:r>
      <w:proofErr w:type="spellEnd"/>
      <w:r w:rsidRPr="004D2DBA">
        <w:rPr>
          <w:rFonts w:ascii="Arial" w:hAnsi="Arial" w:cs="Arial"/>
          <w:sz w:val="20"/>
          <w:szCs w:val="20"/>
        </w:rPr>
        <w:t xml:space="preserve"> (</w:t>
      </w:r>
      <w:proofErr w:type="spellStart"/>
      <w:r w:rsidRPr="004D2DBA">
        <w:rPr>
          <w:rFonts w:ascii="Arial" w:hAnsi="Arial" w:cs="Arial"/>
          <w:sz w:val="20"/>
          <w:szCs w:val="20"/>
        </w:rPr>
        <w:t>Digitaria</w:t>
      </w:r>
      <w:proofErr w:type="spellEnd"/>
      <w:r w:rsidRPr="004D2DBA">
        <w:rPr>
          <w:rFonts w:ascii="Arial" w:hAnsi="Arial" w:cs="Arial"/>
          <w:sz w:val="20"/>
          <w:szCs w:val="20"/>
        </w:rPr>
        <w:t xml:space="preserve"> </w:t>
      </w:r>
      <w:proofErr w:type="spellStart"/>
      <w:r w:rsidRPr="004D2DBA">
        <w:rPr>
          <w:rFonts w:ascii="Arial" w:hAnsi="Arial" w:cs="Arial"/>
          <w:sz w:val="20"/>
          <w:szCs w:val="20"/>
        </w:rPr>
        <w:t>exilis</w:t>
      </w:r>
      <w:proofErr w:type="spellEnd"/>
      <w:r w:rsidRPr="004D2DBA">
        <w:rPr>
          <w:rFonts w:ascii="Arial" w:hAnsi="Arial" w:cs="Arial"/>
          <w:sz w:val="20"/>
          <w:szCs w:val="20"/>
        </w:rPr>
        <w:t xml:space="preserve">) and soybeans (Glycine max) and sensory properties of noodles produced from the flour. </w:t>
      </w:r>
      <w:r w:rsidRPr="004D2DBA">
        <w:rPr>
          <w:rFonts w:ascii="Arial" w:hAnsi="Arial" w:cs="Arial"/>
          <w:i/>
          <w:iCs/>
          <w:sz w:val="20"/>
          <w:szCs w:val="20"/>
        </w:rPr>
        <w:t xml:space="preserve">Asian Journal of Advances in Agricultural Research 1(2): 1-13. </w:t>
      </w:r>
    </w:p>
    <w:p w14:paraId="4B5A5BBE" w14:textId="77777777" w:rsidR="002161CE" w:rsidRPr="004D2DBA" w:rsidRDefault="002161CE" w:rsidP="002161CE">
      <w:pPr>
        <w:spacing w:before="240" w:after="0" w:line="240" w:lineRule="auto"/>
        <w:ind w:left="810" w:hanging="810"/>
        <w:jc w:val="both"/>
        <w:rPr>
          <w:rFonts w:ascii="Arial" w:hAnsi="Arial" w:cs="Arial"/>
          <w:noProof/>
          <w:sz w:val="20"/>
          <w:szCs w:val="20"/>
        </w:rPr>
      </w:pPr>
      <w:r w:rsidRPr="004D2DBA">
        <w:rPr>
          <w:rFonts w:ascii="Arial" w:hAnsi="Arial" w:cs="Arial"/>
          <w:noProof/>
          <w:sz w:val="20"/>
          <w:szCs w:val="20"/>
        </w:rPr>
        <w:t xml:space="preserve">Egbuonu, A.C.C. and Nzewi, D.C. (2016). Influence of blanching on some nutrient and antinutrient compositions of bitter yam (Dioscorea dumetorum). </w:t>
      </w:r>
      <w:r w:rsidRPr="004D2DBA">
        <w:rPr>
          <w:rFonts w:ascii="Arial" w:hAnsi="Arial" w:cs="Arial"/>
          <w:i/>
          <w:iCs/>
          <w:noProof/>
          <w:sz w:val="20"/>
          <w:szCs w:val="20"/>
        </w:rPr>
        <w:t xml:space="preserve">British journal of Applied Science and Technology, </w:t>
      </w:r>
      <w:r w:rsidRPr="004D2DBA">
        <w:rPr>
          <w:rFonts w:ascii="Arial" w:hAnsi="Arial" w:cs="Arial"/>
          <w:noProof/>
          <w:sz w:val="20"/>
          <w:szCs w:val="20"/>
        </w:rPr>
        <w:t>16(2): 1-8</w:t>
      </w:r>
    </w:p>
    <w:p w14:paraId="647E5E0A"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FAO 2019. FAO and the situation of food security and nutrition in the world</w:t>
      </w:r>
    </w:p>
    <w:p w14:paraId="5EEA938D"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lastRenderedPageBreak/>
        <w:t>Gemede</w:t>
      </w:r>
      <w:proofErr w:type="spellEnd"/>
      <w:r w:rsidRPr="004D2DBA">
        <w:rPr>
          <w:rFonts w:ascii="Arial" w:hAnsi="Arial" w:cs="Arial"/>
          <w:sz w:val="20"/>
          <w:szCs w:val="20"/>
        </w:rPr>
        <w:t xml:space="preserve">, H.F., and </w:t>
      </w:r>
      <w:proofErr w:type="spellStart"/>
      <w:proofErr w:type="gramStart"/>
      <w:r w:rsidRPr="004D2DBA">
        <w:rPr>
          <w:rFonts w:ascii="Arial" w:hAnsi="Arial" w:cs="Arial"/>
          <w:sz w:val="20"/>
          <w:szCs w:val="20"/>
        </w:rPr>
        <w:t>N.Ratta</w:t>
      </w:r>
      <w:proofErr w:type="spellEnd"/>
      <w:proofErr w:type="gramEnd"/>
      <w:r w:rsidRPr="004D2DBA">
        <w:rPr>
          <w:rFonts w:ascii="Arial" w:hAnsi="Arial" w:cs="Arial"/>
          <w:sz w:val="20"/>
          <w:szCs w:val="20"/>
        </w:rPr>
        <w:t xml:space="preserve">. 2014. Antinutritional factors in plant foods: potential health benefits and adverse effects. </w:t>
      </w:r>
      <w:r w:rsidRPr="004D2DBA">
        <w:rPr>
          <w:rFonts w:ascii="Arial" w:hAnsi="Arial" w:cs="Arial"/>
          <w:i/>
          <w:iCs/>
          <w:sz w:val="20"/>
          <w:szCs w:val="20"/>
        </w:rPr>
        <w:t xml:space="preserve"> International Journal of Nutrition and Food Science </w:t>
      </w:r>
      <w:r w:rsidRPr="004D2DBA">
        <w:rPr>
          <w:rFonts w:ascii="Arial" w:hAnsi="Arial" w:cs="Arial"/>
          <w:sz w:val="20"/>
          <w:szCs w:val="20"/>
        </w:rPr>
        <w:t>3:284-289</w:t>
      </w:r>
    </w:p>
    <w:p w14:paraId="682B73F8"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Gernah</w:t>
      </w:r>
      <w:proofErr w:type="spellEnd"/>
      <w:r w:rsidRPr="004D2DBA">
        <w:rPr>
          <w:rFonts w:ascii="Arial" w:hAnsi="Arial" w:cs="Arial"/>
          <w:sz w:val="20"/>
          <w:szCs w:val="20"/>
        </w:rPr>
        <w:t xml:space="preserve"> D. I, &amp; </w:t>
      </w:r>
      <w:proofErr w:type="spellStart"/>
      <w:r w:rsidRPr="004D2DBA">
        <w:rPr>
          <w:rFonts w:ascii="Arial" w:hAnsi="Arial" w:cs="Arial"/>
          <w:sz w:val="20"/>
          <w:szCs w:val="20"/>
        </w:rPr>
        <w:t>Gbakaan</w:t>
      </w:r>
      <w:proofErr w:type="spellEnd"/>
      <w:r w:rsidRPr="004D2DBA">
        <w:rPr>
          <w:rFonts w:ascii="Arial" w:hAnsi="Arial" w:cs="Arial"/>
          <w:sz w:val="20"/>
          <w:szCs w:val="20"/>
        </w:rPr>
        <w:t xml:space="preserve">, P. (2013). Effect of potassium carbonate (K2CO3) on the Viscosity and Related Physicochemical Properties of </w:t>
      </w:r>
      <w:proofErr w:type="spellStart"/>
      <w:r w:rsidRPr="004D2DBA">
        <w:rPr>
          <w:rFonts w:ascii="Arial" w:hAnsi="Arial" w:cs="Arial"/>
          <w:sz w:val="20"/>
          <w:szCs w:val="20"/>
        </w:rPr>
        <w:t>Genger</w:t>
      </w:r>
      <w:proofErr w:type="spellEnd"/>
      <w:r w:rsidRPr="004D2DBA">
        <w:rPr>
          <w:rFonts w:ascii="Arial" w:hAnsi="Arial" w:cs="Arial"/>
          <w:sz w:val="20"/>
          <w:szCs w:val="20"/>
        </w:rPr>
        <w:t xml:space="preserve"> (</w:t>
      </w:r>
      <w:r w:rsidRPr="004D2DBA">
        <w:rPr>
          <w:rFonts w:ascii="Arial" w:hAnsi="Arial" w:cs="Arial"/>
          <w:i/>
          <w:iCs/>
          <w:sz w:val="20"/>
          <w:szCs w:val="20"/>
        </w:rPr>
        <w:t xml:space="preserve">Bombax </w:t>
      </w:r>
      <w:proofErr w:type="spellStart"/>
      <w:r w:rsidRPr="004D2DBA">
        <w:rPr>
          <w:rFonts w:ascii="Arial" w:hAnsi="Arial" w:cs="Arial"/>
          <w:i/>
          <w:iCs/>
          <w:sz w:val="20"/>
          <w:szCs w:val="20"/>
        </w:rPr>
        <w:t>costatum</w:t>
      </w:r>
      <w:proofErr w:type="spellEnd"/>
      <w:r w:rsidRPr="004D2DBA">
        <w:rPr>
          <w:rFonts w:ascii="Arial" w:hAnsi="Arial" w:cs="Arial"/>
          <w:sz w:val="20"/>
          <w:szCs w:val="20"/>
        </w:rPr>
        <w:t xml:space="preserve">) Power during Storage.  Current </w:t>
      </w:r>
      <w:proofErr w:type="spellStart"/>
      <w:r w:rsidRPr="004D2DBA">
        <w:rPr>
          <w:rFonts w:ascii="Arial" w:hAnsi="Arial" w:cs="Arial"/>
          <w:sz w:val="20"/>
          <w:szCs w:val="20"/>
        </w:rPr>
        <w:t>Reseach</w:t>
      </w:r>
      <w:proofErr w:type="spellEnd"/>
      <w:r w:rsidRPr="004D2DBA">
        <w:rPr>
          <w:rFonts w:ascii="Arial" w:hAnsi="Arial" w:cs="Arial"/>
          <w:sz w:val="20"/>
          <w:szCs w:val="20"/>
        </w:rPr>
        <w:t xml:space="preserve"> in Nutrition and Food Science, 1(1), 77-82. </w:t>
      </w:r>
      <w:hyperlink r:id="rId20" w:history="1">
        <w:r w:rsidRPr="004D2DBA">
          <w:rPr>
            <w:rStyle w:val="Hyperlink"/>
            <w:rFonts w:ascii="Arial" w:hAnsi="Arial" w:cs="Arial"/>
            <w:color w:val="auto"/>
            <w:sz w:val="20"/>
            <w:szCs w:val="20"/>
            <w:u w:val="none"/>
          </w:rPr>
          <w:t>https://doi.org/doi:dx.doi.org/10.12944/CRNFSJ.1.1.08</w:t>
        </w:r>
      </w:hyperlink>
    </w:p>
    <w:p w14:paraId="660CD293"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Giovanna Muscogiuri, Luigi Barrea, Massimiliano, Florencia Ceriani, Alberto. O. Chavez, Marwan El </w:t>
      </w:r>
      <w:proofErr w:type="spellStart"/>
      <w:r w:rsidRPr="004D2DBA">
        <w:rPr>
          <w:rFonts w:ascii="Arial" w:hAnsi="Arial" w:cs="Arial"/>
          <w:sz w:val="20"/>
          <w:szCs w:val="20"/>
        </w:rPr>
        <w:t>Ghoch</w:t>
      </w:r>
      <w:proofErr w:type="spellEnd"/>
      <w:r w:rsidRPr="004D2DBA">
        <w:rPr>
          <w:rFonts w:ascii="Arial" w:hAnsi="Arial" w:cs="Arial"/>
          <w:sz w:val="20"/>
          <w:szCs w:val="20"/>
        </w:rPr>
        <w:t xml:space="preserve"> (2021). Nutritional guidelines for management of insulin resistance. </w:t>
      </w:r>
      <w:hyperlink r:id="rId21" w:history="1">
        <w:r w:rsidRPr="004D2DBA">
          <w:rPr>
            <w:rStyle w:val="Hyperlink"/>
            <w:rFonts w:ascii="Arial" w:hAnsi="Arial" w:cs="Arial"/>
            <w:color w:val="auto"/>
            <w:sz w:val="20"/>
            <w:szCs w:val="20"/>
            <w:u w:val="none"/>
          </w:rPr>
          <w:t>http://doi.org/10.1080/10408398.2021.1908223</w:t>
        </w:r>
      </w:hyperlink>
    </w:p>
    <w:p w14:paraId="14F7374F"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Hallen E., </w:t>
      </w:r>
      <w:proofErr w:type="spellStart"/>
      <w:r w:rsidRPr="004D2DBA">
        <w:rPr>
          <w:rFonts w:ascii="Arial" w:hAnsi="Arial" w:cs="Arial"/>
          <w:sz w:val="20"/>
          <w:szCs w:val="20"/>
        </w:rPr>
        <w:t>Ibanglu</w:t>
      </w:r>
      <w:proofErr w:type="spellEnd"/>
      <w:r w:rsidRPr="004D2DBA">
        <w:rPr>
          <w:rFonts w:ascii="Arial" w:hAnsi="Arial" w:cs="Arial"/>
          <w:sz w:val="20"/>
          <w:szCs w:val="20"/>
        </w:rPr>
        <w:t xml:space="preserve"> S., </w:t>
      </w:r>
      <w:proofErr w:type="spellStart"/>
      <w:r w:rsidRPr="004D2DBA">
        <w:rPr>
          <w:rFonts w:ascii="Arial" w:hAnsi="Arial" w:cs="Arial"/>
          <w:sz w:val="20"/>
          <w:szCs w:val="20"/>
        </w:rPr>
        <w:t>Ainswoth</w:t>
      </w:r>
      <w:proofErr w:type="spellEnd"/>
      <w:r w:rsidRPr="004D2DBA">
        <w:rPr>
          <w:rFonts w:ascii="Arial" w:hAnsi="Arial" w:cs="Arial"/>
          <w:sz w:val="20"/>
          <w:szCs w:val="20"/>
        </w:rPr>
        <w:t xml:space="preserve"> P., (2004). Effect of fermented /germinated cowpea flour added on the rheological and bakery properties of wheat flour. J Food Engr 63: 177-184</w:t>
      </w:r>
    </w:p>
    <w:p w14:paraId="6B11865F" w14:textId="77777777" w:rsidR="002161CE" w:rsidRPr="004D2DBA" w:rsidRDefault="002161CE" w:rsidP="002161CE">
      <w:pPr>
        <w:widowControl w:val="0"/>
        <w:autoSpaceDE w:val="0"/>
        <w:autoSpaceDN w:val="0"/>
        <w:adjustRightInd w:val="0"/>
        <w:spacing w:line="240" w:lineRule="auto"/>
        <w:ind w:left="480" w:hanging="480"/>
        <w:jc w:val="both"/>
        <w:rPr>
          <w:rFonts w:ascii="Arial" w:hAnsi="Arial" w:cs="Arial"/>
          <w:i/>
          <w:iCs/>
          <w:noProof/>
          <w:sz w:val="20"/>
          <w:szCs w:val="20"/>
        </w:rPr>
      </w:pPr>
      <w:r w:rsidRPr="004D2DBA">
        <w:rPr>
          <w:rFonts w:ascii="Arial" w:hAnsi="Arial" w:cs="Arial"/>
          <w:noProof/>
          <w:sz w:val="20"/>
          <w:szCs w:val="20"/>
        </w:rPr>
        <w:t xml:space="preserve">Ibeabuchi, J.C., Bede, N.E., Kabuo, N.O., Uzoukwu, A.E., Eluchie, C.N., and Ofoedu, C.E., (2020). Proximate composition, functional properties and oil characterization of “Kpaakpa” (Hildergardia barteri) seed. </w:t>
      </w:r>
      <w:r w:rsidRPr="004D2DBA">
        <w:rPr>
          <w:rFonts w:ascii="Arial" w:hAnsi="Arial" w:cs="Arial"/>
          <w:i/>
          <w:iCs/>
          <w:noProof/>
          <w:sz w:val="20"/>
          <w:szCs w:val="20"/>
        </w:rPr>
        <w:t>Research Journal of Food Science and Nutrition, 5,16-29.</w:t>
      </w:r>
    </w:p>
    <w:p w14:paraId="1A5CDEF4"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Idowu MA, Adeola AA, Olaniyan DJ, et al. (2017) Quality evaluation of cocoyam-cowpea flour blends and sensory attributes of their cooked pasta (Amala). Annals. Food Science and Technology 87(2): 183-191.</w:t>
      </w:r>
    </w:p>
    <w:p w14:paraId="77E1F49A" w14:textId="77777777" w:rsidR="002161CE" w:rsidRPr="004D2DBA" w:rsidRDefault="002161CE" w:rsidP="002161CE">
      <w:pPr>
        <w:spacing w:before="240" w:after="0" w:line="240" w:lineRule="auto"/>
        <w:ind w:left="810" w:hanging="810"/>
        <w:jc w:val="both"/>
        <w:rPr>
          <w:rFonts w:ascii="Arial" w:hAnsi="Arial" w:cs="Arial"/>
          <w:i/>
          <w:iCs/>
          <w:sz w:val="20"/>
          <w:szCs w:val="20"/>
        </w:rPr>
      </w:pPr>
      <w:r w:rsidRPr="004D2DBA">
        <w:rPr>
          <w:rFonts w:ascii="Arial" w:hAnsi="Arial" w:cs="Arial"/>
          <w:sz w:val="20"/>
          <w:szCs w:val="20"/>
        </w:rPr>
        <w:t xml:space="preserve">James. S, Nwokocha L., James Y., Abdulsalam R. A., </w:t>
      </w:r>
      <w:proofErr w:type="spellStart"/>
      <w:r w:rsidRPr="004D2DBA">
        <w:rPr>
          <w:rFonts w:ascii="Arial" w:hAnsi="Arial" w:cs="Arial"/>
          <w:sz w:val="20"/>
          <w:szCs w:val="20"/>
        </w:rPr>
        <w:t>Amuga</w:t>
      </w:r>
      <w:proofErr w:type="spellEnd"/>
      <w:r w:rsidRPr="004D2DBA">
        <w:rPr>
          <w:rFonts w:ascii="Arial" w:hAnsi="Arial" w:cs="Arial"/>
          <w:sz w:val="20"/>
          <w:szCs w:val="20"/>
        </w:rPr>
        <w:t xml:space="preserve"> S. J., Ibrahim I.B., &amp; </w:t>
      </w:r>
      <w:proofErr w:type="spellStart"/>
      <w:r w:rsidRPr="004D2DBA">
        <w:rPr>
          <w:rFonts w:ascii="Arial" w:hAnsi="Arial" w:cs="Arial"/>
          <w:sz w:val="20"/>
          <w:szCs w:val="20"/>
        </w:rPr>
        <w:t>Yakkubu</w:t>
      </w:r>
      <w:proofErr w:type="spellEnd"/>
      <w:r w:rsidRPr="004D2DBA">
        <w:rPr>
          <w:rFonts w:ascii="Arial" w:hAnsi="Arial" w:cs="Arial"/>
          <w:sz w:val="20"/>
          <w:szCs w:val="20"/>
        </w:rPr>
        <w:t xml:space="preserve"> C.M., (2017). </w:t>
      </w:r>
      <w:r w:rsidRPr="004D2DBA">
        <w:rPr>
          <w:rFonts w:ascii="Arial" w:hAnsi="Arial" w:cs="Arial"/>
          <w:i/>
          <w:iCs/>
          <w:sz w:val="20"/>
          <w:szCs w:val="20"/>
        </w:rPr>
        <w:t>Journal of Tropical Agriculture, Food, Environment and Extension volume 16 Number 1 (January 2017) pp 26-30.</w:t>
      </w:r>
    </w:p>
    <w:p w14:paraId="3271C077"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Kabilar</w:t>
      </w:r>
      <w:proofErr w:type="spellEnd"/>
      <w:r w:rsidRPr="004D2DBA">
        <w:rPr>
          <w:rFonts w:ascii="Arial" w:hAnsi="Arial" w:cs="Arial"/>
          <w:sz w:val="20"/>
          <w:szCs w:val="20"/>
        </w:rPr>
        <w:t xml:space="preserve"> </w:t>
      </w:r>
      <w:proofErr w:type="spellStart"/>
      <w:r w:rsidRPr="004D2DBA">
        <w:rPr>
          <w:rFonts w:ascii="Arial" w:hAnsi="Arial" w:cs="Arial"/>
          <w:sz w:val="20"/>
          <w:szCs w:val="20"/>
        </w:rPr>
        <w:t>Gunalam</w:t>
      </w:r>
      <w:proofErr w:type="spellEnd"/>
      <w:r w:rsidRPr="004D2DBA">
        <w:rPr>
          <w:rFonts w:ascii="Arial" w:hAnsi="Arial" w:cs="Arial"/>
          <w:sz w:val="20"/>
          <w:szCs w:val="20"/>
        </w:rPr>
        <w:t xml:space="preserve">, Bryan Howell, Cameron C. </w:t>
      </w:r>
      <w:proofErr w:type="spellStart"/>
      <w:r w:rsidRPr="004D2DBA">
        <w:rPr>
          <w:rFonts w:ascii="Arial" w:hAnsi="Arial" w:cs="Arial"/>
          <w:sz w:val="20"/>
          <w:szCs w:val="20"/>
        </w:rPr>
        <w:t>Mclntyro</w:t>
      </w:r>
      <w:proofErr w:type="spellEnd"/>
      <w:r w:rsidRPr="004D2DBA">
        <w:rPr>
          <w:rFonts w:ascii="Arial" w:hAnsi="Arial" w:cs="Arial"/>
          <w:sz w:val="20"/>
          <w:szCs w:val="20"/>
        </w:rPr>
        <w:t xml:space="preserve"> (2018). Quantifying axonal responses in a patient-specific model of subthalamic deep brain stimulation. Journal homepage </w:t>
      </w:r>
      <w:hyperlink r:id="rId22" w:history="1">
        <w:r w:rsidRPr="004D2DBA">
          <w:rPr>
            <w:rStyle w:val="Hyperlink"/>
            <w:rFonts w:ascii="Arial" w:hAnsi="Arial" w:cs="Arial"/>
            <w:color w:val="auto"/>
            <w:sz w:val="20"/>
            <w:szCs w:val="20"/>
            <w:u w:val="none"/>
          </w:rPr>
          <w:t>www.elsevier.com/locate/neuroimage</w:t>
        </w:r>
      </w:hyperlink>
    </w:p>
    <w:p w14:paraId="50F16D45"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Khalid, W., Ali, A., Arshad, M. S., Afzal, F., </w:t>
      </w:r>
      <w:proofErr w:type="spellStart"/>
      <w:r w:rsidRPr="004D2DBA">
        <w:rPr>
          <w:rFonts w:ascii="Arial" w:hAnsi="Arial" w:cs="Arial"/>
          <w:sz w:val="20"/>
          <w:szCs w:val="20"/>
        </w:rPr>
        <w:t>Siddeeg</w:t>
      </w:r>
      <w:proofErr w:type="spellEnd"/>
      <w:r w:rsidRPr="004D2DBA">
        <w:rPr>
          <w:rFonts w:ascii="Arial" w:hAnsi="Arial" w:cs="Arial"/>
          <w:sz w:val="20"/>
          <w:szCs w:val="20"/>
        </w:rPr>
        <w:t xml:space="preserve">, A., Kousar, S., Rahim, M.A., Aziz, A., Maqbool, Z., </w:t>
      </w:r>
      <w:proofErr w:type="spellStart"/>
      <w:r w:rsidRPr="004D2DBA">
        <w:rPr>
          <w:rFonts w:ascii="Arial" w:hAnsi="Arial" w:cs="Arial"/>
          <w:sz w:val="20"/>
          <w:szCs w:val="20"/>
        </w:rPr>
        <w:t>saeed</w:t>
      </w:r>
      <w:proofErr w:type="spellEnd"/>
      <w:r w:rsidRPr="004D2DBA">
        <w:rPr>
          <w:rFonts w:ascii="Arial" w:hAnsi="Arial" w:cs="Arial"/>
          <w:sz w:val="20"/>
          <w:szCs w:val="20"/>
        </w:rPr>
        <w:t xml:space="preserve">, A., Akram, R., &amp; </w:t>
      </w:r>
      <w:proofErr w:type="spellStart"/>
      <w:r w:rsidRPr="004D2DBA">
        <w:rPr>
          <w:rFonts w:ascii="Arial" w:hAnsi="Arial" w:cs="Arial"/>
          <w:sz w:val="20"/>
          <w:szCs w:val="20"/>
        </w:rPr>
        <w:t>Siddeeg</w:t>
      </w:r>
      <w:proofErr w:type="spellEnd"/>
      <w:r w:rsidRPr="004D2DBA">
        <w:rPr>
          <w:rFonts w:ascii="Arial" w:hAnsi="Arial" w:cs="Arial"/>
          <w:sz w:val="20"/>
          <w:szCs w:val="20"/>
        </w:rPr>
        <w:t xml:space="preserve">, A. (2022). Nutrients and bioactive compounds of Sorghum bicolor L. used to prepare functional foods: a review on the efficacy against different chronic disorders. </w:t>
      </w:r>
      <w:r w:rsidRPr="004D2DBA">
        <w:rPr>
          <w:rFonts w:ascii="Arial" w:hAnsi="Arial" w:cs="Arial"/>
          <w:i/>
          <w:iCs/>
          <w:sz w:val="20"/>
          <w:szCs w:val="20"/>
        </w:rPr>
        <w:t>International journal of Food properties</w:t>
      </w:r>
      <w:r w:rsidRPr="004D2DBA">
        <w:rPr>
          <w:rFonts w:ascii="Arial" w:hAnsi="Arial" w:cs="Arial"/>
          <w:sz w:val="20"/>
          <w:szCs w:val="20"/>
        </w:rPr>
        <w:t xml:space="preserve">, 25(1), 1045-1062. </w:t>
      </w:r>
      <w:hyperlink r:id="rId23" w:history="1">
        <w:r w:rsidRPr="004D2DBA">
          <w:rPr>
            <w:rStyle w:val="Hyperlink"/>
            <w:rFonts w:ascii="Arial" w:hAnsi="Arial" w:cs="Arial"/>
            <w:color w:val="auto"/>
            <w:sz w:val="20"/>
            <w:szCs w:val="20"/>
            <w:u w:val="none"/>
          </w:rPr>
          <w:t>https://doi.org/10.1080/10942912.2022.2071293</w:t>
        </w:r>
      </w:hyperlink>
    </w:p>
    <w:p w14:paraId="58F9DA50"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Koua</w:t>
      </w:r>
      <w:proofErr w:type="spellEnd"/>
      <w:r w:rsidRPr="004D2DBA">
        <w:rPr>
          <w:rFonts w:ascii="Arial" w:hAnsi="Arial" w:cs="Arial"/>
          <w:sz w:val="20"/>
          <w:szCs w:val="20"/>
        </w:rPr>
        <w:t xml:space="preserve"> GA, </w:t>
      </w:r>
      <w:proofErr w:type="spellStart"/>
      <w:r w:rsidRPr="004D2DBA">
        <w:rPr>
          <w:rFonts w:ascii="Arial" w:hAnsi="Arial" w:cs="Arial"/>
          <w:sz w:val="20"/>
          <w:szCs w:val="20"/>
        </w:rPr>
        <w:t>Zoué</w:t>
      </w:r>
      <w:proofErr w:type="spellEnd"/>
      <w:r w:rsidRPr="004D2DBA">
        <w:rPr>
          <w:rFonts w:ascii="Arial" w:hAnsi="Arial" w:cs="Arial"/>
          <w:sz w:val="20"/>
          <w:szCs w:val="20"/>
        </w:rPr>
        <w:t xml:space="preserve"> TL, </w:t>
      </w:r>
      <w:proofErr w:type="spellStart"/>
      <w:r w:rsidRPr="004D2DBA">
        <w:rPr>
          <w:rFonts w:ascii="Arial" w:hAnsi="Arial" w:cs="Arial"/>
          <w:sz w:val="20"/>
          <w:szCs w:val="20"/>
        </w:rPr>
        <w:t>Mégnanou</w:t>
      </w:r>
      <w:proofErr w:type="spellEnd"/>
      <w:r w:rsidRPr="004D2DBA">
        <w:rPr>
          <w:rFonts w:ascii="Arial" w:hAnsi="Arial" w:cs="Arial"/>
          <w:sz w:val="20"/>
          <w:szCs w:val="20"/>
        </w:rPr>
        <w:t xml:space="preserve"> RM, e</w:t>
      </w:r>
      <w:r w:rsidRPr="004D2DBA">
        <w:rPr>
          <w:rFonts w:ascii="Arial" w:hAnsi="Arial" w:cs="Arial"/>
          <w:i/>
          <w:iCs/>
          <w:sz w:val="20"/>
          <w:szCs w:val="20"/>
        </w:rPr>
        <w:t>t al</w:t>
      </w:r>
      <w:r w:rsidRPr="004D2DBA">
        <w:rPr>
          <w:rFonts w:ascii="Arial" w:hAnsi="Arial" w:cs="Arial"/>
          <w:sz w:val="20"/>
          <w:szCs w:val="20"/>
        </w:rPr>
        <w:t xml:space="preserve">. (2018) Nutritive profile and provitamin a value of sweet potatoes flours (Ipomoea batatas Lam) consumed in Côte d’Ivoire. Journal of Food Research 7(5): 36-48. </w:t>
      </w:r>
    </w:p>
    <w:p w14:paraId="04391EA2" w14:textId="77777777" w:rsidR="002161CE" w:rsidRPr="004D2DBA" w:rsidRDefault="002161CE" w:rsidP="002161CE">
      <w:pPr>
        <w:widowControl w:val="0"/>
        <w:autoSpaceDE w:val="0"/>
        <w:autoSpaceDN w:val="0"/>
        <w:adjustRightInd w:val="0"/>
        <w:spacing w:line="240" w:lineRule="auto"/>
        <w:ind w:left="960" w:hanging="960"/>
        <w:jc w:val="both"/>
        <w:rPr>
          <w:rFonts w:ascii="Arial" w:hAnsi="Arial" w:cs="Arial"/>
          <w:sz w:val="20"/>
          <w:szCs w:val="20"/>
        </w:rPr>
      </w:pPr>
      <w:proofErr w:type="spellStart"/>
      <w:r w:rsidRPr="004D2DBA">
        <w:rPr>
          <w:rFonts w:ascii="Arial" w:hAnsi="Arial" w:cs="Arial"/>
          <w:sz w:val="20"/>
          <w:szCs w:val="20"/>
        </w:rPr>
        <w:t>Margraget</w:t>
      </w:r>
      <w:proofErr w:type="spellEnd"/>
      <w:r w:rsidRPr="004D2DBA">
        <w:rPr>
          <w:rFonts w:ascii="Arial" w:hAnsi="Arial" w:cs="Arial"/>
          <w:sz w:val="20"/>
          <w:szCs w:val="20"/>
        </w:rPr>
        <w:t xml:space="preserve"> M Smith and James Melrose (2025). Pentosan </w:t>
      </w:r>
      <w:proofErr w:type="spellStart"/>
      <w:r w:rsidRPr="004D2DBA">
        <w:rPr>
          <w:rFonts w:ascii="Arial" w:hAnsi="Arial" w:cs="Arial"/>
          <w:sz w:val="20"/>
          <w:szCs w:val="20"/>
        </w:rPr>
        <w:t>polysulfate</w:t>
      </w:r>
      <w:proofErr w:type="spellEnd"/>
      <w:r w:rsidRPr="004D2DBA">
        <w:rPr>
          <w:rFonts w:ascii="Arial" w:hAnsi="Arial" w:cs="Arial"/>
          <w:sz w:val="20"/>
          <w:szCs w:val="20"/>
        </w:rPr>
        <w:t>, An Anti-</w:t>
      </w:r>
      <w:proofErr w:type="spellStart"/>
      <w:r w:rsidRPr="004D2DBA">
        <w:rPr>
          <w:rFonts w:ascii="Arial" w:hAnsi="Arial" w:cs="Arial"/>
          <w:sz w:val="20"/>
          <w:szCs w:val="20"/>
        </w:rPr>
        <w:t>virol</w:t>
      </w:r>
      <w:proofErr w:type="spellEnd"/>
      <w:r w:rsidRPr="004D2DBA">
        <w:rPr>
          <w:rFonts w:ascii="Arial" w:hAnsi="Arial" w:cs="Arial"/>
          <w:sz w:val="20"/>
          <w:szCs w:val="20"/>
        </w:rPr>
        <w:t xml:space="preserve"> Heparinoid prevents severe acute respiratory syndrome corona virus- 2infection and treats symptoms of long coronavirus Diseases. </w:t>
      </w:r>
      <w:proofErr w:type="spellStart"/>
      <w:r w:rsidRPr="004D2DBA">
        <w:rPr>
          <w:rFonts w:ascii="Arial" w:hAnsi="Arial" w:cs="Arial"/>
          <w:sz w:val="20"/>
          <w:szCs w:val="20"/>
        </w:rPr>
        <w:t>doi</w:t>
      </w:r>
      <w:proofErr w:type="spellEnd"/>
      <w:r w:rsidRPr="004D2DBA">
        <w:rPr>
          <w:rFonts w:ascii="Arial" w:hAnsi="Arial" w:cs="Arial"/>
          <w:sz w:val="20"/>
          <w:szCs w:val="20"/>
        </w:rPr>
        <w:t>: https: doi.org/10.18103/mra.vi318.6735</w:t>
      </w:r>
    </w:p>
    <w:p w14:paraId="1E58F216"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Mwamahonje</w:t>
      </w:r>
      <w:proofErr w:type="spellEnd"/>
      <w:r w:rsidRPr="004D2DBA">
        <w:rPr>
          <w:rFonts w:ascii="Arial" w:hAnsi="Arial" w:cs="Arial"/>
          <w:sz w:val="20"/>
          <w:szCs w:val="20"/>
        </w:rPr>
        <w:t xml:space="preserve">, A., </w:t>
      </w:r>
      <w:proofErr w:type="spellStart"/>
      <w:r w:rsidRPr="004D2DBA">
        <w:rPr>
          <w:rFonts w:ascii="Arial" w:hAnsi="Arial" w:cs="Arial"/>
          <w:sz w:val="20"/>
          <w:szCs w:val="20"/>
        </w:rPr>
        <w:t>Mdindikkasi</w:t>
      </w:r>
      <w:proofErr w:type="spellEnd"/>
      <w:r w:rsidRPr="004D2DBA">
        <w:rPr>
          <w:rFonts w:ascii="Arial" w:hAnsi="Arial" w:cs="Arial"/>
          <w:sz w:val="20"/>
          <w:szCs w:val="20"/>
        </w:rPr>
        <w:t xml:space="preserve">, Z., </w:t>
      </w:r>
      <w:proofErr w:type="spellStart"/>
      <w:r w:rsidRPr="004D2DBA">
        <w:rPr>
          <w:rFonts w:ascii="Arial" w:hAnsi="Arial" w:cs="Arial"/>
          <w:sz w:val="20"/>
          <w:szCs w:val="20"/>
        </w:rPr>
        <w:t>Mchau</w:t>
      </w:r>
      <w:proofErr w:type="spellEnd"/>
      <w:r w:rsidRPr="004D2DBA">
        <w:rPr>
          <w:rFonts w:ascii="Arial" w:hAnsi="Arial" w:cs="Arial"/>
          <w:sz w:val="20"/>
          <w:szCs w:val="20"/>
        </w:rPr>
        <w:t xml:space="preserve">, D., Mwenda, E., Sanga, D., Lu, A., &amp; </w:t>
      </w:r>
      <w:proofErr w:type="spellStart"/>
      <w:r w:rsidRPr="004D2DBA">
        <w:rPr>
          <w:rFonts w:ascii="Arial" w:hAnsi="Arial" w:cs="Arial"/>
          <w:sz w:val="20"/>
          <w:szCs w:val="20"/>
        </w:rPr>
        <w:t>Ojiewo</w:t>
      </w:r>
      <w:proofErr w:type="spellEnd"/>
      <w:r w:rsidRPr="004D2DBA">
        <w:rPr>
          <w:rFonts w:ascii="Arial" w:hAnsi="Arial" w:cs="Arial"/>
          <w:sz w:val="20"/>
          <w:szCs w:val="20"/>
        </w:rPr>
        <w:t xml:space="preserve">, C.O. (2024). Advances in Sorghum Improvement for Climent Resilience in the Global Arid and Semi-Arid Tropics: A Review. Agronomy, 14(12), 3025. </w:t>
      </w:r>
      <w:hyperlink r:id="rId24" w:history="1">
        <w:r w:rsidRPr="004D2DBA">
          <w:rPr>
            <w:rStyle w:val="Hyperlink"/>
            <w:rFonts w:ascii="Arial" w:hAnsi="Arial" w:cs="Arial"/>
            <w:color w:val="auto"/>
            <w:sz w:val="20"/>
            <w:szCs w:val="20"/>
            <w:u w:val="none"/>
          </w:rPr>
          <w:t>https://doi.org/doi.org/10.3390/agronomy14123025</w:t>
        </w:r>
      </w:hyperlink>
    </w:p>
    <w:p w14:paraId="554C0989" w14:textId="77777777" w:rsidR="002161CE" w:rsidRPr="004D2DBA" w:rsidRDefault="002161CE" w:rsidP="002161CE">
      <w:pPr>
        <w:widowControl w:val="0"/>
        <w:autoSpaceDE w:val="0"/>
        <w:autoSpaceDN w:val="0"/>
        <w:adjustRightInd w:val="0"/>
        <w:spacing w:line="240" w:lineRule="auto"/>
        <w:ind w:left="480" w:hanging="480"/>
        <w:jc w:val="both"/>
        <w:rPr>
          <w:rFonts w:ascii="Arial" w:hAnsi="Arial" w:cs="Arial"/>
          <w:sz w:val="20"/>
          <w:szCs w:val="20"/>
        </w:rPr>
      </w:pPr>
      <w:proofErr w:type="spellStart"/>
      <w:r w:rsidRPr="004D2DBA">
        <w:rPr>
          <w:rFonts w:ascii="Arial" w:hAnsi="Arial" w:cs="Arial"/>
          <w:sz w:val="20"/>
          <w:szCs w:val="20"/>
        </w:rPr>
        <w:t>Natol</w:t>
      </w:r>
      <w:proofErr w:type="spellEnd"/>
      <w:r w:rsidRPr="004D2DBA">
        <w:rPr>
          <w:rFonts w:ascii="Arial" w:hAnsi="Arial" w:cs="Arial"/>
          <w:sz w:val="20"/>
          <w:szCs w:val="20"/>
        </w:rPr>
        <w:t xml:space="preserve"> </w:t>
      </w:r>
      <w:proofErr w:type="spellStart"/>
      <w:r w:rsidRPr="004D2DBA">
        <w:rPr>
          <w:rFonts w:ascii="Arial" w:hAnsi="Arial" w:cs="Arial"/>
          <w:sz w:val="20"/>
          <w:szCs w:val="20"/>
        </w:rPr>
        <w:t>Anbese</w:t>
      </w:r>
      <w:proofErr w:type="spellEnd"/>
      <w:r w:rsidRPr="004D2DBA">
        <w:rPr>
          <w:rFonts w:ascii="Arial" w:hAnsi="Arial" w:cs="Arial"/>
          <w:sz w:val="20"/>
          <w:szCs w:val="20"/>
        </w:rPr>
        <w:t xml:space="preserve"> </w:t>
      </w:r>
      <w:proofErr w:type="spellStart"/>
      <w:r w:rsidRPr="004D2DBA">
        <w:rPr>
          <w:rFonts w:ascii="Arial" w:hAnsi="Arial" w:cs="Arial"/>
          <w:sz w:val="20"/>
          <w:szCs w:val="20"/>
        </w:rPr>
        <w:t>Jiru</w:t>
      </w:r>
      <w:proofErr w:type="spellEnd"/>
      <w:r w:rsidRPr="004D2DBA">
        <w:rPr>
          <w:rFonts w:ascii="Arial" w:hAnsi="Arial" w:cs="Arial"/>
          <w:sz w:val="20"/>
          <w:szCs w:val="20"/>
        </w:rPr>
        <w:t xml:space="preserve">, </w:t>
      </w:r>
      <w:proofErr w:type="spellStart"/>
      <w:r w:rsidRPr="004D2DBA">
        <w:rPr>
          <w:rFonts w:ascii="Arial" w:hAnsi="Arial" w:cs="Arial"/>
          <w:sz w:val="20"/>
          <w:szCs w:val="20"/>
        </w:rPr>
        <w:t>Habtamu</w:t>
      </w:r>
      <w:proofErr w:type="spellEnd"/>
      <w:r w:rsidRPr="004D2DBA">
        <w:rPr>
          <w:rFonts w:ascii="Arial" w:hAnsi="Arial" w:cs="Arial"/>
          <w:sz w:val="20"/>
          <w:szCs w:val="20"/>
        </w:rPr>
        <w:t xml:space="preserve"> </w:t>
      </w:r>
      <w:proofErr w:type="spellStart"/>
      <w:r w:rsidRPr="004D2DBA">
        <w:rPr>
          <w:rFonts w:ascii="Arial" w:hAnsi="Arial" w:cs="Arial"/>
          <w:sz w:val="20"/>
          <w:szCs w:val="20"/>
        </w:rPr>
        <w:t>Fekadu</w:t>
      </w:r>
      <w:proofErr w:type="spellEnd"/>
      <w:r w:rsidRPr="004D2DBA">
        <w:rPr>
          <w:rFonts w:ascii="Arial" w:hAnsi="Arial" w:cs="Arial"/>
          <w:sz w:val="20"/>
          <w:szCs w:val="20"/>
        </w:rPr>
        <w:t xml:space="preserve"> </w:t>
      </w:r>
      <w:proofErr w:type="spellStart"/>
      <w:r w:rsidRPr="004D2DBA">
        <w:rPr>
          <w:rFonts w:ascii="Arial" w:hAnsi="Arial" w:cs="Arial"/>
          <w:sz w:val="20"/>
          <w:szCs w:val="20"/>
        </w:rPr>
        <w:t>Gemede</w:t>
      </w:r>
      <w:proofErr w:type="spellEnd"/>
      <w:r w:rsidRPr="004D2DBA">
        <w:rPr>
          <w:rFonts w:ascii="Arial" w:hAnsi="Arial" w:cs="Arial"/>
          <w:sz w:val="20"/>
          <w:szCs w:val="20"/>
        </w:rPr>
        <w:t xml:space="preserve"> &amp; </w:t>
      </w:r>
      <w:proofErr w:type="spellStart"/>
      <w:r w:rsidRPr="004D2DBA">
        <w:rPr>
          <w:rFonts w:ascii="Arial" w:hAnsi="Arial" w:cs="Arial"/>
          <w:sz w:val="20"/>
          <w:szCs w:val="20"/>
        </w:rPr>
        <w:t>Ebisa</w:t>
      </w:r>
      <w:proofErr w:type="spellEnd"/>
      <w:r w:rsidRPr="004D2DBA">
        <w:rPr>
          <w:rFonts w:ascii="Arial" w:hAnsi="Arial" w:cs="Arial"/>
          <w:sz w:val="20"/>
          <w:szCs w:val="20"/>
        </w:rPr>
        <w:t xml:space="preserve"> </w:t>
      </w:r>
      <w:proofErr w:type="spellStart"/>
      <w:r w:rsidRPr="004D2DBA">
        <w:rPr>
          <w:rFonts w:ascii="Arial" w:hAnsi="Arial" w:cs="Arial"/>
          <w:sz w:val="20"/>
          <w:szCs w:val="20"/>
        </w:rPr>
        <w:t>Olika</w:t>
      </w:r>
      <w:proofErr w:type="spellEnd"/>
      <w:r w:rsidRPr="004D2DBA">
        <w:rPr>
          <w:rFonts w:ascii="Arial" w:hAnsi="Arial" w:cs="Arial"/>
          <w:sz w:val="20"/>
          <w:szCs w:val="20"/>
        </w:rPr>
        <w:t xml:space="preserve"> Keyata (2023) Nutritional Composition and Antioxidant Properties of Selected Underutilized Wild Edible Fruits in East </w:t>
      </w:r>
      <w:proofErr w:type="spellStart"/>
      <w:r w:rsidRPr="004D2DBA">
        <w:rPr>
          <w:rFonts w:ascii="Arial" w:hAnsi="Arial" w:cs="Arial"/>
          <w:sz w:val="20"/>
          <w:szCs w:val="20"/>
        </w:rPr>
        <w:t>Wollega</w:t>
      </w:r>
      <w:proofErr w:type="spellEnd"/>
      <w:r w:rsidRPr="004D2DBA">
        <w:rPr>
          <w:rFonts w:ascii="Arial" w:hAnsi="Arial" w:cs="Arial"/>
          <w:sz w:val="20"/>
          <w:szCs w:val="20"/>
        </w:rPr>
        <w:t xml:space="preserve"> Zone, Western Ethiopia, International Journal of Fruit Science, 23:1, 34-45, DOI: 10.1080/15538362.2023.2166649</w:t>
      </w:r>
    </w:p>
    <w:p w14:paraId="6116BAEA" w14:textId="77777777" w:rsidR="002161CE" w:rsidRPr="004D2DBA" w:rsidRDefault="002161CE" w:rsidP="002161CE">
      <w:pPr>
        <w:widowControl w:val="0"/>
        <w:autoSpaceDE w:val="0"/>
        <w:autoSpaceDN w:val="0"/>
        <w:adjustRightInd w:val="0"/>
        <w:spacing w:line="240" w:lineRule="auto"/>
        <w:ind w:left="480" w:hanging="480"/>
        <w:jc w:val="both"/>
        <w:rPr>
          <w:rFonts w:ascii="Arial" w:hAnsi="Arial" w:cs="Arial"/>
          <w:sz w:val="20"/>
          <w:szCs w:val="20"/>
        </w:rPr>
      </w:pPr>
      <w:proofErr w:type="spellStart"/>
      <w:r w:rsidRPr="004D2DBA">
        <w:rPr>
          <w:rFonts w:ascii="Arial" w:hAnsi="Arial" w:cs="Arial"/>
          <w:sz w:val="20"/>
          <w:szCs w:val="20"/>
        </w:rPr>
        <w:t>Natthaphon</w:t>
      </w:r>
      <w:proofErr w:type="spellEnd"/>
      <w:r w:rsidRPr="004D2DBA">
        <w:rPr>
          <w:rFonts w:ascii="Arial" w:hAnsi="Arial" w:cs="Arial"/>
          <w:sz w:val="20"/>
          <w:szCs w:val="20"/>
        </w:rPr>
        <w:t xml:space="preserve"> </w:t>
      </w:r>
      <w:proofErr w:type="spellStart"/>
      <w:r w:rsidRPr="004D2DBA">
        <w:rPr>
          <w:rFonts w:ascii="Arial" w:hAnsi="Arial" w:cs="Arial"/>
          <w:sz w:val="20"/>
          <w:szCs w:val="20"/>
        </w:rPr>
        <w:t>Thatsanasuwan</w:t>
      </w:r>
      <w:proofErr w:type="spellEnd"/>
      <w:r w:rsidRPr="004D2DBA">
        <w:rPr>
          <w:rFonts w:ascii="Arial" w:hAnsi="Arial" w:cs="Arial"/>
          <w:sz w:val="20"/>
          <w:szCs w:val="20"/>
        </w:rPr>
        <w:t xml:space="preserve">, </w:t>
      </w:r>
      <w:proofErr w:type="spellStart"/>
      <w:r w:rsidRPr="004D2DBA">
        <w:rPr>
          <w:rFonts w:ascii="Arial" w:hAnsi="Arial" w:cs="Arial"/>
          <w:sz w:val="20"/>
          <w:szCs w:val="20"/>
        </w:rPr>
        <w:t>Acharaporn</w:t>
      </w:r>
      <w:proofErr w:type="spellEnd"/>
      <w:r w:rsidRPr="004D2DBA">
        <w:rPr>
          <w:rFonts w:ascii="Arial" w:hAnsi="Arial" w:cs="Arial"/>
          <w:sz w:val="20"/>
          <w:szCs w:val="20"/>
        </w:rPr>
        <w:t xml:space="preserve"> </w:t>
      </w:r>
      <w:proofErr w:type="spellStart"/>
      <w:r w:rsidRPr="004D2DBA">
        <w:rPr>
          <w:rFonts w:ascii="Arial" w:hAnsi="Arial" w:cs="Arial"/>
          <w:sz w:val="20"/>
          <w:szCs w:val="20"/>
        </w:rPr>
        <w:t>Duangjai</w:t>
      </w:r>
      <w:proofErr w:type="spellEnd"/>
      <w:r w:rsidRPr="004D2DBA">
        <w:rPr>
          <w:rFonts w:ascii="Arial" w:hAnsi="Arial" w:cs="Arial"/>
          <w:sz w:val="20"/>
          <w:szCs w:val="20"/>
        </w:rPr>
        <w:t xml:space="preserve">, </w:t>
      </w:r>
      <w:proofErr w:type="spellStart"/>
      <w:r w:rsidRPr="004D2DBA">
        <w:rPr>
          <w:rFonts w:ascii="Arial" w:hAnsi="Arial" w:cs="Arial"/>
          <w:sz w:val="20"/>
          <w:szCs w:val="20"/>
        </w:rPr>
        <w:t>Pannatat</w:t>
      </w:r>
      <w:proofErr w:type="spellEnd"/>
      <w:r w:rsidRPr="004D2DBA">
        <w:rPr>
          <w:rFonts w:ascii="Arial" w:hAnsi="Arial" w:cs="Arial"/>
          <w:sz w:val="20"/>
          <w:szCs w:val="20"/>
        </w:rPr>
        <w:t xml:space="preserve"> </w:t>
      </w:r>
      <w:proofErr w:type="spellStart"/>
      <w:r w:rsidRPr="004D2DBA">
        <w:rPr>
          <w:rFonts w:ascii="Arial" w:hAnsi="Arial" w:cs="Arial"/>
          <w:sz w:val="20"/>
          <w:szCs w:val="20"/>
        </w:rPr>
        <w:t>scttirak</w:t>
      </w:r>
      <w:proofErr w:type="spellEnd"/>
      <w:r w:rsidRPr="004D2DBA">
        <w:rPr>
          <w:rFonts w:ascii="Arial" w:hAnsi="Arial" w:cs="Arial"/>
          <w:sz w:val="20"/>
          <w:szCs w:val="20"/>
        </w:rPr>
        <w:t xml:space="preserve">, </w:t>
      </w:r>
      <w:proofErr w:type="spellStart"/>
      <w:r w:rsidRPr="004D2DBA">
        <w:rPr>
          <w:rFonts w:ascii="Arial" w:hAnsi="Arial" w:cs="Arial"/>
          <w:sz w:val="20"/>
          <w:szCs w:val="20"/>
        </w:rPr>
        <w:t>Nantsara</w:t>
      </w:r>
      <w:proofErr w:type="spellEnd"/>
      <w:r w:rsidRPr="004D2DBA">
        <w:rPr>
          <w:rFonts w:ascii="Arial" w:hAnsi="Arial" w:cs="Arial"/>
          <w:sz w:val="20"/>
          <w:szCs w:val="20"/>
        </w:rPr>
        <w:t xml:space="preserve"> </w:t>
      </w:r>
      <w:proofErr w:type="spellStart"/>
      <w:r w:rsidRPr="004D2DBA">
        <w:rPr>
          <w:rFonts w:ascii="Arial" w:hAnsi="Arial" w:cs="Arial"/>
          <w:sz w:val="20"/>
          <w:szCs w:val="20"/>
        </w:rPr>
        <w:t>Phanthurat</w:t>
      </w:r>
      <w:proofErr w:type="spellEnd"/>
      <w:r w:rsidRPr="004D2DBA">
        <w:rPr>
          <w:rFonts w:ascii="Arial" w:hAnsi="Arial" w:cs="Arial"/>
          <w:sz w:val="20"/>
          <w:szCs w:val="20"/>
        </w:rPr>
        <w:t xml:space="preserve"> (2023). Proximate composition and sensory attributes of gluten-free pasta made from Jackfruit seeds.</w:t>
      </w:r>
    </w:p>
    <w:p w14:paraId="400D7D4C" w14:textId="77777777" w:rsidR="002161CE" w:rsidRPr="004D2DBA" w:rsidRDefault="002161CE" w:rsidP="002161CE">
      <w:pPr>
        <w:widowControl w:val="0"/>
        <w:autoSpaceDE w:val="0"/>
        <w:autoSpaceDN w:val="0"/>
        <w:adjustRightInd w:val="0"/>
        <w:spacing w:line="240" w:lineRule="auto"/>
        <w:ind w:left="960" w:hanging="960"/>
        <w:jc w:val="both"/>
        <w:rPr>
          <w:rFonts w:ascii="Arial" w:hAnsi="Arial" w:cs="Arial"/>
          <w:i/>
          <w:iCs/>
          <w:sz w:val="20"/>
          <w:szCs w:val="20"/>
        </w:rPr>
      </w:pPr>
      <w:r w:rsidRPr="004D2DBA">
        <w:rPr>
          <w:rFonts w:ascii="Arial" w:hAnsi="Arial" w:cs="Arial"/>
          <w:sz w:val="20"/>
          <w:szCs w:val="20"/>
        </w:rPr>
        <w:t xml:space="preserve">Naureen Naeem, M. Amjad Khan, </w:t>
      </w:r>
      <w:proofErr w:type="spellStart"/>
      <w:r w:rsidRPr="004D2DBA">
        <w:rPr>
          <w:rFonts w:ascii="Arial" w:hAnsi="Arial" w:cs="Arial"/>
          <w:sz w:val="20"/>
          <w:szCs w:val="20"/>
        </w:rPr>
        <w:t>Ageela</w:t>
      </w:r>
      <w:proofErr w:type="spellEnd"/>
      <w:r w:rsidRPr="004D2DBA">
        <w:rPr>
          <w:rFonts w:ascii="Arial" w:hAnsi="Arial" w:cs="Arial"/>
          <w:sz w:val="20"/>
          <w:szCs w:val="20"/>
        </w:rPr>
        <w:t xml:space="preserve"> Ashraf, Shabbir Hussain Syeda Mona Hassam, Muhammad Shoaib Aslam (2019). Development of chia seed oil-supplemented ice cream and assessment of its efficacy against hypercholesterolemia. </w:t>
      </w:r>
      <w:r w:rsidRPr="004D2DBA">
        <w:rPr>
          <w:rFonts w:ascii="Arial" w:hAnsi="Arial" w:cs="Arial"/>
          <w:i/>
          <w:iCs/>
          <w:sz w:val="20"/>
          <w:szCs w:val="20"/>
        </w:rPr>
        <w:t xml:space="preserve">LGU Journal of Life Science </w:t>
      </w:r>
    </w:p>
    <w:p w14:paraId="608CA1BA" w14:textId="77777777" w:rsidR="002161CE" w:rsidRPr="004D2DBA" w:rsidRDefault="002161CE" w:rsidP="002161CE">
      <w:pPr>
        <w:spacing w:before="240" w:after="0" w:line="240" w:lineRule="auto"/>
        <w:ind w:left="810" w:hanging="810"/>
        <w:jc w:val="both"/>
        <w:rPr>
          <w:rFonts w:ascii="Arial" w:hAnsi="Arial" w:cs="Arial"/>
          <w:noProof/>
          <w:sz w:val="20"/>
          <w:szCs w:val="20"/>
        </w:rPr>
      </w:pPr>
      <w:r w:rsidRPr="004D2DBA">
        <w:rPr>
          <w:rFonts w:ascii="Arial" w:hAnsi="Arial" w:cs="Arial"/>
          <w:noProof/>
          <w:sz w:val="20"/>
          <w:szCs w:val="20"/>
        </w:rPr>
        <w:lastRenderedPageBreak/>
        <w:t xml:space="preserve">Ndife, J., Abasiekong, K.S., Nwekex, B., Linus-Chibuezeh, A., and Ezeocha, V.C. (2020). Production and comparative quality evaluation of Chin-Chin snacks from maize, soybean and orange fleshed sweet potato flour blends. FUDMA </w:t>
      </w:r>
      <w:r w:rsidRPr="004D2DBA">
        <w:rPr>
          <w:rFonts w:ascii="Arial" w:hAnsi="Arial" w:cs="Arial"/>
          <w:i/>
          <w:iCs/>
          <w:noProof/>
          <w:sz w:val="20"/>
          <w:szCs w:val="20"/>
        </w:rPr>
        <w:t xml:space="preserve"> Journal of Science, </w:t>
      </w:r>
      <w:r w:rsidRPr="004D2DBA">
        <w:rPr>
          <w:rFonts w:ascii="Arial" w:hAnsi="Arial" w:cs="Arial"/>
          <w:noProof/>
          <w:sz w:val="20"/>
          <w:szCs w:val="20"/>
        </w:rPr>
        <w:t>4, 300-307.</w:t>
      </w:r>
    </w:p>
    <w:p w14:paraId="0E25439A"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Norhaizan</w:t>
      </w:r>
      <w:proofErr w:type="spellEnd"/>
      <w:r w:rsidRPr="004D2DBA">
        <w:rPr>
          <w:rFonts w:ascii="Arial" w:hAnsi="Arial" w:cs="Arial"/>
          <w:sz w:val="20"/>
          <w:szCs w:val="20"/>
        </w:rPr>
        <w:t xml:space="preserve">, M. E and </w:t>
      </w:r>
      <w:proofErr w:type="spellStart"/>
      <w:r w:rsidRPr="004D2DBA">
        <w:rPr>
          <w:rFonts w:ascii="Arial" w:hAnsi="Arial" w:cs="Arial"/>
          <w:sz w:val="20"/>
          <w:szCs w:val="20"/>
        </w:rPr>
        <w:t>Norfaizadatul</w:t>
      </w:r>
      <w:proofErr w:type="spellEnd"/>
      <w:r w:rsidRPr="004D2DBA">
        <w:rPr>
          <w:rFonts w:ascii="Arial" w:hAnsi="Arial" w:cs="Arial"/>
          <w:sz w:val="20"/>
          <w:szCs w:val="20"/>
        </w:rPr>
        <w:t xml:space="preserve">, A.A. (2009). Determination of phytate, iron, zinc, calcium contents and their molar ratios in commonly consumed raw and prepared food in Malaysia. </w:t>
      </w:r>
      <w:r w:rsidRPr="004D2DBA">
        <w:rPr>
          <w:rFonts w:ascii="Arial" w:hAnsi="Arial" w:cs="Arial"/>
          <w:i/>
          <w:iCs/>
          <w:sz w:val="20"/>
          <w:szCs w:val="20"/>
        </w:rPr>
        <w:t xml:space="preserve">Malnutrition Journal of Nutrition, </w:t>
      </w:r>
      <w:r w:rsidRPr="004D2DBA">
        <w:rPr>
          <w:rFonts w:ascii="Arial" w:hAnsi="Arial" w:cs="Arial"/>
          <w:sz w:val="20"/>
          <w:szCs w:val="20"/>
        </w:rPr>
        <w:t>15:213-222.</w:t>
      </w:r>
    </w:p>
    <w:p w14:paraId="469F150E"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Nwafor J. O., Kanu A. N., Kelechukwu E. C., </w:t>
      </w:r>
      <w:proofErr w:type="spellStart"/>
      <w:r w:rsidRPr="004D2DBA">
        <w:rPr>
          <w:rFonts w:ascii="Arial" w:hAnsi="Arial" w:cs="Arial"/>
          <w:sz w:val="20"/>
          <w:szCs w:val="20"/>
        </w:rPr>
        <w:t>Nwohu</w:t>
      </w:r>
      <w:proofErr w:type="spellEnd"/>
      <w:r w:rsidRPr="004D2DBA">
        <w:rPr>
          <w:rFonts w:ascii="Arial" w:hAnsi="Arial" w:cs="Arial"/>
          <w:sz w:val="20"/>
          <w:szCs w:val="20"/>
        </w:rPr>
        <w:t xml:space="preserve"> N. O. and </w:t>
      </w:r>
      <w:proofErr w:type="spellStart"/>
      <w:r w:rsidRPr="004D2DBA">
        <w:rPr>
          <w:rFonts w:ascii="Arial" w:hAnsi="Arial" w:cs="Arial"/>
          <w:sz w:val="20"/>
          <w:szCs w:val="20"/>
        </w:rPr>
        <w:t>Ezebuiro</w:t>
      </w:r>
      <w:proofErr w:type="spellEnd"/>
      <w:r w:rsidRPr="004D2DBA">
        <w:rPr>
          <w:rFonts w:ascii="Arial" w:hAnsi="Arial" w:cs="Arial"/>
          <w:sz w:val="20"/>
          <w:szCs w:val="20"/>
        </w:rPr>
        <w:t xml:space="preserve"> V. N. (2020). </w:t>
      </w:r>
      <w:proofErr w:type="spellStart"/>
      <w:r w:rsidRPr="004D2DBA">
        <w:rPr>
          <w:rFonts w:ascii="Arial" w:hAnsi="Arial" w:cs="Arial"/>
          <w:sz w:val="20"/>
          <w:szCs w:val="20"/>
        </w:rPr>
        <w:t>Physico</w:t>
      </w:r>
      <w:proofErr w:type="spellEnd"/>
      <w:r w:rsidRPr="004D2DBA">
        <w:rPr>
          <w:rFonts w:ascii="Arial" w:hAnsi="Arial" w:cs="Arial"/>
          <w:sz w:val="20"/>
          <w:szCs w:val="20"/>
        </w:rPr>
        <w:t xml:space="preserve">-Chemical Properties of Water Yam and Cowpea Flour Blends for Production of Snacks. </w:t>
      </w:r>
      <w:r w:rsidRPr="004D2DBA">
        <w:rPr>
          <w:rFonts w:ascii="Arial" w:hAnsi="Arial" w:cs="Arial"/>
          <w:i/>
          <w:iCs/>
          <w:sz w:val="20"/>
          <w:szCs w:val="20"/>
        </w:rPr>
        <w:t xml:space="preserve">South Asian Journal of Research in Microbiology </w:t>
      </w:r>
      <w:r w:rsidRPr="004D2DBA">
        <w:rPr>
          <w:rFonts w:ascii="Arial" w:hAnsi="Arial" w:cs="Arial"/>
          <w:sz w:val="20"/>
          <w:szCs w:val="20"/>
        </w:rPr>
        <w:t>6(3): 1-8.</w:t>
      </w:r>
    </w:p>
    <w:p w14:paraId="5FF79712"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 xml:space="preserve">Okorie DO, </w:t>
      </w:r>
      <w:proofErr w:type="spellStart"/>
      <w:r w:rsidRPr="004D2DBA">
        <w:rPr>
          <w:rFonts w:ascii="Arial" w:hAnsi="Arial" w:cs="Arial"/>
          <w:sz w:val="20"/>
          <w:szCs w:val="20"/>
        </w:rPr>
        <w:t>Eleazu</w:t>
      </w:r>
      <w:proofErr w:type="spellEnd"/>
      <w:r w:rsidRPr="004D2DBA">
        <w:rPr>
          <w:rFonts w:ascii="Arial" w:hAnsi="Arial" w:cs="Arial"/>
          <w:sz w:val="20"/>
          <w:szCs w:val="20"/>
        </w:rPr>
        <w:t xml:space="preserve"> CO, Nwosu P (2015) Nutrient and heavy metal composition of plantain (Musa paradisiaca) and banana (Musa paradisiaca) peels. Journal of Nutrition and Food Sciences 5(3): 1-3. </w:t>
      </w:r>
    </w:p>
    <w:p w14:paraId="386B7757" w14:textId="77777777" w:rsidR="002161CE" w:rsidRPr="004D2DBA" w:rsidRDefault="002161CE" w:rsidP="002161CE">
      <w:pPr>
        <w:spacing w:before="240" w:after="0" w:line="240" w:lineRule="auto"/>
        <w:ind w:left="810" w:hanging="810"/>
        <w:jc w:val="both"/>
        <w:rPr>
          <w:rFonts w:ascii="Arial" w:hAnsi="Arial" w:cs="Arial"/>
          <w:sz w:val="20"/>
          <w:szCs w:val="20"/>
        </w:rPr>
      </w:pPr>
      <w:r w:rsidRPr="004D2DBA">
        <w:rPr>
          <w:rFonts w:ascii="Arial" w:hAnsi="Arial" w:cs="Arial"/>
          <w:sz w:val="20"/>
          <w:szCs w:val="20"/>
        </w:rPr>
        <w:t>Penido MGM, Alon US (2012) Phosphate homeostasis and its role in bone health. Pediatric Nephrology 27(11): 2039- 2048.</w:t>
      </w:r>
    </w:p>
    <w:p w14:paraId="0DCE0A5E" w14:textId="77777777" w:rsidR="002161CE" w:rsidRPr="004D2DBA" w:rsidRDefault="002161CE" w:rsidP="002161CE">
      <w:pPr>
        <w:spacing w:before="240" w:after="0" w:line="240" w:lineRule="auto"/>
        <w:ind w:left="810" w:hanging="810"/>
        <w:jc w:val="both"/>
        <w:rPr>
          <w:rFonts w:ascii="Arial" w:hAnsi="Arial" w:cs="Arial"/>
          <w:sz w:val="20"/>
          <w:szCs w:val="20"/>
        </w:rPr>
      </w:pPr>
      <w:proofErr w:type="spellStart"/>
      <w:r w:rsidRPr="004D2DBA">
        <w:rPr>
          <w:rFonts w:ascii="Arial" w:hAnsi="Arial" w:cs="Arial"/>
          <w:sz w:val="20"/>
          <w:szCs w:val="20"/>
        </w:rPr>
        <w:t>Pharmics</w:t>
      </w:r>
      <w:proofErr w:type="spellEnd"/>
      <w:r w:rsidRPr="004D2DBA">
        <w:rPr>
          <w:rFonts w:ascii="Arial" w:hAnsi="Arial" w:cs="Arial"/>
          <w:sz w:val="20"/>
          <w:szCs w:val="20"/>
        </w:rPr>
        <w:t xml:space="preserve"> (2019) </w:t>
      </w:r>
      <w:proofErr w:type="spellStart"/>
      <w:r w:rsidRPr="004D2DBA">
        <w:rPr>
          <w:rFonts w:ascii="Arial" w:hAnsi="Arial" w:cs="Arial"/>
          <w:sz w:val="20"/>
          <w:szCs w:val="20"/>
        </w:rPr>
        <w:t>Pharmics</w:t>
      </w:r>
      <w:proofErr w:type="spellEnd"/>
      <w:r w:rsidRPr="004D2DBA">
        <w:rPr>
          <w:rFonts w:ascii="Arial" w:hAnsi="Arial" w:cs="Arial"/>
          <w:sz w:val="20"/>
          <w:szCs w:val="20"/>
        </w:rPr>
        <w:t xml:space="preserve"> Inc. </w:t>
      </w:r>
    </w:p>
    <w:p w14:paraId="34706FBF" w14:textId="77777777" w:rsidR="002161CE" w:rsidRDefault="002161CE" w:rsidP="002161CE">
      <w:pPr>
        <w:spacing w:before="240" w:after="0" w:line="240" w:lineRule="auto"/>
        <w:ind w:left="810" w:hanging="810"/>
        <w:jc w:val="both"/>
        <w:rPr>
          <w:rFonts w:ascii="Times New Roman" w:hAnsi="Times New Roman" w:cs="Times New Roman"/>
        </w:rPr>
      </w:pPr>
      <w:r w:rsidRPr="004D2DBA">
        <w:rPr>
          <w:rFonts w:ascii="Arial" w:hAnsi="Arial" w:cs="Arial"/>
          <w:sz w:val="20"/>
          <w:szCs w:val="20"/>
        </w:rPr>
        <w:t xml:space="preserve">Pinel, P., </w:t>
      </w:r>
      <w:proofErr w:type="spellStart"/>
      <w:r w:rsidRPr="004D2DBA">
        <w:rPr>
          <w:rFonts w:ascii="Arial" w:hAnsi="Arial" w:cs="Arial"/>
          <w:sz w:val="20"/>
          <w:szCs w:val="20"/>
        </w:rPr>
        <w:t>Emmambux</w:t>
      </w:r>
      <w:proofErr w:type="spellEnd"/>
      <w:r w:rsidRPr="004D2DBA">
        <w:rPr>
          <w:rFonts w:ascii="Arial" w:hAnsi="Arial" w:cs="Arial"/>
          <w:sz w:val="20"/>
          <w:szCs w:val="20"/>
        </w:rPr>
        <w:t xml:space="preserve">, M. N., </w:t>
      </w:r>
      <w:proofErr w:type="spellStart"/>
      <w:r w:rsidRPr="004D2DBA">
        <w:rPr>
          <w:rFonts w:ascii="Arial" w:hAnsi="Arial" w:cs="Arial"/>
          <w:sz w:val="20"/>
          <w:szCs w:val="20"/>
        </w:rPr>
        <w:t>Bourlieu</w:t>
      </w:r>
      <w:proofErr w:type="spellEnd"/>
      <w:r w:rsidRPr="004D2DBA">
        <w:rPr>
          <w:rFonts w:ascii="Arial" w:hAnsi="Arial" w:cs="Arial"/>
          <w:sz w:val="20"/>
          <w:szCs w:val="20"/>
        </w:rPr>
        <w:t xml:space="preserve">, C., &amp; </w:t>
      </w:r>
      <w:proofErr w:type="spellStart"/>
      <w:r w:rsidRPr="004D2DBA">
        <w:rPr>
          <w:rFonts w:ascii="Arial" w:hAnsi="Arial" w:cs="Arial"/>
          <w:sz w:val="20"/>
          <w:szCs w:val="20"/>
        </w:rPr>
        <w:t>Micard</w:t>
      </w:r>
      <w:proofErr w:type="spellEnd"/>
      <w:r w:rsidRPr="004D2DBA">
        <w:rPr>
          <w:rFonts w:ascii="Arial" w:hAnsi="Arial" w:cs="Arial"/>
          <w:sz w:val="20"/>
          <w:szCs w:val="20"/>
        </w:rPr>
        <w:t>, V. (</w:t>
      </w:r>
      <w:r>
        <w:rPr>
          <w:rFonts w:ascii="Times New Roman" w:hAnsi="Times New Roman" w:cs="Times New Roman"/>
        </w:rPr>
        <w:t xml:space="preserve">2025). Nutritional contributions and processability of pasta made from climate-smart, sustainable crops: A critical review. Critical Reviews in Food Science and Nutrition, 65(2), 207-242. </w:t>
      </w:r>
      <w:hyperlink r:id="rId25" w:history="1">
        <w:r w:rsidRPr="00AA2362">
          <w:rPr>
            <w:rStyle w:val="Hyperlink"/>
            <w:rFonts w:ascii="Times New Roman" w:hAnsi="Times New Roman" w:cs="Times New Roman"/>
            <w:color w:val="auto"/>
            <w:u w:val="none"/>
          </w:rPr>
          <w:t>https://doi.org/10.1080/10408398.2023.2271952</w:t>
        </w:r>
      </w:hyperlink>
    </w:p>
    <w:p w14:paraId="587BC3AF" w14:textId="77777777" w:rsidR="002161CE" w:rsidRPr="000C1837" w:rsidRDefault="002161CE" w:rsidP="002161CE">
      <w:pPr>
        <w:spacing w:before="240" w:after="0" w:line="240" w:lineRule="auto"/>
        <w:ind w:left="810" w:hanging="810"/>
        <w:jc w:val="both"/>
        <w:rPr>
          <w:rFonts w:ascii="Times New Roman" w:hAnsi="Times New Roman" w:cs="Times New Roman"/>
        </w:rPr>
      </w:pPr>
      <w:r w:rsidRPr="000C1837">
        <w:rPr>
          <w:rFonts w:ascii="Times New Roman" w:hAnsi="Times New Roman" w:cs="Times New Roman"/>
        </w:rPr>
        <w:t xml:space="preserve">Price C (2015) </w:t>
      </w:r>
      <w:proofErr w:type="spellStart"/>
      <w:r w:rsidRPr="000C1837">
        <w:rPr>
          <w:rFonts w:ascii="Times New Roman" w:hAnsi="Times New Roman" w:cs="Times New Roman"/>
        </w:rPr>
        <w:t>Vitamania</w:t>
      </w:r>
      <w:proofErr w:type="spellEnd"/>
      <w:r w:rsidRPr="000C1837">
        <w:rPr>
          <w:rFonts w:ascii="Times New Roman" w:hAnsi="Times New Roman" w:cs="Times New Roman"/>
        </w:rPr>
        <w:t>: Our obsessive quest for nutritional perfection. London, Penguin Press.</w:t>
      </w:r>
    </w:p>
    <w:p w14:paraId="1F0EED7D" w14:textId="77777777" w:rsidR="002161CE" w:rsidRDefault="002161CE" w:rsidP="002161CE">
      <w:pPr>
        <w:spacing w:before="240" w:after="0" w:line="240" w:lineRule="auto"/>
        <w:ind w:left="810" w:hanging="810"/>
        <w:jc w:val="both"/>
        <w:rPr>
          <w:rFonts w:ascii="Times New Roman" w:hAnsi="Times New Roman" w:cs="Times New Roman"/>
        </w:rPr>
      </w:pPr>
      <w:proofErr w:type="spellStart"/>
      <w:r w:rsidRPr="00786C74">
        <w:rPr>
          <w:rFonts w:ascii="Times New Roman" w:hAnsi="Times New Roman" w:cs="Times New Roman"/>
        </w:rPr>
        <w:t>Prokopet</w:t>
      </w:r>
      <w:proofErr w:type="spellEnd"/>
      <w:r w:rsidRPr="00786C74">
        <w:rPr>
          <w:rFonts w:ascii="Times New Roman" w:hAnsi="Times New Roman" w:cs="Times New Roman"/>
        </w:rPr>
        <w:t xml:space="preserve">, G; </w:t>
      </w:r>
      <w:proofErr w:type="spellStart"/>
      <w:r w:rsidRPr="00786C74">
        <w:rPr>
          <w:rFonts w:ascii="Times New Roman" w:hAnsi="Times New Roman" w:cs="Times New Roman"/>
        </w:rPr>
        <w:t>Unlenbruck</w:t>
      </w:r>
      <w:proofErr w:type="spellEnd"/>
      <w:r w:rsidRPr="00786C74">
        <w:rPr>
          <w:rFonts w:ascii="Times New Roman" w:hAnsi="Times New Roman" w:cs="Times New Roman"/>
        </w:rPr>
        <w:t xml:space="preserve">, K (2002). </w:t>
      </w:r>
      <w:proofErr w:type="spellStart"/>
      <w:r w:rsidRPr="00786C74">
        <w:rPr>
          <w:rFonts w:ascii="Times New Roman" w:hAnsi="Times New Roman" w:cs="Times New Roman"/>
        </w:rPr>
        <w:t>Protectine</w:t>
      </w:r>
      <w:proofErr w:type="spellEnd"/>
      <w:r w:rsidRPr="00786C74">
        <w:rPr>
          <w:rFonts w:ascii="Times New Roman" w:hAnsi="Times New Roman" w:cs="Times New Roman"/>
        </w:rPr>
        <w:t xml:space="preserve"> </w:t>
      </w:r>
      <w:proofErr w:type="spellStart"/>
      <w:r w:rsidRPr="00786C74">
        <w:rPr>
          <w:rFonts w:ascii="Times New Roman" w:hAnsi="Times New Roman" w:cs="Times New Roman"/>
        </w:rPr>
        <w:t>einenen</w:t>
      </w:r>
      <w:proofErr w:type="spellEnd"/>
      <w:r w:rsidRPr="00786C74">
        <w:rPr>
          <w:rFonts w:ascii="Times New Roman" w:hAnsi="Times New Roman" w:cs="Times New Roman"/>
        </w:rPr>
        <w:t xml:space="preserve"> </w:t>
      </w:r>
      <w:proofErr w:type="spellStart"/>
      <w:r w:rsidRPr="00786C74">
        <w:rPr>
          <w:rFonts w:ascii="Times New Roman" w:hAnsi="Times New Roman" w:cs="Times New Roman"/>
        </w:rPr>
        <w:t>kalsse</w:t>
      </w:r>
      <w:proofErr w:type="spellEnd"/>
      <w:r w:rsidRPr="00786C74">
        <w:rPr>
          <w:rFonts w:ascii="Times New Roman" w:hAnsi="Times New Roman" w:cs="Times New Roman"/>
        </w:rPr>
        <w:t xml:space="preserve"> anti-</w:t>
      </w:r>
      <w:proofErr w:type="spellStart"/>
      <w:r w:rsidRPr="00786C74">
        <w:rPr>
          <w:rFonts w:ascii="Times New Roman" w:hAnsi="Times New Roman" w:cs="Times New Roman"/>
        </w:rPr>
        <w:t>kowperahlich</w:t>
      </w:r>
      <w:proofErr w:type="spellEnd"/>
      <w:r w:rsidRPr="00786C74">
        <w:rPr>
          <w:rFonts w:ascii="Times New Roman" w:hAnsi="Times New Roman" w:cs="Times New Roman"/>
        </w:rPr>
        <w:t xml:space="preserve"> </w:t>
      </w:r>
      <w:proofErr w:type="spellStart"/>
      <w:r w:rsidRPr="00786C74">
        <w:rPr>
          <w:rFonts w:ascii="Times New Roman" w:hAnsi="Times New Roman" w:cs="Times New Roman"/>
        </w:rPr>
        <w:t>verbindungen</w:t>
      </w:r>
      <w:proofErr w:type="spellEnd"/>
      <w:r w:rsidRPr="00786C74">
        <w:rPr>
          <w:rFonts w:ascii="Times New Roman" w:hAnsi="Times New Roman" w:cs="Times New Roman"/>
        </w:rPr>
        <w:t xml:space="preserve"> dish. </w:t>
      </w:r>
      <w:proofErr w:type="spellStart"/>
      <w:r w:rsidRPr="00786C74">
        <w:rPr>
          <w:rFonts w:ascii="Times New Roman" w:hAnsi="Times New Roman" w:cs="Times New Roman"/>
          <w:i/>
          <w:iCs/>
        </w:rPr>
        <w:t>GesHeit</w:t>
      </w:r>
      <w:proofErr w:type="spellEnd"/>
      <w:r w:rsidRPr="00786C74">
        <w:rPr>
          <w:rFonts w:ascii="Times New Roman" w:hAnsi="Times New Roman" w:cs="Times New Roman"/>
          <w:i/>
          <w:iCs/>
        </w:rPr>
        <w:t xml:space="preserve"> </w:t>
      </w:r>
      <w:r w:rsidRPr="00786C74">
        <w:rPr>
          <w:rFonts w:ascii="Times New Roman" w:hAnsi="Times New Roman" w:cs="Times New Roman"/>
        </w:rPr>
        <w:t>23:318-319</w:t>
      </w:r>
      <w:r>
        <w:rPr>
          <w:rFonts w:ascii="Times New Roman" w:hAnsi="Times New Roman" w:cs="Times New Roman"/>
        </w:rPr>
        <w:t xml:space="preserve">. </w:t>
      </w:r>
    </w:p>
    <w:p w14:paraId="1AB990E1" w14:textId="77777777" w:rsidR="002161CE" w:rsidRDefault="002161CE" w:rsidP="002161CE">
      <w:pPr>
        <w:spacing w:before="240" w:after="0" w:line="240" w:lineRule="auto"/>
        <w:ind w:left="810" w:hanging="810"/>
        <w:jc w:val="both"/>
        <w:rPr>
          <w:rFonts w:ascii="Times New Roman" w:hAnsi="Times New Roman" w:cs="Times New Roman"/>
        </w:rPr>
      </w:pPr>
      <w:r w:rsidRPr="000C1837">
        <w:rPr>
          <w:rFonts w:ascii="Times New Roman" w:hAnsi="Times New Roman" w:cs="Times New Roman"/>
        </w:rPr>
        <w:t xml:space="preserve">Sakshi Mishra, Debasmita Sarkar, Payel Roy, Punam Roy, Niranjana Shriram, Souvik Tewari &amp; Khan Farhana (2024). </w:t>
      </w:r>
      <w:r w:rsidRPr="000C1837">
        <w:rPr>
          <w:rFonts w:ascii="Times New Roman" w:hAnsi="Times New Roman" w:cs="Times New Roman"/>
          <w:i/>
          <w:iCs/>
        </w:rPr>
        <w:t xml:space="preserve">International Journal of Advanced Biochemistry Research, </w:t>
      </w:r>
      <w:r w:rsidRPr="000C1837">
        <w:rPr>
          <w:rFonts w:ascii="Times New Roman" w:hAnsi="Times New Roman" w:cs="Times New Roman"/>
        </w:rPr>
        <w:t>8(12):94-96.</w:t>
      </w:r>
    </w:p>
    <w:p w14:paraId="5BF7D19E" w14:textId="77777777" w:rsidR="002161CE" w:rsidRDefault="002161CE" w:rsidP="002161CE">
      <w:pPr>
        <w:spacing w:before="240" w:after="0" w:line="240" w:lineRule="auto"/>
        <w:ind w:left="810" w:hanging="810"/>
        <w:jc w:val="both"/>
        <w:rPr>
          <w:rFonts w:ascii="Times New Roman" w:hAnsi="Times New Roman" w:cs="Times New Roman"/>
        </w:rPr>
      </w:pPr>
      <w:r>
        <w:rPr>
          <w:rFonts w:ascii="Times New Roman" w:hAnsi="Times New Roman" w:cs="Times New Roman"/>
        </w:rPr>
        <w:t xml:space="preserve">Sarkar, A., &amp; Fu, B. X. (2022). Impact of Quality Improvement and Milling Innovation on Durum Wheat and End Products. Foods, 11(1796). </w:t>
      </w:r>
      <w:hyperlink r:id="rId26" w:history="1">
        <w:r w:rsidRPr="0034726A">
          <w:rPr>
            <w:rStyle w:val="Hyperlink"/>
            <w:rFonts w:ascii="Times New Roman" w:hAnsi="Times New Roman" w:cs="Times New Roman"/>
            <w:color w:val="auto"/>
            <w:u w:val="none"/>
          </w:rPr>
          <w:t>https://doi.org/doi.org/10.3390/</w:t>
        </w:r>
      </w:hyperlink>
      <w:r w:rsidRPr="0034726A">
        <w:rPr>
          <w:rFonts w:ascii="Times New Roman" w:hAnsi="Times New Roman" w:cs="Times New Roman"/>
        </w:rPr>
        <w:t xml:space="preserve"> </w:t>
      </w:r>
      <w:r>
        <w:rPr>
          <w:rFonts w:ascii="Times New Roman" w:hAnsi="Times New Roman" w:cs="Times New Roman"/>
        </w:rPr>
        <w:t>foods11121796</w:t>
      </w:r>
    </w:p>
    <w:p w14:paraId="4D3177FC" w14:textId="77777777" w:rsidR="002161CE" w:rsidRPr="000C1837" w:rsidRDefault="002161CE" w:rsidP="002161CE">
      <w:pPr>
        <w:spacing w:before="240" w:after="0" w:line="240" w:lineRule="auto"/>
        <w:ind w:left="810" w:hanging="810"/>
        <w:jc w:val="both"/>
        <w:rPr>
          <w:rFonts w:ascii="Times New Roman" w:hAnsi="Times New Roman" w:cs="Times New Roman"/>
        </w:rPr>
      </w:pPr>
      <w:r w:rsidRPr="000C1837">
        <w:rPr>
          <w:rFonts w:ascii="Times New Roman" w:hAnsi="Times New Roman" w:cs="Times New Roman"/>
        </w:rPr>
        <w:t>Savage, G., &amp;</w:t>
      </w:r>
      <w:proofErr w:type="spellStart"/>
      <w:r w:rsidRPr="000C1837">
        <w:rPr>
          <w:rFonts w:ascii="Times New Roman" w:hAnsi="Times New Roman" w:cs="Times New Roman"/>
        </w:rPr>
        <w:t>Klunklin</w:t>
      </w:r>
      <w:proofErr w:type="spellEnd"/>
      <w:r w:rsidRPr="000C1837">
        <w:rPr>
          <w:rFonts w:ascii="Times New Roman" w:hAnsi="Times New Roman" w:cs="Times New Roman"/>
        </w:rPr>
        <w:t>, W. (2018). Oxalates are found in many different European and Asian foods-effects of cooking and processing. Pp. 76-81.</w:t>
      </w:r>
    </w:p>
    <w:p w14:paraId="7DD4D35D" w14:textId="77777777" w:rsidR="002161CE" w:rsidRDefault="002161CE" w:rsidP="002161CE">
      <w:pPr>
        <w:spacing w:before="240" w:after="0" w:line="240" w:lineRule="auto"/>
        <w:ind w:left="810" w:hanging="810"/>
        <w:jc w:val="both"/>
        <w:rPr>
          <w:rFonts w:ascii="Times New Roman" w:hAnsi="Times New Roman" w:cs="Times New Roman"/>
        </w:rPr>
      </w:pPr>
      <w:proofErr w:type="spellStart"/>
      <w:r>
        <w:rPr>
          <w:rFonts w:ascii="Times New Roman" w:hAnsi="Times New Roman" w:cs="Times New Roman"/>
        </w:rPr>
        <w:t>Shewry</w:t>
      </w:r>
      <w:proofErr w:type="spellEnd"/>
      <w:r>
        <w:rPr>
          <w:rFonts w:ascii="Times New Roman" w:hAnsi="Times New Roman" w:cs="Times New Roman"/>
        </w:rPr>
        <w:t>, P.R., &amp; Hey, S.J. (2015). The contribution of wheat to human diet and health. Food and Energy Security, 4(3), 178-202.https://doi.org/10.1002/fes3.64</w:t>
      </w:r>
    </w:p>
    <w:p w14:paraId="68BD884D" w14:textId="77777777" w:rsidR="002161CE" w:rsidRDefault="002161CE" w:rsidP="002161CE">
      <w:pPr>
        <w:spacing w:before="240" w:after="0" w:line="240" w:lineRule="auto"/>
        <w:ind w:left="810" w:hanging="810"/>
        <w:jc w:val="both"/>
        <w:rPr>
          <w:rFonts w:ascii="Times New Roman" w:hAnsi="Times New Roman" w:cs="Times New Roman"/>
        </w:rPr>
      </w:pPr>
      <w:r>
        <w:rPr>
          <w:rFonts w:ascii="Times New Roman" w:hAnsi="Times New Roman" w:cs="Times New Roman"/>
        </w:rPr>
        <w:t xml:space="preserve">Tanwar, R., </w:t>
      </w:r>
      <w:proofErr w:type="spellStart"/>
      <w:r>
        <w:rPr>
          <w:rFonts w:ascii="Times New Roman" w:hAnsi="Times New Roman" w:cs="Times New Roman"/>
        </w:rPr>
        <w:t>Panghal</w:t>
      </w:r>
      <w:proofErr w:type="spellEnd"/>
      <w:r>
        <w:rPr>
          <w:rFonts w:ascii="Times New Roman" w:hAnsi="Times New Roman" w:cs="Times New Roman"/>
        </w:rPr>
        <w:t xml:space="preserve">, A., Chaudhary, G., Kumari, A., &amp; </w:t>
      </w:r>
      <w:proofErr w:type="spellStart"/>
      <w:r>
        <w:rPr>
          <w:rFonts w:ascii="Times New Roman" w:hAnsi="Times New Roman" w:cs="Times New Roman"/>
        </w:rPr>
        <w:t>Chhikara</w:t>
      </w:r>
      <w:proofErr w:type="spellEnd"/>
      <w:r>
        <w:rPr>
          <w:rFonts w:ascii="Times New Roman" w:hAnsi="Times New Roman" w:cs="Times New Roman"/>
        </w:rPr>
        <w:t xml:space="preserve">, N. (2023). Nutritional, phytochemical and functional potential of sorghum: A review. Food chemistry Advances, 3(100501). </w:t>
      </w:r>
      <w:hyperlink r:id="rId27" w:history="1">
        <w:r w:rsidRPr="00DC20D4">
          <w:rPr>
            <w:rStyle w:val="Hyperlink"/>
            <w:rFonts w:ascii="Times New Roman" w:hAnsi="Times New Roman" w:cs="Times New Roman"/>
            <w:color w:val="auto"/>
            <w:u w:val="none"/>
          </w:rPr>
          <w:t>https://doi.org/10.1016/j.focha.2023.100501</w:t>
        </w:r>
      </w:hyperlink>
    </w:p>
    <w:p w14:paraId="4A22D301" w14:textId="77777777" w:rsidR="002161CE" w:rsidRDefault="002161CE" w:rsidP="002161CE">
      <w:pPr>
        <w:spacing w:before="240" w:after="0" w:line="240" w:lineRule="auto"/>
        <w:ind w:left="810" w:hanging="810"/>
        <w:jc w:val="both"/>
        <w:rPr>
          <w:rFonts w:ascii="Times New Roman" w:hAnsi="Times New Roman" w:cs="Times New Roman"/>
        </w:rPr>
      </w:pPr>
      <w:r>
        <w:rPr>
          <w:rFonts w:ascii="Times New Roman" w:hAnsi="Times New Roman" w:cs="Times New Roman"/>
        </w:rPr>
        <w:lastRenderedPageBreak/>
        <w:t xml:space="preserve">Umar, U. A., &amp; Muhammad, M. B. (2021). Challenges and strategies of wheat production in Nigeria amidst growing demands for wheat and wheat products. </w:t>
      </w:r>
      <w:r w:rsidRPr="006879DD">
        <w:rPr>
          <w:rFonts w:ascii="Times New Roman" w:hAnsi="Times New Roman" w:cs="Times New Roman"/>
          <w:i/>
          <w:iCs/>
        </w:rPr>
        <w:t>Journal of Agriculture and Environment</w:t>
      </w:r>
      <w:r>
        <w:rPr>
          <w:rFonts w:ascii="Times New Roman" w:hAnsi="Times New Roman" w:cs="Times New Roman"/>
        </w:rPr>
        <w:t xml:space="preserve">, 17(2), 1-6. </w:t>
      </w:r>
    </w:p>
    <w:p w14:paraId="3505AFD2" w14:textId="77777777" w:rsidR="002161CE" w:rsidRPr="000C1837" w:rsidRDefault="002161CE" w:rsidP="002161CE">
      <w:pPr>
        <w:spacing w:before="240" w:line="240" w:lineRule="auto"/>
        <w:ind w:left="540" w:hanging="540"/>
        <w:jc w:val="both"/>
        <w:rPr>
          <w:rFonts w:ascii="Times New Roman" w:hAnsi="Times New Roman" w:cs="Times New Roman"/>
        </w:rPr>
      </w:pPr>
      <w:r w:rsidRPr="000C1837">
        <w:rPr>
          <w:rFonts w:ascii="Times New Roman" w:hAnsi="Times New Roman" w:cs="Times New Roman"/>
        </w:rPr>
        <w:t>Usman, G.O. (2012). Production and evaluation of breakfast cereals from blends of African yam bean (</w:t>
      </w:r>
      <w:proofErr w:type="spellStart"/>
      <w:r w:rsidRPr="000C1837">
        <w:rPr>
          <w:rFonts w:ascii="Times New Roman" w:hAnsi="Times New Roman" w:cs="Times New Roman"/>
        </w:rPr>
        <w:t>sphenostylis</w:t>
      </w:r>
      <w:proofErr w:type="spellEnd"/>
      <w:r w:rsidRPr="000C1837">
        <w:rPr>
          <w:rFonts w:ascii="Times New Roman" w:hAnsi="Times New Roman" w:cs="Times New Roman"/>
        </w:rPr>
        <w:t xml:space="preserve"> </w:t>
      </w:r>
      <w:proofErr w:type="spellStart"/>
      <w:r w:rsidRPr="000C1837">
        <w:rPr>
          <w:rFonts w:ascii="Times New Roman" w:hAnsi="Times New Roman" w:cs="Times New Roman"/>
        </w:rPr>
        <w:t>stenocarpa</w:t>
      </w:r>
      <w:proofErr w:type="spellEnd"/>
      <w:r w:rsidRPr="000C1837">
        <w:rPr>
          <w:rFonts w:ascii="Times New Roman" w:hAnsi="Times New Roman" w:cs="Times New Roman"/>
        </w:rPr>
        <w:t>), maize (</w:t>
      </w:r>
      <w:proofErr w:type="spellStart"/>
      <w:r w:rsidRPr="000C1837">
        <w:rPr>
          <w:rFonts w:ascii="Times New Roman" w:hAnsi="Times New Roman" w:cs="Times New Roman"/>
        </w:rPr>
        <w:t>zea</w:t>
      </w:r>
      <w:proofErr w:type="spellEnd"/>
      <w:r w:rsidRPr="000C1837">
        <w:rPr>
          <w:rFonts w:ascii="Times New Roman" w:hAnsi="Times New Roman" w:cs="Times New Roman"/>
        </w:rPr>
        <w:t xml:space="preserve"> mays) and defatted coconut (cocos nucifera). A dissertation submitted to the department of food science and technology, faculty of agriculture, university of Nigeria, Nsukka</w:t>
      </w:r>
    </w:p>
    <w:p w14:paraId="3636D8B1" w14:textId="77777777" w:rsidR="002161CE" w:rsidRPr="000C1837" w:rsidRDefault="002161CE" w:rsidP="002161CE">
      <w:pPr>
        <w:widowControl w:val="0"/>
        <w:autoSpaceDE w:val="0"/>
        <w:autoSpaceDN w:val="0"/>
        <w:adjustRightInd w:val="0"/>
        <w:spacing w:line="240" w:lineRule="auto"/>
        <w:ind w:left="480" w:hanging="480"/>
        <w:jc w:val="both"/>
        <w:rPr>
          <w:rFonts w:ascii="Times New Roman" w:hAnsi="Times New Roman" w:cs="Times New Roman"/>
        </w:rPr>
      </w:pPr>
      <w:r w:rsidRPr="000C1837">
        <w:rPr>
          <w:rFonts w:ascii="Times New Roman" w:hAnsi="Times New Roman" w:cs="Times New Roman"/>
          <w:noProof/>
        </w:rPr>
        <w:t>USRDA. (2015). Dietary Guidelines Recommendation, United States Recommended Dietary allowances</w:t>
      </w:r>
    </w:p>
    <w:p w14:paraId="7123CA20" w14:textId="77777777" w:rsidR="002161CE" w:rsidRPr="000C1837" w:rsidRDefault="002161CE" w:rsidP="002161CE">
      <w:pPr>
        <w:spacing w:before="240" w:after="0" w:line="240" w:lineRule="auto"/>
        <w:ind w:left="810" w:hanging="810"/>
        <w:jc w:val="both"/>
        <w:rPr>
          <w:rFonts w:ascii="Times New Roman" w:hAnsi="Times New Roman" w:cs="Times New Roman"/>
        </w:rPr>
      </w:pPr>
      <w:r w:rsidRPr="000C1837">
        <w:rPr>
          <w:rFonts w:ascii="Times New Roman" w:hAnsi="Times New Roman" w:cs="Times New Roman"/>
        </w:rPr>
        <w:t xml:space="preserve">Vivienne I, Uchenna O, Peace A, et al. (2016) Composition and sensory properties of plantain cake. African Journal of Food Science 10(2): 25-32. </w:t>
      </w:r>
    </w:p>
    <w:p w14:paraId="050E26F0" w14:textId="77777777" w:rsidR="002161CE" w:rsidRPr="000C1837" w:rsidRDefault="002161CE" w:rsidP="002161CE">
      <w:pPr>
        <w:spacing w:before="240" w:after="0" w:line="240" w:lineRule="auto"/>
        <w:ind w:left="810" w:hanging="810"/>
        <w:jc w:val="both"/>
        <w:rPr>
          <w:rFonts w:ascii="Times New Roman" w:hAnsi="Times New Roman" w:cs="Times New Roman"/>
        </w:rPr>
      </w:pPr>
      <w:r w:rsidRPr="000C1837">
        <w:rPr>
          <w:rFonts w:ascii="Times New Roman" w:hAnsi="Times New Roman" w:cs="Times New Roman"/>
        </w:rPr>
        <w:t xml:space="preserve">Yusufu M.I, </w:t>
      </w:r>
      <w:r>
        <w:rPr>
          <w:rFonts w:ascii="Times New Roman" w:hAnsi="Times New Roman" w:cs="Times New Roman"/>
        </w:rPr>
        <w:t xml:space="preserve">and </w:t>
      </w:r>
      <w:r w:rsidRPr="000C1837">
        <w:rPr>
          <w:rFonts w:ascii="Times New Roman" w:hAnsi="Times New Roman" w:cs="Times New Roman"/>
        </w:rPr>
        <w:t xml:space="preserve">Ejeh D.D (2018). Production of Bambara Groundnut Substituted Whole Wheat Bread: Functional Properties and Quality Characteristics. </w:t>
      </w:r>
      <w:r w:rsidRPr="000C1837">
        <w:rPr>
          <w:rFonts w:ascii="Times New Roman" w:hAnsi="Times New Roman" w:cs="Times New Roman"/>
          <w:i/>
          <w:iCs/>
        </w:rPr>
        <w:t xml:space="preserve">Journal of Nutrition and Food </w:t>
      </w:r>
      <w:proofErr w:type="spellStart"/>
      <w:r w:rsidRPr="000C1837">
        <w:rPr>
          <w:rFonts w:ascii="Times New Roman" w:hAnsi="Times New Roman" w:cs="Times New Roman"/>
        </w:rPr>
        <w:t>doi</w:t>
      </w:r>
      <w:proofErr w:type="spellEnd"/>
      <w:r w:rsidRPr="000C1837">
        <w:rPr>
          <w:rFonts w:ascii="Times New Roman" w:hAnsi="Times New Roman" w:cs="Times New Roman"/>
        </w:rPr>
        <w:t>: 10.4172/2155-9600.100073</w:t>
      </w:r>
    </w:p>
    <w:p w14:paraId="0AF87BAA" w14:textId="77777777" w:rsidR="002161CE" w:rsidRPr="00786C74" w:rsidRDefault="002161CE" w:rsidP="002161CE">
      <w:pPr>
        <w:spacing w:before="240" w:after="0" w:line="240" w:lineRule="auto"/>
        <w:ind w:left="810" w:hanging="810"/>
        <w:jc w:val="both"/>
        <w:rPr>
          <w:rFonts w:ascii="Times New Roman" w:hAnsi="Times New Roman" w:cs="Times New Roman"/>
        </w:rPr>
      </w:pPr>
      <w:r w:rsidRPr="00786C74">
        <w:rPr>
          <w:rFonts w:ascii="Times New Roman" w:hAnsi="Times New Roman" w:cs="Times New Roman"/>
        </w:rPr>
        <w:t xml:space="preserve">Zingale, S., Spina, A., Ingrao, C., Fallico, B., Timpanaro, G., Anastasi, U., &amp; Guarnaccia, P. (2023). Factors Affecting the National, Health, and Technology Literature Review. Plants, 12(3), 530. https://doi.org/doi.org/10.3390/plants12030530  </w:t>
      </w:r>
    </w:p>
    <w:p w14:paraId="79ACDE41" w14:textId="77777777" w:rsidR="002161CE" w:rsidRPr="000C1837" w:rsidRDefault="002161CE" w:rsidP="002161CE">
      <w:pPr>
        <w:spacing w:before="240" w:after="0" w:line="240" w:lineRule="auto"/>
        <w:ind w:left="810" w:hanging="810"/>
        <w:jc w:val="both"/>
        <w:rPr>
          <w:rFonts w:ascii="Times New Roman" w:hAnsi="Times New Roman" w:cs="Times New Roman"/>
        </w:rPr>
      </w:pPr>
    </w:p>
    <w:p w14:paraId="0BCC06D4" w14:textId="77777777" w:rsidR="002161CE" w:rsidRDefault="002161CE" w:rsidP="009A7C20">
      <w:pPr>
        <w:spacing w:line="360" w:lineRule="auto"/>
        <w:jc w:val="both"/>
        <w:rPr>
          <w:rFonts w:ascii="Times New Roman" w:hAnsi="Times New Roman" w:cs="Times New Roman"/>
        </w:rPr>
      </w:pPr>
    </w:p>
    <w:p w14:paraId="7331705F" w14:textId="77777777" w:rsidR="002161CE" w:rsidRPr="009A7C20" w:rsidRDefault="002161CE" w:rsidP="009A7C20">
      <w:pPr>
        <w:spacing w:line="360" w:lineRule="auto"/>
        <w:jc w:val="both"/>
        <w:rPr>
          <w:rFonts w:ascii="Times New Roman" w:hAnsi="Times New Roman" w:cs="Times New Roman"/>
        </w:rPr>
      </w:pPr>
    </w:p>
    <w:sectPr w:rsidR="002161CE" w:rsidRPr="009A7C20" w:rsidSect="000635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DB714" w14:textId="77777777" w:rsidR="00772E3D" w:rsidRDefault="00772E3D" w:rsidP="005A34AE">
      <w:pPr>
        <w:spacing w:after="0" w:line="240" w:lineRule="auto"/>
      </w:pPr>
      <w:r>
        <w:separator/>
      </w:r>
    </w:p>
  </w:endnote>
  <w:endnote w:type="continuationSeparator" w:id="0">
    <w:p w14:paraId="01ADD4C2" w14:textId="77777777" w:rsidR="00772E3D" w:rsidRDefault="00772E3D" w:rsidP="005A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Capt">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E6F2" w14:textId="77777777" w:rsidR="00825F57" w:rsidRDefault="00825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F8C7" w14:textId="77777777" w:rsidR="00825F57" w:rsidRDefault="00825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CCC9" w14:textId="77777777" w:rsidR="00825F57" w:rsidRDefault="0082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1DEF" w14:textId="77777777" w:rsidR="00772E3D" w:rsidRDefault="00772E3D" w:rsidP="005A34AE">
      <w:pPr>
        <w:spacing w:after="0" w:line="240" w:lineRule="auto"/>
      </w:pPr>
      <w:r>
        <w:separator/>
      </w:r>
    </w:p>
  </w:footnote>
  <w:footnote w:type="continuationSeparator" w:id="0">
    <w:p w14:paraId="0A4C486F" w14:textId="77777777" w:rsidR="00772E3D" w:rsidRDefault="00772E3D" w:rsidP="005A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586E" w14:textId="4D4A8B79" w:rsidR="00825F57" w:rsidRDefault="00825F57">
    <w:pPr>
      <w:pStyle w:val="Header"/>
    </w:pPr>
    <w:r>
      <w:rPr>
        <w:noProof/>
      </w:rPr>
      <w:pict w14:anchorId="72D41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017A" w14:textId="24CEC294" w:rsidR="00825F57" w:rsidRDefault="00825F57">
    <w:pPr>
      <w:pStyle w:val="Header"/>
    </w:pPr>
    <w:r>
      <w:rPr>
        <w:noProof/>
      </w:rPr>
      <w:pict w14:anchorId="6BEAA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14A7" w14:textId="742F3BBD" w:rsidR="00825F57" w:rsidRDefault="00825F57">
    <w:pPr>
      <w:pStyle w:val="Header"/>
    </w:pPr>
    <w:r>
      <w:rPr>
        <w:noProof/>
      </w:rPr>
      <w:pict w14:anchorId="79EC2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A0BE5"/>
    <w:multiLevelType w:val="hybridMultilevel"/>
    <w:tmpl w:val="F5D4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4B"/>
    <w:rsid w:val="00012D5B"/>
    <w:rsid w:val="00057615"/>
    <w:rsid w:val="0006358C"/>
    <w:rsid w:val="00064AFF"/>
    <w:rsid w:val="00066612"/>
    <w:rsid w:val="000C4269"/>
    <w:rsid w:val="001F286C"/>
    <w:rsid w:val="001F4175"/>
    <w:rsid w:val="002161CE"/>
    <w:rsid w:val="002510F7"/>
    <w:rsid w:val="00263B90"/>
    <w:rsid w:val="0028015F"/>
    <w:rsid w:val="0028027C"/>
    <w:rsid w:val="002C673A"/>
    <w:rsid w:val="002D4E05"/>
    <w:rsid w:val="002D53B7"/>
    <w:rsid w:val="002E2E5C"/>
    <w:rsid w:val="002F2393"/>
    <w:rsid w:val="00301B8E"/>
    <w:rsid w:val="0030244C"/>
    <w:rsid w:val="00304C68"/>
    <w:rsid w:val="00305357"/>
    <w:rsid w:val="0034726A"/>
    <w:rsid w:val="0039215A"/>
    <w:rsid w:val="003B1DF8"/>
    <w:rsid w:val="00481FBD"/>
    <w:rsid w:val="004920DB"/>
    <w:rsid w:val="004B3820"/>
    <w:rsid w:val="004D2DBA"/>
    <w:rsid w:val="00546CFD"/>
    <w:rsid w:val="00557457"/>
    <w:rsid w:val="00565425"/>
    <w:rsid w:val="0056726C"/>
    <w:rsid w:val="00577CC7"/>
    <w:rsid w:val="00594B49"/>
    <w:rsid w:val="005A34AE"/>
    <w:rsid w:val="005C499B"/>
    <w:rsid w:val="00646314"/>
    <w:rsid w:val="00666C7C"/>
    <w:rsid w:val="00666FA6"/>
    <w:rsid w:val="006C2C9C"/>
    <w:rsid w:val="006D66F1"/>
    <w:rsid w:val="006E35C1"/>
    <w:rsid w:val="00700033"/>
    <w:rsid w:val="00702F3C"/>
    <w:rsid w:val="007526D0"/>
    <w:rsid w:val="00772E3D"/>
    <w:rsid w:val="007959AD"/>
    <w:rsid w:val="007C288C"/>
    <w:rsid w:val="007D68CC"/>
    <w:rsid w:val="0080510B"/>
    <w:rsid w:val="00806104"/>
    <w:rsid w:val="00825F57"/>
    <w:rsid w:val="00836009"/>
    <w:rsid w:val="00860EBE"/>
    <w:rsid w:val="008B5CEE"/>
    <w:rsid w:val="008D1A88"/>
    <w:rsid w:val="00903640"/>
    <w:rsid w:val="009550EE"/>
    <w:rsid w:val="0097119E"/>
    <w:rsid w:val="00971A2F"/>
    <w:rsid w:val="009A0282"/>
    <w:rsid w:val="009A7C20"/>
    <w:rsid w:val="00A62648"/>
    <w:rsid w:val="00A62810"/>
    <w:rsid w:val="00A8589D"/>
    <w:rsid w:val="00AA2362"/>
    <w:rsid w:val="00AA3A34"/>
    <w:rsid w:val="00AB23F6"/>
    <w:rsid w:val="00B0610D"/>
    <w:rsid w:val="00B16A0D"/>
    <w:rsid w:val="00B272E0"/>
    <w:rsid w:val="00B74C20"/>
    <w:rsid w:val="00BC1B66"/>
    <w:rsid w:val="00BC35BF"/>
    <w:rsid w:val="00BC7498"/>
    <w:rsid w:val="00BE2282"/>
    <w:rsid w:val="00C0725E"/>
    <w:rsid w:val="00C408D3"/>
    <w:rsid w:val="00CA5255"/>
    <w:rsid w:val="00D45145"/>
    <w:rsid w:val="00D574A2"/>
    <w:rsid w:val="00D64787"/>
    <w:rsid w:val="00D7734C"/>
    <w:rsid w:val="00D80646"/>
    <w:rsid w:val="00D8605C"/>
    <w:rsid w:val="00DA510C"/>
    <w:rsid w:val="00DB2052"/>
    <w:rsid w:val="00DD7069"/>
    <w:rsid w:val="00DE2E13"/>
    <w:rsid w:val="00E024D3"/>
    <w:rsid w:val="00E25A36"/>
    <w:rsid w:val="00E333CF"/>
    <w:rsid w:val="00E46798"/>
    <w:rsid w:val="00E47883"/>
    <w:rsid w:val="00E76E13"/>
    <w:rsid w:val="00E80556"/>
    <w:rsid w:val="00E91A3E"/>
    <w:rsid w:val="00ED06FF"/>
    <w:rsid w:val="00F56D82"/>
    <w:rsid w:val="00FB16DC"/>
    <w:rsid w:val="00FC254A"/>
    <w:rsid w:val="00FD67E3"/>
    <w:rsid w:val="00FE3D54"/>
    <w:rsid w:val="00FE7B4B"/>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B056A3"/>
  <w15:chartTrackingRefBased/>
  <w15:docId w15:val="{C7200E67-321D-4C8C-A30E-11C219D3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B4B"/>
  </w:style>
  <w:style w:type="paragraph" w:styleId="Heading1">
    <w:name w:val="heading 1"/>
    <w:basedOn w:val="Normal"/>
    <w:next w:val="Normal"/>
    <w:link w:val="Heading1Char"/>
    <w:uiPriority w:val="9"/>
    <w:qFormat/>
    <w:rsid w:val="00FE7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B4B"/>
    <w:rPr>
      <w:rFonts w:eastAsiaTheme="majorEastAsia" w:cstheme="majorBidi"/>
      <w:color w:val="272727" w:themeColor="text1" w:themeTint="D8"/>
    </w:rPr>
  </w:style>
  <w:style w:type="paragraph" w:styleId="Title">
    <w:name w:val="Title"/>
    <w:basedOn w:val="Normal"/>
    <w:next w:val="Normal"/>
    <w:link w:val="TitleChar"/>
    <w:uiPriority w:val="10"/>
    <w:qFormat/>
    <w:rsid w:val="00FE7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B4B"/>
    <w:pPr>
      <w:spacing w:before="160"/>
      <w:jc w:val="center"/>
    </w:pPr>
    <w:rPr>
      <w:i/>
      <w:iCs/>
      <w:color w:val="404040" w:themeColor="text1" w:themeTint="BF"/>
    </w:rPr>
  </w:style>
  <w:style w:type="character" w:customStyle="1" w:styleId="QuoteChar">
    <w:name w:val="Quote Char"/>
    <w:basedOn w:val="DefaultParagraphFont"/>
    <w:link w:val="Quote"/>
    <w:uiPriority w:val="29"/>
    <w:rsid w:val="00FE7B4B"/>
    <w:rPr>
      <w:i/>
      <w:iCs/>
      <w:color w:val="404040" w:themeColor="text1" w:themeTint="BF"/>
    </w:rPr>
  </w:style>
  <w:style w:type="paragraph" w:styleId="ListParagraph">
    <w:name w:val="List Paragraph"/>
    <w:basedOn w:val="Normal"/>
    <w:uiPriority w:val="34"/>
    <w:qFormat/>
    <w:rsid w:val="00FE7B4B"/>
    <w:pPr>
      <w:ind w:left="720"/>
      <w:contextualSpacing/>
    </w:pPr>
  </w:style>
  <w:style w:type="character" w:styleId="IntenseEmphasis">
    <w:name w:val="Intense Emphasis"/>
    <w:basedOn w:val="DefaultParagraphFont"/>
    <w:uiPriority w:val="21"/>
    <w:qFormat/>
    <w:rsid w:val="00FE7B4B"/>
    <w:rPr>
      <w:i/>
      <w:iCs/>
      <w:color w:val="2F5496" w:themeColor="accent1" w:themeShade="BF"/>
    </w:rPr>
  </w:style>
  <w:style w:type="paragraph" w:styleId="IntenseQuote">
    <w:name w:val="Intense Quote"/>
    <w:basedOn w:val="Normal"/>
    <w:next w:val="Normal"/>
    <w:link w:val="IntenseQuoteChar"/>
    <w:uiPriority w:val="30"/>
    <w:qFormat/>
    <w:rsid w:val="00FE7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B4B"/>
    <w:rPr>
      <w:i/>
      <w:iCs/>
      <w:color w:val="2F5496" w:themeColor="accent1" w:themeShade="BF"/>
    </w:rPr>
  </w:style>
  <w:style w:type="character" w:styleId="IntenseReference">
    <w:name w:val="Intense Reference"/>
    <w:basedOn w:val="DefaultParagraphFont"/>
    <w:uiPriority w:val="32"/>
    <w:qFormat/>
    <w:rsid w:val="00FE7B4B"/>
    <w:rPr>
      <w:b/>
      <w:bCs/>
      <w:smallCaps/>
      <w:color w:val="2F5496" w:themeColor="accent1" w:themeShade="BF"/>
      <w:spacing w:val="5"/>
    </w:rPr>
  </w:style>
  <w:style w:type="table" w:styleId="ListTable6Colorful">
    <w:name w:val="List Table 6 Colorful"/>
    <w:basedOn w:val="TableNormal"/>
    <w:uiPriority w:val="51"/>
    <w:rsid w:val="00FE7B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A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AE"/>
  </w:style>
  <w:style w:type="paragraph" w:styleId="Footer">
    <w:name w:val="footer"/>
    <w:basedOn w:val="Normal"/>
    <w:link w:val="FooterChar"/>
    <w:uiPriority w:val="99"/>
    <w:unhideWhenUsed/>
    <w:rsid w:val="005A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AE"/>
  </w:style>
  <w:style w:type="character" w:styleId="Hyperlink">
    <w:name w:val="Hyperlink"/>
    <w:basedOn w:val="DefaultParagraphFont"/>
    <w:uiPriority w:val="99"/>
    <w:unhideWhenUsed/>
    <w:rsid w:val="009A7C20"/>
    <w:rPr>
      <w:color w:val="0563C1" w:themeColor="hyperlink"/>
      <w:u w:val="single"/>
    </w:rPr>
  </w:style>
  <w:style w:type="table" w:styleId="TableGrid">
    <w:name w:val="Table Grid"/>
    <w:basedOn w:val="TableNormal"/>
    <w:uiPriority w:val="39"/>
    <w:rsid w:val="0030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ISSN:1920-3853" TargetMode="External"/><Relationship Id="rId18" Type="http://schemas.openxmlformats.org/officeDocument/2006/relationships/hyperlink" Target="https://doi.org/10.3389/frfst.2024.1416654" TargetMode="External"/><Relationship Id="rId26" Type="http://schemas.openxmlformats.org/officeDocument/2006/relationships/hyperlink" Target="https://doi.org/doi.org/10.3390/" TargetMode="External"/><Relationship Id="rId3" Type="http://schemas.openxmlformats.org/officeDocument/2006/relationships/settings" Target="settings.xml"/><Relationship Id="rId21" Type="http://schemas.openxmlformats.org/officeDocument/2006/relationships/hyperlink" Target="http://doi.org/10.1080/10408398.2021.1908223"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55/2022/6882147" TargetMode="External"/><Relationship Id="rId25" Type="http://schemas.openxmlformats.org/officeDocument/2006/relationships/hyperlink" Target="https://doi.org/10.1080/10408398.2023.2271952" TargetMode="External"/><Relationship Id="rId2" Type="http://schemas.openxmlformats.org/officeDocument/2006/relationships/styles" Target="styles.xml"/><Relationship Id="rId16" Type="http://schemas.openxmlformats.org/officeDocument/2006/relationships/hyperlink" Target="http://www.iosrjournals.org" TargetMode="External"/><Relationship Id="rId20" Type="http://schemas.openxmlformats.org/officeDocument/2006/relationships/hyperlink" Target="https://doi.org/doi:dx.doi.org/10.12944/CRNFSJ.1.1.0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doi.org/10.3390/agronomy14123025" TargetMode="External"/><Relationship Id="rId5" Type="http://schemas.openxmlformats.org/officeDocument/2006/relationships/footnotes" Target="footnotes.xml"/><Relationship Id="rId15" Type="http://schemas.openxmlformats.org/officeDocument/2006/relationships/hyperlink" Target="https://doi.org/10.1002/fsn3.3922" TargetMode="External"/><Relationship Id="rId23" Type="http://schemas.openxmlformats.org/officeDocument/2006/relationships/hyperlink" Target="https://doi.org/10.1080/10942912.2022.2071293"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07/s12571-024-01490-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ISSN" TargetMode="External"/><Relationship Id="rId22" Type="http://schemas.openxmlformats.org/officeDocument/2006/relationships/hyperlink" Target="http://www.elsevier.com/locate/neuroimage" TargetMode="External"/><Relationship Id="rId27" Type="http://schemas.openxmlformats.org/officeDocument/2006/relationships/hyperlink" Target="https://doi.org/10.1016/j.focha.2023.10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11658</Words>
  <Characters>66454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2026-02-14T12:01:00Z</dcterms:created>
  <dcterms:modified xsi:type="dcterms:W3CDTF">2026-02-14T14:04:00Z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440d73ed-6727-4a81-b308-72d77d25c6f3</vt:lpwstr>
  </property>
</Properties>
</file>