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BC136" w14:textId="77373E2C" w:rsidR="00551654" w:rsidRPr="007C6D6A" w:rsidRDefault="007C6D6A" w:rsidP="007C6D6A">
      <w:pPr>
        <w:rPr>
          <w:rFonts w:ascii="Arial" w:hAnsi="Arial" w:cs="Arial"/>
          <w:b/>
          <w:sz w:val="28"/>
          <w:szCs w:val="28"/>
          <w:u w:val="single"/>
        </w:rPr>
      </w:pPr>
      <w:r w:rsidRPr="007C6D6A">
        <w:rPr>
          <w:rFonts w:ascii="Arial" w:hAnsi="Arial" w:cs="Arial"/>
          <w:b/>
          <w:sz w:val="28"/>
          <w:szCs w:val="28"/>
          <w:u w:val="single"/>
        </w:rPr>
        <w:t>Original Research Article</w:t>
      </w:r>
    </w:p>
    <w:p w14:paraId="2CF014FA" w14:textId="77777777" w:rsidR="00E071E1" w:rsidRPr="001C2913" w:rsidRDefault="00E071E1" w:rsidP="00E071E1">
      <w:pPr>
        <w:jc w:val="center"/>
        <w:rPr>
          <w:rFonts w:ascii="Arial" w:hAnsi="Arial" w:cs="Arial"/>
          <w:b/>
          <w:sz w:val="36"/>
          <w:szCs w:val="36"/>
        </w:rPr>
      </w:pPr>
      <w:r w:rsidRPr="001C2913">
        <w:rPr>
          <w:rFonts w:ascii="Arial" w:hAnsi="Arial" w:cs="Arial"/>
          <w:b/>
          <w:sz w:val="36"/>
          <w:szCs w:val="36"/>
        </w:rPr>
        <w:t>ANN-assisted prediction of groundwater WQI for drinking-water screening in Salur Mandal, Andhra Pradesh, India</w:t>
      </w:r>
    </w:p>
    <w:p w14:paraId="04D929BD" w14:textId="01A22C91" w:rsidR="00F64881" w:rsidRPr="001C2913" w:rsidRDefault="00F64881">
      <w:pPr>
        <w:rPr>
          <w:rFonts w:ascii="Arial" w:hAnsi="Arial" w:cs="Arial"/>
          <w:sz w:val="20"/>
          <w:szCs w:val="20"/>
        </w:rPr>
      </w:pPr>
    </w:p>
    <w:p w14:paraId="2925885D" w14:textId="77777777" w:rsidR="00111B89" w:rsidRPr="001C2913" w:rsidRDefault="00466422" w:rsidP="00111B89">
      <w:pPr>
        <w:spacing w:before="100" w:beforeAutospacing="1" w:after="100" w:afterAutospacing="1" w:line="240" w:lineRule="auto"/>
        <w:outlineLvl w:val="1"/>
        <w:rPr>
          <w:rFonts w:ascii="Arial" w:eastAsia="Times New Roman" w:hAnsi="Arial" w:cs="Arial"/>
          <w:b/>
          <w:bCs/>
        </w:rPr>
      </w:pPr>
      <w:r w:rsidRPr="001C2913">
        <w:rPr>
          <w:rFonts w:ascii="Arial" w:eastAsia="Times New Roman" w:hAnsi="Arial" w:cs="Arial"/>
          <w:b/>
          <w:bCs/>
        </w:rPr>
        <w:t>ABSTRACT</w:t>
      </w:r>
    </w:p>
    <w:p w14:paraId="1FED2B08" w14:textId="77777777" w:rsidR="00AB75A0" w:rsidRPr="001C2913" w:rsidRDefault="00AB75A0" w:rsidP="00AB75A0">
      <w:pPr>
        <w:pStyle w:val="NormalWeb"/>
        <w:jc w:val="both"/>
        <w:rPr>
          <w:rFonts w:ascii="Arial" w:hAnsi="Arial" w:cs="Arial"/>
          <w:sz w:val="20"/>
          <w:szCs w:val="20"/>
        </w:rPr>
      </w:pPr>
      <w:r w:rsidRPr="001C2913">
        <w:rPr>
          <w:rStyle w:val="Strong"/>
          <w:rFonts w:ascii="Arial" w:hAnsi="Arial" w:cs="Arial"/>
          <w:sz w:val="20"/>
          <w:szCs w:val="20"/>
        </w:rPr>
        <w:t>Aim:</w:t>
      </w:r>
      <w:r w:rsidRPr="001C2913">
        <w:rPr>
          <w:rFonts w:ascii="Arial" w:hAnsi="Arial" w:cs="Arial"/>
          <w:sz w:val="20"/>
          <w:szCs w:val="20"/>
        </w:rPr>
        <w:br/>
        <w:t xml:space="preserve">Groundwater quality monitoring in hard-rock aquifer systems is essential for sustainable resource management. This study aims to assess groundwater quality using the weighted arithmetic Water Quality Index (WQI) method and to develop an Artificial Neural Network (ANN) model for reliable prediction of WQI in the Salur region of Andhra Pradesh, India. </w:t>
      </w:r>
    </w:p>
    <w:p w14:paraId="6898A42D" w14:textId="77777777" w:rsidR="00AB75A0" w:rsidRPr="001C2913" w:rsidRDefault="00AB75A0" w:rsidP="00AB75A0">
      <w:pPr>
        <w:pStyle w:val="NormalWeb"/>
        <w:jc w:val="both"/>
        <w:rPr>
          <w:rFonts w:ascii="Arial" w:hAnsi="Arial" w:cs="Arial"/>
          <w:sz w:val="20"/>
          <w:szCs w:val="20"/>
        </w:rPr>
      </w:pPr>
      <w:r w:rsidRPr="001C2913">
        <w:rPr>
          <w:rStyle w:val="Strong"/>
          <w:rFonts w:ascii="Arial" w:hAnsi="Arial" w:cs="Arial"/>
          <w:sz w:val="20"/>
          <w:szCs w:val="20"/>
        </w:rPr>
        <w:t xml:space="preserve">Study Design: </w:t>
      </w:r>
      <w:r w:rsidRPr="001C2913">
        <w:rPr>
          <w:rFonts w:ascii="Arial" w:hAnsi="Arial" w:cs="Arial"/>
          <w:sz w:val="20"/>
          <w:szCs w:val="20"/>
        </w:rPr>
        <w:t xml:space="preserve">A quantitative analytical study integrating WQI assessment with predictive modeling was conducted using field-monitored groundwater quality data collected over a three-year period (November 2018 to October 2021).  </w:t>
      </w:r>
    </w:p>
    <w:p w14:paraId="42DF3D1F" w14:textId="77777777" w:rsidR="00AB75A0" w:rsidRPr="001C2913" w:rsidRDefault="00AB75A0" w:rsidP="00AB75A0">
      <w:pPr>
        <w:pStyle w:val="NormalWeb"/>
        <w:jc w:val="both"/>
        <w:rPr>
          <w:rFonts w:ascii="Arial" w:hAnsi="Arial" w:cs="Arial"/>
          <w:sz w:val="20"/>
          <w:szCs w:val="20"/>
        </w:rPr>
      </w:pPr>
      <w:r w:rsidRPr="001C2913">
        <w:rPr>
          <w:rStyle w:val="Strong"/>
          <w:rFonts w:ascii="Arial" w:hAnsi="Arial" w:cs="Arial"/>
          <w:sz w:val="20"/>
          <w:szCs w:val="20"/>
        </w:rPr>
        <w:t>Methodology:</w:t>
      </w:r>
      <w:r w:rsidRPr="001C2913">
        <w:rPr>
          <w:rFonts w:ascii="Arial" w:hAnsi="Arial" w:cs="Arial"/>
          <w:sz w:val="20"/>
          <w:szCs w:val="20"/>
        </w:rPr>
        <w:br/>
        <w:t>A total of 468 groundwater samples were collected from 13 monitoring stations between November 2018 and October 2021 and analyzed for fifteen physicochemical parameters adopting standard procedures prescribed by APHA 1998. WQI was computed using the weighted arithmetic method to classify groundwater suitability. A feed-forward ANN model with a 15–5–1 architecture was developed using the Levenberg–Marquardt algorithm. The dataset was randomly divided into 70% training, 15% validation, and 15% testing subsets using MATLAB toolbox.</w:t>
      </w:r>
    </w:p>
    <w:p w14:paraId="0938A1E3" w14:textId="77777777" w:rsidR="00A7701B" w:rsidRDefault="00AB75A0" w:rsidP="00AB75A0">
      <w:pPr>
        <w:pStyle w:val="NormalWeb"/>
        <w:jc w:val="both"/>
        <w:rPr>
          <w:rFonts w:ascii="Arial" w:hAnsi="Arial" w:cs="Arial"/>
          <w:sz w:val="20"/>
          <w:szCs w:val="20"/>
        </w:rPr>
      </w:pPr>
      <w:r w:rsidRPr="001C2913">
        <w:rPr>
          <w:rStyle w:val="Strong"/>
          <w:rFonts w:ascii="Arial" w:hAnsi="Arial" w:cs="Arial"/>
          <w:sz w:val="20"/>
          <w:szCs w:val="20"/>
        </w:rPr>
        <w:t>Results:</w:t>
      </w:r>
      <w:r w:rsidRPr="001C2913">
        <w:rPr>
          <w:rFonts w:ascii="Arial" w:hAnsi="Arial" w:cs="Arial"/>
          <w:sz w:val="20"/>
          <w:szCs w:val="20"/>
        </w:rPr>
        <w:br/>
        <w:t xml:space="preserve">WQI results revealed that 77% of groundwater samples fall within the Good category (WQI = 26–50), while 23% fall under the Poor category (WQI = 51–75), indicating moderate </w:t>
      </w:r>
      <w:r w:rsidR="00BD504A" w:rsidRPr="001C2913">
        <w:rPr>
          <w:rFonts w:ascii="Arial" w:hAnsi="Arial" w:cs="Arial"/>
          <w:sz w:val="20"/>
          <w:szCs w:val="20"/>
        </w:rPr>
        <w:t>hydro chemical</w:t>
      </w:r>
      <w:r w:rsidRPr="001C2913">
        <w:rPr>
          <w:rFonts w:ascii="Arial" w:hAnsi="Arial" w:cs="Arial"/>
          <w:sz w:val="20"/>
          <w:szCs w:val="20"/>
        </w:rPr>
        <w:t xml:space="preserve"> variability without critical contamination. The ANN model demonstrated high predictive accuracy, with </w:t>
      </w:r>
      <w:r w:rsidR="00255D14" w:rsidRPr="001C2913">
        <w:rPr>
          <w:rFonts w:ascii="Arial" w:hAnsi="Arial" w:cs="Arial"/>
          <w:sz w:val="20"/>
          <w:szCs w:val="20"/>
        </w:rPr>
        <w:t>Root Mean Square Error (</w:t>
      </w:r>
      <w:r w:rsidRPr="001C2913">
        <w:rPr>
          <w:rFonts w:ascii="Arial" w:hAnsi="Arial" w:cs="Arial"/>
          <w:sz w:val="20"/>
          <w:szCs w:val="20"/>
        </w:rPr>
        <w:t>RMSE</w:t>
      </w:r>
      <w:r w:rsidR="00255D14" w:rsidRPr="001C2913">
        <w:rPr>
          <w:rFonts w:ascii="Arial" w:hAnsi="Arial" w:cs="Arial"/>
          <w:sz w:val="20"/>
          <w:szCs w:val="20"/>
        </w:rPr>
        <w:t>=0.438)</w:t>
      </w:r>
      <w:r w:rsidRPr="001C2913">
        <w:rPr>
          <w:rFonts w:ascii="Arial" w:hAnsi="Arial" w:cs="Arial"/>
          <w:sz w:val="20"/>
          <w:szCs w:val="20"/>
        </w:rPr>
        <w:t xml:space="preserve"> </w:t>
      </w:r>
      <w:r w:rsidR="00255D14" w:rsidRPr="001C2913">
        <w:rPr>
          <w:rFonts w:ascii="Arial" w:hAnsi="Arial" w:cs="Arial"/>
          <w:sz w:val="20"/>
          <w:szCs w:val="20"/>
        </w:rPr>
        <w:t xml:space="preserve">and </w:t>
      </w:r>
      <w:r w:rsidRPr="001C2913">
        <w:rPr>
          <w:rFonts w:ascii="Arial" w:hAnsi="Arial" w:cs="Arial"/>
          <w:sz w:val="20"/>
          <w:szCs w:val="20"/>
        </w:rPr>
        <w:t>coefficient of determination (R²) of 0.9</w:t>
      </w:r>
      <w:r w:rsidR="00A7701B">
        <w:rPr>
          <w:rFonts w:ascii="Arial" w:hAnsi="Arial" w:cs="Arial"/>
          <w:sz w:val="20"/>
          <w:szCs w:val="20"/>
        </w:rPr>
        <w:t>98</w:t>
      </w:r>
      <w:r w:rsidRPr="001C2913">
        <w:rPr>
          <w:rFonts w:ascii="Arial" w:hAnsi="Arial" w:cs="Arial"/>
          <w:sz w:val="20"/>
          <w:szCs w:val="20"/>
        </w:rPr>
        <w:t xml:space="preserve"> </w:t>
      </w:r>
    </w:p>
    <w:p w14:paraId="5CA729DA" w14:textId="77777777" w:rsidR="00AB75A0" w:rsidRPr="001C2913" w:rsidRDefault="00AB75A0" w:rsidP="00AB75A0">
      <w:pPr>
        <w:pStyle w:val="NormalWeb"/>
        <w:jc w:val="both"/>
        <w:rPr>
          <w:rFonts w:ascii="Arial" w:hAnsi="Arial" w:cs="Arial"/>
          <w:sz w:val="20"/>
          <w:szCs w:val="20"/>
        </w:rPr>
      </w:pPr>
      <w:r w:rsidRPr="001C2913">
        <w:rPr>
          <w:rStyle w:val="Strong"/>
          <w:rFonts w:ascii="Arial" w:hAnsi="Arial" w:cs="Arial"/>
          <w:sz w:val="20"/>
          <w:szCs w:val="20"/>
        </w:rPr>
        <w:t>Conclusion:</w:t>
      </w:r>
      <w:r w:rsidRPr="001C2913">
        <w:rPr>
          <w:rFonts w:ascii="Arial" w:hAnsi="Arial" w:cs="Arial"/>
          <w:sz w:val="20"/>
          <w:szCs w:val="20"/>
        </w:rPr>
        <w:br/>
        <w:t>The developed ANN model effectively predicts groundwater WQI with high accuracy and can serve as a robust decision-support tool for sustainable groundwater management in hard-rock aquifer regions, particularly in data-scarce rural areas.</w:t>
      </w:r>
    </w:p>
    <w:p w14:paraId="13FD665E" w14:textId="77777777" w:rsidR="00AB75A0" w:rsidRPr="001C2913" w:rsidRDefault="00AB75A0" w:rsidP="00111B89">
      <w:pPr>
        <w:spacing w:before="100" w:beforeAutospacing="1" w:after="100" w:afterAutospacing="1" w:line="240" w:lineRule="auto"/>
        <w:outlineLvl w:val="1"/>
        <w:rPr>
          <w:rFonts w:ascii="Arial" w:eastAsia="Times New Roman" w:hAnsi="Arial" w:cs="Arial"/>
          <w:b/>
          <w:bCs/>
          <w:sz w:val="20"/>
          <w:szCs w:val="20"/>
        </w:rPr>
      </w:pPr>
    </w:p>
    <w:p w14:paraId="7B4CD346" w14:textId="77777777" w:rsidR="00111B89" w:rsidRPr="001C2913" w:rsidRDefault="00111B89" w:rsidP="00111B89">
      <w:pPr>
        <w:spacing w:before="100" w:beforeAutospacing="1" w:after="100" w:afterAutospacing="1" w:line="240" w:lineRule="auto"/>
        <w:rPr>
          <w:rFonts w:ascii="Arial" w:eastAsia="Times New Roman" w:hAnsi="Arial" w:cs="Arial"/>
          <w:i/>
          <w:iCs/>
          <w:sz w:val="20"/>
          <w:szCs w:val="20"/>
        </w:rPr>
      </w:pPr>
      <w:r w:rsidRPr="001C2913">
        <w:rPr>
          <w:rFonts w:ascii="Arial" w:eastAsia="Times New Roman" w:hAnsi="Arial" w:cs="Arial"/>
          <w:b/>
          <w:bCs/>
          <w:i/>
          <w:iCs/>
          <w:sz w:val="20"/>
          <w:szCs w:val="20"/>
        </w:rPr>
        <w:t>Keywords:</w:t>
      </w:r>
      <w:r w:rsidRPr="001C2913">
        <w:rPr>
          <w:rFonts w:ascii="Arial" w:eastAsia="Times New Roman" w:hAnsi="Arial" w:cs="Arial"/>
          <w:i/>
          <w:iCs/>
          <w:sz w:val="20"/>
          <w:szCs w:val="20"/>
        </w:rPr>
        <w:t xml:space="preserve"> Water Quality Index; Artificial Neural Network; hard-rock aquifer; groundwater sustainability; Levenberg–Marquardt; India</w:t>
      </w:r>
    </w:p>
    <w:p w14:paraId="4D522E4C" w14:textId="77777777" w:rsidR="00111B89" w:rsidRPr="001C2913" w:rsidRDefault="00466422" w:rsidP="00111B89">
      <w:pPr>
        <w:pStyle w:val="Heading1"/>
        <w:rPr>
          <w:rFonts w:ascii="Arial" w:hAnsi="Arial" w:cs="Arial"/>
          <w:color w:val="auto"/>
          <w:sz w:val="22"/>
          <w:szCs w:val="22"/>
        </w:rPr>
      </w:pPr>
      <w:r w:rsidRPr="001C2913">
        <w:rPr>
          <w:rFonts w:ascii="Arial" w:hAnsi="Arial" w:cs="Arial"/>
          <w:color w:val="auto"/>
          <w:sz w:val="22"/>
          <w:szCs w:val="22"/>
        </w:rPr>
        <w:t>1. INTRODUCTION</w:t>
      </w:r>
    </w:p>
    <w:p w14:paraId="64C6FBD7" w14:textId="77777777" w:rsidR="00111B89" w:rsidRPr="001C2913" w:rsidRDefault="00111B89" w:rsidP="005E490D">
      <w:pPr>
        <w:pStyle w:val="NormalWeb"/>
        <w:jc w:val="both"/>
        <w:rPr>
          <w:rFonts w:ascii="Arial" w:hAnsi="Arial" w:cs="Arial"/>
          <w:sz w:val="20"/>
          <w:szCs w:val="20"/>
        </w:rPr>
      </w:pPr>
      <w:r w:rsidRPr="001C2913">
        <w:rPr>
          <w:rFonts w:ascii="Arial" w:hAnsi="Arial" w:cs="Arial"/>
          <w:sz w:val="20"/>
          <w:szCs w:val="20"/>
        </w:rPr>
        <w:t>Groundwater constitutes the primary source of drinking water in rural India, particularly in hard-rock aquifer regions where surface water availability is limited. Its quality is governed by lithology, recharge dynamics, mineral dissolution, and anthropogenic influences.</w:t>
      </w:r>
    </w:p>
    <w:p w14:paraId="40B845F7" w14:textId="77777777" w:rsidR="00111B89" w:rsidRPr="001C2913" w:rsidRDefault="00111B89" w:rsidP="005E490D">
      <w:pPr>
        <w:pStyle w:val="NormalWeb"/>
        <w:jc w:val="both"/>
        <w:rPr>
          <w:rFonts w:ascii="Arial" w:hAnsi="Arial" w:cs="Arial"/>
          <w:sz w:val="20"/>
          <w:szCs w:val="20"/>
        </w:rPr>
      </w:pPr>
      <w:r w:rsidRPr="001C2913">
        <w:rPr>
          <w:rFonts w:ascii="Arial" w:hAnsi="Arial" w:cs="Arial"/>
          <w:sz w:val="20"/>
          <w:szCs w:val="20"/>
        </w:rPr>
        <w:lastRenderedPageBreak/>
        <w:t xml:space="preserve">Water Quality Index (WQI) methods provide simplified representation of </w:t>
      </w:r>
      <w:proofErr w:type="spellStart"/>
      <w:r w:rsidRPr="001C2913">
        <w:rPr>
          <w:rFonts w:ascii="Arial" w:hAnsi="Arial" w:cs="Arial"/>
          <w:sz w:val="20"/>
          <w:szCs w:val="20"/>
        </w:rPr>
        <w:t>hydrochemical</w:t>
      </w:r>
      <w:proofErr w:type="spellEnd"/>
      <w:r w:rsidRPr="001C2913">
        <w:rPr>
          <w:rFonts w:ascii="Arial" w:hAnsi="Arial" w:cs="Arial"/>
          <w:sz w:val="20"/>
          <w:szCs w:val="20"/>
        </w:rPr>
        <w:t xml:space="preserve"> status by integrating multiple parameters into a single indicator. The weighted arithmetic WQI approach, originally conceptualized by Horton (1965) and later refined by Brown et al. (1972), has been widely applied for groundwater suitability assessment.</w:t>
      </w:r>
    </w:p>
    <w:p w14:paraId="7860ECEB" w14:textId="77777777" w:rsidR="00111B89" w:rsidRPr="001C2913" w:rsidRDefault="00111B89" w:rsidP="005E490D">
      <w:pPr>
        <w:pStyle w:val="NormalWeb"/>
        <w:jc w:val="both"/>
        <w:rPr>
          <w:rFonts w:ascii="Arial" w:hAnsi="Arial" w:cs="Arial"/>
          <w:sz w:val="20"/>
          <w:szCs w:val="20"/>
        </w:rPr>
      </w:pPr>
      <w:r w:rsidRPr="001C2913">
        <w:rPr>
          <w:rFonts w:ascii="Arial" w:hAnsi="Arial" w:cs="Arial"/>
          <w:sz w:val="20"/>
          <w:szCs w:val="20"/>
        </w:rPr>
        <w:t xml:space="preserve">In India, </w:t>
      </w:r>
      <w:r w:rsidR="00D516BD" w:rsidRPr="001C2913">
        <w:rPr>
          <w:rFonts w:ascii="Arial" w:hAnsi="Arial" w:cs="Arial"/>
          <w:sz w:val="20"/>
          <w:szCs w:val="20"/>
        </w:rPr>
        <w:t>Previous studies have reported groundwater quality assessment using WQI in various Indian regions (</w:t>
      </w:r>
      <w:proofErr w:type="spellStart"/>
      <w:r w:rsidR="00D516BD" w:rsidRPr="001C2913">
        <w:rPr>
          <w:rFonts w:ascii="Arial" w:hAnsi="Arial" w:cs="Arial"/>
          <w:sz w:val="20"/>
          <w:szCs w:val="20"/>
        </w:rPr>
        <w:t>Ramakrishnaiah</w:t>
      </w:r>
      <w:proofErr w:type="spellEnd"/>
      <w:r w:rsidR="00D516BD" w:rsidRPr="001C2913">
        <w:rPr>
          <w:rFonts w:ascii="Arial" w:hAnsi="Arial" w:cs="Arial"/>
          <w:sz w:val="20"/>
          <w:szCs w:val="20"/>
        </w:rPr>
        <w:t xml:space="preserve">, </w:t>
      </w:r>
      <w:proofErr w:type="spellStart"/>
      <w:r w:rsidR="00D516BD" w:rsidRPr="001C2913">
        <w:rPr>
          <w:rFonts w:ascii="Arial" w:hAnsi="Arial" w:cs="Arial"/>
          <w:sz w:val="20"/>
          <w:szCs w:val="20"/>
        </w:rPr>
        <w:t>Sadashivaiah</w:t>
      </w:r>
      <w:proofErr w:type="spellEnd"/>
      <w:r w:rsidR="00D516BD" w:rsidRPr="001C2913">
        <w:rPr>
          <w:rFonts w:ascii="Arial" w:hAnsi="Arial" w:cs="Arial"/>
          <w:sz w:val="20"/>
          <w:szCs w:val="20"/>
        </w:rPr>
        <w:t xml:space="preserve"> &amp; </w:t>
      </w:r>
      <w:proofErr w:type="spellStart"/>
      <w:r w:rsidR="00D516BD" w:rsidRPr="001C2913">
        <w:rPr>
          <w:rFonts w:ascii="Arial" w:hAnsi="Arial" w:cs="Arial"/>
          <w:sz w:val="20"/>
          <w:szCs w:val="20"/>
        </w:rPr>
        <w:t>Ranganna</w:t>
      </w:r>
      <w:proofErr w:type="spellEnd"/>
      <w:r w:rsidR="00D516BD" w:rsidRPr="001C2913">
        <w:rPr>
          <w:rFonts w:ascii="Arial" w:hAnsi="Arial" w:cs="Arial"/>
          <w:sz w:val="20"/>
          <w:szCs w:val="20"/>
        </w:rPr>
        <w:t xml:space="preserve">, 2009; </w:t>
      </w:r>
      <w:proofErr w:type="spellStart"/>
      <w:r w:rsidR="00D516BD" w:rsidRPr="001C2913">
        <w:rPr>
          <w:rFonts w:ascii="Arial" w:hAnsi="Arial" w:cs="Arial"/>
          <w:sz w:val="20"/>
          <w:szCs w:val="20"/>
        </w:rPr>
        <w:t>Vasanthavigar</w:t>
      </w:r>
      <w:proofErr w:type="spellEnd"/>
      <w:r w:rsidR="00D516BD" w:rsidRPr="001C2913">
        <w:rPr>
          <w:rFonts w:ascii="Arial" w:hAnsi="Arial" w:cs="Arial"/>
          <w:sz w:val="20"/>
          <w:szCs w:val="20"/>
        </w:rPr>
        <w:t xml:space="preserve"> et al., 2010; Srinivasa Rao &amp; </w:t>
      </w:r>
      <w:proofErr w:type="spellStart"/>
      <w:r w:rsidR="00D516BD" w:rsidRPr="001C2913">
        <w:rPr>
          <w:rFonts w:ascii="Arial" w:hAnsi="Arial" w:cs="Arial"/>
          <w:sz w:val="20"/>
          <w:szCs w:val="20"/>
        </w:rPr>
        <w:t>Nageswararao</w:t>
      </w:r>
      <w:proofErr w:type="spellEnd"/>
      <w:r w:rsidR="00D516BD" w:rsidRPr="001C2913">
        <w:rPr>
          <w:rFonts w:ascii="Arial" w:hAnsi="Arial" w:cs="Arial"/>
          <w:sz w:val="20"/>
          <w:szCs w:val="20"/>
        </w:rPr>
        <w:t xml:space="preserve">, 2013; </w:t>
      </w:r>
      <w:proofErr w:type="spellStart"/>
      <w:r w:rsidR="00D516BD" w:rsidRPr="001C2913">
        <w:rPr>
          <w:rFonts w:ascii="Arial" w:hAnsi="Arial" w:cs="Arial"/>
          <w:sz w:val="20"/>
          <w:szCs w:val="20"/>
        </w:rPr>
        <w:t>Nayar</w:t>
      </w:r>
      <w:proofErr w:type="spellEnd"/>
      <w:r w:rsidR="00D516BD" w:rsidRPr="001C2913">
        <w:rPr>
          <w:rFonts w:ascii="Arial" w:hAnsi="Arial" w:cs="Arial"/>
          <w:sz w:val="20"/>
          <w:szCs w:val="20"/>
        </w:rPr>
        <w:t>, 2020).</w:t>
      </w:r>
      <w:r w:rsidRPr="001C2913">
        <w:rPr>
          <w:rFonts w:ascii="Arial" w:hAnsi="Arial" w:cs="Arial"/>
          <w:sz w:val="20"/>
          <w:szCs w:val="20"/>
        </w:rPr>
        <w:t xml:space="preserve"> However, conventional WQI approaches remain descriptive and lack predictive capability.</w:t>
      </w:r>
    </w:p>
    <w:p w14:paraId="396DEB8F" w14:textId="77777777" w:rsidR="00111B89" w:rsidRPr="001C2913" w:rsidRDefault="00677003" w:rsidP="005E490D">
      <w:pPr>
        <w:pStyle w:val="NormalWeb"/>
        <w:jc w:val="both"/>
        <w:rPr>
          <w:rFonts w:ascii="Arial" w:hAnsi="Arial" w:cs="Arial"/>
          <w:sz w:val="20"/>
          <w:szCs w:val="20"/>
        </w:rPr>
      </w:pPr>
      <w:r w:rsidRPr="001C2913">
        <w:rPr>
          <w:rFonts w:ascii="Arial" w:hAnsi="Arial" w:cs="Arial"/>
          <w:sz w:val="20"/>
          <w:szCs w:val="20"/>
        </w:rPr>
        <w:t>Recent advancements in deep learning have enabled robust groundwater quality forecasting (Li et al., 2023; Singh, Gupta &amp; Maity, 2024).</w:t>
      </w:r>
      <w:r w:rsidR="00D516BD" w:rsidRPr="001C2913">
        <w:rPr>
          <w:rFonts w:ascii="Arial" w:hAnsi="Arial" w:cs="Arial"/>
          <w:sz w:val="20"/>
          <w:szCs w:val="20"/>
        </w:rPr>
        <w:t xml:space="preserve"> Machine learning applications for water quality prediction have expanded recently (Maier &amp; Dandy, 2000; Pavan Kumar, Partha Sarathi &amp; Srinivasa Rao, 2017b; Muthukumaran &amp; Vinoth Kumar, 2022; Rabah Ismail et al., 2024; </w:t>
      </w:r>
      <w:proofErr w:type="spellStart"/>
      <w:r w:rsidR="00D516BD" w:rsidRPr="001C2913">
        <w:rPr>
          <w:rFonts w:ascii="Arial" w:hAnsi="Arial" w:cs="Arial"/>
          <w:sz w:val="20"/>
          <w:szCs w:val="20"/>
        </w:rPr>
        <w:t>Ghadai</w:t>
      </w:r>
      <w:proofErr w:type="spellEnd"/>
      <w:r w:rsidR="00D516BD" w:rsidRPr="001C2913">
        <w:rPr>
          <w:rFonts w:ascii="Arial" w:hAnsi="Arial" w:cs="Arial"/>
          <w:sz w:val="20"/>
          <w:szCs w:val="20"/>
        </w:rPr>
        <w:t xml:space="preserve"> et al., 2022; García-del-Toro et al., 2025).</w:t>
      </w:r>
      <w:r w:rsidR="00111B89" w:rsidRPr="001C2913">
        <w:rPr>
          <w:rFonts w:ascii="Arial" w:hAnsi="Arial" w:cs="Arial"/>
          <w:sz w:val="20"/>
          <w:szCs w:val="20"/>
        </w:rPr>
        <w:t xml:space="preserve"> ANN models are especially advantageous in data-scarce </w:t>
      </w:r>
      <w:r w:rsidR="005D3BEB" w:rsidRPr="001C2913">
        <w:rPr>
          <w:rFonts w:ascii="Arial" w:hAnsi="Arial" w:cs="Arial"/>
          <w:sz w:val="20"/>
          <w:szCs w:val="20"/>
        </w:rPr>
        <w:t>hydro geological</w:t>
      </w:r>
      <w:r w:rsidR="00111B89" w:rsidRPr="001C2913">
        <w:rPr>
          <w:rFonts w:ascii="Arial" w:hAnsi="Arial" w:cs="Arial"/>
          <w:sz w:val="20"/>
          <w:szCs w:val="20"/>
        </w:rPr>
        <w:t xml:space="preserve"> settings due to their capacity to approximate complex functional mappings without explicit physical equations.</w:t>
      </w:r>
    </w:p>
    <w:p w14:paraId="48F28DE9" w14:textId="77777777" w:rsidR="00111B89" w:rsidRPr="001C2913" w:rsidRDefault="00111B89" w:rsidP="005E490D">
      <w:pPr>
        <w:pStyle w:val="NormalWeb"/>
        <w:jc w:val="both"/>
        <w:rPr>
          <w:rFonts w:ascii="Arial" w:hAnsi="Arial" w:cs="Arial"/>
          <w:sz w:val="20"/>
          <w:szCs w:val="20"/>
        </w:rPr>
      </w:pPr>
      <w:r w:rsidRPr="001C2913">
        <w:rPr>
          <w:rFonts w:ascii="Arial" w:hAnsi="Arial" w:cs="Arial"/>
          <w:sz w:val="20"/>
          <w:szCs w:val="20"/>
        </w:rPr>
        <w:t xml:space="preserve">Despite increasing ANN applications, predictive WQI </w:t>
      </w:r>
      <w:r w:rsidR="005E490D" w:rsidRPr="001C2913">
        <w:rPr>
          <w:rFonts w:ascii="Arial" w:hAnsi="Arial" w:cs="Arial"/>
          <w:sz w:val="20"/>
          <w:szCs w:val="20"/>
        </w:rPr>
        <w:t>modeling</w:t>
      </w:r>
      <w:r w:rsidRPr="001C2913">
        <w:rPr>
          <w:rFonts w:ascii="Arial" w:hAnsi="Arial" w:cs="Arial"/>
          <w:sz w:val="20"/>
          <w:szCs w:val="20"/>
        </w:rPr>
        <w:t xml:space="preserve"> remains limited in inland hard-rock aquifer systems of rural India. Therefore, this study aims to:</w:t>
      </w:r>
    </w:p>
    <w:p w14:paraId="1C3B0FFE" w14:textId="77777777" w:rsidR="00111B89" w:rsidRPr="001C2913" w:rsidRDefault="00111B89" w:rsidP="00111B89">
      <w:pPr>
        <w:pStyle w:val="NormalWeb"/>
        <w:numPr>
          <w:ilvl w:val="0"/>
          <w:numId w:val="1"/>
        </w:numPr>
        <w:rPr>
          <w:rFonts w:ascii="Arial" w:hAnsi="Arial" w:cs="Arial"/>
          <w:sz w:val="20"/>
          <w:szCs w:val="20"/>
        </w:rPr>
      </w:pPr>
      <w:r w:rsidRPr="001C2913">
        <w:rPr>
          <w:rFonts w:ascii="Arial" w:hAnsi="Arial" w:cs="Arial"/>
          <w:sz w:val="20"/>
          <w:szCs w:val="20"/>
        </w:rPr>
        <w:t>Assess groundwater quality using weighted arithmetic WQI</w:t>
      </w:r>
    </w:p>
    <w:p w14:paraId="20E14FC7" w14:textId="77777777" w:rsidR="00111B89" w:rsidRPr="001C2913" w:rsidRDefault="00111B89" w:rsidP="00111B89">
      <w:pPr>
        <w:pStyle w:val="NormalWeb"/>
        <w:numPr>
          <w:ilvl w:val="0"/>
          <w:numId w:val="1"/>
        </w:numPr>
        <w:rPr>
          <w:rFonts w:ascii="Arial" w:hAnsi="Arial" w:cs="Arial"/>
          <w:sz w:val="20"/>
          <w:szCs w:val="20"/>
        </w:rPr>
      </w:pPr>
      <w:r w:rsidRPr="001C2913">
        <w:rPr>
          <w:rFonts w:ascii="Arial" w:hAnsi="Arial" w:cs="Arial"/>
          <w:sz w:val="20"/>
          <w:szCs w:val="20"/>
        </w:rPr>
        <w:t>Develop and validate an ANN-based predictive model for monthly WQI estimation</w:t>
      </w:r>
    </w:p>
    <w:p w14:paraId="7EBE4A39" w14:textId="77777777" w:rsidR="00111B89" w:rsidRPr="001C2913" w:rsidRDefault="00111B89" w:rsidP="00111B89">
      <w:pPr>
        <w:pStyle w:val="NormalWeb"/>
        <w:numPr>
          <w:ilvl w:val="0"/>
          <w:numId w:val="1"/>
        </w:numPr>
        <w:rPr>
          <w:rFonts w:ascii="Arial" w:hAnsi="Arial" w:cs="Arial"/>
          <w:sz w:val="20"/>
          <w:szCs w:val="20"/>
        </w:rPr>
      </w:pPr>
      <w:r w:rsidRPr="001C2913">
        <w:rPr>
          <w:rFonts w:ascii="Arial" w:hAnsi="Arial" w:cs="Arial"/>
          <w:sz w:val="20"/>
          <w:szCs w:val="20"/>
        </w:rPr>
        <w:t>Evaluate model robustness and performance</w:t>
      </w:r>
    </w:p>
    <w:p w14:paraId="6532711A" w14:textId="77777777" w:rsidR="00111B89" w:rsidRPr="001C2913" w:rsidRDefault="00111B89" w:rsidP="005E490D">
      <w:pPr>
        <w:pStyle w:val="NormalWeb"/>
        <w:jc w:val="both"/>
        <w:rPr>
          <w:rFonts w:ascii="Arial" w:hAnsi="Arial" w:cs="Arial"/>
          <w:sz w:val="20"/>
          <w:szCs w:val="20"/>
        </w:rPr>
      </w:pPr>
      <w:r w:rsidRPr="001C2913">
        <w:rPr>
          <w:rFonts w:ascii="Arial" w:hAnsi="Arial" w:cs="Arial"/>
          <w:sz w:val="20"/>
          <w:szCs w:val="20"/>
        </w:rPr>
        <w:t>This integrated approach contributes toward proactive and data-driven groundwater sustainability management.</w:t>
      </w:r>
    </w:p>
    <w:p w14:paraId="5B29F126" w14:textId="77777777" w:rsidR="00111B89" w:rsidRPr="001C2913" w:rsidRDefault="00466422" w:rsidP="00111B89">
      <w:pPr>
        <w:pStyle w:val="Heading1"/>
        <w:rPr>
          <w:rFonts w:ascii="Arial" w:hAnsi="Arial" w:cs="Arial"/>
          <w:color w:val="auto"/>
          <w:sz w:val="22"/>
          <w:szCs w:val="22"/>
        </w:rPr>
      </w:pPr>
      <w:r w:rsidRPr="001C2913">
        <w:rPr>
          <w:rFonts w:ascii="Arial" w:hAnsi="Arial" w:cs="Arial"/>
          <w:color w:val="auto"/>
          <w:sz w:val="22"/>
          <w:szCs w:val="22"/>
        </w:rPr>
        <w:t>2. MATERIALS AND METHODS</w:t>
      </w:r>
    </w:p>
    <w:p w14:paraId="73151E8F" w14:textId="77777777" w:rsidR="00111B89" w:rsidRPr="001C2913" w:rsidRDefault="00111B89" w:rsidP="00111B89">
      <w:pPr>
        <w:pStyle w:val="Heading2"/>
        <w:rPr>
          <w:rFonts w:ascii="Arial" w:hAnsi="Arial" w:cs="Arial"/>
          <w:sz w:val="20"/>
          <w:szCs w:val="20"/>
        </w:rPr>
      </w:pPr>
      <w:r w:rsidRPr="001C2913">
        <w:rPr>
          <w:rFonts w:ascii="Arial" w:hAnsi="Arial" w:cs="Arial"/>
          <w:sz w:val="20"/>
          <w:szCs w:val="20"/>
        </w:rPr>
        <w:t>2.1 Study Area</w:t>
      </w:r>
    </w:p>
    <w:p w14:paraId="0C425966" w14:textId="77777777" w:rsidR="00111B89" w:rsidRPr="001C2913" w:rsidRDefault="00111B89" w:rsidP="004E54FD">
      <w:pPr>
        <w:pStyle w:val="NormalWeb"/>
        <w:jc w:val="both"/>
        <w:rPr>
          <w:rFonts w:ascii="Arial" w:hAnsi="Arial" w:cs="Arial"/>
          <w:sz w:val="20"/>
          <w:szCs w:val="20"/>
        </w:rPr>
      </w:pPr>
      <w:r w:rsidRPr="001C2913">
        <w:rPr>
          <w:rFonts w:ascii="Arial" w:hAnsi="Arial" w:cs="Arial"/>
          <w:sz w:val="20"/>
          <w:szCs w:val="20"/>
        </w:rPr>
        <w:t>The study area is located</w:t>
      </w:r>
      <w:r w:rsidR="00FB01DF" w:rsidRPr="001C2913">
        <w:rPr>
          <w:rFonts w:ascii="Arial" w:hAnsi="Arial" w:cs="Arial"/>
          <w:sz w:val="20"/>
          <w:szCs w:val="20"/>
        </w:rPr>
        <w:t xml:space="preserve"> (</w:t>
      </w:r>
      <w:r w:rsidR="00FB01DF" w:rsidRPr="001C2913">
        <w:rPr>
          <w:rFonts w:ascii="Arial" w:hAnsi="Arial" w:cs="Arial"/>
          <w:b/>
          <w:bCs/>
          <w:sz w:val="20"/>
          <w:szCs w:val="20"/>
        </w:rPr>
        <w:t>Fig</w:t>
      </w:r>
      <w:r w:rsidR="00425C7A" w:rsidRPr="001C2913">
        <w:rPr>
          <w:rFonts w:ascii="Arial" w:hAnsi="Arial" w:cs="Arial"/>
          <w:b/>
          <w:bCs/>
          <w:sz w:val="20"/>
          <w:szCs w:val="20"/>
        </w:rPr>
        <w:t>.</w:t>
      </w:r>
      <w:r w:rsidR="00FB01DF" w:rsidRPr="001C2913">
        <w:rPr>
          <w:rFonts w:ascii="Arial" w:hAnsi="Arial" w:cs="Arial"/>
          <w:b/>
          <w:bCs/>
          <w:sz w:val="20"/>
          <w:szCs w:val="20"/>
        </w:rPr>
        <w:t>1</w:t>
      </w:r>
      <w:r w:rsidR="00FB01DF" w:rsidRPr="001C2913">
        <w:rPr>
          <w:rFonts w:ascii="Arial" w:hAnsi="Arial" w:cs="Arial"/>
          <w:sz w:val="20"/>
          <w:szCs w:val="20"/>
        </w:rPr>
        <w:t>)</w:t>
      </w:r>
      <w:r w:rsidRPr="001C2913">
        <w:rPr>
          <w:rFonts w:ascii="Arial" w:hAnsi="Arial" w:cs="Arial"/>
          <w:sz w:val="20"/>
          <w:szCs w:val="20"/>
        </w:rPr>
        <w:t xml:space="preserve"> in </w:t>
      </w:r>
      <w:proofErr w:type="spellStart"/>
      <w:r w:rsidRPr="001C2913">
        <w:rPr>
          <w:rFonts w:ascii="Arial" w:hAnsi="Arial" w:cs="Arial"/>
          <w:sz w:val="20"/>
          <w:szCs w:val="20"/>
        </w:rPr>
        <w:t>Salur</w:t>
      </w:r>
      <w:proofErr w:type="spellEnd"/>
      <w:r w:rsidRPr="001C2913">
        <w:rPr>
          <w:rFonts w:ascii="Arial" w:hAnsi="Arial" w:cs="Arial"/>
          <w:sz w:val="20"/>
          <w:szCs w:val="20"/>
        </w:rPr>
        <w:t xml:space="preserve"> Mandal (currently </w:t>
      </w:r>
      <w:proofErr w:type="spellStart"/>
      <w:r w:rsidRPr="001C2913">
        <w:rPr>
          <w:rFonts w:ascii="Arial" w:hAnsi="Arial" w:cs="Arial"/>
          <w:sz w:val="20"/>
          <w:szCs w:val="20"/>
        </w:rPr>
        <w:t>Parvathipuram</w:t>
      </w:r>
      <w:proofErr w:type="spellEnd"/>
      <w:r w:rsidRPr="001C2913">
        <w:rPr>
          <w:rFonts w:ascii="Arial" w:hAnsi="Arial" w:cs="Arial"/>
          <w:sz w:val="20"/>
          <w:szCs w:val="20"/>
        </w:rPr>
        <w:t xml:space="preserve"> </w:t>
      </w:r>
      <w:proofErr w:type="spellStart"/>
      <w:r w:rsidRPr="001C2913">
        <w:rPr>
          <w:rFonts w:ascii="Arial" w:hAnsi="Arial" w:cs="Arial"/>
          <w:sz w:val="20"/>
          <w:szCs w:val="20"/>
        </w:rPr>
        <w:t>Manyam</w:t>
      </w:r>
      <w:proofErr w:type="spellEnd"/>
      <w:r w:rsidRPr="001C2913">
        <w:rPr>
          <w:rFonts w:ascii="Arial" w:hAnsi="Arial" w:cs="Arial"/>
          <w:sz w:val="20"/>
          <w:szCs w:val="20"/>
        </w:rPr>
        <w:t xml:space="preserve"> District), Andhra Pradesh, India, covering ~328 km² between 18°28′12″–18°46′48″N and 83°01′12″–83°17′24″E. The region is characterized by hard-rock aquifers dominated by </w:t>
      </w:r>
      <w:proofErr w:type="spellStart"/>
      <w:r w:rsidRPr="001C2913">
        <w:rPr>
          <w:rFonts w:ascii="Arial" w:hAnsi="Arial" w:cs="Arial"/>
          <w:sz w:val="20"/>
          <w:szCs w:val="20"/>
        </w:rPr>
        <w:t>Khondalite</w:t>
      </w:r>
      <w:proofErr w:type="spellEnd"/>
      <w:r w:rsidRPr="001C2913">
        <w:rPr>
          <w:rFonts w:ascii="Arial" w:hAnsi="Arial" w:cs="Arial"/>
          <w:sz w:val="20"/>
          <w:szCs w:val="20"/>
        </w:rPr>
        <w:t xml:space="preserve"> Group formations of the Eastern Ghats. The climate is tropical monsoonal, with seasonal recharge influencing groundwater chemistry.</w:t>
      </w:r>
      <w:r w:rsidR="00185F3E" w:rsidRPr="001C2913">
        <w:rPr>
          <w:rFonts w:ascii="Arial" w:hAnsi="Arial" w:cs="Arial"/>
          <w:sz w:val="20"/>
          <w:szCs w:val="20"/>
        </w:rPr>
        <w:t xml:space="preserve"> </w:t>
      </w:r>
      <w:r w:rsidRPr="001C2913">
        <w:rPr>
          <w:rFonts w:ascii="Arial" w:hAnsi="Arial" w:cs="Arial"/>
          <w:sz w:val="20"/>
          <w:szCs w:val="20"/>
        </w:rPr>
        <w:t>Groundwater serves as the principal drinking water source for rural and tribal communities.</w:t>
      </w:r>
    </w:p>
    <w:p w14:paraId="686C64DC" w14:textId="77777777" w:rsidR="00425C7A" w:rsidRPr="001C2913" w:rsidRDefault="00425C7A" w:rsidP="004E54FD">
      <w:pPr>
        <w:pStyle w:val="NormalWeb"/>
        <w:jc w:val="both"/>
        <w:rPr>
          <w:rFonts w:ascii="Arial" w:hAnsi="Arial" w:cs="Arial"/>
        </w:rPr>
      </w:pPr>
      <w:r w:rsidRPr="001C2913">
        <w:rPr>
          <w:rFonts w:ascii="Arial" w:hAnsi="Arial" w:cs="Arial"/>
          <w:noProof/>
        </w:rPr>
        <w:lastRenderedPageBreak/>
        <w:drawing>
          <wp:inline distT="0" distB="0" distL="0" distR="0" wp14:anchorId="2F8E08C2" wp14:editId="76F2C64D">
            <wp:extent cx="5486400" cy="31432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86400" cy="3143250"/>
                    </a:xfrm>
                    <a:prstGeom prst="rect">
                      <a:avLst/>
                    </a:prstGeom>
                    <a:noFill/>
                    <a:ln w="9525">
                      <a:noFill/>
                      <a:miter lim="800000"/>
                      <a:headEnd/>
                      <a:tailEnd/>
                    </a:ln>
                  </pic:spPr>
                </pic:pic>
              </a:graphicData>
            </a:graphic>
          </wp:inline>
        </w:drawing>
      </w:r>
    </w:p>
    <w:p w14:paraId="21663EB7" w14:textId="77777777" w:rsidR="00425C7A" w:rsidRPr="001C2913" w:rsidRDefault="00425C7A" w:rsidP="00425C7A">
      <w:pPr>
        <w:pStyle w:val="NormalWeb"/>
        <w:jc w:val="center"/>
        <w:rPr>
          <w:rFonts w:ascii="Arial" w:hAnsi="Arial" w:cs="Arial"/>
        </w:rPr>
      </w:pPr>
      <w:r w:rsidRPr="001C2913">
        <w:rPr>
          <w:rFonts w:ascii="Arial" w:hAnsi="Arial" w:cs="Arial"/>
          <w:b/>
          <w:bCs/>
        </w:rPr>
        <w:t>Fig. 1</w:t>
      </w:r>
      <w:r w:rsidR="00AF4524" w:rsidRPr="001C2913">
        <w:rPr>
          <w:rFonts w:ascii="Arial" w:hAnsi="Arial" w:cs="Arial"/>
          <w:b/>
          <w:bCs/>
        </w:rPr>
        <w:t>:</w:t>
      </w:r>
      <w:r w:rsidRPr="001C2913">
        <w:rPr>
          <w:rFonts w:ascii="Arial" w:hAnsi="Arial" w:cs="Arial"/>
          <w:b/>
          <w:bCs/>
        </w:rPr>
        <w:t xml:space="preserve"> Location map of the study area</w:t>
      </w:r>
    </w:p>
    <w:p w14:paraId="6A80B072" w14:textId="77777777" w:rsidR="00111B89" w:rsidRPr="001C2913" w:rsidRDefault="00111B89" w:rsidP="00111B89">
      <w:pPr>
        <w:pStyle w:val="Heading2"/>
        <w:rPr>
          <w:rFonts w:ascii="Arial" w:hAnsi="Arial" w:cs="Arial"/>
          <w:sz w:val="20"/>
          <w:szCs w:val="20"/>
        </w:rPr>
      </w:pPr>
      <w:r w:rsidRPr="001C2913">
        <w:rPr>
          <w:rFonts w:ascii="Arial" w:hAnsi="Arial" w:cs="Arial"/>
          <w:sz w:val="20"/>
          <w:szCs w:val="20"/>
        </w:rPr>
        <w:t>2.2 Sampling and Laboratory Analysis</w:t>
      </w:r>
    </w:p>
    <w:p w14:paraId="65FDE791" w14:textId="77777777" w:rsidR="007E4480" w:rsidRPr="001C2913" w:rsidRDefault="007E4480" w:rsidP="007E4480">
      <w:pPr>
        <w:pStyle w:val="NormalWeb"/>
        <w:jc w:val="both"/>
        <w:rPr>
          <w:rFonts w:ascii="Arial" w:hAnsi="Arial" w:cs="Arial"/>
          <w:sz w:val="20"/>
          <w:szCs w:val="20"/>
        </w:rPr>
      </w:pPr>
      <w:r w:rsidRPr="001C2913">
        <w:rPr>
          <w:rFonts w:ascii="Arial" w:hAnsi="Arial" w:cs="Arial"/>
          <w:sz w:val="20"/>
          <w:szCs w:val="20"/>
        </w:rPr>
        <w:t xml:space="preserve">A total of </w:t>
      </w:r>
      <w:r w:rsidRPr="001C2913">
        <w:rPr>
          <w:rStyle w:val="Strong"/>
          <w:rFonts w:ascii="Arial" w:hAnsi="Arial" w:cs="Arial"/>
          <w:sz w:val="20"/>
          <w:szCs w:val="20"/>
        </w:rPr>
        <w:t>468 groundwater samples</w:t>
      </w:r>
      <w:r w:rsidRPr="001C2913">
        <w:rPr>
          <w:rFonts w:ascii="Arial" w:hAnsi="Arial" w:cs="Arial"/>
          <w:sz w:val="20"/>
          <w:szCs w:val="20"/>
        </w:rPr>
        <w:t xml:space="preserve"> </w:t>
      </w:r>
      <w:r w:rsidR="003F072C">
        <w:t xml:space="preserve">(monthly each sample from each sampling location for 36 months) </w:t>
      </w:r>
      <w:r w:rsidRPr="001C2913">
        <w:rPr>
          <w:rFonts w:ascii="Arial" w:hAnsi="Arial" w:cs="Arial"/>
          <w:sz w:val="20"/>
          <w:szCs w:val="20"/>
        </w:rPr>
        <w:t>were collected from November 2018 to October 2021 from thirteen monitoring locations in the study area</w:t>
      </w:r>
      <w:r w:rsidR="0096118C">
        <w:rPr>
          <w:rFonts w:ascii="Arial" w:hAnsi="Arial" w:cs="Arial"/>
          <w:sz w:val="20"/>
          <w:szCs w:val="20"/>
        </w:rPr>
        <w:t xml:space="preserve">. Geological coordinates of the sampling locations are presented in  </w:t>
      </w:r>
      <w:r w:rsidRPr="001C2913">
        <w:rPr>
          <w:rFonts w:ascii="Arial" w:hAnsi="Arial" w:cs="Arial"/>
          <w:sz w:val="20"/>
          <w:szCs w:val="20"/>
        </w:rPr>
        <w:t xml:space="preserve"> </w:t>
      </w:r>
      <w:r w:rsidRPr="001C2913">
        <w:rPr>
          <w:rFonts w:ascii="Arial" w:hAnsi="Arial" w:cs="Arial"/>
          <w:b/>
          <w:bCs/>
          <w:sz w:val="20"/>
          <w:szCs w:val="20"/>
        </w:rPr>
        <w:t>Table 1</w:t>
      </w:r>
      <w:r w:rsidRPr="001C2913">
        <w:rPr>
          <w:rFonts w:ascii="Arial" w:hAnsi="Arial" w:cs="Arial"/>
          <w:sz w:val="20"/>
          <w:szCs w:val="20"/>
        </w:rPr>
        <w:t>. Samples were collected in pre-cleaned polyethylene bottles washed with non-ionic detergent, rinsed with tap water, treated with 1:1 hydrochloric acid, and finally rinsed with deionized water. Prior to sample collection, the bottles were rinsed three times with the respective groundwater. Tube wells were pumped for at least five minutes before sampling to obtain representative aquifer water.</w:t>
      </w:r>
    </w:p>
    <w:p w14:paraId="58A9A3EE" w14:textId="77777777" w:rsidR="007E4480" w:rsidRPr="001C2913" w:rsidRDefault="007E4480" w:rsidP="007E4480">
      <w:pPr>
        <w:pStyle w:val="NormalWeb"/>
        <w:jc w:val="both"/>
        <w:rPr>
          <w:rFonts w:ascii="Arial" w:hAnsi="Arial" w:cs="Arial"/>
          <w:sz w:val="20"/>
          <w:szCs w:val="20"/>
        </w:rPr>
      </w:pPr>
      <w:proofErr w:type="spellStart"/>
      <w:r w:rsidRPr="001C2913">
        <w:rPr>
          <w:rFonts w:ascii="Arial" w:hAnsi="Arial" w:cs="Arial"/>
          <w:sz w:val="20"/>
          <w:szCs w:val="20"/>
        </w:rPr>
        <w:t>Physico</w:t>
      </w:r>
      <w:proofErr w:type="spellEnd"/>
      <w:r w:rsidRPr="001C2913">
        <w:rPr>
          <w:rFonts w:ascii="Arial" w:hAnsi="Arial" w:cs="Arial"/>
          <w:sz w:val="20"/>
          <w:szCs w:val="20"/>
        </w:rPr>
        <w:t xml:space="preserve">-chemical parameters were analyzed following standard procedures prescribed by APHA (1998). </w:t>
      </w:r>
      <w:r w:rsidR="0096118C" w:rsidRPr="001C2913">
        <w:rPr>
          <w:rFonts w:ascii="Arial" w:hAnsi="Arial" w:cs="Arial"/>
          <w:sz w:val="20"/>
          <w:szCs w:val="20"/>
        </w:rPr>
        <w:t>PH</w:t>
      </w:r>
      <w:r w:rsidRPr="001C2913">
        <w:rPr>
          <w:rFonts w:ascii="Arial" w:hAnsi="Arial" w:cs="Arial"/>
          <w:sz w:val="20"/>
          <w:szCs w:val="20"/>
        </w:rPr>
        <w:t xml:space="preserve"> and electrical conductivity (EC) were measured using digital pH meter (</w:t>
      </w:r>
      <w:proofErr w:type="spellStart"/>
      <w:r w:rsidRPr="001C2913">
        <w:rPr>
          <w:rFonts w:ascii="Arial" w:hAnsi="Arial" w:cs="Arial"/>
          <w:sz w:val="20"/>
          <w:szCs w:val="20"/>
        </w:rPr>
        <w:t>Elico</w:t>
      </w:r>
      <w:proofErr w:type="spellEnd"/>
      <w:r w:rsidRPr="001C2913">
        <w:rPr>
          <w:rFonts w:ascii="Arial" w:hAnsi="Arial" w:cs="Arial"/>
          <w:sz w:val="20"/>
          <w:szCs w:val="20"/>
        </w:rPr>
        <w:t xml:space="preserve"> LI-120) and conductivity meter (</w:t>
      </w:r>
      <w:proofErr w:type="spellStart"/>
      <w:r w:rsidRPr="001C2913">
        <w:rPr>
          <w:rFonts w:ascii="Arial" w:hAnsi="Arial" w:cs="Arial"/>
          <w:sz w:val="20"/>
          <w:szCs w:val="20"/>
        </w:rPr>
        <w:t>Elico</w:t>
      </w:r>
      <w:proofErr w:type="spellEnd"/>
      <w:r w:rsidRPr="001C2913">
        <w:rPr>
          <w:rFonts w:ascii="Arial" w:hAnsi="Arial" w:cs="Arial"/>
          <w:sz w:val="20"/>
          <w:szCs w:val="20"/>
        </w:rPr>
        <w:t xml:space="preserve"> CL-351), respectively. Total dissolved solids (TDS) were determined by the gravimetric method. Total hardness (TH), total alkalinity (TA), calcium (Ca²</w:t>
      </w:r>
      <w:r w:rsidRPr="001C2913">
        <w:rPr>
          <w:rFonts w:ascii="Cambria Math" w:hAnsi="Cambria Math" w:cs="Arial"/>
          <w:sz w:val="20"/>
          <w:szCs w:val="20"/>
        </w:rPr>
        <w:t>⁺</w:t>
      </w:r>
      <w:r w:rsidRPr="001C2913">
        <w:rPr>
          <w:rFonts w:ascii="Arial" w:hAnsi="Arial" w:cs="Arial"/>
          <w:sz w:val="20"/>
          <w:szCs w:val="20"/>
        </w:rPr>
        <w:t>), magnesium (Mg²</w:t>
      </w:r>
      <w:r w:rsidRPr="001C2913">
        <w:rPr>
          <w:rFonts w:ascii="Cambria Math" w:hAnsi="Cambria Math" w:cs="Arial"/>
          <w:sz w:val="20"/>
          <w:szCs w:val="20"/>
        </w:rPr>
        <w:t>⁺</w:t>
      </w:r>
      <w:r w:rsidRPr="001C2913">
        <w:rPr>
          <w:rFonts w:ascii="Arial" w:hAnsi="Arial" w:cs="Arial"/>
          <w:sz w:val="20"/>
          <w:szCs w:val="20"/>
        </w:rPr>
        <w:t>), chloride (Cl</w:t>
      </w:r>
      <w:r w:rsidRPr="001C2913">
        <w:rPr>
          <w:rFonts w:ascii="Cambria Math" w:hAnsi="Cambria Math" w:cs="Arial"/>
          <w:sz w:val="20"/>
          <w:szCs w:val="20"/>
        </w:rPr>
        <w:t>⁻</w:t>
      </w:r>
      <w:r w:rsidRPr="001C2913">
        <w:rPr>
          <w:rFonts w:ascii="Arial" w:hAnsi="Arial" w:cs="Arial"/>
          <w:sz w:val="20"/>
          <w:szCs w:val="20"/>
        </w:rPr>
        <w:t>), carbonate (CO</w:t>
      </w:r>
      <w:r w:rsidRPr="001C2913">
        <w:rPr>
          <w:rFonts w:ascii="Cambria Math" w:hAnsi="Cambria Math" w:cs="Arial"/>
          <w:sz w:val="20"/>
          <w:szCs w:val="20"/>
        </w:rPr>
        <w:t>₃</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and bicarbonate (HCO</w:t>
      </w:r>
      <w:r w:rsidRPr="001C2913">
        <w:rPr>
          <w:rFonts w:ascii="Cambria Math" w:hAnsi="Cambria Math" w:cs="Arial"/>
          <w:sz w:val="20"/>
          <w:szCs w:val="20"/>
        </w:rPr>
        <w:t>₃⁻</w:t>
      </w:r>
      <w:r w:rsidRPr="001C2913">
        <w:rPr>
          <w:rFonts w:ascii="Arial" w:hAnsi="Arial" w:cs="Arial"/>
          <w:sz w:val="20"/>
          <w:szCs w:val="20"/>
        </w:rPr>
        <w:t>) were estimated by standard titrimetric methods. Nitrate (NO</w:t>
      </w:r>
      <w:r w:rsidRPr="001C2913">
        <w:rPr>
          <w:rFonts w:ascii="Cambria Math" w:hAnsi="Cambria Math" w:cs="Arial"/>
          <w:sz w:val="20"/>
          <w:szCs w:val="20"/>
        </w:rPr>
        <w:t>₃⁻</w:t>
      </w:r>
      <w:r w:rsidRPr="001C2913">
        <w:rPr>
          <w:rFonts w:ascii="Arial" w:hAnsi="Arial" w:cs="Arial"/>
          <w:sz w:val="20"/>
          <w:szCs w:val="20"/>
        </w:rPr>
        <w:t>) was determined using a UV–Visible spectrophotometer (</w:t>
      </w:r>
      <w:proofErr w:type="spellStart"/>
      <w:r w:rsidRPr="001C2913">
        <w:rPr>
          <w:rFonts w:ascii="Arial" w:hAnsi="Arial" w:cs="Arial"/>
          <w:sz w:val="20"/>
          <w:szCs w:val="20"/>
        </w:rPr>
        <w:t>Elico</w:t>
      </w:r>
      <w:proofErr w:type="spellEnd"/>
      <w:r w:rsidRPr="001C2913">
        <w:rPr>
          <w:rFonts w:ascii="Arial" w:hAnsi="Arial" w:cs="Arial"/>
          <w:sz w:val="20"/>
          <w:szCs w:val="20"/>
        </w:rPr>
        <w:t xml:space="preserve"> SL-177) with a 1 cm quartz cell by the phenol </w:t>
      </w:r>
      <w:proofErr w:type="spellStart"/>
      <w:r w:rsidRPr="001C2913">
        <w:rPr>
          <w:rFonts w:ascii="Arial" w:hAnsi="Arial" w:cs="Arial"/>
          <w:sz w:val="20"/>
          <w:szCs w:val="20"/>
        </w:rPr>
        <w:t>disulphonic</w:t>
      </w:r>
      <w:proofErr w:type="spellEnd"/>
      <w:r w:rsidRPr="001C2913">
        <w:rPr>
          <w:rFonts w:ascii="Arial" w:hAnsi="Arial" w:cs="Arial"/>
          <w:sz w:val="20"/>
          <w:szCs w:val="20"/>
        </w:rPr>
        <w:t xml:space="preserve"> acid method. Fluoride (F</w:t>
      </w:r>
      <w:r w:rsidRPr="001C2913">
        <w:rPr>
          <w:rFonts w:ascii="Cambria Math" w:hAnsi="Cambria Math" w:cs="Arial"/>
          <w:sz w:val="20"/>
          <w:szCs w:val="20"/>
        </w:rPr>
        <w:t>⁻</w:t>
      </w:r>
      <w:r w:rsidRPr="001C2913">
        <w:rPr>
          <w:rFonts w:ascii="Arial" w:hAnsi="Arial" w:cs="Arial"/>
          <w:sz w:val="20"/>
          <w:szCs w:val="20"/>
        </w:rPr>
        <w:t>) was analyzed by the SPADNS method, while sulphate (SO</w:t>
      </w:r>
      <w:r w:rsidRPr="001C2913">
        <w:rPr>
          <w:rFonts w:ascii="Cambria Math" w:hAnsi="Cambria Math" w:cs="Arial"/>
          <w:sz w:val="20"/>
          <w:szCs w:val="20"/>
        </w:rPr>
        <w:t>₄</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was determined by the turbidimetric method using standard barium chloride solution. Sodium (Na</w:t>
      </w:r>
      <w:r w:rsidRPr="001C2913">
        <w:rPr>
          <w:rFonts w:ascii="Cambria Math" w:hAnsi="Cambria Math" w:cs="Arial"/>
          <w:sz w:val="20"/>
          <w:szCs w:val="20"/>
        </w:rPr>
        <w:t>⁺</w:t>
      </w:r>
      <w:r w:rsidRPr="001C2913">
        <w:rPr>
          <w:rFonts w:ascii="Arial" w:hAnsi="Arial" w:cs="Arial"/>
          <w:sz w:val="20"/>
          <w:szCs w:val="20"/>
        </w:rPr>
        <w:t>) and potassium (K</w:t>
      </w:r>
      <w:r w:rsidRPr="001C2913">
        <w:rPr>
          <w:rFonts w:ascii="Cambria Math" w:hAnsi="Cambria Math" w:cs="Arial"/>
          <w:sz w:val="20"/>
          <w:szCs w:val="20"/>
        </w:rPr>
        <w:t>⁺</w:t>
      </w:r>
      <w:r w:rsidRPr="001C2913">
        <w:rPr>
          <w:rFonts w:ascii="Arial" w:hAnsi="Arial" w:cs="Arial"/>
          <w:sz w:val="20"/>
          <w:szCs w:val="20"/>
        </w:rPr>
        <w:t>) were measured using a flame photometer (</w:t>
      </w:r>
      <w:proofErr w:type="spellStart"/>
      <w:r w:rsidRPr="001C2913">
        <w:rPr>
          <w:rFonts w:ascii="Arial" w:hAnsi="Arial" w:cs="Arial"/>
          <w:sz w:val="20"/>
          <w:szCs w:val="20"/>
        </w:rPr>
        <w:t>Elico</w:t>
      </w:r>
      <w:proofErr w:type="spellEnd"/>
      <w:r w:rsidRPr="001C2913">
        <w:rPr>
          <w:rFonts w:ascii="Arial" w:hAnsi="Arial" w:cs="Arial"/>
          <w:sz w:val="20"/>
          <w:szCs w:val="20"/>
        </w:rPr>
        <w:t xml:space="preserve"> CL-361).</w:t>
      </w:r>
    </w:p>
    <w:p w14:paraId="7F02BDC5" w14:textId="77777777" w:rsidR="007E4480" w:rsidRPr="001C2913" w:rsidRDefault="007E4480" w:rsidP="007E4480">
      <w:pPr>
        <w:pStyle w:val="NormalWeb"/>
        <w:jc w:val="both"/>
        <w:rPr>
          <w:rFonts w:ascii="Arial" w:hAnsi="Arial" w:cs="Arial"/>
          <w:sz w:val="20"/>
          <w:szCs w:val="20"/>
        </w:rPr>
      </w:pPr>
      <w:r w:rsidRPr="001C2913">
        <w:rPr>
          <w:rFonts w:ascii="Arial" w:hAnsi="Arial" w:cs="Arial"/>
          <w:sz w:val="20"/>
          <w:szCs w:val="20"/>
        </w:rPr>
        <w:t xml:space="preserve">A total of fifteen </w:t>
      </w:r>
      <w:proofErr w:type="spellStart"/>
      <w:r w:rsidRPr="001C2913">
        <w:rPr>
          <w:rFonts w:ascii="Arial" w:hAnsi="Arial" w:cs="Arial"/>
          <w:sz w:val="20"/>
          <w:szCs w:val="20"/>
        </w:rPr>
        <w:t>physico</w:t>
      </w:r>
      <w:proofErr w:type="spellEnd"/>
      <w:r w:rsidRPr="001C2913">
        <w:rPr>
          <w:rFonts w:ascii="Arial" w:hAnsi="Arial" w:cs="Arial"/>
          <w:sz w:val="20"/>
          <w:szCs w:val="20"/>
        </w:rPr>
        <w:t>-chemical parameters (pH, EC, TDS, TH, TA, Ca²</w:t>
      </w:r>
      <w:r w:rsidRPr="001C2913">
        <w:rPr>
          <w:rFonts w:ascii="Cambria Math" w:hAnsi="Cambria Math" w:cs="Arial"/>
          <w:sz w:val="20"/>
          <w:szCs w:val="20"/>
        </w:rPr>
        <w:t>⁺</w:t>
      </w:r>
      <w:r w:rsidRPr="001C2913">
        <w:rPr>
          <w:rFonts w:ascii="Arial" w:hAnsi="Arial" w:cs="Arial"/>
          <w:sz w:val="20"/>
          <w:szCs w:val="20"/>
        </w:rPr>
        <w:t>, Mg²</w:t>
      </w:r>
      <w:r w:rsidRPr="001C2913">
        <w:rPr>
          <w:rFonts w:ascii="Cambria Math" w:hAnsi="Cambria Math" w:cs="Arial"/>
          <w:sz w:val="20"/>
          <w:szCs w:val="20"/>
        </w:rPr>
        <w:t>⁺</w:t>
      </w:r>
      <w:r w:rsidRPr="001C2913">
        <w:rPr>
          <w:rFonts w:ascii="Arial" w:hAnsi="Arial" w:cs="Arial"/>
          <w:sz w:val="20"/>
          <w:szCs w:val="20"/>
        </w:rPr>
        <w:t>, Na</w:t>
      </w:r>
      <w:r w:rsidRPr="001C2913">
        <w:rPr>
          <w:rFonts w:ascii="Cambria Math" w:hAnsi="Cambria Math" w:cs="Arial"/>
          <w:sz w:val="20"/>
          <w:szCs w:val="20"/>
        </w:rPr>
        <w:t>⁺</w:t>
      </w:r>
      <w:r w:rsidRPr="001C2913">
        <w:rPr>
          <w:rFonts w:ascii="Arial" w:hAnsi="Arial" w:cs="Arial"/>
          <w:sz w:val="20"/>
          <w:szCs w:val="20"/>
        </w:rPr>
        <w:t>, K</w:t>
      </w:r>
      <w:r w:rsidRPr="001C2913">
        <w:rPr>
          <w:rFonts w:ascii="Cambria Math" w:hAnsi="Cambria Math" w:cs="Arial"/>
          <w:sz w:val="20"/>
          <w:szCs w:val="20"/>
        </w:rPr>
        <w:t>⁺</w:t>
      </w:r>
      <w:r w:rsidRPr="001C2913">
        <w:rPr>
          <w:rFonts w:ascii="Arial" w:hAnsi="Arial" w:cs="Arial"/>
          <w:sz w:val="20"/>
          <w:szCs w:val="20"/>
        </w:rPr>
        <w:t>, NO</w:t>
      </w:r>
      <w:r w:rsidRPr="001C2913">
        <w:rPr>
          <w:rFonts w:ascii="Cambria Math" w:hAnsi="Cambria Math" w:cs="Arial"/>
          <w:sz w:val="20"/>
          <w:szCs w:val="20"/>
        </w:rPr>
        <w:t>₃⁻</w:t>
      </w:r>
      <w:r w:rsidRPr="001C2913">
        <w:rPr>
          <w:rFonts w:ascii="Arial" w:hAnsi="Arial" w:cs="Arial"/>
          <w:sz w:val="20"/>
          <w:szCs w:val="20"/>
        </w:rPr>
        <w:t>, Cl</w:t>
      </w:r>
      <w:r w:rsidRPr="001C2913">
        <w:rPr>
          <w:rFonts w:ascii="Cambria Math" w:hAnsi="Cambria Math" w:cs="Arial"/>
          <w:sz w:val="20"/>
          <w:szCs w:val="20"/>
        </w:rPr>
        <w:t>⁻</w:t>
      </w:r>
      <w:r w:rsidRPr="001C2913">
        <w:rPr>
          <w:rFonts w:ascii="Arial" w:hAnsi="Arial" w:cs="Arial"/>
          <w:sz w:val="20"/>
          <w:szCs w:val="20"/>
        </w:rPr>
        <w:t>, F</w:t>
      </w:r>
      <w:r w:rsidRPr="001C2913">
        <w:rPr>
          <w:rFonts w:ascii="Cambria Math" w:hAnsi="Cambria Math" w:cs="Arial"/>
          <w:sz w:val="20"/>
          <w:szCs w:val="20"/>
        </w:rPr>
        <w:t>⁻</w:t>
      </w:r>
      <w:r w:rsidRPr="001C2913">
        <w:rPr>
          <w:rFonts w:ascii="Arial" w:hAnsi="Arial" w:cs="Arial"/>
          <w:sz w:val="20"/>
          <w:szCs w:val="20"/>
        </w:rPr>
        <w:t>, SO</w:t>
      </w:r>
      <w:r w:rsidRPr="001C2913">
        <w:rPr>
          <w:rFonts w:ascii="Cambria Math" w:hAnsi="Cambria Math" w:cs="Arial"/>
          <w:sz w:val="20"/>
          <w:szCs w:val="20"/>
        </w:rPr>
        <w:t>₄</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CO</w:t>
      </w:r>
      <w:r w:rsidRPr="001C2913">
        <w:rPr>
          <w:rFonts w:ascii="Cambria Math" w:hAnsi="Cambria Math" w:cs="Arial"/>
          <w:sz w:val="20"/>
          <w:szCs w:val="20"/>
        </w:rPr>
        <w:t>₃</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and HCO</w:t>
      </w:r>
      <w:r w:rsidRPr="001C2913">
        <w:rPr>
          <w:rFonts w:ascii="Cambria Math" w:hAnsi="Cambria Math" w:cs="Arial"/>
          <w:sz w:val="20"/>
          <w:szCs w:val="20"/>
        </w:rPr>
        <w:t>₃⁻</w:t>
      </w:r>
      <w:r w:rsidRPr="001C2913">
        <w:rPr>
          <w:rFonts w:ascii="Arial" w:hAnsi="Arial" w:cs="Arial"/>
          <w:sz w:val="20"/>
          <w:szCs w:val="20"/>
        </w:rPr>
        <w:t>) were utilized to compute the Water Quality Index (WQI) using the weighted arithmetic method.</w:t>
      </w:r>
    </w:p>
    <w:p w14:paraId="27372661" w14:textId="77777777" w:rsidR="008525F5" w:rsidRPr="00466422" w:rsidRDefault="008525F5" w:rsidP="008525F5">
      <w:pPr>
        <w:jc w:val="center"/>
        <w:rPr>
          <w:rFonts w:ascii="Arial" w:hAnsi="Arial" w:cs="Arial"/>
          <w:b/>
          <w:sz w:val="20"/>
          <w:szCs w:val="20"/>
        </w:rPr>
      </w:pPr>
      <w:r w:rsidRPr="00466422">
        <w:rPr>
          <w:rStyle w:val="Strong"/>
          <w:rFonts w:ascii="Arial" w:hAnsi="Arial" w:cs="Arial"/>
          <w:sz w:val="20"/>
          <w:szCs w:val="20"/>
        </w:rPr>
        <w:t>Table 1:</w:t>
      </w:r>
      <w:r w:rsidRPr="00466422">
        <w:rPr>
          <w:rFonts w:ascii="Arial" w:hAnsi="Arial" w:cs="Arial"/>
          <w:sz w:val="20"/>
          <w:szCs w:val="20"/>
        </w:rPr>
        <w:t xml:space="preserve"> </w:t>
      </w:r>
      <w:r w:rsidRPr="00466422">
        <w:rPr>
          <w:rFonts w:ascii="Arial" w:hAnsi="Arial" w:cs="Arial"/>
          <w:b/>
          <w:bCs/>
          <w:sz w:val="20"/>
          <w:szCs w:val="20"/>
        </w:rPr>
        <w:t>Groundwater sampling locations and coordinates</w:t>
      </w:r>
      <w:r w:rsidRPr="00466422">
        <w:rPr>
          <w:rFonts w:ascii="Arial" w:hAnsi="Arial" w:cs="Arial"/>
          <w:sz w:val="20"/>
          <w:szCs w:val="20"/>
        </w:rPr>
        <w:t xml:space="preserve"> </w:t>
      </w:r>
    </w:p>
    <w:tbl>
      <w:tblPr>
        <w:tblW w:w="7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2053"/>
        <w:gridCol w:w="1017"/>
        <w:gridCol w:w="1740"/>
        <w:gridCol w:w="1590"/>
      </w:tblGrid>
      <w:tr w:rsidR="008525F5" w:rsidRPr="00466422" w14:paraId="0DE1DB18" w14:textId="77777777" w:rsidTr="00AF4524">
        <w:trPr>
          <w:trHeight w:val="288"/>
          <w:jc w:val="center"/>
        </w:trPr>
        <w:tc>
          <w:tcPr>
            <w:tcW w:w="1163" w:type="dxa"/>
            <w:shd w:val="clear" w:color="000000" w:fill="FFFFFF"/>
            <w:hideMark/>
          </w:tcPr>
          <w:p w14:paraId="09C81BCD"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Sample Id</w:t>
            </w:r>
          </w:p>
        </w:tc>
        <w:tc>
          <w:tcPr>
            <w:tcW w:w="2053" w:type="dxa"/>
            <w:shd w:val="clear" w:color="000000" w:fill="FFFFFF"/>
            <w:hideMark/>
          </w:tcPr>
          <w:p w14:paraId="5CDF42AA"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Sampling Station</w:t>
            </w:r>
          </w:p>
        </w:tc>
        <w:tc>
          <w:tcPr>
            <w:tcW w:w="1017" w:type="dxa"/>
            <w:shd w:val="clear" w:color="000000" w:fill="FFFFFF"/>
            <w:hideMark/>
          </w:tcPr>
          <w:p w14:paraId="7C0D60A0"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Mandal</w:t>
            </w:r>
          </w:p>
        </w:tc>
        <w:tc>
          <w:tcPr>
            <w:tcW w:w="1740" w:type="dxa"/>
            <w:shd w:val="clear" w:color="000000" w:fill="FFFFFF"/>
            <w:hideMark/>
          </w:tcPr>
          <w:p w14:paraId="2840D768"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Latitude(N)</w:t>
            </w:r>
          </w:p>
        </w:tc>
        <w:tc>
          <w:tcPr>
            <w:tcW w:w="1590" w:type="dxa"/>
            <w:shd w:val="clear" w:color="000000" w:fill="FFFFFF"/>
            <w:hideMark/>
          </w:tcPr>
          <w:p w14:paraId="5A947F3B" w14:textId="77777777" w:rsidR="008525F5" w:rsidRPr="00466422" w:rsidRDefault="008525F5" w:rsidP="00B911B6">
            <w:pPr>
              <w:spacing w:after="0" w:line="240" w:lineRule="auto"/>
              <w:jc w:val="center"/>
              <w:rPr>
                <w:rFonts w:ascii="Arial" w:eastAsia="Times New Roman" w:hAnsi="Arial" w:cs="Arial"/>
                <w:b/>
                <w:bCs/>
                <w:color w:val="000000"/>
                <w:sz w:val="20"/>
                <w:szCs w:val="20"/>
              </w:rPr>
            </w:pPr>
            <w:r w:rsidRPr="00466422">
              <w:rPr>
                <w:rFonts w:ascii="Arial" w:eastAsia="Times New Roman" w:hAnsi="Arial" w:cs="Arial"/>
                <w:b/>
                <w:bCs/>
                <w:color w:val="000000"/>
                <w:sz w:val="20"/>
                <w:szCs w:val="20"/>
              </w:rPr>
              <w:t>Longitude(E)</w:t>
            </w:r>
          </w:p>
        </w:tc>
      </w:tr>
      <w:tr w:rsidR="008525F5" w:rsidRPr="00466422" w14:paraId="541DB0E1" w14:textId="77777777" w:rsidTr="00AF4524">
        <w:trPr>
          <w:trHeight w:val="288"/>
          <w:jc w:val="center"/>
        </w:trPr>
        <w:tc>
          <w:tcPr>
            <w:tcW w:w="1163" w:type="dxa"/>
            <w:shd w:val="clear" w:color="000000" w:fill="FFFFFF"/>
            <w:vAlign w:val="center"/>
            <w:hideMark/>
          </w:tcPr>
          <w:p w14:paraId="2C9EE756"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w:t>
            </w:r>
          </w:p>
        </w:tc>
        <w:tc>
          <w:tcPr>
            <w:tcW w:w="2053" w:type="dxa"/>
            <w:shd w:val="clear" w:color="000000" w:fill="FFFFFF"/>
            <w:noWrap/>
            <w:vAlign w:val="bottom"/>
            <w:hideMark/>
          </w:tcPr>
          <w:p w14:paraId="671D89E2"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Annamarajuvalasa</w:t>
            </w:r>
            <w:proofErr w:type="spellEnd"/>
          </w:p>
        </w:tc>
        <w:tc>
          <w:tcPr>
            <w:tcW w:w="1017" w:type="dxa"/>
            <w:shd w:val="clear" w:color="000000" w:fill="FFFFFF"/>
            <w:noWrap/>
            <w:vAlign w:val="bottom"/>
            <w:hideMark/>
          </w:tcPr>
          <w:p w14:paraId="733F936B"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6907546C"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37</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46</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593EAA72"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11</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04</w:t>
            </w:r>
            <w:r w:rsidR="00D762AB">
              <w:rPr>
                <w:rFonts w:ascii="Arial" w:eastAsia="Times New Roman" w:hAnsi="Arial" w:cs="Arial"/>
                <w:color w:val="000000"/>
                <w:sz w:val="20"/>
                <w:szCs w:val="20"/>
                <w:vertAlign w:val="superscript"/>
              </w:rPr>
              <w:t>″</w:t>
            </w:r>
          </w:p>
        </w:tc>
      </w:tr>
      <w:tr w:rsidR="008525F5" w:rsidRPr="00466422" w14:paraId="7E1B66E4" w14:textId="77777777" w:rsidTr="00AF4524">
        <w:trPr>
          <w:trHeight w:val="288"/>
          <w:jc w:val="center"/>
        </w:trPr>
        <w:tc>
          <w:tcPr>
            <w:tcW w:w="1163" w:type="dxa"/>
            <w:shd w:val="clear" w:color="000000" w:fill="FFFFFF"/>
            <w:vAlign w:val="center"/>
            <w:hideMark/>
          </w:tcPr>
          <w:p w14:paraId="12177CEF"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lastRenderedPageBreak/>
              <w:t>S2</w:t>
            </w:r>
          </w:p>
        </w:tc>
        <w:tc>
          <w:tcPr>
            <w:tcW w:w="2053" w:type="dxa"/>
            <w:shd w:val="clear" w:color="000000" w:fill="FFFFFF"/>
            <w:noWrap/>
            <w:vAlign w:val="bottom"/>
            <w:hideMark/>
          </w:tcPr>
          <w:p w14:paraId="2A20A475"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Borabanda</w:t>
            </w:r>
            <w:proofErr w:type="spellEnd"/>
          </w:p>
        </w:tc>
        <w:tc>
          <w:tcPr>
            <w:tcW w:w="1017" w:type="dxa"/>
            <w:shd w:val="clear" w:color="000000" w:fill="FFFFFF"/>
            <w:noWrap/>
            <w:vAlign w:val="bottom"/>
            <w:hideMark/>
          </w:tcPr>
          <w:p w14:paraId="4151E8DB"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7E5EF6EA"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35</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1C337BA7"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14</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31</w:t>
            </w:r>
            <w:r w:rsidR="00D762AB">
              <w:rPr>
                <w:rFonts w:ascii="Arial" w:eastAsia="Times New Roman" w:hAnsi="Arial" w:cs="Arial"/>
                <w:color w:val="000000"/>
                <w:sz w:val="20"/>
                <w:szCs w:val="20"/>
                <w:vertAlign w:val="superscript"/>
              </w:rPr>
              <w:t>″</w:t>
            </w:r>
          </w:p>
        </w:tc>
      </w:tr>
      <w:tr w:rsidR="008525F5" w:rsidRPr="00466422" w14:paraId="7505286D" w14:textId="77777777" w:rsidTr="00AF4524">
        <w:trPr>
          <w:trHeight w:val="288"/>
          <w:jc w:val="center"/>
        </w:trPr>
        <w:tc>
          <w:tcPr>
            <w:tcW w:w="1163" w:type="dxa"/>
            <w:shd w:val="clear" w:color="000000" w:fill="FFFFFF"/>
            <w:vAlign w:val="center"/>
            <w:hideMark/>
          </w:tcPr>
          <w:p w14:paraId="7C4745FD"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S3</w:t>
            </w:r>
          </w:p>
        </w:tc>
        <w:tc>
          <w:tcPr>
            <w:tcW w:w="2053" w:type="dxa"/>
            <w:shd w:val="clear" w:color="000000" w:fill="FFFFFF"/>
            <w:noWrap/>
            <w:vAlign w:val="bottom"/>
            <w:hideMark/>
          </w:tcPr>
          <w:p w14:paraId="55550334"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Chinavootagedda</w:t>
            </w:r>
            <w:proofErr w:type="spellEnd"/>
          </w:p>
        </w:tc>
        <w:tc>
          <w:tcPr>
            <w:tcW w:w="1017" w:type="dxa"/>
            <w:shd w:val="clear" w:color="000000" w:fill="FFFFFF"/>
            <w:noWrap/>
            <w:vAlign w:val="bottom"/>
            <w:hideMark/>
          </w:tcPr>
          <w:p w14:paraId="3968CB51"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044CABB6"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42</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05</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0C640AF6"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11</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43</w:t>
            </w:r>
            <w:r w:rsidR="00D762AB">
              <w:rPr>
                <w:rFonts w:ascii="Arial" w:eastAsia="Times New Roman" w:hAnsi="Arial" w:cs="Arial"/>
                <w:color w:val="000000"/>
                <w:sz w:val="20"/>
                <w:szCs w:val="20"/>
                <w:vertAlign w:val="superscript"/>
              </w:rPr>
              <w:t>″</w:t>
            </w:r>
          </w:p>
        </w:tc>
      </w:tr>
      <w:tr w:rsidR="008525F5" w:rsidRPr="00466422" w14:paraId="0F3BE11D" w14:textId="77777777" w:rsidTr="00AF4524">
        <w:trPr>
          <w:trHeight w:val="288"/>
          <w:jc w:val="center"/>
        </w:trPr>
        <w:tc>
          <w:tcPr>
            <w:tcW w:w="1163" w:type="dxa"/>
            <w:shd w:val="clear" w:color="000000" w:fill="FFFFFF"/>
            <w:vAlign w:val="center"/>
            <w:hideMark/>
          </w:tcPr>
          <w:p w14:paraId="61ECCC1D"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S4</w:t>
            </w:r>
          </w:p>
        </w:tc>
        <w:tc>
          <w:tcPr>
            <w:tcW w:w="2053" w:type="dxa"/>
            <w:shd w:val="clear" w:color="000000" w:fill="FFFFFF"/>
            <w:noWrap/>
            <w:vAlign w:val="bottom"/>
            <w:hideMark/>
          </w:tcPr>
          <w:p w14:paraId="545F71BD"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Jilleduvalasa</w:t>
            </w:r>
            <w:proofErr w:type="spellEnd"/>
          </w:p>
        </w:tc>
        <w:tc>
          <w:tcPr>
            <w:tcW w:w="1017" w:type="dxa"/>
            <w:shd w:val="clear" w:color="000000" w:fill="FFFFFF"/>
            <w:noWrap/>
            <w:vAlign w:val="bottom"/>
            <w:hideMark/>
          </w:tcPr>
          <w:p w14:paraId="6C9B4D81"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1CF932A5"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16</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1F18A342"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08</w:t>
            </w:r>
            <w:r w:rsidR="00D762AB">
              <w:rPr>
                <w:rFonts w:ascii="Arial" w:eastAsia="Times New Roman" w:hAnsi="Arial" w:cs="Arial"/>
                <w:color w:val="000000"/>
                <w:sz w:val="20"/>
                <w:szCs w:val="20"/>
              </w:rPr>
              <w:t>′</w:t>
            </w:r>
            <w:r w:rsidRPr="00466422">
              <w:rPr>
                <w:rFonts w:ascii="Arial" w:eastAsia="Times New Roman" w:hAnsi="Arial" w:cs="Arial"/>
                <w:color w:val="000000"/>
                <w:sz w:val="20"/>
                <w:szCs w:val="20"/>
              </w:rPr>
              <w:t>07</w:t>
            </w:r>
            <w:r w:rsidR="00D762AB">
              <w:rPr>
                <w:rFonts w:ascii="Arial" w:eastAsia="Times New Roman" w:hAnsi="Arial" w:cs="Arial"/>
                <w:color w:val="000000"/>
                <w:sz w:val="20"/>
                <w:szCs w:val="20"/>
                <w:vertAlign w:val="superscript"/>
              </w:rPr>
              <w:t>″</w:t>
            </w:r>
          </w:p>
        </w:tc>
      </w:tr>
      <w:tr w:rsidR="008525F5" w:rsidRPr="00466422" w14:paraId="2D4DD07B" w14:textId="77777777" w:rsidTr="00AF4524">
        <w:trPr>
          <w:trHeight w:val="288"/>
          <w:jc w:val="center"/>
        </w:trPr>
        <w:tc>
          <w:tcPr>
            <w:tcW w:w="1163" w:type="dxa"/>
            <w:shd w:val="clear" w:color="000000" w:fill="FFFFFF"/>
            <w:vAlign w:val="center"/>
            <w:hideMark/>
          </w:tcPr>
          <w:p w14:paraId="0737C99D"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S5</w:t>
            </w:r>
          </w:p>
        </w:tc>
        <w:tc>
          <w:tcPr>
            <w:tcW w:w="2053" w:type="dxa"/>
            <w:shd w:val="clear" w:color="000000" w:fill="FFFFFF"/>
            <w:noWrap/>
            <w:vAlign w:val="bottom"/>
            <w:hideMark/>
          </w:tcPr>
          <w:p w14:paraId="023E48BB"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Kandulapalem</w:t>
            </w:r>
            <w:proofErr w:type="spellEnd"/>
          </w:p>
        </w:tc>
        <w:tc>
          <w:tcPr>
            <w:tcW w:w="1017" w:type="dxa"/>
            <w:shd w:val="clear" w:color="000000" w:fill="FFFFFF"/>
            <w:noWrap/>
            <w:vAlign w:val="bottom"/>
            <w:hideMark/>
          </w:tcPr>
          <w:p w14:paraId="2A78E65B"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7B2A0248"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40</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15A6711B"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09</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22</w:t>
            </w:r>
            <w:r w:rsidR="00D762AB">
              <w:rPr>
                <w:rFonts w:ascii="Arial" w:eastAsia="Times New Roman" w:hAnsi="Arial" w:cs="Arial"/>
                <w:color w:val="000000"/>
                <w:sz w:val="20"/>
                <w:szCs w:val="20"/>
                <w:vertAlign w:val="superscript"/>
              </w:rPr>
              <w:t>″</w:t>
            </w:r>
          </w:p>
        </w:tc>
      </w:tr>
      <w:tr w:rsidR="008525F5" w:rsidRPr="00466422" w14:paraId="08DE5407" w14:textId="77777777" w:rsidTr="00AF4524">
        <w:trPr>
          <w:trHeight w:val="288"/>
          <w:jc w:val="center"/>
        </w:trPr>
        <w:tc>
          <w:tcPr>
            <w:tcW w:w="1163" w:type="dxa"/>
            <w:shd w:val="clear" w:color="000000" w:fill="FFFFFF"/>
            <w:vAlign w:val="center"/>
            <w:hideMark/>
          </w:tcPr>
          <w:p w14:paraId="1D43D6F4"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S6</w:t>
            </w:r>
          </w:p>
        </w:tc>
        <w:tc>
          <w:tcPr>
            <w:tcW w:w="2053" w:type="dxa"/>
            <w:shd w:val="clear" w:color="000000" w:fill="FFFFFF"/>
            <w:noWrap/>
            <w:vAlign w:val="bottom"/>
            <w:hideMark/>
          </w:tcPr>
          <w:p w14:paraId="4E9A0111"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Karasuvalasa</w:t>
            </w:r>
            <w:proofErr w:type="spellEnd"/>
          </w:p>
        </w:tc>
        <w:tc>
          <w:tcPr>
            <w:tcW w:w="1017" w:type="dxa"/>
            <w:shd w:val="clear" w:color="000000" w:fill="FFFFFF"/>
            <w:noWrap/>
            <w:vAlign w:val="bottom"/>
            <w:hideMark/>
          </w:tcPr>
          <w:p w14:paraId="0527CC62"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62D891F5"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34</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34</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29645359"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10</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05</w:t>
            </w:r>
            <w:r w:rsidR="00D762AB">
              <w:rPr>
                <w:rFonts w:ascii="Arial" w:eastAsia="Times New Roman" w:hAnsi="Arial" w:cs="Arial"/>
                <w:color w:val="000000"/>
                <w:sz w:val="20"/>
                <w:szCs w:val="20"/>
                <w:vertAlign w:val="superscript"/>
              </w:rPr>
              <w:t>″</w:t>
            </w:r>
          </w:p>
        </w:tc>
      </w:tr>
      <w:tr w:rsidR="008525F5" w:rsidRPr="00466422" w14:paraId="58D1C50E" w14:textId="77777777" w:rsidTr="00AF4524">
        <w:trPr>
          <w:trHeight w:val="288"/>
          <w:jc w:val="center"/>
        </w:trPr>
        <w:tc>
          <w:tcPr>
            <w:tcW w:w="1163" w:type="dxa"/>
            <w:shd w:val="clear" w:color="000000" w:fill="FFFFFF"/>
            <w:vAlign w:val="center"/>
            <w:hideMark/>
          </w:tcPr>
          <w:p w14:paraId="544A4A16"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S7</w:t>
            </w:r>
          </w:p>
        </w:tc>
        <w:tc>
          <w:tcPr>
            <w:tcW w:w="2053" w:type="dxa"/>
            <w:shd w:val="clear" w:color="000000" w:fill="FFFFFF"/>
            <w:noWrap/>
            <w:vAlign w:val="bottom"/>
            <w:hideMark/>
          </w:tcPr>
          <w:p w14:paraId="41091B03"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Kurukutti</w:t>
            </w:r>
            <w:proofErr w:type="spellEnd"/>
          </w:p>
        </w:tc>
        <w:tc>
          <w:tcPr>
            <w:tcW w:w="1017" w:type="dxa"/>
            <w:shd w:val="clear" w:color="000000" w:fill="FFFFFF"/>
            <w:noWrap/>
            <w:vAlign w:val="bottom"/>
            <w:hideMark/>
          </w:tcPr>
          <w:p w14:paraId="155E26F2"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5808D81F"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35</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20</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6657FEAB"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05</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35</w:t>
            </w:r>
            <w:r w:rsidR="00D762AB">
              <w:rPr>
                <w:rFonts w:ascii="Arial" w:eastAsia="Times New Roman" w:hAnsi="Arial" w:cs="Arial"/>
                <w:color w:val="000000"/>
                <w:sz w:val="20"/>
                <w:szCs w:val="20"/>
                <w:vertAlign w:val="superscript"/>
              </w:rPr>
              <w:t>″</w:t>
            </w:r>
          </w:p>
        </w:tc>
      </w:tr>
      <w:tr w:rsidR="008525F5" w:rsidRPr="00466422" w14:paraId="7708AE34" w14:textId="77777777" w:rsidTr="00AF4524">
        <w:trPr>
          <w:trHeight w:val="288"/>
          <w:jc w:val="center"/>
        </w:trPr>
        <w:tc>
          <w:tcPr>
            <w:tcW w:w="1163" w:type="dxa"/>
            <w:shd w:val="clear" w:color="000000" w:fill="FFFFFF"/>
            <w:vAlign w:val="center"/>
            <w:hideMark/>
          </w:tcPr>
          <w:p w14:paraId="02818940"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S8</w:t>
            </w:r>
          </w:p>
        </w:tc>
        <w:tc>
          <w:tcPr>
            <w:tcW w:w="2053" w:type="dxa"/>
            <w:shd w:val="clear" w:color="000000" w:fill="FFFFFF"/>
            <w:noWrap/>
            <w:vAlign w:val="bottom"/>
            <w:hideMark/>
          </w:tcPr>
          <w:p w14:paraId="3E7B0396"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Maripalle</w:t>
            </w:r>
            <w:proofErr w:type="spellEnd"/>
          </w:p>
        </w:tc>
        <w:tc>
          <w:tcPr>
            <w:tcW w:w="1017" w:type="dxa"/>
            <w:shd w:val="clear" w:color="000000" w:fill="FFFFFF"/>
            <w:noWrap/>
            <w:vAlign w:val="bottom"/>
            <w:hideMark/>
          </w:tcPr>
          <w:p w14:paraId="10457933"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54474CA1"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37</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54</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4E5391AE"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09</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07</w:t>
            </w:r>
            <w:r w:rsidR="00D762AB">
              <w:rPr>
                <w:rFonts w:ascii="Arial" w:eastAsia="Times New Roman" w:hAnsi="Arial" w:cs="Arial"/>
                <w:color w:val="000000"/>
                <w:sz w:val="20"/>
                <w:szCs w:val="20"/>
                <w:vertAlign w:val="superscript"/>
              </w:rPr>
              <w:t>″</w:t>
            </w:r>
          </w:p>
        </w:tc>
      </w:tr>
      <w:tr w:rsidR="008525F5" w:rsidRPr="00466422" w14:paraId="0907444F" w14:textId="77777777" w:rsidTr="00AF4524">
        <w:trPr>
          <w:trHeight w:val="288"/>
          <w:jc w:val="center"/>
        </w:trPr>
        <w:tc>
          <w:tcPr>
            <w:tcW w:w="1163" w:type="dxa"/>
            <w:shd w:val="clear" w:color="000000" w:fill="FFFFFF"/>
            <w:vAlign w:val="center"/>
            <w:hideMark/>
          </w:tcPr>
          <w:p w14:paraId="230FF39C"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S9</w:t>
            </w:r>
          </w:p>
        </w:tc>
        <w:tc>
          <w:tcPr>
            <w:tcW w:w="2053" w:type="dxa"/>
            <w:shd w:val="clear" w:color="000000" w:fill="FFFFFF"/>
            <w:noWrap/>
            <w:vAlign w:val="bottom"/>
            <w:hideMark/>
          </w:tcPr>
          <w:p w14:paraId="36015EBF"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Mirtivalasa</w:t>
            </w:r>
            <w:proofErr w:type="spellEnd"/>
          </w:p>
        </w:tc>
        <w:tc>
          <w:tcPr>
            <w:tcW w:w="1017" w:type="dxa"/>
            <w:shd w:val="clear" w:color="000000" w:fill="FFFFFF"/>
            <w:noWrap/>
            <w:vAlign w:val="bottom"/>
            <w:hideMark/>
          </w:tcPr>
          <w:p w14:paraId="6D9C8C44"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29BE0677"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36</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7A0ABD26"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44</w:t>
            </w:r>
            <w:r w:rsidR="00D762AB">
              <w:rPr>
                <w:rFonts w:ascii="Arial" w:eastAsia="Times New Roman" w:hAnsi="Arial" w:cs="Arial"/>
                <w:color w:val="000000"/>
                <w:sz w:val="20"/>
                <w:szCs w:val="20"/>
                <w:vertAlign w:val="superscript"/>
              </w:rPr>
              <w:t>″</w:t>
            </w:r>
          </w:p>
        </w:tc>
      </w:tr>
      <w:tr w:rsidR="008525F5" w:rsidRPr="00466422" w14:paraId="40957CCA" w14:textId="77777777" w:rsidTr="00AF4524">
        <w:trPr>
          <w:trHeight w:val="288"/>
          <w:jc w:val="center"/>
        </w:trPr>
        <w:tc>
          <w:tcPr>
            <w:tcW w:w="1163" w:type="dxa"/>
            <w:shd w:val="clear" w:color="000000" w:fill="FFFFFF"/>
            <w:vAlign w:val="center"/>
            <w:hideMark/>
          </w:tcPr>
          <w:p w14:paraId="76D43495"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S10</w:t>
            </w:r>
          </w:p>
        </w:tc>
        <w:tc>
          <w:tcPr>
            <w:tcW w:w="2053" w:type="dxa"/>
            <w:shd w:val="clear" w:color="000000" w:fill="FFFFFF"/>
            <w:noWrap/>
            <w:vAlign w:val="bottom"/>
            <w:hideMark/>
          </w:tcPr>
          <w:p w14:paraId="45F22693"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Neliparti</w:t>
            </w:r>
            <w:proofErr w:type="spellEnd"/>
          </w:p>
        </w:tc>
        <w:tc>
          <w:tcPr>
            <w:tcW w:w="1017" w:type="dxa"/>
            <w:shd w:val="clear" w:color="000000" w:fill="FFFFFF"/>
            <w:noWrap/>
            <w:vAlign w:val="bottom"/>
            <w:hideMark/>
          </w:tcPr>
          <w:p w14:paraId="75BEA559"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2DDA4045"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30</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16</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28E05123"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10</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57</w:t>
            </w:r>
            <w:r w:rsidR="00D762AB">
              <w:rPr>
                <w:rFonts w:ascii="Arial" w:eastAsia="Times New Roman" w:hAnsi="Arial" w:cs="Arial"/>
                <w:color w:val="000000"/>
                <w:sz w:val="20"/>
                <w:szCs w:val="20"/>
                <w:vertAlign w:val="superscript"/>
              </w:rPr>
              <w:t>″</w:t>
            </w:r>
          </w:p>
        </w:tc>
      </w:tr>
      <w:tr w:rsidR="008525F5" w:rsidRPr="00466422" w14:paraId="2F810AEF" w14:textId="77777777" w:rsidTr="00AF4524">
        <w:trPr>
          <w:trHeight w:val="288"/>
          <w:jc w:val="center"/>
        </w:trPr>
        <w:tc>
          <w:tcPr>
            <w:tcW w:w="1163" w:type="dxa"/>
            <w:shd w:val="clear" w:color="000000" w:fill="FFFFFF"/>
            <w:vAlign w:val="center"/>
            <w:hideMark/>
          </w:tcPr>
          <w:p w14:paraId="41E11964"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S11</w:t>
            </w:r>
          </w:p>
        </w:tc>
        <w:tc>
          <w:tcPr>
            <w:tcW w:w="2053" w:type="dxa"/>
            <w:shd w:val="clear" w:color="000000" w:fill="FFFFFF"/>
            <w:noWrap/>
            <w:vAlign w:val="bottom"/>
            <w:hideMark/>
          </w:tcPr>
          <w:p w14:paraId="7397DA28"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Parannavalasa</w:t>
            </w:r>
            <w:proofErr w:type="spellEnd"/>
          </w:p>
        </w:tc>
        <w:tc>
          <w:tcPr>
            <w:tcW w:w="1017" w:type="dxa"/>
            <w:shd w:val="clear" w:color="000000" w:fill="FFFFFF"/>
            <w:noWrap/>
            <w:vAlign w:val="bottom"/>
            <w:hideMark/>
          </w:tcPr>
          <w:p w14:paraId="23991FA7"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44600B88"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32</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22</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33A72D49"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15</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11</w:t>
            </w:r>
            <w:r w:rsidR="00D762AB">
              <w:rPr>
                <w:rFonts w:ascii="Arial" w:eastAsia="Times New Roman" w:hAnsi="Arial" w:cs="Arial"/>
                <w:color w:val="000000"/>
                <w:sz w:val="20"/>
                <w:szCs w:val="20"/>
                <w:vertAlign w:val="superscript"/>
              </w:rPr>
              <w:t>″</w:t>
            </w:r>
          </w:p>
        </w:tc>
      </w:tr>
      <w:tr w:rsidR="008525F5" w:rsidRPr="00466422" w14:paraId="2E8989E1" w14:textId="77777777" w:rsidTr="00AF4524">
        <w:trPr>
          <w:trHeight w:val="288"/>
          <w:jc w:val="center"/>
        </w:trPr>
        <w:tc>
          <w:tcPr>
            <w:tcW w:w="1163" w:type="dxa"/>
            <w:shd w:val="clear" w:color="000000" w:fill="FFFFFF"/>
            <w:vAlign w:val="center"/>
            <w:hideMark/>
          </w:tcPr>
          <w:p w14:paraId="048D3C42"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S12</w:t>
            </w:r>
          </w:p>
        </w:tc>
        <w:tc>
          <w:tcPr>
            <w:tcW w:w="2053" w:type="dxa"/>
            <w:shd w:val="clear" w:color="000000" w:fill="FFFFFF"/>
            <w:noWrap/>
            <w:vAlign w:val="bottom"/>
            <w:hideMark/>
          </w:tcPr>
          <w:p w14:paraId="394D63C1"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Puroithunivalasa</w:t>
            </w:r>
            <w:proofErr w:type="spellEnd"/>
          </w:p>
        </w:tc>
        <w:tc>
          <w:tcPr>
            <w:tcW w:w="1017" w:type="dxa"/>
            <w:shd w:val="clear" w:color="000000" w:fill="FFFFFF"/>
            <w:noWrap/>
            <w:vAlign w:val="bottom"/>
            <w:hideMark/>
          </w:tcPr>
          <w:p w14:paraId="68F8AA4B"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26A9EE84"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34</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08</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60300DAD"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14</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33</w:t>
            </w:r>
            <w:r w:rsidR="00D762AB">
              <w:rPr>
                <w:rFonts w:ascii="Arial" w:eastAsia="Times New Roman" w:hAnsi="Arial" w:cs="Arial"/>
                <w:color w:val="000000"/>
                <w:sz w:val="20"/>
                <w:szCs w:val="20"/>
                <w:vertAlign w:val="superscript"/>
              </w:rPr>
              <w:t>″</w:t>
            </w:r>
          </w:p>
        </w:tc>
      </w:tr>
      <w:tr w:rsidR="008525F5" w:rsidRPr="00466422" w14:paraId="6BC1E5A4" w14:textId="77777777" w:rsidTr="00AF4524">
        <w:trPr>
          <w:trHeight w:val="288"/>
          <w:jc w:val="center"/>
        </w:trPr>
        <w:tc>
          <w:tcPr>
            <w:tcW w:w="1163" w:type="dxa"/>
            <w:shd w:val="clear" w:color="000000" w:fill="FFFFFF"/>
            <w:vAlign w:val="center"/>
            <w:hideMark/>
          </w:tcPr>
          <w:p w14:paraId="6D7B4305"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S13</w:t>
            </w:r>
          </w:p>
        </w:tc>
        <w:tc>
          <w:tcPr>
            <w:tcW w:w="2053" w:type="dxa"/>
            <w:shd w:val="clear" w:color="000000" w:fill="FFFFFF"/>
            <w:noWrap/>
            <w:vAlign w:val="bottom"/>
            <w:hideMark/>
          </w:tcPr>
          <w:p w14:paraId="2CC6FF31" w14:textId="77777777" w:rsidR="008525F5" w:rsidRPr="00466422" w:rsidRDefault="008525F5" w:rsidP="00B911B6">
            <w:pPr>
              <w:spacing w:after="0" w:line="240" w:lineRule="auto"/>
              <w:rPr>
                <w:rFonts w:ascii="Arial" w:eastAsia="Times New Roman" w:hAnsi="Arial" w:cs="Arial"/>
                <w:color w:val="000000"/>
                <w:sz w:val="20"/>
                <w:szCs w:val="20"/>
              </w:rPr>
            </w:pPr>
            <w:proofErr w:type="spellStart"/>
            <w:r w:rsidRPr="00466422">
              <w:rPr>
                <w:rFonts w:ascii="Arial" w:eastAsia="Times New Roman" w:hAnsi="Arial" w:cs="Arial"/>
                <w:color w:val="000000"/>
                <w:sz w:val="20"/>
                <w:szCs w:val="20"/>
              </w:rPr>
              <w:t>Sivarampuram</w:t>
            </w:r>
            <w:proofErr w:type="spellEnd"/>
          </w:p>
        </w:tc>
        <w:tc>
          <w:tcPr>
            <w:tcW w:w="1017" w:type="dxa"/>
            <w:shd w:val="clear" w:color="000000" w:fill="FFFFFF"/>
            <w:noWrap/>
            <w:vAlign w:val="bottom"/>
            <w:hideMark/>
          </w:tcPr>
          <w:p w14:paraId="6938D5B0" w14:textId="77777777" w:rsidR="008525F5" w:rsidRPr="00466422" w:rsidRDefault="008525F5" w:rsidP="00B911B6">
            <w:pPr>
              <w:spacing w:after="0" w:line="240" w:lineRule="auto"/>
              <w:rPr>
                <w:rFonts w:ascii="Arial" w:eastAsia="Times New Roman" w:hAnsi="Arial" w:cs="Arial"/>
                <w:color w:val="000000"/>
                <w:sz w:val="20"/>
                <w:szCs w:val="20"/>
              </w:rPr>
            </w:pPr>
            <w:r w:rsidRPr="00466422">
              <w:rPr>
                <w:rFonts w:ascii="Arial" w:eastAsia="Times New Roman" w:hAnsi="Arial" w:cs="Arial"/>
                <w:color w:val="000000"/>
                <w:sz w:val="20"/>
                <w:szCs w:val="20"/>
              </w:rPr>
              <w:t>Salur</w:t>
            </w:r>
          </w:p>
        </w:tc>
        <w:tc>
          <w:tcPr>
            <w:tcW w:w="1740" w:type="dxa"/>
            <w:shd w:val="clear" w:color="000000" w:fill="FFFFFF"/>
            <w:noWrap/>
            <w:vAlign w:val="bottom"/>
            <w:hideMark/>
          </w:tcPr>
          <w:p w14:paraId="446AA771"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18</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32</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11</w:t>
            </w:r>
            <w:r w:rsidR="00D762AB">
              <w:rPr>
                <w:rFonts w:ascii="Arial" w:eastAsia="Times New Roman" w:hAnsi="Arial" w:cs="Arial"/>
                <w:color w:val="000000"/>
                <w:sz w:val="20"/>
                <w:szCs w:val="20"/>
                <w:vertAlign w:val="superscript"/>
              </w:rPr>
              <w:t>″</w:t>
            </w:r>
          </w:p>
        </w:tc>
        <w:tc>
          <w:tcPr>
            <w:tcW w:w="1590" w:type="dxa"/>
            <w:shd w:val="clear" w:color="000000" w:fill="FFFFFF"/>
            <w:noWrap/>
            <w:vAlign w:val="bottom"/>
            <w:hideMark/>
          </w:tcPr>
          <w:p w14:paraId="4AA6601C" w14:textId="77777777" w:rsidR="008525F5" w:rsidRPr="00466422" w:rsidRDefault="008525F5" w:rsidP="00B911B6">
            <w:pPr>
              <w:spacing w:after="0" w:line="240" w:lineRule="auto"/>
              <w:jc w:val="center"/>
              <w:rPr>
                <w:rFonts w:ascii="Arial" w:eastAsia="Times New Roman" w:hAnsi="Arial" w:cs="Arial"/>
                <w:color w:val="000000"/>
                <w:sz w:val="20"/>
                <w:szCs w:val="20"/>
              </w:rPr>
            </w:pPr>
            <w:r w:rsidRPr="00466422">
              <w:rPr>
                <w:rFonts w:ascii="Arial" w:eastAsia="Times New Roman" w:hAnsi="Arial" w:cs="Arial"/>
                <w:color w:val="000000"/>
                <w:sz w:val="20"/>
                <w:szCs w:val="20"/>
              </w:rPr>
              <w:t>83</w:t>
            </w:r>
            <w:r w:rsidR="00D762AB">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14</w:t>
            </w:r>
            <w:r w:rsidRPr="00466422">
              <w:rPr>
                <w:rFonts w:ascii="Arial" w:eastAsia="Times New Roman" w:hAnsi="Arial" w:cs="Arial"/>
                <w:color w:val="000000"/>
                <w:sz w:val="20"/>
                <w:szCs w:val="20"/>
                <w:vertAlign w:val="superscript"/>
              </w:rPr>
              <w:t>’</w:t>
            </w:r>
            <w:r w:rsidRPr="00466422">
              <w:rPr>
                <w:rFonts w:ascii="Arial" w:eastAsia="Times New Roman" w:hAnsi="Arial" w:cs="Arial"/>
                <w:color w:val="000000"/>
                <w:sz w:val="20"/>
                <w:szCs w:val="20"/>
              </w:rPr>
              <w:t>36</w:t>
            </w:r>
            <w:r w:rsidRPr="00466422">
              <w:rPr>
                <w:rFonts w:ascii="Arial" w:eastAsia="Times New Roman" w:hAnsi="Arial" w:cs="Arial"/>
                <w:color w:val="000000"/>
                <w:sz w:val="20"/>
                <w:szCs w:val="20"/>
                <w:vertAlign w:val="superscript"/>
              </w:rPr>
              <w:t>”</w:t>
            </w:r>
          </w:p>
        </w:tc>
      </w:tr>
    </w:tbl>
    <w:p w14:paraId="0893ABC2" w14:textId="77777777" w:rsidR="000470FD" w:rsidRPr="00466422" w:rsidRDefault="000470FD" w:rsidP="00255D14">
      <w:pPr>
        <w:pStyle w:val="BodyText"/>
        <w:spacing w:after="100" w:afterAutospacing="1" w:line="360" w:lineRule="auto"/>
        <w:jc w:val="both"/>
        <w:rPr>
          <w:rFonts w:ascii="Arial" w:hAnsi="Arial" w:cs="Arial"/>
          <w:b/>
          <w:sz w:val="20"/>
          <w:szCs w:val="20"/>
        </w:rPr>
      </w:pPr>
    </w:p>
    <w:p w14:paraId="2430E99A" w14:textId="77777777" w:rsidR="000470FD" w:rsidRPr="00466422" w:rsidRDefault="00255D14" w:rsidP="000470FD">
      <w:pPr>
        <w:pStyle w:val="BodyText"/>
        <w:spacing w:after="100" w:afterAutospacing="1" w:line="360" w:lineRule="auto"/>
        <w:contextualSpacing/>
        <w:jc w:val="both"/>
        <w:rPr>
          <w:rFonts w:ascii="Arial" w:hAnsi="Arial" w:cs="Arial"/>
          <w:b/>
          <w:sz w:val="20"/>
          <w:szCs w:val="20"/>
        </w:rPr>
      </w:pPr>
      <w:r w:rsidRPr="00466422">
        <w:rPr>
          <w:rFonts w:ascii="Arial" w:hAnsi="Arial" w:cs="Arial"/>
          <w:b/>
          <w:sz w:val="20"/>
          <w:szCs w:val="20"/>
        </w:rPr>
        <w:t>2.3 Water Quality Index</w:t>
      </w:r>
    </w:p>
    <w:p w14:paraId="037E6E4C" w14:textId="77777777" w:rsidR="00255D14" w:rsidRPr="001C2913" w:rsidRDefault="00255D14" w:rsidP="000470FD">
      <w:pPr>
        <w:pStyle w:val="BodyText"/>
        <w:spacing w:after="100" w:afterAutospacing="1" w:line="360" w:lineRule="auto"/>
        <w:contextualSpacing/>
        <w:jc w:val="both"/>
        <w:rPr>
          <w:rFonts w:ascii="Arial" w:hAnsi="Arial" w:cs="Arial"/>
          <w:sz w:val="20"/>
          <w:szCs w:val="20"/>
        </w:rPr>
      </w:pPr>
      <w:r w:rsidRPr="001C2913">
        <w:rPr>
          <w:rFonts w:ascii="Arial" w:hAnsi="Arial" w:cs="Arial"/>
          <w:sz w:val="20"/>
          <w:szCs w:val="20"/>
        </w:rPr>
        <w:t xml:space="preserve">Several Water Quality Index (WQI) models have been proposed by researchers, notably Horton (1965) and Brown et al. (1972), and have since been widely adopted by governmental agencies and researchers for water quality assessment. Among these, the </w:t>
      </w:r>
      <w:r w:rsidRPr="001C2913">
        <w:rPr>
          <w:rStyle w:val="Strong"/>
          <w:rFonts w:ascii="Arial" w:hAnsi="Arial" w:cs="Arial"/>
          <w:sz w:val="20"/>
          <w:szCs w:val="20"/>
        </w:rPr>
        <w:t>Weighted Arithmetic Water Quality Index (WAIWQI)</w:t>
      </w:r>
      <w:r w:rsidRPr="001C2913">
        <w:rPr>
          <w:rFonts w:ascii="Arial" w:hAnsi="Arial" w:cs="Arial"/>
          <w:sz w:val="20"/>
          <w:szCs w:val="20"/>
        </w:rPr>
        <w:t xml:space="preserve"> method is one of the most popular and extensively applied approaches. The WQI was computed </w:t>
      </w:r>
      <w:r w:rsidR="00BB64A8" w:rsidRPr="001C2913">
        <w:rPr>
          <w:rFonts w:ascii="Arial" w:hAnsi="Arial" w:cs="Arial"/>
          <w:sz w:val="20"/>
          <w:szCs w:val="20"/>
        </w:rPr>
        <w:t xml:space="preserve">using </w:t>
      </w:r>
      <w:r w:rsidR="00BB64A8">
        <w:rPr>
          <w:rFonts w:ascii="Arial" w:hAnsi="Arial" w:cs="Arial"/>
          <w:sz w:val="20"/>
          <w:szCs w:val="20"/>
        </w:rPr>
        <w:t>the</w:t>
      </w:r>
      <w:r w:rsidR="00FC034C">
        <w:rPr>
          <w:rFonts w:ascii="Arial" w:hAnsi="Arial" w:cs="Arial"/>
          <w:sz w:val="20"/>
          <w:szCs w:val="20"/>
        </w:rPr>
        <w:t xml:space="preserve"> </w:t>
      </w:r>
      <w:r w:rsidR="00BB64A8">
        <w:rPr>
          <w:rFonts w:ascii="Arial" w:hAnsi="Arial" w:cs="Arial"/>
          <w:sz w:val="20"/>
          <w:szCs w:val="20"/>
        </w:rPr>
        <w:t xml:space="preserve">below </w:t>
      </w:r>
      <w:r w:rsidR="00FC034C">
        <w:rPr>
          <w:rFonts w:ascii="Arial" w:hAnsi="Arial" w:cs="Arial"/>
          <w:sz w:val="20"/>
          <w:szCs w:val="20"/>
        </w:rPr>
        <w:t>equation</w:t>
      </w:r>
      <w:r w:rsidR="00BB64A8">
        <w:rPr>
          <w:rFonts w:ascii="Arial" w:hAnsi="Arial" w:cs="Arial"/>
          <w:sz w:val="20"/>
          <w:szCs w:val="20"/>
        </w:rPr>
        <w:t>s</w:t>
      </w:r>
      <w:r w:rsidR="00FC034C">
        <w:rPr>
          <w:rFonts w:ascii="Arial" w:hAnsi="Arial" w:cs="Arial"/>
          <w:sz w:val="20"/>
          <w:szCs w:val="20"/>
        </w:rPr>
        <w:t xml:space="preserve"> </w:t>
      </w:r>
      <w:r w:rsidR="00BB64A8">
        <w:rPr>
          <w:rFonts w:ascii="Arial" w:hAnsi="Arial" w:cs="Arial"/>
          <w:sz w:val="20"/>
          <w:szCs w:val="20"/>
        </w:rPr>
        <w:t>(Eq.1-</w:t>
      </w:r>
      <w:r w:rsidRPr="001C2913">
        <w:rPr>
          <w:rFonts w:ascii="Arial" w:hAnsi="Arial" w:cs="Arial"/>
          <w:sz w:val="20"/>
          <w:szCs w:val="20"/>
        </w:rPr>
        <w:t xml:space="preserve"> </w:t>
      </w:r>
      <w:r w:rsidR="00BB64A8">
        <w:rPr>
          <w:rFonts w:ascii="Arial" w:hAnsi="Arial" w:cs="Arial"/>
          <w:sz w:val="20"/>
          <w:szCs w:val="20"/>
        </w:rPr>
        <w:t xml:space="preserve">Eq. 4). </w:t>
      </w:r>
    </w:p>
    <w:p w14:paraId="245A19AD" w14:textId="77777777" w:rsidR="00DB0F05" w:rsidRPr="00DB0F05" w:rsidRDefault="00DB0F05" w:rsidP="00255D14">
      <w:pPr>
        <w:pStyle w:val="BodyText"/>
        <w:spacing w:before="141"/>
        <w:ind w:left="151"/>
        <w:jc w:val="center"/>
        <w:rPr>
          <w:rFonts w:ascii="Arial" w:hAnsi="Arial" w:cs="Arial"/>
          <w:b/>
          <w:position w:val="1"/>
          <w:sz w:val="24"/>
          <w:szCs w:val="24"/>
        </w:rPr>
      </w:pPr>
      <m:oMathPara>
        <m:oMathParaPr>
          <m:jc m:val="center"/>
        </m:oMathParaPr>
        <m:oMath>
          <m:r>
            <m:rPr>
              <m:sty m:val="bi"/>
            </m:rPr>
            <w:rPr>
              <w:rFonts w:ascii="Cambria Math" w:hAnsi="Cambria Math" w:cs="Arial"/>
              <w:position w:val="1"/>
              <w:sz w:val="24"/>
              <w:szCs w:val="24"/>
            </w:rPr>
            <m:t xml:space="preserve"> </m:t>
          </m:r>
        </m:oMath>
      </m:oMathPara>
    </w:p>
    <w:p w14:paraId="2F97C0F0" w14:textId="77777777" w:rsidR="00255D14" w:rsidRPr="00DB0F05" w:rsidRDefault="00255D14" w:rsidP="00255D14">
      <w:pPr>
        <w:pStyle w:val="BodyText"/>
        <w:spacing w:before="141"/>
        <w:ind w:left="151"/>
        <w:jc w:val="center"/>
        <w:rPr>
          <w:rFonts w:ascii="Arial" w:hAnsi="Cambria Math" w:cs="Arial"/>
          <w:b/>
          <w:bCs/>
          <w:position w:val="1"/>
          <w:szCs w:val="24"/>
        </w:rPr>
      </w:pPr>
      <m:oMath>
        <m:r>
          <m:rPr>
            <m:sty m:val="bi"/>
          </m:rPr>
          <w:rPr>
            <w:rFonts w:ascii="Cambria Math" w:hAnsi="Cambria Math" w:cs="Arial"/>
            <w:position w:val="1"/>
            <w:szCs w:val="24"/>
          </w:rPr>
          <m:t>WQI=</m:t>
        </m:r>
        <m:f>
          <m:fPr>
            <m:ctrlPr>
              <w:rPr>
                <w:rFonts w:ascii="Cambria Math" w:hAnsi="Cambria Math" w:cs="Arial"/>
                <w:b/>
                <w:bCs/>
                <w:position w:val="1"/>
                <w:szCs w:val="24"/>
              </w:rPr>
            </m:ctrlPr>
          </m:fPr>
          <m:num>
            <m:nary>
              <m:naryPr>
                <m:chr m:val="∑"/>
                <m:subHide m:val="1"/>
                <m:supHide m:val="1"/>
                <m:ctrlPr>
                  <w:rPr>
                    <w:rFonts w:ascii="Cambria Math" w:hAnsi="Cambria Math" w:cs="Arial"/>
                    <w:b/>
                    <w:bCs/>
                    <w:position w:val="1"/>
                    <w:szCs w:val="24"/>
                  </w:rPr>
                </m:ctrlPr>
              </m:naryPr>
              <m:sub>
                <m:ctrlPr>
                  <w:rPr>
                    <w:rFonts w:ascii="Cambria Math" w:hAnsi="Cambria Math" w:cs="Arial"/>
                    <w:b/>
                    <w:bCs/>
                    <w:i/>
                    <w:position w:val="1"/>
                    <w:szCs w:val="24"/>
                  </w:rPr>
                </m:ctrlPr>
              </m:sub>
              <m:sup>
                <m:ctrlPr>
                  <w:rPr>
                    <w:rFonts w:ascii="Cambria Math" w:hAnsi="Cambria Math" w:cs="Arial"/>
                    <w:b/>
                    <w:bCs/>
                    <w:i/>
                    <w:position w:val="1"/>
                    <w:szCs w:val="24"/>
                  </w:rPr>
                </m:ctrlPr>
              </m:sup>
              <m:e>
                <m:sSub>
                  <m:sSubPr>
                    <m:ctrlPr>
                      <w:rPr>
                        <w:rFonts w:ascii="Cambria Math" w:hAnsi="Cambria Math" w:cs="Arial"/>
                        <w:b/>
                        <w:bCs/>
                        <w:i/>
                        <w:position w:val="1"/>
                        <w:szCs w:val="24"/>
                      </w:rPr>
                    </m:ctrlPr>
                  </m:sSubPr>
                  <m:e>
                    <m:r>
                      <m:rPr>
                        <m:sty m:val="bi"/>
                      </m:rPr>
                      <w:rPr>
                        <w:rFonts w:ascii="Cambria Math" w:hAnsi="Cambria Math" w:cs="Arial"/>
                        <w:position w:val="1"/>
                        <w:szCs w:val="24"/>
                      </w:rPr>
                      <m:t>Q</m:t>
                    </m:r>
                  </m:e>
                  <m:sub>
                    <m:r>
                      <m:rPr>
                        <m:sty m:val="bi"/>
                      </m:rPr>
                      <w:rPr>
                        <w:rFonts w:ascii="Cambria Math" w:hAnsi="Cambria Math" w:cs="Arial"/>
                        <w:position w:val="1"/>
                        <w:szCs w:val="24"/>
                      </w:rPr>
                      <m:t>i</m:t>
                    </m:r>
                  </m:sub>
                </m:sSub>
                <m:sSub>
                  <m:sSubPr>
                    <m:ctrlPr>
                      <w:rPr>
                        <w:rFonts w:ascii="Cambria Math" w:hAnsi="Cambria Math" w:cs="Arial"/>
                        <w:b/>
                        <w:bCs/>
                        <w:i/>
                        <w:position w:val="1"/>
                        <w:szCs w:val="24"/>
                      </w:rPr>
                    </m:ctrlPr>
                  </m:sSubPr>
                  <m:e>
                    <m:r>
                      <m:rPr>
                        <m:sty m:val="bi"/>
                      </m:rPr>
                      <w:rPr>
                        <w:rFonts w:ascii="Cambria Math" w:hAnsi="Cambria Math" w:cs="Arial"/>
                        <w:position w:val="1"/>
                        <w:szCs w:val="24"/>
                      </w:rPr>
                      <m:t>W</m:t>
                    </m:r>
                  </m:e>
                  <m:sub>
                    <m:r>
                      <m:rPr>
                        <m:sty m:val="bi"/>
                      </m:rPr>
                      <w:rPr>
                        <w:rFonts w:ascii="Cambria Math" w:hAnsi="Cambria Math" w:cs="Arial"/>
                        <w:position w:val="1"/>
                        <w:szCs w:val="24"/>
                      </w:rPr>
                      <m:t>i</m:t>
                    </m:r>
                  </m:sub>
                </m:sSub>
                <m:ctrlPr>
                  <w:rPr>
                    <w:rFonts w:ascii="Cambria Math" w:hAnsi="Cambria Math" w:cs="Arial"/>
                    <w:b/>
                    <w:bCs/>
                    <w:i/>
                    <w:position w:val="1"/>
                    <w:szCs w:val="24"/>
                  </w:rPr>
                </m:ctrlPr>
              </m:e>
            </m:nary>
            <m:ctrlPr>
              <w:rPr>
                <w:rFonts w:ascii="Cambria Math" w:hAnsi="Cambria Math" w:cs="Arial"/>
                <w:b/>
                <w:bCs/>
                <w:i/>
                <w:position w:val="1"/>
                <w:szCs w:val="24"/>
              </w:rPr>
            </m:ctrlPr>
          </m:num>
          <m:den>
            <m:nary>
              <m:naryPr>
                <m:chr m:val="∑"/>
                <m:subHide m:val="1"/>
                <m:supHide m:val="1"/>
                <m:ctrlPr>
                  <w:rPr>
                    <w:rFonts w:ascii="Cambria Math" w:hAnsi="Cambria Math" w:cs="Arial"/>
                    <w:b/>
                    <w:bCs/>
                    <w:position w:val="1"/>
                    <w:szCs w:val="24"/>
                  </w:rPr>
                </m:ctrlPr>
              </m:naryPr>
              <m:sub>
                <m:ctrlPr>
                  <w:rPr>
                    <w:rFonts w:ascii="Cambria Math" w:hAnsi="Cambria Math" w:cs="Arial"/>
                    <w:b/>
                    <w:bCs/>
                    <w:i/>
                    <w:position w:val="1"/>
                    <w:szCs w:val="24"/>
                  </w:rPr>
                </m:ctrlPr>
              </m:sub>
              <m:sup>
                <m:ctrlPr>
                  <w:rPr>
                    <w:rFonts w:ascii="Cambria Math" w:hAnsi="Cambria Math" w:cs="Arial"/>
                    <w:b/>
                    <w:bCs/>
                    <w:i/>
                    <w:position w:val="1"/>
                    <w:szCs w:val="24"/>
                  </w:rPr>
                </m:ctrlPr>
              </m:sup>
              <m:e>
                <m:sSub>
                  <m:sSubPr>
                    <m:ctrlPr>
                      <w:rPr>
                        <w:rFonts w:ascii="Cambria Math" w:hAnsi="Cambria Math" w:cs="Arial"/>
                        <w:b/>
                        <w:bCs/>
                        <w:i/>
                        <w:position w:val="1"/>
                        <w:szCs w:val="24"/>
                      </w:rPr>
                    </m:ctrlPr>
                  </m:sSubPr>
                  <m:e>
                    <m:r>
                      <m:rPr>
                        <m:sty m:val="bi"/>
                      </m:rPr>
                      <w:rPr>
                        <w:rFonts w:ascii="Cambria Math" w:hAnsi="Cambria Math" w:cs="Arial"/>
                        <w:position w:val="1"/>
                        <w:szCs w:val="24"/>
                      </w:rPr>
                      <m:t>W</m:t>
                    </m:r>
                  </m:e>
                  <m:sub>
                    <m:r>
                      <m:rPr>
                        <m:sty m:val="bi"/>
                      </m:rPr>
                      <w:rPr>
                        <w:rFonts w:ascii="Cambria Math" w:hAnsi="Cambria Math" w:cs="Arial"/>
                        <w:position w:val="1"/>
                        <w:szCs w:val="24"/>
                      </w:rPr>
                      <m:t>i</m:t>
                    </m:r>
                  </m:sub>
                </m:sSub>
                <m:ctrlPr>
                  <w:rPr>
                    <w:rFonts w:ascii="Cambria Math" w:hAnsi="Cambria Math" w:cs="Arial"/>
                    <w:b/>
                    <w:bCs/>
                    <w:i/>
                    <w:position w:val="1"/>
                    <w:szCs w:val="24"/>
                  </w:rPr>
                </m:ctrlPr>
              </m:e>
            </m:nary>
            <m:ctrlPr>
              <w:rPr>
                <w:rFonts w:ascii="Cambria Math" w:hAnsi="Cambria Math" w:cs="Arial"/>
                <w:b/>
                <w:bCs/>
                <w:i/>
                <w:position w:val="1"/>
                <w:szCs w:val="24"/>
              </w:rPr>
            </m:ctrlPr>
          </m:den>
        </m:f>
      </m:oMath>
      <w:r w:rsidR="00FC034C">
        <w:rPr>
          <w:rFonts w:ascii="Arial" w:hAnsi="Cambria Math" w:cs="Arial"/>
          <w:b/>
          <w:bCs/>
          <w:position w:val="1"/>
          <w:szCs w:val="24"/>
        </w:rPr>
        <w:t xml:space="preserve">        (</w:t>
      </w:r>
      <w:r w:rsidR="00BB64A8">
        <w:rPr>
          <w:rFonts w:ascii="Arial" w:hAnsi="Cambria Math" w:cs="Arial"/>
          <w:b/>
          <w:bCs/>
          <w:position w:val="1"/>
          <w:szCs w:val="24"/>
        </w:rPr>
        <w:t>E</w:t>
      </w:r>
      <w:r w:rsidR="00FC034C">
        <w:rPr>
          <w:rFonts w:ascii="Arial" w:hAnsi="Cambria Math" w:cs="Arial"/>
          <w:b/>
          <w:bCs/>
          <w:position w:val="1"/>
          <w:szCs w:val="24"/>
        </w:rPr>
        <w:t>q. 1)</w:t>
      </w:r>
    </w:p>
    <w:p w14:paraId="6BD18EC7" w14:textId="77777777" w:rsidR="00255D14" w:rsidRPr="001C2913" w:rsidRDefault="00255D14" w:rsidP="00255D14">
      <w:pPr>
        <w:pStyle w:val="BodyText"/>
        <w:spacing w:line="360" w:lineRule="auto"/>
        <w:ind w:left="151"/>
        <w:rPr>
          <w:rFonts w:ascii="Arial" w:hAnsi="Arial" w:cs="Arial"/>
          <w:sz w:val="20"/>
          <w:szCs w:val="20"/>
        </w:rPr>
      </w:pPr>
      <w:r w:rsidRPr="001C2913">
        <w:rPr>
          <w:rFonts w:ascii="Arial" w:hAnsi="Arial" w:cs="Arial"/>
          <w:position w:val="1"/>
          <w:sz w:val="20"/>
          <w:szCs w:val="20"/>
        </w:rPr>
        <w:t>The quality rating scale (Q</w:t>
      </w:r>
      <w:proofErr w:type="spellStart"/>
      <w:r w:rsidRPr="001C2913">
        <w:rPr>
          <w:rFonts w:ascii="Arial" w:hAnsi="Arial" w:cs="Arial"/>
          <w:sz w:val="20"/>
          <w:szCs w:val="20"/>
        </w:rPr>
        <w:t>i</w:t>
      </w:r>
      <w:proofErr w:type="spellEnd"/>
      <w:r w:rsidRPr="001C2913">
        <w:rPr>
          <w:rFonts w:ascii="Arial" w:hAnsi="Arial" w:cs="Arial"/>
          <w:position w:val="1"/>
          <w:sz w:val="20"/>
          <w:szCs w:val="20"/>
        </w:rPr>
        <w:t>) for each parameter is calculated by using this expression:</w:t>
      </w:r>
    </w:p>
    <w:p w14:paraId="615F4F18" w14:textId="77777777" w:rsidR="00255D14" w:rsidRPr="001C2913" w:rsidRDefault="00D407AD" w:rsidP="00255D14">
      <w:pPr>
        <w:pStyle w:val="BodyText"/>
        <w:spacing w:line="360" w:lineRule="auto"/>
        <w:ind w:left="871"/>
        <w:jc w:val="center"/>
        <w:rPr>
          <w:rFonts w:ascii="Arial" w:hAnsi="Arial" w:cs="Arial"/>
          <w:b/>
          <w:bCs/>
          <w:position w:val="1"/>
          <w:sz w:val="24"/>
          <w:szCs w:val="24"/>
        </w:rPr>
      </w:pPr>
      <m:oMath>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Q</m:t>
            </m:r>
          </m:e>
          <m:sub>
            <m:r>
              <m:rPr>
                <m:sty m:val="bi"/>
              </m:rPr>
              <w:rPr>
                <w:rFonts w:ascii="Cambria Math" w:hAnsi="Cambria Math" w:cs="Arial"/>
                <w:position w:val="1"/>
                <w:sz w:val="24"/>
                <w:szCs w:val="24"/>
              </w:rPr>
              <m:t>i</m:t>
            </m:r>
          </m:sub>
        </m:sSub>
        <m:r>
          <m:rPr>
            <m:sty m:val="bi"/>
          </m:rPr>
          <w:rPr>
            <w:rFonts w:ascii="Cambria Math" w:hAnsi="Arial" w:cs="Arial"/>
            <w:position w:val="1"/>
            <w:sz w:val="24"/>
            <w:szCs w:val="24"/>
          </w:rPr>
          <m:t>=</m:t>
        </m:r>
        <m:r>
          <m:rPr>
            <m:sty m:val="bi"/>
          </m:rPr>
          <w:rPr>
            <w:rFonts w:ascii="Cambria Math" w:hAnsi="Cambria Math" w:cs="Arial"/>
            <w:position w:val="1"/>
            <w:sz w:val="24"/>
            <w:szCs w:val="24"/>
          </w:rPr>
          <m:t>100</m:t>
        </m:r>
        <m:d>
          <m:dPr>
            <m:ctrlPr>
              <w:rPr>
                <w:rFonts w:ascii="Cambria Math" w:hAnsi="Arial" w:cs="Arial"/>
                <w:b/>
                <w:bCs/>
                <w:position w:val="1"/>
                <w:sz w:val="24"/>
                <w:szCs w:val="24"/>
              </w:rPr>
            </m:ctrlPr>
          </m:dPr>
          <m:e>
            <m:f>
              <m:fPr>
                <m:ctrlPr>
                  <w:rPr>
                    <w:rFonts w:ascii="Cambria Math" w:hAnsi="Arial" w:cs="Arial"/>
                    <w:b/>
                    <w:bCs/>
                    <w:position w:val="1"/>
                    <w:sz w:val="24"/>
                    <w:szCs w:val="24"/>
                  </w:rPr>
                </m:ctrlPr>
              </m:fPr>
              <m:num>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V</m:t>
                    </m:r>
                  </m:e>
                  <m:sub>
                    <m:r>
                      <m:rPr>
                        <m:sty m:val="bi"/>
                      </m:rPr>
                      <w:rPr>
                        <w:rFonts w:ascii="Cambria Math" w:hAnsi="Cambria Math" w:cs="Arial"/>
                        <w:position w:val="1"/>
                        <w:sz w:val="24"/>
                        <w:szCs w:val="24"/>
                      </w:rPr>
                      <m:t>i</m:t>
                    </m:r>
                  </m:sub>
                </m:sSub>
                <m:r>
                  <m:rPr>
                    <m:sty m:val="bi"/>
                  </m:rPr>
                  <w:rPr>
                    <w:rFonts w:ascii="Arial" w:hAnsi="Arial" w:cs="Arial"/>
                    <w:position w:val="1"/>
                    <w:sz w:val="24"/>
                    <w:szCs w:val="24"/>
                  </w:rPr>
                  <m:t>-</m:t>
                </m:r>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V</m:t>
                    </m:r>
                  </m:e>
                  <m:sub>
                    <m:r>
                      <m:rPr>
                        <m:sty m:val="bi"/>
                      </m:rPr>
                      <w:rPr>
                        <w:rFonts w:ascii="Cambria Math" w:hAnsi="Cambria Math" w:cs="Arial"/>
                        <w:position w:val="1"/>
                        <w:sz w:val="24"/>
                        <w:szCs w:val="24"/>
                      </w:rPr>
                      <m:t>o</m:t>
                    </m:r>
                  </m:sub>
                </m:sSub>
                <m:ctrlPr>
                  <w:rPr>
                    <w:rFonts w:ascii="Cambria Math" w:hAnsi="Arial" w:cs="Arial"/>
                    <w:b/>
                    <w:bCs/>
                    <w:i/>
                    <w:position w:val="1"/>
                    <w:sz w:val="24"/>
                    <w:szCs w:val="24"/>
                  </w:rPr>
                </m:ctrlPr>
              </m:num>
              <m:den>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S</m:t>
                    </m:r>
                  </m:e>
                  <m:sub>
                    <m:r>
                      <m:rPr>
                        <m:sty m:val="bi"/>
                      </m:rPr>
                      <w:rPr>
                        <w:rFonts w:ascii="Cambria Math" w:hAnsi="Cambria Math" w:cs="Arial"/>
                        <w:position w:val="1"/>
                        <w:sz w:val="24"/>
                        <w:szCs w:val="24"/>
                      </w:rPr>
                      <m:t>i</m:t>
                    </m:r>
                  </m:sub>
                </m:sSub>
                <m:r>
                  <m:rPr>
                    <m:sty m:val="bi"/>
                  </m:rPr>
                  <w:rPr>
                    <w:rFonts w:ascii="Arial" w:hAnsi="Arial" w:cs="Arial"/>
                    <w:position w:val="1"/>
                    <w:sz w:val="24"/>
                    <w:szCs w:val="24"/>
                  </w:rPr>
                  <m:t>-</m:t>
                </m:r>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V</m:t>
                    </m:r>
                  </m:e>
                  <m:sub>
                    <m:r>
                      <m:rPr>
                        <m:sty m:val="bi"/>
                      </m:rPr>
                      <w:rPr>
                        <w:rFonts w:ascii="Cambria Math" w:hAnsi="Cambria Math" w:cs="Arial"/>
                        <w:position w:val="1"/>
                        <w:sz w:val="24"/>
                        <w:szCs w:val="24"/>
                      </w:rPr>
                      <m:t>o</m:t>
                    </m:r>
                  </m:sub>
                </m:sSub>
                <m:ctrlPr>
                  <w:rPr>
                    <w:rFonts w:ascii="Cambria Math" w:hAnsi="Arial" w:cs="Arial"/>
                    <w:b/>
                    <w:bCs/>
                    <w:i/>
                    <w:position w:val="1"/>
                    <w:sz w:val="24"/>
                    <w:szCs w:val="24"/>
                  </w:rPr>
                </m:ctrlPr>
              </m:den>
            </m:f>
            <m:ctrlPr>
              <w:rPr>
                <w:rFonts w:ascii="Cambria Math" w:hAnsi="Arial" w:cs="Arial"/>
                <w:b/>
                <w:bCs/>
                <w:i/>
                <w:position w:val="1"/>
                <w:sz w:val="24"/>
                <w:szCs w:val="24"/>
              </w:rPr>
            </m:ctrlPr>
          </m:e>
        </m:d>
      </m:oMath>
      <w:r w:rsidR="00FC034C">
        <w:rPr>
          <w:rFonts w:ascii="Arial" w:hAnsi="Arial" w:cs="Arial"/>
          <w:b/>
          <w:bCs/>
          <w:position w:val="1"/>
          <w:sz w:val="24"/>
          <w:szCs w:val="24"/>
        </w:rPr>
        <w:t xml:space="preserve">     (</w:t>
      </w:r>
      <w:r w:rsidR="00BB64A8">
        <w:rPr>
          <w:rFonts w:ascii="Arial" w:hAnsi="Arial" w:cs="Arial"/>
          <w:b/>
          <w:bCs/>
          <w:position w:val="1"/>
          <w:sz w:val="24"/>
          <w:szCs w:val="24"/>
        </w:rPr>
        <w:t>E</w:t>
      </w:r>
      <w:r w:rsidR="00FC034C">
        <w:rPr>
          <w:rFonts w:ascii="Arial" w:hAnsi="Arial" w:cs="Arial"/>
          <w:b/>
          <w:bCs/>
          <w:position w:val="1"/>
          <w:sz w:val="24"/>
          <w:szCs w:val="24"/>
        </w:rPr>
        <w:t>q. 2)</w:t>
      </w:r>
    </w:p>
    <w:p w14:paraId="206A2DA7" w14:textId="77777777" w:rsidR="00255D14" w:rsidRPr="001C2913" w:rsidRDefault="00255D14" w:rsidP="00255D14">
      <w:pPr>
        <w:pStyle w:val="BodyText"/>
        <w:spacing w:line="360" w:lineRule="auto"/>
        <w:rPr>
          <w:rFonts w:ascii="Arial" w:hAnsi="Arial" w:cs="Arial"/>
          <w:sz w:val="20"/>
          <w:szCs w:val="20"/>
        </w:rPr>
      </w:pPr>
      <w:r w:rsidRPr="001C2913">
        <w:rPr>
          <w:rFonts w:ascii="Arial" w:hAnsi="Arial" w:cs="Arial"/>
          <w:sz w:val="20"/>
          <w:szCs w:val="20"/>
        </w:rPr>
        <w:t xml:space="preserve">Where, </w:t>
      </w:r>
      <w:r w:rsidRPr="001C2913">
        <w:rPr>
          <w:rFonts w:ascii="Arial" w:hAnsi="Arial" w:cs="Arial"/>
          <w:position w:val="1"/>
          <w:sz w:val="20"/>
          <w:szCs w:val="20"/>
        </w:rPr>
        <w:t>V</w:t>
      </w:r>
      <w:proofErr w:type="spellStart"/>
      <w:r w:rsidRPr="001C2913">
        <w:rPr>
          <w:rFonts w:ascii="Arial" w:hAnsi="Arial" w:cs="Arial"/>
          <w:sz w:val="20"/>
          <w:szCs w:val="20"/>
          <w:vertAlign w:val="subscript"/>
        </w:rPr>
        <w:t>i</w:t>
      </w:r>
      <w:proofErr w:type="spellEnd"/>
      <w:r w:rsidRPr="001C2913">
        <w:rPr>
          <w:rFonts w:ascii="Arial" w:hAnsi="Arial" w:cs="Arial"/>
          <w:position w:val="1"/>
          <w:sz w:val="20"/>
          <w:szCs w:val="20"/>
        </w:rPr>
        <w:t xml:space="preserve">= estimated concentration of </w:t>
      </w:r>
      <w:proofErr w:type="spellStart"/>
      <w:r w:rsidRPr="001C2913">
        <w:rPr>
          <w:rFonts w:ascii="Arial" w:hAnsi="Arial" w:cs="Arial"/>
          <w:position w:val="1"/>
          <w:sz w:val="20"/>
          <w:szCs w:val="20"/>
        </w:rPr>
        <w:t>i</w:t>
      </w:r>
      <w:r w:rsidRPr="001C2913">
        <w:rPr>
          <w:rFonts w:ascii="Arial" w:hAnsi="Arial" w:cs="Arial"/>
          <w:position w:val="7"/>
          <w:sz w:val="20"/>
          <w:szCs w:val="20"/>
        </w:rPr>
        <w:t>th</w:t>
      </w:r>
      <w:proofErr w:type="spellEnd"/>
      <w:r w:rsidRPr="001C2913">
        <w:rPr>
          <w:rFonts w:ascii="Arial" w:hAnsi="Arial" w:cs="Arial"/>
          <w:position w:val="7"/>
          <w:sz w:val="20"/>
          <w:szCs w:val="20"/>
        </w:rPr>
        <w:t xml:space="preserve"> </w:t>
      </w:r>
      <w:r w:rsidRPr="001C2913">
        <w:rPr>
          <w:rFonts w:ascii="Arial" w:hAnsi="Arial" w:cs="Arial"/>
          <w:position w:val="1"/>
          <w:sz w:val="20"/>
          <w:szCs w:val="20"/>
        </w:rPr>
        <w:t xml:space="preserve">parameter in the </w:t>
      </w:r>
      <w:proofErr w:type="spellStart"/>
      <w:r w:rsidRPr="001C2913">
        <w:rPr>
          <w:rFonts w:ascii="Arial" w:hAnsi="Arial" w:cs="Arial"/>
          <w:position w:val="1"/>
          <w:sz w:val="20"/>
          <w:szCs w:val="20"/>
        </w:rPr>
        <w:t>analysed</w:t>
      </w:r>
      <w:proofErr w:type="spellEnd"/>
      <w:r w:rsidRPr="001C2913">
        <w:rPr>
          <w:rFonts w:ascii="Arial" w:hAnsi="Arial" w:cs="Arial"/>
          <w:position w:val="1"/>
          <w:sz w:val="20"/>
          <w:szCs w:val="20"/>
        </w:rPr>
        <w:t xml:space="preserve"> water, V</w:t>
      </w:r>
      <w:r w:rsidRPr="001C2913">
        <w:rPr>
          <w:rFonts w:ascii="Arial" w:hAnsi="Arial" w:cs="Arial"/>
          <w:sz w:val="20"/>
          <w:szCs w:val="20"/>
          <w:vertAlign w:val="subscript"/>
        </w:rPr>
        <w:t>o</w:t>
      </w:r>
      <w:r w:rsidRPr="001C2913">
        <w:rPr>
          <w:rFonts w:ascii="Arial" w:hAnsi="Arial" w:cs="Arial"/>
          <w:position w:val="1"/>
          <w:sz w:val="20"/>
          <w:szCs w:val="20"/>
        </w:rPr>
        <w:t>=The ideal value of this parameter in pure water</w:t>
      </w:r>
    </w:p>
    <w:p w14:paraId="246622A8" w14:textId="77777777" w:rsidR="00255D14" w:rsidRPr="001C2913" w:rsidRDefault="00255D14" w:rsidP="00255D14">
      <w:pPr>
        <w:pStyle w:val="BodyText"/>
        <w:spacing w:line="360" w:lineRule="auto"/>
        <w:ind w:left="871"/>
        <w:rPr>
          <w:rFonts w:ascii="Arial" w:hAnsi="Arial" w:cs="Arial"/>
          <w:sz w:val="20"/>
          <w:szCs w:val="20"/>
        </w:rPr>
      </w:pPr>
      <w:r w:rsidRPr="001C2913">
        <w:rPr>
          <w:rFonts w:ascii="Arial" w:hAnsi="Arial" w:cs="Arial"/>
          <w:position w:val="1"/>
          <w:sz w:val="20"/>
          <w:szCs w:val="20"/>
        </w:rPr>
        <w:t xml:space="preserve">   V</w:t>
      </w:r>
      <w:r w:rsidRPr="001C2913">
        <w:rPr>
          <w:rFonts w:ascii="Arial" w:hAnsi="Arial" w:cs="Arial"/>
          <w:sz w:val="20"/>
          <w:szCs w:val="20"/>
          <w:vertAlign w:val="subscript"/>
        </w:rPr>
        <w:t>o</w:t>
      </w:r>
      <w:r w:rsidRPr="001C2913">
        <w:rPr>
          <w:rFonts w:ascii="Arial" w:hAnsi="Arial" w:cs="Arial"/>
          <w:position w:val="1"/>
          <w:sz w:val="20"/>
          <w:szCs w:val="20"/>
        </w:rPr>
        <w:t>=0 (except pH =7.0)</w:t>
      </w:r>
    </w:p>
    <w:p w14:paraId="7D4C4957" w14:textId="77777777" w:rsidR="00255D14" w:rsidRPr="001C2913" w:rsidRDefault="00255D14" w:rsidP="00255D14">
      <w:pPr>
        <w:pStyle w:val="BodyText"/>
        <w:spacing w:line="360" w:lineRule="auto"/>
        <w:ind w:left="871"/>
        <w:rPr>
          <w:rFonts w:ascii="Arial" w:hAnsi="Arial" w:cs="Arial"/>
          <w:sz w:val="20"/>
          <w:szCs w:val="20"/>
        </w:rPr>
      </w:pPr>
      <w:r w:rsidRPr="001C2913">
        <w:rPr>
          <w:rFonts w:ascii="Arial" w:hAnsi="Arial" w:cs="Arial"/>
          <w:position w:val="1"/>
          <w:sz w:val="20"/>
          <w:szCs w:val="20"/>
        </w:rPr>
        <w:t xml:space="preserve">    S</w:t>
      </w:r>
      <w:proofErr w:type="spellStart"/>
      <w:r w:rsidRPr="001C2913">
        <w:rPr>
          <w:rFonts w:ascii="Arial" w:hAnsi="Arial" w:cs="Arial"/>
          <w:sz w:val="20"/>
          <w:szCs w:val="20"/>
          <w:vertAlign w:val="subscript"/>
        </w:rPr>
        <w:t>i</w:t>
      </w:r>
      <w:proofErr w:type="spellEnd"/>
      <w:r w:rsidRPr="001C2913">
        <w:rPr>
          <w:rFonts w:ascii="Arial" w:hAnsi="Arial" w:cs="Arial"/>
          <w:position w:val="1"/>
          <w:sz w:val="20"/>
          <w:szCs w:val="20"/>
        </w:rPr>
        <w:t xml:space="preserve">=Standard value of </w:t>
      </w:r>
      <w:proofErr w:type="spellStart"/>
      <w:r w:rsidRPr="001C2913">
        <w:rPr>
          <w:rFonts w:ascii="Arial" w:hAnsi="Arial" w:cs="Arial"/>
          <w:position w:val="1"/>
          <w:sz w:val="20"/>
          <w:szCs w:val="20"/>
        </w:rPr>
        <w:t>i</w:t>
      </w:r>
      <w:r w:rsidRPr="001C2913">
        <w:rPr>
          <w:rFonts w:ascii="Arial" w:hAnsi="Arial" w:cs="Arial"/>
          <w:position w:val="7"/>
          <w:sz w:val="20"/>
          <w:szCs w:val="20"/>
          <w:vertAlign w:val="superscript"/>
        </w:rPr>
        <w:t>th</w:t>
      </w:r>
      <w:proofErr w:type="spellEnd"/>
      <w:r w:rsidRPr="001C2913">
        <w:rPr>
          <w:rFonts w:ascii="Arial" w:hAnsi="Arial" w:cs="Arial"/>
          <w:position w:val="1"/>
          <w:sz w:val="20"/>
          <w:szCs w:val="20"/>
        </w:rPr>
        <w:t>parameter</w:t>
      </w:r>
    </w:p>
    <w:p w14:paraId="72A6854A" w14:textId="77777777" w:rsidR="00255D14" w:rsidRPr="001C2913" w:rsidRDefault="00255D14" w:rsidP="00255D14">
      <w:pPr>
        <w:pStyle w:val="BodyText"/>
        <w:spacing w:line="360" w:lineRule="auto"/>
        <w:ind w:right="298"/>
        <w:rPr>
          <w:rFonts w:ascii="Arial" w:hAnsi="Arial" w:cs="Arial"/>
          <w:sz w:val="20"/>
          <w:szCs w:val="20"/>
        </w:rPr>
      </w:pPr>
      <w:r w:rsidRPr="001C2913">
        <w:rPr>
          <w:rFonts w:ascii="Arial" w:hAnsi="Arial" w:cs="Arial"/>
          <w:position w:val="1"/>
          <w:sz w:val="20"/>
          <w:szCs w:val="20"/>
        </w:rPr>
        <w:t xml:space="preserve"> The unit weight (W</w:t>
      </w:r>
      <w:proofErr w:type="spellStart"/>
      <w:r w:rsidRPr="001C2913">
        <w:rPr>
          <w:rFonts w:ascii="Arial" w:hAnsi="Arial" w:cs="Arial"/>
          <w:sz w:val="20"/>
          <w:szCs w:val="20"/>
          <w:vertAlign w:val="subscript"/>
        </w:rPr>
        <w:t>i</w:t>
      </w:r>
      <w:proofErr w:type="spellEnd"/>
      <w:r w:rsidRPr="001C2913">
        <w:rPr>
          <w:rFonts w:ascii="Arial" w:hAnsi="Arial" w:cs="Arial"/>
          <w:position w:val="1"/>
          <w:sz w:val="20"/>
          <w:szCs w:val="20"/>
        </w:rPr>
        <w:t xml:space="preserve">) for each water quality parameter is calculated by using the </w:t>
      </w:r>
      <w:r w:rsidRPr="001C2913">
        <w:rPr>
          <w:rFonts w:ascii="Arial" w:hAnsi="Arial" w:cs="Arial"/>
          <w:sz w:val="20"/>
          <w:szCs w:val="20"/>
        </w:rPr>
        <w:t>following formula:</w:t>
      </w:r>
    </w:p>
    <w:p w14:paraId="79545D4B" w14:textId="77777777" w:rsidR="00255D14" w:rsidRPr="001C2913" w:rsidRDefault="00D407AD" w:rsidP="00255D14">
      <w:pPr>
        <w:spacing w:line="360" w:lineRule="auto"/>
        <w:ind w:left="871"/>
        <w:jc w:val="center"/>
        <w:rPr>
          <w:rFonts w:ascii="Arial" w:eastAsia="Times New Roman" w:hAnsi="Arial" w:cs="Arial"/>
          <w:b/>
          <w:bCs/>
          <w:position w:val="1"/>
          <w:sz w:val="24"/>
          <w:szCs w:val="24"/>
        </w:rPr>
      </w:pPr>
      <m:oMath>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W</m:t>
            </m:r>
          </m:e>
          <m:sub>
            <m:r>
              <m:rPr>
                <m:sty m:val="bi"/>
              </m:rPr>
              <w:rPr>
                <w:rFonts w:ascii="Cambria Math" w:hAnsi="Cambria Math" w:cs="Arial"/>
                <w:position w:val="1"/>
                <w:sz w:val="24"/>
                <w:szCs w:val="24"/>
              </w:rPr>
              <m:t>i</m:t>
            </m:r>
          </m:sub>
        </m:sSub>
        <m:r>
          <m:rPr>
            <m:sty m:val="bi"/>
          </m:rPr>
          <w:rPr>
            <w:rFonts w:ascii="Cambria Math" w:hAnsi="Arial" w:cs="Arial"/>
            <w:position w:val="1"/>
            <w:sz w:val="24"/>
            <w:szCs w:val="24"/>
          </w:rPr>
          <m:t>=</m:t>
        </m:r>
        <m:f>
          <m:fPr>
            <m:ctrlPr>
              <w:rPr>
                <w:rFonts w:ascii="Cambria Math" w:hAnsi="Arial" w:cs="Arial"/>
                <w:b/>
                <w:bCs/>
                <w:position w:val="1"/>
                <w:sz w:val="24"/>
                <w:szCs w:val="24"/>
              </w:rPr>
            </m:ctrlPr>
          </m:fPr>
          <m:num>
            <m:r>
              <m:rPr>
                <m:sty m:val="bi"/>
              </m:rPr>
              <w:rPr>
                <w:rFonts w:ascii="Cambria Math" w:hAnsi="Cambria Math" w:cs="Arial"/>
                <w:position w:val="1"/>
                <w:sz w:val="24"/>
                <w:szCs w:val="24"/>
              </w:rPr>
              <m:t>K</m:t>
            </m:r>
            <m:ctrlPr>
              <w:rPr>
                <w:rFonts w:ascii="Cambria Math" w:hAnsi="Arial" w:cs="Arial"/>
                <w:b/>
                <w:bCs/>
                <w:i/>
                <w:position w:val="1"/>
                <w:sz w:val="24"/>
                <w:szCs w:val="24"/>
              </w:rPr>
            </m:ctrlPr>
          </m:num>
          <m:den>
            <m:sSub>
              <m:sSubPr>
                <m:ctrlPr>
                  <w:rPr>
                    <w:rFonts w:ascii="Cambria Math" w:hAnsi="Arial" w:cs="Arial"/>
                    <w:b/>
                    <w:bCs/>
                    <w:i/>
                    <w:position w:val="1"/>
                    <w:sz w:val="24"/>
                    <w:szCs w:val="24"/>
                  </w:rPr>
                </m:ctrlPr>
              </m:sSubPr>
              <m:e>
                <m:r>
                  <m:rPr>
                    <m:sty m:val="bi"/>
                  </m:rPr>
                  <w:rPr>
                    <w:rFonts w:ascii="Cambria Math" w:hAnsi="Cambria Math" w:cs="Arial"/>
                    <w:position w:val="1"/>
                    <w:sz w:val="24"/>
                    <w:szCs w:val="24"/>
                  </w:rPr>
                  <m:t>S</m:t>
                </m:r>
              </m:e>
              <m:sub>
                <m:r>
                  <m:rPr>
                    <m:sty m:val="bi"/>
                  </m:rPr>
                  <w:rPr>
                    <w:rFonts w:ascii="Cambria Math" w:hAnsi="Cambria Math" w:cs="Arial"/>
                    <w:position w:val="1"/>
                    <w:sz w:val="24"/>
                    <w:szCs w:val="24"/>
                  </w:rPr>
                  <m:t>i</m:t>
                </m:r>
              </m:sub>
            </m:sSub>
            <m:ctrlPr>
              <w:rPr>
                <w:rFonts w:ascii="Cambria Math" w:hAnsi="Arial" w:cs="Arial"/>
                <w:b/>
                <w:bCs/>
                <w:i/>
                <w:position w:val="1"/>
                <w:sz w:val="24"/>
                <w:szCs w:val="24"/>
              </w:rPr>
            </m:ctrlPr>
          </m:den>
        </m:f>
      </m:oMath>
      <w:r w:rsidR="00FC034C">
        <w:rPr>
          <w:rFonts w:ascii="Arial" w:eastAsia="Times New Roman" w:hAnsi="Arial" w:cs="Arial"/>
          <w:b/>
          <w:bCs/>
          <w:position w:val="1"/>
          <w:sz w:val="24"/>
          <w:szCs w:val="24"/>
        </w:rPr>
        <w:t xml:space="preserve">             (</w:t>
      </w:r>
      <w:r w:rsidR="00BB64A8">
        <w:rPr>
          <w:rFonts w:ascii="Arial" w:eastAsia="Times New Roman" w:hAnsi="Arial" w:cs="Arial"/>
          <w:b/>
          <w:bCs/>
          <w:position w:val="1"/>
          <w:sz w:val="24"/>
          <w:szCs w:val="24"/>
        </w:rPr>
        <w:t>E</w:t>
      </w:r>
      <w:r w:rsidR="00FC034C">
        <w:rPr>
          <w:rFonts w:ascii="Arial" w:eastAsia="Times New Roman" w:hAnsi="Arial" w:cs="Arial"/>
          <w:b/>
          <w:bCs/>
          <w:position w:val="1"/>
          <w:sz w:val="24"/>
          <w:szCs w:val="24"/>
        </w:rPr>
        <w:t>q. 3)</w:t>
      </w:r>
    </w:p>
    <w:p w14:paraId="348BF85D" w14:textId="77777777" w:rsidR="00255D14" w:rsidRPr="001C2913" w:rsidRDefault="00255D14" w:rsidP="00255D14">
      <w:pPr>
        <w:pStyle w:val="BodyText"/>
        <w:spacing w:line="360" w:lineRule="auto"/>
        <w:rPr>
          <w:rFonts w:ascii="Arial" w:hAnsi="Arial" w:cs="Arial"/>
          <w:sz w:val="20"/>
          <w:szCs w:val="20"/>
        </w:rPr>
      </w:pPr>
      <w:r w:rsidRPr="001C2913">
        <w:rPr>
          <w:rFonts w:ascii="Arial" w:hAnsi="Arial" w:cs="Arial"/>
          <w:sz w:val="20"/>
          <w:szCs w:val="20"/>
        </w:rPr>
        <w:t xml:space="preserve">Where, </w:t>
      </w:r>
      <w:r w:rsidRPr="001C2913">
        <w:rPr>
          <w:rFonts w:ascii="Arial" w:hAnsi="Arial" w:cs="Arial"/>
          <w:i/>
          <w:sz w:val="20"/>
          <w:szCs w:val="20"/>
        </w:rPr>
        <w:t>K</w:t>
      </w:r>
      <w:r w:rsidRPr="001C2913">
        <w:rPr>
          <w:rFonts w:ascii="Arial" w:hAnsi="Arial" w:cs="Arial"/>
          <w:sz w:val="20"/>
          <w:szCs w:val="20"/>
        </w:rPr>
        <w:t>=proportionality constant and can also be calculated by using the following equation:</w:t>
      </w:r>
    </w:p>
    <w:p w14:paraId="78C3D3D6" w14:textId="77777777" w:rsidR="00255D14" w:rsidRPr="0096118C" w:rsidRDefault="00255D14" w:rsidP="00255D14">
      <w:pPr>
        <w:pStyle w:val="Heading1"/>
        <w:spacing w:before="0"/>
        <w:ind w:right="3969"/>
        <w:jc w:val="center"/>
        <w:rPr>
          <w:rFonts w:ascii="Arial" w:hAnsi="Arial" w:cs="Arial"/>
          <w:b w:val="0"/>
          <w:color w:val="auto"/>
          <w:position w:val="1"/>
          <w:sz w:val="24"/>
          <w:szCs w:val="24"/>
        </w:rPr>
      </w:pPr>
      <m:oMath>
        <m:r>
          <m:rPr>
            <m:sty m:val="bi"/>
          </m:rPr>
          <w:rPr>
            <w:rFonts w:ascii="Cambria Math" w:hAnsi="Cambria Math" w:cs="Arial"/>
            <w:color w:val="auto"/>
            <w:position w:val="1"/>
            <w:sz w:val="24"/>
            <w:szCs w:val="24"/>
          </w:rPr>
          <w:lastRenderedPageBreak/>
          <m:t>K</m:t>
        </m:r>
        <m:r>
          <m:rPr>
            <m:sty m:val="bi"/>
          </m:rPr>
          <w:rPr>
            <w:rFonts w:ascii="Cambria Math" w:hAnsi="Arial" w:cs="Arial"/>
            <w:color w:val="auto"/>
            <w:position w:val="1"/>
            <w:sz w:val="24"/>
            <w:szCs w:val="24"/>
          </w:rPr>
          <m:t>=</m:t>
        </m:r>
        <m:f>
          <m:fPr>
            <m:ctrlPr>
              <w:rPr>
                <w:rFonts w:ascii="Cambria Math" w:hAnsi="Arial" w:cs="Arial"/>
                <w:color w:val="auto"/>
                <w:position w:val="1"/>
                <w:sz w:val="24"/>
                <w:szCs w:val="24"/>
              </w:rPr>
            </m:ctrlPr>
          </m:fPr>
          <m:num>
            <m:r>
              <m:rPr>
                <m:sty m:val="bi"/>
              </m:rPr>
              <w:rPr>
                <w:rFonts w:ascii="Cambria Math" w:hAnsi="Cambria Math" w:cs="Arial"/>
                <w:color w:val="auto"/>
                <w:position w:val="1"/>
                <w:sz w:val="24"/>
                <w:szCs w:val="24"/>
              </w:rPr>
              <m:t>1</m:t>
            </m:r>
            <m:ctrlPr>
              <w:rPr>
                <w:rFonts w:ascii="Cambria Math" w:hAnsi="Arial" w:cs="Arial"/>
                <w:i/>
                <w:color w:val="auto"/>
                <w:position w:val="1"/>
                <w:sz w:val="24"/>
                <w:szCs w:val="24"/>
              </w:rPr>
            </m:ctrlPr>
          </m:num>
          <m:den>
            <m:nary>
              <m:naryPr>
                <m:chr m:val="∑"/>
                <m:subHide m:val="1"/>
                <m:supHide m:val="1"/>
                <m:ctrlPr>
                  <w:rPr>
                    <w:rFonts w:ascii="Cambria Math" w:hAnsi="Arial" w:cs="Arial"/>
                    <w:color w:val="auto"/>
                    <w:position w:val="1"/>
                    <w:sz w:val="24"/>
                    <w:szCs w:val="24"/>
                  </w:rPr>
                </m:ctrlPr>
              </m:naryPr>
              <m:sub/>
              <m:sup/>
              <m:e>
                <m:d>
                  <m:dPr>
                    <m:ctrlPr>
                      <w:rPr>
                        <w:rFonts w:ascii="Cambria Math" w:hAnsi="Arial" w:cs="Arial"/>
                        <w:i/>
                        <w:color w:val="auto"/>
                        <w:position w:val="1"/>
                        <w:sz w:val="24"/>
                        <w:szCs w:val="24"/>
                      </w:rPr>
                    </m:ctrlPr>
                  </m:dPr>
                  <m:e>
                    <m:f>
                      <m:fPr>
                        <m:ctrlPr>
                          <w:rPr>
                            <w:rFonts w:ascii="Cambria Math" w:hAnsi="Arial" w:cs="Arial"/>
                            <w:color w:val="auto"/>
                            <w:position w:val="1"/>
                            <w:sz w:val="24"/>
                            <w:szCs w:val="24"/>
                          </w:rPr>
                        </m:ctrlPr>
                      </m:fPr>
                      <m:num>
                        <m:r>
                          <m:rPr>
                            <m:sty m:val="bi"/>
                          </m:rPr>
                          <w:rPr>
                            <w:rFonts w:ascii="Cambria Math" w:hAnsi="Cambria Math" w:cs="Arial"/>
                            <w:color w:val="auto"/>
                            <w:position w:val="1"/>
                            <w:sz w:val="24"/>
                            <w:szCs w:val="24"/>
                          </w:rPr>
                          <m:t>1</m:t>
                        </m:r>
                        <m:ctrlPr>
                          <w:rPr>
                            <w:rFonts w:ascii="Cambria Math" w:hAnsi="Arial" w:cs="Arial"/>
                            <w:i/>
                            <w:color w:val="auto"/>
                            <w:position w:val="1"/>
                            <w:sz w:val="24"/>
                            <w:szCs w:val="24"/>
                          </w:rPr>
                        </m:ctrlPr>
                      </m:num>
                      <m:den>
                        <m:sSub>
                          <m:sSubPr>
                            <m:ctrlPr>
                              <w:rPr>
                                <w:rFonts w:ascii="Cambria Math" w:hAnsi="Arial" w:cs="Arial"/>
                                <w:i/>
                                <w:color w:val="auto"/>
                                <w:position w:val="1"/>
                                <w:sz w:val="24"/>
                                <w:szCs w:val="24"/>
                              </w:rPr>
                            </m:ctrlPr>
                          </m:sSubPr>
                          <m:e>
                            <m:r>
                              <m:rPr>
                                <m:sty m:val="bi"/>
                              </m:rPr>
                              <w:rPr>
                                <w:rFonts w:ascii="Cambria Math" w:hAnsi="Cambria Math" w:cs="Arial"/>
                                <w:color w:val="auto"/>
                                <w:position w:val="1"/>
                                <w:sz w:val="24"/>
                                <w:szCs w:val="24"/>
                              </w:rPr>
                              <m:t>S</m:t>
                            </m:r>
                          </m:e>
                          <m:sub>
                            <m:r>
                              <m:rPr>
                                <m:sty m:val="bi"/>
                              </m:rPr>
                              <w:rPr>
                                <w:rFonts w:ascii="Cambria Math" w:hAnsi="Cambria Math" w:cs="Arial"/>
                                <w:color w:val="auto"/>
                                <w:position w:val="1"/>
                                <w:sz w:val="24"/>
                                <w:szCs w:val="24"/>
                              </w:rPr>
                              <m:t>i</m:t>
                            </m:r>
                          </m:sub>
                        </m:sSub>
                        <m:ctrlPr>
                          <w:rPr>
                            <w:rFonts w:ascii="Cambria Math" w:hAnsi="Arial" w:cs="Arial"/>
                            <w:i/>
                            <w:color w:val="auto"/>
                            <w:position w:val="1"/>
                            <w:sz w:val="24"/>
                            <w:szCs w:val="24"/>
                          </w:rPr>
                        </m:ctrlPr>
                      </m:den>
                    </m:f>
                  </m:e>
                </m:d>
              </m:e>
            </m:nary>
            <m:ctrlPr>
              <w:rPr>
                <w:rFonts w:ascii="Cambria Math" w:hAnsi="Arial" w:cs="Arial"/>
                <w:i/>
                <w:color w:val="auto"/>
                <w:position w:val="1"/>
                <w:sz w:val="24"/>
                <w:szCs w:val="24"/>
              </w:rPr>
            </m:ctrlPr>
          </m:den>
        </m:f>
      </m:oMath>
      <w:r w:rsidR="00FC034C">
        <w:rPr>
          <w:rFonts w:ascii="Arial" w:hAnsi="Arial" w:cs="Arial"/>
          <w:color w:val="auto"/>
          <w:position w:val="1"/>
          <w:sz w:val="24"/>
          <w:szCs w:val="24"/>
        </w:rPr>
        <w:t xml:space="preserve">         (</w:t>
      </w:r>
      <w:r w:rsidR="00BB64A8">
        <w:rPr>
          <w:rFonts w:ascii="Arial" w:hAnsi="Arial" w:cs="Arial"/>
          <w:color w:val="auto"/>
          <w:position w:val="1"/>
          <w:sz w:val="24"/>
          <w:szCs w:val="24"/>
        </w:rPr>
        <w:t>E</w:t>
      </w:r>
      <w:r w:rsidR="00FC034C">
        <w:rPr>
          <w:rFonts w:ascii="Arial" w:hAnsi="Arial" w:cs="Arial"/>
          <w:color w:val="auto"/>
          <w:position w:val="1"/>
          <w:sz w:val="24"/>
          <w:szCs w:val="24"/>
        </w:rPr>
        <w:t>q. 4)</w:t>
      </w:r>
    </w:p>
    <w:p w14:paraId="0BA2A099" w14:textId="77777777" w:rsidR="00255D14" w:rsidRPr="001C2913" w:rsidRDefault="00255D14" w:rsidP="00AF4524">
      <w:pPr>
        <w:pStyle w:val="BodyText"/>
        <w:spacing w:before="235" w:line="360" w:lineRule="auto"/>
        <w:ind w:left="151" w:right="255"/>
        <w:jc w:val="both"/>
        <w:rPr>
          <w:rFonts w:ascii="Arial" w:hAnsi="Arial" w:cs="Arial"/>
          <w:sz w:val="20"/>
          <w:szCs w:val="20"/>
        </w:rPr>
      </w:pPr>
      <w:r w:rsidRPr="001C2913">
        <w:rPr>
          <w:rFonts w:ascii="Arial" w:hAnsi="Arial" w:cs="Arial"/>
          <w:sz w:val="20"/>
          <w:szCs w:val="20"/>
        </w:rPr>
        <w:t xml:space="preserve">Using these equations, WQI values were computed for all sampling locations and periods. Based on the obtained WQI values, </w:t>
      </w:r>
      <w:r w:rsidR="0096118C">
        <w:rPr>
          <w:rFonts w:ascii="Arial" w:hAnsi="Arial" w:cs="Arial"/>
          <w:sz w:val="20"/>
          <w:szCs w:val="20"/>
        </w:rPr>
        <w:t xml:space="preserve">Brown et al 1972 the </w:t>
      </w:r>
      <w:r w:rsidRPr="001C2913">
        <w:rPr>
          <w:rFonts w:ascii="Arial" w:hAnsi="Arial" w:cs="Arial"/>
          <w:sz w:val="20"/>
          <w:szCs w:val="20"/>
        </w:rPr>
        <w:t xml:space="preserve">groundwater quality was classified into standard rating categories to interpret its suitability for drinking purposes. </w:t>
      </w:r>
      <w:r w:rsidR="0096118C">
        <w:rPr>
          <w:rFonts w:ascii="Arial" w:hAnsi="Arial" w:cs="Arial"/>
          <w:sz w:val="20"/>
          <w:szCs w:val="20"/>
        </w:rPr>
        <w:t xml:space="preserve">It is </w:t>
      </w:r>
      <w:r w:rsidRPr="001C2913">
        <w:rPr>
          <w:rFonts w:ascii="Arial" w:hAnsi="Arial" w:cs="Arial"/>
          <w:sz w:val="20"/>
          <w:szCs w:val="20"/>
        </w:rPr>
        <w:t xml:space="preserve">presented in </w:t>
      </w:r>
      <w:r w:rsidRPr="001C2913">
        <w:rPr>
          <w:rFonts w:ascii="Arial" w:hAnsi="Arial" w:cs="Arial"/>
          <w:b/>
          <w:bCs/>
          <w:sz w:val="20"/>
          <w:szCs w:val="20"/>
        </w:rPr>
        <w:t>Table 2.</w:t>
      </w:r>
    </w:p>
    <w:p w14:paraId="78F7B7C3" w14:textId="77777777" w:rsidR="00255D14" w:rsidRPr="00466422" w:rsidRDefault="00255D14" w:rsidP="00255D14">
      <w:pPr>
        <w:pStyle w:val="NoSpacing"/>
        <w:jc w:val="center"/>
        <w:rPr>
          <w:rFonts w:ascii="Arial" w:hAnsi="Arial" w:cs="Arial"/>
          <w:b/>
          <w:sz w:val="20"/>
          <w:szCs w:val="20"/>
        </w:rPr>
      </w:pPr>
      <w:r w:rsidRPr="00466422">
        <w:rPr>
          <w:rFonts w:ascii="Arial" w:hAnsi="Arial" w:cs="Arial"/>
          <w:b/>
          <w:sz w:val="20"/>
          <w:szCs w:val="20"/>
        </w:rPr>
        <w:t>Table 2: Water Quality rating as per WA-WQI model</w:t>
      </w:r>
    </w:p>
    <w:p w14:paraId="5251BE28" w14:textId="77777777" w:rsidR="00255D14" w:rsidRPr="00466422" w:rsidRDefault="00255D14" w:rsidP="00255D14">
      <w:pPr>
        <w:pStyle w:val="NoSpacing"/>
        <w:jc w:val="center"/>
        <w:rPr>
          <w:rFonts w:ascii="Arial" w:hAnsi="Arial" w:cs="Arial"/>
          <w:b/>
          <w:sz w:val="20"/>
          <w:szCs w:val="20"/>
        </w:rPr>
      </w:pPr>
      <w:r w:rsidRPr="00466422">
        <w:rPr>
          <w:rFonts w:ascii="Arial" w:hAnsi="Arial" w:cs="Arial"/>
          <w:b/>
          <w:sz w:val="20"/>
          <w:szCs w:val="20"/>
        </w:rPr>
        <w:t>Brown et al (1972)]</w:t>
      </w:r>
    </w:p>
    <w:p w14:paraId="24F8EA5C" w14:textId="77777777" w:rsidR="00255D14" w:rsidRPr="00466422" w:rsidRDefault="00255D14" w:rsidP="00255D14">
      <w:pPr>
        <w:pStyle w:val="BodyText"/>
        <w:spacing w:before="1"/>
        <w:rPr>
          <w:rFonts w:ascii="Arial" w:hAnsi="Arial" w:cs="Arial"/>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3600"/>
        <w:gridCol w:w="2109"/>
      </w:tblGrid>
      <w:tr w:rsidR="00255D14" w:rsidRPr="000470FD" w14:paraId="78E38E2A" w14:textId="77777777" w:rsidTr="00F140FB">
        <w:trPr>
          <w:trHeight w:val="278"/>
          <w:jc w:val="center"/>
        </w:trPr>
        <w:tc>
          <w:tcPr>
            <w:tcW w:w="2110" w:type="dxa"/>
          </w:tcPr>
          <w:p w14:paraId="7C439F7D" w14:textId="77777777" w:rsidR="00255D14" w:rsidRPr="000470FD" w:rsidRDefault="00255D14" w:rsidP="00B911B6">
            <w:pPr>
              <w:pStyle w:val="TableParagraph"/>
              <w:spacing w:before="0" w:line="281" w:lineRule="exact"/>
              <w:ind w:left="403" w:right="400"/>
              <w:rPr>
                <w:rFonts w:ascii="Arial" w:hAnsi="Arial" w:cs="Arial"/>
                <w:b/>
                <w:sz w:val="20"/>
                <w:szCs w:val="20"/>
              </w:rPr>
            </w:pPr>
            <w:r w:rsidRPr="000470FD">
              <w:rPr>
                <w:rFonts w:ascii="Arial" w:hAnsi="Arial" w:cs="Arial"/>
                <w:b/>
                <w:sz w:val="20"/>
                <w:szCs w:val="20"/>
              </w:rPr>
              <w:t>WQI Value</w:t>
            </w:r>
          </w:p>
        </w:tc>
        <w:tc>
          <w:tcPr>
            <w:tcW w:w="3600" w:type="dxa"/>
          </w:tcPr>
          <w:p w14:paraId="494A76F8" w14:textId="77777777" w:rsidR="00255D14" w:rsidRPr="000470FD" w:rsidRDefault="00255D14" w:rsidP="00B911B6">
            <w:pPr>
              <w:pStyle w:val="TableParagraph"/>
              <w:spacing w:before="0" w:line="281" w:lineRule="exact"/>
              <w:ind w:left="441" w:right="438"/>
              <w:rPr>
                <w:rFonts w:ascii="Arial" w:hAnsi="Arial" w:cs="Arial"/>
                <w:b/>
                <w:sz w:val="20"/>
                <w:szCs w:val="20"/>
              </w:rPr>
            </w:pPr>
            <w:r w:rsidRPr="000470FD">
              <w:rPr>
                <w:rFonts w:ascii="Arial" w:hAnsi="Arial" w:cs="Arial"/>
                <w:b/>
                <w:sz w:val="20"/>
                <w:szCs w:val="20"/>
              </w:rPr>
              <w:t>Rating of Water Quality</w:t>
            </w:r>
          </w:p>
        </w:tc>
        <w:tc>
          <w:tcPr>
            <w:tcW w:w="2109" w:type="dxa"/>
          </w:tcPr>
          <w:p w14:paraId="48C2EBF9" w14:textId="77777777" w:rsidR="00255D14" w:rsidRPr="000470FD" w:rsidRDefault="00255D14" w:rsidP="00B911B6">
            <w:pPr>
              <w:pStyle w:val="TableParagraph"/>
              <w:spacing w:before="0" w:line="281" w:lineRule="exact"/>
              <w:ind w:left="87" w:right="81"/>
              <w:rPr>
                <w:rFonts w:ascii="Arial" w:hAnsi="Arial" w:cs="Arial"/>
                <w:sz w:val="20"/>
                <w:szCs w:val="20"/>
              </w:rPr>
            </w:pPr>
            <w:r w:rsidRPr="000470FD">
              <w:rPr>
                <w:rFonts w:ascii="Arial" w:hAnsi="Arial" w:cs="Arial"/>
                <w:sz w:val="20"/>
                <w:szCs w:val="20"/>
              </w:rPr>
              <w:t>Suitability for drinking</w:t>
            </w:r>
          </w:p>
        </w:tc>
      </w:tr>
      <w:tr w:rsidR="00255D14" w:rsidRPr="000470FD" w14:paraId="6AF2129E" w14:textId="77777777" w:rsidTr="00F140FB">
        <w:trPr>
          <w:trHeight w:val="350"/>
          <w:jc w:val="center"/>
        </w:trPr>
        <w:tc>
          <w:tcPr>
            <w:tcW w:w="2110" w:type="dxa"/>
          </w:tcPr>
          <w:p w14:paraId="4CD1D1E0" w14:textId="77777777" w:rsidR="00255D14" w:rsidRPr="000470FD" w:rsidRDefault="00255D14" w:rsidP="00B911B6">
            <w:pPr>
              <w:pStyle w:val="TableParagraph"/>
              <w:spacing w:before="0" w:line="281" w:lineRule="exact"/>
              <w:ind w:left="406" w:right="400"/>
              <w:rPr>
                <w:rFonts w:ascii="Arial" w:hAnsi="Arial" w:cs="Arial"/>
                <w:sz w:val="20"/>
                <w:szCs w:val="20"/>
              </w:rPr>
            </w:pPr>
            <w:r w:rsidRPr="000470FD">
              <w:rPr>
                <w:rFonts w:ascii="Arial" w:hAnsi="Arial" w:cs="Arial"/>
                <w:sz w:val="20"/>
                <w:szCs w:val="20"/>
              </w:rPr>
              <w:t>0-25</w:t>
            </w:r>
          </w:p>
        </w:tc>
        <w:tc>
          <w:tcPr>
            <w:tcW w:w="3600" w:type="dxa"/>
          </w:tcPr>
          <w:p w14:paraId="286D5884" w14:textId="77777777" w:rsidR="00255D14" w:rsidRPr="000470FD" w:rsidRDefault="00255D14" w:rsidP="00B911B6">
            <w:pPr>
              <w:pStyle w:val="TableParagraph"/>
              <w:spacing w:before="0" w:line="281" w:lineRule="exact"/>
              <w:ind w:left="444" w:right="437"/>
              <w:rPr>
                <w:rFonts w:ascii="Arial" w:hAnsi="Arial" w:cs="Arial"/>
                <w:sz w:val="20"/>
                <w:szCs w:val="20"/>
              </w:rPr>
            </w:pPr>
            <w:r w:rsidRPr="000470FD">
              <w:rPr>
                <w:rFonts w:ascii="Arial" w:hAnsi="Arial" w:cs="Arial"/>
                <w:sz w:val="20"/>
                <w:szCs w:val="20"/>
              </w:rPr>
              <w:t>Excellent</w:t>
            </w:r>
          </w:p>
        </w:tc>
        <w:tc>
          <w:tcPr>
            <w:tcW w:w="2109" w:type="dxa"/>
          </w:tcPr>
          <w:p w14:paraId="05E98724" w14:textId="77777777" w:rsidR="00255D14" w:rsidRPr="000470FD" w:rsidRDefault="00255D14" w:rsidP="00B911B6">
            <w:pPr>
              <w:pStyle w:val="TableParagraph"/>
              <w:spacing w:before="0" w:line="281" w:lineRule="exact"/>
              <w:ind w:left="8"/>
              <w:rPr>
                <w:rFonts w:ascii="Arial" w:hAnsi="Arial" w:cs="Arial"/>
                <w:sz w:val="20"/>
                <w:szCs w:val="20"/>
              </w:rPr>
            </w:pPr>
            <w:r w:rsidRPr="000470FD">
              <w:rPr>
                <w:rFonts w:ascii="Arial" w:hAnsi="Arial" w:cs="Arial"/>
                <w:sz w:val="20"/>
                <w:szCs w:val="20"/>
              </w:rPr>
              <w:t>Fit for drinking</w:t>
            </w:r>
          </w:p>
        </w:tc>
      </w:tr>
      <w:tr w:rsidR="00255D14" w:rsidRPr="000470FD" w14:paraId="0B13563D" w14:textId="77777777" w:rsidTr="00F140FB">
        <w:trPr>
          <w:trHeight w:val="260"/>
          <w:jc w:val="center"/>
        </w:trPr>
        <w:tc>
          <w:tcPr>
            <w:tcW w:w="2110" w:type="dxa"/>
          </w:tcPr>
          <w:p w14:paraId="63C12D7C" w14:textId="77777777" w:rsidR="00255D14" w:rsidRPr="000470FD" w:rsidRDefault="00255D14" w:rsidP="00B911B6">
            <w:pPr>
              <w:pStyle w:val="TableParagraph"/>
              <w:spacing w:before="0" w:line="281" w:lineRule="exact"/>
              <w:ind w:left="406" w:right="398"/>
              <w:rPr>
                <w:rFonts w:ascii="Arial" w:hAnsi="Arial" w:cs="Arial"/>
                <w:sz w:val="20"/>
                <w:szCs w:val="20"/>
              </w:rPr>
            </w:pPr>
            <w:r w:rsidRPr="000470FD">
              <w:rPr>
                <w:rFonts w:ascii="Arial" w:hAnsi="Arial" w:cs="Arial"/>
                <w:sz w:val="20"/>
                <w:szCs w:val="20"/>
              </w:rPr>
              <w:t>26-50</w:t>
            </w:r>
          </w:p>
        </w:tc>
        <w:tc>
          <w:tcPr>
            <w:tcW w:w="3600" w:type="dxa"/>
          </w:tcPr>
          <w:p w14:paraId="04FAD214" w14:textId="77777777" w:rsidR="00255D14" w:rsidRPr="000470FD" w:rsidRDefault="00255D14" w:rsidP="00B911B6">
            <w:pPr>
              <w:pStyle w:val="TableParagraph"/>
              <w:spacing w:before="0" w:line="281" w:lineRule="exact"/>
              <w:ind w:left="443" w:right="438"/>
              <w:rPr>
                <w:rFonts w:ascii="Arial" w:hAnsi="Arial" w:cs="Arial"/>
                <w:sz w:val="20"/>
                <w:szCs w:val="20"/>
              </w:rPr>
            </w:pPr>
            <w:r w:rsidRPr="000470FD">
              <w:rPr>
                <w:rFonts w:ascii="Arial" w:hAnsi="Arial" w:cs="Arial"/>
                <w:sz w:val="20"/>
                <w:szCs w:val="20"/>
              </w:rPr>
              <w:t>Good</w:t>
            </w:r>
          </w:p>
        </w:tc>
        <w:tc>
          <w:tcPr>
            <w:tcW w:w="2109" w:type="dxa"/>
          </w:tcPr>
          <w:p w14:paraId="255A0F8D" w14:textId="77777777" w:rsidR="00255D14" w:rsidRPr="000470FD" w:rsidRDefault="00255D14" w:rsidP="00B911B6">
            <w:pPr>
              <w:pStyle w:val="TableParagraph"/>
              <w:spacing w:before="0" w:line="281" w:lineRule="exact"/>
              <w:ind w:left="8"/>
              <w:rPr>
                <w:rFonts w:ascii="Arial" w:hAnsi="Arial" w:cs="Arial"/>
                <w:sz w:val="20"/>
                <w:szCs w:val="20"/>
              </w:rPr>
            </w:pPr>
            <w:r w:rsidRPr="000470FD">
              <w:rPr>
                <w:rFonts w:ascii="Arial" w:hAnsi="Arial" w:cs="Arial"/>
                <w:sz w:val="20"/>
                <w:szCs w:val="20"/>
              </w:rPr>
              <w:t>Acceptable for drinking</w:t>
            </w:r>
          </w:p>
        </w:tc>
      </w:tr>
      <w:tr w:rsidR="00255D14" w:rsidRPr="000470FD" w14:paraId="0AB0F24B" w14:textId="77777777" w:rsidTr="00F140FB">
        <w:trPr>
          <w:trHeight w:val="233"/>
          <w:jc w:val="center"/>
        </w:trPr>
        <w:tc>
          <w:tcPr>
            <w:tcW w:w="2110" w:type="dxa"/>
          </w:tcPr>
          <w:p w14:paraId="7FE0169B" w14:textId="77777777" w:rsidR="00255D14" w:rsidRPr="000470FD" w:rsidRDefault="00255D14" w:rsidP="00B911B6">
            <w:pPr>
              <w:pStyle w:val="TableParagraph"/>
              <w:spacing w:before="0" w:line="281" w:lineRule="exact"/>
              <w:ind w:left="406" w:right="398"/>
              <w:rPr>
                <w:rFonts w:ascii="Arial" w:hAnsi="Arial" w:cs="Arial"/>
                <w:sz w:val="20"/>
                <w:szCs w:val="20"/>
              </w:rPr>
            </w:pPr>
            <w:r w:rsidRPr="000470FD">
              <w:rPr>
                <w:rFonts w:ascii="Arial" w:hAnsi="Arial" w:cs="Arial"/>
                <w:sz w:val="20"/>
                <w:szCs w:val="20"/>
              </w:rPr>
              <w:t>51-75</w:t>
            </w:r>
          </w:p>
        </w:tc>
        <w:tc>
          <w:tcPr>
            <w:tcW w:w="3600" w:type="dxa"/>
          </w:tcPr>
          <w:p w14:paraId="52D03E34" w14:textId="77777777" w:rsidR="00255D14" w:rsidRPr="000470FD" w:rsidRDefault="00255D14" w:rsidP="00B911B6">
            <w:pPr>
              <w:pStyle w:val="TableParagraph"/>
              <w:spacing w:before="0" w:line="281" w:lineRule="exact"/>
              <w:ind w:left="444" w:right="435"/>
              <w:rPr>
                <w:rFonts w:ascii="Arial" w:hAnsi="Arial" w:cs="Arial"/>
                <w:sz w:val="20"/>
                <w:szCs w:val="20"/>
              </w:rPr>
            </w:pPr>
            <w:r w:rsidRPr="000470FD">
              <w:rPr>
                <w:rFonts w:ascii="Arial" w:hAnsi="Arial" w:cs="Arial"/>
                <w:sz w:val="20"/>
                <w:szCs w:val="20"/>
              </w:rPr>
              <w:t>Poor</w:t>
            </w:r>
          </w:p>
        </w:tc>
        <w:tc>
          <w:tcPr>
            <w:tcW w:w="2109" w:type="dxa"/>
          </w:tcPr>
          <w:p w14:paraId="19EF4183" w14:textId="77777777" w:rsidR="00255D14" w:rsidRPr="000470FD" w:rsidRDefault="00255D14" w:rsidP="00B911B6">
            <w:pPr>
              <w:pStyle w:val="TableParagraph"/>
              <w:spacing w:before="0" w:line="281" w:lineRule="exact"/>
              <w:ind w:left="10"/>
              <w:rPr>
                <w:rFonts w:ascii="Arial" w:hAnsi="Arial" w:cs="Arial"/>
                <w:sz w:val="20"/>
                <w:szCs w:val="20"/>
              </w:rPr>
            </w:pPr>
            <w:r w:rsidRPr="000470FD">
              <w:rPr>
                <w:rFonts w:ascii="Arial" w:hAnsi="Arial" w:cs="Arial"/>
                <w:sz w:val="20"/>
                <w:szCs w:val="20"/>
              </w:rPr>
              <w:t>Moderately polluted</w:t>
            </w:r>
          </w:p>
        </w:tc>
      </w:tr>
      <w:tr w:rsidR="00255D14" w:rsidRPr="000470FD" w14:paraId="02B14BB0" w14:textId="77777777" w:rsidTr="00F140FB">
        <w:trPr>
          <w:trHeight w:val="215"/>
          <w:jc w:val="center"/>
        </w:trPr>
        <w:tc>
          <w:tcPr>
            <w:tcW w:w="2110" w:type="dxa"/>
          </w:tcPr>
          <w:p w14:paraId="414BE776" w14:textId="77777777" w:rsidR="00255D14" w:rsidRPr="000470FD" w:rsidRDefault="00255D14" w:rsidP="00B911B6">
            <w:pPr>
              <w:pStyle w:val="TableParagraph"/>
              <w:spacing w:before="2" w:line="240" w:lineRule="auto"/>
              <w:ind w:left="404" w:right="400"/>
              <w:rPr>
                <w:rFonts w:ascii="Arial" w:hAnsi="Arial" w:cs="Arial"/>
                <w:sz w:val="20"/>
                <w:szCs w:val="20"/>
              </w:rPr>
            </w:pPr>
            <w:r w:rsidRPr="000470FD">
              <w:rPr>
                <w:rFonts w:ascii="Arial" w:hAnsi="Arial" w:cs="Arial"/>
                <w:sz w:val="20"/>
                <w:szCs w:val="20"/>
              </w:rPr>
              <w:t>76-100</w:t>
            </w:r>
          </w:p>
        </w:tc>
        <w:tc>
          <w:tcPr>
            <w:tcW w:w="3600" w:type="dxa"/>
          </w:tcPr>
          <w:p w14:paraId="17FB66E5" w14:textId="77777777" w:rsidR="00255D14" w:rsidRPr="000470FD" w:rsidRDefault="00255D14" w:rsidP="00B911B6">
            <w:pPr>
              <w:pStyle w:val="TableParagraph"/>
              <w:spacing w:before="2" w:line="240" w:lineRule="auto"/>
              <w:ind w:left="444" w:right="435"/>
              <w:rPr>
                <w:rFonts w:ascii="Arial" w:hAnsi="Arial" w:cs="Arial"/>
                <w:sz w:val="20"/>
                <w:szCs w:val="20"/>
              </w:rPr>
            </w:pPr>
            <w:r w:rsidRPr="000470FD">
              <w:rPr>
                <w:rFonts w:ascii="Arial" w:hAnsi="Arial" w:cs="Arial"/>
                <w:sz w:val="20"/>
                <w:szCs w:val="20"/>
              </w:rPr>
              <w:t>Very Poor</w:t>
            </w:r>
          </w:p>
        </w:tc>
        <w:tc>
          <w:tcPr>
            <w:tcW w:w="2109" w:type="dxa"/>
          </w:tcPr>
          <w:p w14:paraId="22A72E8B" w14:textId="77777777" w:rsidR="00255D14" w:rsidRPr="000470FD" w:rsidRDefault="00255D14" w:rsidP="00B911B6">
            <w:pPr>
              <w:pStyle w:val="TableParagraph"/>
              <w:spacing w:before="0" w:line="281" w:lineRule="exact"/>
              <w:ind w:left="8"/>
              <w:rPr>
                <w:rFonts w:ascii="Arial" w:hAnsi="Arial" w:cs="Arial"/>
                <w:sz w:val="20"/>
                <w:szCs w:val="20"/>
              </w:rPr>
            </w:pPr>
            <w:r w:rsidRPr="000470FD">
              <w:rPr>
                <w:rFonts w:ascii="Arial" w:hAnsi="Arial" w:cs="Arial"/>
                <w:sz w:val="20"/>
                <w:szCs w:val="20"/>
              </w:rPr>
              <w:t>Excessively polluted</w:t>
            </w:r>
          </w:p>
        </w:tc>
      </w:tr>
      <w:tr w:rsidR="00255D14" w:rsidRPr="000470FD" w14:paraId="770382CE" w14:textId="77777777" w:rsidTr="00F140FB">
        <w:trPr>
          <w:trHeight w:val="368"/>
          <w:jc w:val="center"/>
        </w:trPr>
        <w:tc>
          <w:tcPr>
            <w:tcW w:w="2110" w:type="dxa"/>
          </w:tcPr>
          <w:p w14:paraId="66B15376" w14:textId="77777777" w:rsidR="00255D14" w:rsidRPr="000470FD" w:rsidRDefault="00255D14" w:rsidP="00F140FB">
            <w:pPr>
              <w:pStyle w:val="TableParagraph"/>
              <w:spacing w:before="2" w:line="240" w:lineRule="auto"/>
              <w:ind w:left="406" w:right="400"/>
              <w:rPr>
                <w:rFonts w:ascii="Arial" w:hAnsi="Arial" w:cs="Arial"/>
                <w:sz w:val="20"/>
                <w:szCs w:val="20"/>
              </w:rPr>
            </w:pPr>
            <w:r w:rsidRPr="000470FD">
              <w:rPr>
                <w:rFonts w:ascii="Arial" w:hAnsi="Arial" w:cs="Arial"/>
                <w:sz w:val="20"/>
                <w:szCs w:val="20"/>
              </w:rPr>
              <w:t>Above</w:t>
            </w:r>
            <w:r w:rsidR="00F140FB">
              <w:rPr>
                <w:rFonts w:ascii="Arial" w:hAnsi="Arial" w:cs="Arial"/>
                <w:sz w:val="20"/>
                <w:szCs w:val="20"/>
              </w:rPr>
              <w:t xml:space="preserve"> </w:t>
            </w:r>
            <w:r w:rsidRPr="000470FD">
              <w:rPr>
                <w:rFonts w:ascii="Arial" w:hAnsi="Arial" w:cs="Arial"/>
                <w:sz w:val="20"/>
                <w:szCs w:val="20"/>
              </w:rPr>
              <w:t>100</w:t>
            </w:r>
          </w:p>
        </w:tc>
        <w:tc>
          <w:tcPr>
            <w:tcW w:w="3600" w:type="dxa"/>
          </w:tcPr>
          <w:p w14:paraId="3BDBBC5F" w14:textId="77777777" w:rsidR="00255D14" w:rsidRPr="000470FD" w:rsidRDefault="00255D14" w:rsidP="00B911B6">
            <w:pPr>
              <w:pStyle w:val="TableParagraph"/>
              <w:spacing w:before="2" w:line="240" w:lineRule="auto"/>
              <w:ind w:left="444" w:right="438"/>
              <w:rPr>
                <w:rFonts w:ascii="Arial" w:hAnsi="Arial" w:cs="Arial"/>
                <w:sz w:val="20"/>
                <w:szCs w:val="20"/>
              </w:rPr>
            </w:pPr>
            <w:r w:rsidRPr="000470FD">
              <w:rPr>
                <w:rFonts w:ascii="Arial" w:hAnsi="Arial" w:cs="Arial"/>
                <w:sz w:val="20"/>
                <w:szCs w:val="20"/>
              </w:rPr>
              <w:t>Unsuitable for drinking purpose</w:t>
            </w:r>
          </w:p>
        </w:tc>
        <w:tc>
          <w:tcPr>
            <w:tcW w:w="2109" w:type="dxa"/>
          </w:tcPr>
          <w:p w14:paraId="77D66592" w14:textId="77777777" w:rsidR="00255D14" w:rsidRPr="000470FD" w:rsidRDefault="00255D14" w:rsidP="00B911B6">
            <w:pPr>
              <w:pStyle w:val="TableParagraph"/>
              <w:spacing w:before="2" w:line="240" w:lineRule="auto"/>
              <w:ind w:left="6"/>
              <w:rPr>
                <w:rFonts w:ascii="Arial" w:hAnsi="Arial" w:cs="Arial"/>
                <w:sz w:val="20"/>
                <w:szCs w:val="20"/>
              </w:rPr>
            </w:pPr>
            <w:r w:rsidRPr="000470FD">
              <w:rPr>
                <w:rFonts w:ascii="Arial" w:hAnsi="Arial" w:cs="Arial"/>
                <w:sz w:val="20"/>
                <w:szCs w:val="20"/>
              </w:rPr>
              <w:t>Unfit for drinking</w:t>
            </w:r>
          </w:p>
        </w:tc>
      </w:tr>
    </w:tbl>
    <w:p w14:paraId="5CBE00E9" w14:textId="77777777" w:rsidR="00255D14" w:rsidRPr="00466422" w:rsidRDefault="00255D14" w:rsidP="00255D14">
      <w:pPr>
        <w:pStyle w:val="Heading2"/>
        <w:rPr>
          <w:rFonts w:ascii="Arial" w:hAnsi="Arial" w:cs="Arial"/>
          <w:sz w:val="20"/>
          <w:szCs w:val="20"/>
        </w:rPr>
      </w:pPr>
      <w:r w:rsidRPr="00466422">
        <w:rPr>
          <w:rFonts w:ascii="Arial" w:hAnsi="Arial" w:cs="Arial"/>
          <w:sz w:val="20"/>
          <w:szCs w:val="20"/>
        </w:rPr>
        <w:t>2.4 Artificial Neural Network (ANN) Modeling development</w:t>
      </w:r>
      <w:r w:rsidR="00932533">
        <w:rPr>
          <w:rFonts w:ascii="Arial" w:hAnsi="Arial" w:cs="Arial"/>
          <w:sz w:val="20"/>
          <w:szCs w:val="20"/>
        </w:rPr>
        <w:t xml:space="preserve"> for prediction WQI</w:t>
      </w:r>
    </w:p>
    <w:p w14:paraId="0035D007" w14:textId="77777777" w:rsidR="00255D14" w:rsidRPr="001C2913" w:rsidRDefault="00255D14" w:rsidP="00255D14">
      <w:pPr>
        <w:pStyle w:val="NormalWeb"/>
        <w:jc w:val="both"/>
        <w:rPr>
          <w:rFonts w:ascii="Arial" w:hAnsi="Arial" w:cs="Arial"/>
          <w:sz w:val="20"/>
          <w:szCs w:val="20"/>
        </w:rPr>
      </w:pPr>
      <w:r w:rsidRPr="001C2913">
        <w:rPr>
          <w:rFonts w:ascii="Arial" w:hAnsi="Arial" w:cs="Arial"/>
          <w:sz w:val="20"/>
          <w:szCs w:val="20"/>
        </w:rPr>
        <w:t>A feed-forward Multilayer Perceptron (MLP) Artificial Neural Network (ANN) was developed to predict monthly Water Quality Index (WQI) values using hydro</w:t>
      </w:r>
      <w:r w:rsidR="00913DD5">
        <w:rPr>
          <w:rFonts w:ascii="Arial" w:hAnsi="Arial" w:cs="Arial"/>
          <w:sz w:val="20"/>
          <w:szCs w:val="20"/>
        </w:rPr>
        <w:t xml:space="preserve"> </w:t>
      </w:r>
      <w:r w:rsidRPr="001C2913">
        <w:rPr>
          <w:rFonts w:ascii="Arial" w:hAnsi="Arial" w:cs="Arial"/>
          <w:sz w:val="20"/>
          <w:szCs w:val="20"/>
        </w:rPr>
        <w:t>chemical parameters as inputs. The dataset comprised out of 468 samples, 390 monthly groundwater samples from 13 monitoring stations over a 30-month period taken as training</w:t>
      </w:r>
      <w:r w:rsidR="004F7AAE">
        <w:rPr>
          <w:rFonts w:ascii="Arial" w:hAnsi="Arial" w:cs="Arial"/>
          <w:sz w:val="20"/>
          <w:szCs w:val="20"/>
        </w:rPr>
        <w:t xml:space="preserve"> and validation</w:t>
      </w:r>
      <w:r w:rsidRPr="001C2913">
        <w:rPr>
          <w:rFonts w:ascii="Arial" w:hAnsi="Arial" w:cs="Arial"/>
          <w:sz w:val="20"/>
          <w:szCs w:val="20"/>
        </w:rPr>
        <w:t xml:space="preserve"> period. </w:t>
      </w:r>
      <w:r w:rsidR="004F7AAE">
        <w:rPr>
          <w:rFonts w:ascii="Arial" w:hAnsi="Arial" w:cs="Arial"/>
          <w:sz w:val="20"/>
          <w:szCs w:val="20"/>
        </w:rPr>
        <w:t xml:space="preserve">A period six of months was considered as testing period. </w:t>
      </w:r>
      <w:r w:rsidRPr="001C2913">
        <w:rPr>
          <w:rFonts w:ascii="Arial" w:hAnsi="Arial" w:cs="Arial"/>
          <w:sz w:val="20"/>
          <w:szCs w:val="20"/>
        </w:rPr>
        <w:t xml:space="preserve">The dataset was randomly divided using MATLAB’s random split default </w:t>
      </w:r>
      <w:proofErr w:type="spellStart"/>
      <w:r w:rsidRPr="001C2913">
        <w:rPr>
          <w:rStyle w:val="Emphasis"/>
          <w:rFonts w:ascii="Arial" w:eastAsiaTheme="majorEastAsia" w:hAnsi="Arial" w:cs="Arial"/>
          <w:sz w:val="20"/>
          <w:szCs w:val="20"/>
        </w:rPr>
        <w:t>dividerand</w:t>
      </w:r>
      <w:proofErr w:type="spellEnd"/>
      <w:r w:rsidRPr="001C2913">
        <w:rPr>
          <w:rFonts w:ascii="Arial" w:hAnsi="Arial" w:cs="Arial"/>
          <w:sz w:val="20"/>
          <w:szCs w:val="20"/>
        </w:rPr>
        <w:t xml:space="preserve"> function into training (70%, n = 273), validation (15%, n = 59), and testing (15%, n = 58) subsets. The validation subset was utilized for early stopping to control overfitting during training, whereas the testing subset was reserved exclusively for independent model evaluation.</w:t>
      </w:r>
    </w:p>
    <w:p w14:paraId="2B7A46CE" w14:textId="77777777" w:rsidR="00255D14" w:rsidRPr="001C2913" w:rsidRDefault="00255D14" w:rsidP="00255D14">
      <w:pPr>
        <w:pStyle w:val="NormalWeb"/>
        <w:jc w:val="both"/>
        <w:rPr>
          <w:rFonts w:ascii="Arial" w:hAnsi="Arial" w:cs="Arial"/>
          <w:sz w:val="20"/>
          <w:szCs w:val="20"/>
        </w:rPr>
      </w:pPr>
      <w:r w:rsidRPr="001C2913">
        <w:rPr>
          <w:rFonts w:ascii="Arial" w:hAnsi="Arial" w:cs="Arial"/>
          <w:sz w:val="20"/>
          <w:szCs w:val="20"/>
        </w:rPr>
        <w:t>Fifteen physicochemical parameters—pH, EC, TDS, Ca²</w:t>
      </w:r>
      <w:r w:rsidRPr="001C2913">
        <w:rPr>
          <w:rFonts w:ascii="Cambria Math" w:hAnsi="Cambria Math" w:cs="Arial"/>
          <w:sz w:val="20"/>
          <w:szCs w:val="20"/>
        </w:rPr>
        <w:t>⁺</w:t>
      </w:r>
      <w:r w:rsidRPr="001C2913">
        <w:rPr>
          <w:rFonts w:ascii="Arial" w:hAnsi="Arial" w:cs="Arial"/>
          <w:sz w:val="20"/>
          <w:szCs w:val="20"/>
        </w:rPr>
        <w:t>, Mg²</w:t>
      </w:r>
      <w:r w:rsidRPr="001C2913">
        <w:rPr>
          <w:rFonts w:ascii="Cambria Math" w:hAnsi="Cambria Math" w:cs="Arial"/>
          <w:sz w:val="20"/>
          <w:szCs w:val="20"/>
        </w:rPr>
        <w:t>⁺</w:t>
      </w:r>
      <w:r w:rsidRPr="001C2913">
        <w:rPr>
          <w:rFonts w:ascii="Arial" w:hAnsi="Arial" w:cs="Arial"/>
          <w:sz w:val="20"/>
          <w:szCs w:val="20"/>
        </w:rPr>
        <w:t>, Na</w:t>
      </w:r>
      <w:r w:rsidRPr="001C2913">
        <w:rPr>
          <w:rFonts w:ascii="Cambria Math" w:hAnsi="Cambria Math" w:cs="Arial"/>
          <w:sz w:val="20"/>
          <w:szCs w:val="20"/>
        </w:rPr>
        <w:t>⁺</w:t>
      </w:r>
      <w:r w:rsidRPr="001C2913">
        <w:rPr>
          <w:rFonts w:ascii="Arial" w:hAnsi="Arial" w:cs="Arial"/>
          <w:sz w:val="20"/>
          <w:szCs w:val="20"/>
        </w:rPr>
        <w:t>, K</w:t>
      </w:r>
      <w:r w:rsidRPr="001C2913">
        <w:rPr>
          <w:rFonts w:ascii="Cambria Math" w:hAnsi="Cambria Math" w:cs="Arial"/>
          <w:sz w:val="20"/>
          <w:szCs w:val="20"/>
        </w:rPr>
        <w:t>⁺</w:t>
      </w:r>
      <w:r w:rsidRPr="001C2913">
        <w:rPr>
          <w:rFonts w:ascii="Arial" w:hAnsi="Arial" w:cs="Arial"/>
          <w:sz w:val="20"/>
          <w:szCs w:val="20"/>
        </w:rPr>
        <w:t>, Cl</w:t>
      </w:r>
      <w:r w:rsidRPr="001C2913">
        <w:rPr>
          <w:rFonts w:ascii="Cambria Math" w:hAnsi="Cambria Math" w:cs="Arial"/>
          <w:sz w:val="20"/>
          <w:szCs w:val="20"/>
        </w:rPr>
        <w:t>⁻</w:t>
      </w:r>
      <w:r w:rsidRPr="001C2913">
        <w:rPr>
          <w:rFonts w:ascii="Arial" w:hAnsi="Arial" w:cs="Arial"/>
          <w:sz w:val="20"/>
          <w:szCs w:val="20"/>
        </w:rPr>
        <w:t>, SO</w:t>
      </w:r>
      <w:r w:rsidRPr="001C2913">
        <w:rPr>
          <w:rFonts w:ascii="Cambria Math" w:hAnsi="Cambria Math" w:cs="Arial"/>
          <w:sz w:val="20"/>
          <w:szCs w:val="20"/>
        </w:rPr>
        <w:t>₄</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HCO</w:t>
      </w:r>
      <w:r w:rsidRPr="001C2913">
        <w:rPr>
          <w:rFonts w:ascii="Cambria Math" w:hAnsi="Cambria Math" w:cs="Arial"/>
          <w:sz w:val="20"/>
          <w:szCs w:val="20"/>
        </w:rPr>
        <w:t>₃⁻</w:t>
      </w:r>
      <w:r w:rsidRPr="001C2913">
        <w:rPr>
          <w:rFonts w:ascii="Arial" w:hAnsi="Arial" w:cs="Arial"/>
          <w:sz w:val="20"/>
          <w:szCs w:val="20"/>
        </w:rPr>
        <w:t>, CO</w:t>
      </w:r>
      <w:r w:rsidRPr="001C2913">
        <w:rPr>
          <w:rFonts w:ascii="Cambria Math" w:hAnsi="Cambria Math" w:cs="Arial"/>
          <w:sz w:val="20"/>
          <w:szCs w:val="20"/>
        </w:rPr>
        <w:t>₃</w:t>
      </w:r>
      <w:r w:rsidRPr="001C2913">
        <w:rPr>
          <w:rFonts w:ascii="Arial" w:hAnsi="Arial" w:cs="Arial"/>
          <w:sz w:val="20"/>
          <w:szCs w:val="20"/>
        </w:rPr>
        <w:t>²</w:t>
      </w:r>
      <w:r w:rsidRPr="001C2913">
        <w:rPr>
          <w:rFonts w:ascii="Cambria Math" w:hAnsi="Cambria Math" w:cs="Arial"/>
          <w:sz w:val="20"/>
          <w:szCs w:val="20"/>
        </w:rPr>
        <w:t>⁻</w:t>
      </w:r>
      <w:r w:rsidRPr="001C2913">
        <w:rPr>
          <w:rFonts w:ascii="Arial" w:hAnsi="Arial" w:cs="Arial"/>
          <w:sz w:val="20"/>
          <w:szCs w:val="20"/>
        </w:rPr>
        <w:t>, NO</w:t>
      </w:r>
      <w:r w:rsidRPr="001C2913">
        <w:rPr>
          <w:rFonts w:ascii="Cambria Math" w:hAnsi="Cambria Math" w:cs="Arial"/>
          <w:sz w:val="20"/>
          <w:szCs w:val="20"/>
        </w:rPr>
        <w:t>₃⁻</w:t>
      </w:r>
      <w:r w:rsidRPr="001C2913">
        <w:rPr>
          <w:rFonts w:ascii="Arial" w:hAnsi="Arial" w:cs="Arial"/>
          <w:sz w:val="20"/>
          <w:szCs w:val="20"/>
        </w:rPr>
        <w:t>, F</w:t>
      </w:r>
      <w:r w:rsidRPr="001C2913">
        <w:rPr>
          <w:rFonts w:ascii="Cambria Math" w:hAnsi="Cambria Math" w:cs="Arial"/>
          <w:sz w:val="20"/>
          <w:szCs w:val="20"/>
        </w:rPr>
        <w:t>⁻</w:t>
      </w:r>
      <w:r w:rsidRPr="001C2913">
        <w:rPr>
          <w:rFonts w:ascii="Arial" w:hAnsi="Arial" w:cs="Arial"/>
          <w:sz w:val="20"/>
          <w:szCs w:val="20"/>
        </w:rPr>
        <w:t xml:space="preserve">, Total </w:t>
      </w:r>
      <w:proofErr w:type="gramStart"/>
      <w:r w:rsidRPr="001C2913">
        <w:rPr>
          <w:rFonts w:ascii="Arial" w:hAnsi="Arial" w:cs="Arial"/>
          <w:sz w:val="20"/>
          <w:szCs w:val="20"/>
        </w:rPr>
        <w:t>Hardness</w:t>
      </w:r>
      <w:r w:rsidR="0096118C">
        <w:rPr>
          <w:rFonts w:ascii="Arial" w:hAnsi="Arial" w:cs="Arial"/>
          <w:sz w:val="20"/>
          <w:szCs w:val="20"/>
        </w:rPr>
        <w:t>(</w:t>
      </w:r>
      <w:proofErr w:type="gramEnd"/>
      <w:r w:rsidR="0096118C">
        <w:rPr>
          <w:rFonts w:ascii="Arial" w:hAnsi="Arial" w:cs="Arial"/>
          <w:sz w:val="20"/>
          <w:szCs w:val="20"/>
        </w:rPr>
        <w:t xml:space="preserve">TH) </w:t>
      </w:r>
      <w:r w:rsidRPr="001C2913">
        <w:rPr>
          <w:rFonts w:ascii="Arial" w:hAnsi="Arial" w:cs="Arial"/>
          <w:sz w:val="20"/>
          <w:szCs w:val="20"/>
        </w:rPr>
        <w:t>, and Total Alkalinity</w:t>
      </w:r>
      <w:r w:rsidR="0096118C">
        <w:rPr>
          <w:rFonts w:ascii="Arial" w:hAnsi="Arial" w:cs="Arial"/>
          <w:sz w:val="20"/>
          <w:szCs w:val="20"/>
        </w:rPr>
        <w:t>(TA)</w:t>
      </w:r>
      <w:r w:rsidR="00405D69">
        <w:rPr>
          <w:rFonts w:ascii="Arial" w:hAnsi="Arial" w:cs="Arial"/>
          <w:sz w:val="20"/>
          <w:szCs w:val="20"/>
        </w:rPr>
        <w:t xml:space="preserve"> </w:t>
      </w:r>
      <w:r w:rsidRPr="001C2913">
        <w:rPr>
          <w:rFonts w:ascii="Arial" w:hAnsi="Arial" w:cs="Arial"/>
          <w:sz w:val="20"/>
          <w:szCs w:val="20"/>
        </w:rPr>
        <w:t>—served as input neurons, and the calculated WQI was treated as the single output neuron. Prior to model development, all input variables were normalized to the range of 0–1 using min–max scaling to enhance training efficiency and numerical stability.</w:t>
      </w:r>
    </w:p>
    <w:p w14:paraId="0CFB1166" w14:textId="77777777" w:rsidR="00255D14" w:rsidRPr="001C2913" w:rsidRDefault="00255D14" w:rsidP="00255D14">
      <w:pPr>
        <w:pStyle w:val="NormalWeb"/>
        <w:jc w:val="both"/>
        <w:rPr>
          <w:rFonts w:ascii="Arial" w:hAnsi="Arial" w:cs="Arial"/>
          <w:sz w:val="20"/>
          <w:szCs w:val="20"/>
        </w:rPr>
      </w:pPr>
      <w:r w:rsidRPr="001C2913">
        <w:rPr>
          <w:rFonts w:ascii="Arial" w:hAnsi="Arial" w:cs="Arial"/>
          <w:sz w:val="20"/>
          <w:szCs w:val="20"/>
        </w:rPr>
        <w:t>The optimized ANN architecture</w:t>
      </w:r>
      <w:r w:rsidR="00AF4524" w:rsidRPr="001C2913">
        <w:rPr>
          <w:rFonts w:ascii="Arial" w:hAnsi="Arial" w:cs="Arial"/>
          <w:sz w:val="20"/>
          <w:szCs w:val="20"/>
        </w:rPr>
        <w:t xml:space="preserve"> (</w:t>
      </w:r>
      <w:r w:rsidR="00AF4524" w:rsidRPr="001C2913">
        <w:rPr>
          <w:rFonts w:ascii="Arial" w:hAnsi="Arial" w:cs="Arial"/>
          <w:b/>
          <w:bCs/>
          <w:sz w:val="20"/>
          <w:szCs w:val="20"/>
        </w:rPr>
        <w:t>Fig.2</w:t>
      </w:r>
      <w:r w:rsidR="00AF4524" w:rsidRPr="001C2913">
        <w:rPr>
          <w:rFonts w:ascii="Arial" w:hAnsi="Arial" w:cs="Arial"/>
          <w:sz w:val="20"/>
          <w:szCs w:val="20"/>
        </w:rPr>
        <w:t>)</w:t>
      </w:r>
      <w:r w:rsidRPr="001C2913">
        <w:rPr>
          <w:rFonts w:ascii="Arial" w:hAnsi="Arial" w:cs="Arial"/>
          <w:sz w:val="20"/>
          <w:szCs w:val="20"/>
        </w:rPr>
        <w:t xml:space="preserve"> consisted of 15 input neurons, one hidden layer containing 5 neurons, and one output neuron (15–5–1 configuration).</w:t>
      </w:r>
      <w:r w:rsidR="00405D69">
        <w:rPr>
          <w:rFonts w:ascii="Arial" w:hAnsi="Arial" w:cs="Arial"/>
          <w:sz w:val="20"/>
          <w:szCs w:val="20"/>
        </w:rPr>
        <w:t xml:space="preserve"> </w:t>
      </w:r>
      <w:r w:rsidRPr="001C2913">
        <w:rPr>
          <w:rFonts w:ascii="Arial" w:hAnsi="Arial" w:cs="Arial"/>
          <w:sz w:val="20"/>
          <w:szCs w:val="20"/>
        </w:rPr>
        <w:t xml:space="preserve"> A tangent sigmoid (</w:t>
      </w:r>
      <w:proofErr w:type="spellStart"/>
      <w:r w:rsidRPr="001C2913">
        <w:rPr>
          <w:rFonts w:ascii="Arial" w:hAnsi="Arial" w:cs="Arial"/>
          <w:sz w:val="20"/>
          <w:szCs w:val="20"/>
        </w:rPr>
        <w:t>tansig</w:t>
      </w:r>
      <w:proofErr w:type="spellEnd"/>
      <w:r w:rsidRPr="001C2913">
        <w:rPr>
          <w:rFonts w:ascii="Arial" w:hAnsi="Arial" w:cs="Arial"/>
          <w:sz w:val="20"/>
          <w:szCs w:val="20"/>
        </w:rPr>
        <w:t xml:space="preserve">) activation function was employed in the hidden layer to model nonlinear relationships among the </w:t>
      </w:r>
      <w:r w:rsidR="00DB0F05" w:rsidRPr="001C2913">
        <w:rPr>
          <w:rFonts w:ascii="Arial" w:hAnsi="Arial" w:cs="Arial"/>
          <w:sz w:val="20"/>
          <w:szCs w:val="20"/>
        </w:rPr>
        <w:t>hydro chemical</w:t>
      </w:r>
      <w:r w:rsidRPr="001C2913">
        <w:rPr>
          <w:rFonts w:ascii="Arial" w:hAnsi="Arial" w:cs="Arial"/>
          <w:sz w:val="20"/>
          <w:szCs w:val="20"/>
        </w:rPr>
        <w:t xml:space="preserve"> variables, while a linear (</w:t>
      </w:r>
      <w:proofErr w:type="spellStart"/>
      <w:r w:rsidRPr="001C2913">
        <w:rPr>
          <w:rFonts w:ascii="Arial" w:hAnsi="Arial" w:cs="Arial"/>
          <w:sz w:val="20"/>
          <w:szCs w:val="20"/>
        </w:rPr>
        <w:t>purelin</w:t>
      </w:r>
      <w:proofErr w:type="spellEnd"/>
      <w:r w:rsidRPr="001C2913">
        <w:rPr>
          <w:rFonts w:ascii="Arial" w:hAnsi="Arial" w:cs="Arial"/>
          <w:sz w:val="20"/>
          <w:szCs w:val="20"/>
        </w:rPr>
        <w:t>) function was applied at the output layer to generate continuous WQI predictions.</w:t>
      </w:r>
    </w:p>
    <w:p w14:paraId="16D73FA3" w14:textId="77777777" w:rsidR="00F140FB" w:rsidRPr="001C2913" w:rsidRDefault="00F140FB" w:rsidP="00F140FB">
      <w:pPr>
        <w:pStyle w:val="NormalWeb"/>
        <w:jc w:val="both"/>
        <w:rPr>
          <w:rFonts w:ascii="Arial" w:hAnsi="Arial" w:cs="Arial"/>
          <w:sz w:val="20"/>
          <w:szCs w:val="20"/>
        </w:rPr>
      </w:pPr>
      <w:r w:rsidRPr="001C2913">
        <w:rPr>
          <w:rFonts w:ascii="Arial" w:hAnsi="Arial" w:cs="Arial"/>
          <w:sz w:val="20"/>
          <w:szCs w:val="20"/>
        </w:rPr>
        <w:t>The selection of hidden neurons was performed through iterative trials by testing networks with 3 to 10 neurons and comparing validation errors. The configuration chose with five hidden neurons the best balance between prediction accuracy and generalization performance. Increasing the number of neurons beyond five did not significantly reduce validation error and posed a greater risk of overfitting.</w:t>
      </w:r>
    </w:p>
    <w:p w14:paraId="5AB111ED" w14:textId="77777777" w:rsidR="00F140FB" w:rsidRDefault="00F140FB" w:rsidP="00F140FB">
      <w:pPr>
        <w:pStyle w:val="NormalWeb"/>
        <w:jc w:val="both"/>
        <w:rPr>
          <w:rFonts w:ascii="Arial" w:hAnsi="Arial" w:cs="Arial"/>
          <w:sz w:val="20"/>
          <w:szCs w:val="20"/>
        </w:rPr>
      </w:pPr>
      <w:r w:rsidRPr="001C2913">
        <w:rPr>
          <w:rFonts w:ascii="Arial" w:hAnsi="Arial" w:cs="Arial"/>
          <w:sz w:val="20"/>
          <w:szCs w:val="20"/>
        </w:rPr>
        <w:t>Training was carried out using the Levenberg–Marquardt backpropagation algorithm (</w:t>
      </w:r>
      <w:proofErr w:type="spellStart"/>
      <w:r w:rsidRPr="001C2913">
        <w:rPr>
          <w:rStyle w:val="Emphasis"/>
          <w:rFonts w:ascii="Arial" w:eastAsiaTheme="majorEastAsia" w:hAnsi="Arial" w:cs="Arial"/>
          <w:sz w:val="20"/>
          <w:szCs w:val="20"/>
        </w:rPr>
        <w:t>trainlm</w:t>
      </w:r>
      <w:proofErr w:type="spellEnd"/>
      <w:r w:rsidRPr="001C2913">
        <w:rPr>
          <w:rFonts w:ascii="Arial" w:hAnsi="Arial" w:cs="Arial"/>
          <w:sz w:val="20"/>
          <w:szCs w:val="20"/>
        </w:rPr>
        <w:t>) available in the Neural Network Toolbox of MATLAB (R2023a, MathWorks Inc., USA), chosen for its rapid convergence with moderate-sized datasets. The final model comprised 86 adjustable parameters, which is substantially lower than the number of training samples (n = 273), thereby ensuring statistical adequacy and limiting over-parameterization.</w:t>
      </w:r>
    </w:p>
    <w:p w14:paraId="56099666" w14:textId="77777777" w:rsidR="00F140FB" w:rsidRPr="001C2913" w:rsidRDefault="00F140FB" w:rsidP="00F140FB">
      <w:pPr>
        <w:pStyle w:val="NormalWeb"/>
        <w:jc w:val="both"/>
        <w:rPr>
          <w:rFonts w:ascii="Arial" w:hAnsi="Arial" w:cs="Arial"/>
          <w:sz w:val="20"/>
          <w:szCs w:val="20"/>
        </w:rPr>
      </w:pPr>
      <w:r w:rsidRPr="001C2913">
        <w:rPr>
          <w:rFonts w:ascii="Arial" w:hAnsi="Arial" w:cs="Arial"/>
          <w:sz w:val="20"/>
          <w:szCs w:val="20"/>
        </w:rPr>
        <w:lastRenderedPageBreak/>
        <w:t>Model performance was assessed using the coefficient of determination (R²), root mean square error (RMSE), mean absolute error (MAE), and mean bias error (MBE), to comprehensively evaluate model accuracy and predictive capability.</w:t>
      </w:r>
      <w:r w:rsidR="00405D69">
        <w:rPr>
          <w:rFonts w:ascii="Arial" w:hAnsi="Arial" w:cs="Arial"/>
          <w:sz w:val="20"/>
          <w:szCs w:val="20"/>
        </w:rPr>
        <w:t xml:space="preserve"> The performance indicators are calculated using below equations. </w:t>
      </w:r>
    </w:p>
    <w:p w14:paraId="48DBB713" w14:textId="77777777" w:rsidR="00F140FB" w:rsidRPr="000470FD" w:rsidRDefault="00F140FB" w:rsidP="00F140FB">
      <w:pPr>
        <w:pStyle w:val="Heading3"/>
        <w:spacing w:before="0"/>
        <w:rPr>
          <w:rFonts w:ascii="Arial" w:hAnsi="Arial" w:cs="Arial"/>
          <w:color w:val="auto"/>
          <w:sz w:val="20"/>
          <w:szCs w:val="20"/>
        </w:rPr>
      </w:pPr>
      <w:r w:rsidRPr="000470FD">
        <w:rPr>
          <w:rFonts w:ascii="Arial" w:hAnsi="Arial" w:cs="Arial"/>
          <w:color w:val="auto"/>
          <w:sz w:val="20"/>
          <w:szCs w:val="20"/>
        </w:rPr>
        <w:t>Model Performance Evaluation indicators</w:t>
      </w:r>
    </w:p>
    <w:p w14:paraId="300B1C96" w14:textId="77777777" w:rsidR="00F140FB" w:rsidRPr="000470FD" w:rsidRDefault="00F140FB" w:rsidP="00F140FB">
      <w:pPr>
        <w:pStyle w:val="NormalWeb"/>
        <w:spacing w:before="0" w:beforeAutospacing="0"/>
        <w:rPr>
          <w:rFonts w:ascii="Arial" w:hAnsi="Arial" w:cs="Arial"/>
          <w:sz w:val="20"/>
          <w:szCs w:val="20"/>
        </w:rPr>
      </w:pPr>
      <w:r w:rsidRPr="000470FD">
        <w:rPr>
          <w:rFonts w:ascii="Arial" w:hAnsi="Arial" w:cs="Arial"/>
          <w:sz w:val="20"/>
          <w:szCs w:val="20"/>
        </w:rPr>
        <w:t>Model performance was evaluated using the equations</w:t>
      </w:r>
      <w:r w:rsidR="008608A9">
        <w:rPr>
          <w:rFonts w:ascii="Arial" w:hAnsi="Arial" w:cs="Arial"/>
          <w:sz w:val="20"/>
          <w:szCs w:val="20"/>
        </w:rPr>
        <w:t xml:space="preserve"> (</w:t>
      </w:r>
      <w:r w:rsidR="00BB64A8">
        <w:rPr>
          <w:rFonts w:ascii="Arial" w:hAnsi="Arial" w:cs="Arial"/>
          <w:sz w:val="20"/>
          <w:szCs w:val="20"/>
        </w:rPr>
        <w:t>E</w:t>
      </w:r>
      <w:r w:rsidR="008608A9" w:rsidRPr="008608A9">
        <w:rPr>
          <w:rFonts w:ascii="Arial" w:hAnsi="Arial" w:cs="Arial"/>
          <w:b/>
          <w:bCs/>
          <w:sz w:val="20"/>
          <w:szCs w:val="20"/>
        </w:rPr>
        <w:t>q.</w:t>
      </w:r>
      <w:r w:rsidR="00BB64A8">
        <w:rPr>
          <w:rFonts w:ascii="Arial" w:hAnsi="Arial" w:cs="Arial"/>
          <w:b/>
          <w:bCs/>
          <w:sz w:val="20"/>
          <w:szCs w:val="20"/>
        </w:rPr>
        <w:t>5</w:t>
      </w:r>
      <w:r w:rsidR="008608A9" w:rsidRPr="008608A9">
        <w:rPr>
          <w:rFonts w:ascii="Arial" w:hAnsi="Arial" w:cs="Arial"/>
          <w:b/>
          <w:bCs/>
          <w:sz w:val="20"/>
          <w:szCs w:val="20"/>
        </w:rPr>
        <w:t xml:space="preserve"> </w:t>
      </w:r>
      <w:r w:rsidR="00BB64A8">
        <w:rPr>
          <w:rFonts w:ascii="Arial" w:hAnsi="Arial" w:cs="Arial"/>
          <w:b/>
          <w:bCs/>
          <w:sz w:val="20"/>
          <w:szCs w:val="20"/>
        </w:rPr>
        <w:t>– Eq. 8</w:t>
      </w:r>
      <w:r w:rsidR="008608A9">
        <w:rPr>
          <w:rFonts w:ascii="Arial" w:hAnsi="Arial" w:cs="Arial"/>
          <w:sz w:val="20"/>
          <w:szCs w:val="20"/>
        </w:rPr>
        <w:t>) presented below</w:t>
      </w:r>
      <w:r w:rsidRPr="000470FD">
        <w:rPr>
          <w:rFonts w:ascii="Arial" w:hAnsi="Arial" w:cs="Arial"/>
          <w:sz w:val="20"/>
          <w:szCs w:val="20"/>
        </w:rPr>
        <w:t xml:space="preserve">. </w:t>
      </w:r>
    </w:p>
    <w:p w14:paraId="35546150" w14:textId="77777777" w:rsidR="00F140FB" w:rsidRPr="000470FD" w:rsidRDefault="00F140FB" w:rsidP="00F140FB">
      <w:pPr>
        <w:pStyle w:val="Heading3"/>
        <w:spacing w:before="0"/>
        <w:rPr>
          <w:rFonts w:ascii="Arial" w:hAnsi="Arial" w:cs="Arial"/>
          <w:color w:val="auto"/>
          <w:sz w:val="20"/>
          <w:szCs w:val="20"/>
        </w:rPr>
      </w:pPr>
      <w:r w:rsidRPr="000470FD">
        <w:rPr>
          <w:rStyle w:val="Strong"/>
          <w:rFonts w:ascii="Arial" w:hAnsi="Arial" w:cs="Arial"/>
          <w:b/>
          <w:bCs/>
          <w:color w:val="auto"/>
          <w:sz w:val="20"/>
          <w:szCs w:val="20"/>
        </w:rPr>
        <w:t>Coefficient of Determination</w:t>
      </w:r>
    </w:p>
    <w:p w14:paraId="01260419" w14:textId="77777777" w:rsidR="00F140FB" w:rsidRPr="008608A9" w:rsidRDefault="00F140FB" w:rsidP="00F140FB">
      <w:pPr>
        <w:pStyle w:val="NormalWeb"/>
        <w:spacing w:before="0" w:beforeAutospacing="0"/>
        <w:rPr>
          <w:rFonts w:ascii="Arial" w:hAnsi="Arial" w:cs="Arial"/>
          <w:bCs/>
          <w:sz w:val="20"/>
          <w:szCs w:val="20"/>
        </w:rPr>
      </w:pPr>
      <w:r w:rsidRPr="000470FD">
        <w:rPr>
          <w:rStyle w:val="Strong"/>
          <w:rFonts w:ascii="Arial" w:hAnsi="Arial" w:cs="Arial"/>
          <w:b w:val="0"/>
          <w:sz w:val="20"/>
          <w:szCs w:val="20"/>
        </w:rPr>
        <w:t>R² = 1 − [</w:t>
      </w:r>
      <w:proofErr w:type="gramStart"/>
      <w:r w:rsidRPr="000470FD">
        <w:rPr>
          <w:rStyle w:val="Strong"/>
          <w:rFonts w:ascii="Arial" w:hAnsi="Arial" w:cs="Arial"/>
          <w:b w:val="0"/>
          <w:sz w:val="20"/>
          <w:szCs w:val="20"/>
        </w:rPr>
        <w:t>Σ(</w:t>
      </w:r>
      <w:proofErr w:type="gramEnd"/>
      <w:r w:rsidRPr="000470FD">
        <w:rPr>
          <w:rStyle w:val="Strong"/>
          <w:rFonts w:ascii="Arial" w:hAnsi="Arial" w:cs="Arial"/>
          <w:b w:val="0"/>
          <w:sz w:val="20"/>
          <w:szCs w:val="20"/>
        </w:rPr>
        <w:t>Oi − Pi)² / Σ(Oi − Ō)²]</w:t>
      </w:r>
      <w:r w:rsidR="008608A9">
        <w:rPr>
          <w:rStyle w:val="Strong"/>
          <w:rFonts w:ascii="Arial" w:hAnsi="Arial" w:cs="Arial"/>
          <w:b w:val="0"/>
          <w:sz w:val="20"/>
          <w:szCs w:val="20"/>
        </w:rPr>
        <w:t xml:space="preserve">   </w:t>
      </w:r>
      <w:r w:rsidR="008608A9" w:rsidRPr="008608A9">
        <w:rPr>
          <w:rStyle w:val="Strong"/>
          <w:rFonts w:ascii="Arial" w:hAnsi="Arial" w:cs="Arial"/>
          <w:bCs w:val="0"/>
          <w:sz w:val="20"/>
          <w:szCs w:val="20"/>
        </w:rPr>
        <w:t xml:space="preserve">  </w:t>
      </w:r>
      <w:r w:rsidR="00FC034C">
        <w:rPr>
          <w:rStyle w:val="Strong"/>
          <w:rFonts w:ascii="Arial" w:hAnsi="Arial" w:cs="Arial"/>
          <w:bCs w:val="0"/>
          <w:sz w:val="20"/>
          <w:szCs w:val="20"/>
        </w:rPr>
        <w:t>(</w:t>
      </w:r>
      <w:r w:rsidR="008608A9" w:rsidRPr="008608A9">
        <w:rPr>
          <w:rStyle w:val="Strong"/>
          <w:rFonts w:ascii="Arial" w:hAnsi="Arial" w:cs="Arial"/>
          <w:bCs w:val="0"/>
          <w:sz w:val="20"/>
          <w:szCs w:val="20"/>
        </w:rPr>
        <w:t xml:space="preserve">Eq. </w:t>
      </w:r>
      <w:r w:rsidR="00BB64A8">
        <w:rPr>
          <w:rStyle w:val="Strong"/>
          <w:rFonts w:ascii="Arial" w:hAnsi="Arial" w:cs="Arial"/>
          <w:bCs w:val="0"/>
          <w:sz w:val="20"/>
          <w:szCs w:val="20"/>
        </w:rPr>
        <w:t>5</w:t>
      </w:r>
      <w:r w:rsidR="00FC034C">
        <w:rPr>
          <w:rStyle w:val="Strong"/>
          <w:rFonts w:ascii="Arial" w:hAnsi="Arial" w:cs="Arial"/>
          <w:bCs w:val="0"/>
          <w:sz w:val="20"/>
          <w:szCs w:val="20"/>
        </w:rPr>
        <w:t>)</w:t>
      </w:r>
    </w:p>
    <w:p w14:paraId="2A77D1E1" w14:textId="77777777" w:rsidR="00F140FB" w:rsidRPr="000470FD" w:rsidRDefault="00F140FB" w:rsidP="00F140FB">
      <w:pPr>
        <w:pStyle w:val="Heading3"/>
        <w:spacing w:before="0"/>
        <w:rPr>
          <w:rFonts w:ascii="Arial" w:hAnsi="Arial" w:cs="Arial"/>
          <w:color w:val="auto"/>
          <w:sz w:val="20"/>
          <w:szCs w:val="20"/>
        </w:rPr>
      </w:pPr>
      <w:r w:rsidRPr="000470FD">
        <w:rPr>
          <w:rStyle w:val="Strong"/>
          <w:rFonts w:ascii="Arial" w:hAnsi="Arial" w:cs="Arial"/>
          <w:b/>
          <w:bCs/>
          <w:color w:val="auto"/>
          <w:sz w:val="20"/>
          <w:szCs w:val="20"/>
        </w:rPr>
        <w:t>Root Mean Square Error</w:t>
      </w:r>
    </w:p>
    <w:p w14:paraId="51BB7151" w14:textId="77777777" w:rsidR="00F140FB" w:rsidRPr="008608A9" w:rsidRDefault="00F140FB" w:rsidP="00F140FB">
      <w:pPr>
        <w:pStyle w:val="NormalWeb"/>
        <w:spacing w:before="0" w:beforeAutospacing="0"/>
        <w:rPr>
          <w:rFonts w:ascii="Arial" w:hAnsi="Arial" w:cs="Arial"/>
          <w:bCs/>
          <w:sz w:val="20"/>
          <w:szCs w:val="20"/>
        </w:rPr>
      </w:pPr>
      <w:r w:rsidRPr="000470FD">
        <w:rPr>
          <w:rStyle w:val="Strong"/>
          <w:rFonts w:ascii="Arial" w:hAnsi="Arial" w:cs="Arial"/>
          <w:b w:val="0"/>
          <w:sz w:val="20"/>
          <w:szCs w:val="20"/>
        </w:rPr>
        <w:t xml:space="preserve">RMSE = √[(1/n) </w:t>
      </w:r>
      <w:proofErr w:type="gramStart"/>
      <w:r w:rsidRPr="000470FD">
        <w:rPr>
          <w:rStyle w:val="Strong"/>
          <w:rFonts w:ascii="Arial" w:hAnsi="Arial" w:cs="Arial"/>
          <w:b w:val="0"/>
          <w:sz w:val="20"/>
          <w:szCs w:val="20"/>
        </w:rPr>
        <w:t>Σ(</w:t>
      </w:r>
      <w:proofErr w:type="gramEnd"/>
      <w:r w:rsidRPr="000470FD">
        <w:rPr>
          <w:rStyle w:val="Strong"/>
          <w:rFonts w:ascii="Arial" w:hAnsi="Arial" w:cs="Arial"/>
          <w:b w:val="0"/>
          <w:sz w:val="20"/>
          <w:szCs w:val="20"/>
        </w:rPr>
        <w:t>Oi − Pi)²]</w:t>
      </w:r>
      <w:r w:rsidR="008608A9">
        <w:rPr>
          <w:rStyle w:val="Strong"/>
          <w:rFonts w:ascii="Arial" w:hAnsi="Arial" w:cs="Arial"/>
          <w:b w:val="0"/>
          <w:sz w:val="20"/>
          <w:szCs w:val="20"/>
        </w:rPr>
        <w:t xml:space="preserve">            </w:t>
      </w:r>
      <w:r w:rsidR="00FC034C">
        <w:rPr>
          <w:rStyle w:val="Strong"/>
          <w:rFonts w:ascii="Arial" w:hAnsi="Arial" w:cs="Arial"/>
          <w:b w:val="0"/>
          <w:sz w:val="20"/>
          <w:szCs w:val="20"/>
        </w:rPr>
        <w:t>(Eq</w:t>
      </w:r>
      <w:r w:rsidR="008608A9" w:rsidRPr="008608A9">
        <w:rPr>
          <w:rStyle w:val="Strong"/>
          <w:rFonts w:ascii="Arial" w:hAnsi="Arial" w:cs="Arial"/>
          <w:bCs w:val="0"/>
          <w:sz w:val="20"/>
          <w:szCs w:val="20"/>
        </w:rPr>
        <w:t xml:space="preserve">. </w:t>
      </w:r>
      <w:r w:rsidR="00BB64A8">
        <w:rPr>
          <w:rStyle w:val="Strong"/>
          <w:rFonts w:ascii="Arial" w:hAnsi="Arial" w:cs="Arial"/>
          <w:bCs w:val="0"/>
          <w:sz w:val="20"/>
          <w:szCs w:val="20"/>
        </w:rPr>
        <w:t>6</w:t>
      </w:r>
      <w:r w:rsidR="00FC034C">
        <w:rPr>
          <w:rStyle w:val="Strong"/>
          <w:rFonts w:ascii="Arial" w:hAnsi="Arial" w:cs="Arial"/>
          <w:bCs w:val="0"/>
          <w:sz w:val="20"/>
          <w:szCs w:val="20"/>
        </w:rPr>
        <w:t>)</w:t>
      </w:r>
    </w:p>
    <w:p w14:paraId="1EF707D5" w14:textId="77777777" w:rsidR="00F140FB" w:rsidRPr="000470FD" w:rsidRDefault="00F140FB" w:rsidP="00F140FB">
      <w:pPr>
        <w:pStyle w:val="Heading3"/>
        <w:spacing w:before="0"/>
        <w:rPr>
          <w:rFonts w:ascii="Arial" w:hAnsi="Arial" w:cs="Arial"/>
          <w:color w:val="auto"/>
          <w:sz w:val="20"/>
          <w:szCs w:val="20"/>
        </w:rPr>
      </w:pPr>
      <w:r w:rsidRPr="000470FD">
        <w:rPr>
          <w:rStyle w:val="Strong"/>
          <w:rFonts w:ascii="Arial" w:hAnsi="Arial" w:cs="Arial"/>
          <w:b/>
          <w:bCs/>
          <w:color w:val="auto"/>
          <w:sz w:val="20"/>
          <w:szCs w:val="20"/>
        </w:rPr>
        <w:t>Mean Absolute Error</w:t>
      </w:r>
    </w:p>
    <w:p w14:paraId="05F4389F" w14:textId="77777777" w:rsidR="00F140FB" w:rsidRPr="008608A9" w:rsidRDefault="00F140FB" w:rsidP="00F140FB">
      <w:pPr>
        <w:pStyle w:val="NormalWeb"/>
        <w:spacing w:before="0" w:beforeAutospacing="0"/>
        <w:rPr>
          <w:rStyle w:val="Strong"/>
          <w:rFonts w:ascii="Arial" w:hAnsi="Arial" w:cs="Arial"/>
          <w:bCs w:val="0"/>
          <w:sz w:val="20"/>
          <w:szCs w:val="20"/>
        </w:rPr>
      </w:pPr>
      <w:r w:rsidRPr="000470FD">
        <w:rPr>
          <w:rStyle w:val="Strong"/>
          <w:rFonts w:ascii="Arial" w:hAnsi="Arial" w:cs="Arial"/>
          <w:b w:val="0"/>
          <w:sz w:val="20"/>
          <w:szCs w:val="20"/>
        </w:rPr>
        <w:t xml:space="preserve">MAE = (1/n) </w:t>
      </w:r>
      <w:proofErr w:type="spellStart"/>
      <w:r w:rsidRPr="000470FD">
        <w:rPr>
          <w:rStyle w:val="Strong"/>
          <w:rFonts w:ascii="Arial" w:hAnsi="Arial" w:cs="Arial"/>
          <w:b w:val="0"/>
          <w:sz w:val="20"/>
          <w:szCs w:val="20"/>
        </w:rPr>
        <w:t>Σ|Oi</w:t>
      </w:r>
      <w:proofErr w:type="spellEnd"/>
      <w:r w:rsidRPr="000470FD">
        <w:rPr>
          <w:rStyle w:val="Strong"/>
          <w:rFonts w:ascii="Arial" w:hAnsi="Arial" w:cs="Arial"/>
          <w:b w:val="0"/>
          <w:sz w:val="20"/>
          <w:szCs w:val="20"/>
        </w:rPr>
        <w:t xml:space="preserve"> − Pi|</w:t>
      </w:r>
      <w:r w:rsidR="008608A9">
        <w:rPr>
          <w:rStyle w:val="Strong"/>
          <w:rFonts w:ascii="Arial" w:hAnsi="Arial" w:cs="Arial"/>
          <w:b w:val="0"/>
          <w:sz w:val="20"/>
          <w:szCs w:val="20"/>
        </w:rPr>
        <w:t xml:space="preserve">        </w:t>
      </w:r>
      <w:proofErr w:type="gramStart"/>
      <w:r w:rsidR="008608A9">
        <w:rPr>
          <w:rStyle w:val="Strong"/>
          <w:rFonts w:ascii="Arial" w:hAnsi="Arial" w:cs="Arial"/>
          <w:b w:val="0"/>
          <w:sz w:val="20"/>
          <w:szCs w:val="20"/>
        </w:rPr>
        <w:t xml:space="preserve">   </w:t>
      </w:r>
      <w:r w:rsidR="00FC034C">
        <w:rPr>
          <w:rStyle w:val="Strong"/>
          <w:rFonts w:ascii="Arial" w:hAnsi="Arial" w:cs="Arial"/>
          <w:b w:val="0"/>
          <w:sz w:val="20"/>
          <w:szCs w:val="20"/>
        </w:rPr>
        <w:t>(</w:t>
      </w:r>
      <w:proofErr w:type="gramEnd"/>
      <w:r w:rsidR="00FC034C">
        <w:rPr>
          <w:rStyle w:val="Strong"/>
          <w:rFonts w:ascii="Arial" w:hAnsi="Arial" w:cs="Arial"/>
          <w:b w:val="0"/>
          <w:sz w:val="20"/>
          <w:szCs w:val="20"/>
        </w:rPr>
        <w:t>Eq</w:t>
      </w:r>
      <w:r w:rsidR="008608A9" w:rsidRPr="008608A9">
        <w:rPr>
          <w:rStyle w:val="Strong"/>
          <w:rFonts w:ascii="Arial" w:hAnsi="Arial" w:cs="Arial"/>
          <w:bCs w:val="0"/>
          <w:sz w:val="20"/>
          <w:szCs w:val="20"/>
        </w:rPr>
        <w:t xml:space="preserve">. </w:t>
      </w:r>
      <w:r w:rsidR="00BB64A8">
        <w:rPr>
          <w:rStyle w:val="Strong"/>
          <w:rFonts w:ascii="Arial" w:hAnsi="Arial" w:cs="Arial"/>
          <w:bCs w:val="0"/>
          <w:sz w:val="20"/>
          <w:szCs w:val="20"/>
        </w:rPr>
        <w:t>7</w:t>
      </w:r>
      <w:r w:rsidR="00FC034C">
        <w:rPr>
          <w:rStyle w:val="Strong"/>
          <w:rFonts w:ascii="Arial" w:hAnsi="Arial" w:cs="Arial"/>
          <w:bCs w:val="0"/>
          <w:sz w:val="20"/>
          <w:szCs w:val="20"/>
        </w:rPr>
        <w:t>)</w:t>
      </w:r>
    </w:p>
    <w:p w14:paraId="052CCEC2" w14:textId="77777777" w:rsidR="008608A9" w:rsidRPr="008608A9" w:rsidRDefault="008608A9" w:rsidP="00F140FB">
      <w:pPr>
        <w:rPr>
          <w:rStyle w:val="Strong"/>
          <w:rFonts w:ascii="Arial" w:hAnsi="Arial" w:cs="Arial"/>
          <w:bCs w:val="0"/>
          <w:sz w:val="20"/>
          <w:szCs w:val="20"/>
        </w:rPr>
      </w:pPr>
      <w:r w:rsidRPr="008608A9">
        <w:rPr>
          <w:rStyle w:val="Strong"/>
          <w:rFonts w:ascii="Arial" w:hAnsi="Arial" w:cs="Arial"/>
          <w:bCs w:val="0"/>
          <w:sz w:val="20"/>
          <w:szCs w:val="20"/>
        </w:rPr>
        <w:t>Mean Bias Error</w:t>
      </w:r>
    </w:p>
    <w:p w14:paraId="23049549" w14:textId="77777777" w:rsidR="00F140FB" w:rsidRPr="000470FD" w:rsidRDefault="00F140FB" w:rsidP="00F140FB">
      <w:pPr>
        <w:rPr>
          <w:rFonts w:ascii="Arial" w:hAnsi="Arial" w:cs="Arial"/>
          <w:b/>
          <w:sz w:val="20"/>
          <w:szCs w:val="20"/>
        </w:rPr>
      </w:pPr>
      <w:r>
        <w:rPr>
          <w:rStyle w:val="Strong"/>
          <w:rFonts w:ascii="Arial" w:hAnsi="Arial" w:cs="Arial"/>
          <w:b w:val="0"/>
          <w:sz w:val="20"/>
          <w:szCs w:val="20"/>
        </w:rPr>
        <w:t xml:space="preserve">MBE= </w:t>
      </w:r>
      <w:r w:rsidRPr="000470FD">
        <w:rPr>
          <w:rStyle w:val="Strong"/>
          <w:rFonts w:ascii="Arial" w:hAnsi="Arial" w:cs="Arial"/>
          <w:b w:val="0"/>
          <w:sz w:val="20"/>
          <w:szCs w:val="20"/>
        </w:rPr>
        <w:t xml:space="preserve">(1/n) </w:t>
      </w:r>
      <w:proofErr w:type="gramStart"/>
      <w:r w:rsidRPr="000470FD">
        <w:rPr>
          <w:rStyle w:val="Strong"/>
          <w:rFonts w:ascii="Arial" w:hAnsi="Arial" w:cs="Arial"/>
          <w:b w:val="0"/>
          <w:sz w:val="20"/>
          <w:szCs w:val="20"/>
        </w:rPr>
        <w:t>Σ(</w:t>
      </w:r>
      <w:proofErr w:type="gramEnd"/>
      <w:r>
        <w:rPr>
          <w:rStyle w:val="Strong"/>
          <w:rFonts w:ascii="Arial" w:hAnsi="Arial" w:cs="Arial"/>
          <w:b w:val="0"/>
          <w:sz w:val="20"/>
          <w:szCs w:val="20"/>
        </w:rPr>
        <w:t>P</w:t>
      </w:r>
      <w:r w:rsidRPr="000470FD">
        <w:rPr>
          <w:rStyle w:val="Strong"/>
          <w:rFonts w:ascii="Arial" w:hAnsi="Arial" w:cs="Arial"/>
          <w:b w:val="0"/>
          <w:sz w:val="20"/>
          <w:szCs w:val="20"/>
        </w:rPr>
        <w:t xml:space="preserve">i </w:t>
      </w:r>
      <w:r>
        <w:rPr>
          <w:rStyle w:val="Strong"/>
          <w:rFonts w:ascii="Arial" w:hAnsi="Arial" w:cs="Arial"/>
          <w:b w:val="0"/>
          <w:sz w:val="20"/>
          <w:szCs w:val="20"/>
        </w:rPr>
        <w:t>–</w:t>
      </w:r>
      <w:r w:rsidRPr="000470FD">
        <w:rPr>
          <w:rStyle w:val="Strong"/>
          <w:rFonts w:ascii="Arial" w:hAnsi="Arial" w:cs="Arial"/>
          <w:b w:val="0"/>
          <w:sz w:val="20"/>
          <w:szCs w:val="20"/>
        </w:rPr>
        <w:t xml:space="preserve"> </w:t>
      </w:r>
      <w:r>
        <w:rPr>
          <w:rStyle w:val="Strong"/>
          <w:rFonts w:ascii="Arial" w:hAnsi="Arial" w:cs="Arial"/>
          <w:b w:val="0"/>
          <w:sz w:val="20"/>
          <w:szCs w:val="20"/>
        </w:rPr>
        <w:t>O</w:t>
      </w:r>
      <w:r w:rsidRPr="000470FD">
        <w:rPr>
          <w:rStyle w:val="Strong"/>
          <w:rFonts w:ascii="Arial" w:hAnsi="Arial" w:cs="Arial"/>
          <w:b w:val="0"/>
          <w:sz w:val="20"/>
          <w:szCs w:val="20"/>
        </w:rPr>
        <w:t>i</w:t>
      </w:r>
      <w:r>
        <w:rPr>
          <w:rStyle w:val="Strong"/>
          <w:rFonts w:ascii="Arial" w:hAnsi="Arial" w:cs="Arial"/>
          <w:b w:val="0"/>
          <w:sz w:val="20"/>
          <w:szCs w:val="20"/>
        </w:rPr>
        <w:t>)</w:t>
      </w:r>
      <w:r w:rsidR="008608A9">
        <w:rPr>
          <w:rStyle w:val="Strong"/>
          <w:rFonts w:ascii="Arial" w:hAnsi="Arial" w:cs="Arial"/>
          <w:b w:val="0"/>
          <w:sz w:val="20"/>
          <w:szCs w:val="20"/>
        </w:rPr>
        <w:t xml:space="preserve">    </w:t>
      </w:r>
      <w:r w:rsidR="00FC034C">
        <w:rPr>
          <w:rStyle w:val="Strong"/>
          <w:rFonts w:ascii="Arial" w:hAnsi="Arial" w:cs="Arial"/>
          <w:b w:val="0"/>
          <w:sz w:val="20"/>
          <w:szCs w:val="20"/>
        </w:rPr>
        <w:t>(</w:t>
      </w:r>
      <w:r w:rsidR="008608A9" w:rsidRPr="008608A9">
        <w:rPr>
          <w:rStyle w:val="Strong"/>
          <w:rFonts w:ascii="Arial" w:hAnsi="Arial" w:cs="Arial"/>
          <w:bCs w:val="0"/>
          <w:sz w:val="20"/>
          <w:szCs w:val="20"/>
        </w:rPr>
        <w:t xml:space="preserve">Eq. </w:t>
      </w:r>
      <w:r w:rsidR="00BB64A8">
        <w:rPr>
          <w:rStyle w:val="Strong"/>
          <w:rFonts w:ascii="Arial" w:hAnsi="Arial" w:cs="Arial"/>
          <w:bCs w:val="0"/>
          <w:sz w:val="20"/>
          <w:szCs w:val="20"/>
        </w:rPr>
        <w:t>8</w:t>
      </w:r>
      <w:r w:rsidR="00FC034C">
        <w:rPr>
          <w:rStyle w:val="Strong"/>
          <w:rFonts w:ascii="Arial" w:hAnsi="Arial" w:cs="Arial"/>
          <w:bCs w:val="0"/>
          <w:sz w:val="20"/>
          <w:szCs w:val="20"/>
        </w:rPr>
        <w:t>)</w:t>
      </w:r>
    </w:p>
    <w:p w14:paraId="01DFDCD4" w14:textId="77777777" w:rsidR="00F140FB" w:rsidRDefault="00F140FB" w:rsidP="00F140FB">
      <w:pPr>
        <w:rPr>
          <w:rFonts w:ascii="Arial" w:hAnsi="Arial" w:cs="Arial"/>
          <w:sz w:val="20"/>
          <w:szCs w:val="20"/>
        </w:rPr>
      </w:pPr>
      <w:r w:rsidRPr="000470FD">
        <w:rPr>
          <w:rFonts w:ascii="Arial" w:hAnsi="Arial" w:cs="Arial"/>
          <w:sz w:val="20"/>
          <w:szCs w:val="20"/>
        </w:rPr>
        <w:t>where</w:t>
      </w:r>
      <w:r w:rsidRPr="000470FD">
        <w:rPr>
          <w:rFonts w:ascii="Arial" w:hAnsi="Arial" w:cs="Arial"/>
          <w:sz w:val="20"/>
          <w:szCs w:val="20"/>
        </w:rPr>
        <w:br/>
        <w:t>Oi = observed WQI</w:t>
      </w:r>
      <w:r w:rsidRPr="000470FD">
        <w:rPr>
          <w:rFonts w:ascii="Arial" w:hAnsi="Arial" w:cs="Arial"/>
          <w:sz w:val="20"/>
          <w:szCs w:val="20"/>
        </w:rPr>
        <w:br/>
        <w:t>Pi = predicted WQI</w:t>
      </w:r>
      <w:r w:rsidRPr="000470FD">
        <w:rPr>
          <w:rFonts w:ascii="Arial" w:hAnsi="Arial" w:cs="Arial"/>
          <w:sz w:val="20"/>
          <w:szCs w:val="20"/>
        </w:rPr>
        <w:br/>
        <w:t>Ō = mean observed WQI</w:t>
      </w:r>
      <w:r w:rsidRPr="000470FD">
        <w:rPr>
          <w:rFonts w:ascii="Arial" w:hAnsi="Arial" w:cs="Arial"/>
          <w:sz w:val="20"/>
          <w:szCs w:val="20"/>
        </w:rPr>
        <w:br/>
        <w:t>n = number of samples</w:t>
      </w:r>
    </w:p>
    <w:p w14:paraId="04275330" w14:textId="77777777" w:rsidR="00F140FB" w:rsidRPr="001C2913" w:rsidRDefault="00F140FB" w:rsidP="00F140FB">
      <w:pPr>
        <w:pStyle w:val="NormalWeb"/>
        <w:jc w:val="both"/>
        <w:rPr>
          <w:rFonts w:ascii="Arial" w:hAnsi="Arial" w:cs="Arial"/>
          <w:sz w:val="20"/>
          <w:szCs w:val="20"/>
        </w:rPr>
      </w:pPr>
    </w:p>
    <w:p w14:paraId="73AF0552" w14:textId="77777777" w:rsidR="00AF4524" w:rsidRPr="001C2913" w:rsidRDefault="00AF4524" w:rsidP="00255D14">
      <w:pPr>
        <w:pStyle w:val="NormalWeb"/>
        <w:jc w:val="both"/>
        <w:rPr>
          <w:rFonts w:ascii="Arial" w:hAnsi="Arial" w:cs="Arial"/>
          <w:sz w:val="20"/>
          <w:szCs w:val="20"/>
        </w:rPr>
      </w:pPr>
    </w:p>
    <w:p w14:paraId="1C6C040E" w14:textId="77777777" w:rsidR="00AF4524" w:rsidRPr="001C2913" w:rsidRDefault="00AF4524" w:rsidP="00255D14">
      <w:pPr>
        <w:pStyle w:val="NormalWeb"/>
        <w:jc w:val="both"/>
        <w:rPr>
          <w:rFonts w:ascii="Arial" w:hAnsi="Arial" w:cs="Arial"/>
        </w:rPr>
      </w:pPr>
      <w:r w:rsidRPr="001C2913">
        <w:rPr>
          <w:rFonts w:ascii="Arial" w:hAnsi="Arial" w:cs="Arial"/>
          <w:b/>
          <w:bCs/>
          <w:noProof/>
        </w:rPr>
        <w:lastRenderedPageBreak/>
        <w:drawing>
          <wp:inline distT="0" distB="0" distL="0" distR="0" wp14:anchorId="5AAE7148" wp14:editId="713CB3FD">
            <wp:extent cx="5495925" cy="5810250"/>
            <wp:effectExtent l="19050" t="0" r="9525" b="0"/>
            <wp:docPr id="12" name="Picture 2" descr="C:\Users\SAMSUNG\Documents\ANN architechure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cuments\ANN architechure figure.png"/>
                    <pic:cNvPicPr>
                      <a:picLocks noChangeAspect="1" noChangeArrowheads="1"/>
                    </pic:cNvPicPr>
                  </pic:nvPicPr>
                  <pic:blipFill>
                    <a:blip r:embed="rId8" cstate="print"/>
                    <a:srcRect/>
                    <a:stretch>
                      <a:fillRect/>
                    </a:stretch>
                  </pic:blipFill>
                  <pic:spPr bwMode="auto">
                    <a:xfrm>
                      <a:off x="0" y="0"/>
                      <a:ext cx="5495925" cy="5810250"/>
                    </a:xfrm>
                    <a:prstGeom prst="rect">
                      <a:avLst/>
                    </a:prstGeom>
                    <a:noFill/>
                    <a:ln w="9525">
                      <a:noFill/>
                      <a:miter lim="800000"/>
                      <a:headEnd/>
                      <a:tailEnd/>
                    </a:ln>
                  </pic:spPr>
                </pic:pic>
              </a:graphicData>
            </a:graphic>
          </wp:inline>
        </w:drawing>
      </w:r>
    </w:p>
    <w:p w14:paraId="76E45F94" w14:textId="77777777" w:rsidR="00AF4524" w:rsidRPr="00466422" w:rsidRDefault="00AF4524" w:rsidP="00466422">
      <w:pPr>
        <w:pStyle w:val="NormalWeb"/>
        <w:jc w:val="center"/>
        <w:rPr>
          <w:rFonts w:ascii="Arial" w:hAnsi="Arial" w:cs="Arial"/>
          <w:b/>
          <w:bCs/>
          <w:sz w:val="20"/>
          <w:szCs w:val="20"/>
        </w:rPr>
      </w:pPr>
      <w:r w:rsidRPr="00466422">
        <w:rPr>
          <w:rFonts w:ascii="Arial" w:hAnsi="Arial" w:cs="Arial"/>
          <w:b/>
          <w:sz w:val="20"/>
          <w:szCs w:val="20"/>
        </w:rPr>
        <w:t>Figure 2:</w:t>
      </w:r>
      <w:r w:rsidRPr="00466422">
        <w:rPr>
          <w:rFonts w:ascii="Arial" w:hAnsi="Arial" w:cs="Arial"/>
          <w:b/>
          <w:bCs/>
          <w:sz w:val="20"/>
          <w:szCs w:val="20"/>
        </w:rPr>
        <w:t xml:space="preserve"> Architecture of the feed-forward ANN model used for WQI prediction</w:t>
      </w:r>
    </w:p>
    <w:p w14:paraId="3233B072" w14:textId="77777777" w:rsidR="00111B89" w:rsidRDefault="00466422" w:rsidP="00F140FB">
      <w:pPr>
        <w:pStyle w:val="Heading1"/>
        <w:numPr>
          <w:ilvl w:val="0"/>
          <w:numId w:val="10"/>
        </w:numPr>
        <w:spacing w:before="0"/>
        <w:rPr>
          <w:rFonts w:ascii="Arial" w:hAnsi="Arial" w:cs="Arial"/>
          <w:color w:val="auto"/>
          <w:sz w:val="22"/>
          <w:szCs w:val="22"/>
        </w:rPr>
      </w:pPr>
      <w:r w:rsidRPr="000470FD">
        <w:rPr>
          <w:rFonts w:ascii="Arial" w:hAnsi="Arial" w:cs="Arial"/>
          <w:color w:val="auto"/>
          <w:sz w:val="22"/>
          <w:szCs w:val="22"/>
        </w:rPr>
        <w:t>RESULTS AND DISCUSSION</w:t>
      </w:r>
    </w:p>
    <w:p w14:paraId="0404CCAD" w14:textId="77777777" w:rsidR="00562993" w:rsidRPr="00562993" w:rsidRDefault="00562993" w:rsidP="00562993">
      <w:pPr>
        <w:pStyle w:val="Heading2"/>
        <w:rPr>
          <w:rFonts w:ascii="Arial" w:hAnsi="Arial" w:cs="Arial"/>
          <w:sz w:val="22"/>
          <w:szCs w:val="22"/>
        </w:rPr>
      </w:pPr>
      <w:r w:rsidRPr="00562993">
        <w:rPr>
          <w:rFonts w:ascii="Arial" w:hAnsi="Arial" w:cs="Arial"/>
          <w:sz w:val="22"/>
          <w:szCs w:val="22"/>
        </w:rPr>
        <w:t>3.1 Water Quality Index Distribution</w:t>
      </w:r>
    </w:p>
    <w:p w14:paraId="472CB25C" w14:textId="77777777" w:rsidR="00333481" w:rsidRDefault="00562993" w:rsidP="00333481">
      <w:pPr>
        <w:pStyle w:val="NormalWeb"/>
        <w:jc w:val="both"/>
        <w:rPr>
          <w:rFonts w:ascii="Arial" w:hAnsi="Arial" w:cs="Arial"/>
          <w:bCs/>
          <w:sz w:val="20"/>
          <w:szCs w:val="20"/>
        </w:rPr>
      </w:pPr>
      <w:r>
        <w:t xml:space="preserve">Monthly WQI values were computed for all 468 groundwater samples collected between November 2018 and October 2021. </w:t>
      </w:r>
      <w:r w:rsidR="00DD4B7A">
        <w:t xml:space="preserve">And the year wise </w:t>
      </w:r>
      <w:r w:rsidR="00CF26E6">
        <w:t xml:space="preserve">average and overall average </w:t>
      </w:r>
      <w:r w:rsidR="00DD4B7A">
        <w:t>WQI values</w:t>
      </w:r>
      <w:r w:rsidR="00CF26E6">
        <w:t xml:space="preserve"> </w:t>
      </w:r>
      <w:r w:rsidR="003F072C">
        <w:t xml:space="preserve">and their ratings (as per </w:t>
      </w:r>
      <w:r w:rsidR="003F072C" w:rsidRPr="00CF26E6">
        <w:rPr>
          <w:b/>
          <w:bCs/>
        </w:rPr>
        <w:t>Table 2</w:t>
      </w:r>
      <w:r w:rsidR="003F072C">
        <w:rPr>
          <w:b/>
          <w:bCs/>
        </w:rPr>
        <w:t>)</w:t>
      </w:r>
      <w:r w:rsidR="003F072C">
        <w:t xml:space="preserve"> </w:t>
      </w:r>
      <w:r w:rsidR="00CF26E6">
        <w:t>are presented in</w:t>
      </w:r>
      <w:r w:rsidR="00DD4B7A">
        <w:t xml:space="preserve"> </w:t>
      </w:r>
      <w:r w:rsidR="00CF26E6" w:rsidRPr="00CF26E6">
        <w:rPr>
          <w:b/>
          <w:bCs/>
        </w:rPr>
        <w:t>Table 3</w:t>
      </w:r>
      <w:r w:rsidR="00CF26E6">
        <w:t>.</w:t>
      </w:r>
      <w:r w:rsidR="00DD4B7A">
        <w:t xml:space="preserve"> </w:t>
      </w:r>
    </w:p>
    <w:p w14:paraId="18C33F07" w14:textId="77777777" w:rsidR="00932533" w:rsidRPr="00471FB7" w:rsidRDefault="00932533" w:rsidP="00932533">
      <w:pPr>
        <w:pStyle w:val="Heading2"/>
        <w:spacing w:before="0" w:beforeAutospacing="0" w:after="0" w:afterAutospacing="0"/>
        <w:jc w:val="center"/>
        <w:rPr>
          <w:rFonts w:ascii="Arial" w:hAnsi="Arial" w:cs="Arial"/>
          <w:bCs w:val="0"/>
          <w:sz w:val="20"/>
          <w:szCs w:val="20"/>
        </w:rPr>
      </w:pPr>
      <w:r w:rsidRPr="00471FB7">
        <w:rPr>
          <w:rFonts w:ascii="Arial" w:hAnsi="Arial" w:cs="Arial"/>
          <w:bCs w:val="0"/>
          <w:sz w:val="20"/>
          <w:szCs w:val="20"/>
        </w:rPr>
        <w:t>Table 3</w:t>
      </w:r>
      <w:r>
        <w:rPr>
          <w:rFonts w:ascii="Arial" w:hAnsi="Arial" w:cs="Arial"/>
          <w:bCs w:val="0"/>
          <w:sz w:val="20"/>
          <w:szCs w:val="20"/>
        </w:rPr>
        <w:t>: Average WQI Values and their ranking</w:t>
      </w:r>
    </w:p>
    <w:tbl>
      <w:tblPr>
        <w:tblW w:w="6901" w:type="dxa"/>
        <w:jc w:val="center"/>
        <w:tblLook w:val="04A0" w:firstRow="1" w:lastRow="0" w:firstColumn="1" w:lastColumn="0" w:noHBand="0" w:noVBand="1"/>
      </w:tblPr>
      <w:tblGrid>
        <w:gridCol w:w="960"/>
        <w:gridCol w:w="1480"/>
        <w:gridCol w:w="1260"/>
        <w:gridCol w:w="1340"/>
        <w:gridCol w:w="960"/>
        <w:gridCol w:w="884"/>
        <w:gridCol w:w="17"/>
      </w:tblGrid>
      <w:tr w:rsidR="005D3BEB" w:rsidRPr="00471FB7" w14:paraId="018C07D0" w14:textId="77777777" w:rsidTr="005D3BEB">
        <w:trPr>
          <w:gridAfter w:val="1"/>
          <w:wAfter w:w="17" w:type="dxa"/>
          <w:trHeight w:val="332"/>
          <w:jc w:val="center"/>
        </w:trPr>
        <w:tc>
          <w:tcPr>
            <w:tcW w:w="960" w:type="dxa"/>
            <w:vMerge w:val="restart"/>
            <w:tcBorders>
              <w:top w:val="single" w:sz="4" w:space="0" w:color="auto"/>
              <w:left w:val="single" w:sz="4" w:space="0" w:color="auto"/>
              <w:bottom w:val="single" w:sz="4" w:space="0" w:color="auto"/>
              <w:right w:val="single" w:sz="4" w:space="0" w:color="auto"/>
            </w:tcBorders>
            <w:noWrap/>
            <w:vAlign w:val="bottom"/>
            <w:hideMark/>
          </w:tcPr>
          <w:p w14:paraId="1555AD96"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 xml:space="preserve">Sample </w:t>
            </w:r>
            <w:r w:rsidRPr="00471FB7">
              <w:rPr>
                <w:rFonts w:ascii="Calibri" w:eastAsia="Times New Roman" w:hAnsi="Calibri" w:cs="Calibri"/>
                <w:color w:val="000000"/>
              </w:rPr>
              <w:lastRenderedPageBreak/>
              <w:t>ID</w:t>
            </w:r>
          </w:p>
        </w:tc>
        <w:tc>
          <w:tcPr>
            <w:tcW w:w="4080" w:type="dxa"/>
            <w:gridSpan w:val="3"/>
            <w:tcBorders>
              <w:top w:val="single" w:sz="4" w:space="0" w:color="auto"/>
              <w:left w:val="nil"/>
              <w:bottom w:val="single" w:sz="4" w:space="0" w:color="auto"/>
              <w:right w:val="single" w:sz="4" w:space="0" w:color="auto"/>
            </w:tcBorders>
            <w:noWrap/>
            <w:vAlign w:val="bottom"/>
            <w:hideMark/>
          </w:tcPr>
          <w:p w14:paraId="12F11642"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lastRenderedPageBreak/>
              <w:t>Yearly Average WQI Values</w:t>
            </w:r>
          </w:p>
        </w:tc>
        <w:tc>
          <w:tcPr>
            <w:tcW w:w="960" w:type="dxa"/>
            <w:vMerge w:val="restart"/>
            <w:tcBorders>
              <w:top w:val="single" w:sz="4" w:space="0" w:color="auto"/>
              <w:left w:val="single" w:sz="4" w:space="0" w:color="auto"/>
              <w:bottom w:val="single" w:sz="4" w:space="0" w:color="auto"/>
              <w:right w:val="single" w:sz="4" w:space="0" w:color="auto"/>
            </w:tcBorders>
            <w:vAlign w:val="bottom"/>
            <w:hideMark/>
          </w:tcPr>
          <w:p w14:paraId="45EF8F62"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 xml:space="preserve">Average </w:t>
            </w:r>
            <w:r w:rsidRPr="00471FB7">
              <w:rPr>
                <w:rFonts w:ascii="Calibri" w:eastAsia="Times New Roman" w:hAnsi="Calibri" w:cs="Calibri"/>
                <w:color w:val="000000"/>
              </w:rPr>
              <w:lastRenderedPageBreak/>
              <w:t>WQI</w:t>
            </w:r>
            <w:r w:rsidR="003F072C">
              <w:rPr>
                <w:rFonts w:ascii="Calibri" w:eastAsia="Times New Roman" w:hAnsi="Calibri" w:cs="Calibri"/>
                <w:color w:val="000000"/>
              </w:rPr>
              <w:t xml:space="preserve"> values</w:t>
            </w:r>
          </w:p>
        </w:tc>
        <w:tc>
          <w:tcPr>
            <w:tcW w:w="884" w:type="dxa"/>
            <w:vMerge w:val="restart"/>
            <w:tcBorders>
              <w:top w:val="single" w:sz="4" w:space="0" w:color="auto"/>
              <w:left w:val="single" w:sz="4" w:space="0" w:color="auto"/>
              <w:bottom w:val="single" w:sz="4" w:space="0" w:color="000000"/>
              <w:right w:val="single" w:sz="4" w:space="0" w:color="auto"/>
            </w:tcBorders>
            <w:vAlign w:val="bottom"/>
            <w:hideMark/>
          </w:tcPr>
          <w:p w14:paraId="125C7F4A"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lastRenderedPageBreak/>
              <w:t xml:space="preserve">WQI </w:t>
            </w:r>
            <w:r w:rsidRPr="00471FB7">
              <w:rPr>
                <w:rFonts w:ascii="Calibri" w:eastAsia="Times New Roman" w:hAnsi="Calibri" w:cs="Calibri"/>
                <w:color w:val="000000"/>
              </w:rPr>
              <w:lastRenderedPageBreak/>
              <w:t>ranking</w:t>
            </w:r>
          </w:p>
        </w:tc>
      </w:tr>
      <w:tr w:rsidR="005D3BEB" w:rsidRPr="00471FB7" w14:paraId="10090AA3" w14:textId="77777777" w:rsidTr="005D3BEB">
        <w:trPr>
          <w:gridAfter w:val="1"/>
          <w:wAfter w:w="17" w:type="dxa"/>
          <w:trHeight w:val="26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4146670" w14:textId="77777777" w:rsidR="005D3BEB" w:rsidRPr="00471FB7" w:rsidRDefault="005D3BEB" w:rsidP="008608A9">
            <w:pPr>
              <w:spacing w:after="0" w:line="240" w:lineRule="auto"/>
              <w:rPr>
                <w:rFonts w:ascii="Calibri" w:eastAsia="Times New Roman" w:hAnsi="Calibri" w:cs="Calibri"/>
                <w:color w:val="000000"/>
              </w:rPr>
            </w:pPr>
          </w:p>
        </w:tc>
        <w:tc>
          <w:tcPr>
            <w:tcW w:w="1480" w:type="dxa"/>
            <w:tcBorders>
              <w:top w:val="nil"/>
              <w:left w:val="nil"/>
              <w:bottom w:val="single" w:sz="4" w:space="0" w:color="auto"/>
              <w:right w:val="single" w:sz="4" w:space="0" w:color="auto"/>
            </w:tcBorders>
            <w:vAlign w:val="bottom"/>
            <w:hideMark/>
          </w:tcPr>
          <w:p w14:paraId="4DAAD983"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Year 1</w:t>
            </w:r>
          </w:p>
        </w:tc>
        <w:tc>
          <w:tcPr>
            <w:tcW w:w="1260" w:type="dxa"/>
            <w:tcBorders>
              <w:top w:val="nil"/>
              <w:left w:val="nil"/>
              <w:bottom w:val="single" w:sz="4" w:space="0" w:color="auto"/>
              <w:right w:val="single" w:sz="4" w:space="0" w:color="auto"/>
            </w:tcBorders>
            <w:vAlign w:val="bottom"/>
            <w:hideMark/>
          </w:tcPr>
          <w:p w14:paraId="2E676184"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Year 2</w:t>
            </w:r>
          </w:p>
        </w:tc>
        <w:tc>
          <w:tcPr>
            <w:tcW w:w="1340" w:type="dxa"/>
            <w:tcBorders>
              <w:top w:val="nil"/>
              <w:left w:val="nil"/>
              <w:bottom w:val="single" w:sz="4" w:space="0" w:color="auto"/>
              <w:right w:val="single" w:sz="4" w:space="0" w:color="auto"/>
            </w:tcBorders>
            <w:vAlign w:val="bottom"/>
            <w:hideMark/>
          </w:tcPr>
          <w:p w14:paraId="4F14C025"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Year 3</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A1C384F" w14:textId="77777777" w:rsidR="005D3BEB" w:rsidRPr="00471FB7" w:rsidRDefault="005D3BEB" w:rsidP="008608A9">
            <w:pPr>
              <w:spacing w:after="0" w:line="240" w:lineRule="auto"/>
              <w:rPr>
                <w:rFonts w:ascii="Calibri" w:eastAsia="Times New Roman" w:hAnsi="Calibri" w:cs="Calibri"/>
                <w:color w:val="000000"/>
              </w:rPr>
            </w:pPr>
          </w:p>
        </w:tc>
        <w:tc>
          <w:tcPr>
            <w:tcW w:w="884" w:type="dxa"/>
            <w:vMerge/>
            <w:tcBorders>
              <w:top w:val="single" w:sz="4" w:space="0" w:color="auto"/>
              <w:left w:val="single" w:sz="4" w:space="0" w:color="auto"/>
              <w:bottom w:val="single" w:sz="4" w:space="0" w:color="000000"/>
              <w:right w:val="single" w:sz="4" w:space="0" w:color="auto"/>
            </w:tcBorders>
            <w:vAlign w:val="center"/>
            <w:hideMark/>
          </w:tcPr>
          <w:p w14:paraId="57A92BFA" w14:textId="77777777" w:rsidR="005D3BEB" w:rsidRPr="00471FB7" w:rsidRDefault="005D3BEB" w:rsidP="008608A9">
            <w:pPr>
              <w:spacing w:after="0" w:line="240" w:lineRule="auto"/>
              <w:rPr>
                <w:rFonts w:ascii="Calibri" w:eastAsia="Times New Roman" w:hAnsi="Calibri" w:cs="Calibri"/>
                <w:color w:val="000000"/>
              </w:rPr>
            </w:pPr>
          </w:p>
        </w:tc>
      </w:tr>
      <w:tr w:rsidR="005D3BEB" w:rsidRPr="00471FB7" w14:paraId="602C2996"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5E9C982"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S1</w:t>
            </w:r>
          </w:p>
        </w:tc>
        <w:tc>
          <w:tcPr>
            <w:tcW w:w="1480" w:type="dxa"/>
            <w:tcBorders>
              <w:top w:val="nil"/>
              <w:left w:val="nil"/>
              <w:bottom w:val="single" w:sz="4" w:space="0" w:color="auto"/>
              <w:right w:val="single" w:sz="4" w:space="0" w:color="auto"/>
            </w:tcBorders>
            <w:noWrap/>
            <w:vAlign w:val="bottom"/>
            <w:hideMark/>
          </w:tcPr>
          <w:p w14:paraId="34E46634"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39.01</w:t>
            </w:r>
          </w:p>
        </w:tc>
        <w:tc>
          <w:tcPr>
            <w:tcW w:w="1260" w:type="dxa"/>
            <w:tcBorders>
              <w:top w:val="nil"/>
              <w:left w:val="nil"/>
              <w:bottom w:val="single" w:sz="4" w:space="0" w:color="auto"/>
              <w:right w:val="single" w:sz="4" w:space="0" w:color="auto"/>
            </w:tcBorders>
            <w:noWrap/>
            <w:vAlign w:val="bottom"/>
            <w:hideMark/>
          </w:tcPr>
          <w:p w14:paraId="3931BAE6"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40.94</w:t>
            </w:r>
          </w:p>
        </w:tc>
        <w:tc>
          <w:tcPr>
            <w:tcW w:w="1340" w:type="dxa"/>
            <w:tcBorders>
              <w:top w:val="nil"/>
              <w:left w:val="nil"/>
              <w:bottom w:val="single" w:sz="4" w:space="0" w:color="auto"/>
              <w:right w:val="single" w:sz="4" w:space="0" w:color="auto"/>
            </w:tcBorders>
            <w:noWrap/>
            <w:vAlign w:val="bottom"/>
            <w:hideMark/>
          </w:tcPr>
          <w:p w14:paraId="43DBD382"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40.70</w:t>
            </w:r>
          </w:p>
        </w:tc>
        <w:tc>
          <w:tcPr>
            <w:tcW w:w="960" w:type="dxa"/>
            <w:tcBorders>
              <w:top w:val="nil"/>
              <w:left w:val="nil"/>
              <w:bottom w:val="single" w:sz="4" w:space="0" w:color="auto"/>
              <w:right w:val="single" w:sz="4" w:space="0" w:color="auto"/>
            </w:tcBorders>
            <w:noWrap/>
            <w:vAlign w:val="bottom"/>
            <w:hideMark/>
          </w:tcPr>
          <w:p w14:paraId="634E06C7"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40.21</w:t>
            </w:r>
          </w:p>
        </w:tc>
        <w:tc>
          <w:tcPr>
            <w:tcW w:w="901" w:type="dxa"/>
            <w:gridSpan w:val="2"/>
            <w:tcBorders>
              <w:top w:val="nil"/>
              <w:left w:val="nil"/>
              <w:bottom w:val="single" w:sz="4" w:space="0" w:color="auto"/>
              <w:right w:val="single" w:sz="4" w:space="0" w:color="auto"/>
            </w:tcBorders>
            <w:noWrap/>
            <w:vAlign w:val="bottom"/>
            <w:hideMark/>
          </w:tcPr>
          <w:p w14:paraId="4366F75B"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2B2198D5"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19443CEE"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S2</w:t>
            </w:r>
          </w:p>
        </w:tc>
        <w:tc>
          <w:tcPr>
            <w:tcW w:w="1480" w:type="dxa"/>
            <w:tcBorders>
              <w:top w:val="nil"/>
              <w:left w:val="nil"/>
              <w:bottom w:val="single" w:sz="4" w:space="0" w:color="auto"/>
              <w:right w:val="single" w:sz="4" w:space="0" w:color="auto"/>
            </w:tcBorders>
            <w:noWrap/>
            <w:vAlign w:val="bottom"/>
            <w:hideMark/>
          </w:tcPr>
          <w:p w14:paraId="69E23D57"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42.96</w:t>
            </w:r>
          </w:p>
        </w:tc>
        <w:tc>
          <w:tcPr>
            <w:tcW w:w="1260" w:type="dxa"/>
            <w:tcBorders>
              <w:top w:val="nil"/>
              <w:left w:val="nil"/>
              <w:bottom w:val="single" w:sz="4" w:space="0" w:color="auto"/>
              <w:right w:val="single" w:sz="4" w:space="0" w:color="auto"/>
            </w:tcBorders>
            <w:noWrap/>
            <w:vAlign w:val="bottom"/>
            <w:hideMark/>
          </w:tcPr>
          <w:p w14:paraId="27582C5E"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44.89</w:t>
            </w:r>
          </w:p>
        </w:tc>
        <w:tc>
          <w:tcPr>
            <w:tcW w:w="1340" w:type="dxa"/>
            <w:tcBorders>
              <w:top w:val="nil"/>
              <w:left w:val="nil"/>
              <w:bottom w:val="single" w:sz="4" w:space="0" w:color="auto"/>
              <w:right w:val="single" w:sz="4" w:space="0" w:color="auto"/>
            </w:tcBorders>
            <w:noWrap/>
            <w:vAlign w:val="bottom"/>
            <w:hideMark/>
          </w:tcPr>
          <w:p w14:paraId="7CAACBFD"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44.65</w:t>
            </w:r>
          </w:p>
        </w:tc>
        <w:tc>
          <w:tcPr>
            <w:tcW w:w="960" w:type="dxa"/>
            <w:tcBorders>
              <w:top w:val="nil"/>
              <w:left w:val="nil"/>
              <w:bottom w:val="single" w:sz="4" w:space="0" w:color="auto"/>
              <w:right w:val="single" w:sz="4" w:space="0" w:color="auto"/>
            </w:tcBorders>
            <w:noWrap/>
            <w:vAlign w:val="bottom"/>
            <w:hideMark/>
          </w:tcPr>
          <w:p w14:paraId="3F60B1CE"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44.17</w:t>
            </w:r>
          </w:p>
        </w:tc>
        <w:tc>
          <w:tcPr>
            <w:tcW w:w="901" w:type="dxa"/>
            <w:gridSpan w:val="2"/>
            <w:tcBorders>
              <w:top w:val="nil"/>
              <w:left w:val="nil"/>
              <w:bottom w:val="single" w:sz="4" w:space="0" w:color="auto"/>
              <w:right w:val="single" w:sz="4" w:space="0" w:color="auto"/>
            </w:tcBorders>
            <w:noWrap/>
            <w:vAlign w:val="bottom"/>
            <w:hideMark/>
          </w:tcPr>
          <w:p w14:paraId="7B920047"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61DB0CF6"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2F0F2BA"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S3</w:t>
            </w:r>
          </w:p>
        </w:tc>
        <w:tc>
          <w:tcPr>
            <w:tcW w:w="1480" w:type="dxa"/>
            <w:tcBorders>
              <w:top w:val="nil"/>
              <w:left w:val="nil"/>
              <w:bottom w:val="single" w:sz="4" w:space="0" w:color="auto"/>
              <w:right w:val="single" w:sz="4" w:space="0" w:color="auto"/>
            </w:tcBorders>
            <w:noWrap/>
            <w:vAlign w:val="bottom"/>
            <w:hideMark/>
          </w:tcPr>
          <w:p w14:paraId="309CB11F"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35.42</w:t>
            </w:r>
          </w:p>
        </w:tc>
        <w:tc>
          <w:tcPr>
            <w:tcW w:w="1260" w:type="dxa"/>
            <w:tcBorders>
              <w:top w:val="nil"/>
              <w:left w:val="nil"/>
              <w:bottom w:val="single" w:sz="4" w:space="0" w:color="auto"/>
              <w:right w:val="single" w:sz="4" w:space="0" w:color="auto"/>
            </w:tcBorders>
            <w:noWrap/>
            <w:vAlign w:val="bottom"/>
            <w:hideMark/>
          </w:tcPr>
          <w:p w14:paraId="0643CD27"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37.35</w:t>
            </w:r>
          </w:p>
        </w:tc>
        <w:tc>
          <w:tcPr>
            <w:tcW w:w="1340" w:type="dxa"/>
            <w:tcBorders>
              <w:top w:val="nil"/>
              <w:left w:val="nil"/>
              <w:bottom w:val="single" w:sz="4" w:space="0" w:color="auto"/>
              <w:right w:val="single" w:sz="4" w:space="0" w:color="auto"/>
            </w:tcBorders>
            <w:noWrap/>
            <w:vAlign w:val="bottom"/>
            <w:hideMark/>
          </w:tcPr>
          <w:p w14:paraId="7222114E"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37.11</w:t>
            </w:r>
          </w:p>
        </w:tc>
        <w:tc>
          <w:tcPr>
            <w:tcW w:w="960" w:type="dxa"/>
            <w:tcBorders>
              <w:top w:val="nil"/>
              <w:left w:val="nil"/>
              <w:bottom w:val="single" w:sz="4" w:space="0" w:color="auto"/>
              <w:right w:val="single" w:sz="4" w:space="0" w:color="auto"/>
            </w:tcBorders>
            <w:noWrap/>
            <w:vAlign w:val="bottom"/>
            <w:hideMark/>
          </w:tcPr>
          <w:p w14:paraId="1FFEC9C2"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36.63</w:t>
            </w:r>
          </w:p>
        </w:tc>
        <w:tc>
          <w:tcPr>
            <w:tcW w:w="901" w:type="dxa"/>
            <w:gridSpan w:val="2"/>
            <w:tcBorders>
              <w:top w:val="nil"/>
              <w:left w:val="nil"/>
              <w:bottom w:val="single" w:sz="4" w:space="0" w:color="auto"/>
              <w:right w:val="single" w:sz="4" w:space="0" w:color="auto"/>
            </w:tcBorders>
            <w:noWrap/>
            <w:vAlign w:val="bottom"/>
            <w:hideMark/>
          </w:tcPr>
          <w:p w14:paraId="0C8EEB06"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253A795A"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2B8D13A8"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S4</w:t>
            </w:r>
          </w:p>
        </w:tc>
        <w:tc>
          <w:tcPr>
            <w:tcW w:w="1480" w:type="dxa"/>
            <w:tcBorders>
              <w:top w:val="nil"/>
              <w:left w:val="nil"/>
              <w:bottom w:val="single" w:sz="4" w:space="0" w:color="auto"/>
              <w:right w:val="single" w:sz="4" w:space="0" w:color="auto"/>
            </w:tcBorders>
            <w:noWrap/>
            <w:vAlign w:val="bottom"/>
            <w:hideMark/>
          </w:tcPr>
          <w:p w14:paraId="5E37E926"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33.73</w:t>
            </w:r>
          </w:p>
        </w:tc>
        <w:tc>
          <w:tcPr>
            <w:tcW w:w="1260" w:type="dxa"/>
            <w:tcBorders>
              <w:top w:val="nil"/>
              <w:left w:val="nil"/>
              <w:bottom w:val="single" w:sz="4" w:space="0" w:color="auto"/>
              <w:right w:val="single" w:sz="4" w:space="0" w:color="auto"/>
            </w:tcBorders>
            <w:noWrap/>
            <w:vAlign w:val="bottom"/>
            <w:hideMark/>
          </w:tcPr>
          <w:p w14:paraId="21F83DD5"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35.66</w:t>
            </w:r>
          </w:p>
        </w:tc>
        <w:tc>
          <w:tcPr>
            <w:tcW w:w="1340" w:type="dxa"/>
            <w:tcBorders>
              <w:top w:val="nil"/>
              <w:left w:val="nil"/>
              <w:bottom w:val="single" w:sz="4" w:space="0" w:color="auto"/>
              <w:right w:val="single" w:sz="4" w:space="0" w:color="auto"/>
            </w:tcBorders>
            <w:noWrap/>
            <w:vAlign w:val="bottom"/>
            <w:hideMark/>
          </w:tcPr>
          <w:p w14:paraId="4B68E4DA"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35.42</w:t>
            </w:r>
          </w:p>
        </w:tc>
        <w:tc>
          <w:tcPr>
            <w:tcW w:w="960" w:type="dxa"/>
            <w:tcBorders>
              <w:top w:val="nil"/>
              <w:left w:val="nil"/>
              <w:bottom w:val="single" w:sz="4" w:space="0" w:color="auto"/>
              <w:right w:val="single" w:sz="4" w:space="0" w:color="auto"/>
            </w:tcBorders>
            <w:noWrap/>
            <w:vAlign w:val="bottom"/>
            <w:hideMark/>
          </w:tcPr>
          <w:p w14:paraId="12205C2F"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34.94</w:t>
            </w:r>
          </w:p>
        </w:tc>
        <w:tc>
          <w:tcPr>
            <w:tcW w:w="901" w:type="dxa"/>
            <w:gridSpan w:val="2"/>
            <w:tcBorders>
              <w:top w:val="nil"/>
              <w:left w:val="nil"/>
              <w:bottom w:val="single" w:sz="4" w:space="0" w:color="auto"/>
              <w:right w:val="single" w:sz="4" w:space="0" w:color="auto"/>
            </w:tcBorders>
            <w:noWrap/>
            <w:vAlign w:val="bottom"/>
            <w:hideMark/>
          </w:tcPr>
          <w:p w14:paraId="7E7D3A82"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3880EA7D"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F4E295E"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S5</w:t>
            </w:r>
          </w:p>
        </w:tc>
        <w:tc>
          <w:tcPr>
            <w:tcW w:w="1480" w:type="dxa"/>
            <w:tcBorders>
              <w:top w:val="nil"/>
              <w:left w:val="nil"/>
              <w:bottom w:val="single" w:sz="4" w:space="0" w:color="auto"/>
              <w:right w:val="single" w:sz="4" w:space="0" w:color="auto"/>
            </w:tcBorders>
            <w:noWrap/>
            <w:vAlign w:val="bottom"/>
            <w:hideMark/>
          </w:tcPr>
          <w:p w14:paraId="0495D36B"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42.04</w:t>
            </w:r>
          </w:p>
        </w:tc>
        <w:tc>
          <w:tcPr>
            <w:tcW w:w="1260" w:type="dxa"/>
            <w:tcBorders>
              <w:top w:val="nil"/>
              <w:left w:val="nil"/>
              <w:bottom w:val="single" w:sz="4" w:space="0" w:color="auto"/>
              <w:right w:val="single" w:sz="4" w:space="0" w:color="auto"/>
            </w:tcBorders>
            <w:noWrap/>
            <w:vAlign w:val="bottom"/>
            <w:hideMark/>
          </w:tcPr>
          <w:p w14:paraId="02DC624D"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43.97</w:t>
            </w:r>
          </w:p>
        </w:tc>
        <w:tc>
          <w:tcPr>
            <w:tcW w:w="1340" w:type="dxa"/>
            <w:tcBorders>
              <w:top w:val="nil"/>
              <w:left w:val="nil"/>
              <w:bottom w:val="single" w:sz="4" w:space="0" w:color="auto"/>
              <w:right w:val="single" w:sz="4" w:space="0" w:color="auto"/>
            </w:tcBorders>
            <w:noWrap/>
            <w:vAlign w:val="bottom"/>
            <w:hideMark/>
          </w:tcPr>
          <w:p w14:paraId="5BB3E0D0"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43.73</w:t>
            </w:r>
          </w:p>
        </w:tc>
        <w:tc>
          <w:tcPr>
            <w:tcW w:w="960" w:type="dxa"/>
            <w:tcBorders>
              <w:top w:val="nil"/>
              <w:left w:val="nil"/>
              <w:bottom w:val="single" w:sz="4" w:space="0" w:color="auto"/>
              <w:right w:val="single" w:sz="4" w:space="0" w:color="auto"/>
            </w:tcBorders>
            <w:noWrap/>
            <w:vAlign w:val="bottom"/>
            <w:hideMark/>
          </w:tcPr>
          <w:p w14:paraId="1EC4784A"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43.25</w:t>
            </w:r>
          </w:p>
        </w:tc>
        <w:tc>
          <w:tcPr>
            <w:tcW w:w="901" w:type="dxa"/>
            <w:gridSpan w:val="2"/>
            <w:tcBorders>
              <w:top w:val="nil"/>
              <w:left w:val="nil"/>
              <w:bottom w:val="single" w:sz="4" w:space="0" w:color="auto"/>
              <w:right w:val="single" w:sz="4" w:space="0" w:color="auto"/>
            </w:tcBorders>
            <w:noWrap/>
            <w:vAlign w:val="bottom"/>
            <w:hideMark/>
          </w:tcPr>
          <w:p w14:paraId="72476880"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2BADBB94"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4B09E25"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S6</w:t>
            </w:r>
          </w:p>
        </w:tc>
        <w:tc>
          <w:tcPr>
            <w:tcW w:w="1480" w:type="dxa"/>
            <w:tcBorders>
              <w:top w:val="nil"/>
              <w:left w:val="nil"/>
              <w:bottom w:val="single" w:sz="4" w:space="0" w:color="auto"/>
              <w:right w:val="single" w:sz="4" w:space="0" w:color="auto"/>
            </w:tcBorders>
            <w:noWrap/>
            <w:vAlign w:val="bottom"/>
            <w:hideMark/>
          </w:tcPr>
          <w:p w14:paraId="46AFB806"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40.42</w:t>
            </w:r>
          </w:p>
        </w:tc>
        <w:tc>
          <w:tcPr>
            <w:tcW w:w="1260" w:type="dxa"/>
            <w:tcBorders>
              <w:top w:val="nil"/>
              <w:left w:val="nil"/>
              <w:bottom w:val="single" w:sz="4" w:space="0" w:color="auto"/>
              <w:right w:val="single" w:sz="4" w:space="0" w:color="auto"/>
            </w:tcBorders>
            <w:noWrap/>
            <w:vAlign w:val="bottom"/>
            <w:hideMark/>
          </w:tcPr>
          <w:p w14:paraId="5E339C10"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42.35</w:t>
            </w:r>
          </w:p>
        </w:tc>
        <w:tc>
          <w:tcPr>
            <w:tcW w:w="1340" w:type="dxa"/>
            <w:tcBorders>
              <w:top w:val="nil"/>
              <w:left w:val="nil"/>
              <w:bottom w:val="single" w:sz="4" w:space="0" w:color="auto"/>
              <w:right w:val="single" w:sz="4" w:space="0" w:color="auto"/>
            </w:tcBorders>
            <w:noWrap/>
            <w:vAlign w:val="bottom"/>
            <w:hideMark/>
          </w:tcPr>
          <w:p w14:paraId="7CF70280"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42.11</w:t>
            </w:r>
          </w:p>
        </w:tc>
        <w:tc>
          <w:tcPr>
            <w:tcW w:w="960" w:type="dxa"/>
            <w:tcBorders>
              <w:top w:val="nil"/>
              <w:left w:val="nil"/>
              <w:bottom w:val="single" w:sz="4" w:space="0" w:color="auto"/>
              <w:right w:val="single" w:sz="4" w:space="0" w:color="auto"/>
            </w:tcBorders>
            <w:noWrap/>
            <w:vAlign w:val="bottom"/>
            <w:hideMark/>
          </w:tcPr>
          <w:p w14:paraId="2B27EFE6"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41.63</w:t>
            </w:r>
          </w:p>
        </w:tc>
        <w:tc>
          <w:tcPr>
            <w:tcW w:w="901" w:type="dxa"/>
            <w:gridSpan w:val="2"/>
            <w:tcBorders>
              <w:top w:val="nil"/>
              <w:left w:val="nil"/>
              <w:bottom w:val="single" w:sz="4" w:space="0" w:color="auto"/>
              <w:right w:val="single" w:sz="4" w:space="0" w:color="auto"/>
            </w:tcBorders>
            <w:noWrap/>
            <w:vAlign w:val="bottom"/>
            <w:hideMark/>
          </w:tcPr>
          <w:p w14:paraId="362B06B9"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184B6802"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301E479"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S7</w:t>
            </w:r>
          </w:p>
        </w:tc>
        <w:tc>
          <w:tcPr>
            <w:tcW w:w="1480" w:type="dxa"/>
            <w:tcBorders>
              <w:top w:val="nil"/>
              <w:left w:val="nil"/>
              <w:bottom w:val="single" w:sz="4" w:space="0" w:color="auto"/>
              <w:right w:val="single" w:sz="4" w:space="0" w:color="auto"/>
            </w:tcBorders>
            <w:noWrap/>
            <w:vAlign w:val="bottom"/>
            <w:hideMark/>
          </w:tcPr>
          <w:p w14:paraId="3AA6C947"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38.97</w:t>
            </w:r>
          </w:p>
        </w:tc>
        <w:tc>
          <w:tcPr>
            <w:tcW w:w="1260" w:type="dxa"/>
            <w:tcBorders>
              <w:top w:val="nil"/>
              <w:left w:val="nil"/>
              <w:bottom w:val="single" w:sz="4" w:space="0" w:color="auto"/>
              <w:right w:val="single" w:sz="4" w:space="0" w:color="auto"/>
            </w:tcBorders>
            <w:noWrap/>
            <w:vAlign w:val="bottom"/>
            <w:hideMark/>
          </w:tcPr>
          <w:p w14:paraId="2B848209"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40.90</w:t>
            </w:r>
          </w:p>
        </w:tc>
        <w:tc>
          <w:tcPr>
            <w:tcW w:w="1340" w:type="dxa"/>
            <w:tcBorders>
              <w:top w:val="nil"/>
              <w:left w:val="nil"/>
              <w:bottom w:val="single" w:sz="4" w:space="0" w:color="auto"/>
              <w:right w:val="single" w:sz="4" w:space="0" w:color="auto"/>
            </w:tcBorders>
            <w:noWrap/>
            <w:vAlign w:val="bottom"/>
            <w:hideMark/>
          </w:tcPr>
          <w:p w14:paraId="157D5390"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40.66</w:t>
            </w:r>
          </w:p>
        </w:tc>
        <w:tc>
          <w:tcPr>
            <w:tcW w:w="960" w:type="dxa"/>
            <w:tcBorders>
              <w:top w:val="nil"/>
              <w:left w:val="nil"/>
              <w:bottom w:val="single" w:sz="4" w:space="0" w:color="auto"/>
              <w:right w:val="single" w:sz="4" w:space="0" w:color="auto"/>
            </w:tcBorders>
            <w:noWrap/>
            <w:vAlign w:val="bottom"/>
            <w:hideMark/>
          </w:tcPr>
          <w:p w14:paraId="03FB68F3"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40.18</w:t>
            </w:r>
          </w:p>
        </w:tc>
        <w:tc>
          <w:tcPr>
            <w:tcW w:w="901" w:type="dxa"/>
            <w:gridSpan w:val="2"/>
            <w:tcBorders>
              <w:top w:val="nil"/>
              <w:left w:val="nil"/>
              <w:bottom w:val="single" w:sz="4" w:space="0" w:color="auto"/>
              <w:right w:val="single" w:sz="4" w:space="0" w:color="auto"/>
            </w:tcBorders>
            <w:noWrap/>
            <w:vAlign w:val="bottom"/>
            <w:hideMark/>
          </w:tcPr>
          <w:p w14:paraId="5EF5D724"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50E1103A"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1FE1C5BB"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S8</w:t>
            </w:r>
          </w:p>
        </w:tc>
        <w:tc>
          <w:tcPr>
            <w:tcW w:w="1480" w:type="dxa"/>
            <w:tcBorders>
              <w:top w:val="nil"/>
              <w:left w:val="nil"/>
              <w:bottom w:val="single" w:sz="4" w:space="0" w:color="auto"/>
              <w:right w:val="single" w:sz="4" w:space="0" w:color="auto"/>
            </w:tcBorders>
            <w:noWrap/>
            <w:vAlign w:val="bottom"/>
            <w:hideMark/>
          </w:tcPr>
          <w:p w14:paraId="336B68D5"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28.84</w:t>
            </w:r>
          </w:p>
        </w:tc>
        <w:tc>
          <w:tcPr>
            <w:tcW w:w="1260" w:type="dxa"/>
            <w:tcBorders>
              <w:top w:val="nil"/>
              <w:left w:val="nil"/>
              <w:bottom w:val="single" w:sz="4" w:space="0" w:color="auto"/>
              <w:right w:val="single" w:sz="4" w:space="0" w:color="auto"/>
            </w:tcBorders>
            <w:noWrap/>
            <w:vAlign w:val="bottom"/>
            <w:hideMark/>
          </w:tcPr>
          <w:p w14:paraId="3AA17B50"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30.77</w:t>
            </w:r>
          </w:p>
        </w:tc>
        <w:tc>
          <w:tcPr>
            <w:tcW w:w="1340" w:type="dxa"/>
            <w:tcBorders>
              <w:top w:val="nil"/>
              <w:left w:val="nil"/>
              <w:bottom w:val="single" w:sz="4" w:space="0" w:color="auto"/>
              <w:right w:val="single" w:sz="4" w:space="0" w:color="auto"/>
            </w:tcBorders>
            <w:noWrap/>
            <w:vAlign w:val="bottom"/>
            <w:hideMark/>
          </w:tcPr>
          <w:p w14:paraId="60046DEC"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30.53</w:t>
            </w:r>
          </w:p>
        </w:tc>
        <w:tc>
          <w:tcPr>
            <w:tcW w:w="960" w:type="dxa"/>
            <w:tcBorders>
              <w:top w:val="nil"/>
              <w:left w:val="nil"/>
              <w:bottom w:val="single" w:sz="4" w:space="0" w:color="auto"/>
              <w:right w:val="single" w:sz="4" w:space="0" w:color="auto"/>
            </w:tcBorders>
            <w:noWrap/>
            <w:vAlign w:val="bottom"/>
            <w:hideMark/>
          </w:tcPr>
          <w:p w14:paraId="24F9E9FA"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30.04</w:t>
            </w:r>
          </w:p>
        </w:tc>
        <w:tc>
          <w:tcPr>
            <w:tcW w:w="901" w:type="dxa"/>
            <w:gridSpan w:val="2"/>
            <w:tcBorders>
              <w:top w:val="nil"/>
              <w:left w:val="nil"/>
              <w:bottom w:val="single" w:sz="4" w:space="0" w:color="auto"/>
              <w:right w:val="single" w:sz="4" w:space="0" w:color="auto"/>
            </w:tcBorders>
            <w:noWrap/>
            <w:vAlign w:val="bottom"/>
            <w:hideMark/>
          </w:tcPr>
          <w:p w14:paraId="2291DD3C"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2B91399E"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65385B35"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S9</w:t>
            </w:r>
          </w:p>
        </w:tc>
        <w:tc>
          <w:tcPr>
            <w:tcW w:w="1480" w:type="dxa"/>
            <w:tcBorders>
              <w:top w:val="nil"/>
              <w:left w:val="nil"/>
              <w:bottom w:val="single" w:sz="4" w:space="0" w:color="auto"/>
              <w:right w:val="single" w:sz="4" w:space="0" w:color="auto"/>
            </w:tcBorders>
            <w:noWrap/>
            <w:vAlign w:val="bottom"/>
            <w:hideMark/>
          </w:tcPr>
          <w:p w14:paraId="3E0FEDCD"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56.74</w:t>
            </w:r>
          </w:p>
        </w:tc>
        <w:tc>
          <w:tcPr>
            <w:tcW w:w="1260" w:type="dxa"/>
            <w:tcBorders>
              <w:top w:val="nil"/>
              <w:left w:val="nil"/>
              <w:bottom w:val="single" w:sz="4" w:space="0" w:color="auto"/>
              <w:right w:val="single" w:sz="4" w:space="0" w:color="auto"/>
            </w:tcBorders>
            <w:noWrap/>
            <w:vAlign w:val="bottom"/>
            <w:hideMark/>
          </w:tcPr>
          <w:p w14:paraId="04229A62"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58.67</w:t>
            </w:r>
          </w:p>
        </w:tc>
        <w:tc>
          <w:tcPr>
            <w:tcW w:w="1340" w:type="dxa"/>
            <w:tcBorders>
              <w:top w:val="nil"/>
              <w:left w:val="nil"/>
              <w:bottom w:val="single" w:sz="4" w:space="0" w:color="auto"/>
              <w:right w:val="single" w:sz="4" w:space="0" w:color="auto"/>
            </w:tcBorders>
            <w:noWrap/>
            <w:vAlign w:val="bottom"/>
            <w:hideMark/>
          </w:tcPr>
          <w:p w14:paraId="3E894AF6"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58.42</w:t>
            </w:r>
          </w:p>
        </w:tc>
        <w:tc>
          <w:tcPr>
            <w:tcW w:w="960" w:type="dxa"/>
            <w:tcBorders>
              <w:top w:val="nil"/>
              <w:left w:val="nil"/>
              <w:bottom w:val="single" w:sz="4" w:space="0" w:color="auto"/>
              <w:right w:val="single" w:sz="4" w:space="0" w:color="auto"/>
            </w:tcBorders>
            <w:noWrap/>
            <w:vAlign w:val="bottom"/>
            <w:hideMark/>
          </w:tcPr>
          <w:p w14:paraId="340DA366"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57.94</w:t>
            </w:r>
          </w:p>
        </w:tc>
        <w:tc>
          <w:tcPr>
            <w:tcW w:w="901" w:type="dxa"/>
            <w:gridSpan w:val="2"/>
            <w:tcBorders>
              <w:top w:val="nil"/>
              <w:left w:val="nil"/>
              <w:bottom w:val="single" w:sz="4" w:space="0" w:color="auto"/>
              <w:right w:val="single" w:sz="4" w:space="0" w:color="auto"/>
            </w:tcBorders>
            <w:noWrap/>
            <w:vAlign w:val="bottom"/>
            <w:hideMark/>
          </w:tcPr>
          <w:p w14:paraId="0A424657"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Poor</w:t>
            </w:r>
          </w:p>
        </w:tc>
      </w:tr>
      <w:tr w:rsidR="005D3BEB" w:rsidRPr="00471FB7" w14:paraId="09261395"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7D5C3D35"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S10</w:t>
            </w:r>
          </w:p>
        </w:tc>
        <w:tc>
          <w:tcPr>
            <w:tcW w:w="1480" w:type="dxa"/>
            <w:tcBorders>
              <w:top w:val="nil"/>
              <w:left w:val="nil"/>
              <w:bottom w:val="single" w:sz="4" w:space="0" w:color="auto"/>
              <w:right w:val="single" w:sz="4" w:space="0" w:color="auto"/>
            </w:tcBorders>
            <w:noWrap/>
            <w:vAlign w:val="bottom"/>
            <w:hideMark/>
          </w:tcPr>
          <w:p w14:paraId="56A52026"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29.33</w:t>
            </w:r>
          </w:p>
        </w:tc>
        <w:tc>
          <w:tcPr>
            <w:tcW w:w="1260" w:type="dxa"/>
            <w:tcBorders>
              <w:top w:val="nil"/>
              <w:left w:val="nil"/>
              <w:bottom w:val="single" w:sz="4" w:space="0" w:color="auto"/>
              <w:right w:val="single" w:sz="4" w:space="0" w:color="auto"/>
            </w:tcBorders>
            <w:noWrap/>
            <w:vAlign w:val="bottom"/>
            <w:hideMark/>
          </w:tcPr>
          <w:p w14:paraId="17CF426D"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31.26</w:t>
            </w:r>
          </w:p>
        </w:tc>
        <w:tc>
          <w:tcPr>
            <w:tcW w:w="1340" w:type="dxa"/>
            <w:tcBorders>
              <w:top w:val="nil"/>
              <w:left w:val="nil"/>
              <w:bottom w:val="single" w:sz="4" w:space="0" w:color="auto"/>
              <w:right w:val="single" w:sz="4" w:space="0" w:color="auto"/>
            </w:tcBorders>
            <w:noWrap/>
            <w:vAlign w:val="bottom"/>
            <w:hideMark/>
          </w:tcPr>
          <w:p w14:paraId="0534034D"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31.02</w:t>
            </w:r>
          </w:p>
        </w:tc>
        <w:tc>
          <w:tcPr>
            <w:tcW w:w="960" w:type="dxa"/>
            <w:tcBorders>
              <w:top w:val="nil"/>
              <w:left w:val="nil"/>
              <w:bottom w:val="single" w:sz="4" w:space="0" w:color="auto"/>
              <w:right w:val="single" w:sz="4" w:space="0" w:color="auto"/>
            </w:tcBorders>
            <w:noWrap/>
            <w:vAlign w:val="bottom"/>
            <w:hideMark/>
          </w:tcPr>
          <w:p w14:paraId="376F6130"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30.54</w:t>
            </w:r>
          </w:p>
        </w:tc>
        <w:tc>
          <w:tcPr>
            <w:tcW w:w="901" w:type="dxa"/>
            <w:gridSpan w:val="2"/>
            <w:tcBorders>
              <w:top w:val="nil"/>
              <w:left w:val="nil"/>
              <w:bottom w:val="single" w:sz="4" w:space="0" w:color="auto"/>
              <w:right w:val="single" w:sz="4" w:space="0" w:color="auto"/>
            </w:tcBorders>
            <w:noWrap/>
            <w:vAlign w:val="bottom"/>
            <w:hideMark/>
          </w:tcPr>
          <w:p w14:paraId="46F03B77"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r w:rsidR="005D3BEB" w:rsidRPr="00471FB7" w14:paraId="3BC5A1A6"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14C9FC52"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S11</w:t>
            </w:r>
          </w:p>
        </w:tc>
        <w:tc>
          <w:tcPr>
            <w:tcW w:w="1480" w:type="dxa"/>
            <w:tcBorders>
              <w:top w:val="nil"/>
              <w:left w:val="nil"/>
              <w:bottom w:val="single" w:sz="4" w:space="0" w:color="auto"/>
              <w:right w:val="single" w:sz="4" w:space="0" w:color="auto"/>
            </w:tcBorders>
            <w:noWrap/>
            <w:vAlign w:val="bottom"/>
            <w:hideMark/>
          </w:tcPr>
          <w:p w14:paraId="23E18A51"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60.51</w:t>
            </w:r>
          </w:p>
        </w:tc>
        <w:tc>
          <w:tcPr>
            <w:tcW w:w="1260" w:type="dxa"/>
            <w:tcBorders>
              <w:top w:val="nil"/>
              <w:left w:val="nil"/>
              <w:bottom w:val="single" w:sz="4" w:space="0" w:color="auto"/>
              <w:right w:val="single" w:sz="4" w:space="0" w:color="auto"/>
            </w:tcBorders>
            <w:noWrap/>
            <w:vAlign w:val="bottom"/>
            <w:hideMark/>
          </w:tcPr>
          <w:p w14:paraId="1E840591"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62.44</w:t>
            </w:r>
          </w:p>
        </w:tc>
        <w:tc>
          <w:tcPr>
            <w:tcW w:w="1340" w:type="dxa"/>
            <w:tcBorders>
              <w:top w:val="nil"/>
              <w:left w:val="nil"/>
              <w:bottom w:val="single" w:sz="4" w:space="0" w:color="auto"/>
              <w:right w:val="single" w:sz="4" w:space="0" w:color="auto"/>
            </w:tcBorders>
            <w:noWrap/>
            <w:vAlign w:val="bottom"/>
            <w:hideMark/>
          </w:tcPr>
          <w:p w14:paraId="49D651BC"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62.20</w:t>
            </w:r>
          </w:p>
        </w:tc>
        <w:tc>
          <w:tcPr>
            <w:tcW w:w="960" w:type="dxa"/>
            <w:tcBorders>
              <w:top w:val="nil"/>
              <w:left w:val="nil"/>
              <w:bottom w:val="single" w:sz="4" w:space="0" w:color="auto"/>
              <w:right w:val="single" w:sz="4" w:space="0" w:color="auto"/>
            </w:tcBorders>
            <w:noWrap/>
            <w:vAlign w:val="bottom"/>
            <w:hideMark/>
          </w:tcPr>
          <w:p w14:paraId="3E0A6CC4"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61.72</w:t>
            </w:r>
          </w:p>
        </w:tc>
        <w:tc>
          <w:tcPr>
            <w:tcW w:w="901" w:type="dxa"/>
            <w:gridSpan w:val="2"/>
            <w:tcBorders>
              <w:top w:val="nil"/>
              <w:left w:val="nil"/>
              <w:bottom w:val="single" w:sz="4" w:space="0" w:color="auto"/>
              <w:right w:val="single" w:sz="4" w:space="0" w:color="auto"/>
            </w:tcBorders>
            <w:noWrap/>
            <w:vAlign w:val="bottom"/>
            <w:hideMark/>
          </w:tcPr>
          <w:p w14:paraId="30FB8261"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Poor</w:t>
            </w:r>
          </w:p>
        </w:tc>
      </w:tr>
      <w:tr w:rsidR="005D3BEB" w:rsidRPr="00471FB7" w14:paraId="5D5B705B" w14:textId="77777777" w:rsidTr="005D3BEB">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27D7320D"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S12</w:t>
            </w:r>
          </w:p>
        </w:tc>
        <w:tc>
          <w:tcPr>
            <w:tcW w:w="1480" w:type="dxa"/>
            <w:tcBorders>
              <w:top w:val="nil"/>
              <w:left w:val="nil"/>
              <w:bottom w:val="single" w:sz="4" w:space="0" w:color="auto"/>
              <w:right w:val="single" w:sz="4" w:space="0" w:color="auto"/>
            </w:tcBorders>
            <w:noWrap/>
            <w:vAlign w:val="bottom"/>
            <w:hideMark/>
          </w:tcPr>
          <w:p w14:paraId="05A7E0E9"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61.48</w:t>
            </w:r>
          </w:p>
        </w:tc>
        <w:tc>
          <w:tcPr>
            <w:tcW w:w="1260" w:type="dxa"/>
            <w:tcBorders>
              <w:top w:val="nil"/>
              <w:left w:val="nil"/>
              <w:bottom w:val="single" w:sz="4" w:space="0" w:color="auto"/>
              <w:right w:val="single" w:sz="4" w:space="0" w:color="auto"/>
            </w:tcBorders>
            <w:noWrap/>
            <w:vAlign w:val="bottom"/>
            <w:hideMark/>
          </w:tcPr>
          <w:p w14:paraId="146C095D"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63.41</w:t>
            </w:r>
          </w:p>
        </w:tc>
        <w:tc>
          <w:tcPr>
            <w:tcW w:w="1340" w:type="dxa"/>
            <w:tcBorders>
              <w:top w:val="nil"/>
              <w:left w:val="nil"/>
              <w:bottom w:val="single" w:sz="4" w:space="0" w:color="auto"/>
              <w:right w:val="single" w:sz="4" w:space="0" w:color="auto"/>
            </w:tcBorders>
            <w:noWrap/>
            <w:vAlign w:val="bottom"/>
            <w:hideMark/>
          </w:tcPr>
          <w:p w14:paraId="0FAFE98A"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63.17</w:t>
            </w:r>
          </w:p>
        </w:tc>
        <w:tc>
          <w:tcPr>
            <w:tcW w:w="960" w:type="dxa"/>
            <w:tcBorders>
              <w:top w:val="nil"/>
              <w:left w:val="nil"/>
              <w:bottom w:val="single" w:sz="4" w:space="0" w:color="auto"/>
              <w:right w:val="single" w:sz="4" w:space="0" w:color="auto"/>
            </w:tcBorders>
            <w:noWrap/>
            <w:vAlign w:val="bottom"/>
            <w:hideMark/>
          </w:tcPr>
          <w:p w14:paraId="6A9F01D0"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62.69</w:t>
            </w:r>
          </w:p>
        </w:tc>
        <w:tc>
          <w:tcPr>
            <w:tcW w:w="901" w:type="dxa"/>
            <w:gridSpan w:val="2"/>
            <w:tcBorders>
              <w:top w:val="nil"/>
              <w:left w:val="nil"/>
              <w:bottom w:val="single" w:sz="4" w:space="0" w:color="auto"/>
              <w:right w:val="single" w:sz="4" w:space="0" w:color="auto"/>
            </w:tcBorders>
            <w:noWrap/>
            <w:vAlign w:val="bottom"/>
            <w:hideMark/>
          </w:tcPr>
          <w:p w14:paraId="7115689E"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Poor</w:t>
            </w:r>
          </w:p>
        </w:tc>
      </w:tr>
      <w:tr w:rsidR="005D3BEB" w:rsidRPr="00471FB7" w14:paraId="2786D094" w14:textId="77777777" w:rsidTr="005D3BEB">
        <w:trPr>
          <w:trHeight w:val="80"/>
          <w:jc w:val="center"/>
        </w:trPr>
        <w:tc>
          <w:tcPr>
            <w:tcW w:w="960" w:type="dxa"/>
            <w:tcBorders>
              <w:top w:val="nil"/>
              <w:left w:val="single" w:sz="4" w:space="0" w:color="auto"/>
              <w:bottom w:val="single" w:sz="4" w:space="0" w:color="auto"/>
              <w:right w:val="single" w:sz="4" w:space="0" w:color="auto"/>
            </w:tcBorders>
            <w:noWrap/>
            <w:vAlign w:val="bottom"/>
            <w:hideMark/>
          </w:tcPr>
          <w:p w14:paraId="17F22FBF"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S13</w:t>
            </w:r>
          </w:p>
        </w:tc>
        <w:tc>
          <w:tcPr>
            <w:tcW w:w="1480" w:type="dxa"/>
            <w:tcBorders>
              <w:top w:val="nil"/>
              <w:left w:val="nil"/>
              <w:bottom w:val="single" w:sz="4" w:space="0" w:color="auto"/>
              <w:right w:val="single" w:sz="4" w:space="0" w:color="auto"/>
            </w:tcBorders>
            <w:noWrap/>
            <w:vAlign w:val="bottom"/>
            <w:hideMark/>
          </w:tcPr>
          <w:p w14:paraId="411E8050" w14:textId="77777777" w:rsidR="005D3BEB" w:rsidRPr="00471FB7" w:rsidRDefault="005D3BEB" w:rsidP="008608A9">
            <w:pPr>
              <w:spacing w:after="0" w:line="240" w:lineRule="auto"/>
              <w:jc w:val="center"/>
              <w:rPr>
                <w:rFonts w:ascii="Calibri" w:eastAsia="Times New Roman" w:hAnsi="Calibri" w:cs="Calibri"/>
                <w:color w:val="000000"/>
              </w:rPr>
            </w:pPr>
            <w:r w:rsidRPr="00471FB7">
              <w:rPr>
                <w:rFonts w:ascii="Calibri" w:eastAsia="Times New Roman" w:hAnsi="Calibri" w:cs="Calibri"/>
                <w:color w:val="000000"/>
              </w:rPr>
              <w:t>38.75</w:t>
            </w:r>
          </w:p>
        </w:tc>
        <w:tc>
          <w:tcPr>
            <w:tcW w:w="1260" w:type="dxa"/>
            <w:tcBorders>
              <w:top w:val="nil"/>
              <w:left w:val="nil"/>
              <w:bottom w:val="single" w:sz="4" w:space="0" w:color="auto"/>
              <w:right w:val="single" w:sz="4" w:space="0" w:color="auto"/>
            </w:tcBorders>
            <w:noWrap/>
            <w:vAlign w:val="bottom"/>
            <w:hideMark/>
          </w:tcPr>
          <w:p w14:paraId="4A2D534E"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40.68</w:t>
            </w:r>
          </w:p>
        </w:tc>
        <w:tc>
          <w:tcPr>
            <w:tcW w:w="1340" w:type="dxa"/>
            <w:tcBorders>
              <w:top w:val="nil"/>
              <w:left w:val="nil"/>
              <w:bottom w:val="single" w:sz="4" w:space="0" w:color="auto"/>
              <w:right w:val="single" w:sz="4" w:space="0" w:color="auto"/>
            </w:tcBorders>
            <w:noWrap/>
            <w:vAlign w:val="bottom"/>
            <w:hideMark/>
          </w:tcPr>
          <w:p w14:paraId="47E1B3CC"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40.44</w:t>
            </w:r>
          </w:p>
        </w:tc>
        <w:tc>
          <w:tcPr>
            <w:tcW w:w="960" w:type="dxa"/>
            <w:tcBorders>
              <w:top w:val="nil"/>
              <w:left w:val="nil"/>
              <w:bottom w:val="single" w:sz="4" w:space="0" w:color="auto"/>
              <w:right w:val="single" w:sz="4" w:space="0" w:color="auto"/>
            </w:tcBorders>
            <w:noWrap/>
            <w:vAlign w:val="bottom"/>
            <w:hideMark/>
          </w:tcPr>
          <w:p w14:paraId="38BB787E" w14:textId="77777777" w:rsidR="005D3BEB" w:rsidRPr="00471FB7" w:rsidRDefault="005D3BEB" w:rsidP="008608A9">
            <w:pPr>
              <w:spacing w:after="0" w:line="240" w:lineRule="auto"/>
              <w:jc w:val="right"/>
              <w:rPr>
                <w:rFonts w:ascii="Calibri" w:eastAsia="Times New Roman" w:hAnsi="Calibri" w:cs="Calibri"/>
                <w:color w:val="000000"/>
              </w:rPr>
            </w:pPr>
            <w:r w:rsidRPr="00471FB7">
              <w:rPr>
                <w:rFonts w:ascii="Calibri" w:eastAsia="Times New Roman" w:hAnsi="Calibri" w:cs="Calibri"/>
                <w:color w:val="000000"/>
              </w:rPr>
              <w:t>39.95</w:t>
            </w:r>
          </w:p>
        </w:tc>
        <w:tc>
          <w:tcPr>
            <w:tcW w:w="901" w:type="dxa"/>
            <w:gridSpan w:val="2"/>
            <w:tcBorders>
              <w:top w:val="nil"/>
              <w:left w:val="nil"/>
              <w:bottom w:val="single" w:sz="4" w:space="0" w:color="auto"/>
              <w:right w:val="single" w:sz="4" w:space="0" w:color="auto"/>
            </w:tcBorders>
            <w:noWrap/>
            <w:vAlign w:val="bottom"/>
            <w:hideMark/>
          </w:tcPr>
          <w:p w14:paraId="0B0A5C62" w14:textId="77777777" w:rsidR="005D3BEB" w:rsidRPr="00471FB7" w:rsidRDefault="005D3BEB" w:rsidP="008608A9">
            <w:pPr>
              <w:spacing w:after="0" w:line="240" w:lineRule="auto"/>
              <w:rPr>
                <w:rFonts w:ascii="Calibri" w:eastAsia="Times New Roman" w:hAnsi="Calibri" w:cs="Calibri"/>
                <w:color w:val="000000"/>
              </w:rPr>
            </w:pPr>
            <w:r w:rsidRPr="00471FB7">
              <w:rPr>
                <w:rFonts w:ascii="Calibri" w:eastAsia="Times New Roman" w:hAnsi="Calibri" w:cs="Calibri"/>
                <w:color w:val="000000"/>
              </w:rPr>
              <w:t>Good</w:t>
            </w:r>
          </w:p>
        </w:tc>
      </w:tr>
    </w:tbl>
    <w:p w14:paraId="79FC8159" w14:textId="77777777" w:rsidR="00562993" w:rsidRDefault="00932533" w:rsidP="00562993">
      <w:pPr>
        <w:pStyle w:val="NormalWeb"/>
        <w:jc w:val="both"/>
      </w:pPr>
      <w:r>
        <w:t xml:space="preserve">WQI result </w:t>
      </w:r>
      <w:r w:rsidR="00C97E7D">
        <w:t>from</w:t>
      </w:r>
      <w:r w:rsidR="00C97E7D" w:rsidRPr="00932533">
        <w:rPr>
          <w:b/>
        </w:rPr>
        <w:t xml:space="preserve"> Table</w:t>
      </w:r>
      <w:r w:rsidR="00562993" w:rsidRPr="00932533">
        <w:rPr>
          <w:b/>
        </w:rPr>
        <w:t xml:space="preserve"> 3</w:t>
      </w:r>
      <w:r>
        <w:t xml:space="preserve"> states that</w:t>
      </w:r>
      <w:r w:rsidR="00562993">
        <w:t xml:space="preserve"> the majority of samples </w:t>
      </w:r>
      <w:r w:rsidR="005D3BEB">
        <w:t xml:space="preserve">(77%) </w:t>
      </w:r>
      <w:r w:rsidR="00562993">
        <w:t xml:space="preserve">were classified </w:t>
      </w:r>
      <w:proofErr w:type="gramStart"/>
      <w:r w:rsidR="00562993">
        <w:t xml:space="preserve">as </w:t>
      </w:r>
      <w:r>
        <w:t xml:space="preserve"> </w:t>
      </w:r>
      <w:r w:rsidR="00562993">
        <w:t>Good</w:t>
      </w:r>
      <w:proofErr w:type="gramEnd"/>
      <w:r w:rsidR="00562993">
        <w:t>, indicating overall acceptable groundwater quality for drinking purposes with minor treatment. A smaller proportion of samples</w:t>
      </w:r>
      <w:r w:rsidR="005D3BEB">
        <w:t xml:space="preserve"> (23%)</w:t>
      </w:r>
      <w:r w:rsidR="00562993">
        <w:t xml:space="preserve"> fell within </w:t>
      </w:r>
      <w:r w:rsidR="00CF26E6">
        <w:t>the Poor</w:t>
      </w:r>
      <w:r w:rsidR="00562993">
        <w:t xml:space="preserve"> </w:t>
      </w:r>
      <w:r w:rsidR="005D3BEB">
        <w:t>category,</w:t>
      </w:r>
      <w:r w:rsidR="00562993">
        <w:t xml:space="preserve"> </w:t>
      </w:r>
      <w:r w:rsidR="005D3BEB">
        <w:t>indicating</w:t>
      </w:r>
      <w:r w:rsidR="00562993">
        <w:t xml:space="preserve"> localized deterioration likely associated with geogenic mineral dissolution and seasonal concentration effects. No samples were categorized under Very Poor or Unsuitable classes, indicating the absence of severe contamination during the monitoring period.</w:t>
      </w:r>
    </w:p>
    <w:p w14:paraId="66FB2D63" w14:textId="77777777" w:rsidR="00562993" w:rsidRDefault="00562993" w:rsidP="00562993">
      <w:pPr>
        <w:pStyle w:val="NormalWeb"/>
        <w:jc w:val="both"/>
      </w:pPr>
      <w:r>
        <w:t xml:space="preserve">The observed WQI variability reflects nonlinear interactions among major cations, anions, and physicochemical parameters. Seasonal recharge and </w:t>
      </w:r>
      <w:proofErr w:type="spellStart"/>
      <w:r>
        <w:t>evapoconcentration</w:t>
      </w:r>
      <w:proofErr w:type="spellEnd"/>
      <w:r>
        <w:t xml:space="preserve"> likely influence fluctuations in TDS, hardness, and major ion chemistry, which in turn affect WQI values. However, the absence of extreme WQI classes (WQI 76-100, WQI &gt;100) suggests that groundwater quality degradation is moderate rather than critical within the investigated region.</w:t>
      </w:r>
    </w:p>
    <w:p w14:paraId="4D092B1F" w14:textId="77777777" w:rsidR="00111B89" w:rsidRDefault="00C078B1" w:rsidP="00111B89">
      <w:pPr>
        <w:pStyle w:val="Heading2"/>
        <w:rPr>
          <w:rFonts w:ascii="Arial" w:hAnsi="Arial" w:cs="Arial"/>
          <w:sz w:val="20"/>
          <w:szCs w:val="20"/>
        </w:rPr>
      </w:pPr>
      <w:r>
        <w:rPr>
          <w:rFonts w:ascii="Arial" w:hAnsi="Arial" w:cs="Arial"/>
          <w:sz w:val="20"/>
          <w:szCs w:val="20"/>
        </w:rPr>
        <w:t xml:space="preserve">3.2. </w:t>
      </w:r>
      <w:r w:rsidR="00111B89" w:rsidRPr="000470FD">
        <w:rPr>
          <w:rFonts w:ascii="Arial" w:hAnsi="Arial" w:cs="Arial"/>
          <w:sz w:val="20"/>
          <w:szCs w:val="20"/>
        </w:rPr>
        <w:t>ANN Performance Evaluation</w:t>
      </w:r>
    </w:p>
    <w:p w14:paraId="73C81D46" w14:textId="77777777" w:rsidR="00C3727C" w:rsidRPr="00C3727C" w:rsidRDefault="00C3727C" w:rsidP="00C3727C">
      <w:pPr>
        <w:pStyle w:val="NormalWeb"/>
        <w:jc w:val="both"/>
        <w:rPr>
          <w:rFonts w:ascii="Arial" w:hAnsi="Arial" w:cs="Arial"/>
          <w:sz w:val="22"/>
          <w:szCs w:val="22"/>
        </w:rPr>
      </w:pPr>
      <w:r w:rsidRPr="00C3727C">
        <w:rPr>
          <w:rFonts w:ascii="Arial" w:hAnsi="Arial" w:cs="Arial"/>
          <w:sz w:val="22"/>
          <w:szCs w:val="22"/>
        </w:rPr>
        <w:t xml:space="preserve">The comparison between experimentally </w:t>
      </w:r>
      <w:r w:rsidR="003F072C">
        <w:rPr>
          <w:rFonts w:ascii="Arial" w:hAnsi="Arial" w:cs="Arial"/>
          <w:sz w:val="22"/>
          <w:szCs w:val="22"/>
        </w:rPr>
        <w:t>computed</w:t>
      </w:r>
      <w:r w:rsidRPr="00C3727C">
        <w:rPr>
          <w:rFonts w:ascii="Arial" w:hAnsi="Arial" w:cs="Arial"/>
          <w:sz w:val="22"/>
          <w:szCs w:val="22"/>
        </w:rPr>
        <w:t xml:space="preserve"> and ANN-predicted Water Quality Index (WQI) values </w:t>
      </w:r>
      <w:r w:rsidR="003F072C">
        <w:rPr>
          <w:rFonts w:ascii="Arial" w:hAnsi="Arial" w:cs="Arial"/>
          <w:sz w:val="22"/>
          <w:szCs w:val="22"/>
        </w:rPr>
        <w:t xml:space="preserve">for six months (from May-2021 to October-2021) </w:t>
      </w:r>
      <w:r w:rsidRPr="00C3727C">
        <w:rPr>
          <w:rFonts w:ascii="Arial" w:hAnsi="Arial" w:cs="Arial"/>
          <w:sz w:val="22"/>
          <w:szCs w:val="22"/>
        </w:rPr>
        <w:t xml:space="preserve">is presented in </w:t>
      </w:r>
      <w:r w:rsidRPr="00C3727C">
        <w:rPr>
          <w:rFonts w:ascii="Arial" w:hAnsi="Arial" w:cs="Arial"/>
          <w:b/>
          <w:sz w:val="22"/>
          <w:szCs w:val="22"/>
        </w:rPr>
        <w:t>Table 4</w:t>
      </w:r>
      <w:r w:rsidRPr="00C3727C">
        <w:rPr>
          <w:rFonts w:ascii="Arial" w:hAnsi="Arial" w:cs="Arial"/>
          <w:sz w:val="22"/>
          <w:szCs w:val="22"/>
        </w:rPr>
        <w:t>. The model demonstrated excellent predictive performance, with a high coefficient of determination (R² = 0.998), indicating a very strong agreement between observed and predicted values.</w:t>
      </w:r>
    </w:p>
    <w:p w14:paraId="5F17FE8A" w14:textId="77777777" w:rsidR="00B751C4" w:rsidRDefault="00B751C4" w:rsidP="00B751C4">
      <w:pPr>
        <w:pStyle w:val="NormalWeb"/>
        <w:jc w:val="center"/>
        <w:rPr>
          <w:rFonts w:ascii="Arial" w:hAnsi="Arial" w:cs="Arial"/>
          <w:b/>
          <w:bCs/>
          <w:sz w:val="20"/>
          <w:szCs w:val="20"/>
        </w:rPr>
      </w:pPr>
      <w:r w:rsidRPr="00BD1CE7">
        <w:rPr>
          <w:rFonts w:ascii="Arial" w:hAnsi="Arial" w:cs="Arial"/>
          <w:b/>
          <w:bCs/>
          <w:sz w:val="20"/>
          <w:szCs w:val="20"/>
        </w:rPr>
        <w:t>Table 4</w:t>
      </w:r>
      <w:r w:rsidRPr="000470FD">
        <w:rPr>
          <w:rFonts w:ascii="Arial" w:hAnsi="Arial" w:cs="Arial"/>
          <w:b/>
          <w:bCs/>
          <w:sz w:val="20"/>
          <w:szCs w:val="20"/>
        </w:rPr>
        <w:t xml:space="preserve">: </w:t>
      </w:r>
      <w:r w:rsidRPr="00BD1CE7">
        <w:rPr>
          <w:rFonts w:ascii="Arial" w:hAnsi="Arial" w:cs="Arial"/>
          <w:b/>
          <w:bCs/>
          <w:sz w:val="20"/>
          <w:szCs w:val="20"/>
        </w:rPr>
        <w:t>Comparison Between Experimented and ANN Predicted WQI Values</w:t>
      </w:r>
      <w:r w:rsidR="004F7AAE">
        <w:rPr>
          <w:rFonts w:ascii="Arial" w:hAnsi="Arial" w:cs="Arial"/>
          <w:b/>
          <w:bCs/>
          <w:sz w:val="20"/>
          <w:szCs w:val="20"/>
        </w:rPr>
        <w:t xml:space="preserve"> during Testing </w:t>
      </w:r>
    </w:p>
    <w:tbl>
      <w:tblPr>
        <w:tblW w:w="7578" w:type="dxa"/>
        <w:jc w:val="center"/>
        <w:tblLayout w:type="fixed"/>
        <w:tblLook w:val="04A0" w:firstRow="1" w:lastRow="0" w:firstColumn="1" w:lastColumn="0" w:noHBand="0" w:noVBand="1"/>
      </w:tblPr>
      <w:tblGrid>
        <w:gridCol w:w="977"/>
        <w:gridCol w:w="1577"/>
        <w:gridCol w:w="813"/>
        <w:gridCol w:w="881"/>
        <w:gridCol w:w="810"/>
        <w:gridCol w:w="900"/>
        <w:gridCol w:w="777"/>
        <w:gridCol w:w="843"/>
      </w:tblGrid>
      <w:tr w:rsidR="00562C7A" w14:paraId="0ACCE077" w14:textId="77777777" w:rsidTr="00562C7A">
        <w:trPr>
          <w:trHeight w:val="288"/>
          <w:jc w:val="center"/>
        </w:trPr>
        <w:tc>
          <w:tcPr>
            <w:tcW w:w="97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8CD491"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Sample ID</w:t>
            </w:r>
          </w:p>
        </w:tc>
        <w:tc>
          <w:tcPr>
            <w:tcW w:w="1577" w:type="dxa"/>
            <w:tcBorders>
              <w:top w:val="single" w:sz="4" w:space="0" w:color="auto"/>
              <w:left w:val="nil"/>
              <w:bottom w:val="single" w:sz="4" w:space="0" w:color="auto"/>
              <w:right w:val="single" w:sz="4" w:space="0" w:color="auto"/>
            </w:tcBorders>
            <w:shd w:val="clear" w:color="auto" w:fill="FFFFFF"/>
            <w:noWrap/>
            <w:vAlign w:val="bottom"/>
            <w:hideMark/>
          </w:tcPr>
          <w:p w14:paraId="53C38FBF"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Month&amp; Year</w:t>
            </w:r>
          </w:p>
          <w:p w14:paraId="106E80C2"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w:t>
            </w:r>
          </w:p>
        </w:tc>
        <w:tc>
          <w:tcPr>
            <w:tcW w:w="813" w:type="dxa"/>
            <w:tcBorders>
              <w:top w:val="single" w:sz="4" w:space="0" w:color="auto"/>
              <w:left w:val="nil"/>
              <w:bottom w:val="single" w:sz="4" w:space="0" w:color="auto"/>
              <w:right w:val="single" w:sz="4" w:space="0" w:color="auto"/>
            </w:tcBorders>
            <w:shd w:val="clear" w:color="auto" w:fill="FFFFFF"/>
            <w:noWrap/>
            <w:vAlign w:val="bottom"/>
            <w:hideMark/>
          </w:tcPr>
          <w:p w14:paraId="7A4E5B4E"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May-2021</w:t>
            </w:r>
          </w:p>
        </w:tc>
        <w:tc>
          <w:tcPr>
            <w:tcW w:w="881" w:type="dxa"/>
            <w:tcBorders>
              <w:top w:val="single" w:sz="4" w:space="0" w:color="auto"/>
              <w:left w:val="nil"/>
              <w:bottom w:val="single" w:sz="4" w:space="0" w:color="auto"/>
              <w:right w:val="single" w:sz="4" w:space="0" w:color="auto"/>
            </w:tcBorders>
            <w:shd w:val="clear" w:color="auto" w:fill="FFFFFF"/>
            <w:noWrap/>
            <w:vAlign w:val="bottom"/>
            <w:hideMark/>
          </w:tcPr>
          <w:p w14:paraId="2B11AE75"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Jun-2021</w:t>
            </w:r>
          </w:p>
        </w:tc>
        <w:tc>
          <w:tcPr>
            <w:tcW w:w="810" w:type="dxa"/>
            <w:tcBorders>
              <w:top w:val="single" w:sz="4" w:space="0" w:color="auto"/>
              <w:left w:val="nil"/>
              <w:bottom w:val="single" w:sz="4" w:space="0" w:color="auto"/>
              <w:right w:val="single" w:sz="4" w:space="0" w:color="auto"/>
            </w:tcBorders>
            <w:shd w:val="clear" w:color="auto" w:fill="FFFFFF"/>
            <w:noWrap/>
            <w:vAlign w:val="bottom"/>
            <w:hideMark/>
          </w:tcPr>
          <w:p w14:paraId="605E805D"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Jul-2021</w:t>
            </w:r>
          </w:p>
        </w:tc>
        <w:tc>
          <w:tcPr>
            <w:tcW w:w="900" w:type="dxa"/>
            <w:tcBorders>
              <w:top w:val="single" w:sz="4" w:space="0" w:color="auto"/>
              <w:left w:val="nil"/>
              <w:bottom w:val="single" w:sz="4" w:space="0" w:color="auto"/>
              <w:right w:val="single" w:sz="4" w:space="0" w:color="auto"/>
            </w:tcBorders>
            <w:shd w:val="clear" w:color="auto" w:fill="FFFFFF"/>
            <w:noWrap/>
            <w:vAlign w:val="bottom"/>
            <w:hideMark/>
          </w:tcPr>
          <w:p w14:paraId="246F6307"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Aug-2021</w:t>
            </w:r>
          </w:p>
        </w:tc>
        <w:tc>
          <w:tcPr>
            <w:tcW w:w="777" w:type="dxa"/>
            <w:tcBorders>
              <w:top w:val="single" w:sz="4" w:space="0" w:color="auto"/>
              <w:left w:val="nil"/>
              <w:bottom w:val="single" w:sz="4" w:space="0" w:color="auto"/>
              <w:right w:val="single" w:sz="4" w:space="0" w:color="auto"/>
            </w:tcBorders>
            <w:shd w:val="clear" w:color="auto" w:fill="FFFFFF"/>
            <w:noWrap/>
            <w:vAlign w:val="bottom"/>
            <w:hideMark/>
          </w:tcPr>
          <w:p w14:paraId="6036C4F4"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Sep-2021</w:t>
            </w:r>
          </w:p>
        </w:tc>
        <w:tc>
          <w:tcPr>
            <w:tcW w:w="843" w:type="dxa"/>
            <w:tcBorders>
              <w:top w:val="single" w:sz="4" w:space="0" w:color="auto"/>
              <w:left w:val="nil"/>
              <w:bottom w:val="single" w:sz="4" w:space="0" w:color="auto"/>
              <w:right w:val="single" w:sz="4" w:space="0" w:color="auto"/>
            </w:tcBorders>
            <w:shd w:val="clear" w:color="auto" w:fill="FFFFFF"/>
            <w:noWrap/>
            <w:vAlign w:val="bottom"/>
            <w:hideMark/>
          </w:tcPr>
          <w:p w14:paraId="302EB46F" w14:textId="77777777" w:rsidR="00562C7A" w:rsidRDefault="00562C7A" w:rsidP="008608A9">
            <w:pPr>
              <w:spacing w:after="0" w:line="240" w:lineRule="auto"/>
              <w:jc w:val="center"/>
              <w:rPr>
                <w:rFonts w:ascii="Bookman Old Style" w:eastAsia="Times New Roman" w:hAnsi="Bookman Old Style" w:cs="Calibri"/>
                <w:b/>
                <w:color w:val="000000"/>
                <w:sz w:val="20"/>
                <w:szCs w:val="20"/>
                <w:lang w:val="en-IN" w:eastAsia="en-IN"/>
              </w:rPr>
            </w:pPr>
            <w:r>
              <w:rPr>
                <w:rFonts w:ascii="Bookman Old Style" w:eastAsia="Times New Roman" w:hAnsi="Bookman Old Style" w:cs="Calibri"/>
                <w:b/>
                <w:color w:val="000000"/>
                <w:sz w:val="20"/>
                <w:szCs w:val="20"/>
                <w:lang w:val="en-IN" w:eastAsia="en-IN"/>
              </w:rPr>
              <w:t>Oct-2021</w:t>
            </w:r>
          </w:p>
        </w:tc>
      </w:tr>
      <w:tr w:rsidR="00562C7A" w14:paraId="3F12AB3D"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70CBFC69"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S1</w:t>
            </w:r>
          </w:p>
        </w:tc>
        <w:tc>
          <w:tcPr>
            <w:tcW w:w="1577" w:type="dxa"/>
            <w:tcBorders>
              <w:top w:val="nil"/>
              <w:left w:val="nil"/>
              <w:bottom w:val="single" w:sz="4" w:space="0" w:color="auto"/>
              <w:right w:val="single" w:sz="4" w:space="0" w:color="auto"/>
            </w:tcBorders>
            <w:shd w:val="clear" w:color="auto" w:fill="FFFFFF"/>
            <w:noWrap/>
            <w:vAlign w:val="bottom"/>
            <w:hideMark/>
          </w:tcPr>
          <w:p w14:paraId="5C9F3769"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631DAD4E"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48.41</w:t>
            </w:r>
          </w:p>
        </w:tc>
        <w:tc>
          <w:tcPr>
            <w:tcW w:w="881" w:type="dxa"/>
            <w:tcBorders>
              <w:top w:val="nil"/>
              <w:left w:val="nil"/>
              <w:bottom w:val="single" w:sz="4" w:space="0" w:color="auto"/>
              <w:right w:val="single" w:sz="4" w:space="0" w:color="auto"/>
            </w:tcBorders>
            <w:shd w:val="clear" w:color="auto" w:fill="FFFFFF"/>
            <w:noWrap/>
            <w:vAlign w:val="bottom"/>
            <w:hideMark/>
          </w:tcPr>
          <w:p w14:paraId="048E7456"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48.77</w:t>
            </w:r>
          </w:p>
        </w:tc>
        <w:tc>
          <w:tcPr>
            <w:tcW w:w="810" w:type="dxa"/>
            <w:tcBorders>
              <w:top w:val="nil"/>
              <w:left w:val="nil"/>
              <w:bottom w:val="single" w:sz="4" w:space="0" w:color="auto"/>
              <w:right w:val="single" w:sz="4" w:space="0" w:color="auto"/>
            </w:tcBorders>
            <w:shd w:val="clear" w:color="auto" w:fill="FFFFFF"/>
            <w:noWrap/>
            <w:vAlign w:val="bottom"/>
            <w:hideMark/>
          </w:tcPr>
          <w:p w14:paraId="6811C967"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37.03</w:t>
            </w:r>
          </w:p>
        </w:tc>
        <w:tc>
          <w:tcPr>
            <w:tcW w:w="900" w:type="dxa"/>
            <w:tcBorders>
              <w:top w:val="nil"/>
              <w:left w:val="nil"/>
              <w:bottom w:val="single" w:sz="4" w:space="0" w:color="auto"/>
              <w:right w:val="single" w:sz="4" w:space="0" w:color="auto"/>
            </w:tcBorders>
            <w:shd w:val="clear" w:color="auto" w:fill="FFFFFF"/>
            <w:noWrap/>
            <w:vAlign w:val="bottom"/>
            <w:hideMark/>
          </w:tcPr>
          <w:p w14:paraId="0D685D2C"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35.52</w:t>
            </w:r>
          </w:p>
        </w:tc>
        <w:tc>
          <w:tcPr>
            <w:tcW w:w="777" w:type="dxa"/>
            <w:tcBorders>
              <w:top w:val="nil"/>
              <w:left w:val="nil"/>
              <w:bottom w:val="single" w:sz="4" w:space="0" w:color="auto"/>
              <w:right w:val="single" w:sz="4" w:space="0" w:color="auto"/>
            </w:tcBorders>
            <w:shd w:val="clear" w:color="auto" w:fill="FFFFFF"/>
            <w:noWrap/>
            <w:vAlign w:val="bottom"/>
            <w:hideMark/>
          </w:tcPr>
          <w:p w14:paraId="77CB11E9"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34.52</w:t>
            </w:r>
          </w:p>
        </w:tc>
        <w:tc>
          <w:tcPr>
            <w:tcW w:w="843" w:type="dxa"/>
            <w:tcBorders>
              <w:top w:val="nil"/>
              <w:left w:val="nil"/>
              <w:bottom w:val="single" w:sz="4" w:space="0" w:color="auto"/>
              <w:right w:val="single" w:sz="4" w:space="0" w:color="auto"/>
            </w:tcBorders>
            <w:shd w:val="clear" w:color="auto" w:fill="FFFFFF"/>
            <w:noWrap/>
            <w:vAlign w:val="bottom"/>
            <w:hideMark/>
          </w:tcPr>
          <w:p w14:paraId="447B08F0"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31.62</w:t>
            </w:r>
          </w:p>
        </w:tc>
      </w:tr>
      <w:tr w:rsidR="00562C7A" w14:paraId="1D235611" w14:textId="77777777" w:rsidTr="00562C7A">
        <w:trPr>
          <w:trHeight w:val="377"/>
          <w:jc w:val="center"/>
        </w:trPr>
        <w:tc>
          <w:tcPr>
            <w:tcW w:w="977" w:type="dxa"/>
            <w:vMerge/>
            <w:tcBorders>
              <w:top w:val="nil"/>
              <w:left w:val="single" w:sz="4" w:space="0" w:color="auto"/>
              <w:bottom w:val="single" w:sz="4" w:space="0" w:color="auto"/>
              <w:right w:val="single" w:sz="4" w:space="0" w:color="auto"/>
            </w:tcBorders>
            <w:vAlign w:val="center"/>
            <w:hideMark/>
          </w:tcPr>
          <w:p w14:paraId="4A402B03"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1ABEE27E"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2803AB6E"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48.41</w:t>
            </w:r>
          </w:p>
        </w:tc>
        <w:tc>
          <w:tcPr>
            <w:tcW w:w="881" w:type="dxa"/>
            <w:tcBorders>
              <w:top w:val="nil"/>
              <w:left w:val="nil"/>
              <w:bottom w:val="single" w:sz="4" w:space="0" w:color="auto"/>
              <w:right w:val="single" w:sz="4" w:space="0" w:color="auto"/>
            </w:tcBorders>
            <w:shd w:val="clear" w:color="auto" w:fill="FFFFFF"/>
            <w:noWrap/>
            <w:vAlign w:val="bottom"/>
            <w:hideMark/>
          </w:tcPr>
          <w:p w14:paraId="2FD46285"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48.98</w:t>
            </w:r>
          </w:p>
        </w:tc>
        <w:tc>
          <w:tcPr>
            <w:tcW w:w="810" w:type="dxa"/>
            <w:tcBorders>
              <w:top w:val="nil"/>
              <w:left w:val="nil"/>
              <w:bottom w:val="single" w:sz="4" w:space="0" w:color="auto"/>
              <w:right w:val="single" w:sz="4" w:space="0" w:color="auto"/>
            </w:tcBorders>
            <w:shd w:val="clear" w:color="auto" w:fill="FFFFFF"/>
            <w:noWrap/>
            <w:vAlign w:val="bottom"/>
            <w:hideMark/>
          </w:tcPr>
          <w:p w14:paraId="01D44DB4"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36.28</w:t>
            </w:r>
          </w:p>
        </w:tc>
        <w:tc>
          <w:tcPr>
            <w:tcW w:w="900" w:type="dxa"/>
            <w:tcBorders>
              <w:top w:val="nil"/>
              <w:left w:val="nil"/>
              <w:bottom w:val="single" w:sz="4" w:space="0" w:color="auto"/>
              <w:right w:val="single" w:sz="4" w:space="0" w:color="auto"/>
            </w:tcBorders>
            <w:shd w:val="clear" w:color="auto" w:fill="FFFFFF"/>
            <w:noWrap/>
            <w:vAlign w:val="bottom"/>
            <w:hideMark/>
          </w:tcPr>
          <w:p w14:paraId="48B5AD82"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35.23</w:t>
            </w:r>
          </w:p>
        </w:tc>
        <w:tc>
          <w:tcPr>
            <w:tcW w:w="777" w:type="dxa"/>
            <w:tcBorders>
              <w:top w:val="nil"/>
              <w:left w:val="nil"/>
              <w:bottom w:val="single" w:sz="4" w:space="0" w:color="auto"/>
              <w:right w:val="single" w:sz="4" w:space="0" w:color="auto"/>
            </w:tcBorders>
            <w:shd w:val="clear" w:color="auto" w:fill="FFFFFF"/>
            <w:noWrap/>
            <w:vAlign w:val="bottom"/>
            <w:hideMark/>
          </w:tcPr>
          <w:p w14:paraId="7CCE3A21"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34.36</w:t>
            </w:r>
          </w:p>
        </w:tc>
        <w:tc>
          <w:tcPr>
            <w:tcW w:w="843" w:type="dxa"/>
            <w:tcBorders>
              <w:top w:val="nil"/>
              <w:left w:val="nil"/>
              <w:bottom w:val="single" w:sz="4" w:space="0" w:color="auto"/>
              <w:right w:val="single" w:sz="4" w:space="0" w:color="auto"/>
            </w:tcBorders>
            <w:shd w:val="clear" w:color="auto" w:fill="FFFFFF"/>
            <w:noWrap/>
            <w:vAlign w:val="bottom"/>
            <w:hideMark/>
          </w:tcPr>
          <w:p w14:paraId="0E98F608"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30.94</w:t>
            </w:r>
          </w:p>
        </w:tc>
      </w:tr>
      <w:tr w:rsidR="00562C7A" w14:paraId="6E5C28E0" w14:textId="77777777" w:rsidTr="00562C7A">
        <w:trPr>
          <w:trHeight w:val="323"/>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6FA996C0"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S2</w:t>
            </w:r>
          </w:p>
        </w:tc>
        <w:tc>
          <w:tcPr>
            <w:tcW w:w="1577" w:type="dxa"/>
            <w:tcBorders>
              <w:top w:val="nil"/>
              <w:left w:val="nil"/>
              <w:bottom w:val="single" w:sz="4" w:space="0" w:color="auto"/>
              <w:right w:val="single" w:sz="4" w:space="0" w:color="auto"/>
            </w:tcBorders>
            <w:shd w:val="clear" w:color="auto" w:fill="FFFFFF"/>
            <w:noWrap/>
            <w:vAlign w:val="bottom"/>
            <w:hideMark/>
          </w:tcPr>
          <w:p w14:paraId="58093604"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746A1170"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50.72</w:t>
            </w:r>
          </w:p>
        </w:tc>
        <w:tc>
          <w:tcPr>
            <w:tcW w:w="881" w:type="dxa"/>
            <w:tcBorders>
              <w:top w:val="nil"/>
              <w:left w:val="nil"/>
              <w:bottom w:val="single" w:sz="4" w:space="0" w:color="auto"/>
              <w:right w:val="single" w:sz="4" w:space="0" w:color="auto"/>
            </w:tcBorders>
            <w:shd w:val="clear" w:color="auto" w:fill="FFFFFF"/>
            <w:noWrap/>
            <w:vAlign w:val="bottom"/>
            <w:hideMark/>
          </w:tcPr>
          <w:p w14:paraId="242BFBA9"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50.43</w:t>
            </w:r>
          </w:p>
        </w:tc>
        <w:tc>
          <w:tcPr>
            <w:tcW w:w="810" w:type="dxa"/>
            <w:tcBorders>
              <w:top w:val="nil"/>
              <w:left w:val="nil"/>
              <w:bottom w:val="single" w:sz="4" w:space="0" w:color="auto"/>
              <w:right w:val="single" w:sz="4" w:space="0" w:color="auto"/>
            </w:tcBorders>
            <w:shd w:val="clear" w:color="auto" w:fill="FFFFFF"/>
            <w:noWrap/>
            <w:vAlign w:val="bottom"/>
            <w:hideMark/>
          </w:tcPr>
          <w:p w14:paraId="4662538B"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40.54</w:t>
            </w:r>
          </w:p>
        </w:tc>
        <w:tc>
          <w:tcPr>
            <w:tcW w:w="900" w:type="dxa"/>
            <w:tcBorders>
              <w:top w:val="nil"/>
              <w:left w:val="nil"/>
              <w:bottom w:val="single" w:sz="4" w:space="0" w:color="auto"/>
              <w:right w:val="single" w:sz="4" w:space="0" w:color="auto"/>
            </w:tcBorders>
            <w:shd w:val="clear" w:color="auto" w:fill="FFFFFF"/>
            <w:noWrap/>
            <w:vAlign w:val="bottom"/>
            <w:hideMark/>
          </w:tcPr>
          <w:p w14:paraId="452BCA78"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38.24</w:t>
            </w:r>
          </w:p>
        </w:tc>
        <w:tc>
          <w:tcPr>
            <w:tcW w:w="777" w:type="dxa"/>
            <w:tcBorders>
              <w:top w:val="nil"/>
              <w:left w:val="nil"/>
              <w:bottom w:val="single" w:sz="4" w:space="0" w:color="auto"/>
              <w:right w:val="single" w:sz="4" w:space="0" w:color="auto"/>
            </w:tcBorders>
            <w:shd w:val="clear" w:color="auto" w:fill="FFFFFF"/>
            <w:noWrap/>
            <w:vAlign w:val="bottom"/>
            <w:hideMark/>
          </w:tcPr>
          <w:p w14:paraId="3C0348AB"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38.54</w:t>
            </w:r>
          </w:p>
        </w:tc>
        <w:tc>
          <w:tcPr>
            <w:tcW w:w="843" w:type="dxa"/>
            <w:tcBorders>
              <w:top w:val="nil"/>
              <w:left w:val="nil"/>
              <w:bottom w:val="single" w:sz="4" w:space="0" w:color="auto"/>
              <w:right w:val="single" w:sz="4" w:space="0" w:color="auto"/>
            </w:tcBorders>
            <w:shd w:val="clear" w:color="auto" w:fill="FFFFFF"/>
            <w:noWrap/>
            <w:vAlign w:val="bottom"/>
            <w:hideMark/>
          </w:tcPr>
          <w:p w14:paraId="65079140"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38.44</w:t>
            </w:r>
          </w:p>
        </w:tc>
      </w:tr>
      <w:tr w:rsidR="00562C7A" w14:paraId="10C29207" w14:textId="77777777" w:rsidTr="00562C7A">
        <w:trPr>
          <w:trHeight w:val="332"/>
          <w:jc w:val="center"/>
        </w:trPr>
        <w:tc>
          <w:tcPr>
            <w:tcW w:w="977" w:type="dxa"/>
            <w:vMerge/>
            <w:tcBorders>
              <w:top w:val="nil"/>
              <w:left w:val="single" w:sz="4" w:space="0" w:color="auto"/>
              <w:bottom w:val="single" w:sz="4" w:space="0" w:color="auto"/>
              <w:right w:val="single" w:sz="4" w:space="0" w:color="auto"/>
            </w:tcBorders>
            <w:vAlign w:val="center"/>
            <w:hideMark/>
          </w:tcPr>
          <w:p w14:paraId="60991767"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6C23B856"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 xml:space="preserve">ANN </w:t>
            </w:r>
            <w:r>
              <w:rPr>
                <w:rFonts w:ascii="Bookman Old Style" w:eastAsia="Times New Roman" w:hAnsi="Bookman Old Style" w:cs="Calibri"/>
                <w:color w:val="000000"/>
                <w:sz w:val="20"/>
                <w:szCs w:val="20"/>
                <w:lang w:val="en-IN" w:eastAsia="en-IN"/>
              </w:rPr>
              <w:lastRenderedPageBreak/>
              <w:t>Predicted</w:t>
            </w:r>
          </w:p>
        </w:tc>
        <w:tc>
          <w:tcPr>
            <w:tcW w:w="813" w:type="dxa"/>
            <w:tcBorders>
              <w:top w:val="nil"/>
              <w:left w:val="nil"/>
              <w:bottom w:val="single" w:sz="4" w:space="0" w:color="auto"/>
              <w:right w:val="single" w:sz="4" w:space="0" w:color="auto"/>
            </w:tcBorders>
            <w:shd w:val="clear" w:color="auto" w:fill="FFFFFF"/>
            <w:noWrap/>
            <w:vAlign w:val="bottom"/>
            <w:hideMark/>
          </w:tcPr>
          <w:p w14:paraId="3163A6FE"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lastRenderedPageBreak/>
              <w:t>50.59</w:t>
            </w:r>
          </w:p>
        </w:tc>
        <w:tc>
          <w:tcPr>
            <w:tcW w:w="881" w:type="dxa"/>
            <w:tcBorders>
              <w:top w:val="nil"/>
              <w:left w:val="nil"/>
              <w:bottom w:val="single" w:sz="4" w:space="0" w:color="auto"/>
              <w:right w:val="single" w:sz="4" w:space="0" w:color="auto"/>
            </w:tcBorders>
            <w:shd w:val="clear" w:color="auto" w:fill="FFFFFF"/>
            <w:noWrap/>
            <w:vAlign w:val="bottom"/>
            <w:hideMark/>
          </w:tcPr>
          <w:p w14:paraId="570A198A"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50.62</w:t>
            </w:r>
          </w:p>
        </w:tc>
        <w:tc>
          <w:tcPr>
            <w:tcW w:w="810" w:type="dxa"/>
            <w:tcBorders>
              <w:top w:val="nil"/>
              <w:left w:val="nil"/>
              <w:bottom w:val="single" w:sz="4" w:space="0" w:color="auto"/>
              <w:right w:val="single" w:sz="4" w:space="0" w:color="auto"/>
            </w:tcBorders>
            <w:shd w:val="clear" w:color="auto" w:fill="FFFFFF"/>
            <w:noWrap/>
            <w:vAlign w:val="bottom"/>
            <w:hideMark/>
          </w:tcPr>
          <w:p w14:paraId="3982B6F9"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40.43</w:t>
            </w:r>
          </w:p>
        </w:tc>
        <w:tc>
          <w:tcPr>
            <w:tcW w:w="900" w:type="dxa"/>
            <w:tcBorders>
              <w:top w:val="nil"/>
              <w:left w:val="nil"/>
              <w:bottom w:val="single" w:sz="4" w:space="0" w:color="auto"/>
              <w:right w:val="single" w:sz="4" w:space="0" w:color="auto"/>
            </w:tcBorders>
            <w:shd w:val="clear" w:color="auto" w:fill="FFFFFF"/>
            <w:noWrap/>
            <w:vAlign w:val="bottom"/>
            <w:hideMark/>
          </w:tcPr>
          <w:p w14:paraId="66B2414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37.94</w:t>
            </w:r>
          </w:p>
        </w:tc>
        <w:tc>
          <w:tcPr>
            <w:tcW w:w="777" w:type="dxa"/>
            <w:tcBorders>
              <w:top w:val="nil"/>
              <w:left w:val="nil"/>
              <w:bottom w:val="single" w:sz="4" w:space="0" w:color="auto"/>
              <w:right w:val="single" w:sz="4" w:space="0" w:color="auto"/>
            </w:tcBorders>
            <w:shd w:val="clear" w:color="auto" w:fill="FFFFFF"/>
            <w:noWrap/>
            <w:vAlign w:val="bottom"/>
            <w:hideMark/>
          </w:tcPr>
          <w:p w14:paraId="5F7E297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38.97</w:t>
            </w:r>
          </w:p>
        </w:tc>
        <w:tc>
          <w:tcPr>
            <w:tcW w:w="843" w:type="dxa"/>
            <w:tcBorders>
              <w:top w:val="nil"/>
              <w:left w:val="nil"/>
              <w:bottom w:val="single" w:sz="4" w:space="0" w:color="auto"/>
              <w:right w:val="single" w:sz="4" w:space="0" w:color="auto"/>
            </w:tcBorders>
            <w:shd w:val="clear" w:color="auto" w:fill="FFFFFF"/>
            <w:noWrap/>
            <w:vAlign w:val="bottom"/>
            <w:hideMark/>
          </w:tcPr>
          <w:p w14:paraId="06088AD4"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38.30</w:t>
            </w:r>
          </w:p>
        </w:tc>
      </w:tr>
      <w:tr w:rsidR="00562C7A" w14:paraId="32050138"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1368D410"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S3</w:t>
            </w:r>
          </w:p>
        </w:tc>
        <w:tc>
          <w:tcPr>
            <w:tcW w:w="1577" w:type="dxa"/>
            <w:tcBorders>
              <w:top w:val="nil"/>
              <w:left w:val="nil"/>
              <w:bottom w:val="single" w:sz="4" w:space="0" w:color="auto"/>
              <w:right w:val="single" w:sz="4" w:space="0" w:color="auto"/>
            </w:tcBorders>
            <w:shd w:val="clear" w:color="auto" w:fill="FFFFFF"/>
            <w:noWrap/>
            <w:vAlign w:val="bottom"/>
            <w:hideMark/>
          </w:tcPr>
          <w:p w14:paraId="379C2229"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7BD74925"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40.75</w:t>
            </w:r>
          </w:p>
        </w:tc>
        <w:tc>
          <w:tcPr>
            <w:tcW w:w="881" w:type="dxa"/>
            <w:tcBorders>
              <w:top w:val="nil"/>
              <w:left w:val="nil"/>
              <w:bottom w:val="single" w:sz="4" w:space="0" w:color="auto"/>
              <w:right w:val="single" w:sz="4" w:space="0" w:color="auto"/>
            </w:tcBorders>
            <w:shd w:val="clear" w:color="auto" w:fill="FFFFFF"/>
            <w:noWrap/>
            <w:vAlign w:val="bottom"/>
            <w:hideMark/>
          </w:tcPr>
          <w:p w14:paraId="0D1E10DF"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40.78</w:t>
            </w:r>
          </w:p>
        </w:tc>
        <w:tc>
          <w:tcPr>
            <w:tcW w:w="810" w:type="dxa"/>
            <w:tcBorders>
              <w:top w:val="nil"/>
              <w:left w:val="nil"/>
              <w:bottom w:val="single" w:sz="4" w:space="0" w:color="auto"/>
              <w:right w:val="single" w:sz="4" w:space="0" w:color="auto"/>
            </w:tcBorders>
            <w:shd w:val="clear" w:color="auto" w:fill="FFFFFF"/>
            <w:noWrap/>
            <w:vAlign w:val="bottom"/>
            <w:hideMark/>
          </w:tcPr>
          <w:p w14:paraId="5579FB60"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34.23</w:t>
            </w:r>
          </w:p>
        </w:tc>
        <w:tc>
          <w:tcPr>
            <w:tcW w:w="900" w:type="dxa"/>
            <w:tcBorders>
              <w:top w:val="nil"/>
              <w:left w:val="nil"/>
              <w:bottom w:val="single" w:sz="4" w:space="0" w:color="auto"/>
              <w:right w:val="single" w:sz="4" w:space="0" w:color="auto"/>
            </w:tcBorders>
            <w:shd w:val="clear" w:color="auto" w:fill="FFFFFF"/>
            <w:noWrap/>
            <w:vAlign w:val="bottom"/>
            <w:hideMark/>
          </w:tcPr>
          <w:p w14:paraId="43AD6CD7"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34.13</w:t>
            </w:r>
          </w:p>
        </w:tc>
        <w:tc>
          <w:tcPr>
            <w:tcW w:w="777" w:type="dxa"/>
            <w:tcBorders>
              <w:top w:val="nil"/>
              <w:left w:val="nil"/>
              <w:bottom w:val="single" w:sz="4" w:space="0" w:color="auto"/>
              <w:right w:val="single" w:sz="4" w:space="0" w:color="auto"/>
            </w:tcBorders>
            <w:shd w:val="clear" w:color="auto" w:fill="FFFFFF"/>
            <w:noWrap/>
            <w:vAlign w:val="bottom"/>
            <w:hideMark/>
          </w:tcPr>
          <w:p w14:paraId="6F353B36"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32.37</w:t>
            </w:r>
          </w:p>
        </w:tc>
        <w:tc>
          <w:tcPr>
            <w:tcW w:w="843" w:type="dxa"/>
            <w:tcBorders>
              <w:top w:val="nil"/>
              <w:left w:val="nil"/>
              <w:bottom w:val="single" w:sz="4" w:space="0" w:color="auto"/>
              <w:right w:val="single" w:sz="4" w:space="0" w:color="auto"/>
            </w:tcBorders>
            <w:shd w:val="clear" w:color="auto" w:fill="FFFFFF"/>
            <w:noWrap/>
            <w:vAlign w:val="bottom"/>
            <w:hideMark/>
          </w:tcPr>
          <w:p w14:paraId="682D6EEA"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35.49</w:t>
            </w:r>
          </w:p>
        </w:tc>
      </w:tr>
      <w:tr w:rsidR="00562C7A" w14:paraId="269B6429"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050C7EA4"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4B62FD05"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2F917F6F"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40.97</w:t>
            </w:r>
          </w:p>
        </w:tc>
        <w:tc>
          <w:tcPr>
            <w:tcW w:w="881" w:type="dxa"/>
            <w:tcBorders>
              <w:top w:val="nil"/>
              <w:left w:val="nil"/>
              <w:bottom w:val="single" w:sz="4" w:space="0" w:color="auto"/>
              <w:right w:val="single" w:sz="4" w:space="0" w:color="auto"/>
            </w:tcBorders>
            <w:shd w:val="clear" w:color="auto" w:fill="FFFFFF"/>
            <w:noWrap/>
            <w:vAlign w:val="bottom"/>
            <w:hideMark/>
          </w:tcPr>
          <w:p w14:paraId="7BD29E43"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41.00</w:t>
            </w:r>
          </w:p>
        </w:tc>
        <w:tc>
          <w:tcPr>
            <w:tcW w:w="810" w:type="dxa"/>
            <w:tcBorders>
              <w:top w:val="nil"/>
              <w:left w:val="nil"/>
              <w:bottom w:val="single" w:sz="4" w:space="0" w:color="auto"/>
              <w:right w:val="single" w:sz="4" w:space="0" w:color="auto"/>
            </w:tcBorders>
            <w:shd w:val="clear" w:color="auto" w:fill="FFFFFF"/>
            <w:noWrap/>
            <w:vAlign w:val="bottom"/>
            <w:hideMark/>
          </w:tcPr>
          <w:p w14:paraId="5A0E617B"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34.26</w:t>
            </w:r>
          </w:p>
        </w:tc>
        <w:tc>
          <w:tcPr>
            <w:tcW w:w="900" w:type="dxa"/>
            <w:tcBorders>
              <w:top w:val="nil"/>
              <w:left w:val="nil"/>
              <w:bottom w:val="single" w:sz="4" w:space="0" w:color="auto"/>
              <w:right w:val="single" w:sz="4" w:space="0" w:color="auto"/>
            </w:tcBorders>
            <w:shd w:val="clear" w:color="auto" w:fill="FFFFFF"/>
            <w:noWrap/>
            <w:vAlign w:val="bottom"/>
            <w:hideMark/>
          </w:tcPr>
          <w:p w14:paraId="74BE904F"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34.12</w:t>
            </w:r>
          </w:p>
        </w:tc>
        <w:tc>
          <w:tcPr>
            <w:tcW w:w="777" w:type="dxa"/>
            <w:tcBorders>
              <w:top w:val="nil"/>
              <w:left w:val="nil"/>
              <w:bottom w:val="single" w:sz="4" w:space="0" w:color="auto"/>
              <w:right w:val="single" w:sz="4" w:space="0" w:color="auto"/>
            </w:tcBorders>
            <w:shd w:val="clear" w:color="auto" w:fill="FFFFFF"/>
            <w:noWrap/>
            <w:vAlign w:val="bottom"/>
            <w:hideMark/>
          </w:tcPr>
          <w:p w14:paraId="4DB324BA"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32.15</w:t>
            </w:r>
          </w:p>
        </w:tc>
        <w:tc>
          <w:tcPr>
            <w:tcW w:w="843" w:type="dxa"/>
            <w:tcBorders>
              <w:top w:val="nil"/>
              <w:left w:val="nil"/>
              <w:bottom w:val="single" w:sz="4" w:space="0" w:color="auto"/>
              <w:right w:val="single" w:sz="4" w:space="0" w:color="auto"/>
            </w:tcBorders>
            <w:shd w:val="clear" w:color="auto" w:fill="FFFFFF"/>
            <w:noWrap/>
            <w:vAlign w:val="bottom"/>
            <w:hideMark/>
          </w:tcPr>
          <w:p w14:paraId="6C94E17D"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35.54</w:t>
            </w:r>
          </w:p>
        </w:tc>
      </w:tr>
      <w:tr w:rsidR="00562C7A" w14:paraId="410602ED"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325E342A"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S4</w:t>
            </w:r>
          </w:p>
        </w:tc>
        <w:tc>
          <w:tcPr>
            <w:tcW w:w="1577" w:type="dxa"/>
            <w:tcBorders>
              <w:top w:val="nil"/>
              <w:left w:val="nil"/>
              <w:bottom w:val="single" w:sz="4" w:space="0" w:color="auto"/>
              <w:right w:val="single" w:sz="4" w:space="0" w:color="auto"/>
            </w:tcBorders>
            <w:shd w:val="clear" w:color="auto" w:fill="FFFFFF"/>
            <w:noWrap/>
            <w:vAlign w:val="bottom"/>
            <w:hideMark/>
          </w:tcPr>
          <w:p w14:paraId="6303FCBB"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2B038B18"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38.60</w:t>
            </w:r>
          </w:p>
        </w:tc>
        <w:tc>
          <w:tcPr>
            <w:tcW w:w="881" w:type="dxa"/>
            <w:tcBorders>
              <w:top w:val="nil"/>
              <w:left w:val="nil"/>
              <w:bottom w:val="single" w:sz="4" w:space="0" w:color="auto"/>
              <w:right w:val="single" w:sz="4" w:space="0" w:color="auto"/>
            </w:tcBorders>
            <w:shd w:val="clear" w:color="auto" w:fill="FFFFFF"/>
            <w:noWrap/>
            <w:vAlign w:val="bottom"/>
            <w:hideMark/>
          </w:tcPr>
          <w:p w14:paraId="41FBE68B"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39.44</w:t>
            </w:r>
          </w:p>
        </w:tc>
        <w:tc>
          <w:tcPr>
            <w:tcW w:w="810" w:type="dxa"/>
            <w:tcBorders>
              <w:top w:val="nil"/>
              <w:left w:val="nil"/>
              <w:bottom w:val="single" w:sz="4" w:space="0" w:color="auto"/>
              <w:right w:val="single" w:sz="4" w:space="0" w:color="auto"/>
            </w:tcBorders>
            <w:shd w:val="clear" w:color="auto" w:fill="FFFFFF"/>
            <w:noWrap/>
            <w:vAlign w:val="bottom"/>
            <w:hideMark/>
          </w:tcPr>
          <w:p w14:paraId="77C83FA1"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33.12</w:t>
            </w:r>
          </w:p>
        </w:tc>
        <w:tc>
          <w:tcPr>
            <w:tcW w:w="900" w:type="dxa"/>
            <w:tcBorders>
              <w:top w:val="nil"/>
              <w:left w:val="nil"/>
              <w:bottom w:val="single" w:sz="4" w:space="0" w:color="auto"/>
              <w:right w:val="single" w:sz="4" w:space="0" w:color="auto"/>
            </w:tcBorders>
            <w:shd w:val="clear" w:color="auto" w:fill="FFFFFF"/>
            <w:noWrap/>
            <w:vAlign w:val="bottom"/>
            <w:hideMark/>
          </w:tcPr>
          <w:p w14:paraId="583DFB39"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32.62</w:t>
            </w:r>
          </w:p>
        </w:tc>
        <w:tc>
          <w:tcPr>
            <w:tcW w:w="777" w:type="dxa"/>
            <w:tcBorders>
              <w:top w:val="nil"/>
              <w:left w:val="nil"/>
              <w:bottom w:val="single" w:sz="4" w:space="0" w:color="auto"/>
              <w:right w:val="single" w:sz="4" w:space="0" w:color="auto"/>
            </w:tcBorders>
            <w:shd w:val="clear" w:color="auto" w:fill="FFFFFF"/>
            <w:noWrap/>
            <w:vAlign w:val="bottom"/>
            <w:hideMark/>
          </w:tcPr>
          <w:p w14:paraId="5CDB9DBC"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33.06</w:t>
            </w:r>
          </w:p>
        </w:tc>
        <w:tc>
          <w:tcPr>
            <w:tcW w:w="843" w:type="dxa"/>
            <w:tcBorders>
              <w:top w:val="nil"/>
              <w:left w:val="nil"/>
              <w:bottom w:val="single" w:sz="4" w:space="0" w:color="auto"/>
              <w:right w:val="single" w:sz="4" w:space="0" w:color="auto"/>
            </w:tcBorders>
            <w:shd w:val="clear" w:color="auto" w:fill="FFFFFF"/>
            <w:noWrap/>
            <w:vAlign w:val="bottom"/>
            <w:hideMark/>
          </w:tcPr>
          <w:p w14:paraId="703F21F1"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31.92</w:t>
            </w:r>
          </w:p>
        </w:tc>
      </w:tr>
      <w:tr w:rsidR="00562C7A" w14:paraId="4B5BE388"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1EAB18FD"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24EA620D"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4EC052C8"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38.58</w:t>
            </w:r>
          </w:p>
        </w:tc>
        <w:tc>
          <w:tcPr>
            <w:tcW w:w="881" w:type="dxa"/>
            <w:tcBorders>
              <w:top w:val="nil"/>
              <w:left w:val="nil"/>
              <w:bottom w:val="single" w:sz="4" w:space="0" w:color="auto"/>
              <w:right w:val="single" w:sz="4" w:space="0" w:color="auto"/>
            </w:tcBorders>
            <w:shd w:val="clear" w:color="auto" w:fill="FFFFFF"/>
            <w:noWrap/>
            <w:vAlign w:val="bottom"/>
            <w:hideMark/>
          </w:tcPr>
          <w:p w14:paraId="4334962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39.10</w:t>
            </w:r>
          </w:p>
        </w:tc>
        <w:tc>
          <w:tcPr>
            <w:tcW w:w="810" w:type="dxa"/>
            <w:tcBorders>
              <w:top w:val="nil"/>
              <w:left w:val="nil"/>
              <w:bottom w:val="single" w:sz="4" w:space="0" w:color="auto"/>
              <w:right w:val="single" w:sz="4" w:space="0" w:color="auto"/>
            </w:tcBorders>
            <w:shd w:val="clear" w:color="auto" w:fill="FFFFFF"/>
            <w:noWrap/>
            <w:vAlign w:val="bottom"/>
            <w:hideMark/>
          </w:tcPr>
          <w:p w14:paraId="537030CD"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33.05</w:t>
            </w:r>
          </w:p>
        </w:tc>
        <w:tc>
          <w:tcPr>
            <w:tcW w:w="900" w:type="dxa"/>
            <w:tcBorders>
              <w:top w:val="nil"/>
              <w:left w:val="nil"/>
              <w:bottom w:val="single" w:sz="4" w:space="0" w:color="auto"/>
              <w:right w:val="single" w:sz="4" w:space="0" w:color="auto"/>
            </w:tcBorders>
            <w:shd w:val="clear" w:color="auto" w:fill="FFFFFF"/>
            <w:noWrap/>
            <w:vAlign w:val="bottom"/>
            <w:hideMark/>
          </w:tcPr>
          <w:p w14:paraId="120D06E3"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32.65</w:t>
            </w:r>
          </w:p>
        </w:tc>
        <w:tc>
          <w:tcPr>
            <w:tcW w:w="777" w:type="dxa"/>
            <w:tcBorders>
              <w:top w:val="nil"/>
              <w:left w:val="nil"/>
              <w:bottom w:val="single" w:sz="4" w:space="0" w:color="auto"/>
              <w:right w:val="single" w:sz="4" w:space="0" w:color="auto"/>
            </w:tcBorders>
            <w:shd w:val="clear" w:color="auto" w:fill="FFFFFF"/>
            <w:noWrap/>
            <w:vAlign w:val="bottom"/>
            <w:hideMark/>
          </w:tcPr>
          <w:p w14:paraId="18CDE0D9"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32.94</w:t>
            </w:r>
          </w:p>
        </w:tc>
        <w:tc>
          <w:tcPr>
            <w:tcW w:w="843" w:type="dxa"/>
            <w:tcBorders>
              <w:top w:val="nil"/>
              <w:left w:val="nil"/>
              <w:bottom w:val="single" w:sz="4" w:space="0" w:color="auto"/>
              <w:right w:val="single" w:sz="4" w:space="0" w:color="auto"/>
            </w:tcBorders>
            <w:shd w:val="clear" w:color="auto" w:fill="FFFFFF"/>
            <w:noWrap/>
            <w:vAlign w:val="bottom"/>
            <w:hideMark/>
          </w:tcPr>
          <w:p w14:paraId="2D37A905"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32.24</w:t>
            </w:r>
          </w:p>
        </w:tc>
      </w:tr>
      <w:tr w:rsidR="00562C7A" w14:paraId="3BA6489C"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1F34B385"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S5</w:t>
            </w:r>
          </w:p>
        </w:tc>
        <w:tc>
          <w:tcPr>
            <w:tcW w:w="1577" w:type="dxa"/>
            <w:tcBorders>
              <w:top w:val="nil"/>
              <w:left w:val="nil"/>
              <w:bottom w:val="single" w:sz="4" w:space="0" w:color="auto"/>
              <w:right w:val="single" w:sz="4" w:space="0" w:color="auto"/>
            </w:tcBorders>
            <w:shd w:val="clear" w:color="auto" w:fill="FFFFFF"/>
            <w:noWrap/>
            <w:vAlign w:val="bottom"/>
            <w:hideMark/>
          </w:tcPr>
          <w:p w14:paraId="43D7CA5C"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487B0B7B"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51.66</w:t>
            </w:r>
          </w:p>
        </w:tc>
        <w:tc>
          <w:tcPr>
            <w:tcW w:w="881" w:type="dxa"/>
            <w:tcBorders>
              <w:top w:val="nil"/>
              <w:left w:val="nil"/>
              <w:bottom w:val="single" w:sz="4" w:space="0" w:color="auto"/>
              <w:right w:val="single" w:sz="4" w:space="0" w:color="auto"/>
            </w:tcBorders>
            <w:shd w:val="clear" w:color="auto" w:fill="FFFFFF"/>
            <w:noWrap/>
            <w:vAlign w:val="bottom"/>
            <w:hideMark/>
          </w:tcPr>
          <w:p w14:paraId="33744247"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49.14</w:t>
            </w:r>
          </w:p>
        </w:tc>
        <w:tc>
          <w:tcPr>
            <w:tcW w:w="810" w:type="dxa"/>
            <w:tcBorders>
              <w:top w:val="nil"/>
              <w:left w:val="nil"/>
              <w:bottom w:val="single" w:sz="4" w:space="0" w:color="auto"/>
              <w:right w:val="single" w:sz="4" w:space="0" w:color="auto"/>
            </w:tcBorders>
            <w:shd w:val="clear" w:color="auto" w:fill="FFFFFF"/>
            <w:noWrap/>
            <w:vAlign w:val="bottom"/>
            <w:hideMark/>
          </w:tcPr>
          <w:p w14:paraId="0E1F7A68"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40.24</w:t>
            </w:r>
          </w:p>
        </w:tc>
        <w:tc>
          <w:tcPr>
            <w:tcW w:w="900" w:type="dxa"/>
            <w:tcBorders>
              <w:top w:val="nil"/>
              <w:left w:val="nil"/>
              <w:bottom w:val="single" w:sz="4" w:space="0" w:color="auto"/>
              <w:right w:val="single" w:sz="4" w:space="0" w:color="auto"/>
            </w:tcBorders>
            <w:shd w:val="clear" w:color="auto" w:fill="FFFFFF"/>
            <w:noWrap/>
            <w:vAlign w:val="bottom"/>
            <w:hideMark/>
          </w:tcPr>
          <w:p w14:paraId="68A7AEBC"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36.38</w:t>
            </w:r>
          </w:p>
        </w:tc>
        <w:tc>
          <w:tcPr>
            <w:tcW w:w="777" w:type="dxa"/>
            <w:tcBorders>
              <w:top w:val="nil"/>
              <w:left w:val="nil"/>
              <w:bottom w:val="single" w:sz="4" w:space="0" w:color="auto"/>
              <w:right w:val="single" w:sz="4" w:space="0" w:color="auto"/>
            </w:tcBorders>
            <w:shd w:val="clear" w:color="auto" w:fill="FFFFFF"/>
            <w:noWrap/>
            <w:vAlign w:val="bottom"/>
            <w:hideMark/>
          </w:tcPr>
          <w:p w14:paraId="03E76307"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35.13</w:t>
            </w:r>
          </w:p>
        </w:tc>
        <w:tc>
          <w:tcPr>
            <w:tcW w:w="843" w:type="dxa"/>
            <w:tcBorders>
              <w:top w:val="nil"/>
              <w:left w:val="nil"/>
              <w:bottom w:val="single" w:sz="4" w:space="0" w:color="auto"/>
              <w:right w:val="single" w:sz="4" w:space="0" w:color="auto"/>
            </w:tcBorders>
            <w:shd w:val="clear" w:color="auto" w:fill="FFFFFF"/>
            <w:noWrap/>
            <w:vAlign w:val="bottom"/>
            <w:hideMark/>
          </w:tcPr>
          <w:p w14:paraId="5ECEB944"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38.19</w:t>
            </w:r>
          </w:p>
        </w:tc>
      </w:tr>
      <w:tr w:rsidR="00562C7A" w14:paraId="434C0961"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753C5984"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27431CC8"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54B3FA0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50.43</w:t>
            </w:r>
          </w:p>
        </w:tc>
        <w:tc>
          <w:tcPr>
            <w:tcW w:w="881" w:type="dxa"/>
            <w:tcBorders>
              <w:top w:val="nil"/>
              <w:left w:val="nil"/>
              <w:bottom w:val="single" w:sz="4" w:space="0" w:color="auto"/>
              <w:right w:val="single" w:sz="4" w:space="0" w:color="auto"/>
            </w:tcBorders>
            <w:shd w:val="clear" w:color="auto" w:fill="FFFFFF"/>
            <w:noWrap/>
            <w:vAlign w:val="bottom"/>
            <w:hideMark/>
          </w:tcPr>
          <w:p w14:paraId="178AA792"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49.21</w:t>
            </w:r>
          </w:p>
        </w:tc>
        <w:tc>
          <w:tcPr>
            <w:tcW w:w="810" w:type="dxa"/>
            <w:tcBorders>
              <w:top w:val="nil"/>
              <w:left w:val="nil"/>
              <w:bottom w:val="single" w:sz="4" w:space="0" w:color="auto"/>
              <w:right w:val="single" w:sz="4" w:space="0" w:color="auto"/>
            </w:tcBorders>
            <w:shd w:val="clear" w:color="auto" w:fill="FFFFFF"/>
            <w:noWrap/>
            <w:vAlign w:val="bottom"/>
            <w:hideMark/>
          </w:tcPr>
          <w:p w14:paraId="3D4B5026"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40.02</w:t>
            </w:r>
          </w:p>
        </w:tc>
        <w:tc>
          <w:tcPr>
            <w:tcW w:w="900" w:type="dxa"/>
            <w:tcBorders>
              <w:top w:val="nil"/>
              <w:left w:val="nil"/>
              <w:bottom w:val="single" w:sz="4" w:space="0" w:color="auto"/>
              <w:right w:val="single" w:sz="4" w:space="0" w:color="auto"/>
            </w:tcBorders>
            <w:shd w:val="clear" w:color="auto" w:fill="FFFFFF"/>
            <w:noWrap/>
            <w:vAlign w:val="bottom"/>
            <w:hideMark/>
          </w:tcPr>
          <w:p w14:paraId="0D4E9FEB"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36.32</w:t>
            </w:r>
          </w:p>
        </w:tc>
        <w:tc>
          <w:tcPr>
            <w:tcW w:w="777" w:type="dxa"/>
            <w:tcBorders>
              <w:top w:val="nil"/>
              <w:left w:val="nil"/>
              <w:bottom w:val="single" w:sz="4" w:space="0" w:color="auto"/>
              <w:right w:val="single" w:sz="4" w:space="0" w:color="auto"/>
            </w:tcBorders>
            <w:shd w:val="clear" w:color="auto" w:fill="FFFFFF"/>
            <w:noWrap/>
            <w:vAlign w:val="bottom"/>
            <w:hideMark/>
          </w:tcPr>
          <w:p w14:paraId="1C59B33F"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35.10</w:t>
            </w:r>
          </w:p>
        </w:tc>
        <w:tc>
          <w:tcPr>
            <w:tcW w:w="843" w:type="dxa"/>
            <w:tcBorders>
              <w:top w:val="nil"/>
              <w:left w:val="nil"/>
              <w:bottom w:val="single" w:sz="4" w:space="0" w:color="auto"/>
              <w:right w:val="single" w:sz="4" w:space="0" w:color="auto"/>
            </w:tcBorders>
            <w:shd w:val="clear" w:color="auto" w:fill="FFFFFF"/>
            <w:noWrap/>
            <w:vAlign w:val="bottom"/>
            <w:hideMark/>
          </w:tcPr>
          <w:p w14:paraId="383E2631"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37.85</w:t>
            </w:r>
          </w:p>
        </w:tc>
      </w:tr>
      <w:tr w:rsidR="00562C7A" w14:paraId="1AB31D4D"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5710B770"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S6</w:t>
            </w:r>
          </w:p>
        </w:tc>
        <w:tc>
          <w:tcPr>
            <w:tcW w:w="1577" w:type="dxa"/>
            <w:tcBorders>
              <w:top w:val="nil"/>
              <w:left w:val="nil"/>
              <w:bottom w:val="single" w:sz="4" w:space="0" w:color="auto"/>
              <w:right w:val="single" w:sz="4" w:space="0" w:color="auto"/>
            </w:tcBorders>
            <w:shd w:val="clear" w:color="auto" w:fill="FFFFFF"/>
            <w:noWrap/>
            <w:vAlign w:val="bottom"/>
            <w:hideMark/>
          </w:tcPr>
          <w:p w14:paraId="375A1E6D"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174E142A"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44.24</w:t>
            </w:r>
          </w:p>
        </w:tc>
        <w:tc>
          <w:tcPr>
            <w:tcW w:w="881" w:type="dxa"/>
            <w:tcBorders>
              <w:top w:val="nil"/>
              <w:left w:val="nil"/>
              <w:bottom w:val="single" w:sz="4" w:space="0" w:color="auto"/>
              <w:right w:val="single" w:sz="4" w:space="0" w:color="auto"/>
            </w:tcBorders>
            <w:shd w:val="clear" w:color="auto" w:fill="FFFFFF"/>
            <w:noWrap/>
            <w:vAlign w:val="bottom"/>
            <w:hideMark/>
          </w:tcPr>
          <w:p w14:paraId="29685D8F"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45.80</w:t>
            </w:r>
          </w:p>
        </w:tc>
        <w:tc>
          <w:tcPr>
            <w:tcW w:w="810" w:type="dxa"/>
            <w:tcBorders>
              <w:top w:val="nil"/>
              <w:left w:val="nil"/>
              <w:bottom w:val="single" w:sz="4" w:space="0" w:color="auto"/>
              <w:right w:val="single" w:sz="4" w:space="0" w:color="auto"/>
            </w:tcBorders>
            <w:shd w:val="clear" w:color="auto" w:fill="FFFFFF"/>
            <w:noWrap/>
            <w:vAlign w:val="bottom"/>
            <w:hideMark/>
          </w:tcPr>
          <w:p w14:paraId="23DA09AC"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40.62</w:t>
            </w:r>
          </w:p>
        </w:tc>
        <w:tc>
          <w:tcPr>
            <w:tcW w:w="900" w:type="dxa"/>
            <w:tcBorders>
              <w:top w:val="nil"/>
              <w:left w:val="nil"/>
              <w:bottom w:val="single" w:sz="4" w:space="0" w:color="auto"/>
              <w:right w:val="single" w:sz="4" w:space="0" w:color="auto"/>
            </w:tcBorders>
            <w:shd w:val="clear" w:color="auto" w:fill="FFFFFF"/>
            <w:noWrap/>
            <w:vAlign w:val="bottom"/>
            <w:hideMark/>
          </w:tcPr>
          <w:p w14:paraId="7EB1D356"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38.79</w:t>
            </w:r>
          </w:p>
        </w:tc>
        <w:tc>
          <w:tcPr>
            <w:tcW w:w="777" w:type="dxa"/>
            <w:tcBorders>
              <w:top w:val="nil"/>
              <w:left w:val="nil"/>
              <w:bottom w:val="single" w:sz="4" w:space="0" w:color="auto"/>
              <w:right w:val="single" w:sz="4" w:space="0" w:color="auto"/>
            </w:tcBorders>
            <w:shd w:val="clear" w:color="auto" w:fill="FFFFFF"/>
            <w:noWrap/>
            <w:vAlign w:val="bottom"/>
            <w:hideMark/>
          </w:tcPr>
          <w:p w14:paraId="070591DE"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40.61</w:t>
            </w:r>
          </w:p>
        </w:tc>
        <w:tc>
          <w:tcPr>
            <w:tcW w:w="843" w:type="dxa"/>
            <w:tcBorders>
              <w:top w:val="nil"/>
              <w:left w:val="nil"/>
              <w:bottom w:val="single" w:sz="4" w:space="0" w:color="auto"/>
              <w:right w:val="single" w:sz="4" w:space="0" w:color="auto"/>
            </w:tcBorders>
            <w:shd w:val="clear" w:color="auto" w:fill="FFFFFF"/>
            <w:noWrap/>
            <w:vAlign w:val="bottom"/>
            <w:hideMark/>
          </w:tcPr>
          <w:p w14:paraId="7BB99C6E"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39.07</w:t>
            </w:r>
          </w:p>
        </w:tc>
      </w:tr>
      <w:tr w:rsidR="00562C7A" w14:paraId="2BFADBD9"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6477D7D4"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649FDD72"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63FF3AC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44.00</w:t>
            </w:r>
          </w:p>
        </w:tc>
        <w:tc>
          <w:tcPr>
            <w:tcW w:w="881" w:type="dxa"/>
            <w:tcBorders>
              <w:top w:val="nil"/>
              <w:left w:val="nil"/>
              <w:bottom w:val="single" w:sz="4" w:space="0" w:color="auto"/>
              <w:right w:val="single" w:sz="4" w:space="0" w:color="auto"/>
            </w:tcBorders>
            <w:shd w:val="clear" w:color="auto" w:fill="FFFFFF"/>
            <w:noWrap/>
            <w:vAlign w:val="bottom"/>
            <w:hideMark/>
          </w:tcPr>
          <w:p w14:paraId="517FA2E3"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45.98</w:t>
            </w:r>
          </w:p>
        </w:tc>
        <w:tc>
          <w:tcPr>
            <w:tcW w:w="810" w:type="dxa"/>
            <w:tcBorders>
              <w:top w:val="nil"/>
              <w:left w:val="nil"/>
              <w:bottom w:val="single" w:sz="4" w:space="0" w:color="auto"/>
              <w:right w:val="single" w:sz="4" w:space="0" w:color="auto"/>
            </w:tcBorders>
            <w:shd w:val="clear" w:color="auto" w:fill="FFFFFF"/>
            <w:noWrap/>
            <w:vAlign w:val="bottom"/>
            <w:hideMark/>
          </w:tcPr>
          <w:p w14:paraId="2898C531"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40.12</w:t>
            </w:r>
          </w:p>
        </w:tc>
        <w:tc>
          <w:tcPr>
            <w:tcW w:w="900" w:type="dxa"/>
            <w:tcBorders>
              <w:top w:val="nil"/>
              <w:left w:val="nil"/>
              <w:bottom w:val="single" w:sz="4" w:space="0" w:color="auto"/>
              <w:right w:val="single" w:sz="4" w:space="0" w:color="auto"/>
            </w:tcBorders>
            <w:shd w:val="clear" w:color="auto" w:fill="FFFFFF"/>
            <w:noWrap/>
            <w:vAlign w:val="bottom"/>
            <w:hideMark/>
          </w:tcPr>
          <w:p w14:paraId="07D1C3C4"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39.05</w:t>
            </w:r>
          </w:p>
        </w:tc>
        <w:tc>
          <w:tcPr>
            <w:tcW w:w="777" w:type="dxa"/>
            <w:tcBorders>
              <w:top w:val="nil"/>
              <w:left w:val="nil"/>
              <w:bottom w:val="single" w:sz="4" w:space="0" w:color="auto"/>
              <w:right w:val="single" w:sz="4" w:space="0" w:color="auto"/>
            </w:tcBorders>
            <w:shd w:val="clear" w:color="auto" w:fill="FFFFFF"/>
            <w:noWrap/>
            <w:vAlign w:val="bottom"/>
            <w:hideMark/>
          </w:tcPr>
          <w:p w14:paraId="154FFD5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40.40</w:t>
            </w:r>
          </w:p>
        </w:tc>
        <w:tc>
          <w:tcPr>
            <w:tcW w:w="843" w:type="dxa"/>
            <w:tcBorders>
              <w:top w:val="nil"/>
              <w:left w:val="nil"/>
              <w:bottom w:val="single" w:sz="4" w:space="0" w:color="auto"/>
              <w:right w:val="single" w:sz="4" w:space="0" w:color="auto"/>
            </w:tcBorders>
            <w:shd w:val="clear" w:color="auto" w:fill="FFFFFF"/>
            <w:noWrap/>
            <w:vAlign w:val="bottom"/>
            <w:hideMark/>
          </w:tcPr>
          <w:p w14:paraId="38B5A80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38.21</w:t>
            </w:r>
          </w:p>
        </w:tc>
      </w:tr>
      <w:tr w:rsidR="00562C7A" w14:paraId="5D836816"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51D0D11F"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S7</w:t>
            </w:r>
          </w:p>
        </w:tc>
        <w:tc>
          <w:tcPr>
            <w:tcW w:w="1577" w:type="dxa"/>
            <w:tcBorders>
              <w:top w:val="nil"/>
              <w:left w:val="nil"/>
              <w:bottom w:val="single" w:sz="4" w:space="0" w:color="auto"/>
              <w:right w:val="single" w:sz="4" w:space="0" w:color="auto"/>
            </w:tcBorders>
            <w:shd w:val="clear" w:color="auto" w:fill="FFFFFF"/>
            <w:noWrap/>
            <w:vAlign w:val="bottom"/>
            <w:hideMark/>
          </w:tcPr>
          <w:p w14:paraId="52F3826E"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62DF8C94"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43.80</w:t>
            </w:r>
          </w:p>
        </w:tc>
        <w:tc>
          <w:tcPr>
            <w:tcW w:w="881" w:type="dxa"/>
            <w:tcBorders>
              <w:top w:val="nil"/>
              <w:left w:val="nil"/>
              <w:bottom w:val="single" w:sz="4" w:space="0" w:color="auto"/>
              <w:right w:val="single" w:sz="4" w:space="0" w:color="auto"/>
            </w:tcBorders>
            <w:shd w:val="clear" w:color="auto" w:fill="FFFFFF"/>
            <w:noWrap/>
            <w:vAlign w:val="bottom"/>
            <w:hideMark/>
          </w:tcPr>
          <w:p w14:paraId="3520E2B5"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45.04</w:t>
            </w:r>
          </w:p>
        </w:tc>
        <w:tc>
          <w:tcPr>
            <w:tcW w:w="810" w:type="dxa"/>
            <w:tcBorders>
              <w:top w:val="nil"/>
              <w:left w:val="nil"/>
              <w:bottom w:val="single" w:sz="4" w:space="0" w:color="auto"/>
              <w:right w:val="single" w:sz="4" w:space="0" w:color="auto"/>
            </w:tcBorders>
            <w:shd w:val="clear" w:color="auto" w:fill="FFFFFF"/>
            <w:noWrap/>
            <w:vAlign w:val="bottom"/>
            <w:hideMark/>
          </w:tcPr>
          <w:p w14:paraId="49A60488"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39.71</w:t>
            </w:r>
          </w:p>
        </w:tc>
        <w:tc>
          <w:tcPr>
            <w:tcW w:w="900" w:type="dxa"/>
            <w:tcBorders>
              <w:top w:val="nil"/>
              <w:left w:val="nil"/>
              <w:bottom w:val="single" w:sz="4" w:space="0" w:color="auto"/>
              <w:right w:val="single" w:sz="4" w:space="0" w:color="auto"/>
            </w:tcBorders>
            <w:shd w:val="clear" w:color="auto" w:fill="FFFFFF"/>
            <w:noWrap/>
            <w:vAlign w:val="bottom"/>
            <w:hideMark/>
          </w:tcPr>
          <w:p w14:paraId="0108B9E4"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38.10</w:t>
            </w:r>
          </w:p>
        </w:tc>
        <w:tc>
          <w:tcPr>
            <w:tcW w:w="777" w:type="dxa"/>
            <w:tcBorders>
              <w:top w:val="nil"/>
              <w:left w:val="nil"/>
              <w:bottom w:val="single" w:sz="4" w:space="0" w:color="auto"/>
              <w:right w:val="single" w:sz="4" w:space="0" w:color="auto"/>
            </w:tcBorders>
            <w:shd w:val="clear" w:color="auto" w:fill="FFFFFF"/>
            <w:noWrap/>
            <w:vAlign w:val="bottom"/>
            <w:hideMark/>
          </w:tcPr>
          <w:p w14:paraId="46D00332"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36.21</w:t>
            </w:r>
          </w:p>
        </w:tc>
        <w:tc>
          <w:tcPr>
            <w:tcW w:w="843" w:type="dxa"/>
            <w:tcBorders>
              <w:top w:val="nil"/>
              <w:left w:val="nil"/>
              <w:bottom w:val="single" w:sz="4" w:space="0" w:color="auto"/>
              <w:right w:val="single" w:sz="4" w:space="0" w:color="auto"/>
            </w:tcBorders>
            <w:shd w:val="clear" w:color="auto" w:fill="FFFFFF"/>
            <w:noWrap/>
            <w:vAlign w:val="bottom"/>
            <w:hideMark/>
          </w:tcPr>
          <w:p w14:paraId="351764D1"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36.36</w:t>
            </w:r>
          </w:p>
        </w:tc>
      </w:tr>
      <w:tr w:rsidR="00562C7A" w14:paraId="22E4518F"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153CFCBF"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5FB8DC50"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51E8DA5A"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43.72</w:t>
            </w:r>
          </w:p>
        </w:tc>
        <w:tc>
          <w:tcPr>
            <w:tcW w:w="881" w:type="dxa"/>
            <w:tcBorders>
              <w:top w:val="nil"/>
              <w:left w:val="nil"/>
              <w:bottom w:val="single" w:sz="4" w:space="0" w:color="auto"/>
              <w:right w:val="single" w:sz="4" w:space="0" w:color="auto"/>
            </w:tcBorders>
            <w:shd w:val="clear" w:color="auto" w:fill="FFFFFF"/>
            <w:noWrap/>
            <w:vAlign w:val="bottom"/>
            <w:hideMark/>
          </w:tcPr>
          <w:p w14:paraId="6D0DA11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45.19</w:t>
            </w:r>
          </w:p>
        </w:tc>
        <w:tc>
          <w:tcPr>
            <w:tcW w:w="810" w:type="dxa"/>
            <w:tcBorders>
              <w:top w:val="nil"/>
              <w:left w:val="nil"/>
              <w:bottom w:val="single" w:sz="4" w:space="0" w:color="auto"/>
              <w:right w:val="single" w:sz="4" w:space="0" w:color="auto"/>
            </w:tcBorders>
            <w:shd w:val="clear" w:color="auto" w:fill="FFFFFF"/>
            <w:noWrap/>
            <w:vAlign w:val="bottom"/>
            <w:hideMark/>
          </w:tcPr>
          <w:p w14:paraId="3EEA9706"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39.66</w:t>
            </w:r>
          </w:p>
        </w:tc>
        <w:tc>
          <w:tcPr>
            <w:tcW w:w="900" w:type="dxa"/>
            <w:tcBorders>
              <w:top w:val="nil"/>
              <w:left w:val="nil"/>
              <w:bottom w:val="single" w:sz="4" w:space="0" w:color="auto"/>
              <w:right w:val="single" w:sz="4" w:space="0" w:color="auto"/>
            </w:tcBorders>
            <w:shd w:val="clear" w:color="auto" w:fill="FFFFFF"/>
            <w:noWrap/>
            <w:vAlign w:val="bottom"/>
            <w:hideMark/>
          </w:tcPr>
          <w:p w14:paraId="48B091BA"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38.14</w:t>
            </w:r>
          </w:p>
        </w:tc>
        <w:tc>
          <w:tcPr>
            <w:tcW w:w="777" w:type="dxa"/>
            <w:tcBorders>
              <w:top w:val="nil"/>
              <w:left w:val="nil"/>
              <w:bottom w:val="single" w:sz="4" w:space="0" w:color="auto"/>
              <w:right w:val="single" w:sz="4" w:space="0" w:color="auto"/>
            </w:tcBorders>
            <w:shd w:val="clear" w:color="auto" w:fill="FFFFFF"/>
            <w:noWrap/>
            <w:vAlign w:val="bottom"/>
            <w:hideMark/>
          </w:tcPr>
          <w:p w14:paraId="38D37087"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36.76</w:t>
            </w:r>
          </w:p>
        </w:tc>
        <w:tc>
          <w:tcPr>
            <w:tcW w:w="843" w:type="dxa"/>
            <w:tcBorders>
              <w:top w:val="nil"/>
              <w:left w:val="nil"/>
              <w:bottom w:val="single" w:sz="4" w:space="0" w:color="auto"/>
              <w:right w:val="single" w:sz="4" w:space="0" w:color="auto"/>
            </w:tcBorders>
            <w:shd w:val="clear" w:color="auto" w:fill="FFFFFF"/>
            <w:noWrap/>
            <w:vAlign w:val="bottom"/>
            <w:hideMark/>
          </w:tcPr>
          <w:p w14:paraId="2290AA5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35.98</w:t>
            </w:r>
          </w:p>
        </w:tc>
      </w:tr>
      <w:tr w:rsidR="00562C7A" w14:paraId="7C7BC056"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2C198F07"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S8</w:t>
            </w:r>
          </w:p>
        </w:tc>
        <w:tc>
          <w:tcPr>
            <w:tcW w:w="1577" w:type="dxa"/>
            <w:tcBorders>
              <w:top w:val="nil"/>
              <w:left w:val="nil"/>
              <w:bottom w:val="single" w:sz="4" w:space="0" w:color="auto"/>
              <w:right w:val="single" w:sz="4" w:space="0" w:color="auto"/>
            </w:tcBorders>
            <w:shd w:val="clear" w:color="auto" w:fill="FFFFFF"/>
            <w:noWrap/>
            <w:vAlign w:val="bottom"/>
            <w:hideMark/>
          </w:tcPr>
          <w:p w14:paraId="6B90BC3C"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2A922895"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33.55</w:t>
            </w:r>
          </w:p>
        </w:tc>
        <w:tc>
          <w:tcPr>
            <w:tcW w:w="881" w:type="dxa"/>
            <w:tcBorders>
              <w:top w:val="nil"/>
              <w:left w:val="nil"/>
              <w:bottom w:val="single" w:sz="4" w:space="0" w:color="auto"/>
              <w:right w:val="single" w:sz="4" w:space="0" w:color="auto"/>
            </w:tcBorders>
            <w:shd w:val="clear" w:color="auto" w:fill="FFFFFF"/>
            <w:noWrap/>
            <w:vAlign w:val="bottom"/>
            <w:hideMark/>
          </w:tcPr>
          <w:p w14:paraId="442BAD6D"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34.16</w:t>
            </w:r>
          </w:p>
        </w:tc>
        <w:tc>
          <w:tcPr>
            <w:tcW w:w="810" w:type="dxa"/>
            <w:tcBorders>
              <w:top w:val="nil"/>
              <w:left w:val="nil"/>
              <w:bottom w:val="single" w:sz="4" w:space="0" w:color="auto"/>
              <w:right w:val="single" w:sz="4" w:space="0" w:color="auto"/>
            </w:tcBorders>
            <w:shd w:val="clear" w:color="auto" w:fill="FFFFFF"/>
            <w:noWrap/>
            <w:vAlign w:val="bottom"/>
            <w:hideMark/>
          </w:tcPr>
          <w:p w14:paraId="5AA90B82"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26.73</w:t>
            </w:r>
          </w:p>
        </w:tc>
        <w:tc>
          <w:tcPr>
            <w:tcW w:w="900" w:type="dxa"/>
            <w:tcBorders>
              <w:top w:val="nil"/>
              <w:left w:val="nil"/>
              <w:bottom w:val="single" w:sz="4" w:space="0" w:color="auto"/>
              <w:right w:val="single" w:sz="4" w:space="0" w:color="auto"/>
            </w:tcBorders>
            <w:shd w:val="clear" w:color="auto" w:fill="FFFFFF"/>
            <w:noWrap/>
            <w:vAlign w:val="bottom"/>
            <w:hideMark/>
          </w:tcPr>
          <w:p w14:paraId="222B5D0F"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28.36</w:t>
            </w:r>
          </w:p>
        </w:tc>
        <w:tc>
          <w:tcPr>
            <w:tcW w:w="777" w:type="dxa"/>
            <w:tcBorders>
              <w:top w:val="nil"/>
              <w:left w:val="nil"/>
              <w:bottom w:val="single" w:sz="4" w:space="0" w:color="auto"/>
              <w:right w:val="single" w:sz="4" w:space="0" w:color="auto"/>
            </w:tcBorders>
            <w:shd w:val="clear" w:color="auto" w:fill="FFFFFF"/>
            <w:noWrap/>
            <w:vAlign w:val="bottom"/>
            <w:hideMark/>
          </w:tcPr>
          <w:p w14:paraId="749DD253"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26.38</w:t>
            </w:r>
          </w:p>
        </w:tc>
        <w:tc>
          <w:tcPr>
            <w:tcW w:w="843" w:type="dxa"/>
            <w:tcBorders>
              <w:top w:val="nil"/>
              <w:left w:val="nil"/>
              <w:bottom w:val="single" w:sz="4" w:space="0" w:color="auto"/>
              <w:right w:val="single" w:sz="4" w:space="0" w:color="auto"/>
            </w:tcBorders>
            <w:shd w:val="clear" w:color="auto" w:fill="FFFFFF"/>
            <w:noWrap/>
            <w:vAlign w:val="bottom"/>
            <w:hideMark/>
          </w:tcPr>
          <w:p w14:paraId="659ABE19"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28.96</w:t>
            </w:r>
          </w:p>
        </w:tc>
      </w:tr>
      <w:tr w:rsidR="00562C7A" w14:paraId="552FB3D5"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328E9BBA"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23F90B69"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243770A5"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33.52</w:t>
            </w:r>
          </w:p>
        </w:tc>
        <w:tc>
          <w:tcPr>
            <w:tcW w:w="881" w:type="dxa"/>
            <w:tcBorders>
              <w:top w:val="nil"/>
              <w:left w:val="nil"/>
              <w:bottom w:val="single" w:sz="4" w:space="0" w:color="auto"/>
              <w:right w:val="single" w:sz="4" w:space="0" w:color="auto"/>
            </w:tcBorders>
            <w:shd w:val="clear" w:color="auto" w:fill="FFFFFF"/>
            <w:noWrap/>
            <w:vAlign w:val="bottom"/>
            <w:hideMark/>
          </w:tcPr>
          <w:p w14:paraId="7DE937F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34.31</w:t>
            </w:r>
          </w:p>
        </w:tc>
        <w:tc>
          <w:tcPr>
            <w:tcW w:w="810" w:type="dxa"/>
            <w:tcBorders>
              <w:top w:val="nil"/>
              <w:left w:val="nil"/>
              <w:bottom w:val="single" w:sz="4" w:space="0" w:color="auto"/>
              <w:right w:val="single" w:sz="4" w:space="0" w:color="auto"/>
            </w:tcBorders>
            <w:shd w:val="clear" w:color="auto" w:fill="FFFFFF"/>
            <w:noWrap/>
            <w:vAlign w:val="bottom"/>
            <w:hideMark/>
          </w:tcPr>
          <w:p w14:paraId="7713F5C2"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26.01</w:t>
            </w:r>
          </w:p>
        </w:tc>
        <w:tc>
          <w:tcPr>
            <w:tcW w:w="900" w:type="dxa"/>
            <w:tcBorders>
              <w:top w:val="nil"/>
              <w:left w:val="nil"/>
              <w:bottom w:val="single" w:sz="4" w:space="0" w:color="auto"/>
              <w:right w:val="single" w:sz="4" w:space="0" w:color="auto"/>
            </w:tcBorders>
            <w:shd w:val="clear" w:color="auto" w:fill="FFFFFF"/>
            <w:noWrap/>
            <w:vAlign w:val="bottom"/>
            <w:hideMark/>
          </w:tcPr>
          <w:p w14:paraId="53C8122E"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28.22</w:t>
            </w:r>
          </w:p>
        </w:tc>
        <w:tc>
          <w:tcPr>
            <w:tcW w:w="777" w:type="dxa"/>
            <w:tcBorders>
              <w:top w:val="nil"/>
              <w:left w:val="nil"/>
              <w:bottom w:val="single" w:sz="4" w:space="0" w:color="auto"/>
              <w:right w:val="single" w:sz="4" w:space="0" w:color="auto"/>
            </w:tcBorders>
            <w:shd w:val="clear" w:color="auto" w:fill="FFFFFF"/>
            <w:noWrap/>
            <w:vAlign w:val="bottom"/>
            <w:hideMark/>
          </w:tcPr>
          <w:p w14:paraId="3D6E4E8B"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25.12</w:t>
            </w:r>
          </w:p>
        </w:tc>
        <w:tc>
          <w:tcPr>
            <w:tcW w:w="843" w:type="dxa"/>
            <w:tcBorders>
              <w:top w:val="nil"/>
              <w:left w:val="nil"/>
              <w:bottom w:val="single" w:sz="4" w:space="0" w:color="auto"/>
              <w:right w:val="single" w:sz="4" w:space="0" w:color="auto"/>
            </w:tcBorders>
            <w:shd w:val="clear" w:color="auto" w:fill="FFFFFF"/>
            <w:noWrap/>
            <w:vAlign w:val="bottom"/>
            <w:hideMark/>
          </w:tcPr>
          <w:p w14:paraId="4BC8108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29.16</w:t>
            </w:r>
          </w:p>
        </w:tc>
      </w:tr>
      <w:tr w:rsidR="00562C7A" w14:paraId="572D377B"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2212DE94"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S9</w:t>
            </w:r>
          </w:p>
        </w:tc>
        <w:tc>
          <w:tcPr>
            <w:tcW w:w="1577" w:type="dxa"/>
            <w:tcBorders>
              <w:top w:val="nil"/>
              <w:left w:val="nil"/>
              <w:bottom w:val="single" w:sz="4" w:space="0" w:color="auto"/>
              <w:right w:val="single" w:sz="4" w:space="0" w:color="auto"/>
            </w:tcBorders>
            <w:shd w:val="clear" w:color="auto" w:fill="FFFFFF"/>
            <w:noWrap/>
            <w:vAlign w:val="bottom"/>
            <w:hideMark/>
          </w:tcPr>
          <w:p w14:paraId="48F19255"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7687940D"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62.08</w:t>
            </w:r>
          </w:p>
        </w:tc>
        <w:tc>
          <w:tcPr>
            <w:tcW w:w="881" w:type="dxa"/>
            <w:tcBorders>
              <w:top w:val="nil"/>
              <w:left w:val="nil"/>
              <w:bottom w:val="single" w:sz="4" w:space="0" w:color="auto"/>
              <w:right w:val="single" w:sz="4" w:space="0" w:color="auto"/>
            </w:tcBorders>
            <w:shd w:val="clear" w:color="auto" w:fill="FFFFFF"/>
            <w:noWrap/>
            <w:vAlign w:val="bottom"/>
            <w:hideMark/>
          </w:tcPr>
          <w:p w14:paraId="4A47BA5F"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62.67</w:t>
            </w:r>
          </w:p>
        </w:tc>
        <w:tc>
          <w:tcPr>
            <w:tcW w:w="810" w:type="dxa"/>
            <w:tcBorders>
              <w:top w:val="nil"/>
              <w:left w:val="nil"/>
              <w:bottom w:val="single" w:sz="4" w:space="0" w:color="auto"/>
              <w:right w:val="single" w:sz="4" w:space="0" w:color="auto"/>
            </w:tcBorders>
            <w:shd w:val="clear" w:color="auto" w:fill="FFFFFF"/>
            <w:noWrap/>
            <w:vAlign w:val="bottom"/>
            <w:hideMark/>
          </w:tcPr>
          <w:p w14:paraId="3CC5ADE5"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55.98</w:t>
            </w:r>
          </w:p>
        </w:tc>
        <w:tc>
          <w:tcPr>
            <w:tcW w:w="900" w:type="dxa"/>
            <w:tcBorders>
              <w:top w:val="nil"/>
              <w:left w:val="nil"/>
              <w:bottom w:val="single" w:sz="4" w:space="0" w:color="auto"/>
              <w:right w:val="single" w:sz="4" w:space="0" w:color="auto"/>
            </w:tcBorders>
            <w:shd w:val="clear" w:color="auto" w:fill="FFFFFF"/>
            <w:noWrap/>
            <w:vAlign w:val="bottom"/>
            <w:hideMark/>
          </w:tcPr>
          <w:p w14:paraId="06AD0CCD"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56.36</w:t>
            </w:r>
          </w:p>
        </w:tc>
        <w:tc>
          <w:tcPr>
            <w:tcW w:w="777" w:type="dxa"/>
            <w:tcBorders>
              <w:top w:val="nil"/>
              <w:left w:val="nil"/>
              <w:bottom w:val="single" w:sz="4" w:space="0" w:color="auto"/>
              <w:right w:val="single" w:sz="4" w:space="0" w:color="auto"/>
            </w:tcBorders>
            <w:shd w:val="clear" w:color="auto" w:fill="FFFFFF"/>
            <w:noWrap/>
            <w:vAlign w:val="bottom"/>
            <w:hideMark/>
          </w:tcPr>
          <w:p w14:paraId="37D0C973"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54.72</w:t>
            </w:r>
          </w:p>
        </w:tc>
        <w:tc>
          <w:tcPr>
            <w:tcW w:w="843" w:type="dxa"/>
            <w:tcBorders>
              <w:top w:val="nil"/>
              <w:left w:val="nil"/>
              <w:bottom w:val="single" w:sz="4" w:space="0" w:color="auto"/>
              <w:right w:val="single" w:sz="4" w:space="0" w:color="auto"/>
            </w:tcBorders>
            <w:shd w:val="clear" w:color="auto" w:fill="FFFFFF"/>
            <w:noWrap/>
            <w:vAlign w:val="bottom"/>
            <w:hideMark/>
          </w:tcPr>
          <w:p w14:paraId="5FCD045C"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53.64</w:t>
            </w:r>
          </w:p>
        </w:tc>
      </w:tr>
      <w:tr w:rsidR="00562C7A" w14:paraId="60BFEFE0"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7CB63F66"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76AB2476"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1EA2BF2D"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62.18</w:t>
            </w:r>
          </w:p>
        </w:tc>
        <w:tc>
          <w:tcPr>
            <w:tcW w:w="881" w:type="dxa"/>
            <w:tcBorders>
              <w:top w:val="nil"/>
              <w:left w:val="nil"/>
              <w:bottom w:val="single" w:sz="4" w:space="0" w:color="auto"/>
              <w:right w:val="single" w:sz="4" w:space="0" w:color="auto"/>
            </w:tcBorders>
            <w:shd w:val="clear" w:color="auto" w:fill="FFFFFF"/>
            <w:noWrap/>
            <w:vAlign w:val="bottom"/>
            <w:hideMark/>
          </w:tcPr>
          <w:p w14:paraId="648CE202"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62.82</w:t>
            </w:r>
          </w:p>
        </w:tc>
        <w:tc>
          <w:tcPr>
            <w:tcW w:w="810" w:type="dxa"/>
            <w:tcBorders>
              <w:top w:val="nil"/>
              <w:left w:val="nil"/>
              <w:bottom w:val="single" w:sz="4" w:space="0" w:color="auto"/>
              <w:right w:val="single" w:sz="4" w:space="0" w:color="auto"/>
            </w:tcBorders>
            <w:shd w:val="clear" w:color="auto" w:fill="FFFFFF"/>
            <w:noWrap/>
            <w:vAlign w:val="bottom"/>
            <w:hideMark/>
          </w:tcPr>
          <w:p w14:paraId="0BC75D91"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56.13</w:t>
            </w:r>
          </w:p>
        </w:tc>
        <w:tc>
          <w:tcPr>
            <w:tcW w:w="900" w:type="dxa"/>
            <w:tcBorders>
              <w:top w:val="nil"/>
              <w:left w:val="nil"/>
              <w:bottom w:val="single" w:sz="4" w:space="0" w:color="auto"/>
              <w:right w:val="single" w:sz="4" w:space="0" w:color="auto"/>
            </w:tcBorders>
            <w:shd w:val="clear" w:color="auto" w:fill="FFFFFF"/>
            <w:noWrap/>
            <w:vAlign w:val="bottom"/>
            <w:hideMark/>
          </w:tcPr>
          <w:p w14:paraId="7A5D3A4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56.09</w:t>
            </w:r>
          </w:p>
        </w:tc>
        <w:tc>
          <w:tcPr>
            <w:tcW w:w="777" w:type="dxa"/>
            <w:tcBorders>
              <w:top w:val="nil"/>
              <w:left w:val="nil"/>
              <w:bottom w:val="single" w:sz="4" w:space="0" w:color="auto"/>
              <w:right w:val="single" w:sz="4" w:space="0" w:color="auto"/>
            </w:tcBorders>
            <w:shd w:val="clear" w:color="auto" w:fill="FFFFFF"/>
            <w:noWrap/>
            <w:vAlign w:val="bottom"/>
            <w:hideMark/>
          </w:tcPr>
          <w:p w14:paraId="65925F68"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54.42</w:t>
            </w:r>
          </w:p>
        </w:tc>
        <w:tc>
          <w:tcPr>
            <w:tcW w:w="843" w:type="dxa"/>
            <w:tcBorders>
              <w:top w:val="nil"/>
              <w:left w:val="nil"/>
              <w:bottom w:val="single" w:sz="4" w:space="0" w:color="auto"/>
              <w:right w:val="single" w:sz="4" w:space="0" w:color="auto"/>
            </w:tcBorders>
            <w:shd w:val="clear" w:color="auto" w:fill="FFFFFF"/>
            <w:noWrap/>
            <w:vAlign w:val="bottom"/>
            <w:hideMark/>
          </w:tcPr>
          <w:p w14:paraId="3B6304E7"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53.53</w:t>
            </w:r>
          </w:p>
        </w:tc>
      </w:tr>
      <w:tr w:rsidR="00562C7A" w14:paraId="38DE908D"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3E625C09"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S10</w:t>
            </w:r>
          </w:p>
        </w:tc>
        <w:tc>
          <w:tcPr>
            <w:tcW w:w="1577" w:type="dxa"/>
            <w:tcBorders>
              <w:top w:val="nil"/>
              <w:left w:val="nil"/>
              <w:bottom w:val="single" w:sz="4" w:space="0" w:color="auto"/>
              <w:right w:val="single" w:sz="4" w:space="0" w:color="auto"/>
            </w:tcBorders>
            <w:shd w:val="clear" w:color="auto" w:fill="FFFFFF"/>
            <w:noWrap/>
            <w:vAlign w:val="bottom"/>
            <w:hideMark/>
          </w:tcPr>
          <w:p w14:paraId="5E71A22E"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4867A18B"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35.45</w:t>
            </w:r>
          </w:p>
        </w:tc>
        <w:tc>
          <w:tcPr>
            <w:tcW w:w="881" w:type="dxa"/>
            <w:tcBorders>
              <w:top w:val="nil"/>
              <w:left w:val="nil"/>
              <w:bottom w:val="single" w:sz="4" w:space="0" w:color="auto"/>
              <w:right w:val="single" w:sz="4" w:space="0" w:color="auto"/>
            </w:tcBorders>
            <w:shd w:val="clear" w:color="auto" w:fill="FFFFFF"/>
            <w:noWrap/>
            <w:vAlign w:val="bottom"/>
            <w:hideMark/>
          </w:tcPr>
          <w:p w14:paraId="4AAD1B60"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34.99</w:t>
            </w:r>
          </w:p>
        </w:tc>
        <w:tc>
          <w:tcPr>
            <w:tcW w:w="810" w:type="dxa"/>
            <w:tcBorders>
              <w:top w:val="nil"/>
              <w:left w:val="nil"/>
              <w:bottom w:val="single" w:sz="4" w:space="0" w:color="auto"/>
              <w:right w:val="single" w:sz="4" w:space="0" w:color="auto"/>
            </w:tcBorders>
            <w:shd w:val="clear" w:color="auto" w:fill="FFFFFF"/>
            <w:noWrap/>
            <w:vAlign w:val="bottom"/>
            <w:hideMark/>
          </w:tcPr>
          <w:p w14:paraId="6E000F75"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29.62</w:t>
            </w:r>
          </w:p>
        </w:tc>
        <w:tc>
          <w:tcPr>
            <w:tcW w:w="900" w:type="dxa"/>
            <w:tcBorders>
              <w:top w:val="nil"/>
              <w:left w:val="nil"/>
              <w:bottom w:val="single" w:sz="4" w:space="0" w:color="auto"/>
              <w:right w:val="single" w:sz="4" w:space="0" w:color="auto"/>
            </w:tcBorders>
            <w:shd w:val="clear" w:color="auto" w:fill="FFFFFF"/>
            <w:noWrap/>
            <w:vAlign w:val="bottom"/>
            <w:hideMark/>
          </w:tcPr>
          <w:p w14:paraId="135DF6B0"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27.84</w:t>
            </w:r>
          </w:p>
        </w:tc>
        <w:tc>
          <w:tcPr>
            <w:tcW w:w="777" w:type="dxa"/>
            <w:tcBorders>
              <w:top w:val="nil"/>
              <w:left w:val="nil"/>
              <w:bottom w:val="single" w:sz="4" w:space="0" w:color="auto"/>
              <w:right w:val="single" w:sz="4" w:space="0" w:color="auto"/>
            </w:tcBorders>
            <w:shd w:val="clear" w:color="auto" w:fill="FFFFFF"/>
            <w:noWrap/>
            <w:vAlign w:val="bottom"/>
            <w:hideMark/>
          </w:tcPr>
          <w:p w14:paraId="16CD8918"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27.99</w:t>
            </w:r>
          </w:p>
        </w:tc>
        <w:tc>
          <w:tcPr>
            <w:tcW w:w="843" w:type="dxa"/>
            <w:tcBorders>
              <w:top w:val="nil"/>
              <w:left w:val="nil"/>
              <w:bottom w:val="single" w:sz="4" w:space="0" w:color="auto"/>
              <w:right w:val="single" w:sz="4" w:space="0" w:color="auto"/>
            </w:tcBorders>
            <w:shd w:val="clear" w:color="auto" w:fill="FFFFFF"/>
            <w:noWrap/>
            <w:vAlign w:val="bottom"/>
            <w:hideMark/>
          </w:tcPr>
          <w:p w14:paraId="66111850"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26.28</w:t>
            </w:r>
          </w:p>
        </w:tc>
      </w:tr>
      <w:tr w:rsidR="00562C7A" w14:paraId="5AFD1FB0"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4D5C42BF"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677964D6"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371E6293"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35.48</w:t>
            </w:r>
          </w:p>
        </w:tc>
        <w:tc>
          <w:tcPr>
            <w:tcW w:w="881" w:type="dxa"/>
            <w:tcBorders>
              <w:top w:val="nil"/>
              <w:left w:val="nil"/>
              <w:bottom w:val="single" w:sz="4" w:space="0" w:color="auto"/>
              <w:right w:val="single" w:sz="4" w:space="0" w:color="auto"/>
            </w:tcBorders>
            <w:shd w:val="clear" w:color="auto" w:fill="FFFFFF"/>
            <w:noWrap/>
            <w:vAlign w:val="bottom"/>
            <w:hideMark/>
          </w:tcPr>
          <w:p w14:paraId="23B86C68"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35.24</w:t>
            </w:r>
          </w:p>
        </w:tc>
        <w:tc>
          <w:tcPr>
            <w:tcW w:w="810" w:type="dxa"/>
            <w:tcBorders>
              <w:top w:val="nil"/>
              <w:left w:val="nil"/>
              <w:bottom w:val="single" w:sz="4" w:space="0" w:color="auto"/>
              <w:right w:val="single" w:sz="4" w:space="0" w:color="auto"/>
            </w:tcBorders>
            <w:shd w:val="clear" w:color="auto" w:fill="FFFFFF"/>
            <w:noWrap/>
            <w:vAlign w:val="bottom"/>
            <w:hideMark/>
          </w:tcPr>
          <w:p w14:paraId="7523A4CD"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29.76</w:t>
            </w:r>
          </w:p>
        </w:tc>
        <w:tc>
          <w:tcPr>
            <w:tcW w:w="900" w:type="dxa"/>
            <w:tcBorders>
              <w:top w:val="nil"/>
              <w:left w:val="nil"/>
              <w:bottom w:val="single" w:sz="4" w:space="0" w:color="auto"/>
              <w:right w:val="single" w:sz="4" w:space="0" w:color="auto"/>
            </w:tcBorders>
            <w:shd w:val="clear" w:color="auto" w:fill="FFFFFF"/>
            <w:noWrap/>
            <w:vAlign w:val="bottom"/>
            <w:hideMark/>
          </w:tcPr>
          <w:p w14:paraId="73763033"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27.83</w:t>
            </w:r>
          </w:p>
        </w:tc>
        <w:tc>
          <w:tcPr>
            <w:tcW w:w="777" w:type="dxa"/>
            <w:tcBorders>
              <w:top w:val="nil"/>
              <w:left w:val="nil"/>
              <w:bottom w:val="single" w:sz="4" w:space="0" w:color="auto"/>
              <w:right w:val="single" w:sz="4" w:space="0" w:color="auto"/>
            </w:tcBorders>
            <w:shd w:val="clear" w:color="auto" w:fill="FFFFFF"/>
            <w:noWrap/>
            <w:vAlign w:val="bottom"/>
            <w:hideMark/>
          </w:tcPr>
          <w:p w14:paraId="18240BBE"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28.68</w:t>
            </w:r>
          </w:p>
        </w:tc>
        <w:tc>
          <w:tcPr>
            <w:tcW w:w="843" w:type="dxa"/>
            <w:tcBorders>
              <w:top w:val="nil"/>
              <w:left w:val="nil"/>
              <w:bottom w:val="single" w:sz="4" w:space="0" w:color="auto"/>
              <w:right w:val="single" w:sz="4" w:space="0" w:color="auto"/>
            </w:tcBorders>
            <w:shd w:val="clear" w:color="auto" w:fill="FFFFFF"/>
            <w:noWrap/>
            <w:vAlign w:val="bottom"/>
            <w:hideMark/>
          </w:tcPr>
          <w:p w14:paraId="39E32B33"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26.01</w:t>
            </w:r>
          </w:p>
        </w:tc>
      </w:tr>
      <w:tr w:rsidR="00562C7A" w14:paraId="744D3E4F"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3BB58CD0"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S11</w:t>
            </w:r>
          </w:p>
        </w:tc>
        <w:tc>
          <w:tcPr>
            <w:tcW w:w="1577" w:type="dxa"/>
            <w:tcBorders>
              <w:top w:val="nil"/>
              <w:left w:val="nil"/>
              <w:bottom w:val="single" w:sz="4" w:space="0" w:color="auto"/>
              <w:right w:val="single" w:sz="4" w:space="0" w:color="auto"/>
            </w:tcBorders>
            <w:shd w:val="clear" w:color="auto" w:fill="FFFFFF"/>
            <w:noWrap/>
            <w:vAlign w:val="bottom"/>
            <w:hideMark/>
          </w:tcPr>
          <w:p w14:paraId="3EE7D44A"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5EC7F4B8"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67.74</w:t>
            </w:r>
          </w:p>
        </w:tc>
        <w:tc>
          <w:tcPr>
            <w:tcW w:w="881" w:type="dxa"/>
            <w:tcBorders>
              <w:top w:val="nil"/>
              <w:left w:val="nil"/>
              <w:bottom w:val="single" w:sz="4" w:space="0" w:color="auto"/>
              <w:right w:val="single" w:sz="4" w:space="0" w:color="auto"/>
            </w:tcBorders>
            <w:shd w:val="clear" w:color="auto" w:fill="FFFFFF"/>
            <w:noWrap/>
            <w:vAlign w:val="bottom"/>
            <w:hideMark/>
          </w:tcPr>
          <w:p w14:paraId="38042EE1"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68.14</w:t>
            </w:r>
          </w:p>
        </w:tc>
        <w:tc>
          <w:tcPr>
            <w:tcW w:w="810" w:type="dxa"/>
            <w:tcBorders>
              <w:top w:val="nil"/>
              <w:left w:val="nil"/>
              <w:bottom w:val="single" w:sz="4" w:space="0" w:color="auto"/>
              <w:right w:val="single" w:sz="4" w:space="0" w:color="auto"/>
            </w:tcBorders>
            <w:shd w:val="clear" w:color="auto" w:fill="FFFFFF"/>
            <w:noWrap/>
            <w:vAlign w:val="bottom"/>
            <w:hideMark/>
          </w:tcPr>
          <w:p w14:paraId="13874721"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56.22</w:t>
            </w:r>
          </w:p>
        </w:tc>
        <w:tc>
          <w:tcPr>
            <w:tcW w:w="900" w:type="dxa"/>
            <w:tcBorders>
              <w:top w:val="nil"/>
              <w:left w:val="nil"/>
              <w:bottom w:val="single" w:sz="4" w:space="0" w:color="auto"/>
              <w:right w:val="single" w:sz="4" w:space="0" w:color="auto"/>
            </w:tcBorders>
            <w:shd w:val="clear" w:color="auto" w:fill="FFFFFF"/>
            <w:noWrap/>
            <w:vAlign w:val="bottom"/>
            <w:hideMark/>
          </w:tcPr>
          <w:p w14:paraId="47C08B37"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55.15</w:t>
            </w:r>
          </w:p>
        </w:tc>
        <w:tc>
          <w:tcPr>
            <w:tcW w:w="777" w:type="dxa"/>
            <w:tcBorders>
              <w:top w:val="nil"/>
              <w:left w:val="nil"/>
              <w:bottom w:val="single" w:sz="4" w:space="0" w:color="auto"/>
              <w:right w:val="single" w:sz="4" w:space="0" w:color="auto"/>
            </w:tcBorders>
            <w:shd w:val="clear" w:color="auto" w:fill="FFFFFF"/>
            <w:noWrap/>
            <w:vAlign w:val="bottom"/>
            <w:hideMark/>
          </w:tcPr>
          <w:p w14:paraId="40A988BC"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56.75</w:t>
            </w:r>
          </w:p>
        </w:tc>
        <w:tc>
          <w:tcPr>
            <w:tcW w:w="843" w:type="dxa"/>
            <w:tcBorders>
              <w:top w:val="nil"/>
              <w:left w:val="nil"/>
              <w:bottom w:val="single" w:sz="4" w:space="0" w:color="auto"/>
              <w:right w:val="single" w:sz="4" w:space="0" w:color="auto"/>
            </w:tcBorders>
            <w:shd w:val="clear" w:color="auto" w:fill="FFFFFF"/>
            <w:noWrap/>
            <w:vAlign w:val="bottom"/>
            <w:hideMark/>
          </w:tcPr>
          <w:p w14:paraId="42EF6046"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54.51</w:t>
            </w:r>
          </w:p>
        </w:tc>
      </w:tr>
      <w:tr w:rsidR="00562C7A" w14:paraId="32B0356D"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525C5795"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3B98C4C6"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6EC1AB01"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67.32</w:t>
            </w:r>
          </w:p>
        </w:tc>
        <w:tc>
          <w:tcPr>
            <w:tcW w:w="881" w:type="dxa"/>
            <w:tcBorders>
              <w:top w:val="nil"/>
              <w:left w:val="nil"/>
              <w:bottom w:val="single" w:sz="4" w:space="0" w:color="auto"/>
              <w:right w:val="single" w:sz="4" w:space="0" w:color="auto"/>
            </w:tcBorders>
            <w:shd w:val="clear" w:color="auto" w:fill="FFFFFF"/>
            <w:noWrap/>
            <w:vAlign w:val="bottom"/>
            <w:hideMark/>
          </w:tcPr>
          <w:p w14:paraId="16CA45B8"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67.85</w:t>
            </w:r>
          </w:p>
        </w:tc>
        <w:tc>
          <w:tcPr>
            <w:tcW w:w="810" w:type="dxa"/>
            <w:tcBorders>
              <w:top w:val="nil"/>
              <w:left w:val="nil"/>
              <w:bottom w:val="single" w:sz="4" w:space="0" w:color="auto"/>
              <w:right w:val="single" w:sz="4" w:space="0" w:color="auto"/>
            </w:tcBorders>
            <w:shd w:val="clear" w:color="auto" w:fill="FFFFFF"/>
            <w:noWrap/>
            <w:vAlign w:val="bottom"/>
            <w:hideMark/>
          </w:tcPr>
          <w:p w14:paraId="68E15D29"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57.80</w:t>
            </w:r>
          </w:p>
        </w:tc>
        <w:tc>
          <w:tcPr>
            <w:tcW w:w="900" w:type="dxa"/>
            <w:tcBorders>
              <w:top w:val="nil"/>
              <w:left w:val="nil"/>
              <w:bottom w:val="single" w:sz="4" w:space="0" w:color="auto"/>
              <w:right w:val="single" w:sz="4" w:space="0" w:color="auto"/>
            </w:tcBorders>
            <w:shd w:val="clear" w:color="auto" w:fill="FFFFFF"/>
            <w:noWrap/>
            <w:vAlign w:val="bottom"/>
            <w:hideMark/>
          </w:tcPr>
          <w:p w14:paraId="28BFEC60"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55.13</w:t>
            </w:r>
          </w:p>
        </w:tc>
        <w:tc>
          <w:tcPr>
            <w:tcW w:w="777" w:type="dxa"/>
            <w:tcBorders>
              <w:top w:val="nil"/>
              <w:left w:val="nil"/>
              <w:bottom w:val="single" w:sz="4" w:space="0" w:color="auto"/>
              <w:right w:val="single" w:sz="4" w:space="0" w:color="auto"/>
            </w:tcBorders>
            <w:shd w:val="clear" w:color="auto" w:fill="FFFFFF"/>
            <w:noWrap/>
            <w:vAlign w:val="bottom"/>
            <w:hideMark/>
          </w:tcPr>
          <w:p w14:paraId="65DBE9BA"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56.04</w:t>
            </w:r>
          </w:p>
        </w:tc>
        <w:tc>
          <w:tcPr>
            <w:tcW w:w="843" w:type="dxa"/>
            <w:tcBorders>
              <w:top w:val="nil"/>
              <w:left w:val="nil"/>
              <w:bottom w:val="single" w:sz="4" w:space="0" w:color="auto"/>
              <w:right w:val="single" w:sz="4" w:space="0" w:color="auto"/>
            </w:tcBorders>
            <w:shd w:val="clear" w:color="auto" w:fill="FFFFFF"/>
            <w:noWrap/>
            <w:vAlign w:val="bottom"/>
            <w:hideMark/>
          </w:tcPr>
          <w:p w14:paraId="40A27005"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54.42</w:t>
            </w:r>
          </w:p>
        </w:tc>
      </w:tr>
      <w:tr w:rsidR="00562C7A" w14:paraId="1854636D"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2CFE669F"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S12</w:t>
            </w:r>
          </w:p>
        </w:tc>
        <w:tc>
          <w:tcPr>
            <w:tcW w:w="1577" w:type="dxa"/>
            <w:tcBorders>
              <w:top w:val="nil"/>
              <w:left w:val="nil"/>
              <w:bottom w:val="single" w:sz="4" w:space="0" w:color="auto"/>
              <w:right w:val="single" w:sz="4" w:space="0" w:color="auto"/>
            </w:tcBorders>
            <w:shd w:val="clear" w:color="auto" w:fill="FFFFFF"/>
            <w:noWrap/>
            <w:vAlign w:val="bottom"/>
            <w:hideMark/>
          </w:tcPr>
          <w:p w14:paraId="36B3BB4D"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28255523"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67.70</w:t>
            </w:r>
          </w:p>
        </w:tc>
        <w:tc>
          <w:tcPr>
            <w:tcW w:w="881" w:type="dxa"/>
            <w:tcBorders>
              <w:top w:val="nil"/>
              <w:left w:val="nil"/>
              <w:bottom w:val="single" w:sz="4" w:space="0" w:color="auto"/>
              <w:right w:val="single" w:sz="4" w:space="0" w:color="auto"/>
            </w:tcBorders>
            <w:shd w:val="clear" w:color="auto" w:fill="FFFFFF"/>
            <w:noWrap/>
            <w:vAlign w:val="bottom"/>
            <w:hideMark/>
          </w:tcPr>
          <w:p w14:paraId="3B3FE33A"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69.30</w:t>
            </w:r>
          </w:p>
        </w:tc>
        <w:tc>
          <w:tcPr>
            <w:tcW w:w="810" w:type="dxa"/>
            <w:tcBorders>
              <w:top w:val="nil"/>
              <w:left w:val="nil"/>
              <w:bottom w:val="single" w:sz="4" w:space="0" w:color="auto"/>
              <w:right w:val="single" w:sz="4" w:space="0" w:color="auto"/>
            </w:tcBorders>
            <w:shd w:val="clear" w:color="auto" w:fill="FFFFFF"/>
            <w:noWrap/>
            <w:vAlign w:val="bottom"/>
            <w:hideMark/>
          </w:tcPr>
          <w:p w14:paraId="1CFCF4CD"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61.10</w:t>
            </w:r>
          </w:p>
        </w:tc>
        <w:tc>
          <w:tcPr>
            <w:tcW w:w="900" w:type="dxa"/>
            <w:tcBorders>
              <w:top w:val="nil"/>
              <w:left w:val="nil"/>
              <w:bottom w:val="single" w:sz="4" w:space="0" w:color="auto"/>
              <w:right w:val="single" w:sz="4" w:space="0" w:color="auto"/>
            </w:tcBorders>
            <w:shd w:val="clear" w:color="auto" w:fill="FFFFFF"/>
            <w:noWrap/>
            <w:vAlign w:val="bottom"/>
            <w:hideMark/>
          </w:tcPr>
          <w:p w14:paraId="2F480FF3"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57.82</w:t>
            </w:r>
          </w:p>
        </w:tc>
        <w:tc>
          <w:tcPr>
            <w:tcW w:w="777" w:type="dxa"/>
            <w:tcBorders>
              <w:top w:val="nil"/>
              <w:left w:val="nil"/>
              <w:bottom w:val="single" w:sz="4" w:space="0" w:color="auto"/>
              <w:right w:val="single" w:sz="4" w:space="0" w:color="auto"/>
            </w:tcBorders>
            <w:shd w:val="clear" w:color="auto" w:fill="FFFFFF"/>
            <w:noWrap/>
            <w:vAlign w:val="bottom"/>
            <w:hideMark/>
          </w:tcPr>
          <w:p w14:paraId="7A98AEF2"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56.24</w:t>
            </w:r>
          </w:p>
        </w:tc>
        <w:tc>
          <w:tcPr>
            <w:tcW w:w="843" w:type="dxa"/>
            <w:tcBorders>
              <w:top w:val="nil"/>
              <w:left w:val="nil"/>
              <w:bottom w:val="single" w:sz="4" w:space="0" w:color="auto"/>
              <w:right w:val="single" w:sz="4" w:space="0" w:color="auto"/>
            </w:tcBorders>
            <w:shd w:val="clear" w:color="auto" w:fill="FFFFFF"/>
            <w:noWrap/>
            <w:vAlign w:val="bottom"/>
            <w:hideMark/>
          </w:tcPr>
          <w:p w14:paraId="4E7C79AB"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56.99</w:t>
            </w:r>
          </w:p>
        </w:tc>
      </w:tr>
      <w:tr w:rsidR="00562C7A" w14:paraId="5D2851BC"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7876F8F4"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073996DD"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475D5741"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68.09</w:t>
            </w:r>
          </w:p>
        </w:tc>
        <w:tc>
          <w:tcPr>
            <w:tcW w:w="881" w:type="dxa"/>
            <w:tcBorders>
              <w:top w:val="nil"/>
              <w:left w:val="nil"/>
              <w:bottom w:val="single" w:sz="4" w:space="0" w:color="auto"/>
              <w:right w:val="single" w:sz="4" w:space="0" w:color="auto"/>
            </w:tcBorders>
            <w:shd w:val="clear" w:color="auto" w:fill="FFFFFF"/>
            <w:noWrap/>
            <w:vAlign w:val="bottom"/>
            <w:hideMark/>
          </w:tcPr>
          <w:p w14:paraId="62E93094"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69.50</w:t>
            </w:r>
          </w:p>
        </w:tc>
        <w:tc>
          <w:tcPr>
            <w:tcW w:w="810" w:type="dxa"/>
            <w:tcBorders>
              <w:top w:val="nil"/>
              <w:left w:val="nil"/>
              <w:bottom w:val="single" w:sz="4" w:space="0" w:color="auto"/>
              <w:right w:val="single" w:sz="4" w:space="0" w:color="auto"/>
            </w:tcBorders>
            <w:shd w:val="clear" w:color="auto" w:fill="FFFFFF"/>
            <w:noWrap/>
            <w:vAlign w:val="bottom"/>
            <w:hideMark/>
          </w:tcPr>
          <w:p w14:paraId="26F9810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60.92</w:t>
            </w:r>
          </w:p>
        </w:tc>
        <w:tc>
          <w:tcPr>
            <w:tcW w:w="900" w:type="dxa"/>
            <w:tcBorders>
              <w:top w:val="nil"/>
              <w:left w:val="nil"/>
              <w:bottom w:val="single" w:sz="4" w:space="0" w:color="auto"/>
              <w:right w:val="single" w:sz="4" w:space="0" w:color="auto"/>
            </w:tcBorders>
            <w:shd w:val="clear" w:color="auto" w:fill="FFFFFF"/>
            <w:noWrap/>
            <w:vAlign w:val="bottom"/>
            <w:hideMark/>
          </w:tcPr>
          <w:p w14:paraId="4CD876AF"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57.55</w:t>
            </w:r>
          </w:p>
        </w:tc>
        <w:tc>
          <w:tcPr>
            <w:tcW w:w="777" w:type="dxa"/>
            <w:tcBorders>
              <w:top w:val="nil"/>
              <w:left w:val="nil"/>
              <w:bottom w:val="single" w:sz="4" w:space="0" w:color="auto"/>
              <w:right w:val="single" w:sz="4" w:space="0" w:color="auto"/>
            </w:tcBorders>
            <w:shd w:val="clear" w:color="auto" w:fill="FFFFFF"/>
            <w:noWrap/>
            <w:vAlign w:val="bottom"/>
            <w:hideMark/>
          </w:tcPr>
          <w:p w14:paraId="274E02C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54.58</w:t>
            </w:r>
          </w:p>
        </w:tc>
        <w:tc>
          <w:tcPr>
            <w:tcW w:w="843" w:type="dxa"/>
            <w:tcBorders>
              <w:top w:val="nil"/>
              <w:left w:val="nil"/>
              <w:bottom w:val="single" w:sz="4" w:space="0" w:color="auto"/>
              <w:right w:val="single" w:sz="4" w:space="0" w:color="auto"/>
            </w:tcBorders>
            <w:shd w:val="clear" w:color="auto" w:fill="FFFFFF"/>
            <w:noWrap/>
            <w:vAlign w:val="bottom"/>
            <w:hideMark/>
          </w:tcPr>
          <w:p w14:paraId="76CE232C"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56.93</w:t>
            </w:r>
          </w:p>
        </w:tc>
      </w:tr>
      <w:tr w:rsidR="00562C7A" w14:paraId="706F8D13" w14:textId="77777777" w:rsidTr="00562C7A">
        <w:trPr>
          <w:trHeight w:val="288"/>
          <w:jc w:val="center"/>
        </w:trPr>
        <w:tc>
          <w:tcPr>
            <w:tcW w:w="977"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6ED471C9" w14:textId="77777777" w:rsidR="00562C7A" w:rsidRDefault="00562C7A" w:rsidP="008608A9">
            <w:pPr>
              <w:spacing w:after="0" w:line="240" w:lineRule="auto"/>
              <w:jc w:val="center"/>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S13</w:t>
            </w:r>
          </w:p>
        </w:tc>
        <w:tc>
          <w:tcPr>
            <w:tcW w:w="1577" w:type="dxa"/>
            <w:tcBorders>
              <w:top w:val="nil"/>
              <w:left w:val="nil"/>
              <w:bottom w:val="single" w:sz="4" w:space="0" w:color="auto"/>
              <w:right w:val="single" w:sz="4" w:space="0" w:color="auto"/>
            </w:tcBorders>
            <w:shd w:val="clear" w:color="auto" w:fill="FFFFFF"/>
            <w:noWrap/>
            <w:vAlign w:val="bottom"/>
            <w:hideMark/>
          </w:tcPr>
          <w:p w14:paraId="671E19B6"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Experimented</w:t>
            </w:r>
          </w:p>
        </w:tc>
        <w:tc>
          <w:tcPr>
            <w:tcW w:w="813" w:type="dxa"/>
            <w:tcBorders>
              <w:top w:val="nil"/>
              <w:left w:val="nil"/>
              <w:bottom w:val="single" w:sz="4" w:space="0" w:color="auto"/>
              <w:right w:val="single" w:sz="4" w:space="0" w:color="auto"/>
            </w:tcBorders>
            <w:shd w:val="clear" w:color="auto" w:fill="FFFFFF"/>
            <w:noWrap/>
            <w:vAlign w:val="bottom"/>
            <w:hideMark/>
          </w:tcPr>
          <w:p w14:paraId="08CD5853"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45.52</w:t>
            </w:r>
          </w:p>
        </w:tc>
        <w:tc>
          <w:tcPr>
            <w:tcW w:w="881" w:type="dxa"/>
            <w:tcBorders>
              <w:top w:val="nil"/>
              <w:left w:val="nil"/>
              <w:bottom w:val="single" w:sz="4" w:space="0" w:color="auto"/>
              <w:right w:val="single" w:sz="4" w:space="0" w:color="auto"/>
            </w:tcBorders>
            <w:shd w:val="clear" w:color="auto" w:fill="FFFFFF"/>
            <w:noWrap/>
            <w:vAlign w:val="bottom"/>
            <w:hideMark/>
          </w:tcPr>
          <w:p w14:paraId="48C22FA2"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45.38</w:t>
            </w:r>
          </w:p>
        </w:tc>
        <w:tc>
          <w:tcPr>
            <w:tcW w:w="810" w:type="dxa"/>
            <w:tcBorders>
              <w:top w:val="nil"/>
              <w:left w:val="nil"/>
              <w:bottom w:val="single" w:sz="4" w:space="0" w:color="auto"/>
              <w:right w:val="single" w:sz="4" w:space="0" w:color="auto"/>
            </w:tcBorders>
            <w:shd w:val="clear" w:color="auto" w:fill="FFFFFF"/>
            <w:noWrap/>
            <w:vAlign w:val="bottom"/>
            <w:hideMark/>
          </w:tcPr>
          <w:p w14:paraId="5CAA3EA1"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36.54</w:t>
            </w:r>
          </w:p>
        </w:tc>
        <w:tc>
          <w:tcPr>
            <w:tcW w:w="900" w:type="dxa"/>
            <w:tcBorders>
              <w:top w:val="nil"/>
              <w:left w:val="nil"/>
              <w:bottom w:val="single" w:sz="4" w:space="0" w:color="auto"/>
              <w:right w:val="single" w:sz="4" w:space="0" w:color="auto"/>
            </w:tcBorders>
            <w:shd w:val="clear" w:color="auto" w:fill="FFFFFF"/>
            <w:noWrap/>
            <w:vAlign w:val="bottom"/>
            <w:hideMark/>
          </w:tcPr>
          <w:p w14:paraId="0A318C18"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36.71</w:t>
            </w:r>
          </w:p>
        </w:tc>
        <w:tc>
          <w:tcPr>
            <w:tcW w:w="777" w:type="dxa"/>
            <w:tcBorders>
              <w:top w:val="nil"/>
              <w:left w:val="nil"/>
              <w:bottom w:val="single" w:sz="4" w:space="0" w:color="auto"/>
              <w:right w:val="single" w:sz="4" w:space="0" w:color="auto"/>
            </w:tcBorders>
            <w:shd w:val="clear" w:color="auto" w:fill="FFFFFF"/>
            <w:noWrap/>
            <w:vAlign w:val="bottom"/>
            <w:hideMark/>
          </w:tcPr>
          <w:p w14:paraId="29D833E3"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38.95</w:t>
            </w:r>
          </w:p>
        </w:tc>
        <w:tc>
          <w:tcPr>
            <w:tcW w:w="843" w:type="dxa"/>
            <w:tcBorders>
              <w:top w:val="nil"/>
              <w:left w:val="nil"/>
              <w:bottom w:val="single" w:sz="4" w:space="0" w:color="auto"/>
              <w:right w:val="single" w:sz="4" w:space="0" w:color="auto"/>
            </w:tcBorders>
            <w:shd w:val="clear" w:color="auto" w:fill="FFFFFF"/>
            <w:noWrap/>
            <w:vAlign w:val="bottom"/>
            <w:hideMark/>
          </w:tcPr>
          <w:p w14:paraId="664B43A9" w14:textId="77777777" w:rsidR="00562C7A" w:rsidRDefault="00562C7A" w:rsidP="008608A9">
            <w:pPr>
              <w:spacing w:after="0" w:line="240" w:lineRule="auto"/>
              <w:jc w:val="right"/>
              <w:rPr>
                <w:rFonts w:ascii="Bookman Old Style" w:eastAsia="Times New Roman" w:hAnsi="Bookman Old Style" w:cs="Calibri"/>
                <w:sz w:val="20"/>
                <w:szCs w:val="20"/>
                <w:lang w:val="en-IN" w:eastAsia="en-IN"/>
              </w:rPr>
            </w:pPr>
            <w:r>
              <w:rPr>
                <w:rFonts w:ascii="Bookman Old Style" w:eastAsia="Times New Roman" w:hAnsi="Bookman Old Style" w:cs="Calibri"/>
                <w:sz w:val="20"/>
                <w:szCs w:val="20"/>
                <w:lang w:val="en-IN" w:eastAsia="en-IN"/>
              </w:rPr>
              <w:t>36.72</w:t>
            </w:r>
          </w:p>
        </w:tc>
      </w:tr>
      <w:tr w:rsidR="00562C7A" w14:paraId="5C9C0259" w14:textId="77777777" w:rsidTr="00562C7A">
        <w:trPr>
          <w:trHeight w:val="288"/>
          <w:jc w:val="center"/>
        </w:trPr>
        <w:tc>
          <w:tcPr>
            <w:tcW w:w="977" w:type="dxa"/>
            <w:vMerge/>
            <w:tcBorders>
              <w:top w:val="nil"/>
              <w:left w:val="single" w:sz="4" w:space="0" w:color="auto"/>
              <w:bottom w:val="single" w:sz="4" w:space="0" w:color="auto"/>
              <w:right w:val="single" w:sz="4" w:space="0" w:color="auto"/>
            </w:tcBorders>
            <w:vAlign w:val="center"/>
            <w:hideMark/>
          </w:tcPr>
          <w:p w14:paraId="0283F436" w14:textId="77777777" w:rsidR="00562C7A" w:rsidRDefault="00562C7A" w:rsidP="008608A9">
            <w:pPr>
              <w:spacing w:after="0" w:line="240" w:lineRule="auto"/>
              <w:rPr>
                <w:rFonts w:ascii="Bookman Old Style" w:eastAsia="Times New Roman" w:hAnsi="Bookman Old Style" w:cs="Calibri"/>
                <w:color w:val="000000"/>
                <w:sz w:val="20"/>
                <w:szCs w:val="20"/>
                <w:lang w:val="en-IN" w:eastAsia="en-IN"/>
              </w:rPr>
            </w:pPr>
          </w:p>
        </w:tc>
        <w:tc>
          <w:tcPr>
            <w:tcW w:w="1577" w:type="dxa"/>
            <w:tcBorders>
              <w:top w:val="nil"/>
              <w:left w:val="nil"/>
              <w:bottom w:val="single" w:sz="4" w:space="0" w:color="auto"/>
              <w:right w:val="single" w:sz="4" w:space="0" w:color="auto"/>
            </w:tcBorders>
            <w:shd w:val="clear" w:color="auto" w:fill="FFFFFF"/>
            <w:noWrap/>
            <w:vAlign w:val="bottom"/>
            <w:hideMark/>
          </w:tcPr>
          <w:p w14:paraId="1B3C7B16" w14:textId="77777777" w:rsidR="00562C7A" w:rsidRDefault="00562C7A" w:rsidP="008608A9">
            <w:pPr>
              <w:spacing w:after="0" w:line="240" w:lineRule="auto"/>
              <w:jc w:val="both"/>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ANN Predicted</w:t>
            </w:r>
          </w:p>
        </w:tc>
        <w:tc>
          <w:tcPr>
            <w:tcW w:w="813" w:type="dxa"/>
            <w:tcBorders>
              <w:top w:val="nil"/>
              <w:left w:val="nil"/>
              <w:bottom w:val="single" w:sz="4" w:space="0" w:color="auto"/>
              <w:right w:val="single" w:sz="4" w:space="0" w:color="auto"/>
            </w:tcBorders>
            <w:shd w:val="clear" w:color="auto" w:fill="FFFFFF"/>
            <w:noWrap/>
            <w:vAlign w:val="bottom"/>
            <w:hideMark/>
          </w:tcPr>
          <w:p w14:paraId="7A4AA8B3"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45.01</w:t>
            </w:r>
          </w:p>
        </w:tc>
        <w:tc>
          <w:tcPr>
            <w:tcW w:w="881" w:type="dxa"/>
            <w:tcBorders>
              <w:top w:val="nil"/>
              <w:left w:val="nil"/>
              <w:bottom w:val="single" w:sz="4" w:space="0" w:color="auto"/>
              <w:right w:val="single" w:sz="4" w:space="0" w:color="auto"/>
            </w:tcBorders>
            <w:shd w:val="clear" w:color="auto" w:fill="FFFFFF"/>
            <w:noWrap/>
            <w:vAlign w:val="bottom"/>
            <w:hideMark/>
          </w:tcPr>
          <w:p w14:paraId="1D36C43B"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45.54</w:t>
            </w:r>
          </w:p>
        </w:tc>
        <w:tc>
          <w:tcPr>
            <w:tcW w:w="810" w:type="dxa"/>
            <w:tcBorders>
              <w:top w:val="nil"/>
              <w:left w:val="nil"/>
              <w:bottom w:val="single" w:sz="4" w:space="0" w:color="auto"/>
              <w:right w:val="single" w:sz="4" w:space="0" w:color="auto"/>
            </w:tcBorders>
            <w:shd w:val="clear" w:color="auto" w:fill="FFFFFF"/>
            <w:noWrap/>
            <w:vAlign w:val="bottom"/>
            <w:hideMark/>
          </w:tcPr>
          <w:p w14:paraId="5912BFCF"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36.59</w:t>
            </w:r>
          </w:p>
        </w:tc>
        <w:tc>
          <w:tcPr>
            <w:tcW w:w="900" w:type="dxa"/>
            <w:tcBorders>
              <w:top w:val="nil"/>
              <w:left w:val="nil"/>
              <w:bottom w:val="single" w:sz="4" w:space="0" w:color="auto"/>
              <w:right w:val="single" w:sz="4" w:space="0" w:color="auto"/>
            </w:tcBorders>
            <w:shd w:val="clear" w:color="auto" w:fill="FFFFFF"/>
            <w:noWrap/>
            <w:vAlign w:val="bottom"/>
            <w:hideMark/>
          </w:tcPr>
          <w:p w14:paraId="3F5540C4"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36.73</w:t>
            </w:r>
          </w:p>
        </w:tc>
        <w:tc>
          <w:tcPr>
            <w:tcW w:w="777" w:type="dxa"/>
            <w:tcBorders>
              <w:top w:val="nil"/>
              <w:left w:val="nil"/>
              <w:bottom w:val="single" w:sz="4" w:space="0" w:color="auto"/>
              <w:right w:val="single" w:sz="4" w:space="0" w:color="auto"/>
            </w:tcBorders>
            <w:shd w:val="clear" w:color="auto" w:fill="FFFFFF"/>
            <w:noWrap/>
            <w:vAlign w:val="bottom"/>
            <w:hideMark/>
          </w:tcPr>
          <w:p w14:paraId="44A26D81"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39.13</w:t>
            </w:r>
          </w:p>
        </w:tc>
        <w:tc>
          <w:tcPr>
            <w:tcW w:w="843" w:type="dxa"/>
            <w:tcBorders>
              <w:top w:val="nil"/>
              <w:left w:val="nil"/>
              <w:bottom w:val="single" w:sz="4" w:space="0" w:color="auto"/>
              <w:right w:val="single" w:sz="4" w:space="0" w:color="auto"/>
            </w:tcBorders>
            <w:shd w:val="clear" w:color="auto" w:fill="FFFFFF"/>
            <w:noWrap/>
            <w:vAlign w:val="bottom"/>
            <w:hideMark/>
          </w:tcPr>
          <w:p w14:paraId="264FC096" w14:textId="77777777" w:rsidR="00562C7A" w:rsidRDefault="00562C7A" w:rsidP="008608A9">
            <w:pPr>
              <w:spacing w:after="0" w:line="240" w:lineRule="auto"/>
              <w:jc w:val="right"/>
              <w:rPr>
                <w:rFonts w:ascii="Bookman Old Style" w:eastAsia="Times New Roman" w:hAnsi="Bookman Old Style" w:cs="Calibri"/>
                <w:color w:val="000000"/>
                <w:sz w:val="20"/>
                <w:szCs w:val="20"/>
                <w:lang w:val="en-IN" w:eastAsia="en-IN"/>
              </w:rPr>
            </w:pPr>
            <w:r>
              <w:rPr>
                <w:rFonts w:ascii="Bookman Old Style" w:eastAsia="Times New Roman" w:hAnsi="Bookman Old Style" w:cs="Calibri"/>
                <w:color w:val="000000"/>
                <w:sz w:val="20"/>
                <w:szCs w:val="20"/>
                <w:lang w:val="en-IN" w:eastAsia="en-IN"/>
              </w:rPr>
              <w:t>36.55</w:t>
            </w:r>
          </w:p>
        </w:tc>
      </w:tr>
    </w:tbl>
    <w:p w14:paraId="6812F196" w14:textId="77777777" w:rsidR="00C3727C" w:rsidRPr="00C3727C" w:rsidRDefault="00C3727C" w:rsidP="00C3727C">
      <w:pPr>
        <w:pStyle w:val="NormalWeb"/>
        <w:jc w:val="both"/>
        <w:rPr>
          <w:rFonts w:ascii="Arial" w:hAnsi="Arial" w:cs="Arial"/>
          <w:sz w:val="22"/>
          <w:szCs w:val="22"/>
        </w:rPr>
      </w:pPr>
      <w:r w:rsidRPr="00C3727C">
        <w:rPr>
          <w:rFonts w:ascii="Arial" w:hAnsi="Arial" w:cs="Arial"/>
          <w:sz w:val="22"/>
          <w:szCs w:val="22"/>
        </w:rPr>
        <w:t>The error metrics further confirm the robustness of the developed ANN model, as evidenced by low Root Mean Square Error (RMSE = 0.438), Mean Absolute Error (MAE = 0.287), and minimal bias (−0.098). These results indicate high prediction accuracy, low dispersion of errors, and negligible systematic overestimation or underestimation.</w:t>
      </w:r>
    </w:p>
    <w:p w14:paraId="39CAFEDB" w14:textId="77777777" w:rsidR="00AF4524" w:rsidRPr="001C2913" w:rsidRDefault="00C3727C" w:rsidP="00B751C4">
      <w:pPr>
        <w:pStyle w:val="NormalWeb"/>
        <w:jc w:val="both"/>
        <w:rPr>
          <w:rFonts w:ascii="Arial" w:hAnsi="Arial" w:cs="Arial"/>
          <w:b/>
          <w:bCs/>
        </w:rPr>
      </w:pPr>
      <w:r w:rsidRPr="00C3727C">
        <w:rPr>
          <w:rFonts w:ascii="Arial" w:hAnsi="Arial" w:cs="Arial"/>
          <w:sz w:val="22"/>
          <w:szCs w:val="22"/>
        </w:rPr>
        <w:t xml:space="preserve">The regression performance plot for Sample 1 is illustrated in </w:t>
      </w:r>
      <w:r w:rsidRPr="00C3727C">
        <w:rPr>
          <w:rFonts w:ascii="Arial" w:hAnsi="Arial" w:cs="Arial"/>
          <w:b/>
          <w:sz w:val="22"/>
          <w:szCs w:val="22"/>
        </w:rPr>
        <w:t>Fig. 3</w:t>
      </w:r>
      <w:r w:rsidRPr="00C3727C">
        <w:rPr>
          <w:rFonts w:ascii="Arial" w:hAnsi="Arial" w:cs="Arial"/>
          <w:sz w:val="22"/>
          <w:szCs w:val="22"/>
        </w:rPr>
        <w:t xml:space="preserve">, demonstrating the close clustering of predicted values along the 1:1 line. The regression coefficient (R) values for all samples are provided in </w:t>
      </w:r>
      <w:r w:rsidRPr="00C3727C">
        <w:rPr>
          <w:rFonts w:ascii="Arial" w:hAnsi="Arial" w:cs="Arial"/>
          <w:b/>
          <w:sz w:val="22"/>
          <w:szCs w:val="22"/>
        </w:rPr>
        <w:t>Table 5</w:t>
      </w:r>
      <w:r w:rsidRPr="00C3727C">
        <w:rPr>
          <w:rFonts w:ascii="Arial" w:hAnsi="Arial" w:cs="Arial"/>
          <w:sz w:val="22"/>
          <w:szCs w:val="22"/>
        </w:rPr>
        <w:t xml:space="preserve">, representing the strength of correlation between experimentally observed (actual) and ANN-predicted WQI values. The consistently high R values across samples confirm the reliability and generalization capability of the developed ANN </w:t>
      </w:r>
      <w:r w:rsidRPr="00C3727C">
        <w:rPr>
          <w:rFonts w:ascii="Arial" w:hAnsi="Arial" w:cs="Arial"/>
          <w:sz w:val="22"/>
          <w:szCs w:val="22"/>
        </w:rPr>
        <w:lastRenderedPageBreak/>
        <w:t>model.</w:t>
      </w:r>
      <w:r w:rsidR="00AF4524" w:rsidRPr="001C2913">
        <w:rPr>
          <w:rFonts w:ascii="Arial" w:hAnsi="Arial" w:cs="Arial"/>
          <w:b/>
          <w:bCs/>
          <w:noProof/>
        </w:rPr>
        <w:drawing>
          <wp:inline distT="0" distB="0" distL="0" distR="0" wp14:anchorId="40D1F323" wp14:editId="516953DD">
            <wp:extent cx="5753100" cy="5257075"/>
            <wp:effectExtent l="19050" t="0" r="0" b="0"/>
            <wp:docPr id="15" name="Picture 7" descr="D:\ann\PMW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n\PMWS11.jpg"/>
                    <pic:cNvPicPr>
                      <a:picLocks noChangeAspect="1" noChangeArrowheads="1"/>
                    </pic:cNvPicPr>
                  </pic:nvPicPr>
                  <pic:blipFill>
                    <a:blip r:embed="rId9" cstate="print"/>
                    <a:srcRect/>
                    <a:stretch>
                      <a:fillRect/>
                    </a:stretch>
                  </pic:blipFill>
                  <pic:spPr bwMode="auto">
                    <a:xfrm>
                      <a:off x="0" y="0"/>
                      <a:ext cx="5769169" cy="5271759"/>
                    </a:xfrm>
                    <a:prstGeom prst="rect">
                      <a:avLst/>
                    </a:prstGeom>
                    <a:noFill/>
                    <a:ln w="9525">
                      <a:noFill/>
                      <a:miter lim="800000"/>
                      <a:headEnd/>
                      <a:tailEnd/>
                    </a:ln>
                  </pic:spPr>
                </pic:pic>
              </a:graphicData>
            </a:graphic>
          </wp:inline>
        </w:drawing>
      </w:r>
    </w:p>
    <w:p w14:paraId="3B9FD899" w14:textId="77777777" w:rsidR="00AF4524" w:rsidRPr="000470FD" w:rsidRDefault="00AF4524" w:rsidP="00AF4524">
      <w:pPr>
        <w:spacing w:after="0"/>
        <w:jc w:val="center"/>
        <w:rPr>
          <w:rFonts w:ascii="Arial" w:hAnsi="Arial" w:cs="Arial"/>
          <w:b/>
          <w:bCs/>
          <w:sz w:val="20"/>
          <w:szCs w:val="20"/>
        </w:rPr>
      </w:pPr>
      <w:r w:rsidRPr="000470FD">
        <w:rPr>
          <w:rFonts w:ascii="Arial" w:hAnsi="Arial" w:cs="Arial"/>
          <w:b/>
          <w:bCs/>
          <w:sz w:val="20"/>
          <w:szCs w:val="20"/>
        </w:rPr>
        <w:t>Figure 3 Regression performance of the ANN model during training, validation, and testing phases (Sample S1).</w:t>
      </w:r>
    </w:p>
    <w:p w14:paraId="7E453288" w14:textId="77777777" w:rsidR="008357EC" w:rsidRDefault="008357EC" w:rsidP="00B911B6">
      <w:pPr>
        <w:pStyle w:val="BodyText"/>
        <w:spacing w:before="74" w:line="292" w:lineRule="auto"/>
        <w:ind w:left="621" w:firstLine="283"/>
        <w:jc w:val="center"/>
        <w:rPr>
          <w:rFonts w:ascii="Arial" w:hAnsi="Arial" w:cs="Arial"/>
          <w:b/>
          <w:bCs/>
          <w:spacing w:val="-4"/>
          <w:w w:val="90"/>
          <w:sz w:val="20"/>
          <w:szCs w:val="20"/>
        </w:rPr>
      </w:pPr>
    </w:p>
    <w:p w14:paraId="3FB07A27" w14:textId="77777777" w:rsidR="00B911B6" w:rsidRPr="00333481" w:rsidRDefault="00B911B6" w:rsidP="00B911B6">
      <w:pPr>
        <w:pStyle w:val="BodyText"/>
        <w:spacing w:before="74" w:line="292" w:lineRule="auto"/>
        <w:ind w:left="621" w:firstLine="283"/>
        <w:jc w:val="center"/>
        <w:rPr>
          <w:rFonts w:ascii="Arial" w:hAnsi="Arial" w:cs="Arial"/>
          <w:b/>
          <w:spacing w:val="-4"/>
          <w:w w:val="90"/>
          <w:sz w:val="20"/>
          <w:szCs w:val="20"/>
        </w:rPr>
      </w:pPr>
      <w:r w:rsidRPr="00333481">
        <w:rPr>
          <w:rFonts w:ascii="Arial" w:hAnsi="Arial" w:cs="Arial"/>
          <w:b/>
          <w:bCs/>
          <w:spacing w:val="-4"/>
          <w:w w:val="90"/>
          <w:sz w:val="20"/>
          <w:szCs w:val="20"/>
        </w:rPr>
        <w:t xml:space="preserve">Table </w:t>
      </w:r>
      <w:r w:rsidR="000725B1" w:rsidRPr="00333481">
        <w:rPr>
          <w:rFonts w:ascii="Arial" w:hAnsi="Arial" w:cs="Arial"/>
          <w:b/>
          <w:bCs/>
          <w:spacing w:val="-4"/>
          <w:w w:val="90"/>
          <w:sz w:val="20"/>
          <w:szCs w:val="20"/>
        </w:rPr>
        <w:t>5</w:t>
      </w:r>
      <w:r w:rsidRPr="00333481">
        <w:rPr>
          <w:rFonts w:ascii="Arial" w:hAnsi="Arial" w:cs="Arial"/>
          <w:b/>
          <w:bCs/>
          <w:spacing w:val="-4"/>
          <w:w w:val="90"/>
          <w:sz w:val="20"/>
          <w:szCs w:val="20"/>
        </w:rPr>
        <w:t>:</w:t>
      </w:r>
      <w:r w:rsidRPr="00333481">
        <w:rPr>
          <w:rFonts w:ascii="Arial" w:hAnsi="Arial" w:cs="Arial"/>
          <w:b/>
          <w:spacing w:val="-4"/>
          <w:w w:val="90"/>
          <w:sz w:val="20"/>
          <w:szCs w:val="20"/>
        </w:rPr>
        <w:t xml:space="preserve">   </w:t>
      </w:r>
      <w:r w:rsidRPr="00333481">
        <w:rPr>
          <w:rFonts w:ascii="Arial" w:hAnsi="Arial" w:cs="Arial"/>
          <w:b/>
          <w:bCs/>
          <w:spacing w:val="-4"/>
          <w:w w:val="90"/>
          <w:sz w:val="20"/>
          <w:szCs w:val="20"/>
        </w:rPr>
        <w:t>Regression coefficient (R) values</w:t>
      </w:r>
    </w:p>
    <w:tbl>
      <w:tblPr>
        <w:tblW w:w="4800" w:type="dxa"/>
        <w:jc w:val="center"/>
        <w:tblLook w:val="04A0" w:firstRow="1" w:lastRow="0" w:firstColumn="1" w:lastColumn="0" w:noHBand="0" w:noVBand="1"/>
      </w:tblPr>
      <w:tblGrid>
        <w:gridCol w:w="960"/>
        <w:gridCol w:w="960"/>
        <w:gridCol w:w="1062"/>
        <w:gridCol w:w="960"/>
        <w:gridCol w:w="960"/>
      </w:tblGrid>
      <w:tr w:rsidR="00B911B6" w:rsidRPr="000470FD" w14:paraId="3F0DACB6" w14:textId="77777777" w:rsidTr="00B911B6">
        <w:trPr>
          <w:trHeight w:val="289"/>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4AEFA0"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Sample ID</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5D7B594"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Training</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3F5DAA56"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validation</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75C683B"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Testing</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7F1761BE"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All</w:t>
            </w:r>
          </w:p>
        </w:tc>
      </w:tr>
      <w:tr w:rsidR="00B911B6" w:rsidRPr="000470FD" w14:paraId="4D0FA04B"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AA7912C"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w:t>
            </w:r>
          </w:p>
        </w:tc>
        <w:tc>
          <w:tcPr>
            <w:tcW w:w="960" w:type="dxa"/>
            <w:tcBorders>
              <w:top w:val="nil"/>
              <w:left w:val="nil"/>
              <w:bottom w:val="single" w:sz="4" w:space="0" w:color="auto"/>
              <w:right w:val="single" w:sz="4" w:space="0" w:color="auto"/>
            </w:tcBorders>
            <w:shd w:val="clear" w:color="000000" w:fill="FFFFFF"/>
            <w:noWrap/>
            <w:vAlign w:val="bottom"/>
            <w:hideMark/>
          </w:tcPr>
          <w:p w14:paraId="5978EA4C"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0.99997</w:t>
            </w:r>
          </w:p>
        </w:tc>
        <w:tc>
          <w:tcPr>
            <w:tcW w:w="960" w:type="dxa"/>
            <w:tcBorders>
              <w:top w:val="nil"/>
              <w:left w:val="nil"/>
              <w:bottom w:val="single" w:sz="4" w:space="0" w:color="auto"/>
              <w:right w:val="single" w:sz="4" w:space="0" w:color="auto"/>
            </w:tcBorders>
            <w:shd w:val="clear" w:color="000000" w:fill="FFFFFF"/>
            <w:noWrap/>
            <w:vAlign w:val="bottom"/>
            <w:hideMark/>
          </w:tcPr>
          <w:p w14:paraId="0EC150FC"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0.99633</w:t>
            </w:r>
          </w:p>
        </w:tc>
        <w:tc>
          <w:tcPr>
            <w:tcW w:w="960" w:type="dxa"/>
            <w:tcBorders>
              <w:top w:val="nil"/>
              <w:left w:val="nil"/>
              <w:bottom w:val="single" w:sz="4" w:space="0" w:color="auto"/>
              <w:right w:val="single" w:sz="4" w:space="0" w:color="auto"/>
            </w:tcBorders>
            <w:shd w:val="clear" w:color="000000" w:fill="FFFFFF"/>
            <w:noWrap/>
            <w:vAlign w:val="bottom"/>
            <w:hideMark/>
          </w:tcPr>
          <w:p w14:paraId="294C9230"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0.97176</w:t>
            </w:r>
          </w:p>
        </w:tc>
        <w:tc>
          <w:tcPr>
            <w:tcW w:w="960" w:type="dxa"/>
            <w:tcBorders>
              <w:top w:val="nil"/>
              <w:left w:val="nil"/>
              <w:bottom w:val="single" w:sz="4" w:space="0" w:color="auto"/>
              <w:right w:val="single" w:sz="4" w:space="0" w:color="auto"/>
            </w:tcBorders>
            <w:shd w:val="clear" w:color="000000" w:fill="FFFFFF"/>
            <w:noWrap/>
            <w:vAlign w:val="bottom"/>
            <w:hideMark/>
          </w:tcPr>
          <w:p w14:paraId="79910F94"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0.99509</w:t>
            </w:r>
          </w:p>
        </w:tc>
      </w:tr>
      <w:tr w:rsidR="00B911B6" w:rsidRPr="000470FD" w14:paraId="57EC0F55"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B853D14"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S2</w:t>
            </w:r>
          </w:p>
        </w:tc>
        <w:tc>
          <w:tcPr>
            <w:tcW w:w="960" w:type="dxa"/>
            <w:tcBorders>
              <w:top w:val="nil"/>
              <w:left w:val="nil"/>
              <w:bottom w:val="single" w:sz="4" w:space="0" w:color="auto"/>
              <w:right w:val="single" w:sz="4" w:space="0" w:color="auto"/>
            </w:tcBorders>
            <w:shd w:val="clear" w:color="000000" w:fill="FFFFFF"/>
            <w:noWrap/>
            <w:vAlign w:val="bottom"/>
            <w:hideMark/>
          </w:tcPr>
          <w:p w14:paraId="71850E51"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0.97815</w:t>
            </w:r>
          </w:p>
        </w:tc>
        <w:tc>
          <w:tcPr>
            <w:tcW w:w="960" w:type="dxa"/>
            <w:tcBorders>
              <w:top w:val="nil"/>
              <w:left w:val="nil"/>
              <w:bottom w:val="single" w:sz="4" w:space="0" w:color="auto"/>
              <w:right w:val="single" w:sz="4" w:space="0" w:color="auto"/>
            </w:tcBorders>
            <w:shd w:val="clear" w:color="000000" w:fill="FFFFFF"/>
            <w:noWrap/>
            <w:vAlign w:val="bottom"/>
            <w:hideMark/>
          </w:tcPr>
          <w:p w14:paraId="1883228E"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0.99412</w:t>
            </w:r>
          </w:p>
        </w:tc>
        <w:tc>
          <w:tcPr>
            <w:tcW w:w="960" w:type="dxa"/>
            <w:tcBorders>
              <w:top w:val="nil"/>
              <w:left w:val="nil"/>
              <w:bottom w:val="single" w:sz="4" w:space="0" w:color="auto"/>
              <w:right w:val="single" w:sz="4" w:space="0" w:color="auto"/>
            </w:tcBorders>
            <w:shd w:val="clear" w:color="000000" w:fill="FFFFFF"/>
            <w:noWrap/>
            <w:vAlign w:val="bottom"/>
            <w:hideMark/>
          </w:tcPr>
          <w:p w14:paraId="79D14F10"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0.98929</w:t>
            </w:r>
          </w:p>
        </w:tc>
        <w:tc>
          <w:tcPr>
            <w:tcW w:w="960" w:type="dxa"/>
            <w:tcBorders>
              <w:top w:val="nil"/>
              <w:left w:val="nil"/>
              <w:bottom w:val="single" w:sz="4" w:space="0" w:color="auto"/>
              <w:right w:val="single" w:sz="4" w:space="0" w:color="auto"/>
            </w:tcBorders>
            <w:shd w:val="clear" w:color="000000" w:fill="FFFFFF"/>
            <w:noWrap/>
            <w:vAlign w:val="bottom"/>
            <w:hideMark/>
          </w:tcPr>
          <w:p w14:paraId="6DD322D4"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0.97985</w:t>
            </w:r>
          </w:p>
        </w:tc>
      </w:tr>
      <w:tr w:rsidR="00B911B6" w:rsidRPr="000470FD" w14:paraId="4E8EB6E0"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6151483"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S3</w:t>
            </w:r>
          </w:p>
        </w:tc>
        <w:tc>
          <w:tcPr>
            <w:tcW w:w="960" w:type="dxa"/>
            <w:tcBorders>
              <w:top w:val="nil"/>
              <w:left w:val="nil"/>
              <w:bottom w:val="single" w:sz="4" w:space="0" w:color="auto"/>
              <w:right w:val="single" w:sz="4" w:space="0" w:color="auto"/>
            </w:tcBorders>
            <w:shd w:val="clear" w:color="000000" w:fill="FFFFFF"/>
            <w:noWrap/>
            <w:vAlign w:val="bottom"/>
            <w:hideMark/>
          </w:tcPr>
          <w:p w14:paraId="41C096E5"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0.99982</w:t>
            </w:r>
          </w:p>
        </w:tc>
        <w:tc>
          <w:tcPr>
            <w:tcW w:w="960" w:type="dxa"/>
            <w:tcBorders>
              <w:top w:val="nil"/>
              <w:left w:val="nil"/>
              <w:bottom w:val="single" w:sz="4" w:space="0" w:color="auto"/>
              <w:right w:val="single" w:sz="4" w:space="0" w:color="auto"/>
            </w:tcBorders>
            <w:shd w:val="clear" w:color="000000" w:fill="FFFFFF"/>
            <w:noWrap/>
            <w:vAlign w:val="bottom"/>
            <w:hideMark/>
          </w:tcPr>
          <w:p w14:paraId="1469969A"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0.99643</w:t>
            </w:r>
          </w:p>
        </w:tc>
        <w:tc>
          <w:tcPr>
            <w:tcW w:w="960" w:type="dxa"/>
            <w:tcBorders>
              <w:top w:val="nil"/>
              <w:left w:val="nil"/>
              <w:bottom w:val="single" w:sz="4" w:space="0" w:color="auto"/>
              <w:right w:val="single" w:sz="4" w:space="0" w:color="auto"/>
            </w:tcBorders>
            <w:shd w:val="clear" w:color="000000" w:fill="FFFFFF"/>
            <w:noWrap/>
            <w:vAlign w:val="bottom"/>
            <w:hideMark/>
          </w:tcPr>
          <w:p w14:paraId="31C34965"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0.99301</w:t>
            </w:r>
          </w:p>
        </w:tc>
        <w:tc>
          <w:tcPr>
            <w:tcW w:w="960" w:type="dxa"/>
            <w:tcBorders>
              <w:top w:val="nil"/>
              <w:left w:val="nil"/>
              <w:bottom w:val="single" w:sz="4" w:space="0" w:color="auto"/>
              <w:right w:val="single" w:sz="4" w:space="0" w:color="auto"/>
            </w:tcBorders>
            <w:shd w:val="clear" w:color="000000" w:fill="FFFFFF"/>
            <w:noWrap/>
            <w:vAlign w:val="bottom"/>
            <w:hideMark/>
          </w:tcPr>
          <w:p w14:paraId="2BE36B0E"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0.99575</w:t>
            </w:r>
          </w:p>
        </w:tc>
      </w:tr>
      <w:tr w:rsidR="00B911B6" w:rsidRPr="000470FD" w14:paraId="3E39E05F"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40A9175"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S4</w:t>
            </w:r>
          </w:p>
        </w:tc>
        <w:tc>
          <w:tcPr>
            <w:tcW w:w="960" w:type="dxa"/>
            <w:tcBorders>
              <w:top w:val="nil"/>
              <w:left w:val="nil"/>
              <w:bottom w:val="single" w:sz="4" w:space="0" w:color="auto"/>
              <w:right w:val="single" w:sz="4" w:space="0" w:color="auto"/>
            </w:tcBorders>
            <w:shd w:val="clear" w:color="000000" w:fill="FFFFFF"/>
            <w:noWrap/>
            <w:vAlign w:val="bottom"/>
            <w:hideMark/>
          </w:tcPr>
          <w:p w14:paraId="347B066D"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0.96993</w:t>
            </w:r>
          </w:p>
        </w:tc>
        <w:tc>
          <w:tcPr>
            <w:tcW w:w="960" w:type="dxa"/>
            <w:tcBorders>
              <w:top w:val="nil"/>
              <w:left w:val="nil"/>
              <w:bottom w:val="single" w:sz="4" w:space="0" w:color="auto"/>
              <w:right w:val="single" w:sz="4" w:space="0" w:color="auto"/>
            </w:tcBorders>
            <w:shd w:val="clear" w:color="000000" w:fill="FFFFFF"/>
            <w:noWrap/>
            <w:vAlign w:val="bottom"/>
            <w:hideMark/>
          </w:tcPr>
          <w:p w14:paraId="6EB26407"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1</w:t>
            </w:r>
          </w:p>
        </w:tc>
        <w:tc>
          <w:tcPr>
            <w:tcW w:w="960" w:type="dxa"/>
            <w:tcBorders>
              <w:top w:val="nil"/>
              <w:left w:val="nil"/>
              <w:bottom w:val="single" w:sz="4" w:space="0" w:color="auto"/>
              <w:right w:val="single" w:sz="4" w:space="0" w:color="auto"/>
            </w:tcBorders>
            <w:shd w:val="clear" w:color="000000" w:fill="FFFFFF"/>
            <w:noWrap/>
            <w:vAlign w:val="bottom"/>
            <w:hideMark/>
          </w:tcPr>
          <w:p w14:paraId="4CB457FA"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0.92065</w:t>
            </w:r>
          </w:p>
        </w:tc>
        <w:tc>
          <w:tcPr>
            <w:tcW w:w="960" w:type="dxa"/>
            <w:tcBorders>
              <w:top w:val="nil"/>
              <w:left w:val="nil"/>
              <w:bottom w:val="single" w:sz="4" w:space="0" w:color="auto"/>
              <w:right w:val="single" w:sz="4" w:space="0" w:color="auto"/>
            </w:tcBorders>
            <w:shd w:val="clear" w:color="000000" w:fill="FFFFFF"/>
            <w:noWrap/>
            <w:vAlign w:val="bottom"/>
            <w:hideMark/>
          </w:tcPr>
          <w:p w14:paraId="3DA00057"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0.97223</w:t>
            </w:r>
          </w:p>
        </w:tc>
      </w:tr>
      <w:tr w:rsidR="00B911B6" w:rsidRPr="000470FD" w14:paraId="142E1820"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D618363"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S5</w:t>
            </w:r>
          </w:p>
        </w:tc>
        <w:tc>
          <w:tcPr>
            <w:tcW w:w="960" w:type="dxa"/>
            <w:tcBorders>
              <w:top w:val="nil"/>
              <w:left w:val="nil"/>
              <w:bottom w:val="single" w:sz="4" w:space="0" w:color="auto"/>
              <w:right w:val="single" w:sz="4" w:space="0" w:color="auto"/>
            </w:tcBorders>
            <w:shd w:val="clear" w:color="000000" w:fill="FFFFFF"/>
            <w:noWrap/>
            <w:vAlign w:val="bottom"/>
            <w:hideMark/>
          </w:tcPr>
          <w:p w14:paraId="30FA55DE"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0.99956</w:t>
            </w:r>
          </w:p>
        </w:tc>
        <w:tc>
          <w:tcPr>
            <w:tcW w:w="960" w:type="dxa"/>
            <w:tcBorders>
              <w:top w:val="nil"/>
              <w:left w:val="nil"/>
              <w:bottom w:val="single" w:sz="4" w:space="0" w:color="auto"/>
              <w:right w:val="single" w:sz="4" w:space="0" w:color="auto"/>
            </w:tcBorders>
            <w:shd w:val="clear" w:color="000000" w:fill="FFFFFF"/>
            <w:noWrap/>
            <w:vAlign w:val="bottom"/>
            <w:hideMark/>
          </w:tcPr>
          <w:p w14:paraId="0EBCE484"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0.98976</w:t>
            </w:r>
          </w:p>
        </w:tc>
        <w:tc>
          <w:tcPr>
            <w:tcW w:w="960" w:type="dxa"/>
            <w:tcBorders>
              <w:top w:val="nil"/>
              <w:left w:val="nil"/>
              <w:bottom w:val="single" w:sz="4" w:space="0" w:color="auto"/>
              <w:right w:val="single" w:sz="4" w:space="0" w:color="auto"/>
            </w:tcBorders>
            <w:shd w:val="clear" w:color="000000" w:fill="FFFFFF"/>
            <w:noWrap/>
            <w:vAlign w:val="bottom"/>
            <w:hideMark/>
          </w:tcPr>
          <w:p w14:paraId="7F975EA3"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0.98369</w:t>
            </w:r>
          </w:p>
        </w:tc>
        <w:tc>
          <w:tcPr>
            <w:tcW w:w="960" w:type="dxa"/>
            <w:tcBorders>
              <w:top w:val="nil"/>
              <w:left w:val="nil"/>
              <w:bottom w:val="single" w:sz="4" w:space="0" w:color="auto"/>
              <w:right w:val="single" w:sz="4" w:space="0" w:color="auto"/>
            </w:tcBorders>
            <w:shd w:val="clear" w:color="000000" w:fill="FFFFFF"/>
            <w:noWrap/>
            <w:vAlign w:val="bottom"/>
            <w:hideMark/>
          </w:tcPr>
          <w:p w14:paraId="6D168661"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0.99314</w:t>
            </w:r>
          </w:p>
        </w:tc>
      </w:tr>
      <w:tr w:rsidR="00B911B6" w:rsidRPr="000470FD" w14:paraId="5B9BC49F"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76031DB"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S6</w:t>
            </w:r>
          </w:p>
        </w:tc>
        <w:tc>
          <w:tcPr>
            <w:tcW w:w="960" w:type="dxa"/>
            <w:tcBorders>
              <w:top w:val="nil"/>
              <w:left w:val="nil"/>
              <w:bottom w:val="single" w:sz="4" w:space="0" w:color="auto"/>
              <w:right w:val="single" w:sz="4" w:space="0" w:color="auto"/>
            </w:tcBorders>
            <w:shd w:val="clear" w:color="000000" w:fill="FFFFFF"/>
            <w:noWrap/>
            <w:vAlign w:val="bottom"/>
            <w:hideMark/>
          </w:tcPr>
          <w:p w14:paraId="50657B2B"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0.94363</w:t>
            </w:r>
          </w:p>
        </w:tc>
        <w:tc>
          <w:tcPr>
            <w:tcW w:w="960" w:type="dxa"/>
            <w:tcBorders>
              <w:top w:val="nil"/>
              <w:left w:val="nil"/>
              <w:bottom w:val="single" w:sz="4" w:space="0" w:color="auto"/>
              <w:right w:val="single" w:sz="4" w:space="0" w:color="auto"/>
            </w:tcBorders>
            <w:shd w:val="clear" w:color="000000" w:fill="FFFFFF"/>
            <w:noWrap/>
            <w:vAlign w:val="bottom"/>
            <w:hideMark/>
          </w:tcPr>
          <w:p w14:paraId="60330DF1"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0.99709</w:t>
            </w:r>
          </w:p>
        </w:tc>
        <w:tc>
          <w:tcPr>
            <w:tcW w:w="960" w:type="dxa"/>
            <w:tcBorders>
              <w:top w:val="nil"/>
              <w:left w:val="nil"/>
              <w:bottom w:val="single" w:sz="4" w:space="0" w:color="auto"/>
              <w:right w:val="single" w:sz="4" w:space="0" w:color="auto"/>
            </w:tcBorders>
            <w:shd w:val="clear" w:color="000000" w:fill="FFFFFF"/>
            <w:noWrap/>
            <w:vAlign w:val="bottom"/>
            <w:hideMark/>
          </w:tcPr>
          <w:p w14:paraId="21AAB0EB"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0.99954</w:t>
            </w:r>
          </w:p>
        </w:tc>
        <w:tc>
          <w:tcPr>
            <w:tcW w:w="960" w:type="dxa"/>
            <w:tcBorders>
              <w:top w:val="nil"/>
              <w:left w:val="nil"/>
              <w:bottom w:val="single" w:sz="4" w:space="0" w:color="auto"/>
              <w:right w:val="single" w:sz="4" w:space="0" w:color="auto"/>
            </w:tcBorders>
            <w:shd w:val="clear" w:color="000000" w:fill="FFFFFF"/>
            <w:noWrap/>
            <w:vAlign w:val="bottom"/>
            <w:hideMark/>
          </w:tcPr>
          <w:p w14:paraId="2C51DD19"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0.97622</w:t>
            </w:r>
          </w:p>
        </w:tc>
      </w:tr>
      <w:tr w:rsidR="00B911B6" w:rsidRPr="000470FD" w14:paraId="76F75855"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1D2FEFA"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S7</w:t>
            </w:r>
          </w:p>
        </w:tc>
        <w:tc>
          <w:tcPr>
            <w:tcW w:w="960" w:type="dxa"/>
            <w:tcBorders>
              <w:top w:val="nil"/>
              <w:left w:val="nil"/>
              <w:bottom w:val="single" w:sz="4" w:space="0" w:color="auto"/>
              <w:right w:val="single" w:sz="4" w:space="0" w:color="auto"/>
            </w:tcBorders>
            <w:shd w:val="clear" w:color="000000" w:fill="FFFFFF"/>
            <w:noWrap/>
            <w:vAlign w:val="bottom"/>
            <w:hideMark/>
          </w:tcPr>
          <w:p w14:paraId="168C6FED"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0.99984</w:t>
            </w:r>
          </w:p>
        </w:tc>
        <w:tc>
          <w:tcPr>
            <w:tcW w:w="960" w:type="dxa"/>
            <w:tcBorders>
              <w:top w:val="nil"/>
              <w:left w:val="nil"/>
              <w:bottom w:val="single" w:sz="4" w:space="0" w:color="auto"/>
              <w:right w:val="single" w:sz="4" w:space="0" w:color="auto"/>
            </w:tcBorders>
            <w:shd w:val="clear" w:color="000000" w:fill="FFFFFF"/>
            <w:noWrap/>
            <w:vAlign w:val="bottom"/>
            <w:hideMark/>
          </w:tcPr>
          <w:p w14:paraId="24AE85EF"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0.99652</w:t>
            </w:r>
          </w:p>
        </w:tc>
        <w:tc>
          <w:tcPr>
            <w:tcW w:w="960" w:type="dxa"/>
            <w:tcBorders>
              <w:top w:val="nil"/>
              <w:left w:val="nil"/>
              <w:bottom w:val="single" w:sz="4" w:space="0" w:color="auto"/>
              <w:right w:val="single" w:sz="4" w:space="0" w:color="auto"/>
            </w:tcBorders>
            <w:shd w:val="clear" w:color="000000" w:fill="FFFFFF"/>
            <w:noWrap/>
            <w:vAlign w:val="bottom"/>
            <w:hideMark/>
          </w:tcPr>
          <w:p w14:paraId="5654DA18"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0.99014</w:t>
            </w:r>
          </w:p>
        </w:tc>
        <w:tc>
          <w:tcPr>
            <w:tcW w:w="960" w:type="dxa"/>
            <w:tcBorders>
              <w:top w:val="nil"/>
              <w:left w:val="nil"/>
              <w:bottom w:val="single" w:sz="4" w:space="0" w:color="auto"/>
              <w:right w:val="single" w:sz="4" w:space="0" w:color="auto"/>
            </w:tcBorders>
            <w:shd w:val="clear" w:color="000000" w:fill="FFFFFF"/>
            <w:noWrap/>
            <w:vAlign w:val="bottom"/>
            <w:hideMark/>
          </w:tcPr>
          <w:p w14:paraId="103FB45F"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0.99761</w:t>
            </w:r>
          </w:p>
        </w:tc>
      </w:tr>
      <w:tr w:rsidR="00B911B6" w:rsidRPr="000470FD" w14:paraId="3BE928D8"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A049B16"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lastRenderedPageBreak/>
              <w:t>S8</w:t>
            </w:r>
          </w:p>
        </w:tc>
        <w:tc>
          <w:tcPr>
            <w:tcW w:w="960" w:type="dxa"/>
            <w:tcBorders>
              <w:top w:val="nil"/>
              <w:left w:val="nil"/>
              <w:bottom w:val="single" w:sz="4" w:space="0" w:color="auto"/>
              <w:right w:val="single" w:sz="4" w:space="0" w:color="auto"/>
            </w:tcBorders>
            <w:shd w:val="clear" w:color="000000" w:fill="FFFFFF"/>
            <w:noWrap/>
            <w:vAlign w:val="bottom"/>
            <w:hideMark/>
          </w:tcPr>
          <w:p w14:paraId="6DBE452D"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0.97688</w:t>
            </w:r>
          </w:p>
        </w:tc>
        <w:tc>
          <w:tcPr>
            <w:tcW w:w="960" w:type="dxa"/>
            <w:tcBorders>
              <w:top w:val="nil"/>
              <w:left w:val="nil"/>
              <w:bottom w:val="single" w:sz="4" w:space="0" w:color="auto"/>
              <w:right w:val="single" w:sz="4" w:space="0" w:color="auto"/>
            </w:tcBorders>
            <w:shd w:val="clear" w:color="000000" w:fill="FFFFFF"/>
            <w:noWrap/>
            <w:vAlign w:val="bottom"/>
            <w:hideMark/>
          </w:tcPr>
          <w:p w14:paraId="3770B34E"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0.98551</w:t>
            </w:r>
          </w:p>
        </w:tc>
        <w:tc>
          <w:tcPr>
            <w:tcW w:w="960" w:type="dxa"/>
            <w:tcBorders>
              <w:top w:val="nil"/>
              <w:left w:val="nil"/>
              <w:bottom w:val="single" w:sz="4" w:space="0" w:color="auto"/>
              <w:right w:val="single" w:sz="4" w:space="0" w:color="auto"/>
            </w:tcBorders>
            <w:shd w:val="clear" w:color="000000" w:fill="FFFFFF"/>
            <w:noWrap/>
            <w:vAlign w:val="bottom"/>
            <w:hideMark/>
          </w:tcPr>
          <w:p w14:paraId="799B76CC"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0.98003</w:t>
            </w:r>
          </w:p>
        </w:tc>
        <w:tc>
          <w:tcPr>
            <w:tcW w:w="960" w:type="dxa"/>
            <w:tcBorders>
              <w:top w:val="nil"/>
              <w:left w:val="nil"/>
              <w:bottom w:val="single" w:sz="4" w:space="0" w:color="auto"/>
              <w:right w:val="single" w:sz="4" w:space="0" w:color="auto"/>
            </w:tcBorders>
            <w:shd w:val="clear" w:color="000000" w:fill="FFFFFF"/>
            <w:noWrap/>
            <w:vAlign w:val="bottom"/>
            <w:hideMark/>
          </w:tcPr>
          <w:p w14:paraId="5C296A8A"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0.97487</w:t>
            </w:r>
          </w:p>
        </w:tc>
      </w:tr>
      <w:tr w:rsidR="00B911B6" w:rsidRPr="000470FD" w14:paraId="10BDE167"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AD0B1D8"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S9</w:t>
            </w:r>
          </w:p>
        </w:tc>
        <w:tc>
          <w:tcPr>
            <w:tcW w:w="960" w:type="dxa"/>
            <w:tcBorders>
              <w:top w:val="nil"/>
              <w:left w:val="nil"/>
              <w:bottom w:val="single" w:sz="4" w:space="0" w:color="auto"/>
              <w:right w:val="single" w:sz="4" w:space="0" w:color="auto"/>
            </w:tcBorders>
            <w:shd w:val="clear" w:color="000000" w:fill="FFFFFF"/>
            <w:noWrap/>
            <w:vAlign w:val="bottom"/>
            <w:hideMark/>
          </w:tcPr>
          <w:p w14:paraId="3343A155"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0.99783</w:t>
            </w:r>
          </w:p>
        </w:tc>
        <w:tc>
          <w:tcPr>
            <w:tcW w:w="960" w:type="dxa"/>
            <w:tcBorders>
              <w:top w:val="nil"/>
              <w:left w:val="nil"/>
              <w:bottom w:val="single" w:sz="4" w:space="0" w:color="auto"/>
              <w:right w:val="single" w:sz="4" w:space="0" w:color="auto"/>
            </w:tcBorders>
            <w:shd w:val="clear" w:color="000000" w:fill="FFFFFF"/>
            <w:noWrap/>
            <w:vAlign w:val="bottom"/>
            <w:hideMark/>
          </w:tcPr>
          <w:p w14:paraId="44910914"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0.96785</w:t>
            </w:r>
          </w:p>
        </w:tc>
        <w:tc>
          <w:tcPr>
            <w:tcW w:w="960" w:type="dxa"/>
            <w:tcBorders>
              <w:top w:val="nil"/>
              <w:left w:val="nil"/>
              <w:bottom w:val="single" w:sz="4" w:space="0" w:color="auto"/>
              <w:right w:val="single" w:sz="4" w:space="0" w:color="auto"/>
            </w:tcBorders>
            <w:shd w:val="clear" w:color="000000" w:fill="FFFFFF"/>
            <w:noWrap/>
            <w:vAlign w:val="bottom"/>
            <w:hideMark/>
          </w:tcPr>
          <w:p w14:paraId="0B161DE2"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0.96241</w:t>
            </w:r>
          </w:p>
        </w:tc>
        <w:tc>
          <w:tcPr>
            <w:tcW w:w="960" w:type="dxa"/>
            <w:tcBorders>
              <w:top w:val="nil"/>
              <w:left w:val="nil"/>
              <w:bottom w:val="single" w:sz="4" w:space="0" w:color="auto"/>
              <w:right w:val="single" w:sz="4" w:space="0" w:color="auto"/>
            </w:tcBorders>
            <w:shd w:val="clear" w:color="000000" w:fill="FFFFFF"/>
            <w:noWrap/>
            <w:vAlign w:val="bottom"/>
            <w:hideMark/>
          </w:tcPr>
          <w:p w14:paraId="6A8523DE"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0.98251</w:t>
            </w:r>
          </w:p>
        </w:tc>
      </w:tr>
      <w:tr w:rsidR="00B911B6" w:rsidRPr="000470FD" w14:paraId="03A6CA17"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F7CF985"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S10</w:t>
            </w:r>
          </w:p>
        </w:tc>
        <w:tc>
          <w:tcPr>
            <w:tcW w:w="960" w:type="dxa"/>
            <w:tcBorders>
              <w:top w:val="nil"/>
              <w:left w:val="nil"/>
              <w:bottom w:val="single" w:sz="4" w:space="0" w:color="auto"/>
              <w:right w:val="single" w:sz="4" w:space="0" w:color="auto"/>
            </w:tcBorders>
            <w:shd w:val="clear" w:color="000000" w:fill="FFFFFF"/>
            <w:noWrap/>
            <w:vAlign w:val="bottom"/>
            <w:hideMark/>
          </w:tcPr>
          <w:p w14:paraId="587D39A2"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0.98274</w:t>
            </w:r>
          </w:p>
        </w:tc>
        <w:tc>
          <w:tcPr>
            <w:tcW w:w="960" w:type="dxa"/>
            <w:tcBorders>
              <w:top w:val="nil"/>
              <w:left w:val="nil"/>
              <w:bottom w:val="single" w:sz="4" w:space="0" w:color="auto"/>
              <w:right w:val="single" w:sz="4" w:space="0" w:color="auto"/>
            </w:tcBorders>
            <w:shd w:val="clear" w:color="000000" w:fill="FFFFFF"/>
            <w:noWrap/>
            <w:vAlign w:val="bottom"/>
            <w:hideMark/>
          </w:tcPr>
          <w:p w14:paraId="5718DF48"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0.99831</w:t>
            </w:r>
          </w:p>
        </w:tc>
        <w:tc>
          <w:tcPr>
            <w:tcW w:w="960" w:type="dxa"/>
            <w:tcBorders>
              <w:top w:val="nil"/>
              <w:left w:val="nil"/>
              <w:bottom w:val="single" w:sz="4" w:space="0" w:color="auto"/>
              <w:right w:val="single" w:sz="4" w:space="0" w:color="auto"/>
            </w:tcBorders>
            <w:shd w:val="clear" w:color="000000" w:fill="FFFFFF"/>
            <w:noWrap/>
            <w:vAlign w:val="bottom"/>
            <w:hideMark/>
          </w:tcPr>
          <w:p w14:paraId="703AA86B"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0.97242</w:t>
            </w:r>
          </w:p>
        </w:tc>
        <w:tc>
          <w:tcPr>
            <w:tcW w:w="960" w:type="dxa"/>
            <w:tcBorders>
              <w:top w:val="nil"/>
              <w:left w:val="nil"/>
              <w:bottom w:val="single" w:sz="4" w:space="0" w:color="auto"/>
              <w:right w:val="single" w:sz="4" w:space="0" w:color="auto"/>
            </w:tcBorders>
            <w:shd w:val="clear" w:color="000000" w:fill="FFFFFF"/>
            <w:noWrap/>
            <w:vAlign w:val="bottom"/>
            <w:hideMark/>
          </w:tcPr>
          <w:p w14:paraId="155BF3DB"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0.98216</w:t>
            </w:r>
          </w:p>
        </w:tc>
      </w:tr>
      <w:tr w:rsidR="00B911B6" w:rsidRPr="000470FD" w14:paraId="3978A0FB"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0A38A4E"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S11</w:t>
            </w:r>
          </w:p>
        </w:tc>
        <w:tc>
          <w:tcPr>
            <w:tcW w:w="960" w:type="dxa"/>
            <w:tcBorders>
              <w:top w:val="nil"/>
              <w:left w:val="nil"/>
              <w:bottom w:val="single" w:sz="4" w:space="0" w:color="auto"/>
              <w:right w:val="single" w:sz="4" w:space="0" w:color="auto"/>
            </w:tcBorders>
            <w:shd w:val="clear" w:color="000000" w:fill="FFFFFF"/>
            <w:noWrap/>
            <w:vAlign w:val="bottom"/>
            <w:hideMark/>
          </w:tcPr>
          <w:p w14:paraId="0CFDA3C9"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0.98124</w:t>
            </w:r>
          </w:p>
        </w:tc>
        <w:tc>
          <w:tcPr>
            <w:tcW w:w="960" w:type="dxa"/>
            <w:tcBorders>
              <w:top w:val="nil"/>
              <w:left w:val="nil"/>
              <w:bottom w:val="single" w:sz="4" w:space="0" w:color="auto"/>
              <w:right w:val="single" w:sz="4" w:space="0" w:color="auto"/>
            </w:tcBorders>
            <w:shd w:val="clear" w:color="000000" w:fill="FFFFFF"/>
            <w:noWrap/>
            <w:vAlign w:val="bottom"/>
            <w:hideMark/>
          </w:tcPr>
          <w:p w14:paraId="79811A80"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0.99023</w:t>
            </w:r>
          </w:p>
        </w:tc>
        <w:tc>
          <w:tcPr>
            <w:tcW w:w="960" w:type="dxa"/>
            <w:tcBorders>
              <w:top w:val="nil"/>
              <w:left w:val="nil"/>
              <w:bottom w:val="single" w:sz="4" w:space="0" w:color="auto"/>
              <w:right w:val="single" w:sz="4" w:space="0" w:color="auto"/>
            </w:tcBorders>
            <w:shd w:val="clear" w:color="000000" w:fill="FFFFFF"/>
            <w:noWrap/>
            <w:vAlign w:val="bottom"/>
            <w:hideMark/>
          </w:tcPr>
          <w:p w14:paraId="68E2A173"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0.98488</w:t>
            </w:r>
          </w:p>
        </w:tc>
        <w:tc>
          <w:tcPr>
            <w:tcW w:w="960" w:type="dxa"/>
            <w:tcBorders>
              <w:top w:val="nil"/>
              <w:left w:val="nil"/>
              <w:bottom w:val="single" w:sz="4" w:space="0" w:color="auto"/>
              <w:right w:val="single" w:sz="4" w:space="0" w:color="auto"/>
            </w:tcBorders>
            <w:shd w:val="clear" w:color="000000" w:fill="FFFFFF"/>
            <w:noWrap/>
            <w:vAlign w:val="bottom"/>
            <w:hideMark/>
          </w:tcPr>
          <w:p w14:paraId="5958A9D8"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0.98363</w:t>
            </w:r>
          </w:p>
        </w:tc>
      </w:tr>
      <w:tr w:rsidR="00B911B6" w:rsidRPr="000470FD" w14:paraId="056E5C88"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3C48B08"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S12</w:t>
            </w:r>
          </w:p>
        </w:tc>
        <w:tc>
          <w:tcPr>
            <w:tcW w:w="960" w:type="dxa"/>
            <w:tcBorders>
              <w:top w:val="nil"/>
              <w:left w:val="nil"/>
              <w:bottom w:val="single" w:sz="4" w:space="0" w:color="auto"/>
              <w:right w:val="single" w:sz="4" w:space="0" w:color="auto"/>
            </w:tcBorders>
            <w:shd w:val="clear" w:color="000000" w:fill="FFFFFF"/>
            <w:noWrap/>
            <w:vAlign w:val="bottom"/>
            <w:hideMark/>
          </w:tcPr>
          <w:p w14:paraId="0616A78C"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0.99489</w:t>
            </w:r>
          </w:p>
        </w:tc>
        <w:tc>
          <w:tcPr>
            <w:tcW w:w="960" w:type="dxa"/>
            <w:tcBorders>
              <w:top w:val="nil"/>
              <w:left w:val="nil"/>
              <w:bottom w:val="single" w:sz="4" w:space="0" w:color="auto"/>
              <w:right w:val="single" w:sz="4" w:space="0" w:color="auto"/>
            </w:tcBorders>
            <w:shd w:val="clear" w:color="000000" w:fill="FFFFFF"/>
            <w:noWrap/>
            <w:vAlign w:val="bottom"/>
            <w:hideMark/>
          </w:tcPr>
          <w:p w14:paraId="2E266014"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0.99727</w:t>
            </w:r>
          </w:p>
        </w:tc>
        <w:tc>
          <w:tcPr>
            <w:tcW w:w="960" w:type="dxa"/>
            <w:tcBorders>
              <w:top w:val="nil"/>
              <w:left w:val="nil"/>
              <w:bottom w:val="single" w:sz="4" w:space="0" w:color="auto"/>
              <w:right w:val="single" w:sz="4" w:space="0" w:color="auto"/>
            </w:tcBorders>
            <w:shd w:val="clear" w:color="000000" w:fill="FFFFFF"/>
            <w:noWrap/>
            <w:vAlign w:val="bottom"/>
            <w:hideMark/>
          </w:tcPr>
          <w:p w14:paraId="1140BE47"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0.97409</w:t>
            </w:r>
          </w:p>
        </w:tc>
        <w:tc>
          <w:tcPr>
            <w:tcW w:w="960" w:type="dxa"/>
            <w:tcBorders>
              <w:top w:val="nil"/>
              <w:left w:val="nil"/>
              <w:bottom w:val="single" w:sz="4" w:space="0" w:color="auto"/>
              <w:right w:val="single" w:sz="4" w:space="0" w:color="auto"/>
            </w:tcBorders>
            <w:shd w:val="clear" w:color="000000" w:fill="FFFFFF"/>
            <w:noWrap/>
            <w:vAlign w:val="bottom"/>
            <w:hideMark/>
          </w:tcPr>
          <w:p w14:paraId="7BD0698E"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0.99229</w:t>
            </w:r>
          </w:p>
        </w:tc>
      </w:tr>
      <w:tr w:rsidR="00B911B6" w:rsidRPr="000470FD" w14:paraId="2BC00CAD" w14:textId="77777777" w:rsidTr="00B911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5E08F44" w14:textId="77777777" w:rsidR="00B911B6" w:rsidRPr="000470FD" w:rsidRDefault="00B911B6" w:rsidP="00B911B6">
            <w:pPr>
              <w:spacing w:after="0" w:line="240" w:lineRule="auto"/>
              <w:rPr>
                <w:rFonts w:ascii="Arial" w:eastAsia="Times New Roman" w:hAnsi="Arial" w:cs="Arial"/>
                <w:color w:val="000000"/>
                <w:sz w:val="20"/>
                <w:szCs w:val="20"/>
              </w:rPr>
            </w:pPr>
            <w:r w:rsidRPr="000470FD">
              <w:rPr>
                <w:rFonts w:ascii="Arial" w:eastAsia="Times New Roman" w:hAnsi="Arial" w:cs="Arial"/>
                <w:color w:val="000000"/>
                <w:sz w:val="20"/>
                <w:szCs w:val="20"/>
              </w:rPr>
              <w:t>S13</w:t>
            </w:r>
          </w:p>
        </w:tc>
        <w:tc>
          <w:tcPr>
            <w:tcW w:w="960" w:type="dxa"/>
            <w:tcBorders>
              <w:top w:val="nil"/>
              <w:left w:val="nil"/>
              <w:bottom w:val="single" w:sz="4" w:space="0" w:color="auto"/>
              <w:right w:val="single" w:sz="4" w:space="0" w:color="auto"/>
            </w:tcBorders>
            <w:shd w:val="clear" w:color="000000" w:fill="FFFFFF"/>
            <w:noWrap/>
            <w:vAlign w:val="bottom"/>
            <w:hideMark/>
          </w:tcPr>
          <w:p w14:paraId="42E516F1"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0.99964</w:t>
            </w:r>
          </w:p>
        </w:tc>
        <w:tc>
          <w:tcPr>
            <w:tcW w:w="960" w:type="dxa"/>
            <w:tcBorders>
              <w:top w:val="nil"/>
              <w:left w:val="nil"/>
              <w:bottom w:val="single" w:sz="4" w:space="0" w:color="auto"/>
              <w:right w:val="single" w:sz="4" w:space="0" w:color="auto"/>
            </w:tcBorders>
            <w:shd w:val="clear" w:color="000000" w:fill="FFFFFF"/>
            <w:noWrap/>
            <w:vAlign w:val="bottom"/>
            <w:hideMark/>
          </w:tcPr>
          <w:p w14:paraId="69AE0379"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0.99927</w:t>
            </w:r>
          </w:p>
        </w:tc>
        <w:tc>
          <w:tcPr>
            <w:tcW w:w="960" w:type="dxa"/>
            <w:tcBorders>
              <w:top w:val="nil"/>
              <w:left w:val="nil"/>
              <w:bottom w:val="single" w:sz="4" w:space="0" w:color="auto"/>
              <w:right w:val="single" w:sz="4" w:space="0" w:color="auto"/>
            </w:tcBorders>
            <w:shd w:val="clear" w:color="000000" w:fill="FFFFFF"/>
            <w:noWrap/>
            <w:vAlign w:val="bottom"/>
            <w:hideMark/>
          </w:tcPr>
          <w:p w14:paraId="53C836B0"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0.99449</w:t>
            </w:r>
          </w:p>
        </w:tc>
        <w:tc>
          <w:tcPr>
            <w:tcW w:w="960" w:type="dxa"/>
            <w:tcBorders>
              <w:top w:val="nil"/>
              <w:left w:val="nil"/>
              <w:bottom w:val="single" w:sz="4" w:space="0" w:color="auto"/>
              <w:right w:val="single" w:sz="4" w:space="0" w:color="auto"/>
            </w:tcBorders>
            <w:shd w:val="clear" w:color="000000" w:fill="FFFFFF"/>
            <w:noWrap/>
            <w:vAlign w:val="bottom"/>
            <w:hideMark/>
          </w:tcPr>
          <w:p w14:paraId="42E6CFD6" w14:textId="77777777" w:rsidR="00B911B6" w:rsidRPr="000470FD" w:rsidRDefault="00B911B6" w:rsidP="00B911B6">
            <w:pPr>
              <w:spacing w:after="0" w:line="240" w:lineRule="auto"/>
              <w:jc w:val="right"/>
              <w:rPr>
                <w:rFonts w:ascii="Arial" w:eastAsia="Times New Roman" w:hAnsi="Arial" w:cs="Arial"/>
                <w:color w:val="000000"/>
                <w:sz w:val="20"/>
                <w:szCs w:val="20"/>
              </w:rPr>
            </w:pPr>
            <w:r w:rsidRPr="000470FD">
              <w:rPr>
                <w:rFonts w:ascii="Arial" w:eastAsia="Times New Roman" w:hAnsi="Arial" w:cs="Arial"/>
                <w:color w:val="000000"/>
                <w:sz w:val="20"/>
                <w:szCs w:val="20"/>
              </w:rPr>
              <w:t>0.99782</w:t>
            </w:r>
          </w:p>
        </w:tc>
      </w:tr>
    </w:tbl>
    <w:p w14:paraId="01B30AB7" w14:textId="77777777" w:rsidR="008A78B8" w:rsidRPr="000470FD" w:rsidRDefault="008A78B8" w:rsidP="008A78B8">
      <w:pPr>
        <w:pStyle w:val="NormalWeb"/>
        <w:rPr>
          <w:rFonts w:ascii="Arial" w:hAnsi="Arial" w:cs="Arial"/>
          <w:sz w:val="20"/>
          <w:szCs w:val="20"/>
        </w:rPr>
      </w:pPr>
      <w:r w:rsidRPr="000470FD">
        <w:rPr>
          <w:rFonts w:ascii="Arial" w:hAnsi="Arial" w:cs="Arial"/>
          <w:sz w:val="20"/>
          <w:szCs w:val="20"/>
        </w:rPr>
        <w:t>.</w:t>
      </w:r>
    </w:p>
    <w:p w14:paraId="4CAEB4FE" w14:textId="77777777" w:rsidR="00111B89" w:rsidRDefault="00D762AB" w:rsidP="00F140FB">
      <w:pPr>
        <w:pStyle w:val="Heading1"/>
        <w:numPr>
          <w:ilvl w:val="0"/>
          <w:numId w:val="10"/>
        </w:numPr>
        <w:rPr>
          <w:rFonts w:ascii="Arial" w:hAnsi="Arial" w:cs="Arial"/>
          <w:color w:val="auto"/>
          <w:sz w:val="22"/>
          <w:szCs w:val="22"/>
        </w:rPr>
      </w:pPr>
      <w:r w:rsidRPr="000470FD">
        <w:rPr>
          <w:rFonts w:ascii="Arial" w:hAnsi="Arial" w:cs="Arial"/>
          <w:color w:val="auto"/>
          <w:sz w:val="22"/>
          <w:szCs w:val="22"/>
        </w:rPr>
        <w:t>CONCLUSIONS</w:t>
      </w:r>
    </w:p>
    <w:p w14:paraId="65625C0D" w14:textId="77777777" w:rsidR="00F202E4" w:rsidRDefault="00F202E4" w:rsidP="00F140FB">
      <w:pPr>
        <w:pStyle w:val="BodyText"/>
        <w:widowControl w:val="0"/>
        <w:autoSpaceDE w:val="0"/>
        <w:autoSpaceDN w:val="0"/>
        <w:spacing w:after="0" w:line="240" w:lineRule="auto"/>
        <w:ind w:right="9"/>
        <w:jc w:val="both"/>
        <w:rPr>
          <w:rFonts w:ascii="Arial" w:hAnsi="Arial" w:cs="Arial"/>
          <w:sz w:val="20"/>
          <w:szCs w:val="20"/>
          <w:lang w:bidi="te-IN"/>
        </w:rPr>
      </w:pPr>
      <w:r>
        <w:rPr>
          <w:rFonts w:ascii="Arial" w:hAnsi="Arial" w:cs="Arial"/>
          <w:sz w:val="20"/>
          <w:szCs w:val="20"/>
          <w:lang w:bidi="te-IN"/>
        </w:rPr>
        <w:t>(</w:t>
      </w:r>
      <w:proofErr w:type="spellStart"/>
      <w:r>
        <w:rPr>
          <w:rFonts w:ascii="Arial" w:hAnsi="Arial" w:cs="Arial"/>
          <w:sz w:val="20"/>
          <w:szCs w:val="20"/>
          <w:lang w:bidi="te-IN"/>
        </w:rPr>
        <w:t>i</w:t>
      </w:r>
      <w:proofErr w:type="spellEnd"/>
      <w:r>
        <w:rPr>
          <w:rFonts w:ascii="Arial" w:hAnsi="Arial" w:cs="Arial"/>
          <w:sz w:val="20"/>
          <w:szCs w:val="20"/>
          <w:lang w:bidi="te-IN"/>
        </w:rPr>
        <w:t xml:space="preserve">) </w:t>
      </w:r>
      <w:r w:rsidR="000725B1" w:rsidRPr="001A6D05">
        <w:rPr>
          <w:rFonts w:ascii="Arial" w:hAnsi="Arial" w:cs="Arial"/>
          <w:sz w:val="20"/>
          <w:szCs w:val="20"/>
          <w:lang w:bidi="te-IN"/>
        </w:rPr>
        <w:t>Based on WA-WQI analysis</w:t>
      </w:r>
      <w:r>
        <w:rPr>
          <w:rFonts w:ascii="Arial" w:hAnsi="Arial" w:cs="Arial"/>
          <w:sz w:val="20"/>
          <w:szCs w:val="20"/>
          <w:lang w:bidi="te-IN"/>
        </w:rPr>
        <w:t xml:space="preserve"> from Table 3</w:t>
      </w:r>
      <w:r w:rsidR="000725B1" w:rsidRPr="001A6D05">
        <w:rPr>
          <w:rFonts w:ascii="Arial" w:hAnsi="Arial" w:cs="Arial"/>
          <w:sz w:val="20"/>
          <w:szCs w:val="20"/>
          <w:lang w:bidi="te-IN"/>
        </w:rPr>
        <w:t xml:space="preserve">, </w:t>
      </w:r>
    </w:p>
    <w:p w14:paraId="09723F29" w14:textId="77777777" w:rsidR="00F202E4" w:rsidRDefault="00F202E4" w:rsidP="00F140FB">
      <w:pPr>
        <w:pStyle w:val="BodyText"/>
        <w:widowControl w:val="0"/>
        <w:autoSpaceDE w:val="0"/>
        <w:autoSpaceDN w:val="0"/>
        <w:spacing w:after="0" w:line="240" w:lineRule="auto"/>
        <w:ind w:right="9"/>
        <w:jc w:val="both"/>
        <w:rPr>
          <w:rFonts w:ascii="Arial" w:hAnsi="Arial" w:cs="Arial"/>
          <w:sz w:val="20"/>
          <w:szCs w:val="20"/>
          <w:lang w:bidi="te-IN"/>
        </w:rPr>
      </w:pPr>
    </w:p>
    <w:p w14:paraId="7EEDB29A" w14:textId="77777777" w:rsidR="000725B1" w:rsidRPr="001A6D05" w:rsidRDefault="00F202E4" w:rsidP="00F140FB">
      <w:pPr>
        <w:pStyle w:val="BodyText"/>
        <w:widowControl w:val="0"/>
        <w:autoSpaceDE w:val="0"/>
        <w:autoSpaceDN w:val="0"/>
        <w:spacing w:after="0" w:line="240" w:lineRule="auto"/>
        <w:ind w:right="9"/>
        <w:jc w:val="both"/>
        <w:rPr>
          <w:rFonts w:ascii="Arial" w:hAnsi="Arial" w:cs="Arial"/>
          <w:sz w:val="20"/>
          <w:szCs w:val="20"/>
          <w:lang w:bidi="te-IN"/>
        </w:rPr>
      </w:pPr>
      <w:r>
        <w:rPr>
          <w:rFonts w:ascii="Arial" w:hAnsi="Arial" w:cs="Arial"/>
          <w:sz w:val="20"/>
          <w:szCs w:val="20"/>
          <w:lang w:bidi="te-IN"/>
        </w:rPr>
        <w:t>a) T</w:t>
      </w:r>
      <w:r w:rsidR="000725B1" w:rsidRPr="001A6D05">
        <w:rPr>
          <w:rFonts w:ascii="Arial" w:hAnsi="Arial" w:cs="Arial"/>
          <w:sz w:val="20"/>
          <w:szCs w:val="20"/>
          <w:lang w:bidi="te-IN"/>
        </w:rPr>
        <w:t xml:space="preserve">he results indicated that the water samples collected from ten sampling </w:t>
      </w:r>
      <w:proofErr w:type="gramStart"/>
      <w:r w:rsidR="000725B1" w:rsidRPr="001A6D05">
        <w:rPr>
          <w:rFonts w:ascii="Arial" w:hAnsi="Arial" w:cs="Arial"/>
          <w:sz w:val="20"/>
          <w:szCs w:val="20"/>
          <w:lang w:bidi="te-IN"/>
        </w:rPr>
        <w:t>stations  (</w:t>
      </w:r>
      <w:proofErr w:type="gramEnd"/>
      <w:r w:rsidR="000725B1" w:rsidRPr="001A6D05">
        <w:rPr>
          <w:rFonts w:ascii="Arial" w:hAnsi="Arial" w:cs="Arial"/>
          <w:sz w:val="20"/>
          <w:szCs w:val="20"/>
        </w:rPr>
        <w:t>S1, S2, S3, S4, S5, S6, S7, S8, S10 and, S13</w:t>
      </w:r>
      <w:r w:rsidR="000725B1" w:rsidRPr="001A6D05">
        <w:rPr>
          <w:rFonts w:ascii="Arial" w:hAnsi="Arial" w:cs="Arial"/>
          <w:sz w:val="20"/>
          <w:szCs w:val="20"/>
          <w:lang w:bidi="te-IN"/>
        </w:rPr>
        <w:t>)  of the study</w:t>
      </w:r>
      <w:r w:rsidR="0008742F" w:rsidRPr="001A6D05">
        <w:rPr>
          <w:rFonts w:ascii="Arial" w:hAnsi="Arial" w:cs="Arial"/>
          <w:sz w:val="20"/>
          <w:szCs w:val="20"/>
          <w:lang w:bidi="te-IN"/>
        </w:rPr>
        <w:t xml:space="preserve"> area</w:t>
      </w:r>
      <w:r w:rsidR="000725B1" w:rsidRPr="001A6D05">
        <w:rPr>
          <w:rFonts w:ascii="Arial" w:hAnsi="Arial" w:cs="Arial"/>
          <w:sz w:val="20"/>
          <w:szCs w:val="20"/>
          <w:lang w:bidi="te-IN"/>
        </w:rPr>
        <w:t xml:space="preserve"> meet the required standards for drinking purpose as their status was classified under </w:t>
      </w:r>
      <w:r w:rsidR="0008742F" w:rsidRPr="001A6D05">
        <w:rPr>
          <w:rFonts w:ascii="Arial" w:hAnsi="Arial" w:cs="Arial"/>
          <w:sz w:val="20"/>
          <w:szCs w:val="20"/>
          <w:lang w:bidi="te-IN"/>
        </w:rPr>
        <w:t>Good</w:t>
      </w:r>
      <w:r w:rsidR="000725B1" w:rsidRPr="001A6D05">
        <w:rPr>
          <w:rFonts w:ascii="Arial" w:hAnsi="Arial" w:cs="Arial"/>
          <w:sz w:val="20"/>
          <w:szCs w:val="20"/>
          <w:lang w:bidi="te-IN"/>
        </w:rPr>
        <w:t xml:space="preserve"> category</w:t>
      </w:r>
      <w:r>
        <w:rPr>
          <w:rFonts w:ascii="Arial" w:hAnsi="Arial" w:cs="Arial"/>
          <w:sz w:val="20"/>
          <w:szCs w:val="20"/>
          <w:lang w:bidi="te-IN"/>
        </w:rPr>
        <w:t>.</w:t>
      </w:r>
      <w:r w:rsidR="000725B1" w:rsidRPr="001A6D05">
        <w:rPr>
          <w:rFonts w:ascii="Arial" w:hAnsi="Arial" w:cs="Arial"/>
          <w:sz w:val="20"/>
          <w:szCs w:val="20"/>
          <w:lang w:bidi="te-IN"/>
        </w:rPr>
        <w:t xml:space="preserve"> </w:t>
      </w:r>
    </w:p>
    <w:p w14:paraId="7FE9AC50" w14:textId="77777777" w:rsidR="000725B1" w:rsidRDefault="000725B1" w:rsidP="00F140FB">
      <w:pPr>
        <w:autoSpaceDE w:val="0"/>
        <w:autoSpaceDN w:val="0"/>
        <w:adjustRightInd w:val="0"/>
        <w:spacing w:after="0" w:line="240" w:lineRule="auto"/>
        <w:ind w:right="9"/>
        <w:jc w:val="both"/>
        <w:rPr>
          <w:rFonts w:ascii="Arial" w:eastAsia="Times New Roman" w:hAnsi="Arial" w:cs="Arial"/>
          <w:sz w:val="20"/>
          <w:szCs w:val="20"/>
        </w:rPr>
      </w:pPr>
      <w:r w:rsidRPr="001A6D05">
        <w:rPr>
          <w:rFonts w:ascii="Arial" w:eastAsia="Times New Roman" w:hAnsi="Arial" w:cs="Arial"/>
          <w:sz w:val="20"/>
          <w:szCs w:val="20"/>
        </w:rPr>
        <w:t xml:space="preserve">b) The remaining water samples at </w:t>
      </w:r>
      <w:r w:rsidR="0008742F" w:rsidRPr="001A6D05">
        <w:rPr>
          <w:rFonts w:ascii="Arial" w:eastAsia="Times New Roman" w:hAnsi="Arial" w:cs="Arial"/>
          <w:sz w:val="20"/>
          <w:szCs w:val="20"/>
        </w:rPr>
        <w:t>three</w:t>
      </w:r>
      <w:r w:rsidRPr="001A6D05">
        <w:rPr>
          <w:rFonts w:ascii="Arial" w:eastAsia="Times New Roman" w:hAnsi="Arial" w:cs="Arial"/>
          <w:sz w:val="20"/>
          <w:szCs w:val="20"/>
        </w:rPr>
        <w:t xml:space="preserve"> sampling stations (</w:t>
      </w:r>
      <w:r w:rsidR="0008742F" w:rsidRPr="001A6D05">
        <w:rPr>
          <w:rFonts w:ascii="Arial" w:hAnsi="Arial" w:cs="Arial"/>
          <w:sz w:val="20"/>
          <w:szCs w:val="20"/>
        </w:rPr>
        <w:t>S9, S11, S12</w:t>
      </w:r>
      <w:r w:rsidRPr="001A6D05">
        <w:rPr>
          <w:rFonts w:ascii="Arial" w:eastAsia="Times New Roman" w:hAnsi="Arial" w:cs="Arial"/>
          <w:sz w:val="20"/>
          <w:szCs w:val="20"/>
        </w:rPr>
        <w:t xml:space="preserve">) </w:t>
      </w:r>
      <w:proofErr w:type="spellStart"/>
      <w:r w:rsidR="0008742F" w:rsidRPr="001A6D05">
        <w:rPr>
          <w:rFonts w:ascii="Arial" w:hAnsi="Arial" w:cs="Arial"/>
          <w:sz w:val="20"/>
          <w:szCs w:val="20"/>
        </w:rPr>
        <w:t>Mittivalasa</w:t>
      </w:r>
      <w:proofErr w:type="spellEnd"/>
      <w:r w:rsidR="0008742F" w:rsidRPr="001A6D05">
        <w:rPr>
          <w:rFonts w:ascii="Arial" w:hAnsi="Arial" w:cs="Arial"/>
          <w:sz w:val="20"/>
          <w:szCs w:val="20"/>
        </w:rPr>
        <w:t xml:space="preserve">, </w:t>
      </w:r>
      <w:proofErr w:type="spellStart"/>
      <w:r w:rsidR="0008742F" w:rsidRPr="001A6D05">
        <w:rPr>
          <w:rFonts w:ascii="Arial" w:hAnsi="Arial" w:cs="Arial"/>
          <w:sz w:val="20"/>
          <w:szCs w:val="20"/>
        </w:rPr>
        <w:t>Parannavalasa</w:t>
      </w:r>
      <w:proofErr w:type="spellEnd"/>
      <w:r w:rsidR="0008742F" w:rsidRPr="001A6D05">
        <w:rPr>
          <w:rFonts w:ascii="Arial" w:hAnsi="Arial" w:cs="Arial"/>
          <w:sz w:val="20"/>
          <w:szCs w:val="20"/>
        </w:rPr>
        <w:t xml:space="preserve"> and </w:t>
      </w:r>
      <w:proofErr w:type="spellStart"/>
      <w:r w:rsidR="0008742F" w:rsidRPr="001A6D05">
        <w:rPr>
          <w:rFonts w:ascii="Arial" w:hAnsi="Arial" w:cs="Arial"/>
          <w:sz w:val="20"/>
          <w:szCs w:val="20"/>
        </w:rPr>
        <w:t>Puroithunivalasa</w:t>
      </w:r>
      <w:proofErr w:type="spellEnd"/>
      <w:r w:rsidR="0008742F" w:rsidRPr="001A6D05">
        <w:rPr>
          <w:rFonts w:ascii="Arial" w:hAnsi="Arial" w:cs="Arial"/>
          <w:sz w:val="20"/>
          <w:szCs w:val="20"/>
        </w:rPr>
        <w:t xml:space="preserve"> </w:t>
      </w:r>
      <w:r w:rsidR="0008742F" w:rsidRPr="001A6D05">
        <w:rPr>
          <w:rFonts w:ascii="Arial" w:eastAsia="Times New Roman" w:hAnsi="Arial" w:cs="Arial"/>
          <w:sz w:val="20"/>
          <w:szCs w:val="20"/>
        </w:rPr>
        <w:t>reported</w:t>
      </w:r>
      <w:r w:rsidRPr="001A6D05">
        <w:rPr>
          <w:rFonts w:ascii="Arial" w:eastAsia="Times New Roman" w:hAnsi="Arial" w:cs="Arial"/>
          <w:sz w:val="20"/>
          <w:szCs w:val="20"/>
        </w:rPr>
        <w:t xml:space="preserve"> </w:t>
      </w:r>
      <w:r w:rsidR="0008742F" w:rsidRPr="001A6D05">
        <w:rPr>
          <w:rFonts w:ascii="Arial" w:eastAsia="Times New Roman" w:hAnsi="Arial" w:cs="Arial"/>
          <w:sz w:val="20"/>
          <w:szCs w:val="20"/>
        </w:rPr>
        <w:t xml:space="preserve">as </w:t>
      </w:r>
      <w:r w:rsidRPr="001A6D05">
        <w:rPr>
          <w:rFonts w:ascii="Arial" w:eastAsia="Times New Roman" w:hAnsi="Arial" w:cs="Arial"/>
          <w:sz w:val="20"/>
          <w:szCs w:val="20"/>
        </w:rPr>
        <w:t xml:space="preserve">Poor category. It is proposed </w:t>
      </w:r>
      <w:r w:rsidR="0008742F" w:rsidRPr="001A6D05">
        <w:rPr>
          <w:rFonts w:ascii="Arial" w:eastAsia="Times New Roman" w:hAnsi="Arial" w:cs="Arial"/>
          <w:sz w:val="20"/>
          <w:szCs w:val="20"/>
        </w:rPr>
        <w:t xml:space="preserve">to take </w:t>
      </w:r>
      <w:r w:rsidRPr="001A6D05">
        <w:rPr>
          <w:rFonts w:ascii="Arial" w:eastAsia="Times New Roman" w:hAnsi="Arial" w:cs="Arial"/>
          <w:sz w:val="20"/>
          <w:szCs w:val="20"/>
        </w:rPr>
        <w:t xml:space="preserve">appropriate treatment measures before the consumption of water collected from these stations. </w:t>
      </w:r>
    </w:p>
    <w:p w14:paraId="42846855" w14:textId="77777777" w:rsidR="00F202E4" w:rsidRPr="001A6D05" w:rsidRDefault="00F202E4" w:rsidP="00F140FB">
      <w:pPr>
        <w:autoSpaceDE w:val="0"/>
        <w:autoSpaceDN w:val="0"/>
        <w:adjustRightInd w:val="0"/>
        <w:spacing w:after="0" w:line="240" w:lineRule="auto"/>
        <w:ind w:right="9"/>
        <w:jc w:val="both"/>
        <w:rPr>
          <w:rFonts w:ascii="Arial" w:hAnsi="Arial" w:cs="Arial"/>
          <w:sz w:val="20"/>
          <w:szCs w:val="20"/>
        </w:rPr>
      </w:pPr>
    </w:p>
    <w:p w14:paraId="6CA354AD" w14:textId="77777777" w:rsidR="00F202E4" w:rsidRDefault="00F202E4" w:rsidP="00F202E4">
      <w:pPr>
        <w:pStyle w:val="BodyText"/>
        <w:widowControl w:val="0"/>
        <w:autoSpaceDE w:val="0"/>
        <w:autoSpaceDN w:val="0"/>
        <w:spacing w:after="0" w:line="240" w:lineRule="auto"/>
        <w:ind w:right="9"/>
        <w:jc w:val="both"/>
        <w:rPr>
          <w:rFonts w:ascii="Arial" w:hAnsi="Arial" w:cs="Arial"/>
          <w:sz w:val="20"/>
          <w:szCs w:val="20"/>
          <w:lang w:bidi="te-IN"/>
        </w:rPr>
      </w:pPr>
      <w:r>
        <w:rPr>
          <w:rFonts w:ascii="Arial" w:hAnsi="Arial" w:cs="Arial"/>
          <w:sz w:val="20"/>
          <w:szCs w:val="20"/>
          <w:lang w:bidi="te-IN"/>
        </w:rPr>
        <w:t>(</w:t>
      </w:r>
      <w:r w:rsidRPr="00F202E4">
        <w:rPr>
          <w:rFonts w:ascii="Arial" w:hAnsi="Arial" w:cs="Arial"/>
          <w:sz w:val="20"/>
          <w:szCs w:val="20"/>
          <w:lang w:bidi="te-IN"/>
        </w:rPr>
        <w:t xml:space="preserve">ii) </w:t>
      </w:r>
      <w:r w:rsidRPr="001A6D05">
        <w:rPr>
          <w:rFonts w:ascii="Arial" w:hAnsi="Arial" w:cs="Arial"/>
          <w:sz w:val="20"/>
          <w:szCs w:val="20"/>
          <w:lang w:bidi="te-IN"/>
        </w:rPr>
        <w:t>Based on</w:t>
      </w:r>
      <w:r w:rsidR="00384F90" w:rsidRPr="00F202E4">
        <w:rPr>
          <w:rFonts w:ascii="Arial" w:hAnsi="Arial" w:cs="Arial"/>
          <w:sz w:val="20"/>
          <w:szCs w:val="20"/>
          <w:lang w:bidi="te-IN"/>
        </w:rPr>
        <w:t xml:space="preserve"> </w:t>
      </w:r>
      <w:r w:rsidRPr="00F202E4">
        <w:rPr>
          <w:rFonts w:ascii="Arial" w:hAnsi="Arial" w:cs="Arial"/>
          <w:sz w:val="20"/>
          <w:szCs w:val="20"/>
          <w:lang w:bidi="te-IN"/>
        </w:rPr>
        <w:t>ANN Performance Evaluation</w:t>
      </w:r>
      <w:r>
        <w:rPr>
          <w:rFonts w:ascii="Arial" w:hAnsi="Arial" w:cs="Arial"/>
          <w:sz w:val="20"/>
          <w:szCs w:val="20"/>
          <w:lang w:bidi="te-IN"/>
        </w:rPr>
        <w:t xml:space="preserve"> from Table 4 and Table 5</w:t>
      </w:r>
      <w:r w:rsidRPr="001A6D05">
        <w:rPr>
          <w:rFonts w:ascii="Arial" w:hAnsi="Arial" w:cs="Arial"/>
          <w:sz w:val="20"/>
          <w:szCs w:val="20"/>
          <w:lang w:bidi="te-IN"/>
        </w:rPr>
        <w:t xml:space="preserve">, </w:t>
      </w:r>
    </w:p>
    <w:p w14:paraId="50F45BD8" w14:textId="77777777" w:rsidR="00F202E4" w:rsidRDefault="00F202E4" w:rsidP="00F202E4">
      <w:pPr>
        <w:pStyle w:val="BodyText"/>
        <w:widowControl w:val="0"/>
        <w:autoSpaceDE w:val="0"/>
        <w:autoSpaceDN w:val="0"/>
        <w:spacing w:after="0" w:line="240" w:lineRule="auto"/>
        <w:ind w:right="9"/>
        <w:jc w:val="both"/>
        <w:rPr>
          <w:rFonts w:ascii="Arial" w:hAnsi="Arial" w:cs="Arial"/>
          <w:sz w:val="20"/>
          <w:szCs w:val="20"/>
          <w:lang w:bidi="te-IN"/>
        </w:rPr>
      </w:pPr>
    </w:p>
    <w:p w14:paraId="497455FE" w14:textId="77777777" w:rsidR="00111B89" w:rsidRPr="000470FD" w:rsidRDefault="00384F90" w:rsidP="00185F3E">
      <w:pPr>
        <w:pStyle w:val="NormalWeb"/>
        <w:jc w:val="both"/>
        <w:rPr>
          <w:rFonts w:ascii="Arial" w:hAnsi="Arial" w:cs="Arial"/>
          <w:sz w:val="20"/>
          <w:szCs w:val="20"/>
        </w:rPr>
      </w:pPr>
      <w:r>
        <w:rPr>
          <w:rFonts w:ascii="Arial" w:hAnsi="Arial" w:cs="Arial"/>
          <w:sz w:val="20"/>
          <w:szCs w:val="20"/>
        </w:rPr>
        <w:t>it is observed that t</w:t>
      </w:r>
      <w:r w:rsidR="00111B89" w:rsidRPr="000470FD">
        <w:rPr>
          <w:rFonts w:ascii="Arial" w:hAnsi="Arial" w:cs="Arial"/>
          <w:sz w:val="20"/>
          <w:szCs w:val="20"/>
        </w:rPr>
        <w:t xml:space="preserve">he 15–5–1 ANN </w:t>
      </w:r>
      <w:r w:rsidR="00AF4524" w:rsidRPr="000470FD">
        <w:rPr>
          <w:rFonts w:ascii="Arial" w:hAnsi="Arial" w:cs="Arial"/>
          <w:sz w:val="20"/>
          <w:szCs w:val="20"/>
        </w:rPr>
        <w:t xml:space="preserve">developed </w:t>
      </w:r>
      <w:r w:rsidR="00111B89" w:rsidRPr="000470FD">
        <w:rPr>
          <w:rFonts w:ascii="Arial" w:hAnsi="Arial" w:cs="Arial"/>
          <w:sz w:val="20"/>
          <w:szCs w:val="20"/>
        </w:rPr>
        <w:t xml:space="preserve">model </w:t>
      </w:r>
      <w:r w:rsidR="009B0211" w:rsidRPr="000470FD">
        <w:rPr>
          <w:rFonts w:ascii="Arial" w:hAnsi="Arial" w:cs="Arial"/>
          <w:sz w:val="20"/>
          <w:szCs w:val="20"/>
        </w:rPr>
        <w:t>achieved</w:t>
      </w:r>
      <w:r w:rsidR="00111B89" w:rsidRPr="000470FD">
        <w:rPr>
          <w:rFonts w:ascii="Arial" w:hAnsi="Arial" w:cs="Arial"/>
          <w:sz w:val="20"/>
          <w:szCs w:val="20"/>
        </w:rPr>
        <w:t xml:space="preserve"> st</w:t>
      </w:r>
      <w:r w:rsidR="008A78B8" w:rsidRPr="000470FD">
        <w:rPr>
          <w:rFonts w:ascii="Arial" w:hAnsi="Arial" w:cs="Arial"/>
          <w:sz w:val="20"/>
          <w:szCs w:val="20"/>
        </w:rPr>
        <w:t xml:space="preserve">rong predictive performance </w:t>
      </w:r>
      <w:r w:rsidR="00111B89" w:rsidRPr="000470FD">
        <w:rPr>
          <w:rFonts w:ascii="Arial" w:hAnsi="Arial" w:cs="Arial"/>
          <w:sz w:val="20"/>
          <w:szCs w:val="20"/>
        </w:rPr>
        <w:t xml:space="preserve">with consistent generalization across independent datasets. The framework enables rapid WQI estimation from routine </w:t>
      </w:r>
      <w:r w:rsidR="008357EC" w:rsidRPr="000470FD">
        <w:rPr>
          <w:rFonts w:ascii="Arial" w:hAnsi="Arial" w:cs="Arial"/>
          <w:sz w:val="20"/>
          <w:szCs w:val="20"/>
        </w:rPr>
        <w:t>hydro chemical</w:t>
      </w:r>
      <w:r w:rsidR="00111B89" w:rsidRPr="000470FD">
        <w:rPr>
          <w:rFonts w:ascii="Arial" w:hAnsi="Arial" w:cs="Arial"/>
          <w:sz w:val="20"/>
          <w:szCs w:val="20"/>
        </w:rPr>
        <w:t xml:space="preserve"> measurements and may serve as a practical decision-support tool in hard-rock aquifer systems.</w:t>
      </w:r>
    </w:p>
    <w:p w14:paraId="0F13DA07" w14:textId="77777777" w:rsidR="00111B89" w:rsidRPr="000470FD" w:rsidRDefault="00111B89" w:rsidP="00185F3E">
      <w:pPr>
        <w:pStyle w:val="NormalWeb"/>
        <w:jc w:val="both"/>
        <w:rPr>
          <w:rFonts w:ascii="Arial" w:hAnsi="Arial" w:cs="Arial"/>
          <w:sz w:val="20"/>
          <w:szCs w:val="20"/>
        </w:rPr>
      </w:pPr>
      <w:r w:rsidRPr="000470FD">
        <w:rPr>
          <w:rFonts w:ascii="Arial" w:hAnsi="Arial" w:cs="Arial"/>
          <w:sz w:val="20"/>
          <w:szCs w:val="20"/>
        </w:rPr>
        <w:t>Future work should explore reduced-parameter ANN models and cross-regional validation to enhance scalability.</w:t>
      </w:r>
    </w:p>
    <w:p w14:paraId="09018C8F" w14:textId="77777777" w:rsidR="00373781" w:rsidRPr="000470FD" w:rsidRDefault="00373781" w:rsidP="00373781">
      <w:pPr>
        <w:pStyle w:val="ReferHead"/>
        <w:spacing w:after="0"/>
        <w:jc w:val="both"/>
        <w:rPr>
          <w:rFonts w:ascii="Arial" w:hAnsi="Arial" w:cs="Arial"/>
          <w:bCs/>
          <w:sz w:val="20"/>
        </w:rPr>
      </w:pPr>
      <w:bookmarkStart w:id="0" w:name="_GoBack"/>
      <w:bookmarkEnd w:id="0"/>
      <w:r w:rsidRPr="000470FD">
        <w:rPr>
          <w:rFonts w:ascii="Arial" w:hAnsi="Arial" w:cs="Arial"/>
          <w:bCs/>
          <w:caps w:val="0"/>
          <w:sz w:val="20"/>
        </w:rPr>
        <w:t xml:space="preserve">Consent </w:t>
      </w:r>
    </w:p>
    <w:p w14:paraId="1B7A0944" w14:textId="77777777" w:rsidR="00373781" w:rsidRPr="000470FD" w:rsidRDefault="00373781" w:rsidP="00373781">
      <w:pPr>
        <w:pStyle w:val="isselectedend"/>
        <w:jc w:val="both"/>
        <w:rPr>
          <w:rFonts w:ascii="Arial" w:hAnsi="Arial" w:cs="Arial"/>
          <w:sz w:val="20"/>
          <w:szCs w:val="20"/>
        </w:rPr>
      </w:pPr>
      <w:r w:rsidRPr="000470FD">
        <w:rPr>
          <w:rFonts w:ascii="Arial" w:hAnsi="Arial" w:cs="Arial"/>
          <w:sz w:val="20"/>
          <w:szCs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33C23BD6" w14:textId="77777777" w:rsidR="00373781" w:rsidRPr="000470FD" w:rsidRDefault="00373781" w:rsidP="00373781">
      <w:pPr>
        <w:pStyle w:val="ReferHead"/>
        <w:spacing w:after="0"/>
        <w:jc w:val="both"/>
        <w:rPr>
          <w:rFonts w:ascii="Arial" w:hAnsi="Arial" w:cs="Arial"/>
          <w:bCs/>
          <w:sz w:val="20"/>
        </w:rPr>
      </w:pPr>
      <w:r w:rsidRPr="000470FD">
        <w:rPr>
          <w:rFonts w:ascii="Arial" w:hAnsi="Arial" w:cs="Arial"/>
          <w:bCs/>
          <w:caps w:val="0"/>
          <w:sz w:val="20"/>
        </w:rPr>
        <w:t xml:space="preserve">Ethical approval </w:t>
      </w:r>
    </w:p>
    <w:p w14:paraId="3D7E5B2E" w14:textId="77777777" w:rsidR="00373781" w:rsidRPr="000470FD" w:rsidRDefault="00373781" w:rsidP="00373781">
      <w:pPr>
        <w:pStyle w:val="NormalWeb"/>
        <w:jc w:val="both"/>
        <w:rPr>
          <w:rFonts w:ascii="Arial" w:hAnsi="Arial" w:cs="Arial"/>
          <w:sz w:val="20"/>
          <w:szCs w:val="20"/>
        </w:rPr>
      </w:pPr>
      <w:r w:rsidRPr="000470FD">
        <w:rPr>
          <w:rFonts w:ascii="Arial" w:hAnsi="Arial" w:cs="Arial"/>
          <w:sz w:val="20"/>
          <w:szCs w:val="20"/>
        </w:rPr>
        <w:t>Not applicable</w:t>
      </w:r>
    </w:p>
    <w:p w14:paraId="5747FBFC" w14:textId="77777777" w:rsidR="00373781" w:rsidRPr="000470FD" w:rsidRDefault="00373781" w:rsidP="00373781">
      <w:pPr>
        <w:pStyle w:val="isselectedend"/>
        <w:rPr>
          <w:rFonts w:ascii="Arial" w:hAnsi="Arial" w:cs="Arial"/>
          <w:b/>
          <w:bCs/>
          <w:sz w:val="20"/>
          <w:szCs w:val="20"/>
          <w:shd w:val="clear" w:color="auto" w:fill="FFFFFF"/>
        </w:rPr>
      </w:pPr>
      <w:r w:rsidRPr="000470FD">
        <w:rPr>
          <w:rFonts w:ascii="Arial" w:hAnsi="Arial" w:cs="Arial"/>
          <w:b/>
          <w:bCs/>
          <w:sz w:val="20"/>
          <w:szCs w:val="20"/>
          <w:shd w:val="clear" w:color="auto" w:fill="FFFFFF"/>
        </w:rPr>
        <w:t>Disclaimer (Artificial Intelligence)</w:t>
      </w:r>
    </w:p>
    <w:p w14:paraId="7F9AEA21" w14:textId="77777777" w:rsidR="00373781" w:rsidRPr="000470FD" w:rsidRDefault="00373781" w:rsidP="00373781">
      <w:pPr>
        <w:pStyle w:val="isselectedend"/>
        <w:rPr>
          <w:rFonts w:ascii="Arial" w:hAnsi="Arial" w:cs="Arial"/>
          <w:sz w:val="20"/>
          <w:szCs w:val="20"/>
        </w:rPr>
      </w:pPr>
      <w:r w:rsidRPr="000470FD">
        <w:rPr>
          <w:rFonts w:ascii="Arial" w:hAnsi="Arial" w:cs="Arial"/>
          <w:sz w:val="20"/>
          <w:szCs w:val="20"/>
          <w:shd w:val="clear" w:color="auto" w:fill="FFFFFF"/>
        </w:rPr>
        <w:t>Author(</w:t>
      </w:r>
      <w:proofErr w:type="gramStart"/>
      <w:r w:rsidRPr="000470FD">
        <w:rPr>
          <w:rFonts w:ascii="Arial" w:hAnsi="Arial" w:cs="Arial"/>
          <w:sz w:val="20"/>
          <w:szCs w:val="20"/>
          <w:shd w:val="clear" w:color="auto" w:fill="FFFFFF"/>
        </w:rPr>
        <w:t>s)  hereby</w:t>
      </w:r>
      <w:proofErr w:type="gramEnd"/>
      <w:r w:rsidRPr="000470FD">
        <w:rPr>
          <w:rFonts w:ascii="Arial" w:hAnsi="Arial" w:cs="Arial"/>
          <w:sz w:val="20"/>
          <w:szCs w:val="20"/>
          <w:shd w:val="clear" w:color="auto" w:fill="FFFFFF"/>
        </w:rPr>
        <w:t xml:space="preserve">  declare  that  NO  generative  AI technologies  such  as  Large  Language  Models (</w:t>
      </w:r>
      <w:proofErr w:type="spellStart"/>
      <w:r w:rsidRPr="000470FD">
        <w:rPr>
          <w:rFonts w:ascii="Arial" w:hAnsi="Arial" w:cs="Arial"/>
          <w:sz w:val="20"/>
          <w:szCs w:val="20"/>
          <w:shd w:val="clear" w:color="auto" w:fill="FFFFFF"/>
        </w:rPr>
        <w:t>ChatGPT</w:t>
      </w:r>
      <w:proofErr w:type="spellEnd"/>
      <w:r w:rsidRPr="000470FD">
        <w:rPr>
          <w:rFonts w:ascii="Arial" w:hAnsi="Arial" w:cs="Arial"/>
          <w:sz w:val="20"/>
          <w:szCs w:val="20"/>
          <w:shd w:val="clear" w:color="auto" w:fill="FFFFFF"/>
        </w:rPr>
        <w:t xml:space="preserve">,   COPILOT,   </w:t>
      </w:r>
      <w:proofErr w:type="spellStart"/>
      <w:r w:rsidRPr="000470FD">
        <w:rPr>
          <w:rFonts w:ascii="Arial" w:hAnsi="Arial" w:cs="Arial"/>
          <w:sz w:val="20"/>
          <w:szCs w:val="20"/>
          <w:shd w:val="clear" w:color="auto" w:fill="FFFFFF"/>
        </w:rPr>
        <w:t>etc</w:t>
      </w:r>
      <w:proofErr w:type="spellEnd"/>
      <w:r w:rsidRPr="000470FD">
        <w:rPr>
          <w:rFonts w:ascii="Arial" w:hAnsi="Arial" w:cs="Arial"/>
          <w:sz w:val="20"/>
          <w:szCs w:val="20"/>
          <w:shd w:val="clear" w:color="auto" w:fill="FFFFFF"/>
        </w:rPr>
        <w:t>)   and   text-to-image generators  have  been  used  during  writing  or editing of this manuscript.</w:t>
      </w:r>
    </w:p>
    <w:p w14:paraId="7514F04B" w14:textId="77777777" w:rsidR="00373781" w:rsidRDefault="00373781" w:rsidP="00373781">
      <w:pPr>
        <w:pStyle w:val="isselectedend"/>
        <w:rPr>
          <w:rFonts w:ascii="Arial" w:hAnsi="Arial" w:cs="Arial"/>
          <w:sz w:val="20"/>
          <w:szCs w:val="20"/>
        </w:rPr>
      </w:pPr>
      <w:r w:rsidRPr="00466422">
        <w:rPr>
          <w:rStyle w:val="Strong"/>
          <w:rFonts w:ascii="Arial" w:hAnsi="Arial" w:cs="Arial"/>
          <w:sz w:val="20"/>
          <w:szCs w:val="20"/>
        </w:rPr>
        <w:t>Data Availability:</w:t>
      </w:r>
      <w:r w:rsidRPr="00466422">
        <w:rPr>
          <w:rFonts w:ascii="Arial" w:hAnsi="Arial" w:cs="Arial"/>
          <w:sz w:val="20"/>
          <w:szCs w:val="20"/>
        </w:rPr>
        <w:t xml:space="preserve"> The data supporting the findings of this study are available from the corresponding author upon reasonable request.</w:t>
      </w:r>
    </w:p>
    <w:p w14:paraId="287ECB2A" w14:textId="77777777" w:rsidR="00CC077C" w:rsidRPr="00CC077C" w:rsidRDefault="00CC077C" w:rsidP="00CC077C">
      <w:pPr>
        <w:pStyle w:val="isselectedend"/>
        <w:rPr>
          <w:rFonts w:ascii="Arial" w:hAnsi="Arial" w:cs="Arial"/>
          <w:sz w:val="20"/>
          <w:szCs w:val="20"/>
        </w:rPr>
      </w:pPr>
      <w:r w:rsidRPr="00CC077C">
        <w:rPr>
          <w:rFonts w:ascii="Arial" w:hAnsi="Arial" w:cs="Arial"/>
          <w:sz w:val="20"/>
          <w:szCs w:val="20"/>
        </w:rPr>
        <w:t>COMPETING INTERESTS DISCLAIMER:</w:t>
      </w:r>
    </w:p>
    <w:p w14:paraId="7C8A68F2" w14:textId="2344C587" w:rsidR="00CC077C" w:rsidRDefault="00CC077C" w:rsidP="00CC077C">
      <w:pPr>
        <w:pStyle w:val="isselectedend"/>
        <w:rPr>
          <w:rFonts w:ascii="Arial" w:hAnsi="Arial" w:cs="Arial"/>
          <w:sz w:val="20"/>
          <w:szCs w:val="20"/>
        </w:rPr>
      </w:pPr>
      <w:r w:rsidRPr="00CC077C">
        <w:rPr>
          <w:rFonts w:ascii="Arial" w:hAnsi="Arial" w:cs="Arial"/>
          <w:sz w:val="20"/>
          <w:szCs w:val="20"/>
        </w:rPr>
        <w:lastRenderedPageBreak/>
        <w:t>Authors have declared that they have no known competing financial interests OR non-financial interests OR personal relationships that could have appeared to influence the work reported in this paper.</w:t>
      </w:r>
    </w:p>
    <w:p w14:paraId="5C79E186" w14:textId="77777777" w:rsidR="00CC077C" w:rsidRPr="00466422" w:rsidRDefault="00CC077C" w:rsidP="00373781">
      <w:pPr>
        <w:pStyle w:val="isselectedend"/>
        <w:rPr>
          <w:rFonts w:ascii="Arial" w:hAnsi="Arial" w:cs="Arial"/>
          <w:sz w:val="20"/>
          <w:szCs w:val="20"/>
        </w:rPr>
      </w:pPr>
    </w:p>
    <w:p w14:paraId="3F535446" w14:textId="77777777" w:rsidR="00373781" w:rsidRPr="00466422" w:rsidRDefault="00373781" w:rsidP="00373781">
      <w:pPr>
        <w:pStyle w:val="NormalWeb"/>
        <w:jc w:val="both"/>
        <w:rPr>
          <w:rFonts w:ascii="Arial" w:hAnsi="Arial" w:cs="Arial"/>
          <w:b/>
          <w:sz w:val="22"/>
          <w:szCs w:val="22"/>
        </w:rPr>
      </w:pPr>
      <w:r w:rsidRPr="00466422">
        <w:rPr>
          <w:rFonts w:ascii="Arial" w:hAnsi="Arial" w:cs="Arial"/>
          <w:b/>
          <w:sz w:val="22"/>
          <w:szCs w:val="22"/>
        </w:rPr>
        <w:t>5. References</w:t>
      </w:r>
    </w:p>
    <w:p w14:paraId="7AD4D1F9" w14:textId="77777777" w:rsidR="00EF318D" w:rsidRDefault="00EF318D" w:rsidP="00A046C8">
      <w:pPr>
        <w:pStyle w:val="NormalWeb"/>
        <w:jc w:val="both"/>
        <w:rPr>
          <w:rFonts w:ascii="Arial" w:hAnsi="Arial" w:cs="Arial"/>
          <w:sz w:val="22"/>
          <w:szCs w:val="22"/>
        </w:rPr>
      </w:pPr>
      <w:r w:rsidRPr="00B751C4">
        <w:rPr>
          <w:rFonts w:ascii="Arial" w:hAnsi="Arial" w:cs="Arial"/>
          <w:sz w:val="22"/>
          <w:szCs w:val="22"/>
        </w:rPr>
        <w:t xml:space="preserve">APHA, AWWA, WEF, (2017). </w:t>
      </w:r>
      <w:r w:rsidRPr="00B751C4">
        <w:rPr>
          <w:rStyle w:val="Emphasis"/>
          <w:rFonts w:ascii="Arial" w:hAnsi="Arial" w:cs="Arial"/>
          <w:i w:val="0"/>
          <w:iCs w:val="0"/>
          <w:sz w:val="22"/>
          <w:szCs w:val="22"/>
        </w:rPr>
        <w:t>Standard Methods for the Examination of Water and Wastewater</w:t>
      </w:r>
      <w:r w:rsidRPr="00B751C4">
        <w:rPr>
          <w:rFonts w:ascii="Arial" w:hAnsi="Arial" w:cs="Arial"/>
          <w:sz w:val="22"/>
          <w:szCs w:val="22"/>
        </w:rPr>
        <w:t>, 23rd ed. American Public Health Association, Washington, DC.</w:t>
      </w:r>
    </w:p>
    <w:p w14:paraId="518847C6" w14:textId="77777777" w:rsidR="005A312E" w:rsidRDefault="005A312E" w:rsidP="00A046C8">
      <w:pPr>
        <w:pStyle w:val="NormalWeb"/>
        <w:jc w:val="both"/>
        <w:rPr>
          <w:rFonts w:ascii="Arial" w:hAnsi="Arial" w:cs="Arial"/>
          <w:sz w:val="22"/>
          <w:szCs w:val="22"/>
        </w:rPr>
      </w:pPr>
      <w:r w:rsidRPr="00B751C4">
        <w:rPr>
          <w:rFonts w:ascii="Arial" w:hAnsi="Arial" w:cs="Arial"/>
          <w:sz w:val="22"/>
          <w:szCs w:val="22"/>
        </w:rPr>
        <w:t>Appala Raju, N., Harikrishna, K., Satyanarayana, P., Suneetha, P., Sachi Devi, S.,</w:t>
      </w:r>
      <w:r w:rsidR="002B617B" w:rsidRPr="00B751C4">
        <w:rPr>
          <w:rFonts w:ascii="Arial" w:hAnsi="Arial" w:cs="Arial"/>
          <w:sz w:val="22"/>
          <w:szCs w:val="22"/>
        </w:rPr>
        <w:t xml:space="preserve"> (2014)</w:t>
      </w:r>
      <w:r w:rsidRPr="00B751C4">
        <w:rPr>
          <w:rFonts w:ascii="Arial" w:hAnsi="Arial" w:cs="Arial"/>
          <w:sz w:val="22"/>
          <w:szCs w:val="22"/>
        </w:rPr>
        <w:t xml:space="preserve">. Spatial distribution of groundwater quality in Vizianagaram District, Andhra Pradesh, India. </w:t>
      </w:r>
      <w:r w:rsidRPr="00B751C4">
        <w:rPr>
          <w:rStyle w:val="Emphasis"/>
          <w:rFonts w:ascii="Arial" w:hAnsi="Arial" w:cs="Arial"/>
          <w:i w:val="0"/>
          <w:iCs w:val="0"/>
          <w:sz w:val="22"/>
          <w:szCs w:val="22"/>
        </w:rPr>
        <w:t>International Journal of Science, Environment and Technology</w:t>
      </w:r>
      <w:r w:rsidRPr="00B751C4">
        <w:rPr>
          <w:rFonts w:ascii="Arial" w:hAnsi="Arial" w:cs="Arial"/>
          <w:sz w:val="22"/>
          <w:szCs w:val="22"/>
        </w:rPr>
        <w:t xml:space="preserve"> 3 (1), 148–160.</w:t>
      </w:r>
    </w:p>
    <w:p w14:paraId="74365CC1" w14:textId="77777777" w:rsidR="00EF318D" w:rsidRPr="00B751C4" w:rsidRDefault="00EF318D" w:rsidP="00EF318D">
      <w:pPr>
        <w:pStyle w:val="NormalWeb"/>
        <w:jc w:val="both"/>
        <w:rPr>
          <w:rFonts w:ascii="Arial" w:hAnsi="Arial" w:cs="Arial"/>
          <w:sz w:val="22"/>
          <w:szCs w:val="22"/>
        </w:rPr>
      </w:pPr>
      <w:r w:rsidRPr="00B751C4">
        <w:rPr>
          <w:rFonts w:ascii="Arial" w:hAnsi="Arial" w:cs="Arial"/>
          <w:sz w:val="22"/>
          <w:szCs w:val="22"/>
        </w:rPr>
        <w:t xml:space="preserve">BIS, </w:t>
      </w:r>
      <w:r>
        <w:rPr>
          <w:rFonts w:ascii="Arial" w:hAnsi="Arial" w:cs="Arial"/>
          <w:sz w:val="22"/>
          <w:szCs w:val="22"/>
        </w:rPr>
        <w:t>(</w:t>
      </w:r>
      <w:r w:rsidRPr="00B751C4">
        <w:rPr>
          <w:rFonts w:ascii="Arial" w:hAnsi="Arial" w:cs="Arial"/>
          <w:sz w:val="22"/>
          <w:szCs w:val="22"/>
        </w:rPr>
        <w:t>2012</w:t>
      </w:r>
      <w:r>
        <w:rPr>
          <w:rFonts w:ascii="Arial" w:hAnsi="Arial" w:cs="Arial"/>
          <w:sz w:val="22"/>
          <w:szCs w:val="22"/>
        </w:rPr>
        <w:t>)</w:t>
      </w:r>
      <w:r w:rsidRPr="00B751C4">
        <w:rPr>
          <w:rFonts w:ascii="Arial" w:hAnsi="Arial" w:cs="Arial"/>
          <w:sz w:val="22"/>
          <w:szCs w:val="22"/>
        </w:rPr>
        <w:t>. Indian Standard Drinking Water Specification IS 10500, Bureau of Indian Standards, New Delhi</w:t>
      </w:r>
    </w:p>
    <w:p w14:paraId="6491528B" w14:textId="77777777" w:rsidR="005A312E" w:rsidRPr="00B751C4" w:rsidRDefault="005A312E" w:rsidP="00A046C8">
      <w:pPr>
        <w:pStyle w:val="NormalWeb"/>
        <w:jc w:val="both"/>
        <w:rPr>
          <w:rFonts w:ascii="Arial" w:hAnsi="Arial" w:cs="Arial"/>
          <w:sz w:val="22"/>
          <w:szCs w:val="22"/>
        </w:rPr>
      </w:pPr>
      <w:proofErr w:type="spellStart"/>
      <w:r w:rsidRPr="00B751C4">
        <w:rPr>
          <w:rFonts w:ascii="Arial" w:hAnsi="Arial" w:cs="Arial"/>
          <w:sz w:val="22"/>
          <w:szCs w:val="22"/>
        </w:rPr>
        <w:t>Basim</w:t>
      </w:r>
      <w:proofErr w:type="spellEnd"/>
      <w:r w:rsidRPr="00B751C4">
        <w:rPr>
          <w:rFonts w:ascii="Arial" w:hAnsi="Arial" w:cs="Arial"/>
          <w:sz w:val="22"/>
          <w:szCs w:val="22"/>
        </w:rPr>
        <w:t xml:space="preserve">, H.K., </w:t>
      </w:r>
      <w:proofErr w:type="spellStart"/>
      <w:r w:rsidRPr="00B751C4">
        <w:rPr>
          <w:rFonts w:ascii="Arial" w:hAnsi="Arial" w:cs="Arial"/>
          <w:sz w:val="22"/>
          <w:szCs w:val="22"/>
        </w:rPr>
        <w:t>Jasimb</w:t>
      </w:r>
      <w:proofErr w:type="spellEnd"/>
      <w:r w:rsidRPr="00B751C4">
        <w:rPr>
          <w:rFonts w:ascii="Arial" w:hAnsi="Arial" w:cs="Arial"/>
          <w:sz w:val="22"/>
          <w:szCs w:val="22"/>
        </w:rPr>
        <w:t xml:space="preserve">, M.M., </w:t>
      </w:r>
      <w:proofErr w:type="spellStart"/>
      <w:r w:rsidRPr="00B751C4">
        <w:rPr>
          <w:rFonts w:ascii="Arial" w:hAnsi="Arial" w:cs="Arial"/>
          <w:sz w:val="22"/>
          <w:szCs w:val="22"/>
        </w:rPr>
        <w:t>Alsaqqar</w:t>
      </w:r>
      <w:proofErr w:type="spellEnd"/>
      <w:r w:rsidRPr="00B751C4">
        <w:rPr>
          <w:rFonts w:ascii="Arial" w:hAnsi="Arial" w:cs="Arial"/>
          <w:sz w:val="22"/>
          <w:szCs w:val="22"/>
        </w:rPr>
        <w:t xml:space="preserve">, A.S., </w:t>
      </w:r>
      <w:r w:rsidR="002B617B" w:rsidRPr="00B751C4">
        <w:rPr>
          <w:rFonts w:ascii="Arial" w:hAnsi="Arial" w:cs="Arial"/>
          <w:sz w:val="22"/>
          <w:szCs w:val="22"/>
        </w:rPr>
        <w:t>(</w:t>
      </w:r>
      <w:r w:rsidRPr="00B751C4">
        <w:rPr>
          <w:rFonts w:ascii="Arial" w:hAnsi="Arial" w:cs="Arial"/>
          <w:sz w:val="22"/>
          <w:szCs w:val="22"/>
        </w:rPr>
        <w:t>2018</w:t>
      </w:r>
      <w:r w:rsidR="002B617B" w:rsidRPr="00B751C4">
        <w:rPr>
          <w:rFonts w:ascii="Arial" w:hAnsi="Arial" w:cs="Arial"/>
          <w:sz w:val="22"/>
          <w:szCs w:val="22"/>
        </w:rPr>
        <w:t>)</w:t>
      </w:r>
      <w:r w:rsidRPr="00B751C4">
        <w:rPr>
          <w:rFonts w:ascii="Arial" w:hAnsi="Arial" w:cs="Arial"/>
          <w:sz w:val="22"/>
          <w:szCs w:val="22"/>
        </w:rPr>
        <w:t xml:space="preserve">. Artificial neural network model for the prediction of groundwater quality. </w:t>
      </w:r>
      <w:r w:rsidRPr="00B751C4">
        <w:rPr>
          <w:rStyle w:val="Emphasis"/>
          <w:rFonts w:ascii="Arial" w:hAnsi="Arial" w:cs="Arial"/>
          <w:i w:val="0"/>
          <w:iCs w:val="0"/>
          <w:sz w:val="22"/>
          <w:szCs w:val="22"/>
        </w:rPr>
        <w:t>Civil Engineering Journal</w:t>
      </w:r>
      <w:r w:rsidRPr="00B751C4">
        <w:rPr>
          <w:rFonts w:ascii="Arial" w:hAnsi="Arial" w:cs="Arial"/>
          <w:sz w:val="22"/>
          <w:szCs w:val="22"/>
        </w:rPr>
        <w:t xml:space="preserve"> 4 (12), 2959–2970.</w:t>
      </w:r>
    </w:p>
    <w:p w14:paraId="36189735"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Brown, R.M., McClelland, N.I., Deininger, R.A., O’Connor, M.F., </w:t>
      </w:r>
      <w:r w:rsidR="002B617B" w:rsidRPr="00B751C4">
        <w:rPr>
          <w:rFonts w:ascii="Arial" w:hAnsi="Arial" w:cs="Arial"/>
          <w:sz w:val="22"/>
          <w:szCs w:val="22"/>
        </w:rPr>
        <w:t>(</w:t>
      </w:r>
      <w:r w:rsidRPr="00B751C4">
        <w:rPr>
          <w:rFonts w:ascii="Arial" w:hAnsi="Arial" w:cs="Arial"/>
          <w:sz w:val="22"/>
          <w:szCs w:val="22"/>
        </w:rPr>
        <w:t>1972</w:t>
      </w:r>
      <w:r w:rsidR="002B617B" w:rsidRPr="00B751C4">
        <w:rPr>
          <w:rFonts w:ascii="Arial" w:hAnsi="Arial" w:cs="Arial"/>
          <w:sz w:val="22"/>
          <w:szCs w:val="22"/>
        </w:rPr>
        <w:t>)</w:t>
      </w:r>
      <w:r w:rsidRPr="00B751C4">
        <w:rPr>
          <w:rFonts w:ascii="Arial" w:hAnsi="Arial" w:cs="Arial"/>
          <w:sz w:val="22"/>
          <w:szCs w:val="22"/>
        </w:rPr>
        <w:t xml:space="preserve">. A water quality index – crashing the psychological barrier. In: </w:t>
      </w:r>
      <w:r w:rsidRPr="00B751C4">
        <w:rPr>
          <w:rStyle w:val="Emphasis"/>
          <w:rFonts w:ascii="Arial" w:hAnsi="Arial" w:cs="Arial"/>
          <w:i w:val="0"/>
          <w:iCs w:val="0"/>
          <w:sz w:val="22"/>
          <w:szCs w:val="22"/>
        </w:rPr>
        <w:t>Indicators of Environmental Quality</w:t>
      </w:r>
      <w:r w:rsidRPr="00B751C4">
        <w:rPr>
          <w:rFonts w:ascii="Arial" w:hAnsi="Arial" w:cs="Arial"/>
          <w:sz w:val="22"/>
          <w:szCs w:val="22"/>
        </w:rPr>
        <w:t xml:space="preserve">. Springer, Boston, pp. 173–182. </w:t>
      </w:r>
      <w:hyperlink r:id="rId10" w:history="1">
        <w:r w:rsidR="00A046C8" w:rsidRPr="00B751C4">
          <w:rPr>
            <w:rStyle w:val="Hyperlink"/>
            <w:rFonts w:ascii="Arial" w:hAnsi="Arial" w:cs="Arial"/>
            <w:sz w:val="22"/>
            <w:szCs w:val="22"/>
          </w:rPr>
          <w:t>https://doi.org/10.1007/978-1-4684-1698-5_15</w:t>
        </w:r>
      </w:hyperlink>
    </w:p>
    <w:p w14:paraId="686D97A1" w14:textId="77777777" w:rsidR="00A046C8" w:rsidRPr="00B751C4" w:rsidRDefault="00A046C8" w:rsidP="00A046C8">
      <w:pPr>
        <w:jc w:val="both"/>
        <w:rPr>
          <w:rFonts w:ascii="Arial" w:hAnsi="Arial" w:cs="Arial"/>
        </w:rPr>
      </w:pPr>
      <w:r w:rsidRPr="00B751C4">
        <w:rPr>
          <w:rFonts w:ascii="Arial" w:hAnsi="Arial" w:cs="Arial"/>
        </w:rPr>
        <w:t xml:space="preserve">Chen, H., Zhao, Q., Yaseen, Z.M., </w:t>
      </w:r>
      <w:r w:rsidR="002B617B" w:rsidRPr="00B751C4">
        <w:rPr>
          <w:rFonts w:ascii="Arial" w:hAnsi="Arial" w:cs="Arial"/>
        </w:rPr>
        <w:t>(</w:t>
      </w:r>
      <w:r w:rsidRPr="00B751C4">
        <w:rPr>
          <w:rFonts w:ascii="Arial" w:hAnsi="Arial" w:cs="Arial"/>
        </w:rPr>
        <w:t>2025</w:t>
      </w:r>
      <w:r w:rsidR="002B617B" w:rsidRPr="00B751C4">
        <w:rPr>
          <w:rFonts w:ascii="Arial" w:hAnsi="Arial" w:cs="Arial"/>
        </w:rPr>
        <w:t>)</w:t>
      </w:r>
      <w:r w:rsidRPr="00B751C4">
        <w:rPr>
          <w:rFonts w:ascii="Arial" w:hAnsi="Arial" w:cs="Arial"/>
        </w:rPr>
        <w:t xml:space="preserve">. </w:t>
      </w:r>
      <w:r w:rsidRPr="00B751C4">
        <w:rPr>
          <w:rStyle w:val="Emphasis"/>
          <w:rFonts w:ascii="Arial" w:hAnsi="Arial" w:cs="Arial"/>
          <w:i w:val="0"/>
          <w:iCs w:val="0"/>
        </w:rPr>
        <w:t>Explainable artificial intelligence for water quality assessment and risk analysis.</w:t>
      </w:r>
      <w:r w:rsidRPr="00B751C4">
        <w:rPr>
          <w:rFonts w:ascii="Arial" w:hAnsi="Arial" w:cs="Arial"/>
        </w:rPr>
        <w:t xml:space="preserve"> </w:t>
      </w:r>
      <w:r w:rsidRPr="00B751C4">
        <w:rPr>
          <w:rStyle w:val="Strong"/>
          <w:rFonts w:ascii="Arial" w:hAnsi="Arial" w:cs="Arial"/>
          <w:b w:val="0"/>
          <w:bCs w:val="0"/>
        </w:rPr>
        <w:t>Water Research</w:t>
      </w:r>
      <w:r w:rsidRPr="00B751C4">
        <w:rPr>
          <w:rFonts w:ascii="Arial" w:hAnsi="Arial" w:cs="Arial"/>
        </w:rPr>
        <w:t>, 225, 119362.</w:t>
      </w:r>
    </w:p>
    <w:p w14:paraId="4F5EF15A"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García-del-Toro, E.M., Mas-López, M.I., Mateo, L.F., Quijano, M.Á., </w:t>
      </w:r>
      <w:r w:rsidR="002B617B" w:rsidRPr="00B751C4">
        <w:rPr>
          <w:rFonts w:ascii="Arial" w:hAnsi="Arial" w:cs="Arial"/>
          <w:sz w:val="22"/>
          <w:szCs w:val="22"/>
        </w:rPr>
        <w:t>(</w:t>
      </w:r>
      <w:r w:rsidRPr="00B751C4">
        <w:rPr>
          <w:rFonts w:ascii="Arial" w:hAnsi="Arial" w:cs="Arial"/>
          <w:sz w:val="22"/>
          <w:szCs w:val="22"/>
        </w:rPr>
        <w:t>2025</w:t>
      </w:r>
      <w:r w:rsidR="002B617B" w:rsidRPr="00B751C4">
        <w:rPr>
          <w:rFonts w:ascii="Arial" w:hAnsi="Arial" w:cs="Arial"/>
          <w:sz w:val="22"/>
          <w:szCs w:val="22"/>
        </w:rPr>
        <w:t>)</w:t>
      </w:r>
      <w:r w:rsidRPr="00B751C4">
        <w:rPr>
          <w:rFonts w:ascii="Arial" w:hAnsi="Arial" w:cs="Arial"/>
          <w:sz w:val="22"/>
          <w:szCs w:val="22"/>
        </w:rPr>
        <w:t xml:space="preserve">. Groundwater quality prediction for drinking and irrigation uses using artificial neural networks. </w:t>
      </w:r>
      <w:r w:rsidRPr="00B751C4">
        <w:rPr>
          <w:rStyle w:val="Emphasis"/>
          <w:rFonts w:ascii="Arial" w:hAnsi="Arial" w:cs="Arial"/>
          <w:i w:val="0"/>
          <w:iCs w:val="0"/>
          <w:sz w:val="22"/>
          <w:szCs w:val="22"/>
        </w:rPr>
        <w:t>Applied Water Science</w:t>
      </w:r>
      <w:r w:rsidRPr="00B751C4">
        <w:rPr>
          <w:rFonts w:ascii="Arial" w:hAnsi="Arial" w:cs="Arial"/>
          <w:sz w:val="22"/>
          <w:szCs w:val="22"/>
        </w:rPr>
        <w:t xml:space="preserve"> 15, 247.</w:t>
      </w:r>
    </w:p>
    <w:p w14:paraId="085DD8D3" w14:textId="77777777" w:rsidR="005A312E" w:rsidRPr="00B751C4" w:rsidRDefault="005A312E" w:rsidP="00A046C8">
      <w:pPr>
        <w:pStyle w:val="NormalWeb"/>
        <w:jc w:val="both"/>
        <w:rPr>
          <w:rFonts w:ascii="Arial" w:hAnsi="Arial" w:cs="Arial"/>
          <w:sz w:val="22"/>
          <w:szCs w:val="22"/>
        </w:rPr>
      </w:pPr>
      <w:proofErr w:type="spellStart"/>
      <w:r w:rsidRPr="00B751C4">
        <w:rPr>
          <w:rFonts w:ascii="Arial" w:hAnsi="Arial" w:cs="Arial"/>
          <w:sz w:val="22"/>
          <w:szCs w:val="22"/>
        </w:rPr>
        <w:t>Ghadai</w:t>
      </w:r>
      <w:proofErr w:type="spellEnd"/>
      <w:r w:rsidRPr="00B751C4">
        <w:rPr>
          <w:rFonts w:ascii="Arial" w:hAnsi="Arial" w:cs="Arial"/>
          <w:sz w:val="22"/>
          <w:szCs w:val="22"/>
        </w:rPr>
        <w:t xml:space="preserve">, M., Satapathy, D.P., Krishnasamy, S., Ramalingam, M., </w:t>
      </w:r>
      <w:proofErr w:type="spellStart"/>
      <w:r w:rsidRPr="00B751C4">
        <w:rPr>
          <w:rFonts w:ascii="Arial" w:hAnsi="Arial" w:cs="Arial"/>
          <w:sz w:val="22"/>
          <w:szCs w:val="22"/>
        </w:rPr>
        <w:t>Sreelal</w:t>
      </w:r>
      <w:proofErr w:type="spellEnd"/>
      <w:r w:rsidRPr="00B751C4">
        <w:rPr>
          <w:rFonts w:ascii="Arial" w:hAnsi="Arial" w:cs="Arial"/>
          <w:sz w:val="22"/>
          <w:szCs w:val="22"/>
        </w:rPr>
        <w:t xml:space="preserve">, G.P., </w:t>
      </w:r>
      <w:proofErr w:type="spellStart"/>
      <w:r w:rsidRPr="00B751C4">
        <w:rPr>
          <w:rFonts w:ascii="Arial" w:hAnsi="Arial" w:cs="Arial"/>
          <w:sz w:val="22"/>
          <w:szCs w:val="22"/>
        </w:rPr>
        <w:t>Dhilipkumar</w:t>
      </w:r>
      <w:proofErr w:type="spellEnd"/>
      <w:r w:rsidRPr="00B751C4">
        <w:rPr>
          <w:rFonts w:ascii="Arial" w:hAnsi="Arial" w:cs="Arial"/>
          <w:sz w:val="22"/>
          <w:szCs w:val="22"/>
        </w:rPr>
        <w:t xml:space="preserve">, B., </w:t>
      </w:r>
      <w:r w:rsidR="002B617B" w:rsidRPr="00B751C4">
        <w:rPr>
          <w:rFonts w:ascii="Arial" w:hAnsi="Arial" w:cs="Arial"/>
          <w:sz w:val="22"/>
          <w:szCs w:val="22"/>
        </w:rPr>
        <w:t>(</w:t>
      </w:r>
      <w:r w:rsidRPr="00B751C4">
        <w:rPr>
          <w:rFonts w:ascii="Arial" w:hAnsi="Arial" w:cs="Arial"/>
          <w:sz w:val="22"/>
          <w:szCs w:val="22"/>
        </w:rPr>
        <w:t>2022</w:t>
      </w:r>
      <w:r w:rsidR="002B617B" w:rsidRPr="00B751C4">
        <w:rPr>
          <w:rFonts w:ascii="Arial" w:hAnsi="Arial" w:cs="Arial"/>
          <w:sz w:val="22"/>
          <w:szCs w:val="22"/>
        </w:rPr>
        <w:t>)</w:t>
      </w:r>
      <w:r w:rsidRPr="00B751C4">
        <w:rPr>
          <w:rFonts w:ascii="Arial" w:hAnsi="Arial" w:cs="Arial"/>
          <w:sz w:val="22"/>
          <w:szCs w:val="22"/>
        </w:rPr>
        <w:t xml:space="preserve">. Artificial neural network and weighted arithmetic indexing approach for surface water quality assessment of the Brahmani River. </w:t>
      </w:r>
      <w:r w:rsidRPr="00B751C4">
        <w:rPr>
          <w:rStyle w:val="Emphasis"/>
          <w:rFonts w:ascii="Arial" w:hAnsi="Arial" w:cs="Arial"/>
          <w:i w:val="0"/>
          <w:iCs w:val="0"/>
          <w:sz w:val="22"/>
          <w:szCs w:val="22"/>
        </w:rPr>
        <w:t>Global NEST Journal</w:t>
      </w:r>
      <w:r w:rsidRPr="00B751C4">
        <w:rPr>
          <w:rFonts w:ascii="Arial" w:hAnsi="Arial" w:cs="Arial"/>
          <w:sz w:val="22"/>
          <w:szCs w:val="22"/>
        </w:rPr>
        <w:t xml:space="preserve"> 24 (4), 562–568.</w:t>
      </w:r>
    </w:p>
    <w:p w14:paraId="1353C2F0"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Gummadi, S., Swarnalatha, G., </w:t>
      </w:r>
      <w:proofErr w:type="spellStart"/>
      <w:r w:rsidRPr="00B751C4">
        <w:rPr>
          <w:rFonts w:ascii="Arial" w:hAnsi="Arial" w:cs="Arial"/>
          <w:sz w:val="22"/>
          <w:szCs w:val="22"/>
        </w:rPr>
        <w:t>Venkataratnamma</w:t>
      </w:r>
      <w:proofErr w:type="spellEnd"/>
      <w:r w:rsidRPr="00B751C4">
        <w:rPr>
          <w:rFonts w:ascii="Arial" w:hAnsi="Arial" w:cs="Arial"/>
          <w:sz w:val="22"/>
          <w:szCs w:val="22"/>
        </w:rPr>
        <w:t xml:space="preserve">, V., Vishnuvardhan, Z., </w:t>
      </w:r>
      <w:r w:rsidR="002B617B" w:rsidRPr="00B751C4">
        <w:rPr>
          <w:rFonts w:ascii="Arial" w:hAnsi="Arial" w:cs="Arial"/>
          <w:sz w:val="22"/>
          <w:szCs w:val="22"/>
        </w:rPr>
        <w:t>(</w:t>
      </w:r>
      <w:r w:rsidRPr="00B751C4">
        <w:rPr>
          <w:rFonts w:ascii="Arial" w:hAnsi="Arial" w:cs="Arial"/>
          <w:sz w:val="22"/>
          <w:szCs w:val="22"/>
        </w:rPr>
        <w:t>2014</w:t>
      </w:r>
      <w:r w:rsidR="002B617B" w:rsidRPr="00B751C4">
        <w:rPr>
          <w:rFonts w:ascii="Arial" w:hAnsi="Arial" w:cs="Arial"/>
          <w:sz w:val="22"/>
          <w:szCs w:val="22"/>
        </w:rPr>
        <w:t>)</w:t>
      </w:r>
      <w:r w:rsidRPr="00B751C4">
        <w:rPr>
          <w:rFonts w:ascii="Arial" w:hAnsi="Arial" w:cs="Arial"/>
          <w:sz w:val="22"/>
          <w:szCs w:val="22"/>
        </w:rPr>
        <w:t xml:space="preserve">. Determination of water quality index for groundwater of </w:t>
      </w:r>
      <w:proofErr w:type="spellStart"/>
      <w:r w:rsidRPr="00B751C4">
        <w:rPr>
          <w:rFonts w:ascii="Arial" w:hAnsi="Arial" w:cs="Arial"/>
          <w:sz w:val="22"/>
          <w:szCs w:val="22"/>
        </w:rPr>
        <w:t>Bapatla</w:t>
      </w:r>
      <w:proofErr w:type="spellEnd"/>
      <w:r w:rsidRPr="00B751C4">
        <w:rPr>
          <w:rFonts w:ascii="Arial" w:hAnsi="Arial" w:cs="Arial"/>
          <w:sz w:val="22"/>
          <w:szCs w:val="22"/>
        </w:rPr>
        <w:t xml:space="preserve"> Mandal, Guntur District, Andhra Pradesh, India. </w:t>
      </w:r>
      <w:r w:rsidRPr="00B751C4">
        <w:rPr>
          <w:rStyle w:val="Emphasis"/>
          <w:rFonts w:ascii="Arial" w:hAnsi="Arial" w:cs="Arial"/>
          <w:i w:val="0"/>
          <w:iCs w:val="0"/>
          <w:sz w:val="22"/>
          <w:szCs w:val="22"/>
        </w:rPr>
        <w:t>International Journal of Engineering Research &amp; Technology</w:t>
      </w:r>
      <w:r w:rsidRPr="00B751C4">
        <w:rPr>
          <w:rFonts w:ascii="Arial" w:hAnsi="Arial" w:cs="Arial"/>
          <w:sz w:val="22"/>
          <w:szCs w:val="22"/>
        </w:rPr>
        <w:t xml:space="preserve"> 3 (3), 77–80.</w:t>
      </w:r>
    </w:p>
    <w:p w14:paraId="0F6A3214"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Hariharan, A.V.L.N.S.H., Lakshmi, B., </w:t>
      </w:r>
      <w:r w:rsidR="002B617B" w:rsidRPr="00B751C4">
        <w:rPr>
          <w:rFonts w:ascii="Arial" w:hAnsi="Arial" w:cs="Arial"/>
          <w:sz w:val="22"/>
          <w:szCs w:val="22"/>
        </w:rPr>
        <w:t>(</w:t>
      </w:r>
      <w:r w:rsidRPr="00B751C4">
        <w:rPr>
          <w:rFonts w:ascii="Arial" w:hAnsi="Arial" w:cs="Arial"/>
          <w:sz w:val="22"/>
          <w:szCs w:val="22"/>
        </w:rPr>
        <w:t>2011</w:t>
      </w:r>
      <w:r w:rsidR="002B617B" w:rsidRPr="00B751C4">
        <w:rPr>
          <w:rFonts w:ascii="Arial" w:hAnsi="Arial" w:cs="Arial"/>
          <w:sz w:val="22"/>
          <w:szCs w:val="22"/>
        </w:rPr>
        <w:t>)</w:t>
      </w:r>
      <w:r w:rsidRPr="00B751C4">
        <w:rPr>
          <w:rFonts w:ascii="Arial" w:hAnsi="Arial" w:cs="Arial"/>
          <w:sz w:val="22"/>
          <w:szCs w:val="22"/>
        </w:rPr>
        <w:t xml:space="preserve">. Determination of fluoride in some areas of Vizianagaram District, Andhra Pradesh. </w:t>
      </w:r>
      <w:r w:rsidRPr="00B751C4">
        <w:rPr>
          <w:rStyle w:val="Emphasis"/>
          <w:rFonts w:ascii="Arial" w:hAnsi="Arial" w:cs="Arial"/>
          <w:i w:val="0"/>
          <w:iCs w:val="0"/>
          <w:sz w:val="22"/>
          <w:szCs w:val="22"/>
        </w:rPr>
        <w:t>International Journal of Pharmacy and Biological Sciences</w:t>
      </w:r>
      <w:r w:rsidRPr="00B751C4">
        <w:rPr>
          <w:rFonts w:ascii="Arial" w:hAnsi="Arial" w:cs="Arial"/>
          <w:sz w:val="22"/>
          <w:szCs w:val="22"/>
        </w:rPr>
        <w:t xml:space="preserve"> 1 (2), 8–10.</w:t>
      </w:r>
    </w:p>
    <w:p w14:paraId="780FE847" w14:textId="77777777" w:rsidR="00A046C8" w:rsidRPr="00B751C4" w:rsidRDefault="00A046C8" w:rsidP="00A046C8">
      <w:pPr>
        <w:jc w:val="both"/>
        <w:rPr>
          <w:rFonts w:ascii="Arial" w:hAnsi="Arial" w:cs="Arial"/>
        </w:rPr>
      </w:pPr>
      <w:r w:rsidRPr="00B751C4">
        <w:rPr>
          <w:rFonts w:ascii="Arial" w:hAnsi="Arial" w:cs="Arial"/>
        </w:rPr>
        <w:t xml:space="preserve">Liu, L., Sun, W., Zhao, X., </w:t>
      </w:r>
      <w:r w:rsidR="002B617B" w:rsidRPr="00B751C4">
        <w:rPr>
          <w:rFonts w:ascii="Arial" w:hAnsi="Arial" w:cs="Arial"/>
        </w:rPr>
        <w:t>(</w:t>
      </w:r>
      <w:r w:rsidRPr="00B751C4">
        <w:rPr>
          <w:rFonts w:ascii="Arial" w:hAnsi="Arial" w:cs="Arial"/>
        </w:rPr>
        <w:t>2022</w:t>
      </w:r>
      <w:r w:rsidR="002B617B" w:rsidRPr="00B751C4">
        <w:rPr>
          <w:rFonts w:ascii="Arial" w:hAnsi="Arial" w:cs="Arial"/>
        </w:rPr>
        <w:t>)</w:t>
      </w:r>
      <w:r w:rsidRPr="00B751C4">
        <w:rPr>
          <w:rFonts w:ascii="Arial" w:hAnsi="Arial" w:cs="Arial"/>
        </w:rPr>
        <w:t xml:space="preserve">. </w:t>
      </w:r>
      <w:r w:rsidRPr="00B751C4">
        <w:rPr>
          <w:rStyle w:val="Emphasis"/>
          <w:rFonts w:ascii="Arial" w:hAnsi="Arial" w:cs="Arial"/>
          <w:i w:val="0"/>
          <w:iCs w:val="0"/>
        </w:rPr>
        <w:t>Scenario-based prediction of groundwater quality under climate change using machine learning.</w:t>
      </w:r>
      <w:r w:rsidRPr="00B751C4">
        <w:rPr>
          <w:rFonts w:ascii="Arial" w:hAnsi="Arial" w:cs="Arial"/>
        </w:rPr>
        <w:t xml:space="preserve"> </w:t>
      </w:r>
      <w:r w:rsidRPr="00B751C4">
        <w:rPr>
          <w:rStyle w:val="Strong"/>
          <w:rFonts w:ascii="Arial" w:hAnsi="Arial" w:cs="Arial"/>
          <w:b w:val="0"/>
          <w:bCs w:val="0"/>
        </w:rPr>
        <w:t>Science of the Total Environment</w:t>
      </w:r>
      <w:r w:rsidRPr="00B751C4">
        <w:rPr>
          <w:rFonts w:ascii="Arial" w:hAnsi="Arial" w:cs="Arial"/>
        </w:rPr>
        <w:t>, 812, 152467.</w:t>
      </w:r>
    </w:p>
    <w:p w14:paraId="154EE2C8" w14:textId="77777777" w:rsidR="00A046C8" w:rsidRPr="00B751C4" w:rsidRDefault="00A046C8" w:rsidP="00A046C8">
      <w:pPr>
        <w:jc w:val="both"/>
        <w:rPr>
          <w:rFonts w:ascii="Arial" w:hAnsi="Arial" w:cs="Arial"/>
        </w:rPr>
      </w:pPr>
      <w:r w:rsidRPr="00B751C4">
        <w:rPr>
          <w:rFonts w:ascii="Arial" w:hAnsi="Arial" w:cs="Arial"/>
        </w:rPr>
        <w:t xml:space="preserve">Li, J., Wang, Y., Zhang, X., et al., </w:t>
      </w:r>
      <w:r w:rsidR="002B617B" w:rsidRPr="00B751C4">
        <w:rPr>
          <w:rFonts w:ascii="Arial" w:hAnsi="Arial" w:cs="Arial"/>
        </w:rPr>
        <w:t>(</w:t>
      </w:r>
      <w:r w:rsidRPr="00B751C4">
        <w:rPr>
          <w:rFonts w:ascii="Arial" w:hAnsi="Arial" w:cs="Arial"/>
        </w:rPr>
        <w:t>2023</w:t>
      </w:r>
      <w:r w:rsidR="002B617B" w:rsidRPr="00B751C4">
        <w:rPr>
          <w:rFonts w:ascii="Arial" w:hAnsi="Arial" w:cs="Arial"/>
        </w:rPr>
        <w:t>)</w:t>
      </w:r>
      <w:r w:rsidRPr="00B751C4">
        <w:rPr>
          <w:rFonts w:ascii="Arial" w:hAnsi="Arial" w:cs="Arial"/>
        </w:rPr>
        <w:t xml:space="preserve">. </w:t>
      </w:r>
      <w:r w:rsidRPr="00B751C4">
        <w:rPr>
          <w:rStyle w:val="Emphasis"/>
          <w:rFonts w:ascii="Arial" w:hAnsi="Arial" w:cs="Arial"/>
          <w:i w:val="0"/>
          <w:iCs w:val="0"/>
        </w:rPr>
        <w:t>Deep learning models for groundwater quality prediction: a comparative analysis.</w:t>
      </w:r>
      <w:r w:rsidRPr="00B751C4">
        <w:rPr>
          <w:rFonts w:ascii="Arial" w:hAnsi="Arial" w:cs="Arial"/>
        </w:rPr>
        <w:t xml:space="preserve"> </w:t>
      </w:r>
      <w:r w:rsidRPr="00B751C4">
        <w:rPr>
          <w:rStyle w:val="Strong"/>
          <w:rFonts w:ascii="Arial" w:hAnsi="Arial" w:cs="Arial"/>
          <w:b w:val="0"/>
          <w:bCs w:val="0"/>
        </w:rPr>
        <w:t>Journal of Hydrology</w:t>
      </w:r>
      <w:r w:rsidRPr="00B751C4">
        <w:rPr>
          <w:rFonts w:ascii="Arial" w:hAnsi="Arial" w:cs="Arial"/>
        </w:rPr>
        <w:t>, 621, 127</w:t>
      </w:r>
      <w:r w:rsidRPr="00B751C4">
        <w:rPr>
          <w:rFonts w:ascii="Arial" w:hAnsi="Calibri" w:cs="Arial"/>
        </w:rPr>
        <w:t>⁠</w:t>
      </w:r>
      <w:r w:rsidRPr="00B751C4">
        <w:rPr>
          <w:rFonts w:ascii="Arial" w:hAnsi="Arial" w:cs="Arial"/>
        </w:rPr>
        <w:t>—139.</w:t>
      </w:r>
    </w:p>
    <w:p w14:paraId="0E5ED738"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lastRenderedPageBreak/>
        <w:t xml:space="preserve">Maier, H.R., Dandy, G.C., </w:t>
      </w:r>
      <w:r w:rsidR="002B617B" w:rsidRPr="00B751C4">
        <w:rPr>
          <w:rFonts w:ascii="Arial" w:hAnsi="Arial" w:cs="Arial"/>
          <w:sz w:val="22"/>
          <w:szCs w:val="22"/>
        </w:rPr>
        <w:t>(</w:t>
      </w:r>
      <w:r w:rsidRPr="00B751C4">
        <w:rPr>
          <w:rFonts w:ascii="Arial" w:hAnsi="Arial" w:cs="Arial"/>
          <w:sz w:val="22"/>
          <w:szCs w:val="22"/>
        </w:rPr>
        <w:t>2000</w:t>
      </w:r>
      <w:r w:rsidR="002B617B" w:rsidRPr="00B751C4">
        <w:rPr>
          <w:rFonts w:ascii="Arial" w:hAnsi="Arial" w:cs="Arial"/>
          <w:sz w:val="22"/>
          <w:szCs w:val="22"/>
        </w:rPr>
        <w:t>)</w:t>
      </w:r>
      <w:r w:rsidRPr="00B751C4">
        <w:rPr>
          <w:rFonts w:ascii="Arial" w:hAnsi="Arial" w:cs="Arial"/>
          <w:sz w:val="22"/>
          <w:szCs w:val="22"/>
        </w:rPr>
        <w:t xml:space="preserve">. Neural networks for the prediction and forecasting of water resources variables: A review of modelling issues and applications. </w:t>
      </w:r>
      <w:r w:rsidRPr="00B751C4">
        <w:rPr>
          <w:rStyle w:val="Emphasis"/>
          <w:rFonts w:ascii="Arial" w:hAnsi="Arial" w:cs="Arial"/>
          <w:i w:val="0"/>
          <w:iCs w:val="0"/>
          <w:sz w:val="22"/>
          <w:szCs w:val="22"/>
        </w:rPr>
        <w:t>Environmental Modelling &amp; Software</w:t>
      </w:r>
      <w:r w:rsidRPr="00B751C4">
        <w:rPr>
          <w:rFonts w:ascii="Arial" w:hAnsi="Arial" w:cs="Arial"/>
          <w:sz w:val="22"/>
          <w:szCs w:val="22"/>
        </w:rPr>
        <w:t xml:space="preserve"> 15, 101–124.</w:t>
      </w:r>
    </w:p>
    <w:p w14:paraId="67733A89"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Muthukumaran, V., Vinoth Kumar, V.</w:t>
      </w:r>
      <w:proofErr w:type="gramStart"/>
      <w:r w:rsidRPr="00B751C4">
        <w:rPr>
          <w:rFonts w:ascii="Arial" w:hAnsi="Arial" w:cs="Arial"/>
          <w:sz w:val="22"/>
          <w:szCs w:val="22"/>
        </w:rPr>
        <w:t xml:space="preserve">, </w:t>
      </w:r>
      <w:r w:rsidR="002B617B" w:rsidRPr="00B751C4">
        <w:rPr>
          <w:rFonts w:ascii="Arial" w:hAnsi="Arial" w:cs="Arial"/>
          <w:sz w:val="22"/>
          <w:szCs w:val="22"/>
        </w:rPr>
        <w:t xml:space="preserve"> (</w:t>
      </w:r>
      <w:proofErr w:type="gramEnd"/>
      <w:r w:rsidRPr="00B751C4">
        <w:rPr>
          <w:rFonts w:ascii="Arial" w:hAnsi="Arial" w:cs="Arial"/>
          <w:sz w:val="22"/>
          <w:szCs w:val="22"/>
        </w:rPr>
        <w:t>2022</w:t>
      </w:r>
      <w:r w:rsidR="002B617B" w:rsidRPr="00B751C4">
        <w:rPr>
          <w:rFonts w:ascii="Arial" w:hAnsi="Arial" w:cs="Arial"/>
          <w:sz w:val="22"/>
          <w:szCs w:val="22"/>
        </w:rPr>
        <w:t>)</w:t>
      </w:r>
      <w:r w:rsidRPr="00B751C4">
        <w:rPr>
          <w:rFonts w:ascii="Arial" w:hAnsi="Arial" w:cs="Arial"/>
          <w:sz w:val="22"/>
          <w:szCs w:val="22"/>
        </w:rPr>
        <w:t xml:space="preserve">. Water quality index process using artificial neural networks. </w:t>
      </w:r>
      <w:r w:rsidRPr="00B751C4">
        <w:rPr>
          <w:rStyle w:val="Emphasis"/>
          <w:rFonts w:ascii="Arial" w:hAnsi="Arial" w:cs="Arial"/>
          <w:i w:val="0"/>
          <w:iCs w:val="0"/>
          <w:sz w:val="22"/>
          <w:szCs w:val="22"/>
        </w:rPr>
        <w:t>International Journal of Information Technology, Research and Applications</w:t>
      </w:r>
      <w:r w:rsidRPr="00B751C4">
        <w:rPr>
          <w:rFonts w:ascii="Arial" w:hAnsi="Arial" w:cs="Arial"/>
          <w:sz w:val="22"/>
          <w:szCs w:val="22"/>
        </w:rPr>
        <w:t xml:space="preserve"> 1 (1), 33–37. </w:t>
      </w:r>
      <w:hyperlink r:id="rId11" w:tgtFrame="_new" w:history="1">
        <w:r w:rsidRPr="00B751C4">
          <w:rPr>
            <w:rStyle w:val="Hyperlink"/>
            <w:rFonts w:ascii="Arial" w:eastAsiaTheme="majorEastAsia" w:hAnsi="Arial" w:cs="Arial"/>
            <w:sz w:val="22"/>
            <w:szCs w:val="22"/>
          </w:rPr>
          <w:t>https://doi.org/10.59461/ijitra.v1i1.12</w:t>
        </w:r>
      </w:hyperlink>
    </w:p>
    <w:p w14:paraId="4A9986A4"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Nayar, R., </w:t>
      </w:r>
      <w:r w:rsidR="002B617B" w:rsidRPr="00B751C4">
        <w:rPr>
          <w:rFonts w:ascii="Arial" w:hAnsi="Arial" w:cs="Arial"/>
          <w:sz w:val="22"/>
          <w:szCs w:val="22"/>
        </w:rPr>
        <w:t>(</w:t>
      </w:r>
      <w:r w:rsidRPr="00B751C4">
        <w:rPr>
          <w:rFonts w:ascii="Arial" w:hAnsi="Arial" w:cs="Arial"/>
          <w:sz w:val="22"/>
          <w:szCs w:val="22"/>
        </w:rPr>
        <w:t>2020</w:t>
      </w:r>
      <w:r w:rsidR="002B617B" w:rsidRPr="00B751C4">
        <w:rPr>
          <w:rFonts w:ascii="Arial" w:hAnsi="Arial" w:cs="Arial"/>
          <w:sz w:val="22"/>
          <w:szCs w:val="22"/>
        </w:rPr>
        <w:t>)</w:t>
      </w:r>
      <w:r w:rsidRPr="00B751C4">
        <w:rPr>
          <w:rFonts w:ascii="Arial" w:hAnsi="Arial" w:cs="Arial"/>
          <w:sz w:val="22"/>
          <w:szCs w:val="22"/>
        </w:rPr>
        <w:t xml:space="preserve">. Assessment of water quality index and monitoring of pollutants by physicochemical analysis in water bodies: A review. </w:t>
      </w:r>
      <w:r w:rsidRPr="00B751C4">
        <w:rPr>
          <w:rStyle w:val="Emphasis"/>
          <w:rFonts w:ascii="Arial" w:hAnsi="Arial" w:cs="Arial"/>
          <w:i w:val="0"/>
          <w:iCs w:val="0"/>
          <w:sz w:val="22"/>
          <w:szCs w:val="22"/>
        </w:rPr>
        <w:t>International Journal of Engineering Research &amp; Technology</w:t>
      </w:r>
      <w:r w:rsidRPr="00B751C4">
        <w:rPr>
          <w:rFonts w:ascii="Arial" w:hAnsi="Arial" w:cs="Arial"/>
          <w:sz w:val="22"/>
          <w:szCs w:val="22"/>
        </w:rPr>
        <w:t xml:space="preserve"> 9 (1), 178–185.</w:t>
      </w:r>
    </w:p>
    <w:p w14:paraId="7ECF187E"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Pavan Kumar, G.V.S.R., Chandrasekhar, T., </w:t>
      </w:r>
      <w:proofErr w:type="spellStart"/>
      <w:r w:rsidRPr="00B751C4">
        <w:rPr>
          <w:rFonts w:ascii="Arial" w:hAnsi="Arial" w:cs="Arial"/>
          <w:sz w:val="22"/>
          <w:szCs w:val="22"/>
        </w:rPr>
        <w:t>Sreerama</w:t>
      </w:r>
      <w:proofErr w:type="spellEnd"/>
      <w:r w:rsidRPr="00B751C4">
        <w:rPr>
          <w:rFonts w:ascii="Arial" w:hAnsi="Arial" w:cs="Arial"/>
          <w:sz w:val="22"/>
          <w:szCs w:val="22"/>
        </w:rPr>
        <w:t xml:space="preserve"> </w:t>
      </w:r>
      <w:proofErr w:type="spellStart"/>
      <w:r w:rsidRPr="00B751C4">
        <w:rPr>
          <w:rFonts w:ascii="Arial" w:hAnsi="Arial" w:cs="Arial"/>
          <w:sz w:val="22"/>
          <w:szCs w:val="22"/>
        </w:rPr>
        <w:t>Murty</w:t>
      </w:r>
      <w:proofErr w:type="spellEnd"/>
      <w:r w:rsidRPr="00B751C4">
        <w:rPr>
          <w:rFonts w:ascii="Arial" w:hAnsi="Arial" w:cs="Arial"/>
          <w:sz w:val="22"/>
          <w:szCs w:val="22"/>
        </w:rPr>
        <w:t xml:space="preserve">, B., </w:t>
      </w:r>
      <w:r w:rsidR="002B617B" w:rsidRPr="00B751C4">
        <w:rPr>
          <w:rFonts w:ascii="Arial" w:hAnsi="Arial" w:cs="Arial"/>
          <w:sz w:val="22"/>
          <w:szCs w:val="22"/>
        </w:rPr>
        <w:t>(</w:t>
      </w:r>
      <w:r w:rsidRPr="00B751C4">
        <w:rPr>
          <w:rFonts w:ascii="Arial" w:hAnsi="Arial" w:cs="Arial"/>
          <w:sz w:val="22"/>
          <w:szCs w:val="22"/>
        </w:rPr>
        <w:t>2017a</w:t>
      </w:r>
      <w:r w:rsidR="002B617B" w:rsidRPr="00B751C4">
        <w:rPr>
          <w:rFonts w:ascii="Arial" w:hAnsi="Arial" w:cs="Arial"/>
          <w:sz w:val="22"/>
          <w:szCs w:val="22"/>
        </w:rPr>
        <w:t>)</w:t>
      </w:r>
      <w:r w:rsidRPr="00B751C4">
        <w:rPr>
          <w:rFonts w:ascii="Arial" w:hAnsi="Arial" w:cs="Arial"/>
          <w:sz w:val="22"/>
          <w:szCs w:val="22"/>
        </w:rPr>
        <w:t xml:space="preserve">. Assessment of groundwater quality status based on water quality index method in </w:t>
      </w:r>
      <w:proofErr w:type="spellStart"/>
      <w:r w:rsidRPr="00B751C4">
        <w:rPr>
          <w:rFonts w:ascii="Arial" w:hAnsi="Arial" w:cs="Arial"/>
          <w:sz w:val="22"/>
          <w:szCs w:val="22"/>
        </w:rPr>
        <w:t>Konada</w:t>
      </w:r>
      <w:proofErr w:type="spellEnd"/>
      <w:r w:rsidRPr="00B751C4">
        <w:rPr>
          <w:rFonts w:ascii="Arial" w:hAnsi="Arial" w:cs="Arial"/>
          <w:sz w:val="22"/>
          <w:szCs w:val="22"/>
        </w:rPr>
        <w:t xml:space="preserve"> and </w:t>
      </w:r>
      <w:proofErr w:type="spellStart"/>
      <w:r w:rsidRPr="00B751C4">
        <w:rPr>
          <w:rFonts w:ascii="Arial" w:hAnsi="Arial" w:cs="Arial"/>
          <w:sz w:val="22"/>
          <w:szCs w:val="22"/>
        </w:rPr>
        <w:t>Chintapalli</w:t>
      </w:r>
      <w:proofErr w:type="spellEnd"/>
      <w:r w:rsidRPr="00B751C4">
        <w:rPr>
          <w:rFonts w:ascii="Arial" w:hAnsi="Arial" w:cs="Arial"/>
          <w:sz w:val="22"/>
          <w:szCs w:val="22"/>
        </w:rPr>
        <w:t xml:space="preserve"> villages of Vizianagaram District, Andhra Pradesh, India. </w:t>
      </w:r>
      <w:r w:rsidRPr="00B751C4">
        <w:rPr>
          <w:rStyle w:val="Emphasis"/>
          <w:rFonts w:ascii="Arial" w:hAnsi="Arial" w:cs="Arial"/>
          <w:i w:val="0"/>
          <w:iCs w:val="0"/>
          <w:sz w:val="22"/>
          <w:szCs w:val="22"/>
        </w:rPr>
        <w:t>Journal of the Indian Chemical Society</w:t>
      </w:r>
      <w:r w:rsidRPr="00B751C4">
        <w:rPr>
          <w:rFonts w:ascii="Arial" w:hAnsi="Arial" w:cs="Arial"/>
          <w:sz w:val="22"/>
          <w:szCs w:val="22"/>
        </w:rPr>
        <w:t xml:space="preserve"> 94, 1–9.</w:t>
      </w:r>
    </w:p>
    <w:p w14:paraId="69EB8E96"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Pavan Kumar, G.V.S.R., Partha Sarathi, T.V.N., Srinivasa Rao, K., </w:t>
      </w:r>
      <w:r w:rsidR="002B617B" w:rsidRPr="00B751C4">
        <w:rPr>
          <w:rFonts w:ascii="Arial" w:hAnsi="Arial" w:cs="Arial"/>
          <w:sz w:val="22"/>
          <w:szCs w:val="22"/>
        </w:rPr>
        <w:t>(</w:t>
      </w:r>
      <w:r w:rsidRPr="00B751C4">
        <w:rPr>
          <w:rFonts w:ascii="Arial" w:hAnsi="Arial" w:cs="Arial"/>
          <w:sz w:val="22"/>
          <w:szCs w:val="22"/>
        </w:rPr>
        <w:t>2017b</w:t>
      </w:r>
      <w:r w:rsidR="002B617B" w:rsidRPr="00B751C4">
        <w:rPr>
          <w:rFonts w:ascii="Arial" w:hAnsi="Arial" w:cs="Arial"/>
          <w:sz w:val="22"/>
          <w:szCs w:val="22"/>
        </w:rPr>
        <w:t>)</w:t>
      </w:r>
      <w:r w:rsidRPr="00B751C4">
        <w:rPr>
          <w:rFonts w:ascii="Arial" w:hAnsi="Arial" w:cs="Arial"/>
          <w:sz w:val="22"/>
          <w:szCs w:val="22"/>
        </w:rPr>
        <w:t xml:space="preserve">. Assessment and prediction of water quality index using artificial neural networks in selected coastal villages of Vizianagaram District, Andhra Pradesh. </w:t>
      </w:r>
      <w:r w:rsidRPr="00B751C4">
        <w:rPr>
          <w:rStyle w:val="Emphasis"/>
          <w:rFonts w:ascii="Arial" w:hAnsi="Arial" w:cs="Arial"/>
          <w:i w:val="0"/>
          <w:iCs w:val="0"/>
          <w:sz w:val="22"/>
          <w:szCs w:val="22"/>
        </w:rPr>
        <w:t>Journal of the Indian Chemical Society</w:t>
      </w:r>
      <w:r w:rsidRPr="00B751C4">
        <w:rPr>
          <w:rFonts w:ascii="Arial" w:hAnsi="Arial" w:cs="Arial"/>
          <w:sz w:val="22"/>
          <w:szCs w:val="22"/>
        </w:rPr>
        <w:t xml:space="preserve"> 94, 1–8.</w:t>
      </w:r>
    </w:p>
    <w:p w14:paraId="0CC9F13A"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Rabah Ismail, Rawashdeh, A., Al-</w:t>
      </w:r>
      <w:proofErr w:type="spellStart"/>
      <w:r w:rsidRPr="00B751C4">
        <w:rPr>
          <w:rFonts w:ascii="Arial" w:hAnsi="Arial" w:cs="Arial"/>
          <w:sz w:val="22"/>
          <w:szCs w:val="22"/>
        </w:rPr>
        <w:t>Mattarneh</w:t>
      </w:r>
      <w:proofErr w:type="spellEnd"/>
      <w:r w:rsidRPr="00B751C4">
        <w:rPr>
          <w:rFonts w:ascii="Arial" w:hAnsi="Arial" w:cs="Arial"/>
          <w:sz w:val="22"/>
          <w:szCs w:val="22"/>
        </w:rPr>
        <w:t xml:space="preserve">, H., </w:t>
      </w:r>
      <w:proofErr w:type="spellStart"/>
      <w:r w:rsidRPr="00B751C4">
        <w:rPr>
          <w:rFonts w:ascii="Arial" w:hAnsi="Arial" w:cs="Arial"/>
          <w:sz w:val="22"/>
          <w:szCs w:val="22"/>
        </w:rPr>
        <w:t>Hatamleh</w:t>
      </w:r>
      <w:proofErr w:type="spellEnd"/>
      <w:r w:rsidRPr="00B751C4">
        <w:rPr>
          <w:rFonts w:ascii="Arial" w:hAnsi="Arial" w:cs="Arial"/>
          <w:sz w:val="22"/>
          <w:szCs w:val="22"/>
        </w:rPr>
        <w:t xml:space="preserve">, R., </w:t>
      </w:r>
      <w:proofErr w:type="spellStart"/>
      <w:r w:rsidRPr="00B751C4">
        <w:rPr>
          <w:rFonts w:ascii="Arial" w:hAnsi="Arial" w:cs="Arial"/>
          <w:sz w:val="22"/>
          <w:szCs w:val="22"/>
        </w:rPr>
        <w:t>Telfah</w:t>
      </w:r>
      <w:proofErr w:type="spellEnd"/>
      <w:r w:rsidRPr="00B751C4">
        <w:rPr>
          <w:rFonts w:ascii="Arial" w:hAnsi="Arial" w:cs="Arial"/>
          <w:sz w:val="22"/>
          <w:szCs w:val="22"/>
        </w:rPr>
        <w:t xml:space="preserve">, D.B., </w:t>
      </w:r>
      <w:proofErr w:type="spellStart"/>
      <w:r w:rsidRPr="00B751C4">
        <w:rPr>
          <w:rFonts w:ascii="Arial" w:hAnsi="Arial" w:cs="Arial"/>
          <w:sz w:val="22"/>
          <w:szCs w:val="22"/>
        </w:rPr>
        <w:t>Jaradat</w:t>
      </w:r>
      <w:proofErr w:type="spellEnd"/>
      <w:r w:rsidRPr="00B751C4">
        <w:rPr>
          <w:rFonts w:ascii="Arial" w:hAnsi="Arial" w:cs="Arial"/>
          <w:sz w:val="22"/>
          <w:szCs w:val="22"/>
        </w:rPr>
        <w:t xml:space="preserve">, </w:t>
      </w:r>
      <w:proofErr w:type="gramStart"/>
      <w:r w:rsidRPr="00B751C4">
        <w:rPr>
          <w:rFonts w:ascii="Arial" w:hAnsi="Arial" w:cs="Arial"/>
          <w:sz w:val="22"/>
          <w:szCs w:val="22"/>
        </w:rPr>
        <w:t>A.,</w:t>
      </w:r>
      <w:r w:rsidR="002B617B" w:rsidRPr="00B751C4">
        <w:rPr>
          <w:rFonts w:ascii="Arial" w:hAnsi="Arial" w:cs="Arial"/>
          <w:sz w:val="22"/>
          <w:szCs w:val="22"/>
        </w:rPr>
        <w:t>(</w:t>
      </w:r>
      <w:proofErr w:type="gramEnd"/>
      <w:r w:rsidRPr="00B751C4">
        <w:rPr>
          <w:rFonts w:ascii="Arial" w:hAnsi="Arial" w:cs="Arial"/>
          <w:sz w:val="22"/>
          <w:szCs w:val="22"/>
        </w:rPr>
        <w:t>2024</w:t>
      </w:r>
      <w:r w:rsidR="002B617B" w:rsidRPr="00B751C4">
        <w:rPr>
          <w:rFonts w:ascii="Arial" w:hAnsi="Arial" w:cs="Arial"/>
          <w:sz w:val="22"/>
          <w:szCs w:val="22"/>
        </w:rPr>
        <w:t>)</w:t>
      </w:r>
      <w:r w:rsidRPr="00B751C4">
        <w:rPr>
          <w:rFonts w:ascii="Arial" w:hAnsi="Arial" w:cs="Arial"/>
          <w:sz w:val="22"/>
          <w:szCs w:val="22"/>
        </w:rPr>
        <w:t xml:space="preserve">. Artificial intelligence for application in water engineering: The use of ANN to determine water quality index in rivers. </w:t>
      </w:r>
      <w:r w:rsidRPr="00B751C4">
        <w:rPr>
          <w:rStyle w:val="Emphasis"/>
          <w:rFonts w:ascii="Arial" w:hAnsi="Arial" w:cs="Arial"/>
          <w:i w:val="0"/>
          <w:iCs w:val="0"/>
          <w:sz w:val="22"/>
          <w:szCs w:val="22"/>
        </w:rPr>
        <w:t>Civil Engineering Journal</w:t>
      </w:r>
      <w:r w:rsidRPr="00B751C4">
        <w:rPr>
          <w:rFonts w:ascii="Arial" w:hAnsi="Arial" w:cs="Arial"/>
          <w:sz w:val="22"/>
          <w:szCs w:val="22"/>
        </w:rPr>
        <w:t xml:space="preserve"> 10 (7), 2261–2274.</w:t>
      </w:r>
    </w:p>
    <w:p w14:paraId="3A3804A7" w14:textId="77777777" w:rsidR="005A312E" w:rsidRPr="00B751C4" w:rsidRDefault="005A312E" w:rsidP="00A046C8">
      <w:pPr>
        <w:pStyle w:val="NormalWeb"/>
        <w:jc w:val="both"/>
        <w:rPr>
          <w:rFonts w:ascii="Arial" w:hAnsi="Arial" w:cs="Arial"/>
          <w:sz w:val="22"/>
          <w:szCs w:val="22"/>
        </w:rPr>
      </w:pPr>
      <w:proofErr w:type="spellStart"/>
      <w:r w:rsidRPr="00B751C4">
        <w:rPr>
          <w:rFonts w:ascii="Arial" w:hAnsi="Arial" w:cs="Arial"/>
          <w:sz w:val="22"/>
          <w:szCs w:val="22"/>
        </w:rPr>
        <w:t>Ramakrishnaiah</w:t>
      </w:r>
      <w:proofErr w:type="spellEnd"/>
      <w:r w:rsidRPr="00B751C4">
        <w:rPr>
          <w:rFonts w:ascii="Arial" w:hAnsi="Arial" w:cs="Arial"/>
          <w:sz w:val="22"/>
          <w:szCs w:val="22"/>
        </w:rPr>
        <w:t xml:space="preserve">, C.R., </w:t>
      </w:r>
      <w:proofErr w:type="spellStart"/>
      <w:r w:rsidRPr="00B751C4">
        <w:rPr>
          <w:rFonts w:ascii="Arial" w:hAnsi="Arial" w:cs="Arial"/>
          <w:sz w:val="22"/>
          <w:szCs w:val="22"/>
        </w:rPr>
        <w:t>Sadashivaiah</w:t>
      </w:r>
      <w:proofErr w:type="spellEnd"/>
      <w:r w:rsidRPr="00B751C4">
        <w:rPr>
          <w:rFonts w:ascii="Arial" w:hAnsi="Arial" w:cs="Arial"/>
          <w:sz w:val="22"/>
          <w:szCs w:val="22"/>
        </w:rPr>
        <w:t xml:space="preserve">, C., Ranganna, G., </w:t>
      </w:r>
      <w:r w:rsidR="002B617B" w:rsidRPr="00B751C4">
        <w:rPr>
          <w:rFonts w:ascii="Arial" w:hAnsi="Arial" w:cs="Arial"/>
          <w:sz w:val="22"/>
          <w:szCs w:val="22"/>
        </w:rPr>
        <w:t>(</w:t>
      </w:r>
      <w:r w:rsidRPr="00B751C4">
        <w:rPr>
          <w:rFonts w:ascii="Arial" w:hAnsi="Arial" w:cs="Arial"/>
          <w:sz w:val="22"/>
          <w:szCs w:val="22"/>
        </w:rPr>
        <w:t>2009</w:t>
      </w:r>
      <w:r w:rsidR="002B617B" w:rsidRPr="00B751C4">
        <w:rPr>
          <w:rFonts w:ascii="Arial" w:hAnsi="Arial" w:cs="Arial"/>
          <w:sz w:val="22"/>
          <w:szCs w:val="22"/>
        </w:rPr>
        <w:t>)</w:t>
      </w:r>
      <w:r w:rsidRPr="00B751C4">
        <w:rPr>
          <w:rFonts w:ascii="Arial" w:hAnsi="Arial" w:cs="Arial"/>
          <w:sz w:val="22"/>
          <w:szCs w:val="22"/>
        </w:rPr>
        <w:t xml:space="preserve">. Assessment of water quality index for the groundwater in Tumkur Taluk, Karnataka State, India. </w:t>
      </w:r>
      <w:r w:rsidRPr="00B751C4">
        <w:rPr>
          <w:rStyle w:val="Emphasis"/>
          <w:rFonts w:ascii="Arial" w:hAnsi="Arial" w:cs="Arial"/>
          <w:i w:val="0"/>
          <w:iCs w:val="0"/>
          <w:sz w:val="22"/>
          <w:szCs w:val="22"/>
        </w:rPr>
        <w:t>E-Journal of Chemistry</w:t>
      </w:r>
      <w:r w:rsidRPr="00B751C4">
        <w:rPr>
          <w:rFonts w:ascii="Arial" w:hAnsi="Arial" w:cs="Arial"/>
          <w:sz w:val="22"/>
          <w:szCs w:val="22"/>
        </w:rPr>
        <w:t xml:space="preserve"> 6 (2), 523–530.</w:t>
      </w:r>
    </w:p>
    <w:p w14:paraId="1217588E" w14:textId="77777777" w:rsidR="005A312E" w:rsidRPr="00B751C4" w:rsidRDefault="005A312E" w:rsidP="00A046C8">
      <w:pPr>
        <w:pStyle w:val="NormalWeb"/>
        <w:jc w:val="both"/>
        <w:rPr>
          <w:rFonts w:ascii="Arial" w:hAnsi="Arial" w:cs="Arial"/>
          <w:sz w:val="22"/>
          <w:szCs w:val="22"/>
        </w:rPr>
      </w:pPr>
      <w:r w:rsidRPr="00B751C4">
        <w:rPr>
          <w:rFonts w:ascii="Arial" w:hAnsi="Arial" w:cs="Arial"/>
          <w:sz w:val="22"/>
          <w:szCs w:val="22"/>
        </w:rPr>
        <w:t xml:space="preserve">Srinivasa Rao, G., </w:t>
      </w:r>
      <w:proofErr w:type="spellStart"/>
      <w:r w:rsidRPr="00B751C4">
        <w:rPr>
          <w:rFonts w:ascii="Arial" w:hAnsi="Arial" w:cs="Arial"/>
          <w:sz w:val="22"/>
          <w:szCs w:val="22"/>
        </w:rPr>
        <w:t>Nageswararao</w:t>
      </w:r>
      <w:proofErr w:type="spellEnd"/>
      <w:r w:rsidRPr="00B751C4">
        <w:rPr>
          <w:rFonts w:ascii="Arial" w:hAnsi="Arial" w:cs="Arial"/>
          <w:sz w:val="22"/>
          <w:szCs w:val="22"/>
        </w:rPr>
        <w:t xml:space="preserve">, G., </w:t>
      </w:r>
      <w:r w:rsidR="002B617B" w:rsidRPr="00B751C4">
        <w:rPr>
          <w:rFonts w:ascii="Arial" w:hAnsi="Arial" w:cs="Arial"/>
          <w:sz w:val="22"/>
          <w:szCs w:val="22"/>
        </w:rPr>
        <w:t>(</w:t>
      </w:r>
      <w:r w:rsidRPr="00B751C4">
        <w:rPr>
          <w:rFonts w:ascii="Arial" w:hAnsi="Arial" w:cs="Arial"/>
          <w:sz w:val="22"/>
          <w:szCs w:val="22"/>
        </w:rPr>
        <w:t>2013</w:t>
      </w:r>
      <w:r w:rsidR="002B617B" w:rsidRPr="00B751C4">
        <w:rPr>
          <w:rFonts w:ascii="Arial" w:hAnsi="Arial" w:cs="Arial"/>
          <w:sz w:val="22"/>
          <w:szCs w:val="22"/>
        </w:rPr>
        <w:t>)</w:t>
      </w:r>
      <w:r w:rsidRPr="00B751C4">
        <w:rPr>
          <w:rFonts w:ascii="Arial" w:hAnsi="Arial" w:cs="Arial"/>
          <w:sz w:val="22"/>
          <w:szCs w:val="22"/>
        </w:rPr>
        <w:t xml:space="preserve">. Assessment of groundwater quality using water quality index. </w:t>
      </w:r>
      <w:r w:rsidRPr="00B751C4">
        <w:rPr>
          <w:rStyle w:val="Emphasis"/>
          <w:rFonts w:ascii="Arial" w:hAnsi="Arial" w:cs="Arial"/>
          <w:i w:val="0"/>
          <w:iCs w:val="0"/>
          <w:sz w:val="22"/>
          <w:szCs w:val="22"/>
        </w:rPr>
        <w:t>Archives of Environmental Sciences</w:t>
      </w:r>
      <w:r w:rsidRPr="00B751C4">
        <w:rPr>
          <w:rFonts w:ascii="Arial" w:hAnsi="Arial" w:cs="Arial"/>
          <w:sz w:val="22"/>
          <w:szCs w:val="22"/>
        </w:rPr>
        <w:t xml:space="preserve"> 7, 1–5.</w:t>
      </w:r>
    </w:p>
    <w:p w14:paraId="24AD09EB" w14:textId="77777777" w:rsidR="00A046C8" w:rsidRPr="00B751C4" w:rsidRDefault="00A046C8" w:rsidP="00A046C8">
      <w:pPr>
        <w:jc w:val="both"/>
        <w:rPr>
          <w:rFonts w:ascii="Arial" w:hAnsi="Arial" w:cs="Arial"/>
        </w:rPr>
      </w:pPr>
      <w:r w:rsidRPr="00B751C4">
        <w:rPr>
          <w:rFonts w:ascii="Arial" w:hAnsi="Arial" w:cs="Arial"/>
        </w:rPr>
        <w:t xml:space="preserve">Singh, R.K., Gupta, P.K., Maity, S., </w:t>
      </w:r>
      <w:r w:rsidR="002B617B" w:rsidRPr="00B751C4">
        <w:rPr>
          <w:rFonts w:ascii="Arial" w:hAnsi="Arial" w:cs="Arial"/>
        </w:rPr>
        <w:t>(</w:t>
      </w:r>
      <w:r w:rsidRPr="00B751C4">
        <w:rPr>
          <w:rFonts w:ascii="Arial" w:hAnsi="Arial" w:cs="Arial"/>
        </w:rPr>
        <w:t>2024</w:t>
      </w:r>
      <w:r w:rsidR="002B617B" w:rsidRPr="00B751C4">
        <w:rPr>
          <w:rFonts w:ascii="Arial" w:hAnsi="Arial" w:cs="Arial"/>
        </w:rPr>
        <w:t>)</w:t>
      </w:r>
      <w:r w:rsidRPr="00B751C4">
        <w:rPr>
          <w:rFonts w:ascii="Arial" w:hAnsi="Arial" w:cs="Arial"/>
        </w:rPr>
        <w:t xml:space="preserve">. </w:t>
      </w:r>
      <w:r w:rsidRPr="00B751C4">
        <w:rPr>
          <w:rStyle w:val="Emphasis"/>
          <w:rFonts w:ascii="Arial" w:hAnsi="Arial" w:cs="Arial"/>
          <w:i w:val="0"/>
          <w:iCs w:val="0"/>
        </w:rPr>
        <w:t>Hybrid machine learning and geostatistical framework for groundwater quality prediction.</w:t>
      </w:r>
      <w:r w:rsidRPr="00B751C4">
        <w:rPr>
          <w:rFonts w:ascii="Arial" w:hAnsi="Arial" w:cs="Arial"/>
        </w:rPr>
        <w:t xml:space="preserve"> </w:t>
      </w:r>
      <w:r w:rsidRPr="00B751C4">
        <w:rPr>
          <w:rStyle w:val="Strong"/>
          <w:rFonts w:ascii="Arial" w:hAnsi="Arial" w:cs="Arial"/>
          <w:b w:val="0"/>
          <w:bCs w:val="0"/>
        </w:rPr>
        <w:t>Environmental Modelling &amp; Software</w:t>
      </w:r>
      <w:r w:rsidRPr="00B751C4">
        <w:rPr>
          <w:rFonts w:ascii="Arial" w:hAnsi="Arial" w:cs="Arial"/>
        </w:rPr>
        <w:t>, 169, 105271.</w:t>
      </w:r>
    </w:p>
    <w:p w14:paraId="1D62370B" w14:textId="77777777" w:rsidR="005A312E" w:rsidRPr="00B751C4" w:rsidRDefault="005A312E" w:rsidP="00A046C8">
      <w:pPr>
        <w:pStyle w:val="NormalWeb"/>
        <w:jc w:val="both"/>
        <w:rPr>
          <w:rFonts w:ascii="Arial" w:hAnsi="Arial" w:cs="Arial"/>
          <w:sz w:val="22"/>
          <w:szCs w:val="22"/>
        </w:rPr>
      </w:pPr>
      <w:proofErr w:type="spellStart"/>
      <w:r w:rsidRPr="00B751C4">
        <w:rPr>
          <w:rFonts w:ascii="Arial" w:hAnsi="Arial" w:cs="Arial"/>
          <w:sz w:val="22"/>
          <w:szCs w:val="22"/>
        </w:rPr>
        <w:t>Vasanthavigar</w:t>
      </w:r>
      <w:proofErr w:type="spellEnd"/>
      <w:r w:rsidRPr="00B751C4">
        <w:rPr>
          <w:rFonts w:ascii="Arial" w:hAnsi="Arial" w:cs="Arial"/>
          <w:sz w:val="22"/>
          <w:szCs w:val="22"/>
        </w:rPr>
        <w:t xml:space="preserve">, M., </w:t>
      </w:r>
      <w:proofErr w:type="spellStart"/>
      <w:r w:rsidRPr="00B751C4">
        <w:rPr>
          <w:rFonts w:ascii="Arial" w:hAnsi="Arial" w:cs="Arial"/>
          <w:sz w:val="22"/>
          <w:szCs w:val="22"/>
        </w:rPr>
        <w:t>Srinivasamoorthy</w:t>
      </w:r>
      <w:proofErr w:type="spellEnd"/>
      <w:r w:rsidRPr="00B751C4">
        <w:rPr>
          <w:rFonts w:ascii="Arial" w:hAnsi="Arial" w:cs="Arial"/>
          <w:sz w:val="22"/>
          <w:szCs w:val="22"/>
        </w:rPr>
        <w:t xml:space="preserve">, K., Vijayaragavan, K., Rajiv Ganthi, R., Chidambaram, S., Anandan, P., Manivannan, R., Vasudevan, S., </w:t>
      </w:r>
      <w:r w:rsidR="002B617B" w:rsidRPr="00B751C4">
        <w:rPr>
          <w:rFonts w:ascii="Arial" w:hAnsi="Arial" w:cs="Arial"/>
          <w:sz w:val="22"/>
          <w:szCs w:val="22"/>
        </w:rPr>
        <w:t>(</w:t>
      </w:r>
      <w:r w:rsidRPr="00B751C4">
        <w:rPr>
          <w:rFonts w:ascii="Arial" w:hAnsi="Arial" w:cs="Arial"/>
          <w:sz w:val="22"/>
          <w:szCs w:val="22"/>
        </w:rPr>
        <w:t>2010</w:t>
      </w:r>
      <w:r w:rsidR="002B617B" w:rsidRPr="00B751C4">
        <w:rPr>
          <w:rFonts w:ascii="Arial" w:hAnsi="Arial" w:cs="Arial"/>
          <w:sz w:val="22"/>
          <w:szCs w:val="22"/>
        </w:rPr>
        <w:t>)</w:t>
      </w:r>
      <w:r w:rsidRPr="00B751C4">
        <w:rPr>
          <w:rFonts w:ascii="Arial" w:hAnsi="Arial" w:cs="Arial"/>
          <w:sz w:val="22"/>
          <w:szCs w:val="22"/>
        </w:rPr>
        <w:t xml:space="preserve">. Application of water quality index for groundwater quality assessment: </w:t>
      </w:r>
      <w:proofErr w:type="spellStart"/>
      <w:r w:rsidRPr="00B751C4">
        <w:rPr>
          <w:rFonts w:ascii="Arial" w:hAnsi="Arial" w:cs="Arial"/>
          <w:sz w:val="22"/>
          <w:szCs w:val="22"/>
        </w:rPr>
        <w:t>Thirumanimuttar</w:t>
      </w:r>
      <w:proofErr w:type="spellEnd"/>
      <w:r w:rsidRPr="00B751C4">
        <w:rPr>
          <w:rFonts w:ascii="Arial" w:hAnsi="Arial" w:cs="Arial"/>
          <w:sz w:val="22"/>
          <w:szCs w:val="22"/>
        </w:rPr>
        <w:t xml:space="preserve"> sub-basin, Tamil Nadu, India. </w:t>
      </w:r>
      <w:r w:rsidRPr="00B751C4">
        <w:rPr>
          <w:rStyle w:val="Emphasis"/>
          <w:rFonts w:ascii="Arial" w:hAnsi="Arial" w:cs="Arial"/>
          <w:i w:val="0"/>
          <w:iCs w:val="0"/>
          <w:sz w:val="22"/>
          <w:szCs w:val="22"/>
        </w:rPr>
        <w:t>Environmental Monitoring and Assessment</w:t>
      </w:r>
      <w:r w:rsidRPr="00B751C4">
        <w:rPr>
          <w:rFonts w:ascii="Arial" w:hAnsi="Arial" w:cs="Arial"/>
          <w:sz w:val="22"/>
          <w:szCs w:val="22"/>
        </w:rPr>
        <w:t xml:space="preserve"> 171, 595–609.</w:t>
      </w:r>
    </w:p>
    <w:p w14:paraId="5BE65D16" w14:textId="77777777" w:rsidR="004D4FAE" w:rsidRPr="00B751C4" w:rsidRDefault="004D4FAE" w:rsidP="004D4FAE">
      <w:pPr>
        <w:spacing w:before="100" w:beforeAutospacing="1" w:after="100" w:afterAutospacing="1" w:line="240" w:lineRule="auto"/>
        <w:jc w:val="both"/>
        <w:rPr>
          <w:rFonts w:ascii="Arial" w:eastAsia="Times New Roman" w:hAnsi="Arial" w:cs="Arial"/>
        </w:rPr>
      </w:pPr>
      <w:r w:rsidRPr="00B751C4">
        <w:rPr>
          <w:rFonts w:ascii="Arial" w:eastAsia="Times New Roman" w:hAnsi="Arial" w:cs="Arial"/>
        </w:rPr>
        <w:t xml:space="preserve">WHO, </w:t>
      </w:r>
      <w:r w:rsidR="00EF318D">
        <w:rPr>
          <w:rFonts w:ascii="Arial" w:eastAsia="Times New Roman" w:hAnsi="Arial" w:cs="Arial"/>
        </w:rPr>
        <w:t>(</w:t>
      </w:r>
      <w:r w:rsidRPr="00B751C4">
        <w:rPr>
          <w:rFonts w:ascii="Arial" w:eastAsia="Times New Roman" w:hAnsi="Arial" w:cs="Arial"/>
        </w:rPr>
        <w:t>2017</w:t>
      </w:r>
      <w:r w:rsidR="00EF318D">
        <w:rPr>
          <w:rFonts w:ascii="Arial" w:eastAsia="Times New Roman" w:hAnsi="Arial" w:cs="Arial"/>
        </w:rPr>
        <w:t>)</w:t>
      </w:r>
      <w:r w:rsidRPr="00B751C4">
        <w:rPr>
          <w:rFonts w:ascii="Arial" w:eastAsia="Times New Roman" w:hAnsi="Arial" w:cs="Arial"/>
        </w:rPr>
        <w:t xml:space="preserve">. Guidelines for Drinking-Water Quality, 4th </w:t>
      </w:r>
      <w:proofErr w:type="spellStart"/>
      <w:r w:rsidRPr="00B751C4">
        <w:rPr>
          <w:rFonts w:ascii="Arial" w:eastAsia="Times New Roman" w:hAnsi="Arial" w:cs="Arial"/>
        </w:rPr>
        <w:t>edn</w:t>
      </w:r>
      <w:proofErr w:type="spellEnd"/>
      <w:r w:rsidRPr="00B751C4">
        <w:rPr>
          <w:rFonts w:ascii="Arial" w:eastAsia="Times New Roman" w:hAnsi="Arial" w:cs="Arial"/>
        </w:rPr>
        <w:t xml:space="preserve">, World Health Organization, Geneva. </w:t>
      </w:r>
    </w:p>
    <w:sectPr w:rsidR="004D4FAE" w:rsidRPr="00B751C4" w:rsidSect="002C7A5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A98F1" w14:textId="77777777" w:rsidR="00D407AD" w:rsidRDefault="00D407AD" w:rsidP="005E490D">
      <w:pPr>
        <w:spacing w:after="0" w:line="240" w:lineRule="auto"/>
      </w:pPr>
      <w:r>
        <w:separator/>
      </w:r>
    </w:p>
  </w:endnote>
  <w:endnote w:type="continuationSeparator" w:id="0">
    <w:p w14:paraId="6ED5593D" w14:textId="77777777" w:rsidR="00D407AD" w:rsidRDefault="00D407AD" w:rsidP="005E4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FDA3A" w14:textId="77777777" w:rsidR="00016DD2" w:rsidRDefault="00016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9058"/>
      <w:docPartObj>
        <w:docPartGallery w:val="Page Numbers (Bottom of Page)"/>
        <w:docPartUnique/>
      </w:docPartObj>
    </w:sdtPr>
    <w:sdtEndPr/>
    <w:sdtContent>
      <w:p w14:paraId="55DC41AD" w14:textId="77777777" w:rsidR="00FC034C" w:rsidRDefault="00EF318D">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7DD07A63" w14:textId="77777777" w:rsidR="00FC034C" w:rsidRDefault="00FC03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B492E" w14:textId="77777777" w:rsidR="00016DD2" w:rsidRDefault="00016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C6D09" w14:textId="77777777" w:rsidR="00D407AD" w:rsidRDefault="00D407AD" w:rsidP="005E490D">
      <w:pPr>
        <w:spacing w:after="0" w:line="240" w:lineRule="auto"/>
      </w:pPr>
      <w:r>
        <w:separator/>
      </w:r>
    </w:p>
  </w:footnote>
  <w:footnote w:type="continuationSeparator" w:id="0">
    <w:p w14:paraId="01AE898C" w14:textId="77777777" w:rsidR="00D407AD" w:rsidRDefault="00D407AD" w:rsidP="005E49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AC215" w14:textId="4EA26196" w:rsidR="00016DD2" w:rsidRDefault="00016DD2">
    <w:pPr>
      <w:pStyle w:val="Header"/>
    </w:pPr>
    <w:r>
      <w:rPr>
        <w:noProof/>
      </w:rPr>
      <w:pict w14:anchorId="71F7E8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8AFB3" w14:textId="6953B94E" w:rsidR="00016DD2" w:rsidRDefault="00016DD2">
    <w:pPr>
      <w:pStyle w:val="Header"/>
    </w:pPr>
    <w:r>
      <w:rPr>
        <w:noProof/>
      </w:rPr>
      <w:pict w14:anchorId="5E186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4B985" w14:textId="38215CD5" w:rsidR="00016DD2" w:rsidRDefault="00016DD2">
    <w:pPr>
      <w:pStyle w:val="Header"/>
    </w:pPr>
    <w:r>
      <w:rPr>
        <w:noProof/>
      </w:rPr>
      <w:pict w14:anchorId="3227B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26CDA"/>
    <w:multiLevelType w:val="multilevel"/>
    <w:tmpl w:val="87C88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09431E"/>
    <w:multiLevelType w:val="hybridMultilevel"/>
    <w:tmpl w:val="B58C502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3C264C"/>
    <w:multiLevelType w:val="multilevel"/>
    <w:tmpl w:val="DF8EE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CE3BFF"/>
    <w:multiLevelType w:val="multilevel"/>
    <w:tmpl w:val="AE22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4A542E"/>
    <w:multiLevelType w:val="multilevel"/>
    <w:tmpl w:val="3EB29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EC1569"/>
    <w:multiLevelType w:val="hybridMultilevel"/>
    <w:tmpl w:val="AB3EF94E"/>
    <w:lvl w:ilvl="0" w:tplc="7F0EE17A">
      <w:start w:val="1"/>
      <w:numFmt w:val="decimal"/>
      <w:lvlText w:val="%1."/>
      <w:lvlJc w:val="left"/>
      <w:pPr>
        <w:ind w:left="5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4ED63EF5"/>
    <w:multiLevelType w:val="hybridMultilevel"/>
    <w:tmpl w:val="BA46B9AC"/>
    <w:lvl w:ilvl="0" w:tplc="04090001">
      <w:start w:val="1"/>
      <w:numFmt w:val="bullet"/>
      <w:lvlText w:val=""/>
      <w:lvlJc w:val="left"/>
      <w:pPr>
        <w:ind w:left="720" w:hanging="360"/>
      </w:pPr>
      <w:rPr>
        <w:rFonts w:ascii="Symbol" w:hAnsi="Symbol" w:hint="default"/>
      </w:rPr>
    </w:lvl>
    <w:lvl w:ilvl="1" w:tplc="A2E6F07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A93A76"/>
    <w:multiLevelType w:val="multilevel"/>
    <w:tmpl w:val="228A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694AAB"/>
    <w:multiLevelType w:val="multilevel"/>
    <w:tmpl w:val="9480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5C354E"/>
    <w:multiLevelType w:val="multilevel"/>
    <w:tmpl w:val="4598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9"/>
  </w:num>
  <w:num w:numId="5">
    <w:abstractNumId w:val="7"/>
  </w:num>
  <w:num w:numId="6">
    <w:abstractNumId w:val="6"/>
  </w:num>
  <w:num w:numId="7">
    <w:abstractNumId w:val="8"/>
  </w:num>
  <w:num w:numId="8">
    <w:abstractNumId w:val="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11B89"/>
    <w:rsid w:val="00016DD2"/>
    <w:rsid w:val="000470FD"/>
    <w:rsid w:val="00047FAA"/>
    <w:rsid w:val="000725B1"/>
    <w:rsid w:val="0007658E"/>
    <w:rsid w:val="0008742F"/>
    <w:rsid w:val="00097E8B"/>
    <w:rsid w:val="000C0301"/>
    <w:rsid w:val="000D337A"/>
    <w:rsid w:val="000E5FA6"/>
    <w:rsid w:val="00111B89"/>
    <w:rsid w:val="0011318E"/>
    <w:rsid w:val="001231D8"/>
    <w:rsid w:val="00185F3E"/>
    <w:rsid w:val="001A6D05"/>
    <w:rsid w:val="001C2913"/>
    <w:rsid w:val="001C5F49"/>
    <w:rsid w:val="001E42A2"/>
    <w:rsid w:val="002200FF"/>
    <w:rsid w:val="00255D14"/>
    <w:rsid w:val="002B617B"/>
    <w:rsid w:val="002C7A5F"/>
    <w:rsid w:val="0031259C"/>
    <w:rsid w:val="00333481"/>
    <w:rsid w:val="0034142C"/>
    <w:rsid w:val="00373781"/>
    <w:rsid w:val="00384F90"/>
    <w:rsid w:val="003C731E"/>
    <w:rsid w:val="003F072C"/>
    <w:rsid w:val="00405D69"/>
    <w:rsid w:val="00421482"/>
    <w:rsid w:val="00425C7A"/>
    <w:rsid w:val="00466422"/>
    <w:rsid w:val="00471FB7"/>
    <w:rsid w:val="004B5A57"/>
    <w:rsid w:val="004C51AF"/>
    <w:rsid w:val="004D4FAE"/>
    <w:rsid w:val="004E54FD"/>
    <w:rsid w:val="004F1068"/>
    <w:rsid w:val="004F7AAE"/>
    <w:rsid w:val="00522661"/>
    <w:rsid w:val="00551654"/>
    <w:rsid w:val="00562993"/>
    <w:rsid w:val="00562C7A"/>
    <w:rsid w:val="005A312E"/>
    <w:rsid w:val="005D3BEB"/>
    <w:rsid w:val="005E490D"/>
    <w:rsid w:val="005F7525"/>
    <w:rsid w:val="0065566D"/>
    <w:rsid w:val="00677003"/>
    <w:rsid w:val="007C6D6A"/>
    <w:rsid w:val="007D20AF"/>
    <w:rsid w:val="007E4480"/>
    <w:rsid w:val="008357EC"/>
    <w:rsid w:val="008465F3"/>
    <w:rsid w:val="008513CF"/>
    <w:rsid w:val="008525F5"/>
    <w:rsid w:val="008608A9"/>
    <w:rsid w:val="008A6741"/>
    <w:rsid w:val="008A78B8"/>
    <w:rsid w:val="008B37FB"/>
    <w:rsid w:val="00913DD5"/>
    <w:rsid w:val="009221D2"/>
    <w:rsid w:val="00932533"/>
    <w:rsid w:val="0096118C"/>
    <w:rsid w:val="00962F72"/>
    <w:rsid w:val="00967FDF"/>
    <w:rsid w:val="00983CF8"/>
    <w:rsid w:val="00984473"/>
    <w:rsid w:val="009844EC"/>
    <w:rsid w:val="009A6545"/>
    <w:rsid w:val="009B0211"/>
    <w:rsid w:val="00A046C8"/>
    <w:rsid w:val="00A1765A"/>
    <w:rsid w:val="00A660A3"/>
    <w:rsid w:val="00A7701B"/>
    <w:rsid w:val="00AA306C"/>
    <w:rsid w:val="00AB75A0"/>
    <w:rsid w:val="00AF0BA0"/>
    <w:rsid w:val="00AF4524"/>
    <w:rsid w:val="00AF56D6"/>
    <w:rsid w:val="00B0355B"/>
    <w:rsid w:val="00B13E33"/>
    <w:rsid w:val="00B2120A"/>
    <w:rsid w:val="00B40C95"/>
    <w:rsid w:val="00B736FB"/>
    <w:rsid w:val="00B751C4"/>
    <w:rsid w:val="00B807FF"/>
    <w:rsid w:val="00B911B6"/>
    <w:rsid w:val="00BB64A8"/>
    <w:rsid w:val="00BD1CE7"/>
    <w:rsid w:val="00BD504A"/>
    <w:rsid w:val="00C078B1"/>
    <w:rsid w:val="00C3727C"/>
    <w:rsid w:val="00C96283"/>
    <w:rsid w:val="00C97E7D"/>
    <w:rsid w:val="00CC077C"/>
    <w:rsid w:val="00CF26E6"/>
    <w:rsid w:val="00CF5A81"/>
    <w:rsid w:val="00D20EFD"/>
    <w:rsid w:val="00D407AD"/>
    <w:rsid w:val="00D516BD"/>
    <w:rsid w:val="00D762AB"/>
    <w:rsid w:val="00D90B3C"/>
    <w:rsid w:val="00DA47F6"/>
    <w:rsid w:val="00DB0F05"/>
    <w:rsid w:val="00DD4B7A"/>
    <w:rsid w:val="00DD6213"/>
    <w:rsid w:val="00E071E1"/>
    <w:rsid w:val="00E21CDB"/>
    <w:rsid w:val="00E36F2B"/>
    <w:rsid w:val="00E975B3"/>
    <w:rsid w:val="00EB07B9"/>
    <w:rsid w:val="00EF318D"/>
    <w:rsid w:val="00F03A6C"/>
    <w:rsid w:val="00F140FB"/>
    <w:rsid w:val="00F202E4"/>
    <w:rsid w:val="00F64881"/>
    <w:rsid w:val="00F764D1"/>
    <w:rsid w:val="00FB01DF"/>
    <w:rsid w:val="00FC034C"/>
    <w:rsid w:val="00FD5A3F"/>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36D415"/>
  <w15:docId w15:val="{56BE6EE4-C3F6-4D7E-A286-6C22A85E5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7A5F"/>
  </w:style>
  <w:style w:type="paragraph" w:styleId="Heading1">
    <w:name w:val="heading 1"/>
    <w:basedOn w:val="Normal"/>
    <w:next w:val="Normal"/>
    <w:link w:val="Heading1Char"/>
    <w:uiPriority w:val="9"/>
    <w:qFormat/>
    <w:rsid w:val="00111B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11B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11B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1B89"/>
    <w:rPr>
      <w:rFonts w:ascii="Times New Roman" w:eastAsia="Times New Roman" w:hAnsi="Times New Roman" w:cs="Times New Roman"/>
      <w:b/>
      <w:bCs/>
      <w:sz w:val="36"/>
      <w:szCs w:val="36"/>
    </w:rPr>
  </w:style>
  <w:style w:type="paragraph" w:styleId="NormalWeb">
    <w:name w:val="Normal (Web)"/>
    <w:basedOn w:val="Normal"/>
    <w:uiPriority w:val="99"/>
    <w:unhideWhenUsed/>
    <w:rsid w:val="00111B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1B89"/>
    <w:rPr>
      <w:b/>
      <w:bCs/>
    </w:rPr>
  </w:style>
  <w:style w:type="character" w:customStyle="1" w:styleId="Heading1Char">
    <w:name w:val="Heading 1 Char"/>
    <w:basedOn w:val="DefaultParagraphFont"/>
    <w:link w:val="Heading1"/>
    <w:uiPriority w:val="9"/>
    <w:rsid w:val="00111B8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111B89"/>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071E1"/>
    <w:rPr>
      <w:color w:val="0000FF"/>
      <w:u w:val="single"/>
    </w:rPr>
  </w:style>
  <w:style w:type="paragraph" w:styleId="Header">
    <w:name w:val="header"/>
    <w:basedOn w:val="Normal"/>
    <w:link w:val="HeaderChar"/>
    <w:uiPriority w:val="99"/>
    <w:unhideWhenUsed/>
    <w:rsid w:val="005E49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90D"/>
  </w:style>
  <w:style w:type="paragraph" w:styleId="Footer">
    <w:name w:val="footer"/>
    <w:basedOn w:val="Normal"/>
    <w:link w:val="FooterChar"/>
    <w:uiPriority w:val="99"/>
    <w:unhideWhenUsed/>
    <w:rsid w:val="005E49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90D"/>
  </w:style>
  <w:style w:type="character" w:styleId="Emphasis">
    <w:name w:val="Emphasis"/>
    <w:basedOn w:val="DefaultParagraphFont"/>
    <w:uiPriority w:val="20"/>
    <w:qFormat/>
    <w:rsid w:val="00D516BD"/>
    <w:rPr>
      <w:i/>
      <w:iCs/>
    </w:rPr>
  </w:style>
  <w:style w:type="paragraph" w:styleId="NoSpacing">
    <w:name w:val="No Spacing"/>
    <w:uiPriority w:val="1"/>
    <w:qFormat/>
    <w:rsid w:val="00255D14"/>
    <w:pPr>
      <w:spacing w:after="0" w:line="240" w:lineRule="auto"/>
    </w:pPr>
    <w:rPr>
      <w:rFonts w:ascii="Calibri" w:eastAsia="Times New Roman" w:hAnsi="Calibri" w:cs="Gautami"/>
      <w:lang w:bidi="ar-SA"/>
    </w:rPr>
  </w:style>
  <w:style w:type="paragraph" w:styleId="BodyText">
    <w:name w:val="Body Text"/>
    <w:basedOn w:val="Normal"/>
    <w:link w:val="BodyTextChar"/>
    <w:uiPriority w:val="99"/>
    <w:unhideWhenUsed/>
    <w:rsid w:val="00255D14"/>
    <w:pPr>
      <w:spacing w:after="120"/>
    </w:pPr>
    <w:rPr>
      <w:rFonts w:ascii="Calibri" w:eastAsia="Times New Roman" w:hAnsi="Calibri" w:cs="Gautami"/>
      <w:lang w:bidi="ar-SA"/>
    </w:rPr>
  </w:style>
  <w:style w:type="character" w:customStyle="1" w:styleId="BodyTextChar">
    <w:name w:val="Body Text Char"/>
    <w:basedOn w:val="DefaultParagraphFont"/>
    <w:link w:val="BodyText"/>
    <w:uiPriority w:val="99"/>
    <w:rsid w:val="00255D14"/>
    <w:rPr>
      <w:rFonts w:ascii="Calibri" w:eastAsia="Times New Roman" w:hAnsi="Calibri" w:cs="Gautami"/>
      <w:lang w:bidi="ar-SA"/>
    </w:rPr>
  </w:style>
  <w:style w:type="paragraph" w:customStyle="1" w:styleId="TableParagraph">
    <w:name w:val="Table Paragraph"/>
    <w:basedOn w:val="Normal"/>
    <w:uiPriority w:val="1"/>
    <w:qFormat/>
    <w:rsid w:val="00255D14"/>
    <w:pPr>
      <w:widowControl w:val="0"/>
      <w:autoSpaceDE w:val="0"/>
      <w:autoSpaceDN w:val="0"/>
      <w:spacing w:before="16" w:after="0" w:line="277" w:lineRule="exact"/>
      <w:jc w:val="center"/>
    </w:pPr>
    <w:rPr>
      <w:rFonts w:ascii="Cambria" w:eastAsia="Cambria" w:hAnsi="Cambria" w:cs="Cambria"/>
      <w:lang w:bidi="ar-SA"/>
    </w:rPr>
  </w:style>
  <w:style w:type="paragraph" w:styleId="BalloonText">
    <w:name w:val="Balloon Text"/>
    <w:basedOn w:val="Normal"/>
    <w:link w:val="BalloonTextChar"/>
    <w:uiPriority w:val="99"/>
    <w:semiHidden/>
    <w:unhideWhenUsed/>
    <w:rsid w:val="00255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D14"/>
    <w:rPr>
      <w:rFonts w:ascii="Tahoma" w:hAnsi="Tahoma" w:cs="Tahoma"/>
      <w:sz w:val="16"/>
      <w:szCs w:val="16"/>
    </w:rPr>
  </w:style>
  <w:style w:type="paragraph" w:styleId="ListParagraph">
    <w:name w:val="List Paragraph"/>
    <w:basedOn w:val="Normal"/>
    <w:uiPriority w:val="1"/>
    <w:qFormat/>
    <w:rsid w:val="00373781"/>
    <w:pPr>
      <w:ind w:left="720"/>
      <w:contextualSpacing/>
    </w:pPr>
    <w:rPr>
      <w:rFonts w:ascii="Calibri" w:eastAsia="Times New Roman" w:hAnsi="Calibri" w:cs="Times New Roman"/>
      <w:lang w:bidi="ar-SA"/>
    </w:rPr>
  </w:style>
  <w:style w:type="paragraph" w:customStyle="1" w:styleId="isselectedend">
    <w:name w:val="isselectedend"/>
    <w:basedOn w:val="Normal"/>
    <w:rsid w:val="0037378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ReferHead">
    <w:name w:val="Refer Head"/>
    <w:basedOn w:val="Normal"/>
    <w:rsid w:val="00373781"/>
    <w:pPr>
      <w:keepNext/>
      <w:spacing w:after="240" w:line="240" w:lineRule="auto"/>
    </w:pPr>
    <w:rPr>
      <w:rFonts w:ascii="Helvetica" w:eastAsia="Times New Roman" w:hAnsi="Helvetica" w:cs="Times New Roman"/>
      <w:b/>
      <w:caps/>
      <w:szCs w:val="20"/>
      <w:lang w:bidi="ar-SA"/>
    </w:rPr>
  </w:style>
  <w:style w:type="table" w:styleId="TableGrid">
    <w:name w:val="Table Grid"/>
    <w:basedOn w:val="TableNormal"/>
    <w:uiPriority w:val="59"/>
    <w:rsid w:val="004664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AF5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6214">
      <w:bodyDiv w:val="1"/>
      <w:marLeft w:val="0"/>
      <w:marRight w:val="0"/>
      <w:marTop w:val="0"/>
      <w:marBottom w:val="0"/>
      <w:divBdr>
        <w:top w:val="none" w:sz="0" w:space="0" w:color="auto"/>
        <w:left w:val="none" w:sz="0" w:space="0" w:color="auto"/>
        <w:bottom w:val="none" w:sz="0" w:space="0" w:color="auto"/>
        <w:right w:val="none" w:sz="0" w:space="0" w:color="auto"/>
      </w:divBdr>
    </w:div>
    <w:div w:id="264464495">
      <w:bodyDiv w:val="1"/>
      <w:marLeft w:val="0"/>
      <w:marRight w:val="0"/>
      <w:marTop w:val="0"/>
      <w:marBottom w:val="0"/>
      <w:divBdr>
        <w:top w:val="none" w:sz="0" w:space="0" w:color="auto"/>
        <w:left w:val="none" w:sz="0" w:space="0" w:color="auto"/>
        <w:bottom w:val="none" w:sz="0" w:space="0" w:color="auto"/>
        <w:right w:val="none" w:sz="0" w:space="0" w:color="auto"/>
      </w:divBdr>
    </w:div>
    <w:div w:id="468861581">
      <w:bodyDiv w:val="1"/>
      <w:marLeft w:val="0"/>
      <w:marRight w:val="0"/>
      <w:marTop w:val="0"/>
      <w:marBottom w:val="0"/>
      <w:divBdr>
        <w:top w:val="none" w:sz="0" w:space="0" w:color="auto"/>
        <w:left w:val="none" w:sz="0" w:space="0" w:color="auto"/>
        <w:bottom w:val="none" w:sz="0" w:space="0" w:color="auto"/>
        <w:right w:val="none" w:sz="0" w:space="0" w:color="auto"/>
      </w:divBdr>
    </w:div>
    <w:div w:id="636226005">
      <w:bodyDiv w:val="1"/>
      <w:marLeft w:val="0"/>
      <w:marRight w:val="0"/>
      <w:marTop w:val="0"/>
      <w:marBottom w:val="0"/>
      <w:divBdr>
        <w:top w:val="none" w:sz="0" w:space="0" w:color="auto"/>
        <w:left w:val="none" w:sz="0" w:space="0" w:color="auto"/>
        <w:bottom w:val="none" w:sz="0" w:space="0" w:color="auto"/>
        <w:right w:val="none" w:sz="0" w:space="0" w:color="auto"/>
      </w:divBdr>
    </w:div>
    <w:div w:id="728000829">
      <w:bodyDiv w:val="1"/>
      <w:marLeft w:val="0"/>
      <w:marRight w:val="0"/>
      <w:marTop w:val="0"/>
      <w:marBottom w:val="0"/>
      <w:divBdr>
        <w:top w:val="none" w:sz="0" w:space="0" w:color="auto"/>
        <w:left w:val="none" w:sz="0" w:space="0" w:color="auto"/>
        <w:bottom w:val="none" w:sz="0" w:space="0" w:color="auto"/>
        <w:right w:val="none" w:sz="0" w:space="0" w:color="auto"/>
      </w:divBdr>
    </w:div>
    <w:div w:id="959801222">
      <w:bodyDiv w:val="1"/>
      <w:marLeft w:val="0"/>
      <w:marRight w:val="0"/>
      <w:marTop w:val="0"/>
      <w:marBottom w:val="0"/>
      <w:divBdr>
        <w:top w:val="none" w:sz="0" w:space="0" w:color="auto"/>
        <w:left w:val="none" w:sz="0" w:space="0" w:color="auto"/>
        <w:bottom w:val="none" w:sz="0" w:space="0" w:color="auto"/>
        <w:right w:val="none" w:sz="0" w:space="0" w:color="auto"/>
      </w:divBdr>
    </w:div>
    <w:div w:id="1687635722">
      <w:bodyDiv w:val="1"/>
      <w:marLeft w:val="0"/>
      <w:marRight w:val="0"/>
      <w:marTop w:val="0"/>
      <w:marBottom w:val="0"/>
      <w:divBdr>
        <w:top w:val="none" w:sz="0" w:space="0" w:color="auto"/>
        <w:left w:val="none" w:sz="0" w:space="0" w:color="auto"/>
        <w:bottom w:val="none" w:sz="0" w:space="0" w:color="auto"/>
        <w:right w:val="none" w:sz="0" w:space="0" w:color="auto"/>
      </w:divBdr>
    </w:div>
    <w:div w:id="1828008136">
      <w:bodyDiv w:val="1"/>
      <w:marLeft w:val="0"/>
      <w:marRight w:val="0"/>
      <w:marTop w:val="0"/>
      <w:marBottom w:val="0"/>
      <w:divBdr>
        <w:top w:val="none" w:sz="0" w:space="0" w:color="auto"/>
        <w:left w:val="none" w:sz="0" w:space="0" w:color="auto"/>
        <w:bottom w:val="none" w:sz="0" w:space="0" w:color="auto"/>
        <w:right w:val="none" w:sz="0" w:space="0" w:color="auto"/>
      </w:divBdr>
    </w:div>
    <w:div w:id="1828130860">
      <w:bodyDiv w:val="1"/>
      <w:marLeft w:val="0"/>
      <w:marRight w:val="0"/>
      <w:marTop w:val="0"/>
      <w:marBottom w:val="0"/>
      <w:divBdr>
        <w:top w:val="none" w:sz="0" w:space="0" w:color="auto"/>
        <w:left w:val="none" w:sz="0" w:space="0" w:color="auto"/>
        <w:bottom w:val="none" w:sz="0" w:space="0" w:color="auto"/>
        <w:right w:val="none" w:sz="0" w:space="0" w:color="auto"/>
      </w:divBdr>
      <w:divsChild>
        <w:div w:id="1633944768">
          <w:blockQuote w:val="1"/>
          <w:marLeft w:val="720"/>
          <w:marRight w:val="720"/>
          <w:marTop w:val="100"/>
          <w:marBottom w:val="100"/>
          <w:divBdr>
            <w:top w:val="none" w:sz="0" w:space="0" w:color="auto"/>
            <w:left w:val="none" w:sz="0" w:space="0" w:color="auto"/>
            <w:bottom w:val="none" w:sz="0" w:space="0" w:color="auto"/>
            <w:right w:val="none" w:sz="0" w:space="0" w:color="auto"/>
          </w:divBdr>
        </w:div>
        <w:div w:id="66080212">
          <w:marLeft w:val="0"/>
          <w:marRight w:val="0"/>
          <w:marTop w:val="0"/>
          <w:marBottom w:val="0"/>
          <w:divBdr>
            <w:top w:val="none" w:sz="0" w:space="0" w:color="auto"/>
            <w:left w:val="none" w:sz="0" w:space="0" w:color="auto"/>
            <w:bottom w:val="none" w:sz="0" w:space="0" w:color="auto"/>
            <w:right w:val="none" w:sz="0" w:space="0" w:color="auto"/>
          </w:divBdr>
          <w:divsChild>
            <w:div w:id="7863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9461/ijitra.v1i1.12"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oi.org/10.1007/978-1-4684-1698-5_1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13</Pages>
  <Words>3640</Words>
  <Characters>20750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SDI 1084</cp:lastModifiedBy>
  <cp:revision>22</cp:revision>
  <dcterms:created xsi:type="dcterms:W3CDTF">2026-02-17T14:53:00Z</dcterms:created>
  <dcterms:modified xsi:type="dcterms:W3CDTF">2026-02-18T10:46:00Z</dcterms:modified>
</cp:coreProperties>
</file>