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A1A5" w14:textId="77777777" w:rsidR="00591434" w:rsidRDefault="00591434" w:rsidP="00A30D21">
      <w:pPr>
        <w:jc w:val="right"/>
        <w:rPr>
          <w:rFonts w:ascii="Calibri" w:hAnsi="Calibri" w:cs="Calibri"/>
          <w:b/>
          <w:sz w:val="24"/>
          <w:szCs w:val="24"/>
        </w:rPr>
      </w:pPr>
      <w:r w:rsidRPr="00591434">
        <w:rPr>
          <w:rFonts w:ascii="Calibri" w:hAnsi="Calibri" w:cs="Calibri"/>
          <w:b/>
          <w:sz w:val="24"/>
          <w:szCs w:val="24"/>
        </w:rPr>
        <w:t>Original Research Article</w:t>
      </w:r>
    </w:p>
    <w:p w14:paraId="3A0E9661" w14:textId="77777777" w:rsidR="00591434" w:rsidRDefault="00591434" w:rsidP="00A30D21">
      <w:pPr>
        <w:jc w:val="right"/>
        <w:rPr>
          <w:rFonts w:ascii="Calibri" w:hAnsi="Calibri" w:cs="Calibri"/>
          <w:b/>
          <w:sz w:val="24"/>
          <w:szCs w:val="24"/>
        </w:rPr>
      </w:pPr>
    </w:p>
    <w:p w14:paraId="3A487169" w14:textId="1B8E3832" w:rsidR="00A30D21" w:rsidRPr="00A30D21" w:rsidRDefault="00A30D21" w:rsidP="00A30D21">
      <w:pPr>
        <w:jc w:val="right"/>
        <w:rPr>
          <w:rFonts w:ascii="Calibri" w:hAnsi="Calibri" w:cs="Calibri"/>
          <w:b/>
          <w:sz w:val="24"/>
          <w:szCs w:val="24"/>
        </w:rPr>
      </w:pPr>
      <w:r w:rsidRPr="00A30D21">
        <w:rPr>
          <w:rFonts w:ascii="Calibri" w:hAnsi="Calibri" w:cs="Calibri"/>
          <w:b/>
          <w:sz w:val="24"/>
          <w:szCs w:val="24"/>
        </w:rPr>
        <w:t>MICROBIOLOGICAL PROFILE OF FUNGI ISOLATED FROM GWAGWALADA RIVER EXPOSED TO KUTUNKU ABATTOIR, ABUJA</w:t>
      </w:r>
    </w:p>
    <w:p w14:paraId="08339D25" w14:textId="77777777" w:rsidR="00A30D21" w:rsidRPr="00A30D21" w:rsidRDefault="00A30D21" w:rsidP="00A30D21">
      <w:pPr>
        <w:jc w:val="right"/>
        <w:rPr>
          <w:rFonts w:ascii="Calibri" w:hAnsi="Calibri" w:cs="Calibri"/>
          <w:sz w:val="24"/>
          <w:szCs w:val="24"/>
        </w:rPr>
      </w:pPr>
    </w:p>
    <w:p w14:paraId="5EF809F7" w14:textId="77777777" w:rsidR="00A30D21" w:rsidRPr="00A30D21" w:rsidRDefault="00A30D21" w:rsidP="00A30D21">
      <w:pPr>
        <w:rPr>
          <w:rFonts w:ascii="Calibri" w:hAnsi="Calibri" w:cs="Calibri"/>
          <w:sz w:val="24"/>
          <w:szCs w:val="24"/>
        </w:rPr>
      </w:pPr>
    </w:p>
    <w:p w14:paraId="6CA330E1" w14:textId="77777777" w:rsidR="00A30D21" w:rsidRPr="00A30D21" w:rsidRDefault="00A30D21" w:rsidP="00A30D21">
      <w:pPr>
        <w:spacing w:line="480" w:lineRule="auto"/>
        <w:jc w:val="both"/>
        <w:rPr>
          <w:rFonts w:ascii="Calibri" w:eastAsia="Calibri" w:hAnsi="Calibri" w:cs="Calibri"/>
          <w:b/>
          <w:sz w:val="24"/>
          <w:szCs w:val="24"/>
        </w:rPr>
      </w:pPr>
      <w:r w:rsidRPr="00A30D21">
        <w:rPr>
          <w:rFonts w:ascii="Calibri" w:eastAsia="Calibri" w:hAnsi="Calibri" w:cs="Calibri"/>
          <w:b/>
          <w:sz w:val="24"/>
          <w:szCs w:val="24"/>
        </w:rPr>
        <w:t>ABSTRACT</w:t>
      </w:r>
    </w:p>
    <w:p w14:paraId="4B971402" w14:textId="77777777" w:rsidR="00A30D21" w:rsidRPr="00A30D21" w:rsidRDefault="00A30D21" w:rsidP="00A30D21">
      <w:pPr>
        <w:jc w:val="both"/>
        <w:rPr>
          <w:rFonts w:ascii="Calibri" w:hAnsi="Calibri" w:cs="Calibri"/>
          <w:sz w:val="24"/>
          <w:szCs w:val="24"/>
        </w:rPr>
      </w:pPr>
      <w:r>
        <w:rPr>
          <w:rFonts w:ascii="Calibri" w:hAnsi="Calibri" w:cs="Calibri"/>
          <w:b/>
          <w:bCs/>
          <w:sz w:val="24"/>
          <w:szCs w:val="24"/>
        </w:rPr>
        <w:t>Aim</w:t>
      </w:r>
      <w:r w:rsidRPr="00A30D21">
        <w:rPr>
          <w:rFonts w:ascii="Calibri" w:hAnsi="Calibri" w:cs="Calibri"/>
          <w:b/>
          <w:bCs/>
          <w:sz w:val="24"/>
          <w:szCs w:val="24"/>
        </w:rPr>
        <w:t>:</w:t>
      </w:r>
      <w:r w:rsidRPr="00A30D21">
        <w:rPr>
          <w:rFonts w:ascii="Calibri" w:hAnsi="Calibri" w:cs="Calibri"/>
          <w:sz w:val="24"/>
          <w:szCs w:val="24"/>
        </w:rPr>
        <w:t xml:space="preserve"> This study assessed the fungal microbiological profile of </w:t>
      </w:r>
      <w:r w:rsidR="007545B6">
        <w:rPr>
          <w:rFonts w:ascii="Calibri" w:hAnsi="Calibri" w:cs="Calibri"/>
          <w:sz w:val="24"/>
          <w:szCs w:val="24"/>
        </w:rPr>
        <w:t xml:space="preserve">the </w:t>
      </w:r>
      <w:r w:rsidRPr="00A30D21">
        <w:rPr>
          <w:rFonts w:ascii="Calibri" w:hAnsi="Calibri" w:cs="Calibri"/>
          <w:sz w:val="24"/>
          <w:szCs w:val="24"/>
        </w:rPr>
        <w:t xml:space="preserve">Gwagwalada River, which is influenced by effluent from </w:t>
      </w:r>
      <w:r w:rsidR="007545B6">
        <w:rPr>
          <w:rFonts w:ascii="Calibri" w:hAnsi="Calibri" w:cs="Calibri"/>
          <w:sz w:val="24"/>
          <w:szCs w:val="24"/>
        </w:rPr>
        <w:t xml:space="preserve">the </w:t>
      </w:r>
      <w:proofErr w:type="spellStart"/>
      <w:r w:rsidRPr="00A30D21">
        <w:rPr>
          <w:rFonts w:ascii="Calibri" w:hAnsi="Calibri" w:cs="Calibri"/>
          <w:sz w:val="24"/>
          <w:szCs w:val="24"/>
        </w:rPr>
        <w:t>Kutunku</w:t>
      </w:r>
      <w:proofErr w:type="spellEnd"/>
      <w:r w:rsidRPr="00A30D21">
        <w:rPr>
          <w:rFonts w:ascii="Calibri" w:hAnsi="Calibri" w:cs="Calibri"/>
          <w:sz w:val="24"/>
          <w:szCs w:val="24"/>
        </w:rPr>
        <w:t xml:space="preserve"> abattoir, Abuja, to evaluate water quality and potential public health risks.</w:t>
      </w:r>
    </w:p>
    <w:p w14:paraId="7DE77CB2" w14:textId="77777777" w:rsidR="00A30D21" w:rsidRPr="00A30D21" w:rsidRDefault="00A30D21" w:rsidP="00A30D21">
      <w:pPr>
        <w:jc w:val="both"/>
        <w:rPr>
          <w:rFonts w:ascii="Calibri" w:hAnsi="Calibri" w:cs="Calibri"/>
          <w:sz w:val="24"/>
          <w:szCs w:val="24"/>
        </w:rPr>
      </w:pPr>
      <w:r w:rsidRPr="00A30D21">
        <w:rPr>
          <w:rFonts w:ascii="Calibri" w:hAnsi="Calibri" w:cs="Calibri"/>
          <w:b/>
          <w:bCs/>
          <w:sz w:val="24"/>
          <w:szCs w:val="24"/>
        </w:rPr>
        <w:t>Methods:</w:t>
      </w:r>
      <w:r w:rsidRPr="00A30D21">
        <w:rPr>
          <w:rFonts w:ascii="Calibri" w:hAnsi="Calibri" w:cs="Calibri"/>
          <w:sz w:val="24"/>
          <w:szCs w:val="24"/>
        </w:rPr>
        <w:t xml:space="preserve"> Water samples were collected from three designated sites (A, B, and C) at a depth of 30 cm</w:t>
      </w:r>
      <w:r>
        <w:rPr>
          <w:rFonts w:ascii="Calibri" w:hAnsi="Calibri" w:cs="Calibri"/>
          <w:sz w:val="24"/>
          <w:szCs w:val="24"/>
        </w:rPr>
        <w:t xml:space="preserve"> from </w:t>
      </w:r>
      <w:r w:rsidR="007545B6">
        <w:rPr>
          <w:rFonts w:ascii="Calibri" w:hAnsi="Calibri" w:cs="Calibri"/>
          <w:sz w:val="24"/>
          <w:szCs w:val="24"/>
        </w:rPr>
        <w:t xml:space="preserve">the </w:t>
      </w:r>
      <w:r>
        <w:rPr>
          <w:rFonts w:ascii="Calibri" w:hAnsi="Calibri" w:cs="Calibri"/>
          <w:sz w:val="24"/>
          <w:szCs w:val="24"/>
        </w:rPr>
        <w:t xml:space="preserve">Gwagwalada river and transported on ice to the Biotechnology Advanced Research Centre of the </w:t>
      </w:r>
      <w:proofErr w:type="spellStart"/>
      <w:r>
        <w:rPr>
          <w:rFonts w:ascii="Calibri" w:hAnsi="Calibri" w:cs="Calibri"/>
          <w:sz w:val="24"/>
          <w:szCs w:val="24"/>
        </w:rPr>
        <w:t>Sheda</w:t>
      </w:r>
      <w:proofErr w:type="spellEnd"/>
      <w:r>
        <w:rPr>
          <w:rFonts w:ascii="Calibri" w:hAnsi="Calibri" w:cs="Calibri"/>
          <w:sz w:val="24"/>
          <w:szCs w:val="24"/>
        </w:rPr>
        <w:t xml:space="preserve"> Science and Technology Complex, Abuja for further analysis</w:t>
      </w:r>
      <w:r w:rsidRPr="00A30D21">
        <w:rPr>
          <w:rFonts w:ascii="Calibri" w:hAnsi="Calibri" w:cs="Calibri"/>
          <w:sz w:val="24"/>
          <w:szCs w:val="24"/>
        </w:rPr>
        <w:t xml:space="preserve">. Fungal isolation was performed using </w:t>
      </w:r>
      <w:proofErr w:type="spellStart"/>
      <w:r w:rsidR="007545B6" w:rsidRPr="00E2260F">
        <w:rPr>
          <w:rFonts w:ascii="Calibri" w:hAnsi="Calibri" w:cs="Calibri"/>
          <w:sz w:val="24"/>
          <w:szCs w:val="24"/>
        </w:rPr>
        <w:t>Sabouraud</w:t>
      </w:r>
      <w:proofErr w:type="spellEnd"/>
      <w:r w:rsidR="007545B6" w:rsidRPr="00A30D21">
        <w:rPr>
          <w:rFonts w:ascii="Calibri" w:hAnsi="Calibri" w:cs="Calibri"/>
          <w:sz w:val="24"/>
          <w:szCs w:val="24"/>
        </w:rPr>
        <w:t xml:space="preserve"> </w:t>
      </w:r>
      <w:r w:rsidRPr="00A30D21">
        <w:rPr>
          <w:rFonts w:ascii="Calibri" w:hAnsi="Calibri" w:cs="Calibri"/>
          <w:sz w:val="24"/>
          <w:szCs w:val="24"/>
        </w:rPr>
        <w:t>Dextrose Agar and Broth</w:t>
      </w:r>
      <w:r>
        <w:rPr>
          <w:rFonts w:ascii="Calibri" w:hAnsi="Calibri" w:cs="Calibri"/>
          <w:sz w:val="24"/>
          <w:szCs w:val="24"/>
        </w:rPr>
        <w:t xml:space="preserve"> supplemented with 0.</w:t>
      </w:r>
      <w:r w:rsidR="00EF23E9">
        <w:rPr>
          <w:rFonts w:ascii="Calibri" w:hAnsi="Calibri" w:cs="Calibri"/>
          <w:sz w:val="24"/>
          <w:szCs w:val="24"/>
        </w:rPr>
        <w:t xml:space="preserve">1g </w:t>
      </w:r>
      <w:r>
        <w:rPr>
          <w:rFonts w:ascii="Calibri" w:hAnsi="Calibri" w:cs="Calibri"/>
          <w:sz w:val="24"/>
          <w:szCs w:val="24"/>
        </w:rPr>
        <w:t>C</w:t>
      </w:r>
      <w:r w:rsidR="00EF23E9">
        <w:rPr>
          <w:rFonts w:ascii="Calibri" w:hAnsi="Calibri" w:cs="Calibri"/>
          <w:sz w:val="24"/>
          <w:szCs w:val="24"/>
        </w:rPr>
        <w:t>hloramphenicol</w:t>
      </w:r>
      <w:r w:rsidRPr="00A30D21">
        <w:rPr>
          <w:rFonts w:ascii="Calibri" w:hAnsi="Calibri" w:cs="Calibri"/>
          <w:sz w:val="24"/>
          <w:szCs w:val="24"/>
        </w:rPr>
        <w:t>. Fungal identification was confirmed via ITS region sequencing. Antifungal susceptibility testing was conducted using standard protocols, and statistical analysis was performed with one-way ANOVA (SPSS v30.0).</w:t>
      </w:r>
    </w:p>
    <w:p w14:paraId="34A7AF0D" w14:textId="77777777" w:rsidR="00A30D21" w:rsidRPr="00A30D21" w:rsidRDefault="00A30D21" w:rsidP="00A30D21">
      <w:pPr>
        <w:jc w:val="both"/>
        <w:rPr>
          <w:rFonts w:ascii="Calibri" w:hAnsi="Calibri" w:cs="Calibri"/>
          <w:sz w:val="24"/>
          <w:szCs w:val="24"/>
        </w:rPr>
      </w:pPr>
      <w:r w:rsidRPr="00A30D21">
        <w:rPr>
          <w:rFonts w:ascii="Calibri" w:hAnsi="Calibri" w:cs="Calibri"/>
          <w:b/>
          <w:bCs/>
          <w:sz w:val="24"/>
          <w:szCs w:val="24"/>
        </w:rPr>
        <w:t>Results:</w:t>
      </w:r>
      <w:r w:rsidRPr="00A30D21">
        <w:rPr>
          <w:rFonts w:ascii="Calibri" w:hAnsi="Calibri" w:cs="Calibri"/>
          <w:sz w:val="24"/>
          <w:szCs w:val="24"/>
        </w:rPr>
        <w:t xml:space="preserve"> Fungal loads at points A, B, and C were 3.5 × 10⁶, 3.9 × 10⁶, and 1.82 × 10⁷ </w:t>
      </w:r>
      <w:r w:rsidR="00345DD8">
        <w:rPr>
          <w:rFonts w:ascii="Calibri" w:hAnsi="Calibri" w:cs="Calibri"/>
          <w:sz w:val="24"/>
          <w:szCs w:val="24"/>
        </w:rPr>
        <w:t>CFU</w:t>
      </w:r>
      <w:r w:rsidRPr="00A30D21">
        <w:rPr>
          <w:rFonts w:ascii="Calibri" w:hAnsi="Calibri" w:cs="Calibri"/>
          <w:sz w:val="24"/>
          <w:szCs w:val="24"/>
        </w:rPr>
        <w:t xml:space="preserve">/mL, respectively, with significant differences observed among sites (p &lt; 0.01). Molecular analysis identified </w:t>
      </w:r>
      <w:r w:rsidRPr="00A30D21">
        <w:rPr>
          <w:rFonts w:ascii="Calibri" w:hAnsi="Calibri" w:cs="Calibri"/>
          <w:i/>
          <w:iCs/>
          <w:sz w:val="24"/>
          <w:szCs w:val="24"/>
        </w:rPr>
        <w:t xml:space="preserve">Fusarium </w:t>
      </w:r>
      <w:proofErr w:type="spellStart"/>
      <w:r w:rsidRPr="00A30D21">
        <w:rPr>
          <w:rFonts w:ascii="Calibri" w:hAnsi="Calibri" w:cs="Calibri"/>
          <w:i/>
          <w:iCs/>
          <w:sz w:val="24"/>
          <w:szCs w:val="24"/>
        </w:rPr>
        <w:t>oxysporum</w:t>
      </w:r>
      <w:proofErr w:type="spellEnd"/>
      <w:r w:rsidRPr="00A30D21">
        <w:rPr>
          <w:rFonts w:ascii="Calibri" w:hAnsi="Calibri" w:cs="Calibri"/>
          <w:sz w:val="24"/>
          <w:szCs w:val="24"/>
        </w:rPr>
        <w:t xml:space="preserve">, </w:t>
      </w:r>
      <w:r w:rsidRPr="00A30D21">
        <w:rPr>
          <w:rFonts w:ascii="Calibri" w:hAnsi="Calibri" w:cs="Calibri"/>
          <w:i/>
          <w:iCs/>
          <w:sz w:val="24"/>
          <w:szCs w:val="24"/>
        </w:rPr>
        <w:t xml:space="preserve">Aspergillus </w:t>
      </w:r>
      <w:proofErr w:type="spellStart"/>
      <w:r w:rsidRPr="00A30D21">
        <w:rPr>
          <w:rFonts w:ascii="Calibri" w:hAnsi="Calibri" w:cs="Calibri"/>
          <w:i/>
          <w:iCs/>
          <w:sz w:val="24"/>
          <w:szCs w:val="24"/>
        </w:rPr>
        <w:t>niger</w:t>
      </w:r>
      <w:proofErr w:type="spellEnd"/>
      <w:r w:rsidRPr="00A30D21">
        <w:rPr>
          <w:rFonts w:ascii="Calibri" w:hAnsi="Calibri" w:cs="Calibri"/>
          <w:sz w:val="24"/>
          <w:szCs w:val="24"/>
        </w:rPr>
        <w:t xml:space="preserve">, and </w:t>
      </w:r>
      <w:r w:rsidRPr="00A30D21">
        <w:rPr>
          <w:rFonts w:ascii="Calibri" w:hAnsi="Calibri" w:cs="Calibri"/>
          <w:i/>
          <w:iCs/>
          <w:sz w:val="24"/>
          <w:szCs w:val="24"/>
        </w:rPr>
        <w:t>Aspergillus flavus</w:t>
      </w:r>
      <w:r w:rsidRPr="00A30D21">
        <w:rPr>
          <w:rFonts w:ascii="Calibri" w:hAnsi="Calibri" w:cs="Calibri"/>
          <w:sz w:val="24"/>
          <w:szCs w:val="24"/>
        </w:rPr>
        <w:t xml:space="preserve"> as dominant species. All isolates exhibited 100% susceptibility to clotrimazole, ketoconazole, and nystatin.</w:t>
      </w:r>
    </w:p>
    <w:p w14:paraId="1FF35F44" w14:textId="77777777" w:rsidR="00A30D21" w:rsidRPr="00A30D21" w:rsidRDefault="00A30D21" w:rsidP="00A30D21">
      <w:pPr>
        <w:jc w:val="both"/>
        <w:rPr>
          <w:rFonts w:ascii="Calibri" w:hAnsi="Calibri" w:cs="Calibri"/>
          <w:sz w:val="24"/>
          <w:szCs w:val="24"/>
        </w:rPr>
      </w:pPr>
      <w:r w:rsidRPr="00A30D21">
        <w:rPr>
          <w:rFonts w:ascii="Calibri" w:hAnsi="Calibri" w:cs="Calibri"/>
          <w:b/>
          <w:bCs/>
          <w:sz w:val="24"/>
          <w:szCs w:val="24"/>
        </w:rPr>
        <w:t>Conclusion:</w:t>
      </w:r>
      <w:r w:rsidRPr="00A30D21">
        <w:rPr>
          <w:rFonts w:ascii="Calibri" w:hAnsi="Calibri" w:cs="Calibri"/>
          <w:sz w:val="24"/>
          <w:szCs w:val="24"/>
        </w:rPr>
        <w:t xml:space="preserve"> The high fungal load and presence of potentially pathogenic species indicate significant water quality deterioration in </w:t>
      </w:r>
      <w:r w:rsidR="00345DD8">
        <w:rPr>
          <w:rFonts w:ascii="Calibri" w:hAnsi="Calibri" w:cs="Calibri"/>
          <w:sz w:val="24"/>
          <w:szCs w:val="24"/>
        </w:rPr>
        <w:t xml:space="preserve">the </w:t>
      </w:r>
      <w:r w:rsidRPr="00A30D21">
        <w:rPr>
          <w:rFonts w:ascii="Calibri" w:hAnsi="Calibri" w:cs="Calibri"/>
          <w:sz w:val="24"/>
          <w:szCs w:val="24"/>
        </w:rPr>
        <w:t>Gwagwalada River, likely associated with abattoir effluent, posing a potential public health risk. Monitoring and mitigation strategies are recommended to safeguard community health.</w:t>
      </w:r>
    </w:p>
    <w:p w14:paraId="569A6980" w14:textId="77777777" w:rsidR="00A30D21" w:rsidRPr="00A30D21" w:rsidRDefault="00A30D21" w:rsidP="00A30D21">
      <w:pPr>
        <w:jc w:val="both"/>
        <w:rPr>
          <w:rFonts w:ascii="Calibri" w:hAnsi="Calibri" w:cs="Calibri"/>
          <w:sz w:val="24"/>
          <w:szCs w:val="24"/>
        </w:rPr>
      </w:pPr>
      <w:r w:rsidRPr="00A30D21">
        <w:rPr>
          <w:rFonts w:ascii="Calibri" w:hAnsi="Calibri" w:cs="Calibri"/>
          <w:b/>
          <w:bCs/>
          <w:sz w:val="24"/>
          <w:szCs w:val="24"/>
        </w:rPr>
        <w:t>Keywords:</w:t>
      </w:r>
      <w:r w:rsidRPr="00A30D21">
        <w:rPr>
          <w:rFonts w:ascii="Calibri" w:hAnsi="Calibri" w:cs="Calibri"/>
          <w:sz w:val="24"/>
          <w:szCs w:val="24"/>
        </w:rPr>
        <w:t xml:space="preserve"> Fungi, River water, Abattoir effluent, ITS sequencing, Antifungal susceptibility, Public health risk</w:t>
      </w:r>
    </w:p>
    <w:p w14:paraId="7CCE3D5F" w14:textId="77777777" w:rsidR="00A30D21" w:rsidRDefault="00A30D21">
      <w:pPr>
        <w:rPr>
          <w:rFonts w:ascii="Calibri" w:hAnsi="Calibri" w:cs="Calibri"/>
          <w:sz w:val="24"/>
          <w:szCs w:val="24"/>
        </w:rPr>
      </w:pPr>
    </w:p>
    <w:p w14:paraId="0F15589B" w14:textId="77777777" w:rsidR="00D43EAD" w:rsidRDefault="00D43EAD" w:rsidP="009A67C0">
      <w:pPr>
        <w:rPr>
          <w:rFonts w:ascii="Calibri" w:hAnsi="Calibri" w:cs="Calibri"/>
          <w:b/>
          <w:bCs/>
          <w:sz w:val="24"/>
          <w:szCs w:val="24"/>
        </w:rPr>
      </w:pPr>
    </w:p>
    <w:p w14:paraId="40F4E5C9" w14:textId="77777777" w:rsidR="009A67C0" w:rsidRPr="009A67C0" w:rsidRDefault="009A67C0" w:rsidP="009A67C0">
      <w:pPr>
        <w:rPr>
          <w:rFonts w:ascii="Calibri" w:hAnsi="Calibri" w:cs="Calibri"/>
          <w:b/>
          <w:bCs/>
          <w:sz w:val="24"/>
          <w:szCs w:val="24"/>
        </w:rPr>
      </w:pPr>
      <w:r w:rsidRPr="009A67C0">
        <w:rPr>
          <w:rFonts w:ascii="Calibri" w:hAnsi="Calibri" w:cs="Calibri"/>
          <w:b/>
          <w:bCs/>
          <w:sz w:val="24"/>
          <w:szCs w:val="24"/>
        </w:rPr>
        <w:t>INTRODUCTION</w:t>
      </w:r>
    </w:p>
    <w:p w14:paraId="0E2021B2"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Safe and clean water is fundamental for human health, agriculture, and ecosystem functioning (Vega </w:t>
      </w:r>
      <w:r w:rsidR="00CA22BB" w:rsidRPr="00CA22BB">
        <w:rPr>
          <w:rFonts w:ascii="Calibri" w:hAnsi="Calibri" w:cs="Calibri"/>
          <w:i/>
          <w:sz w:val="24"/>
          <w:szCs w:val="24"/>
        </w:rPr>
        <w:t>et al</w:t>
      </w:r>
      <w:r w:rsidRPr="00084359">
        <w:rPr>
          <w:rFonts w:ascii="Calibri" w:hAnsi="Calibri" w:cs="Calibri"/>
          <w:sz w:val="24"/>
          <w:szCs w:val="24"/>
        </w:rPr>
        <w:t xml:space="preserve">., 2023). However, water resources are increasingly threatened by population growth, urbanization, and anthropogenic activities, which elevate pollution and reduce water quality worldwide (Vega </w:t>
      </w:r>
      <w:r w:rsidR="00CA22BB" w:rsidRPr="00CA22BB">
        <w:rPr>
          <w:rFonts w:ascii="Calibri" w:hAnsi="Calibri" w:cs="Calibri"/>
          <w:i/>
          <w:sz w:val="24"/>
          <w:szCs w:val="24"/>
        </w:rPr>
        <w:t>et al</w:t>
      </w:r>
      <w:r w:rsidRPr="00084359">
        <w:rPr>
          <w:rFonts w:ascii="Calibri" w:hAnsi="Calibri" w:cs="Calibri"/>
          <w:sz w:val="24"/>
          <w:szCs w:val="24"/>
        </w:rPr>
        <w:t xml:space="preserve">., 2023). Contaminated water and poor sanitation remain major contributors to disease, with waterborne pathogens causing gastrointestinal </w:t>
      </w:r>
      <w:r w:rsidRPr="00084359">
        <w:rPr>
          <w:rFonts w:ascii="Calibri" w:hAnsi="Calibri" w:cs="Calibri"/>
          <w:sz w:val="24"/>
          <w:szCs w:val="24"/>
        </w:rPr>
        <w:lastRenderedPageBreak/>
        <w:t xml:space="preserve">illnesses and other infections, particularly in low- and middle-income countries (Al-Afify </w:t>
      </w:r>
      <w:r w:rsidR="00CA22BB" w:rsidRPr="00CA22BB">
        <w:rPr>
          <w:rFonts w:ascii="Calibri" w:hAnsi="Calibri" w:cs="Calibri"/>
          <w:i/>
          <w:sz w:val="24"/>
          <w:szCs w:val="24"/>
        </w:rPr>
        <w:t>et al</w:t>
      </w:r>
      <w:r w:rsidRPr="00084359">
        <w:rPr>
          <w:rFonts w:ascii="Calibri" w:hAnsi="Calibri" w:cs="Calibri"/>
          <w:sz w:val="24"/>
          <w:szCs w:val="24"/>
        </w:rPr>
        <w:t>., 2023).</w:t>
      </w:r>
    </w:p>
    <w:p w14:paraId="01B95CB2"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Abattoirs generate substantial volumes of effluent containing organic matter, blood, fats, and microbial contaminants. When discharged untreated into rivers, these effluents can alter physicochemical properties and elevate microbial loads, posing ecological and public health risks (</w:t>
      </w:r>
      <w:r w:rsidR="00345DD8" w:rsidRPr="00084359">
        <w:rPr>
          <w:rFonts w:ascii="Calibri" w:hAnsi="Calibri" w:cs="Calibri"/>
          <w:sz w:val="24"/>
          <w:szCs w:val="24"/>
        </w:rPr>
        <w:t xml:space="preserve">Ndukwe </w:t>
      </w:r>
      <w:r w:rsidR="00345DD8" w:rsidRPr="00CA22BB">
        <w:rPr>
          <w:rFonts w:ascii="Calibri" w:hAnsi="Calibri" w:cs="Calibri"/>
          <w:i/>
          <w:sz w:val="24"/>
          <w:szCs w:val="24"/>
        </w:rPr>
        <w:t>et al</w:t>
      </w:r>
      <w:r w:rsidR="00345DD8" w:rsidRPr="00084359">
        <w:rPr>
          <w:rFonts w:ascii="Calibri" w:hAnsi="Calibri" w:cs="Calibri"/>
          <w:sz w:val="24"/>
          <w:szCs w:val="24"/>
        </w:rPr>
        <w:t>., 2023</w:t>
      </w:r>
      <w:r w:rsidR="00345DD8">
        <w:rPr>
          <w:rFonts w:ascii="Calibri" w:hAnsi="Calibri" w:cs="Calibri"/>
          <w:sz w:val="24"/>
          <w:szCs w:val="24"/>
        </w:rPr>
        <w:t xml:space="preserve">; </w:t>
      </w:r>
      <w:r w:rsidRPr="00084359">
        <w:rPr>
          <w:rFonts w:ascii="Calibri" w:hAnsi="Calibri" w:cs="Calibri"/>
          <w:sz w:val="24"/>
          <w:szCs w:val="24"/>
        </w:rPr>
        <w:t>Bakare</w:t>
      </w:r>
      <w:r w:rsidRPr="00084359">
        <w:rPr>
          <w:rFonts w:ascii="Calibri" w:hAnsi="Calibri" w:cs="Calibri"/>
          <w:sz w:val="24"/>
          <w:szCs w:val="24"/>
        </w:rPr>
        <w:noBreakHyphen/>
      </w:r>
      <w:proofErr w:type="spellStart"/>
      <w:r w:rsidRPr="00084359">
        <w:rPr>
          <w:rFonts w:ascii="Calibri" w:hAnsi="Calibri" w:cs="Calibri"/>
          <w:sz w:val="24"/>
          <w:szCs w:val="24"/>
        </w:rPr>
        <w:t>Abidola</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 Several studies have documented increased nutrient loads, elevated biochemical oxygen demand, and microbial proliferation, including fungi, in water bodies receiving abattoir waste (</w:t>
      </w:r>
      <w:r w:rsidR="00345DD8" w:rsidRPr="00084359">
        <w:rPr>
          <w:rFonts w:ascii="Calibri" w:hAnsi="Calibri" w:cs="Calibri"/>
          <w:sz w:val="24"/>
          <w:szCs w:val="24"/>
        </w:rPr>
        <w:t xml:space="preserve">Ndukwe </w:t>
      </w:r>
      <w:r w:rsidR="00345DD8" w:rsidRPr="00CA22BB">
        <w:rPr>
          <w:rFonts w:ascii="Calibri" w:hAnsi="Calibri" w:cs="Calibri"/>
          <w:i/>
          <w:sz w:val="24"/>
          <w:szCs w:val="24"/>
        </w:rPr>
        <w:t>et al</w:t>
      </w:r>
      <w:r w:rsidR="00345DD8" w:rsidRPr="00084359">
        <w:rPr>
          <w:rFonts w:ascii="Calibri" w:hAnsi="Calibri" w:cs="Calibri"/>
          <w:sz w:val="24"/>
          <w:szCs w:val="24"/>
        </w:rPr>
        <w:t>., 2023</w:t>
      </w:r>
      <w:r w:rsidR="00345DD8">
        <w:rPr>
          <w:rFonts w:ascii="Calibri" w:hAnsi="Calibri" w:cs="Calibri"/>
          <w:sz w:val="24"/>
          <w:szCs w:val="24"/>
        </w:rPr>
        <w:t xml:space="preserve">; </w:t>
      </w:r>
      <w:r w:rsidRPr="00084359">
        <w:rPr>
          <w:rFonts w:ascii="Calibri" w:hAnsi="Calibri" w:cs="Calibri"/>
          <w:sz w:val="24"/>
          <w:szCs w:val="24"/>
        </w:rPr>
        <w:t>Bakare</w:t>
      </w:r>
      <w:r w:rsidRPr="00084359">
        <w:rPr>
          <w:rFonts w:ascii="Calibri" w:hAnsi="Calibri" w:cs="Calibri"/>
          <w:sz w:val="24"/>
          <w:szCs w:val="24"/>
        </w:rPr>
        <w:noBreakHyphen/>
      </w:r>
      <w:proofErr w:type="spellStart"/>
      <w:r w:rsidRPr="00084359">
        <w:rPr>
          <w:rFonts w:ascii="Calibri" w:hAnsi="Calibri" w:cs="Calibri"/>
          <w:sz w:val="24"/>
          <w:szCs w:val="24"/>
        </w:rPr>
        <w:t>Abidola</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w:t>
      </w:r>
    </w:p>
    <w:p w14:paraId="3F25C087"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Fungi are ubiquitous eukaryotes found in soil, water, air, and living organisms. In aquatic environments, fungi contribute to nutrient cycling and organic matter decomposition, but their presence can also indicate contamination and potential health hazards when pathogenic or toxigenic species are present (Weldon, 2025). Filamentous fungi such as </w:t>
      </w:r>
      <w:r w:rsidRPr="00084359">
        <w:rPr>
          <w:rFonts w:ascii="Calibri" w:hAnsi="Calibri" w:cs="Calibri"/>
          <w:i/>
          <w:iCs/>
          <w:sz w:val="24"/>
          <w:szCs w:val="24"/>
        </w:rPr>
        <w:t>Aspergillus</w:t>
      </w:r>
      <w:r w:rsidRPr="00084359">
        <w:rPr>
          <w:rFonts w:ascii="Calibri" w:hAnsi="Calibri" w:cs="Calibri"/>
          <w:sz w:val="24"/>
          <w:szCs w:val="24"/>
        </w:rPr>
        <w:t xml:space="preserve">, </w:t>
      </w:r>
      <w:r w:rsidRPr="00084359">
        <w:rPr>
          <w:rFonts w:ascii="Calibri" w:hAnsi="Calibri" w:cs="Calibri"/>
          <w:i/>
          <w:iCs/>
          <w:sz w:val="24"/>
          <w:szCs w:val="24"/>
        </w:rPr>
        <w:t>Fusarium</w:t>
      </w:r>
      <w:r w:rsidRPr="00084359">
        <w:rPr>
          <w:rFonts w:ascii="Calibri" w:hAnsi="Calibri" w:cs="Calibri"/>
          <w:sz w:val="24"/>
          <w:szCs w:val="24"/>
        </w:rPr>
        <w:t xml:space="preserve">, and </w:t>
      </w:r>
      <w:r w:rsidRPr="00084359">
        <w:rPr>
          <w:rFonts w:ascii="Calibri" w:hAnsi="Calibri" w:cs="Calibri"/>
          <w:i/>
          <w:iCs/>
          <w:sz w:val="24"/>
          <w:szCs w:val="24"/>
        </w:rPr>
        <w:t>Penicillium</w:t>
      </w:r>
      <w:r w:rsidRPr="00084359">
        <w:rPr>
          <w:rFonts w:ascii="Calibri" w:hAnsi="Calibri" w:cs="Calibri"/>
          <w:sz w:val="24"/>
          <w:szCs w:val="24"/>
        </w:rPr>
        <w:t xml:space="preserve"> have been isolated from surface and drinking water, with some species capable of producing mycotoxins harmful to humans and animals (Hussain </w:t>
      </w:r>
      <w:r w:rsidR="00CA22BB" w:rsidRPr="00CA22BB">
        <w:rPr>
          <w:rFonts w:ascii="Calibri" w:hAnsi="Calibri" w:cs="Calibri"/>
          <w:i/>
          <w:sz w:val="24"/>
          <w:szCs w:val="24"/>
        </w:rPr>
        <w:t>et al</w:t>
      </w:r>
      <w:r w:rsidRPr="00084359">
        <w:rPr>
          <w:rFonts w:ascii="Calibri" w:hAnsi="Calibri" w:cs="Calibri"/>
          <w:sz w:val="24"/>
          <w:szCs w:val="24"/>
        </w:rPr>
        <w:t xml:space="preserve">., 2024; Buitrago-Zuluaga </w:t>
      </w:r>
      <w:r w:rsidR="00CA22BB" w:rsidRPr="00CA22BB">
        <w:rPr>
          <w:rFonts w:ascii="Calibri" w:hAnsi="Calibri" w:cs="Calibri"/>
          <w:i/>
          <w:sz w:val="24"/>
          <w:szCs w:val="24"/>
        </w:rPr>
        <w:t>et al</w:t>
      </w:r>
      <w:r w:rsidRPr="00084359">
        <w:rPr>
          <w:rFonts w:ascii="Calibri" w:hAnsi="Calibri" w:cs="Calibri"/>
          <w:sz w:val="24"/>
          <w:szCs w:val="24"/>
        </w:rPr>
        <w:t>., 2025). Recent evidence also highlights the occurrence of multidrug-resistant fungal species in surface waters, emphasizing the importance of antifungal susceptibility monitoring for water safety (</w:t>
      </w:r>
      <w:proofErr w:type="spellStart"/>
      <w:r w:rsidRPr="00084359">
        <w:rPr>
          <w:rFonts w:ascii="Calibri" w:hAnsi="Calibri" w:cs="Calibri"/>
          <w:sz w:val="24"/>
          <w:szCs w:val="24"/>
        </w:rPr>
        <w:t>Titilawo</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w:t>
      </w:r>
    </w:p>
    <w:p w14:paraId="2657C6CD"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Anthropogenic activities, including wastewater discharge, agricultural runoff, and organic waste inputs, significantly influence fungal contamination in aquatic systems (Ramadan &amp; Harb, 2025). Such contamination can alter microbial community composition, reduce overall water quality, and present potential health risks, underscoring the need for systematic monitoring and molecular identification of fungi (</w:t>
      </w:r>
      <w:proofErr w:type="spellStart"/>
      <w:r w:rsidRPr="00084359">
        <w:rPr>
          <w:rFonts w:ascii="Calibri" w:hAnsi="Calibri" w:cs="Calibri"/>
          <w:sz w:val="24"/>
          <w:szCs w:val="24"/>
        </w:rPr>
        <w:t>Nkenna</w:t>
      </w:r>
      <w:proofErr w:type="spellEnd"/>
      <w:r w:rsidRPr="00084359">
        <w:rPr>
          <w:rFonts w:ascii="Calibri" w:hAnsi="Calibri" w:cs="Calibri"/>
          <w:sz w:val="24"/>
          <w:szCs w:val="24"/>
        </w:rPr>
        <w:t xml:space="preserve">, 2023; </w:t>
      </w:r>
      <w:proofErr w:type="spellStart"/>
      <w:r w:rsidRPr="00084359">
        <w:rPr>
          <w:rFonts w:ascii="Calibri" w:hAnsi="Calibri" w:cs="Calibri"/>
          <w:sz w:val="24"/>
          <w:szCs w:val="24"/>
        </w:rPr>
        <w:t>Nwogwugwu</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2024</w:t>
      </w:r>
      <w:r w:rsidR="00345DD8">
        <w:rPr>
          <w:rFonts w:ascii="Calibri" w:hAnsi="Calibri" w:cs="Calibri"/>
          <w:sz w:val="24"/>
          <w:szCs w:val="24"/>
        </w:rPr>
        <w:t>; Ramadan &amp; Harb, 2025</w:t>
      </w:r>
      <w:r w:rsidRPr="00084359">
        <w:rPr>
          <w:rFonts w:ascii="Calibri" w:hAnsi="Calibri" w:cs="Calibri"/>
          <w:sz w:val="24"/>
          <w:szCs w:val="24"/>
        </w:rPr>
        <w:t>). In Nigeria, studies have reported filamentous fungi and resistant strains in wells and surface water used for domestic purposes, raising public health concerns (</w:t>
      </w:r>
      <w:proofErr w:type="spellStart"/>
      <w:r w:rsidRPr="00084359">
        <w:rPr>
          <w:rFonts w:ascii="Calibri" w:hAnsi="Calibri" w:cs="Calibri"/>
          <w:sz w:val="24"/>
          <w:szCs w:val="24"/>
        </w:rPr>
        <w:t>Nkenna</w:t>
      </w:r>
      <w:proofErr w:type="spellEnd"/>
      <w:r w:rsidRPr="00084359">
        <w:rPr>
          <w:rFonts w:ascii="Calibri" w:hAnsi="Calibri" w:cs="Calibri"/>
          <w:sz w:val="24"/>
          <w:szCs w:val="24"/>
        </w:rPr>
        <w:t xml:space="preserve">, 2023; </w:t>
      </w:r>
      <w:proofErr w:type="spellStart"/>
      <w:r w:rsidRPr="00084359">
        <w:rPr>
          <w:rFonts w:ascii="Calibri" w:hAnsi="Calibri" w:cs="Calibri"/>
          <w:sz w:val="24"/>
          <w:szCs w:val="24"/>
        </w:rPr>
        <w:t>Nwogwugwu</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2024).</w:t>
      </w:r>
    </w:p>
    <w:p w14:paraId="10726318"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Despite these findings, data on fungal contamination in rivers affected by abattoir effluents in the region remain scarce. This study aimed to assess the microbiological profile of fungi in </w:t>
      </w:r>
      <w:r>
        <w:rPr>
          <w:rFonts w:ascii="Calibri" w:hAnsi="Calibri" w:cs="Calibri"/>
          <w:sz w:val="24"/>
          <w:szCs w:val="24"/>
        </w:rPr>
        <w:t xml:space="preserve">the </w:t>
      </w:r>
      <w:r w:rsidRPr="00084359">
        <w:rPr>
          <w:rFonts w:ascii="Calibri" w:hAnsi="Calibri" w:cs="Calibri"/>
          <w:sz w:val="24"/>
          <w:szCs w:val="24"/>
        </w:rPr>
        <w:t xml:space="preserve">Gwagwalada River exposed to </w:t>
      </w:r>
      <w:proofErr w:type="spellStart"/>
      <w:r w:rsidRPr="00084359">
        <w:rPr>
          <w:rFonts w:ascii="Calibri" w:hAnsi="Calibri" w:cs="Calibri"/>
          <w:sz w:val="24"/>
          <w:szCs w:val="24"/>
        </w:rPr>
        <w:t>Kutunku</w:t>
      </w:r>
      <w:proofErr w:type="spellEnd"/>
      <w:r w:rsidRPr="00084359">
        <w:rPr>
          <w:rFonts w:ascii="Calibri" w:hAnsi="Calibri" w:cs="Calibri"/>
          <w:sz w:val="24"/>
          <w:szCs w:val="24"/>
        </w:rPr>
        <w:t xml:space="preserve"> abattoir effluent in Abuja, Nigeria. Specifically, it evaluates fungal prevalence, species diversity, and antifungal susceptibility to better understand </w:t>
      </w:r>
      <w:r>
        <w:rPr>
          <w:rFonts w:ascii="Calibri" w:hAnsi="Calibri" w:cs="Calibri"/>
          <w:sz w:val="24"/>
          <w:szCs w:val="24"/>
        </w:rPr>
        <w:t>water-quality deterioration and the potential public-health</w:t>
      </w:r>
      <w:r w:rsidRPr="00084359">
        <w:rPr>
          <w:rFonts w:ascii="Calibri" w:hAnsi="Calibri" w:cs="Calibri"/>
          <w:sz w:val="24"/>
          <w:szCs w:val="24"/>
        </w:rPr>
        <w:t xml:space="preserve"> risks associated with abattoir pollution.</w:t>
      </w:r>
    </w:p>
    <w:p w14:paraId="0F50412D" w14:textId="77777777" w:rsidR="00E2260F" w:rsidRPr="00E2260F" w:rsidRDefault="00E2260F" w:rsidP="00E2260F">
      <w:pPr>
        <w:rPr>
          <w:rFonts w:ascii="Calibri" w:hAnsi="Calibri" w:cs="Calibri"/>
          <w:b/>
          <w:bCs/>
          <w:sz w:val="24"/>
          <w:szCs w:val="24"/>
        </w:rPr>
      </w:pPr>
      <w:r w:rsidRPr="00E2260F">
        <w:rPr>
          <w:rFonts w:ascii="Calibri" w:hAnsi="Calibri" w:cs="Calibri"/>
          <w:b/>
          <w:bCs/>
          <w:sz w:val="24"/>
          <w:szCs w:val="24"/>
        </w:rPr>
        <w:t>MATERIALS AND METHODS</w:t>
      </w:r>
    </w:p>
    <w:p w14:paraId="14E10A55" w14:textId="77777777" w:rsidR="00E2260F" w:rsidRPr="00E2260F" w:rsidRDefault="00E2260F" w:rsidP="00E2260F">
      <w:pPr>
        <w:rPr>
          <w:rFonts w:ascii="Calibri" w:hAnsi="Calibri" w:cs="Calibri"/>
          <w:b/>
          <w:bCs/>
          <w:sz w:val="24"/>
          <w:szCs w:val="24"/>
        </w:rPr>
      </w:pPr>
      <w:r w:rsidRPr="00E2260F">
        <w:rPr>
          <w:rFonts w:ascii="Calibri" w:hAnsi="Calibri" w:cs="Calibri"/>
          <w:b/>
          <w:bCs/>
          <w:sz w:val="24"/>
          <w:szCs w:val="24"/>
        </w:rPr>
        <w:t>Study Area</w:t>
      </w:r>
    </w:p>
    <w:p w14:paraId="18560E16"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This study was conducted around Gwagwalada town, Gwagwalada Area Council, Federal Capital Territory (FCT), Nigeria. Water samples were collected from a river receiving effluents from the Gwagwalada abattoir. Gwagwalada is located between longitudes 7°5’</w:t>
      </w:r>
      <w:proofErr w:type="gramStart"/>
      <w:r w:rsidRPr="00E2260F">
        <w:rPr>
          <w:rFonts w:ascii="Calibri" w:hAnsi="Calibri" w:cs="Calibri"/>
          <w:sz w:val="24"/>
          <w:szCs w:val="24"/>
        </w:rPr>
        <w:t>15”E</w:t>
      </w:r>
      <w:proofErr w:type="gramEnd"/>
      <w:r w:rsidRPr="00E2260F">
        <w:rPr>
          <w:rFonts w:ascii="Calibri" w:hAnsi="Calibri" w:cs="Calibri"/>
          <w:sz w:val="24"/>
          <w:szCs w:val="24"/>
        </w:rPr>
        <w:t xml:space="preserve"> and </w:t>
      </w:r>
      <w:r w:rsidRPr="00E2260F">
        <w:rPr>
          <w:rFonts w:ascii="Calibri" w:hAnsi="Calibri" w:cs="Calibri"/>
          <w:sz w:val="24"/>
          <w:szCs w:val="24"/>
        </w:rPr>
        <w:lastRenderedPageBreak/>
        <w:t xml:space="preserve">7°8’45”E and latitudes 8°57’45”N and 9°00’00”N, covering an area of 1,744 km² (Priscillia </w:t>
      </w:r>
      <w:r w:rsidR="00CA22BB" w:rsidRPr="00CA22BB">
        <w:rPr>
          <w:rFonts w:ascii="Calibri" w:hAnsi="Calibri" w:cs="Calibri"/>
          <w:i/>
          <w:sz w:val="24"/>
          <w:szCs w:val="24"/>
        </w:rPr>
        <w:t>et al</w:t>
      </w:r>
      <w:r w:rsidRPr="00E2260F">
        <w:rPr>
          <w:rFonts w:ascii="Calibri" w:hAnsi="Calibri" w:cs="Calibri"/>
          <w:sz w:val="24"/>
          <w:szCs w:val="24"/>
        </w:rPr>
        <w:t>., 2021).</w:t>
      </w:r>
    </w:p>
    <w:p w14:paraId="3867261A" w14:textId="77777777" w:rsidR="00E2260F" w:rsidRPr="00E2260F" w:rsidRDefault="00E2260F" w:rsidP="005E6E8E">
      <w:pPr>
        <w:spacing w:line="276" w:lineRule="auto"/>
        <w:jc w:val="both"/>
        <w:rPr>
          <w:rFonts w:ascii="Calibri" w:hAnsi="Calibri" w:cs="Calibri"/>
          <w:sz w:val="24"/>
          <w:szCs w:val="24"/>
        </w:rPr>
      </w:pPr>
    </w:p>
    <w:p w14:paraId="682D918E"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Study Design</w:t>
      </w:r>
    </w:p>
    <w:p w14:paraId="3735D3D2"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A cross-sectional study employing systematic random sampling was used, adapted from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and </w:t>
      </w:r>
      <w:proofErr w:type="spellStart"/>
      <w:r w:rsidRPr="00E2260F">
        <w:rPr>
          <w:rFonts w:ascii="Calibri" w:hAnsi="Calibri" w:cs="Calibri"/>
          <w:sz w:val="24"/>
          <w:szCs w:val="24"/>
        </w:rPr>
        <w:t>Anyim</w:t>
      </w:r>
      <w:proofErr w:type="spellEnd"/>
      <w:r w:rsidRPr="00E2260F">
        <w:rPr>
          <w:rFonts w:ascii="Calibri" w:hAnsi="Calibri" w:cs="Calibri"/>
          <w:sz w:val="24"/>
          <w:szCs w:val="24"/>
        </w:rPr>
        <w:t xml:space="preserve"> (2023) with slight modifications. Water samples were collected from three sites along the river flow:</w:t>
      </w:r>
    </w:p>
    <w:p w14:paraId="270BF3F6"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A:</w:t>
      </w:r>
      <w:r w:rsidRPr="00E2260F">
        <w:rPr>
          <w:rFonts w:ascii="Calibri" w:hAnsi="Calibri" w:cs="Calibri"/>
          <w:sz w:val="24"/>
          <w:szCs w:val="24"/>
        </w:rPr>
        <w:t xml:space="preserve"> Upstream above the abattoir effluent discharge</w:t>
      </w:r>
    </w:p>
    <w:p w14:paraId="109AE196"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B:</w:t>
      </w:r>
      <w:r w:rsidRPr="00E2260F">
        <w:rPr>
          <w:rFonts w:ascii="Calibri" w:hAnsi="Calibri" w:cs="Calibri"/>
          <w:sz w:val="24"/>
          <w:szCs w:val="24"/>
        </w:rPr>
        <w:t xml:space="preserve"> Effluent discharge point</w:t>
      </w:r>
    </w:p>
    <w:p w14:paraId="20CCFA55"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C:</w:t>
      </w:r>
      <w:r w:rsidRPr="00E2260F">
        <w:rPr>
          <w:rFonts w:ascii="Calibri" w:hAnsi="Calibri" w:cs="Calibri"/>
          <w:sz w:val="24"/>
          <w:szCs w:val="24"/>
        </w:rPr>
        <w:t xml:space="preserve"> Downstream of point B</w:t>
      </w:r>
    </w:p>
    <w:p w14:paraId="72AC4340"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Sampling points were approximately 100 meters apart. Two samples were collected per site, ensuring that each portion of the study population had an equal and independent chance of contributing to the fungal isolates.</w:t>
      </w:r>
    </w:p>
    <w:p w14:paraId="559CED2D" w14:textId="77777777" w:rsidR="00E2260F" w:rsidRPr="00E2260F" w:rsidRDefault="00E2260F" w:rsidP="005E6E8E">
      <w:pPr>
        <w:spacing w:line="276" w:lineRule="auto"/>
        <w:jc w:val="both"/>
        <w:rPr>
          <w:rFonts w:ascii="Calibri" w:hAnsi="Calibri" w:cs="Calibri"/>
          <w:sz w:val="24"/>
          <w:szCs w:val="24"/>
        </w:rPr>
      </w:pPr>
    </w:p>
    <w:p w14:paraId="0043CC2A"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Sample Collection</w:t>
      </w:r>
    </w:p>
    <w:p w14:paraId="43FC218D"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Water samples were aseptically collected at approximately 30 cm below the surface into sterile bijou bottles, following Seng </w:t>
      </w:r>
      <w:r w:rsidR="00CA22BB" w:rsidRPr="00CA22BB">
        <w:rPr>
          <w:rFonts w:ascii="Calibri" w:hAnsi="Calibri" w:cs="Calibri"/>
          <w:i/>
          <w:sz w:val="24"/>
          <w:szCs w:val="24"/>
        </w:rPr>
        <w:t>et al</w:t>
      </w:r>
      <w:r w:rsidRPr="00E2260F">
        <w:rPr>
          <w:rFonts w:ascii="Calibri" w:hAnsi="Calibri" w:cs="Calibri"/>
          <w:sz w:val="24"/>
          <w:szCs w:val="24"/>
        </w:rPr>
        <w:t xml:space="preserve">. (2018). Samples were labelled, transported in dark-cold containers, and analyzed at the Biotechnology Advanced Research Centre, </w:t>
      </w:r>
      <w:proofErr w:type="spellStart"/>
      <w:r w:rsidRPr="00E2260F">
        <w:rPr>
          <w:rFonts w:ascii="Calibri" w:hAnsi="Calibri" w:cs="Calibri"/>
          <w:sz w:val="24"/>
          <w:szCs w:val="24"/>
        </w:rPr>
        <w:t>Sheda</w:t>
      </w:r>
      <w:proofErr w:type="spellEnd"/>
      <w:r w:rsidRPr="00E2260F">
        <w:rPr>
          <w:rFonts w:ascii="Calibri" w:hAnsi="Calibri" w:cs="Calibri"/>
          <w:sz w:val="24"/>
          <w:szCs w:val="24"/>
        </w:rPr>
        <w:t xml:space="preserve"> Science and Technology Complex (SHESTCO), Kwali, FCT.</w:t>
      </w:r>
    </w:p>
    <w:p w14:paraId="3AA00434" w14:textId="77777777" w:rsidR="00E2260F" w:rsidRPr="00E2260F" w:rsidRDefault="00E2260F" w:rsidP="005E6E8E">
      <w:pPr>
        <w:spacing w:line="276" w:lineRule="auto"/>
        <w:jc w:val="both"/>
        <w:rPr>
          <w:rFonts w:ascii="Calibri" w:hAnsi="Calibri" w:cs="Calibri"/>
          <w:sz w:val="24"/>
          <w:szCs w:val="24"/>
        </w:rPr>
      </w:pPr>
    </w:p>
    <w:p w14:paraId="27CE08EC"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Sterilization and Media Preparation</w:t>
      </w:r>
    </w:p>
    <w:p w14:paraId="26390AE5"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Glassware and bottles were sterilized in an autoclave at 121°C for 15 minutes. Inoculating loops were flame-sterilized, and work surfaces </w:t>
      </w:r>
      <w:r w:rsidR="00345DD8">
        <w:rPr>
          <w:rFonts w:ascii="Calibri" w:hAnsi="Calibri" w:cs="Calibri"/>
          <w:sz w:val="24"/>
          <w:szCs w:val="24"/>
        </w:rPr>
        <w:t xml:space="preserve">were </w:t>
      </w:r>
      <w:r w:rsidRPr="00E2260F">
        <w:rPr>
          <w:rFonts w:ascii="Calibri" w:hAnsi="Calibri" w:cs="Calibri"/>
          <w:sz w:val="24"/>
          <w:szCs w:val="24"/>
        </w:rPr>
        <w:t xml:space="preserve">disinfected with 70% ethanol. </w:t>
      </w:r>
      <w:proofErr w:type="spellStart"/>
      <w:r w:rsidRPr="00E2260F">
        <w:rPr>
          <w:rFonts w:ascii="Calibri" w:hAnsi="Calibri" w:cs="Calibri"/>
          <w:sz w:val="24"/>
          <w:szCs w:val="24"/>
        </w:rPr>
        <w:t>Sabouraud</w:t>
      </w:r>
      <w:proofErr w:type="spellEnd"/>
      <w:r w:rsidRPr="00E2260F">
        <w:rPr>
          <w:rFonts w:ascii="Calibri" w:hAnsi="Calibri" w:cs="Calibri"/>
          <w:sz w:val="24"/>
          <w:szCs w:val="24"/>
        </w:rPr>
        <w:t xml:space="preserve"> Dextrose Agar (SDA) was prepared according to the manufacturer’s instructions and supplemented with 0.1 g chloramphenicol to suppress bacterial growth (Abana </w:t>
      </w:r>
      <w:r w:rsidR="00CA22BB" w:rsidRPr="00CA22BB">
        <w:rPr>
          <w:rFonts w:ascii="Calibri" w:hAnsi="Calibri" w:cs="Calibri"/>
          <w:i/>
          <w:sz w:val="24"/>
          <w:szCs w:val="24"/>
        </w:rPr>
        <w:t>et al</w:t>
      </w:r>
      <w:r w:rsidRPr="00E2260F">
        <w:rPr>
          <w:rFonts w:ascii="Calibri" w:hAnsi="Calibri" w:cs="Calibri"/>
          <w:sz w:val="24"/>
          <w:szCs w:val="24"/>
        </w:rPr>
        <w:t>., 2024). Media were autoclaved at 121°C for 15 minutes, cooled to 45–50°</w:t>
      </w:r>
      <w:r w:rsidR="00345DD8">
        <w:rPr>
          <w:rFonts w:ascii="Calibri" w:hAnsi="Calibri" w:cs="Calibri"/>
          <w:sz w:val="24"/>
          <w:szCs w:val="24"/>
        </w:rPr>
        <w:t>C, poured into sterile plates (</w:t>
      </w:r>
      <w:r w:rsidRPr="00E2260F">
        <w:rPr>
          <w:rFonts w:ascii="Calibri" w:hAnsi="Calibri" w:cs="Calibri"/>
          <w:sz w:val="24"/>
          <w:szCs w:val="24"/>
        </w:rPr>
        <w:t>4 mm depth), swirled gently, and allowed to solidify before use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&amp; </w:t>
      </w:r>
      <w:proofErr w:type="spellStart"/>
      <w:r w:rsidRPr="00E2260F">
        <w:rPr>
          <w:rFonts w:ascii="Calibri" w:hAnsi="Calibri" w:cs="Calibri"/>
          <w:sz w:val="24"/>
          <w:szCs w:val="24"/>
        </w:rPr>
        <w:t>Anyim</w:t>
      </w:r>
      <w:proofErr w:type="spellEnd"/>
      <w:r w:rsidRPr="00E2260F">
        <w:rPr>
          <w:rFonts w:ascii="Calibri" w:hAnsi="Calibri" w:cs="Calibri"/>
          <w:sz w:val="24"/>
          <w:szCs w:val="24"/>
        </w:rPr>
        <w:t>, 2023).</w:t>
      </w:r>
    </w:p>
    <w:p w14:paraId="7563BFC4" w14:textId="77777777" w:rsidR="00E2260F" w:rsidRPr="00E2260F" w:rsidRDefault="00E2260F" w:rsidP="005E6E8E">
      <w:pPr>
        <w:spacing w:line="276" w:lineRule="auto"/>
        <w:jc w:val="both"/>
        <w:rPr>
          <w:rFonts w:ascii="Calibri" w:hAnsi="Calibri" w:cs="Calibri"/>
          <w:sz w:val="24"/>
          <w:szCs w:val="24"/>
        </w:rPr>
      </w:pPr>
    </w:p>
    <w:p w14:paraId="0EC0B479"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Sample Preparation</w:t>
      </w:r>
    </w:p>
    <w:p w14:paraId="11D83996"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Serial dilutions were prepared for each water sample. One milliliter (1 mL) of water was added to 9 mL </w:t>
      </w:r>
      <w:r w:rsidR="00345DD8">
        <w:rPr>
          <w:rFonts w:ascii="Calibri" w:hAnsi="Calibri" w:cs="Calibri"/>
          <w:sz w:val="24"/>
          <w:szCs w:val="24"/>
        </w:rPr>
        <w:t xml:space="preserve">of </w:t>
      </w:r>
      <w:r w:rsidRPr="00E2260F">
        <w:rPr>
          <w:rFonts w:ascii="Calibri" w:hAnsi="Calibri" w:cs="Calibri"/>
          <w:sz w:val="24"/>
          <w:szCs w:val="24"/>
        </w:rPr>
        <w:t>sterile water to achieve a 10⁻¹ dilution. Subsequent 10-fold dilutions were prepared up to 10⁻⁵ by transferring 1 mL from the previous dilution into 9 mL sterile water.</w:t>
      </w:r>
    </w:p>
    <w:p w14:paraId="2F25E8BD" w14:textId="77777777" w:rsidR="00E2260F" w:rsidRDefault="00E2260F" w:rsidP="005E6E8E">
      <w:pPr>
        <w:spacing w:line="276" w:lineRule="auto"/>
        <w:jc w:val="both"/>
        <w:rPr>
          <w:rFonts w:ascii="Calibri" w:hAnsi="Calibri" w:cs="Calibri"/>
          <w:b/>
          <w:bCs/>
          <w:sz w:val="24"/>
          <w:szCs w:val="24"/>
        </w:rPr>
      </w:pPr>
    </w:p>
    <w:p w14:paraId="5C5E6BCE"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lastRenderedPageBreak/>
        <w:t>Isolation and Identification of Fungi</w:t>
      </w:r>
    </w:p>
    <w:p w14:paraId="2D5AB32D"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One milliliter of each water sample was inoculated into 9 mL sterile </w:t>
      </w:r>
      <w:r w:rsidR="00697D13" w:rsidRPr="00E2260F">
        <w:rPr>
          <w:rFonts w:ascii="Calibri" w:hAnsi="Calibri" w:cs="Calibri"/>
          <w:sz w:val="24"/>
          <w:szCs w:val="24"/>
        </w:rPr>
        <w:t>chloramphenicol</w:t>
      </w:r>
      <w:r w:rsidR="00697D13">
        <w:rPr>
          <w:rFonts w:ascii="Calibri" w:hAnsi="Calibri" w:cs="Calibri"/>
          <w:sz w:val="24"/>
          <w:szCs w:val="24"/>
        </w:rPr>
        <w:t xml:space="preserve">-spiked </w:t>
      </w:r>
      <w:proofErr w:type="spellStart"/>
      <w:r w:rsidR="00697D13" w:rsidRPr="00E2260F">
        <w:rPr>
          <w:rFonts w:ascii="Calibri" w:hAnsi="Calibri" w:cs="Calibri"/>
          <w:sz w:val="24"/>
          <w:szCs w:val="24"/>
        </w:rPr>
        <w:t>Sabouraud</w:t>
      </w:r>
      <w:proofErr w:type="spellEnd"/>
      <w:r w:rsidRPr="00E2260F">
        <w:rPr>
          <w:rFonts w:ascii="Calibri" w:hAnsi="Calibri" w:cs="Calibri"/>
          <w:sz w:val="24"/>
          <w:szCs w:val="24"/>
        </w:rPr>
        <w:t xml:space="preserve"> Dextrose Broth and incubated for 72 hours at room temperature to maintain microbial viability. Serial dilutions were then plated on SDA in triplicate, and plates incubated at 28 ± 2°C in an inverted position until visible growth occurred. Fungal isolates were preserved on SDA slants at 4°C for subsequent analysis (Abana </w:t>
      </w:r>
      <w:r w:rsidR="00CA22BB" w:rsidRPr="00CA22BB">
        <w:rPr>
          <w:rFonts w:ascii="Calibri" w:hAnsi="Calibri" w:cs="Calibri"/>
          <w:i/>
          <w:sz w:val="24"/>
          <w:szCs w:val="24"/>
        </w:rPr>
        <w:t>et al</w:t>
      </w:r>
      <w:r w:rsidRPr="00E2260F">
        <w:rPr>
          <w:rFonts w:ascii="Calibri" w:hAnsi="Calibri" w:cs="Calibri"/>
          <w:sz w:val="24"/>
          <w:szCs w:val="24"/>
        </w:rPr>
        <w:t>., 2024). Colony-forming units (</w:t>
      </w:r>
      <w:r w:rsidR="00345DD8">
        <w:rPr>
          <w:rFonts w:ascii="Calibri" w:hAnsi="Calibri" w:cs="Calibri"/>
          <w:sz w:val="24"/>
          <w:szCs w:val="24"/>
        </w:rPr>
        <w:t>CFU</w:t>
      </w:r>
      <w:r w:rsidRPr="00E2260F">
        <w:rPr>
          <w:rFonts w:ascii="Calibri" w:hAnsi="Calibri" w:cs="Calibri"/>
          <w:sz w:val="24"/>
          <w:szCs w:val="24"/>
        </w:rPr>
        <w:t>/mL) were enumerated, and fungal load statistically estimated.</w:t>
      </w:r>
    </w:p>
    <w:p w14:paraId="0B988A0F" w14:textId="77777777" w:rsidR="00E2260F" w:rsidRPr="00E2260F" w:rsidRDefault="00E2260F" w:rsidP="005E6E8E">
      <w:pPr>
        <w:spacing w:line="276" w:lineRule="auto"/>
        <w:jc w:val="both"/>
        <w:rPr>
          <w:rFonts w:ascii="Calibri" w:hAnsi="Calibri" w:cs="Calibri"/>
          <w:sz w:val="24"/>
          <w:szCs w:val="24"/>
        </w:rPr>
      </w:pPr>
    </w:p>
    <w:p w14:paraId="75F52A94"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Morphological Examination of Fungi</w:t>
      </w:r>
    </w:p>
    <w:p w14:paraId="596F5465"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Fungal species were preliminarily identified based on colony morphology and microscopic characteristics. Lactophenol cotton blue staining was used for microscopic examination. A small portion of fungal mycelium was placed on a slide with lactophenol cotton blue, covered with a cover slip, and observed under x40 and x100 objectives. Species were identified by comparing morphological features to standard fungal atlases (Manir </w:t>
      </w:r>
      <w:r w:rsidR="00CA22BB" w:rsidRPr="00CA22BB">
        <w:rPr>
          <w:rFonts w:ascii="Calibri" w:hAnsi="Calibri" w:cs="Calibri"/>
          <w:i/>
          <w:sz w:val="24"/>
          <w:szCs w:val="24"/>
        </w:rPr>
        <w:t>et al</w:t>
      </w:r>
      <w:r w:rsidRPr="00E2260F">
        <w:rPr>
          <w:rFonts w:ascii="Calibri" w:hAnsi="Calibri" w:cs="Calibri"/>
          <w:sz w:val="24"/>
          <w:szCs w:val="24"/>
        </w:rPr>
        <w:t xml:space="preserve">., 2020; Abana </w:t>
      </w:r>
      <w:r w:rsidR="00CA22BB" w:rsidRPr="00CA22BB">
        <w:rPr>
          <w:rFonts w:ascii="Calibri" w:hAnsi="Calibri" w:cs="Calibri"/>
          <w:i/>
          <w:sz w:val="24"/>
          <w:szCs w:val="24"/>
        </w:rPr>
        <w:t>et al</w:t>
      </w:r>
      <w:r w:rsidRPr="00E2260F">
        <w:rPr>
          <w:rFonts w:ascii="Calibri" w:hAnsi="Calibri" w:cs="Calibri"/>
          <w:sz w:val="24"/>
          <w:szCs w:val="24"/>
        </w:rPr>
        <w:t>., 2024).</w:t>
      </w:r>
    </w:p>
    <w:p w14:paraId="1F057E6F" w14:textId="77777777" w:rsidR="00E2260F" w:rsidRPr="00E2260F" w:rsidRDefault="00E2260F" w:rsidP="005E6E8E">
      <w:pPr>
        <w:spacing w:line="276" w:lineRule="auto"/>
        <w:jc w:val="both"/>
        <w:rPr>
          <w:rFonts w:ascii="Calibri" w:hAnsi="Calibri" w:cs="Calibri"/>
          <w:sz w:val="24"/>
          <w:szCs w:val="24"/>
        </w:rPr>
      </w:pPr>
    </w:p>
    <w:p w14:paraId="30D036B3"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Antifungal Susceptibility Testing</w:t>
      </w:r>
    </w:p>
    <w:p w14:paraId="3ECF4AB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The agar well diffusion method on SDA was used to evaluate antifungal susceptibility (Ogbonna </w:t>
      </w:r>
      <w:r w:rsidR="00CA22BB" w:rsidRPr="00CA22BB">
        <w:rPr>
          <w:rFonts w:ascii="Calibri" w:hAnsi="Calibri" w:cs="Calibri"/>
          <w:i/>
          <w:sz w:val="24"/>
          <w:szCs w:val="24"/>
        </w:rPr>
        <w:t>et al</w:t>
      </w:r>
      <w:r w:rsidRPr="00E2260F">
        <w:rPr>
          <w:rFonts w:ascii="Calibri" w:hAnsi="Calibri" w:cs="Calibri"/>
          <w:sz w:val="24"/>
          <w:szCs w:val="24"/>
        </w:rPr>
        <w:t xml:space="preserve">., 2022). Test isolates were regrown for 18–24 hours, spores harvested, suspended in sterile water, and standardized to 0.5 McFarland turbidity. A 0.1 mL aliquot of spore suspension (10⁴ dilution) was spread on SDA plates. Agar wells (8 mm) were filled with 0.1 mL antifungal agents (clotrimazole, ketoconazole, nystatin) at concentrations of 25 and 50 mg/mL (two-fold dilution). Plates were incubated at 25°C for 72 hours. Zones of inhibition were measured and interpreted as susceptible, intermediate, or resistant based on CLSI (2020) criteria (Ogbonna </w:t>
      </w:r>
      <w:r w:rsidR="00CA22BB" w:rsidRPr="00CA22BB">
        <w:rPr>
          <w:rFonts w:ascii="Calibri" w:hAnsi="Calibri" w:cs="Calibri"/>
          <w:i/>
          <w:sz w:val="24"/>
          <w:szCs w:val="24"/>
        </w:rPr>
        <w:t>et al</w:t>
      </w:r>
      <w:r w:rsidRPr="00E2260F">
        <w:rPr>
          <w:rFonts w:ascii="Calibri" w:hAnsi="Calibri" w:cs="Calibri"/>
          <w:sz w:val="24"/>
          <w:szCs w:val="24"/>
        </w:rPr>
        <w:t>., 2022).</w:t>
      </w:r>
    </w:p>
    <w:p w14:paraId="31723895" w14:textId="77777777" w:rsidR="005E6E8E" w:rsidRDefault="005E6E8E" w:rsidP="005E6E8E">
      <w:pPr>
        <w:spacing w:line="276" w:lineRule="auto"/>
        <w:jc w:val="both"/>
        <w:rPr>
          <w:rFonts w:ascii="Calibri" w:hAnsi="Calibri" w:cs="Calibri"/>
          <w:b/>
          <w:bCs/>
          <w:sz w:val="24"/>
          <w:szCs w:val="24"/>
        </w:rPr>
      </w:pPr>
    </w:p>
    <w:p w14:paraId="05F16767" w14:textId="77777777" w:rsidR="00E2260F" w:rsidRPr="00E2260F" w:rsidRDefault="00E2260F" w:rsidP="005E6E8E">
      <w:pPr>
        <w:spacing w:line="276" w:lineRule="auto"/>
        <w:jc w:val="both"/>
        <w:rPr>
          <w:rFonts w:ascii="Calibri" w:hAnsi="Calibri" w:cs="Calibri"/>
          <w:sz w:val="24"/>
          <w:szCs w:val="24"/>
        </w:rPr>
      </w:pPr>
      <w:r w:rsidRPr="005E6E8E">
        <w:rPr>
          <w:rFonts w:ascii="Calibri" w:hAnsi="Calibri" w:cs="Calibri"/>
          <w:bCs/>
          <w:sz w:val="24"/>
          <w:szCs w:val="24"/>
        </w:rPr>
        <w:t>Percentage occurrence of susceptibility</w:t>
      </w:r>
      <w:r w:rsidRPr="00E2260F">
        <w:rPr>
          <w:rFonts w:ascii="Calibri" w:hAnsi="Calibri" w:cs="Calibri"/>
          <w:sz w:val="24"/>
          <w:szCs w:val="24"/>
        </w:rPr>
        <w:t xml:space="preserve"> was calculated as:</w:t>
      </w:r>
    </w:p>
    <w:p w14:paraId="19188189" w14:textId="77777777" w:rsidR="00E2260F" w:rsidRPr="00E2260F" w:rsidRDefault="005E6E8E" w:rsidP="005E6E8E">
      <w:pPr>
        <w:spacing w:line="276" w:lineRule="auto"/>
        <w:jc w:val="both"/>
        <w:rPr>
          <w:rFonts w:ascii="Calibri" w:hAnsi="Calibri" w:cs="Calibri"/>
          <w:sz w:val="24"/>
          <w:szCs w:val="24"/>
        </w:rPr>
      </w:pPr>
      <m:oMathPara>
        <m:oMath>
          <m:r>
            <w:rPr>
              <w:rFonts w:ascii="Cambria Math" w:hAnsi="Cambria Math" w:cs="Cambria Math"/>
              <w:sz w:val="24"/>
              <w:szCs w:val="24"/>
            </w:rPr>
            <m:t>Percentage Occurence</m:t>
          </m:r>
          <m:r>
            <m:rPr>
              <m:sty m:val="p"/>
            </m:rPr>
            <w:rPr>
              <w:rFonts w:ascii="Cambria Math" w:hAnsi="Cambria Math" w:cs="Cambria Math"/>
              <w:sz w:val="24"/>
              <w:szCs w:val="24"/>
            </w:rPr>
            <m:t>=</m:t>
          </m:r>
          <m:f>
            <m:fPr>
              <m:ctrlPr>
                <w:rPr>
                  <w:rFonts w:ascii="Cambria Math" w:hAnsi="Cambria Math" w:cs="Calibri"/>
                  <w:sz w:val="24"/>
                  <w:szCs w:val="24"/>
                </w:rPr>
              </m:ctrlPr>
            </m:fPr>
            <m:num>
              <m:r>
                <m:rPr>
                  <m:sty m:val="p"/>
                </m:rPr>
                <w:rPr>
                  <w:rFonts w:ascii="Cambria Math" w:hAnsi="Cambria Math" w:cs="Cambria Math"/>
                  <w:sz w:val="24"/>
                  <w:szCs w:val="24"/>
                </w:rPr>
                <m:t>Number of Susceptible isolates</m:t>
              </m:r>
            </m:num>
            <m:den>
              <m:r>
                <m:rPr>
                  <m:sty m:val="p"/>
                </m:rPr>
                <w:rPr>
                  <w:rFonts w:ascii="Cambria Math" w:hAnsi="Cambria Math" w:cs="Cambria Math"/>
                  <w:sz w:val="24"/>
                  <w:szCs w:val="24"/>
                </w:rPr>
                <m:t>Total Number of isolates</m:t>
              </m:r>
            </m:den>
          </m:f>
          <m:r>
            <w:rPr>
              <w:rFonts w:ascii="Cambria Math" w:hAnsi="Cambria Math" w:cs="Calibri"/>
              <w:sz w:val="24"/>
              <w:szCs w:val="24"/>
            </w:rPr>
            <m:t xml:space="preserve"> x 100</m:t>
          </m:r>
        </m:oMath>
      </m:oMathPara>
    </w:p>
    <w:p w14:paraId="5C2E1133" w14:textId="77777777" w:rsidR="005E6E8E" w:rsidRDefault="005E6E8E" w:rsidP="005E6E8E">
      <w:pPr>
        <w:spacing w:line="276" w:lineRule="auto"/>
        <w:jc w:val="both"/>
        <w:rPr>
          <w:rFonts w:ascii="Calibri" w:hAnsi="Calibri" w:cs="Calibri"/>
          <w:b/>
          <w:bCs/>
          <w:sz w:val="24"/>
          <w:szCs w:val="24"/>
        </w:rPr>
      </w:pPr>
    </w:p>
    <w:p w14:paraId="6E56C6B6"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Molecular Identification of Fungi</w:t>
      </w:r>
    </w:p>
    <w:p w14:paraId="1212379F"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Genomic DNA Extraction</w:t>
      </w:r>
    </w:p>
    <w:p w14:paraId="5FEC79D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Fungal isolates were sub</w:t>
      </w:r>
      <w:r w:rsidR="00697D13">
        <w:rPr>
          <w:rFonts w:ascii="Calibri" w:hAnsi="Calibri" w:cs="Calibri"/>
          <w:sz w:val="24"/>
          <w:szCs w:val="24"/>
        </w:rPr>
        <w:t>-</w:t>
      </w:r>
      <w:r w:rsidRPr="00E2260F">
        <w:rPr>
          <w:rFonts w:ascii="Calibri" w:hAnsi="Calibri" w:cs="Calibri"/>
          <w:sz w:val="24"/>
          <w:szCs w:val="24"/>
        </w:rPr>
        <w:t xml:space="preserve">cultured on SDA for 120 hours at 28 ± 2°C. Genomic DNA was extracted using the CTAB method (Eke </w:t>
      </w:r>
      <w:r w:rsidR="00CA22BB" w:rsidRPr="00CA22BB">
        <w:rPr>
          <w:rFonts w:ascii="Calibri" w:hAnsi="Calibri" w:cs="Calibri"/>
          <w:i/>
          <w:sz w:val="24"/>
          <w:szCs w:val="24"/>
        </w:rPr>
        <w:t>et al</w:t>
      </w:r>
      <w:r w:rsidRPr="00E2260F">
        <w:rPr>
          <w:rFonts w:ascii="Calibri" w:hAnsi="Calibri" w:cs="Calibri"/>
          <w:sz w:val="24"/>
          <w:szCs w:val="24"/>
        </w:rPr>
        <w:t xml:space="preserve">., 2023). Fungal mycelium was ground, mixed with 700 µL pre-warmed CTAB buffer, </w:t>
      </w:r>
      <w:r w:rsidR="00345DD8">
        <w:rPr>
          <w:rFonts w:ascii="Calibri" w:hAnsi="Calibri" w:cs="Calibri"/>
          <w:sz w:val="24"/>
          <w:szCs w:val="24"/>
        </w:rPr>
        <w:t xml:space="preserve">and </w:t>
      </w:r>
      <w:r w:rsidRPr="00E2260F">
        <w:rPr>
          <w:rFonts w:ascii="Calibri" w:hAnsi="Calibri" w:cs="Calibri"/>
          <w:sz w:val="24"/>
          <w:szCs w:val="24"/>
        </w:rPr>
        <w:t xml:space="preserve">incubated at 65°C for 60 min with intermittent </w:t>
      </w:r>
      <w:proofErr w:type="spellStart"/>
      <w:r w:rsidRPr="00E2260F">
        <w:rPr>
          <w:rFonts w:ascii="Calibri" w:hAnsi="Calibri" w:cs="Calibri"/>
          <w:sz w:val="24"/>
          <w:szCs w:val="24"/>
        </w:rPr>
        <w:lastRenderedPageBreak/>
        <w:t>vortexing</w:t>
      </w:r>
      <w:proofErr w:type="spellEnd"/>
      <w:r w:rsidRPr="00E2260F">
        <w:rPr>
          <w:rFonts w:ascii="Calibri" w:hAnsi="Calibri" w:cs="Calibri"/>
          <w:sz w:val="24"/>
          <w:szCs w:val="24"/>
        </w:rPr>
        <w:t xml:space="preserve">. </w:t>
      </w:r>
      <w:proofErr w:type="spellStart"/>
      <w:proofErr w:type="gramStart"/>
      <w:r w:rsidRPr="00E2260F">
        <w:rPr>
          <w:rFonts w:ascii="Calibri" w:hAnsi="Calibri" w:cs="Calibri"/>
          <w:sz w:val="24"/>
          <w:szCs w:val="24"/>
        </w:rPr>
        <w:t>Chloroform:isoamyl</w:t>
      </w:r>
      <w:proofErr w:type="spellEnd"/>
      <w:proofErr w:type="gramEnd"/>
      <w:r w:rsidRPr="00E2260F">
        <w:rPr>
          <w:rFonts w:ascii="Calibri" w:hAnsi="Calibri" w:cs="Calibri"/>
          <w:sz w:val="24"/>
          <w:szCs w:val="24"/>
        </w:rPr>
        <w:t xml:space="preserve"> alcohol (600 µL) was added, centrifuged at 14,000 rpm for 5 min, and the supernatant precipitated with ice-cold isopropanol at −20°C for 60 min. DNA pellets were washed with 70% ethanol, dried, re</w:t>
      </w:r>
      <w:r w:rsidR="00697D13">
        <w:rPr>
          <w:rFonts w:ascii="Calibri" w:hAnsi="Calibri" w:cs="Calibri"/>
          <w:sz w:val="24"/>
          <w:szCs w:val="24"/>
        </w:rPr>
        <w:t>-</w:t>
      </w:r>
      <w:r w:rsidRPr="00E2260F">
        <w:rPr>
          <w:rFonts w:ascii="Calibri" w:hAnsi="Calibri" w:cs="Calibri"/>
          <w:sz w:val="24"/>
          <w:szCs w:val="24"/>
        </w:rPr>
        <w:t>suspended in 100 µL nuclease-free water, and stored at 4°C.</w:t>
      </w:r>
    </w:p>
    <w:p w14:paraId="0E0B3E52" w14:textId="77777777" w:rsidR="005E6E8E" w:rsidRDefault="005E6E8E" w:rsidP="005E6E8E">
      <w:pPr>
        <w:spacing w:line="276" w:lineRule="auto"/>
        <w:jc w:val="both"/>
        <w:rPr>
          <w:rFonts w:ascii="Calibri" w:hAnsi="Calibri" w:cs="Calibri"/>
          <w:b/>
          <w:bCs/>
          <w:sz w:val="24"/>
          <w:szCs w:val="24"/>
        </w:rPr>
      </w:pPr>
    </w:p>
    <w:p w14:paraId="60628403"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Agarose Gel Electrophoresis</w:t>
      </w:r>
    </w:p>
    <w:p w14:paraId="3E6F5815"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A 1% agarose gel with 5 µL ethidium bromide in 50 mL 1× TBE buffer was prepared. DNA samples and </w:t>
      </w:r>
      <w:r w:rsidR="00345DD8">
        <w:rPr>
          <w:rFonts w:ascii="Calibri" w:hAnsi="Calibri" w:cs="Calibri"/>
          <w:sz w:val="24"/>
          <w:szCs w:val="24"/>
        </w:rPr>
        <w:t xml:space="preserve">a </w:t>
      </w:r>
      <w:r w:rsidRPr="00E2260F">
        <w:rPr>
          <w:rFonts w:ascii="Calibri" w:hAnsi="Calibri" w:cs="Calibri"/>
          <w:sz w:val="24"/>
          <w:szCs w:val="24"/>
        </w:rPr>
        <w:t xml:space="preserve">1 kb ladder were loaded, and electrophoresis </w:t>
      </w:r>
      <w:r w:rsidR="00345DD8">
        <w:rPr>
          <w:rFonts w:ascii="Calibri" w:hAnsi="Calibri" w:cs="Calibri"/>
          <w:sz w:val="24"/>
          <w:szCs w:val="24"/>
        </w:rPr>
        <w:t xml:space="preserve">was </w:t>
      </w:r>
      <w:r w:rsidRPr="00E2260F">
        <w:rPr>
          <w:rFonts w:ascii="Calibri" w:hAnsi="Calibri" w:cs="Calibri"/>
          <w:sz w:val="24"/>
          <w:szCs w:val="24"/>
        </w:rPr>
        <w:t xml:space="preserve">conducted for 45 min. DNA bands were visualized using an Alpha </w:t>
      </w:r>
      <w:proofErr w:type="spellStart"/>
      <w:r w:rsidRPr="00E2260F">
        <w:rPr>
          <w:rFonts w:ascii="Calibri" w:hAnsi="Calibri" w:cs="Calibri"/>
          <w:sz w:val="24"/>
          <w:szCs w:val="24"/>
        </w:rPr>
        <w:t>Innotech</w:t>
      </w:r>
      <w:proofErr w:type="spellEnd"/>
      <w:r w:rsidRPr="00E2260F">
        <w:rPr>
          <w:rFonts w:ascii="Calibri" w:hAnsi="Calibri" w:cs="Calibri"/>
          <w:sz w:val="24"/>
          <w:szCs w:val="24"/>
        </w:rPr>
        <w:t xml:space="preserve"> Gel Documentation System.</w:t>
      </w:r>
    </w:p>
    <w:p w14:paraId="5092F42C" w14:textId="77777777" w:rsidR="005E6E8E" w:rsidRDefault="005E6E8E" w:rsidP="005E6E8E">
      <w:pPr>
        <w:spacing w:line="276" w:lineRule="auto"/>
        <w:jc w:val="both"/>
        <w:rPr>
          <w:rFonts w:ascii="Calibri" w:hAnsi="Calibri" w:cs="Calibri"/>
          <w:b/>
          <w:bCs/>
          <w:sz w:val="24"/>
          <w:szCs w:val="24"/>
        </w:rPr>
      </w:pPr>
    </w:p>
    <w:p w14:paraId="30AE0DF5"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PCR Amplification</w:t>
      </w:r>
    </w:p>
    <w:p w14:paraId="205A3EE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ITS region amplification was performed using ITS1 (5'-TCC GTA GGT GAA CCT GCG G-3') and ITS4 (5'-TCC TCC GCT TAT TGA TAT GC-3') primers (</w:t>
      </w:r>
      <w:proofErr w:type="spellStart"/>
      <w:r w:rsidRPr="00E2260F">
        <w:rPr>
          <w:rFonts w:ascii="Calibri" w:hAnsi="Calibri" w:cs="Calibri"/>
          <w:sz w:val="24"/>
          <w:szCs w:val="24"/>
        </w:rPr>
        <w:t>Inqaba</w:t>
      </w:r>
      <w:proofErr w:type="spellEnd"/>
      <w:r w:rsidRPr="00E2260F">
        <w:rPr>
          <w:rFonts w:ascii="Calibri" w:hAnsi="Calibri" w:cs="Calibri"/>
          <w:sz w:val="24"/>
          <w:szCs w:val="24"/>
        </w:rPr>
        <w:t xml:space="preserve"> Biotech, South Africa). Reaction mix (24 µL) contained 12.5 µL </w:t>
      </w:r>
      <w:proofErr w:type="spellStart"/>
      <w:r w:rsidRPr="00E2260F">
        <w:rPr>
          <w:rFonts w:ascii="Calibri" w:hAnsi="Calibri" w:cs="Calibri"/>
          <w:sz w:val="24"/>
          <w:szCs w:val="24"/>
        </w:rPr>
        <w:t>DreamTaq</w:t>
      </w:r>
      <w:proofErr w:type="spellEnd"/>
      <w:r w:rsidRPr="00E2260F">
        <w:rPr>
          <w:rFonts w:ascii="Calibri" w:hAnsi="Calibri" w:cs="Calibri"/>
          <w:sz w:val="24"/>
          <w:szCs w:val="24"/>
        </w:rPr>
        <w:t xml:space="preserve"> PCR master mix, 300 ng DNA, 0.4 µM primers, and 2 µL nuclease-free water. PCR conditions: initial denaturation 94°C for 5 min; 30 cycles of 94°C (denaturation, 60 s), 52°C (annealing, 60 s), 72°C (extension, 60 s); final extension 72°C for 10 min; storage at 4°C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&amp; </w:t>
      </w:r>
      <w:proofErr w:type="spellStart"/>
      <w:r w:rsidRPr="00E2260F">
        <w:rPr>
          <w:rFonts w:ascii="Calibri" w:hAnsi="Calibri" w:cs="Calibri"/>
          <w:sz w:val="24"/>
          <w:szCs w:val="24"/>
        </w:rPr>
        <w:t>Anyim</w:t>
      </w:r>
      <w:proofErr w:type="spellEnd"/>
      <w:r w:rsidRPr="00E2260F">
        <w:rPr>
          <w:rFonts w:ascii="Calibri" w:hAnsi="Calibri" w:cs="Calibri"/>
          <w:sz w:val="24"/>
          <w:szCs w:val="24"/>
        </w:rPr>
        <w:t>, 2023). Amplicons were checked on 1% agarose gel and visualized as described above.</w:t>
      </w:r>
    </w:p>
    <w:p w14:paraId="412C0806" w14:textId="77777777" w:rsidR="005E6E8E" w:rsidRDefault="005E6E8E" w:rsidP="005E6E8E">
      <w:pPr>
        <w:spacing w:line="276" w:lineRule="auto"/>
        <w:jc w:val="both"/>
        <w:rPr>
          <w:rFonts w:ascii="Calibri" w:hAnsi="Calibri" w:cs="Calibri"/>
          <w:b/>
          <w:bCs/>
          <w:sz w:val="24"/>
          <w:szCs w:val="24"/>
        </w:rPr>
      </w:pPr>
    </w:p>
    <w:p w14:paraId="513C9B6E"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Sequence Determination</w:t>
      </w:r>
    </w:p>
    <w:p w14:paraId="1D23AF3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PCR products were purified using </w:t>
      </w:r>
      <w:proofErr w:type="spellStart"/>
      <w:r w:rsidRPr="00E2260F">
        <w:rPr>
          <w:rFonts w:ascii="Calibri" w:hAnsi="Calibri" w:cs="Calibri"/>
          <w:sz w:val="24"/>
          <w:szCs w:val="24"/>
        </w:rPr>
        <w:t>Zymo</w:t>
      </w:r>
      <w:proofErr w:type="spellEnd"/>
      <w:r w:rsidRPr="00E2260F">
        <w:rPr>
          <w:rFonts w:ascii="Calibri" w:hAnsi="Calibri" w:cs="Calibri"/>
          <w:sz w:val="24"/>
          <w:szCs w:val="24"/>
        </w:rPr>
        <w:t xml:space="preserve"> PCR Clean-up Kits and sequenced with an ABI 13130 automated sequencer (</w:t>
      </w:r>
      <w:proofErr w:type="spellStart"/>
      <w:r w:rsidRPr="00E2260F">
        <w:rPr>
          <w:rFonts w:ascii="Calibri" w:hAnsi="Calibri" w:cs="Calibri"/>
          <w:sz w:val="24"/>
          <w:szCs w:val="24"/>
        </w:rPr>
        <w:t>Inqaba</w:t>
      </w:r>
      <w:proofErr w:type="spellEnd"/>
      <w:r w:rsidRPr="00E2260F">
        <w:rPr>
          <w:rFonts w:ascii="Calibri" w:hAnsi="Calibri" w:cs="Calibri"/>
          <w:sz w:val="24"/>
          <w:szCs w:val="24"/>
        </w:rPr>
        <w:t xml:space="preserve"> </w:t>
      </w:r>
      <w:proofErr w:type="spellStart"/>
      <w:r w:rsidRPr="00E2260F">
        <w:rPr>
          <w:rFonts w:ascii="Calibri" w:hAnsi="Calibri" w:cs="Calibri"/>
          <w:sz w:val="24"/>
          <w:szCs w:val="24"/>
        </w:rPr>
        <w:t>Biotec</w:t>
      </w:r>
      <w:proofErr w:type="spellEnd"/>
      <w:r w:rsidRPr="00E2260F">
        <w:rPr>
          <w:rFonts w:ascii="Calibri" w:hAnsi="Calibri" w:cs="Calibri"/>
          <w:sz w:val="24"/>
          <w:szCs w:val="24"/>
        </w:rPr>
        <w:t>, Ibadan, Nigeria). Sequences were compared to GenBank ITS and 16S rRNA sequences using BLAST for species identification.</w:t>
      </w:r>
    </w:p>
    <w:p w14:paraId="7D05AC2A" w14:textId="77777777" w:rsidR="00E2260F" w:rsidRPr="00E2260F" w:rsidRDefault="00E2260F" w:rsidP="005E6E8E">
      <w:pPr>
        <w:spacing w:line="276" w:lineRule="auto"/>
        <w:jc w:val="both"/>
        <w:rPr>
          <w:rFonts w:ascii="Calibri" w:hAnsi="Calibri" w:cs="Calibri"/>
          <w:sz w:val="24"/>
          <w:szCs w:val="24"/>
        </w:rPr>
      </w:pPr>
    </w:p>
    <w:p w14:paraId="5DAAC9A2"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Statistical Analysis</w:t>
      </w:r>
    </w:p>
    <w:p w14:paraId="7C0627C9"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Data were analyzed using one-way Analysis of Variance (ANOVA) in SPSS v30.0 at </w:t>
      </w:r>
      <w:r w:rsidR="0088374F" w:rsidRPr="0088374F">
        <w:rPr>
          <w:rFonts w:ascii="Calibri" w:hAnsi="Calibri" w:cs="Calibri"/>
          <w:i/>
          <w:sz w:val="24"/>
          <w:szCs w:val="24"/>
        </w:rPr>
        <w:t>p</w:t>
      </w:r>
      <w:r w:rsidR="0088374F">
        <w:rPr>
          <w:rFonts w:ascii="Calibri" w:hAnsi="Calibri" w:cs="Calibri"/>
          <w:sz w:val="24"/>
          <w:szCs w:val="24"/>
        </w:rPr>
        <w:t xml:space="preserve"> &lt; 0.05</w:t>
      </w:r>
      <w:r w:rsidRPr="00E2260F">
        <w:rPr>
          <w:rFonts w:ascii="Calibri" w:hAnsi="Calibri" w:cs="Calibri"/>
          <w:sz w:val="24"/>
          <w:szCs w:val="24"/>
        </w:rPr>
        <w:t>.</w:t>
      </w:r>
    </w:p>
    <w:p w14:paraId="1331455B" w14:textId="77777777" w:rsidR="00697D13" w:rsidRDefault="00697D13">
      <w:pPr>
        <w:rPr>
          <w:rFonts w:ascii="Calibri" w:hAnsi="Calibri" w:cs="Calibri"/>
          <w:b/>
          <w:sz w:val="24"/>
          <w:szCs w:val="24"/>
        </w:rPr>
      </w:pPr>
    </w:p>
    <w:p w14:paraId="643E66EF" w14:textId="77777777" w:rsidR="00E2260F" w:rsidRDefault="00F34256">
      <w:pPr>
        <w:rPr>
          <w:rFonts w:ascii="Calibri" w:hAnsi="Calibri" w:cs="Calibri"/>
          <w:b/>
          <w:sz w:val="24"/>
          <w:szCs w:val="24"/>
        </w:rPr>
      </w:pPr>
      <w:r w:rsidRPr="00F34256">
        <w:rPr>
          <w:rFonts w:ascii="Calibri" w:hAnsi="Calibri" w:cs="Calibri"/>
          <w:b/>
          <w:sz w:val="24"/>
          <w:szCs w:val="24"/>
        </w:rPr>
        <w:t>RESULTS</w:t>
      </w:r>
    </w:p>
    <w:p w14:paraId="48FFC57A" w14:textId="77777777" w:rsidR="00F34256" w:rsidRDefault="00F34256" w:rsidP="00F34256">
      <w:pPr>
        <w:spacing w:line="276" w:lineRule="auto"/>
        <w:jc w:val="both"/>
        <w:rPr>
          <w:rFonts w:ascii="Calibri" w:hAnsi="Calibri" w:cs="Calibri"/>
          <w:sz w:val="24"/>
          <w:szCs w:val="24"/>
        </w:rPr>
      </w:pPr>
      <w:r w:rsidRPr="00F34256">
        <w:rPr>
          <w:rFonts w:ascii="Calibri" w:hAnsi="Calibri" w:cs="Calibri"/>
          <w:sz w:val="24"/>
          <w:szCs w:val="24"/>
        </w:rPr>
        <w:t xml:space="preserve">The water samples collected from the three sampling points along the Gwagwalada River were subjected to microbiological analysis, and the fungal colonies were examined, with representative cultures shown in Plate 1. The isolates were tentatively identified as </w:t>
      </w:r>
      <w:r w:rsidRPr="00F34256">
        <w:rPr>
          <w:rStyle w:val="Emphasis"/>
          <w:rFonts w:ascii="Calibri" w:hAnsi="Calibri" w:cs="Calibri"/>
          <w:sz w:val="24"/>
          <w:szCs w:val="24"/>
        </w:rPr>
        <w:t xml:space="preserve">Fusarium </w:t>
      </w:r>
      <w:proofErr w:type="spellStart"/>
      <w:r w:rsidRPr="00F34256">
        <w:rPr>
          <w:rStyle w:val="Emphasis"/>
          <w:rFonts w:ascii="Calibri" w:hAnsi="Calibri" w:cs="Calibri"/>
          <w:sz w:val="24"/>
          <w:szCs w:val="24"/>
        </w:rPr>
        <w:t>oxysporum</w:t>
      </w:r>
      <w:proofErr w:type="spellEnd"/>
      <w:r w:rsidRPr="00F34256">
        <w:rPr>
          <w:rFonts w:ascii="Calibri" w:hAnsi="Calibri" w:cs="Calibri"/>
          <w:sz w:val="24"/>
          <w:szCs w:val="24"/>
        </w:rPr>
        <w:t xml:space="preserve">, </w:t>
      </w:r>
      <w:r w:rsidRPr="00F34256">
        <w:rPr>
          <w:rStyle w:val="Emphasis"/>
          <w:rFonts w:ascii="Calibri" w:hAnsi="Calibri" w:cs="Calibri"/>
          <w:sz w:val="24"/>
          <w:szCs w:val="24"/>
        </w:rPr>
        <w:t xml:space="preserve">Aspergillus </w:t>
      </w:r>
      <w:proofErr w:type="spellStart"/>
      <w:r w:rsidRPr="00F34256">
        <w:rPr>
          <w:rStyle w:val="Emphasis"/>
          <w:rFonts w:ascii="Calibri" w:hAnsi="Calibri" w:cs="Calibri"/>
          <w:sz w:val="24"/>
          <w:szCs w:val="24"/>
        </w:rPr>
        <w:t>niger</w:t>
      </w:r>
      <w:proofErr w:type="spellEnd"/>
      <w:r w:rsidRPr="00F34256">
        <w:rPr>
          <w:rFonts w:ascii="Calibri" w:hAnsi="Calibri" w:cs="Calibri"/>
          <w:sz w:val="24"/>
          <w:szCs w:val="24"/>
        </w:rPr>
        <w:t xml:space="preserve">, and </w:t>
      </w:r>
      <w:r w:rsidRPr="00F34256">
        <w:rPr>
          <w:rStyle w:val="Emphasis"/>
          <w:rFonts w:ascii="Calibri" w:hAnsi="Calibri" w:cs="Calibri"/>
          <w:sz w:val="24"/>
          <w:szCs w:val="24"/>
        </w:rPr>
        <w:t>Aspergillus flavus</w:t>
      </w:r>
      <w:r w:rsidRPr="00F34256">
        <w:rPr>
          <w:rFonts w:ascii="Calibri" w:hAnsi="Calibri" w:cs="Calibri"/>
          <w:sz w:val="24"/>
          <w:szCs w:val="24"/>
        </w:rPr>
        <w:t xml:space="preserve">. Table 1 summarizes the macroscopic and microscopic morphological characteristics of the fungi recovered from the river water. Fungal species were detected at all sampling points: point A (upstream above the abattoir effluent </w:t>
      </w:r>
      <w:r w:rsidRPr="00F34256">
        <w:rPr>
          <w:rFonts w:ascii="Calibri" w:hAnsi="Calibri" w:cs="Calibri"/>
          <w:sz w:val="24"/>
          <w:szCs w:val="24"/>
        </w:rPr>
        <w:lastRenderedPageBreak/>
        <w:t>discharge), point B (the effluent discharge point), and point C (downstream of the discharge point), indicating the presence and distribution of these fungi along the river continuum</w:t>
      </w:r>
      <w:r>
        <w:rPr>
          <w:rFonts w:ascii="Calibri" w:hAnsi="Calibri" w:cs="Calibri"/>
          <w:sz w:val="24"/>
          <w:szCs w:val="24"/>
        </w:rPr>
        <w:t>.</w:t>
      </w:r>
    </w:p>
    <w:p w14:paraId="1747AD51" w14:textId="77777777" w:rsidR="00F34256" w:rsidRPr="00F34256" w:rsidRDefault="00F34256" w:rsidP="00F34256">
      <w:pPr>
        <w:spacing w:line="276" w:lineRule="auto"/>
        <w:jc w:val="both"/>
        <w:rPr>
          <w:rFonts w:ascii="Calibri" w:hAnsi="Calibri" w:cs="Calibri"/>
          <w:sz w:val="24"/>
          <w:szCs w:val="24"/>
        </w:rPr>
      </w:pPr>
    </w:p>
    <w:p w14:paraId="33D0C7A8"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1. Macroscopic and Microscopic Characteristics of Fungi isolated</w:t>
      </w:r>
    </w:p>
    <w:tbl>
      <w:tblPr>
        <w:tblStyle w:val="TableGrid"/>
        <w:tblW w:w="9720"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3478"/>
        <w:gridCol w:w="3640"/>
        <w:gridCol w:w="1703"/>
      </w:tblGrid>
      <w:tr w:rsidR="00F34256" w:rsidRPr="00F34256" w14:paraId="4FEC1EFC" w14:textId="77777777" w:rsidTr="00F34256">
        <w:tc>
          <w:tcPr>
            <w:tcW w:w="784" w:type="dxa"/>
            <w:tcBorders>
              <w:bottom w:val="single" w:sz="4" w:space="0" w:color="auto"/>
            </w:tcBorders>
            <w:vAlign w:val="center"/>
          </w:tcPr>
          <w:p w14:paraId="6B883997"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Isolates</w:t>
            </w:r>
          </w:p>
        </w:tc>
        <w:tc>
          <w:tcPr>
            <w:tcW w:w="3531" w:type="dxa"/>
            <w:tcBorders>
              <w:bottom w:val="single" w:sz="4" w:space="0" w:color="auto"/>
            </w:tcBorders>
            <w:vAlign w:val="center"/>
          </w:tcPr>
          <w:p w14:paraId="64165395"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Macroscopy</w:t>
            </w:r>
          </w:p>
        </w:tc>
        <w:tc>
          <w:tcPr>
            <w:tcW w:w="3690" w:type="dxa"/>
            <w:tcBorders>
              <w:bottom w:val="single" w:sz="4" w:space="0" w:color="auto"/>
            </w:tcBorders>
            <w:vAlign w:val="center"/>
          </w:tcPr>
          <w:p w14:paraId="4791738A"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Microscopy</w:t>
            </w:r>
          </w:p>
        </w:tc>
        <w:tc>
          <w:tcPr>
            <w:tcW w:w="1715" w:type="dxa"/>
            <w:tcBorders>
              <w:bottom w:val="single" w:sz="4" w:space="0" w:color="auto"/>
            </w:tcBorders>
            <w:vAlign w:val="center"/>
          </w:tcPr>
          <w:p w14:paraId="320A4B00"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Suspected organism</w:t>
            </w:r>
          </w:p>
        </w:tc>
      </w:tr>
      <w:tr w:rsidR="00F34256" w:rsidRPr="00F34256" w14:paraId="52F8658F" w14:textId="77777777" w:rsidTr="00F34256">
        <w:tc>
          <w:tcPr>
            <w:tcW w:w="784" w:type="dxa"/>
            <w:tcBorders>
              <w:top w:val="single" w:sz="4" w:space="0" w:color="auto"/>
              <w:bottom w:val="nil"/>
            </w:tcBorders>
            <w:vAlign w:val="center"/>
          </w:tcPr>
          <w:p w14:paraId="306D772D"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PAF</w:t>
            </w:r>
          </w:p>
        </w:tc>
        <w:tc>
          <w:tcPr>
            <w:tcW w:w="3531" w:type="dxa"/>
            <w:tcBorders>
              <w:top w:val="single" w:sz="4" w:space="0" w:color="auto"/>
              <w:bottom w:val="nil"/>
            </w:tcBorders>
            <w:vAlign w:val="center"/>
          </w:tcPr>
          <w:p w14:paraId="7281B3B7"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White colony with smooth edge, tuft surface and reverse side of the plate was brownish in color.</w:t>
            </w:r>
          </w:p>
        </w:tc>
        <w:tc>
          <w:tcPr>
            <w:tcW w:w="3690" w:type="dxa"/>
            <w:tcBorders>
              <w:top w:val="single" w:sz="4" w:space="0" w:color="auto"/>
              <w:bottom w:val="nil"/>
            </w:tcBorders>
            <w:vAlign w:val="center"/>
          </w:tcPr>
          <w:p w14:paraId="74D8606C"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 xml:space="preserve">Short conidiophores, slightly sickle-shaped macroconidia, and </w:t>
            </w:r>
            <w:proofErr w:type="spellStart"/>
            <w:r w:rsidRPr="00F34256">
              <w:rPr>
                <w:rFonts w:ascii="Calibri" w:hAnsi="Calibri" w:cs="Calibri"/>
              </w:rPr>
              <w:t>Multiseptate</w:t>
            </w:r>
            <w:proofErr w:type="spellEnd"/>
            <w:r w:rsidRPr="00F34256">
              <w:rPr>
                <w:rFonts w:ascii="Calibri" w:hAnsi="Calibri" w:cs="Calibri"/>
              </w:rPr>
              <w:t xml:space="preserve"> with 3-5 septate.</w:t>
            </w:r>
          </w:p>
        </w:tc>
        <w:tc>
          <w:tcPr>
            <w:tcW w:w="1715" w:type="dxa"/>
            <w:tcBorders>
              <w:top w:val="single" w:sz="4" w:space="0" w:color="auto"/>
              <w:bottom w:val="nil"/>
            </w:tcBorders>
            <w:vAlign w:val="center"/>
          </w:tcPr>
          <w:p w14:paraId="2BF813A2"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Fusarium </w:t>
            </w:r>
            <w:proofErr w:type="spellStart"/>
            <w:r w:rsidRPr="00F34256">
              <w:rPr>
                <w:rFonts w:ascii="Calibri" w:hAnsi="Calibri" w:cs="Calibri"/>
                <w:i/>
              </w:rPr>
              <w:t>oxysporum</w:t>
            </w:r>
            <w:proofErr w:type="spellEnd"/>
          </w:p>
          <w:p w14:paraId="67160631" w14:textId="77777777" w:rsidR="00F34256" w:rsidRPr="00F34256" w:rsidRDefault="00F34256" w:rsidP="00F34256">
            <w:pPr>
              <w:spacing w:line="240" w:lineRule="auto"/>
              <w:jc w:val="center"/>
              <w:rPr>
                <w:rFonts w:ascii="Calibri" w:hAnsi="Calibri" w:cs="Calibri"/>
              </w:rPr>
            </w:pPr>
          </w:p>
        </w:tc>
      </w:tr>
      <w:tr w:rsidR="00F34256" w:rsidRPr="00F34256" w14:paraId="10927551" w14:textId="77777777" w:rsidTr="00F34256">
        <w:tc>
          <w:tcPr>
            <w:tcW w:w="784" w:type="dxa"/>
            <w:tcBorders>
              <w:top w:val="nil"/>
            </w:tcBorders>
            <w:vAlign w:val="center"/>
          </w:tcPr>
          <w:p w14:paraId="1E5CFE09" w14:textId="77777777" w:rsidR="00F34256" w:rsidRPr="00F34256" w:rsidRDefault="00F34256" w:rsidP="00F34256">
            <w:pPr>
              <w:spacing w:line="240" w:lineRule="auto"/>
              <w:jc w:val="center"/>
              <w:rPr>
                <w:rFonts w:ascii="Calibri" w:hAnsi="Calibri" w:cs="Calibri"/>
              </w:rPr>
            </w:pPr>
          </w:p>
        </w:tc>
        <w:tc>
          <w:tcPr>
            <w:tcW w:w="3531" w:type="dxa"/>
            <w:tcBorders>
              <w:top w:val="nil"/>
            </w:tcBorders>
            <w:vAlign w:val="center"/>
          </w:tcPr>
          <w:p w14:paraId="708A6600" w14:textId="77777777" w:rsidR="00F34256" w:rsidRPr="00F34256" w:rsidRDefault="00F34256" w:rsidP="00F34256">
            <w:pPr>
              <w:spacing w:line="240" w:lineRule="auto"/>
              <w:jc w:val="center"/>
              <w:rPr>
                <w:rFonts w:ascii="Calibri" w:hAnsi="Calibri" w:cs="Calibri"/>
              </w:rPr>
            </w:pPr>
          </w:p>
        </w:tc>
        <w:tc>
          <w:tcPr>
            <w:tcW w:w="3690" w:type="dxa"/>
            <w:tcBorders>
              <w:top w:val="nil"/>
            </w:tcBorders>
            <w:vAlign w:val="center"/>
          </w:tcPr>
          <w:p w14:paraId="0877F9D3" w14:textId="77777777" w:rsidR="00F34256" w:rsidRPr="00F34256" w:rsidRDefault="00F34256" w:rsidP="00F34256">
            <w:pPr>
              <w:spacing w:line="240" w:lineRule="auto"/>
              <w:jc w:val="center"/>
              <w:rPr>
                <w:rFonts w:ascii="Calibri" w:hAnsi="Calibri" w:cs="Calibri"/>
              </w:rPr>
            </w:pPr>
          </w:p>
        </w:tc>
        <w:tc>
          <w:tcPr>
            <w:tcW w:w="1715" w:type="dxa"/>
            <w:tcBorders>
              <w:top w:val="nil"/>
            </w:tcBorders>
            <w:vAlign w:val="center"/>
          </w:tcPr>
          <w:p w14:paraId="7DB7D5D0" w14:textId="77777777" w:rsidR="00F34256" w:rsidRPr="00F34256" w:rsidRDefault="00F34256" w:rsidP="00F34256">
            <w:pPr>
              <w:spacing w:line="240" w:lineRule="auto"/>
              <w:jc w:val="center"/>
              <w:rPr>
                <w:rFonts w:ascii="Calibri" w:hAnsi="Calibri" w:cs="Calibri"/>
                <w:i/>
              </w:rPr>
            </w:pPr>
          </w:p>
        </w:tc>
      </w:tr>
      <w:tr w:rsidR="00F34256" w:rsidRPr="00F34256" w14:paraId="4DDA177B" w14:textId="77777777" w:rsidTr="00F34256">
        <w:tc>
          <w:tcPr>
            <w:tcW w:w="784" w:type="dxa"/>
            <w:tcBorders>
              <w:top w:val="nil"/>
            </w:tcBorders>
            <w:vAlign w:val="center"/>
          </w:tcPr>
          <w:p w14:paraId="5DAB558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PAF</w:t>
            </w:r>
          </w:p>
        </w:tc>
        <w:tc>
          <w:tcPr>
            <w:tcW w:w="3531" w:type="dxa"/>
            <w:tcBorders>
              <w:top w:val="nil"/>
            </w:tcBorders>
            <w:vAlign w:val="center"/>
          </w:tcPr>
          <w:p w14:paraId="10FC0EBB"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were black, spread widely with whitish edge, densely spongy surface and plate reverse side was brown in color.</w:t>
            </w:r>
          </w:p>
        </w:tc>
        <w:tc>
          <w:tcPr>
            <w:tcW w:w="3690" w:type="dxa"/>
            <w:tcBorders>
              <w:top w:val="nil"/>
            </w:tcBorders>
            <w:vAlign w:val="center"/>
          </w:tcPr>
          <w:p w14:paraId="30CDDFBF"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Conidiophore were long, erected from the vesicle base with smooth hyaline and globe conidial heads.</w:t>
            </w:r>
          </w:p>
        </w:tc>
        <w:tc>
          <w:tcPr>
            <w:tcW w:w="1715" w:type="dxa"/>
            <w:tcBorders>
              <w:top w:val="nil"/>
            </w:tcBorders>
            <w:vAlign w:val="center"/>
          </w:tcPr>
          <w:p w14:paraId="650D649F"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r>
      <w:tr w:rsidR="00F34256" w:rsidRPr="00F34256" w14:paraId="4EACD954" w14:textId="77777777" w:rsidTr="00F34256">
        <w:tc>
          <w:tcPr>
            <w:tcW w:w="784" w:type="dxa"/>
            <w:tcBorders>
              <w:top w:val="nil"/>
            </w:tcBorders>
            <w:vAlign w:val="center"/>
          </w:tcPr>
          <w:p w14:paraId="42C39CDB" w14:textId="77777777" w:rsidR="00F34256" w:rsidRPr="00F34256" w:rsidRDefault="00F34256" w:rsidP="00F34256">
            <w:pPr>
              <w:spacing w:line="240" w:lineRule="auto"/>
              <w:jc w:val="center"/>
              <w:rPr>
                <w:rFonts w:ascii="Calibri" w:hAnsi="Calibri" w:cs="Calibri"/>
              </w:rPr>
            </w:pPr>
          </w:p>
        </w:tc>
        <w:tc>
          <w:tcPr>
            <w:tcW w:w="3531" w:type="dxa"/>
            <w:tcBorders>
              <w:top w:val="nil"/>
            </w:tcBorders>
            <w:vAlign w:val="center"/>
          </w:tcPr>
          <w:p w14:paraId="656548DC" w14:textId="77777777" w:rsidR="00F34256" w:rsidRPr="00F34256" w:rsidRDefault="00F34256" w:rsidP="00F34256">
            <w:pPr>
              <w:spacing w:line="240" w:lineRule="auto"/>
              <w:jc w:val="center"/>
              <w:rPr>
                <w:rFonts w:ascii="Calibri" w:hAnsi="Calibri" w:cs="Calibri"/>
              </w:rPr>
            </w:pPr>
          </w:p>
        </w:tc>
        <w:tc>
          <w:tcPr>
            <w:tcW w:w="3690" w:type="dxa"/>
            <w:tcBorders>
              <w:top w:val="nil"/>
            </w:tcBorders>
            <w:vAlign w:val="center"/>
          </w:tcPr>
          <w:p w14:paraId="79A90ED0" w14:textId="77777777" w:rsidR="00F34256" w:rsidRPr="00F34256" w:rsidRDefault="00F34256" w:rsidP="00F34256">
            <w:pPr>
              <w:spacing w:line="240" w:lineRule="auto"/>
              <w:jc w:val="center"/>
              <w:rPr>
                <w:rFonts w:ascii="Calibri" w:hAnsi="Calibri" w:cs="Calibri"/>
              </w:rPr>
            </w:pPr>
          </w:p>
        </w:tc>
        <w:tc>
          <w:tcPr>
            <w:tcW w:w="1715" w:type="dxa"/>
            <w:tcBorders>
              <w:top w:val="nil"/>
            </w:tcBorders>
            <w:vAlign w:val="center"/>
          </w:tcPr>
          <w:p w14:paraId="65AA3B2B" w14:textId="77777777" w:rsidR="00F34256" w:rsidRPr="00F34256" w:rsidRDefault="00F34256" w:rsidP="00F34256">
            <w:pPr>
              <w:spacing w:line="240" w:lineRule="auto"/>
              <w:jc w:val="center"/>
              <w:rPr>
                <w:rFonts w:ascii="Calibri" w:hAnsi="Calibri" w:cs="Calibri"/>
                <w:i/>
              </w:rPr>
            </w:pPr>
          </w:p>
        </w:tc>
      </w:tr>
      <w:tr w:rsidR="00F34256" w:rsidRPr="00F34256" w14:paraId="42FAE9B3" w14:textId="77777777" w:rsidTr="00F34256">
        <w:tc>
          <w:tcPr>
            <w:tcW w:w="784" w:type="dxa"/>
            <w:vAlign w:val="center"/>
          </w:tcPr>
          <w:p w14:paraId="581A5D4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PBF</w:t>
            </w:r>
          </w:p>
        </w:tc>
        <w:tc>
          <w:tcPr>
            <w:tcW w:w="3531" w:type="dxa"/>
            <w:vAlign w:val="center"/>
          </w:tcPr>
          <w:p w14:paraId="06787C7B"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were black, spread widely with whitish edge, densely spongy surface and plate reverse side was brown in color.</w:t>
            </w:r>
          </w:p>
        </w:tc>
        <w:tc>
          <w:tcPr>
            <w:tcW w:w="3690" w:type="dxa"/>
            <w:vAlign w:val="center"/>
          </w:tcPr>
          <w:p w14:paraId="574C2372"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Long conidiophore, erected from the vesicle base having smooth hyaline and conidia had globe shape.</w:t>
            </w:r>
          </w:p>
        </w:tc>
        <w:tc>
          <w:tcPr>
            <w:tcW w:w="1715" w:type="dxa"/>
            <w:vAlign w:val="center"/>
          </w:tcPr>
          <w:p w14:paraId="1EF89F10"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r>
      <w:tr w:rsidR="00F34256" w:rsidRPr="00F34256" w14:paraId="3D2D05EA" w14:textId="77777777" w:rsidTr="00F34256">
        <w:tc>
          <w:tcPr>
            <w:tcW w:w="784" w:type="dxa"/>
            <w:vAlign w:val="center"/>
          </w:tcPr>
          <w:p w14:paraId="2EE45D68" w14:textId="77777777" w:rsidR="00F34256" w:rsidRPr="00F34256" w:rsidRDefault="00F34256" w:rsidP="00F34256">
            <w:pPr>
              <w:spacing w:line="240" w:lineRule="auto"/>
              <w:jc w:val="center"/>
              <w:rPr>
                <w:rFonts w:ascii="Calibri" w:hAnsi="Calibri" w:cs="Calibri"/>
              </w:rPr>
            </w:pPr>
          </w:p>
        </w:tc>
        <w:tc>
          <w:tcPr>
            <w:tcW w:w="3531" w:type="dxa"/>
            <w:vAlign w:val="center"/>
          </w:tcPr>
          <w:p w14:paraId="09E02F68" w14:textId="77777777" w:rsidR="00F34256" w:rsidRPr="00F34256" w:rsidRDefault="00F34256" w:rsidP="00F34256">
            <w:pPr>
              <w:spacing w:line="240" w:lineRule="auto"/>
              <w:jc w:val="center"/>
              <w:rPr>
                <w:rFonts w:ascii="Calibri" w:hAnsi="Calibri" w:cs="Calibri"/>
              </w:rPr>
            </w:pPr>
          </w:p>
        </w:tc>
        <w:tc>
          <w:tcPr>
            <w:tcW w:w="3690" w:type="dxa"/>
            <w:vAlign w:val="center"/>
          </w:tcPr>
          <w:p w14:paraId="78876D56" w14:textId="77777777" w:rsidR="00F34256" w:rsidRPr="00F34256" w:rsidRDefault="00F34256" w:rsidP="00F34256">
            <w:pPr>
              <w:spacing w:line="240" w:lineRule="auto"/>
              <w:jc w:val="center"/>
              <w:rPr>
                <w:rFonts w:ascii="Calibri" w:hAnsi="Calibri" w:cs="Calibri"/>
              </w:rPr>
            </w:pPr>
          </w:p>
        </w:tc>
        <w:tc>
          <w:tcPr>
            <w:tcW w:w="1715" w:type="dxa"/>
            <w:vAlign w:val="center"/>
          </w:tcPr>
          <w:p w14:paraId="7E7A8429" w14:textId="77777777" w:rsidR="00F34256" w:rsidRPr="00F34256" w:rsidRDefault="00F34256" w:rsidP="00F34256">
            <w:pPr>
              <w:spacing w:line="240" w:lineRule="auto"/>
              <w:jc w:val="center"/>
              <w:rPr>
                <w:rFonts w:ascii="Calibri" w:hAnsi="Calibri" w:cs="Calibri"/>
                <w:i/>
              </w:rPr>
            </w:pPr>
          </w:p>
        </w:tc>
      </w:tr>
      <w:tr w:rsidR="00F34256" w:rsidRPr="00F34256" w14:paraId="2A58F4C5" w14:textId="77777777" w:rsidTr="00F34256">
        <w:tc>
          <w:tcPr>
            <w:tcW w:w="784" w:type="dxa"/>
            <w:vAlign w:val="center"/>
          </w:tcPr>
          <w:p w14:paraId="0348C6F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PCF</w:t>
            </w:r>
          </w:p>
        </w:tc>
        <w:tc>
          <w:tcPr>
            <w:tcW w:w="3531" w:type="dxa"/>
            <w:vAlign w:val="center"/>
          </w:tcPr>
          <w:p w14:paraId="1A04B25E"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Whitish colony, smooth edge, tuft surface and plate reverse side was brownish.</w:t>
            </w:r>
          </w:p>
        </w:tc>
        <w:tc>
          <w:tcPr>
            <w:tcW w:w="3690" w:type="dxa"/>
            <w:vAlign w:val="center"/>
          </w:tcPr>
          <w:p w14:paraId="413B7713"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 xml:space="preserve">Short conidiophores, slightly sickle-shaped macroconidia, and </w:t>
            </w:r>
            <w:proofErr w:type="spellStart"/>
            <w:r w:rsidRPr="00F34256">
              <w:rPr>
                <w:rFonts w:ascii="Calibri" w:hAnsi="Calibri" w:cs="Calibri"/>
              </w:rPr>
              <w:t>multiseptate</w:t>
            </w:r>
            <w:proofErr w:type="spellEnd"/>
            <w:r w:rsidRPr="00F34256">
              <w:rPr>
                <w:rFonts w:ascii="Calibri" w:hAnsi="Calibri" w:cs="Calibri"/>
              </w:rPr>
              <w:t xml:space="preserve"> with 3-5 septate.</w:t>
            </w:r>
          </w:p>
        </w:tc>
        <w:tc>
          <w:tcPr>
            <w:tcW w:w="1715" w:type="dxa"/>
            <w:vAlign w:val="center"/>
          </w:tcPr>
          <w:p w14:paraId="2153E3DA"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Fusarium </w:t>
            </w:r>
            <w:proofErr w:type="spellStart"/>
            <w:r w:rsidRPr="00F34256">
              <w:rPr>
                <w:rFonts w:ascii="Calibri" w:hAnsi="Calibri" w:cs="Calibri"/>
                <w:i/>
              </w:rPr>
              <w:t>oxysporum</w:t>
            </w:r>
            <w:proofErr w:type="spellEnd"/>
          </w:p>
        </w:tc>
      </w:tr>
      <w:tr w:rsidR="00F34256" w:rsidRPr="00F34256" w14:paraId="13328B6A" w14:textId="77777777" w:rsidTr="00F34256">
        <w:tc>
          <w:tcPr>
            <w:tcW w:w="784" w:type="dxa"/>
            <w:vAlign w:val="center"/>
          </w:tcPr>
          <w:p w14:paraId="31B2E37D" w14:textId="77777777" w:rsidR="00F34256" w:rsidRPr="00F34256" w:rsidRDefault="00F34256" w:rsidP="00F34256">
            <w:pPr>
              <w:spacing w:line="240" w:lineRule="auto"/>
              <w:jc w:val="center"/>
              <w:rPr>
                <w:rFonts w:ascii="Calibri" w:hAnsi="Calibri" w:cs="Calibri"/>
              </w:rPr>
            </w:pPr>
          </w:p>
        </w:tc>
        <w:tc>
          <w:tcPr>
            <w:tcW w:w="3531" w:type="dxa"/>
            <w:vAlign w:val="center"/>
          </w:tcPr>
          <w:p w14:paraId="36CDF58C" w14:textId="77777777" w:rsidR="00F34256" w:rsidRPr="00F34256" w:rsidRDefault="00F34256" w:rsidP="00F34256">
            <w:pPr>
              <w:spacing w:line="240" w:lineRule="auto"/>
              <w:jc w:val="center"/>
              <w:rPr>
                <w:rFonts w:ascii="Calibri" w:hAnsi="Calibri" w:cs="Calibri"/>
              </w:rPr>
            </w:pPr>
          </w:p>
        </w:tc>
        <w:tc>
          <w:tcPr>
            <w:tcW w:w="3690" w:type="dxa"/>
            <w:vAlign w:val="center"/>
          </w:tcPr>
          <w:p w14:paraId="1651CC1C" w14:textId="77777777" w:rsidR="00F34256" w:rsidRPr="00F34256" w:rsidRDefault="00F34256" w:rsidP="00F34256">
            <w:pPr>
              <w:spacing w:line="240" w:lineRule="auto"/>
              <w:jc w:val="center"/>
              <w:rPr>
                <w:rFonts w:ascii="Calibri" w:hAnsi="Calibri" w:cs="Calibri"/>
              </w:rPr>
            </w:pPr>
          </w:p>
        </w:tc>
        <w:tc>
          <w:tcPr>
            <w:tcW w:w="1715" w:type="dxa"/>
            <w:vAlign w:val="center"/>
          </w:tcPr>
          <w:p w14:paraId="5B101640" w14:textId="77777777" w:rsidR="00F34256" w:rsidRPr="00F34256" w:rsidRDefault="00F34256" w:rsidP="00F34256">
            <w:pPr>
              <w:spacing w:line="240" w:lineRule="auto"/>
              <w:jc w:val="center"/>
              <w:rPr>
                <w:rFonts w:ascii="Calibri" w:hAnsi="Calibri" w:cs="Calibri"/>
                <w:i/>
              </w:rPr>
            </w:pPr>
          </w:p>
        </w:tc>
      </w:tr>
      <w:tr w:rsidR="00F34256" w:rsidRPr="00F34256" w14:paraId="6C427BEE" w14:textId="77777777" w:rsidTr="00F34256">
        <w:tc>
          <w:tcPr>
            <w:tcW w:w="784" w:type="dxa"/>
            <w:vAlign w:val="center"/>
          </w:tcPr>
          <w:p w14:paraId="151B2625"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PCF</w:t>
            </w:r>
          </w:p>
        </w:tc>
        <w:tc>
          <w:tcPr>
            <w:tcW w:w="3531" w:type="dxa"/>
            <w:vAlign w:val="center"/>
          </w:tcPr>
          <w:p w14:paraId="4D931B9A"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surface was granular, Olive green with white edges, and greenish coloration on the reverse of the plate.</w:t>
            </w:r>
          </w:p>
        </w:tc>
        <w:tc>
          <w:tcPr>
            <w:tcW w:w="3690" w:type="dxa"/>
            <w:vAlign w:val="center"/>
          </w:tcPr>
          <w:p w14:paraId="1F96CBB3"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 xml:space="preserve">Conidiophore was thick </w:t>
            </w:r>
            <w:proofErr w:type="gramStart"/>
            <w:r w:rsidRPr="00F34256">
              <w:rPr>
                <w:rFonts w:ascii="Calibri" w:hAnsi="Calibri" w:cs="Calibri"/>
              </w:rPr>
              <w:t xml:space="preserve">walled,   </w:t>
            </w:r>
            <w:proofErr w:type="gramEnd"/>
            <w:r w:rsidRPr="00F34256">
              <w:rPr>
                <w:rFonts w:ascii="Calibri" w:hAnsi="Calibri" w:cs="Calibri"/>
              </w:rPr>
              <w:t>hyaline, erect, long, aseptate with vesicle at the top and having short conidial chains.</w:t>
            </w:r>
          </w:p>
        </w:tc>
        <w:tc>
          <w:tcPr>
            <w:tcW w:w="1715" w:type="dxa"/>
            <w:vAlign w:val="center"/>
          </w:tcPr>
          <w:p w14:paraId="771142F4"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Aspergillus flavus</w:t>
            </w:r>
          </w:p>
        </w:tc>
      </w:tr>
    </w:tbl>
    <w:p w14:paraId="4D994BE0" w14:textId="77777777" w:rsidR="00F34256" w:rsidRPr="00F34256" w:rsidRDefault="00F34256" w:rsidP="00F34256">
      <w:pPr>
        <w:spacing w:after="0" w:line="240" w:lineRule="auto"/>
        <w:rPr>
          <w:rFonts w:ascii="Calibri" w:hAnsi="Calibri" w:cs="Calibri"/>
        </w:rPr>
      </w:pPr>
    </w:p>
    <w:p w14:paraId="0D00B84E" w14:textId="77777777" w:rsidR="00F34256" w:rsidRPr="00F8377A" w:rsidRDefault="00F8377A" w:rsidP="00F8377A">
      <w:pPr>
        <w:spacing w:after="0" w:line="276" w:lineRule="auto"/>
        <w:jc w:val="both"/>
        <w:rPr>
          <w:rFonts w:ascii="Calibri" w:hAnsi="Calibri" w:cs="Calibri"/>
          <w:sz w:val="24"/>
          <w:szCs w:val="24"/>
        </w:rPr>
      </w:pPr>
      <w:r w:rsidRPr="00F8377A">
        <w:rPr>
          <w:rFonts w:ascii="Calibri" w:hAnsi="Calibri" w:cs="Calibri"/>
          <w:sz w:val="24"/>
          <w:szCs w:val="24"/>
        </w:rPr>
        <w:t xml:space="preserve">Table 2 presents the total fungal counts obtained from water samples collected at the three sampling points along the Gwagwalada River, which receives effluent from </w:t>
      </w:r>
      <w:r>
        <w:rPr>
          <w:rFonts w:ascii="Calibri" w:hAnsi="Calibri" w:cs="Calibri"/>
          <w:sz w:val="24"/>
          <w:szCs w:val="24"/>
        </w:rPr>
        <w:t xml:space="preserve">the </w:t>
      </w:r>
      <w:proofErr w:type="spellStart"/>
      <w:r w:rsidRPr="00F8377A">
        <w:rPr>
          <w:rFonts w:ascii="Calibri" w:hAnsi="Calibri" w:cs="Calibri"/>
          <w:sz w:val="24"/>
          <w:szCs w:val="24"/>
        </w:rPr>
        <w:t>Kutunku</w:t>
      </w:r>
      <w:proofErr w:type="spellEnd"/>
      <w:r w:rsidRPr="00F8377A">
        <w:rPr>
          <w:rFonts w:ascii="Calibri" w:hAnsi="Calibri" w:cs="Calibri"/>
          <w:sz w:val="24"/>
          <w:szCs w:val="24"/>
        </w:rPr>
        <w:t xml:space="preserve"> abattoir. The mean fungal plate counts (FPC) were highest at point C (downstream; 1.82 × 10⁷ </w:t>
      </w:r>
      <w:r w:rsidR="00345DD8">
        <w:rPr>
          <w:rFonts w:ascii="Calibri" w:hAnsi="Calibri" w:cs="Calibri"/>
          <w:sz w:val="24"/>
          <w:szCs w:val="24"/>
        </w:rPr>
        <w:t>CFU</w:t>
      </w:r>
      <w:r w:rsidRPr="00F8377A">
        <w:rPr>
          <w:rFonts w:ascii="Calibri" w:hAnsi="Calibri" w:cs="Calibri"/>
          <w:sz w:val="24"/>
          <w:szCs w:val="24"/>
        </w:rPr>
        <w:t xml:space="preserve">/mL), followed by point B (effluent discharge point; 3.9 × 10⁶ </w:t>
      </w:r>
      <w:r w:rsidR="00345DD8">
        <w:rPr>
          <w:rFonts w:ascii="Calibri" w:hAnsi="Calibri" w:cs="Calibri"/>
          <w:sz w:val="24"/>
          <w:szCs w:val="24"/>
        </w:rPr>
        <w:t>CFU</w:t>
      </w:r>
      <w:r w:rsidRPr="00F8377A">
        <w:rPr>
          <w:rFonts w:ascii="Calibri" w:hAnsi="Calibri" w:cs="Calibri"/>
          <w:sz w:val="24"/>
          <w:szCs w:val="24"/>
        </w:rPr>
        <w:t xml:space="preserve">/mL), and lowest at point A (upstream; 3.5 × 10⁶ </w:t>
      </w:r>
      <w:r w:rsidR="00345DD8">
        <w:rPr>
          <w:rFonts w:ascii="Calibri" w:hAnsi="Calibri" w:cs="Calibri"/>
          <w:sz w:val="24"/>
          <w:szCs w:val="24"/>
        </w:rPr>
        <w:t>CFU</w:t>
      </w:r>
      <w:r w:rsidRPr="00F8377A">
        <w:rPr>
          <w:rFonts w:ascii="Calibri" w:hAnsi="Calibri" w:cs="Calibri"/>
          <w:sz w:val="24"/>
          <w:szCs w:val="24"/>
        </w:rPr>
        <w:t>/mL), indicating a progressive increase in fungal load downstream of the abattoir discharge.</w:t>
      </w:r>
    </w:p>
    <w:p w14:paraId="6FAB3956" w14:textId="77777777" w:rsidR="00F8377A" w:rsidRPr="00F8377A" w:rsidRDefault="00F8377A" w:rsidP="00F8377A">
      <w:pPr>
        <w:pStyle w:val="NormalWeb"/>
        <w:spacing w:before="0" w:beforeAutospacing="0" w:after="0" w:afterAutospacing="0"/>
        <w:rPr>
          <w:rFonts w:ascii="Calibri" w:hAnsi="Calibri" w:cs="Calibri"/>
          <w:b/>
          <w:sz w:val="22"/>
          <w:szCs w:val="22"/>
        </w:rPr>
      </w:pPr>
      <w:r w:rsidRPr="00F8377A">
        <w:rPr>
          <w:rFonts w:ascii="Calibri" w:hAnsi="Calibri" w:cs="Calibri"/>
          <w:b/>
          <w:noProof/>
          <w:sz w:val="22"/>
          <w:szCs w:val="22"/>
        </w:rPr>
        <w:drawing>
          <wp:inline distT="0" distB="0" distL="0" distR="0" wp14:anchorId="0D17D00D" wp14:editId="659531C7">
            <wp:extent cx="5914417" cy="192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502" cy="1927937"/>
                    </a:xfrm>
                    <a:prstGeom prst="rect">
                      <a:avLst/>
                    </a:prstGeom>
                    <a:noFill/>
                    <a:ln>
                      <a:noFill/>
                    </a:ln>
                  </pic:spPr>
                </pic:pic>
              </a:graphicData>
            </a:graphic>
          </wp:inline>
        </w:drawing>
      </w:r>
    </w:p>
    <w:p w14:paraId="16C39081" w14:textId="77777777" w:rsidR="00F8377A" w:rsidRPr="00F8377A" w:rsidRDefault="00F8377A" w:rsidP="00F8377A">
      <w:pPr>
        <w:spacing w:after="0" w:line="240" w:lineRule="auto"/>
        <w:ind w:right="-732"/>
        <w:rPr>
          <w:rFonts w:ascii="Calibri" w:hAnsi="Calibri" w:cs="Calibri"/>
          <w:b/>
        </w:rPr>
      </w:pPr>
      <w:r w:rsidRPr="00F8377A">
        <w:rPr>
          <w:rFonts w:ascii="Calibri" w:hAnsi="Calibri" w:cs="Calibri"/>
        </w:rPr>
        <w:t>Plate 1.</w:t>
      </w:r>
      <w:r w:rsidRPr="00F8377A">
        <w:rPr>
          <w:rFonts w:ascii="Calibri" w:hAnsi="Calibri" w:cs="Calibri"/>
          <w:b/>
        </w:rPr>
        <w:t xml:space="preserve"> </w:t>
      </w:r>
      <w:r w:rsidRPr="00F8377A">
        <w:rPr>
          <w:rFonts w:ascii="Calibri" w:hAnsi="Calibri" w:cs="Calibri"/>
        </w:rPr>
        <w:t xml:space="preserve">Fungal plates (A: </w:t>
      </w:r>
      <w:r w:rsidRPr="00F8377A">
        <w:rPr>
          <w:rFonts w:ascii="Calibri" w:hAnsi="Calibri" w:cs="Calibri"/>
          <w:i/>
        </w:rPr>
        <w:t xml:space="preserve">Fusarium </w:t>
      </w:r>
      <w:proofErr w:type="spellStart"/>
      <w:r w:rsidRPr="00F8377A">
        <w:rPr>
          <w:rFonts w:ascii="Calibri" w:hAnsi="Calibri" w:cs="Calibri"/>
          <w:i/>
        </w:rPr>
        <w:t>oxysporum</w:t>
      </w:r>
      <w:proofErr w:type="spellEnd"/>
      <w:r w:rsidRPr="00F8377A">
        <w:rPr>
          <w:rFonts w:ascii="Calibri" w:hAnsi="Calibri" w:cs="Calibri"/>
          <w:i/>
        </w:rPr>
        <w:t xml:space="preserve">, </w:t>
      </w:r>
      <w:r w:rsidRPr="00F8377A">
        <w:rPr>
          <w:rFonts w:ascii="Calibri" w:hAnsi="Calibri" w:cs="Calibri"/>
        </w:rPr>
        <w:t xml:space="preserve">B: </w:t>
      </w:r>
      <w:r w:rsidRPr="00F8377A">
        <w:rPr>
          <w:rFonts w:ascii="Calibri" w:hAnsi="Calibri" w:cs="Calibri"/>
          <w:i/>
        </w:rPr>
        <w:t xml:space="preserve">Aspergillus </w:t>
      </w:r>
      <w:proofErr w:type="spellStart"/>
      <w:r w:rsidRPr="00F8377A">
        <w:rPr>
          <w:rFonts w:ascii="Calibri" w:hAnsi="Calibri" w:cs="Calibri"/>
          <w:i/>
        </w:rPr>
        <w:t>niger</w:t>
      </w:r>
      <w:proofErr w:type="spellEnd"/>
      <w:r w:rsidRPr="00F8377A">
        <w:rPr>
          <w:rFonts w:ascii="Calibri" w:hAnsi="Calibri" w:cs="Calibri"/>
          <w:i/>
        </w:rPr>
        <w:t xml:space="preserve">, </w:t>
      </w:r>
      <w:r w:rsidRPr="00F8377A">
        <w:rPr>
          <w:rFonts w:ascii="Calibri" w:hAnsi="Calibri" w:cs="Calibri"/>
        </w:rPr>
        <w:t xml:space="preserve">C: </w:t>
      </w:r>
      <w:r w:rsidRPr="00F8377A">
        <w:rPr>
          <w:rFonts w:ascii="Calibri" w:hAnsi="Calibri" w:cs="Calibri"/>
          <w:i/>
        </w:rPr>
        <w:t>Aspergillus flavus</w:t>
      </w:r>
      <w:r w:rsidRPr="00F8377A">
        <w:rPr>
          <w:rFonts w:ascii="Calibri" w:hAnsi="Calibri" w:cs="Calibri"/>
        </w:rPr>
        <w:t xml:space="preserve">) </w:t>
      </w:r>
      <w:r w:rsidRPr="00F8377A">
        <w:rPr>
          <w:rFonts w:ascii="Calibri" w:hAnsi="Calibri" w:cs="Calibri"/>
          <w:b/>
        </w:rPr>
        <w:t xml:space="preserve">                                </w:t>
      </w:r>
    </w:p>
    <w:p w14:paraId="678B6CDE" w14:textId="77777777" w:rsidR="00F8377A" w:rsidRPr="00F34256" w:rsidRDefault="00F8377A" w:rsidP="00F34256">
      <w:pPr>
        <w:spacing w:after="0" w:line="240" w:lineRule="auto"/>
        <w:rPr>
          <w:rFonts w:ascii="Calibri" w:hAnsi="Calibri" w:cs="Calibri"/>
        </w:rPr>
      </w:pPr>
    </w:p>
    <w:p w14:paraId="6ADC6FD7" w14:textId="77777777" w:rsidR="00F8377A" w:rsidRDefault="00F8377A" w:rsidP="00F34256">
      <w:pPr>
        <w:spacing w:after="0" w:line="240" w:lineRule="auto"/>
        <w:rPr>
          <w:rFonts w:ascii="Calibri" w:hAnsi="Calibri" w:cs="Calibri"/>
        </w:rPr>
      </w:pPr>
    </w:p>
    <w:p w14:paraId="25BB7A3A"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2. Total fungal count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5"/>
        <w:gridCol w:w="2205"/>
        <w:gridCol w:w="2206"/>
      </w:tblGrid>
      <w:tr w:rsidR="00F34256" w:rsidRPr="00F34256" w14:paraId="508931D7" w14:textId="77777777" w:rsidTr="00345DD8">
        <w:trPr>
          <w:trHeight w:val="611"/>
        </w:trPr>
        <w:tc>
          <w:tcPr>
            <w:tcW w:w="2205" w:type="dxa"/>
            <w:tcBorders>
              <w:bottom w:val="single" w:sz="4" w:space="0" w:color="auto"/>
            </w:tcBorders>
            <w:vAlign w:val="center"/>
          </w:tcPr>
          <w:p w14:paraId="244CC4EF"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Sample</w:t>
            </w:r>
          </w:p>
        </w:tc>
        <w:tc>
          <w:tcPr>
            <w:tcW w:w="2205" w:type="dxa"/>
            <w:tcBorders>
              <w:bottom w:val="single" w:sz="4" w:space="0" w:color="auto"/>
            </w:tcBorders>
            <w:vAlign w:val="center"/>
          </w:tcPr>
          <w:p w14:paraId="302BD1B4"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A</w:t>
            </w:r>
          </w:p>
        </w:tc>
        <w:tc>
          <w:tcPr>
            <w:tcW w:w="2205" w:type="dxa"/>
            <w:tcBorders>
              <w:bottom w:val="single" w:sz="4" w:space="0" w:color="auto"/>
            </w:tcBorders>
            <w:vAlign w:val="center"/>
          </w:tcPr>
          <w:p w14:paraId="1C18A7CE"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B</w:t>
            </w:r>
          </w:p>
        </w:tc>
        <w:tc>
          <w:tcPr>
            <w:tcW w:w="2206" w:type="dxa"/>
            <w:tcBorders>
              <w:bottom w:val="single" w:sz="4" w:space="0" w:color="auto"/>
            </w:tcBorders>
            <w:vAlign w:val="center"/>
          </w:tcPr>
          <w:p w14:paraId="78EA5343"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C</w:t>
            </w:r>
          </w:p>
        </w:tc>
      </w:tr>
      <w:tr w:rsidR="00F34256" w:rsidRPr="00F34256" w14:paraId="4C74C9AF" w14:textId="77777777" w:rsidTr="00345DD8">
        <w:trPr>
          <w:trHeight w:val="624"/>
        </w:trPr>
        <w:tc>
          <w:tcPr>
            <w:tcW w:w="2205" w:type="dxa"/>
            <w:tcBorders>
              <w:top w:val="single" w:sz="4" w:space="0" w:color="auto"/>
              <w:bottom w:val="nil"/>
            </w:tcBorders>
            <w:vAlign w:val="center"/>
          </w:tcPr>
          <w:p w14:paraId="3A49F2BA"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FPC (</w:t>
            </w:r>
            <w:r w:rsidR="00345DD8">
              <w:rPr>
                <w:rFonts w:ascii="Calibri" w:hAnsi="Calibri" w:cs="Calibri"/>
              </w:rPr>
              <w:t>CFU</w:t>
            </w:r>
            <w:r w:rsidRPr="00F34256">
              <w:rPr>
                <w:rFonts w:ascii="Calibri" w:hAnsi="Calibri" w:cs="Calibri"/>
              </w:rPr>
              <w:t>/ml)</w:t>
            </w:r>
          </w:p>
        </w:tc>
        <w:tc>
          <w:tcPr>
            <w:tcW w:w="2205" w:type="dxa"/>
            <w:tcBorders>
              <w:top w:val="single" w:sz="4" w:space="0" w:color="auto"/>
              <w:bottom w:val="nil"/>
            </w:tcBorders>
            <w:vAlign w:val="center"/>
          </w:tcPr>
          <w:p w14:paraId="41F19972"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3.5 * 10</w:t>
            </w:r>
            <w:r w:rsidRPr="00F34256">
              <w:rPr>
                <w:rFonts w:ascii="Calibri" w:hAnsi="Calibri" w:cs="Calibri"/>
                <w:vertAlign w:val="superscript"/>
              </w:rPr>
              <w:t>6</w:t>
            </w:r>
          </w:p>
        </w:tc>
        <w:tc>
          <w:tcPr>
            <w:tcW w:w="2205" w:type="dxa"/>
            <w:tcBorders>
              <w:top w:val="single" w:sz="4" w:space="0" w:color="auto"/>
              <w:bottom w:val="nil"/>
            </w:tcBorders>
            <w:vAlign w:val="center"/>
          </w:tcPr>
          <w:p w14:paraId="6C987604"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3.9 * 10</w:t>
            </w:r>
            <w:r w:rsidRPr="00F34256">
              <w:rPr>
                <w:rFonts w:ascii="Calibri" w:hAnsi="Calibri" w:cs="Calibri"/>
                <w:vertAlign w:val="superscript"/>
              </w:rPr>
              <w:t>6</w:t>
            </w:r>
          </w:p>
        </w:tc>
        <w:tc>
          <w:tcPr>
            <w:tcW w:w="2206" w:type="dxa"/>
            <w:tcBorders>
              <w:top w:val="single" w:sz="4" w:space="0" w:color="auto"/>
              <w:bottom w:val="nil"/>
            </w:tcBorders>
            <w:vAlign w:val="center"/>
          </w:tcPr>
          <w:p w14:paraId="2FF45BDC"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1.82 * 10</w:t>
            </w:r>
            <w:r w:rsidRPr="00F34256">
              <w:rPr>
                <w:rFonts w:ascii="Calibri" w:hAnsi="Calibri" w:cs="Calibri"/>
                <w:vertAlign w:val="superscript"/>
              </w:rPr>
              <w:t>7</w:t>
            </w:r>
          </w:p>
        </w:tc>
      </w:tr>
      <w:tr w:rsidR="00F34256" w:rsidRPr="00F34256" w14:paraId="2720BE5A" w14:textId="77777777" w:rsidTr="00345DD8">
        <w:trPr>
          <w:trHeight w:val="611"/>
        </w:trPr>
        <w:tc>
          <w:tcPr>
            <w:tcW w:w="2205" w:type="dxa"/>
            <w:tcBorders>
              <w:top w:val="nil"/>
            </w:tcBorders>
            <w:vAlign w:val="center"/>
          </w:tcPr>
          <w:p w14:paraId="376A1258" w14:textId="77777777" w:rsidR="00F34256" w:rsidRPr="00F34256" w:rsidRDefault="00F34256" w:rsidP="00345DD8">
            <w:pPr>
              <w:spacing w:line="240" w:lineRule="auto"/>
              <w:jc w:val="center"/>
              <w:rPr>
                <w:rFonts w:ascii="Calibri" w:hAnsi="Calibri" w:cs="Calibri"/>
              </w:rPr>
            </w:pPr>
            <w:r w:rsidRPr="00F34256">
              <w:rPr>
                <w:rFonts w:ascii="Calibri" w:hAnsi="Calibri" w:cs="Calibri"/>
                <w:i/>
              </w:rPr>
              <w:t>P</w:t>
            </w:r>
            <w:r w:rsidRPr="00F34256">
              <w:rPr>
                <w:rFonts w:ascii="Calibri" w:hAnsi="Calibri" w:cs="Calibri"/>
              </w:rPr>
              <w:t>-value</w:t>
            </w:r>
          </w:p>
        </w:tc>
        <w:tc>
          <w:tcPr>
            <w:tcW w:w="2205" w:type="dxa"/>
            <w:tcBorders>
              <w:top w:val="nil"/>
            </w:tcBorders>
            <w:vAlign w:val="center"/>
          </w:tcPr>
          <w:p w14:paraId="7B4E96A7"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&lt; 0.05</w:t>
            </w:r>
          </w:p>
        </w:tc>
        <w:tc>
          <w:tcPr>
            <w:tcW w:w="2205" w:type="dxa"/>
            <w:tcBorders>
              <w:top w:val="nil"/>
            </w:tcBorders>
            <w:vAlign w:val="center"/>
          </w:tcPr>
          <w:p w14:paraId="10F678F6" w14:textId="77777777" w:rsidR="00F34256" w:rsidRPr="00F34256" w:rsidRDefault="00F34256" w:rsidP="00345DD8">
            <w:pPr>
              <w:spacing w:line="240" w:lineRule="auto"/>
              <w:jc w:val="center"/>
              <w:rPr>
                <w:rFonts w:ascii="Calibri" w:hAnsi="Calibri" w:cs="Calibri"/>
              </w:rPr>
            </w:pPr>
          </w:p>
        </w:tc>
        <w:tc>
          <w:tcPr>
            <w:tcW w:w="2206" w:type="dxa"/>
            <w:tcBorders>
              <w:top w:val="nil"/>
            </w:tcBorders>
            <w:vAlign w:val="center"/>
          </w:tcPr>
          <w:p w14:paraId="5A8B253F" w14:textId="77777777" w:rsidR="00F34256" w:rsidRPr="00F34256" w:rsidRDefault="00F34256" w:rsidP="00345DD8">
            <w:pPr>
              <w:spacing w:line="240" w:lineRule="auto"/>
              <w:jc w:val="center"/>
              <w:rPr>
                <w:rFonts w:ascii="Calibri" w:hAnsi="Calibri" w:cs="Calibri"/>
              </w:rPr>
            </w:pPr>
          </w:p>
        </w:tc>
      </w:tr>
    </w:tbl>
    <w:p w14:paraId="2E333BB8" w14:textId="77777777" w:rsidR="00F34256" w:rsidRPr="00F34256" w:rsidRDefault="00F34256" w:rsidP="00F34256">
      <w:pPr>
        <w:spacing w:after="0" w:line="240" w:lineRule="auto"/>
        <w:rPr>
          <w:rFonts w:ascii="Calibri" w:hAnsi="Calibri" w:cs="Calibri"/>
        </w:rPr>
      </w:pPr>
      <w:r w:rsidRPr="00F34256">
        <w:rPr>
          <w:rFonts w:ascii="Calibri" w:hAnsi="Calibri" w:cs="Calibri"/>
        </w:rPr>
        <w:t xml:space="preserve"> Key: FPC = Fungal Plate Count, </w:t>
      </w:r>
      <w:r w:rsidR="00345DD8">
        <w:rPr>
          <w:rFonts w:ascii="Calibri" w:hAnsi="Calibri" w:cs="Calibri"/>
        </w:rPr>
        <w:t>CFU</w:t>
      </w:r>
      <w:r w:rsidRPr="00F34256">
        <w:rPr>
          <w:rFonts w:ascii="Calibri" w:hAnsi="Calibri" w:cs="Calibri"/>
        </w:rPr>
        <w:t>/ml = colony forming units per ml</w:t>
      </w:r>
    </w:p>
    <w:p w14:paraId="7E86BE15" w14:textId="77777777" w:rsidR="00F34256" w:rsidRPr="00F34256" w:rsidRDefault="00F34256" w:rsidP="00F34256">
      <w:pPr>
        <w:spacing w:after="0" w:line="240" w:lineRule="auto"/>
        <w:rPr>
          <w:rFonts w:ascii="Calibri" w:hAnsi="Calibri" w:cs="Calibri"/>
        </w:rPr>
      </w:pPr>
    </w:p>
    <w:p w14:paraId="12372D55" w14:textId="77777777" w:rsidR="00024A6D" w:rsidRDefault="00024A6D" w:rsidP="00024A6D">
      <w:pPr>
        <w:spacing w:after="0" w:line="276" w:lineRule="auto"/>
        <w:jc w:val="both"/>
        <w:rPr>
          <w:rFonts w:ascii="Calibri" w:hAnsi="Calibri" w:cs="Calibri"/>
          <w:sz w:val="24"/>
          <w:szCs w:val="24"/>
        </w:rPr>
      </w:pPr>
    </w:p>
    <w:p w14:paraId="69D2D989" w14:textId="77777777" w:rsidR="00F34256" w:rsidRPr="00024A6D" w:rsidRDefault="00024A6D" w:rsidP="00024A6D">
      <w:pPr>
        <w:spacing w:after="0" w:line="276" w:lineRule="auto"/>
        <w:jc w:val="both"/>
        <w:rPr>
          <w:rFonts w:ascii="Calibri" w:hAnsi="Calibri" w:cs="Calibri"/>
          <w:sz w:val="24"/>
          <w:szCs w:val="24"/>
        </w:rPr>
      </w:pPr>
      <w:r w:rsidRPr="00024A6D">
        <w:rPr>
          <w:rFonts w:ascii="Calibri" w:hAnsi="Calibri" w:cs="Calibri"/>
          <w:sz w:val="24"/>
          <w:szCs w:val="24"/>
        </w:rPr>
        <w:t xml:space="preserve">Table 3 shows the antifungal susceptibility profile of the fungal isolates recovered from </w:t>
      </w:r>
      <w:r>
        <w:rPr>
          <w:rFonts w:ascii="Calibri" w:hAnsi="Calibri" w:cs="Calibri"/>
          <w:sz w:val="24"/>
          <w:szCs w:val="24"/>
        </w:rPr>
        <w:t xml:space="preserve">the </w:t>
      </w:r>
      <w:r w:rsidRPr="00024A6D">
        <w:rPr>
          <w:rFonts w:ascii="Calibri" w:hAnsi="Calibri" w:cs="Calibri"/>
          <w:sz w:val="24"/>
          <w:szCs w:val="24"/>
        </w:rPr>
        <w:t xml:space="preserve">Gwagwalada River. All isolates, including </w:t>
      </w:r>
      <w:r w:rsidRPr="00024A6D">
        <w:rPr>
          <w:rFonts w:ascii="Calibri" w:hAnsi="Calibri" w:cs="Calibri"/>
          <w:i/>
          <w:iCs/>
          <w:sz w:val="24"/>
          <w:szCs w:val="24"/>
        </w:rPr>
        <w:t xml:space="preserve">Fusarium </w:t>
      </w:r>
      <w:proofErr w:type="spellStart"/>
      <w:r w:rsidRPr="00024A6D">
        <w:rPr>
          <w:rFonts w:ascii="Calibri" w:hAnsi="Calibri" w:cs="Calibri"/>
          <w:i/>
          <w:iCs/>
          <w:sz w:val="24"/>
          <w:szCs w:val="24"/>
        </w:rPr>
        <w:t>oxysporum</w:t>
      </w:r>
      <w:proofErr w:type="spellEnd"/>
      <w:r w:rsidRPr="00024A6D">
        <w:rPr>
          <w:rFonts w:ascii="Calibri" w:hAnsi="Calibri" w:cs="Calibri"/>
          <w:sz w:val="24"/>
          <w:szCs w:val="24"/>
        </w:rPr>
        <w:t xml:space="preserve">, </w:t>
      </w:r>
      <w:r w:rsidRPr="00024A6D">
        <w:rPr>
          <w:rFonts w:ascii="Calibri" w:hAnsi="Calibri" w:cs="Calibri"/>
          <w:i/>
          <w:iCs/>
          <w:sz w:val="24"/>
          <w:szCs w:val="24"/>
        </w:rPr>
        <w:t xml:space="preserve">Aspergillus </w:t>
      </w:r>
      <w:proofErr w:type="spellStart"/>
      <w:r w:rsidRPr="00024A6D">
        <w:rPr>
          <w:rFonts w:ascii="Calibri" w:hAnsi="Calibri" w:cs="Calibri"/>
          <w:i/>
          <w:iCs/>
          <w:sz w:val="24"/>
          <w:szCs w:val="24"/>
        </w:rPr>
        <w:t>niger</w:t>
      </w:r>
      <w:proofErr w:type="spellEnd"/>
      <w:r w:rsidRPr="00024A6D">
        <w:rPr>
          <w:rFonts w:ascii="Calibri" w:hAnsi="Calibri" w:cs="Calibri"/>
          <w:sz w:val="24"/>
          <w:szCs w:val="24"/>
        </w:rPr>
        <w:t xml:space="preserve">, and </w:t>
      </w:r>
      <w:r w:rsidRPr="00024A6D">
        <w:rPr>
          <w:rFonts w:ascii="Calibri" w:hAnsi="Calibri" w:cs="Calibri"/>
          <w:i/>
          <w:iCs/>
          <w:sz w:val="24"/>
          <w:szCs w:val="24"/>
        </w:rPr>
        <w:t>Aspergillus flavus</w:t>
      </w:r>
      <w:r w:rsidRPr="00024A6D">
        <w:rPr>
          <w:rFonts w:ascii="Calibri" w:hAnsi="Calibri" w:cs="Calibri"/>
          <w:sz w:val="24"/>
          <w:szCs w:val="24"/>
        </w:rPr>
        <w:t>, exhibited complete susceptibility to the tested antifungal agents</w:t>
      </w:r>
      <w:r>
        <w:rPr>
          <w:rFonts w:ascii="Calibri" w:hAnsi="Calibri" w:cs="Calibri"/>
          <w:sz w:val="24"/>
          <w:szCs w:val="24"/>
        </w:rPr>
        <w:t xml:space="preserve">, </w:t>
      </w:r>
      <w:r w:rsidRPr="00024A6D">
        <w:rPr>
          <w:rFonts w:ascii="Calibri" w:hAnsi="Calibri" w:cs="Calibri"/>
          <w:sz w:val="24"/>
          <w:szCs w:val="24"/>
        </w:rPr>
        <w:t>clotrimazole, ketoconazole, and nystatin</w:t>
      </w:r>
      <w:r>
        <w:rPr>
          <w:rFonts w:ascii="Calibri" w:hAnsi="Calibri" w:cs="Calibri"/>
          <w:sz w:val="24"/>
          <w:szCs w:val="24"/>
        </w:rPr>
        <w:t xml:space="preserve">, </w:t>
      </w:r>
      <w:r w:rsidRPr="00024A6D">
        <w:rPr>
          <w:rFonts w:ascii="Calibri" w:hAnsi="Calibri" w:cs="Calibri"/>
          <w:sz w:val="24"/>
          <w:szCs w:val="24"/>
        </w:rPr>
        <w:t>indicating their effectiveness against the river borne fungal species assessed in this study.</w:t>
      </w:r>
    </w:p>
    <w:p w14:paraId="58F05DCB" w14:textId="77777777" w:rsidR="00024A6D" w:rsidRDefault="00024A6D" w:rsidP="00F34256">
      <w:pPr>
        <w:spacing w:after="0" w:line="240" w:lineRule="auto"/>
        <w:rPr>
          <w:rFonts w:ascii="Calibri" w:hAnsi="Calibri" w:cs="Calibri"/>
        </w:rPr>
      </w:pPr>
    </w:p>
    <w:p w14:paraId="184B2CB6" w14:textId="77777777" w:rsidR="00024A6D" w:rsidRPr="00F34256" w:rsidRDefault="00024A6D" w:rsidP="00F34256">
      <w:pPr>
        <w:spacing w:after="0" w:line="240" w:lineRule="auto"/>
        <w:rPr>
          <w:rFonts w:ascii="Calibri" w:hAnsi="Calibri" w:cs="Calibri"/>
        </w:rPr>
      </w:pPr>
    </w:p>
    <w:p w14:paraId="16FEEE2E"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3. Antifungal susceptibility profile of fungal isolates (mm)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255"/>
        <w:gridCol w:w="2256"/>
        <w:gridCol w:w="2256"/>
      </w:tblGrid>
      <w:tr w:rsidR="00F34256" w:rsidRPr="00F34256" w14:paraId="698512FC" w14:textId="77777777" w:rsidTr="00F8377A">
        <w:tc>
          <w:tcPr>
            <w:tcW w:w="2265" w:type="dxa"/>
            <w:tcBorders>
              <w:bottom w:val="single" w:sz="4" w:space="0" w:color="auto"/>
            </w:tcBorders>
            <w:vAlign w:val="center"/>
          </w:tcPr>
          <w:p w14:paraId="4D0406B2"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Isolate</w:t>
            </w:r>
          </w:p>
        </w:tc>
        <w:tc>
          <w:tcPr>
            <w:tcW w:w="2265" w:type="dxa"/>
            <w:tcBorders>
              <w:bottom w:val="single" w:sz="4" w:space="0" w:color="auto"/>
            </w:tcBorders>
            <w:vAlign w:val="center"/>
          </w:tcPr>
          <w:p w14:paraId="2E81A60B"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CLO</w:t>
            </w:r>
          </w:p>
        </w:tc>
        <w:tc>
          <w:tcPr>
            <w:tcW w:w="2266" w:type="dxa"/>
            <w:tcBorders>
              <w:bottom w:val="single" w:sz="4" w:space="0" w:color="auto"/>
            </w:tcBorders>
            <w:vAlign w:val="center"/>
          </w:tcPr>
          <w:p w14:paraId="3ECBC37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KET</w:t>
            </w:r>
          </w:p>
        </w:tc>
        <w:tc>
          <w:tcPr>
            <w:tcW w:w="2266" w:type="dxa"/>
            <w:tcBorders>
              <w:bottom w:val="single" w:sz="4" w:space="0" w:color="auto"/>
            </w:tcBorders>
            <w:vAlign w:val="center"/>
          </w:tcPr>
          <w:p w14:paraId="2A17AE43"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NYS</w:t>
            </w:r>
          </w:p>
        </w:tc>
      </w:tr>
      <w:tr w:rsidR="00F34256" w:rsidRPr="00F34256" w14:paraId="1FB9E293" w14:textId="77777777" w:rsidTr="00F8377A">
        <w:tc>
          <w:tcPr>
            <w:tcW w:w="2265" w:type="dxa"/>
            <w:tcBorders>
              <w:top w:val="single" w:sz="4" w:space="0" w:color="auto"/>
              <w:bottom w:val="nil"/>
            </w:tcBorders>
            <w:vAlign w:val="center"/>
          </w:tcPr>
          <w:p w14:paraId="313634CD" w14:textId="77777777" w:rsidR="00F34256" w:rsidRPr="00F34256" w:rsidRDefault="00F34256" w:rsidP="00F8377A">
            <w:pPr>
              <w:spacing w:line="360" w:lineRule="auto"/>
              <w:jc w:val="center"/>
              <w:rPr>
                <w:rFonts w:ascii="Calibri" w:hAnsi="Calibri" w:cs="Calibri"/>
                <w:i/>
              </w:rPr>
            </w:pPr>
            <w:proofErr w:type="spellStart"/>
            <w:r w:rsidRPr="00F34256">
              <w:rPr>
                <w:rFonts w:ascii="Calibri" w:hAnsi="Calibri" w:cs="Calibri"/>
                <w:i/>
              </w:rPr>
              <w:t>Fasarium</w:t>
            </w:r>
            <w:proofErr w:type="spellEnd"/>
            <w:r w:rsidRPr="00F34256">
              <w:rPr>
                <w:rFonts w:ascii="Calibri" w:hAnsi="Calibri" w:cs="Calibri"/>
                <w:i/>
              </w:rPr>
              <w:t xml:space="preserve"> </w:t>
            </w:r>
            <w:proofErr w:type="spellStart"/>
            <w:r w:rsidRPr="00F34256">
              <w:rPr>
                <w:rFonts w:ascii="Calibri" w:hAnsi="Calibri" w:cs="Calibri"/>
                <w:i/>
              </w:rPr>
              <w:t>oxysporum</w:t>
            </w:r>
            <w:proofErr w:type="spellEnd"/>
          </w:p>
        </w:tc>
        <w:tc>
          <w:tcPr>
            <w:tcW w:w="2265" w:type="dxa"/>
            <w:tcBorders>
              <w:top w:val="single" w:sz="4" w:space="0" w:color="auto"/>
              <w:bottom w:val="nil"/>
            </w:tcBorders>
            <w:vAlign w:val="center"/>
          </w:tcPr>
          <w:p w14:paraId="07945B7E"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25 (S)</w:t>
            </w:r>
          </w:p>
        </w:tc>
        <w:tc>
          <w:tcPr>
            <w:tcW w:w="2266" w:type="dxa"/>
            <w:tcBorders>
              <w:top w:val="single" w:sz="4" w:space="0" w:color="auto"/>
              <w:bottom w:val="nil"/>
            </w:tcBorders>
            <w:vAlign w:val="center"/>
          </w:tcPr>
          <w:p w14:paraId="61869B08"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13 (S)</w:t>
            </w:r>
          </w:p>
        </w:tc>
        <w:tc>
          <w:tcPr>
            <w:tcW w:w="2266" w:type="dxa"/>
            <w:tcBorders>
              <w:top w:val="single" w:sz="4" w:space="0" w:color="auto"/>
              <w:bottom w:val="nil"/>
            </w:tcBorders>
            <w:vAlign w:val="center"/>
          </w:tcPr>
          <w:p w14:paraId="03F66CD5"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23 (S)</w:t>
            </w:r>
          </w:p>
        </w:tc>
      </w:tr>
      <w:tr w:rsidR="00F34256" w:rsidRPr="00F34256" w14:paraId="3623511D" w14:textId="77777777" w:rsidTr="00F8377A">
        <w:tc>
          <w:tcPr>
            <w:tcW w:w="2265" w:type="dxa"/>
            <w:tcBorders>
              <w:top w:val="nil"/>
            </w:tcBorders>
            <w:vAlign w:val="center"/>
          </w:tcPr>
          <w:p w14:paraId="3935E7E9" w14:textId="77777777" w:rsidR="00F34256" w:rsidRPr="00F34256" w:rsidRDefault="00F34256" w:rsidP="00F8377A">
            <w:pPr>
              <w:spacing w:line="360" w:lineRule="auto"/>
              <w:jc w:val="center"/>
              <w:rPr>
                <w:rFonts w:ascii="Calibri" w:hAnsi="Calibri" w:cs="Calibri"/>
                <w: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c>
          <w:tcPr>
            <w:tcW w:w="2265" w:type="dxa"/>
            <w:tcBorders>
              <w:top w:val="nil"/>
            </w:tcBorders>
            <w:vAlign w:val="center"/>
          </w:tcPr>
          <w:p w14:paraId="640EAC8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21 (S)</w:t>
            </w:r>
          </w:p>
        </w:tc>
        <w:tc>
          <w:tcPr>
            <w:tcW w:w="2266" w:type="dxa"/>
            <w:tcBorders>
              <w:top w:val="nil"/>
            </w:tcBorders>
            <w:vAlign w:val="center"/>
          </w:tcPr>
          <w:p w14:paraId="21FEDEC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10 (S)</w:t>
            </w:r>
          </w:p>
        </w:tc>
        <w:tc>
          <w:tcPr>
            <w:tcW w:w="2266" w:type="dxa"/>
            <w:tcBorders>
              <w:top w:val="nil"/>
            </w:tcBorders>
            <w:vAlign w:val="center"/>
          </w:tcPr>
          <w:p w14:paraId="49B4BF7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20 (S)</w:t>
            </w:r>
          </w:p>
        </w:tc>
      </w:tr>
      <w:tr w:rsidR="00F34256" w:rsidRPr="00F34256" w14:paraId="0F4CD64D" w14:textId="77777777" w:rsidTr="00F8377A">
        <w:tc>
          <w:tcPr>
            <w:tcW w:w="2265" w:type="dxa"/>
            <w:vAlign w:val="center"/>
          </w:tcPr>
          <w:p w14:paraId="03EBA78C" w14:textId="77777777" w:rsidR="00F34256" w:rsidRPr="00F34256" w:rsidRDefault="00F34256" w:rsidP="00F8377A">
            <w:pPr>
              <w:spacing w:line="360" w:lineRule="auto"/>
              <w:jc w:val="center"/>
              <w:rPr>
                <w:rFonts w:ascii="Calibri" w:hAnsi="Calibri" w:cs="Calibri"/>
                <w:i/>
              </w:rPr>
            </w:pPr>
            <w:r w:rsidRPr="00F34256">
              <w:rPr>
                <w:rFonts w:ascii="Calibri" w:hAnsi="Calibri" w:cs="Calibri"/>
                <w:i/>
              </w:rPr>
              <w:t>Aspergillus flavus</w:t>
            </w:r>
          </w:p>
        </w:tc>
        <w:tc>
          <w:tcPr>
            <w:tcW w:w="2265" w:type="dxa"/>
            <w:vAlign w:val="center"/>
          </w:tcPr>
          <w:p w14:paraId="0287497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22 (S)</w:t>
            </w:r>
          </w:p>
        </w:tc>
        <w:tc>
          <w:tcPr>
            <w:tcW w:w="2266" w:type="dxa"/>
            <w:vAlign w:val="center"/>
          </w:tcPr>
          <w:p w14:paraId="1B19A555"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23 (S)</w:t>
            </w:r>
          </w:p>
        </w:tc>
        <w:tc>
          <w:tcPr>
            <w:tcW w:w="2266" w:type="dxa"/>
            <w:vAlign w:val="center"/>
          </w:tcPr>
          <w:p w14:paraId="41E87E9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24 (S)</w:t>
            </w:r>
          </w:p>
        </w:tc>
      </w:tr>
    </w:tbl>
    <w:p w14:paraId="11C5F5FB" w14:textId="77777777" w:rsidR="00F34256" w:rsidRPr="00F34256" w:rsidRDefault="00F34256" w:rsidP="00F34256">
      <w:pPr>
        <w:spacing w:after="0" w:line="240" w:lineRule="auto"/>
        <w:rPr>
          <w:rFonts w:ascii="Calibri" w:hAnsi="Calibri" w:cs="Calibri"/>
        </w:rPr>
      </w:pPr>
      <w:r w:rsidRPr="00F34256">
        <w:rPr>
          <w:rFonts w:ascii="Calibri" w:hAnsi="Calibri" w:cs="Calibri"/>
        </w:rPr>
        <w:t xml:space="preserve">Key: CLO = </w:t>
      </w:r>
      <w:proofErr w:type="spellStart"/>
      <w:r w:rsidRPr="00F34256">
        <w:rPr>
          <w:rFonts w:ascii="Calibri" w:hAnsi="Calibri" w:cs="Calibri"/>
        </w:rPr>
        <w:t>Cotrimazole</w:t>
      </w:r>
      <w:proofErr w:type="spellEnd"/>
      <w:r w:rsidRPr="00F34256">
        <w:rPr>
          <w:rFonts w:ascii="Calibri" w:hAnsi="Calibri" w:cs="Calibri"/>
        </w:rPr>
        <w:t>, KET = Ketoconazole, NYS = Nystatin, S = Susceptible</w:t>
      </w:r>
    </w:p>
    <w:p w14:paraId="727A65E3" w14:textId="77777777" w:rsidR="00F34256" w:rsidRPr="00F34256" w:rsidRDefault="00F34256" w:rsidP="00F34256">
      <w:pPr>
        <w:spacing w:after="0" w:line="240" w:lineRule="auto"/>
        <w:rPr>
          <w:rFonts w:ascii="Calibri" w:hAnsi="Calibri" w:cs="Calibri"/>
        </w:rPr>
      </w:pPr>
    </w:p>
    <w:p w14:paraId="5CA3AF26" w14:textId="77777777" w:rsidR="00F34256" w:rsidRPr="00772F3B" w:rsidRDefault="00772F3B" w:rsidP="00772F3B">
      <w:pPr>
        <w:spacing w:after="0" w:line="276" w:lineRule="auto"/>
        <w:jc w:val="both"/>
        <w:rPr>
          <w:rFonts w:ascii="Calibri" w:hAnsi="Calibri" w:cs="Calibri"/>
          <w:sz w:val="24"/>
          <w:szCs w:val="24"/>
        </w:rPr>
      </w:pPr>
      <w:r w:rsidRPr="00772F3B">
        <w:rPr>
          <w:rFonts w:ascii="Calibri" w:hAnsi="Calibri" w:cs="Calibri"/>
          <w:sz w:val="24"/>
          <w:szCs w:val="24"/>
        </w:rPr>
        <w:t xml:space="preserve">Table 4 presents the percentage occurrence of antifungal susceptibility among the fungal isolates recovered from Gwagwalada River. The data indicate that all isolates, including </w:t>
      </w:r>
      <w:r w:rsidRPr="00772F3B">
        <w:rPr>
          <w:rFonts w:ascii="Calibri" w:hAnsi="Calibri" w:cs="Calibri"/>
          <w:i/>
          <w:iCs/>
          <w:sz w:val="24"/>
          <w:szCs w:val="24"/>
        </w:rPr>
        <w:t xml:space="preserve">Fusarium </w:t>
      </w:r>
      <w:proofErr w:type="spellStart"/>
      <w:r w:rsidRPr="00772F3B">
        <w:rPr>
          <w:rFonts w:ascii="Calibri" w:hAnsi="Calibri" w:cs="Calibri"/>
          <w:i/>
          <w:iCs/>
          <w:sz w:val="24"/>
          <w:szCs w:val="24"/>
        </w:rPr>
        <w:t>oxysporum</w:t>
      </w:r>
      <w:proofErr w:type="spellEnd"/>
      <w:r w:rsidRPr="00772F3B">
        <w:rPr>
          <w:rFonts w:ascii="Calibri" w:hAnsi="Calibri" w:cs="Calibri"/>
          <w:sz w:val="24"/>
          <w:szCs w:val="24"/>
        </w:rPr>
        <w:t xml:space="preserve">, </w:t>
      </w:r>
      <w:r w:rsidRPr="00772F3B">
        <w:rPr>
          <w:rFonts w:ascii="Calibri" w:hAnsi="Calibri" w:cs="Calibri"/>
          <w:i/>
          <w:iCs/>
          <w:sz w:val="24"/>
          <w:szCs w:val="24"/>
        </w:rPr>
        <w:t xml:space="preserve">Aspergillus </w:t>
      </w:r>
      <w:proofErr w:type="spellStart"/>
      <w:r w:rsidRPr="00772F3B">
        <w:rPr>
          <w:rFonts w:ascii="Calibri" w:hAnsi="Calibri" w:cs="Calibri"/>
          <w:i/>
          <w:iCs/>
          <w:sz w:val="24"/>
          <w:szCs w:val="24"/>
        </w:rPr>
        <w:t>niger</w:t>
      </w:r>
      <w:proofErr w:type="spellEnd"/>
      <w:r w:rsidRPr="00772F3B">
        <w:rPr>
          <w:rFonts w:ascii="Calibri" w:hAnsi="Calibri" w:cs="Calibri"/>
          <w:sz w:val="24"/>
          <w:szCs w:val="24"/>
        </w:rPr>
        <w:t xml:space="preserve">, and </w:t>
      </w:r>
      <w:r w:rsidRPr="00772F3B">
        <w:rPr>
          <w:rFonts w:ascii="Calibri" w:hAnsi="Calibri" w:cs="Calibri"/>
          <w:i/>
          <w:iCs/>
          <w:sz w:val="24"/>
          <w:szCs w:val="24"/>
        </w:rPr>
        <w:t>Aspergillus flavus</w:t>
      </w:r>
      <w:r w:rsidRPr="00772F3B">
        <w:rPr>
          <w:rFonts w:ascii="Calibri" w:hAnsi="Calibri" w:cs="Calibri"/>
          <w:sz w:val="24"/>
          <w:szCs w:val="24"/>
        </w:rPr>
        <w:t xml:space="preserve">, were 100% susceptible </w:t>
      </w:r>
      <w:r>
        <w:rPr>
          <w:rFonts w:ascii="Calibri" w:hAnsi="Calibri" w:cs="Calibri"/>
          <w:sz w:val="24"/>
          <w:szCs w:val="24"/>
        </w:rPr>
        <w:t xml:space="preserve">to the antifungal agents tested, </w:t>
      </w:r>
      <w:r w:rsidRPr="00772F3B">
        <w:rPr>
          <w:rFonts w:ascii="Calibri" w:hAnsi="Calibri" w:cs="Calibri"/>
          <w:sz w:val="24"/>
          <w:szCs w:val="24"/>
        </w:rPr>
        <w:t>clotrimazole, ketoconazole, and nystatin</w:t>
      </w:r>
      <w:r>
        <w:rPr>
          <w:rFonts w:ascii="Calibri" w:hAnsi="Calibri" w:cs="Calibri"/>
          <w:sz w:val="24"/>
          <w:szCs w:val="24"/>
        </w:rPr>
        <w:t xml:space="preserve">, </w:t>
      </w:r>
      <w:r w:rsidRPr="00772F3B">
        <w:rPr>
          <w:rFonts w:ascii="Calibri" w:hAnsi="Calibri" w:cs="Calibri"/>
          <w:sz w:val="24"/>
          <w:szCs w:val="24"/>
        </w:rPr>
        <w:t>demonstrating the consistent efficacy of these drugs against the river</w:t>
      </w:r>
      <w:r w:rsidR="0027119D">
        <w:rPr>
          <w:rFonts w:ascii="Calibri" w:hAnsi="Calibri" w:cs="Calibri"/>
          <w:sz w:val="24"/>
          <w:szCs w:val="24"/>
        </w:rPr>
        <w:t xml:space="preserve"> </w:t>
      </w:r>
      <w:r w:rsidRPr="00772F3B">
        <w:rPr>
          <w:rFonts w:ascii="Calibri" w:hAnsi="Calibri" w:cs="Calibri"/>
          <w:sz w:val="24"/>
          <w:szCs w:val="24"/>
        </w:rPr>
        <w:t>borne fungi.</w:t>
      </w:r>
    </w:p>
    <w:p w14:paraId="0E831E0C" w14:textId="77777777" w:rsidR="00F34256" w:rsidRPr="00F34256" w:rsidRDefault="00F34256" w:rsidP="00F34256">
      <w:pPr>
        <w:spacing w:after="0" w:line="240" w:lineRule="auto"/>
        <w:rPr>
          <w:rFonts w:ascii="Calibri" w:hAnsi="Calibri" w:cs="Calibri"/>
        </w:rPr>
      </w:pPr>
    </w:p>
    <w:p w14:paraId="572472A6" w14:textId="77777777" w:rsidR="00772F3B" w:rsidRDefault="00772F3B" w:rsidP="00F34256">
      <w:pPr>
        <w:spacing w:after="0" w:line="240" w:lineRule="auto"/>
        <w:rPr>
          <w:rFonts w:ascii="Calibri" w:hAnsi="Calibri" w:cs="Calibri"/>
        </w:rPr>
      </w:pPr>
    </w:p>
    <w:p w14:paraId="2C4F1E4D" w14:textId="77777777" w:rsidR="00F34256" w:rsidRPr="00F34256" w:rsidRDefault="00F34256" w:rsidP="00F34256">
      <w:pPr>
        <w:spacing w:after="0" w:line="240" w:lineRule="auto"/>
        <w:rPr>
          <w:rFonts w:ascii="Calibri" w:hAnsi="Calibri" w:cs="Calibri"/>
        </w:rPr>
      </w:pPr>
      <w:r w:rsidRPr="00F34256">
        <w:rPr>
          <w:rFonts w:ascii="Calibri" w:hAnsi="Calibri" w:cs="Calibri"/>
        </w:rPr>
        <w:t xml:space="preserve">Table 4. Percentage occurrence of the antifungal susceptibility tests on isolated </w:t>
      </w:r>
    </w:p>
    <w:tbl>
      <w:tblPr>
        <w:tblStyle w:val="TableGrid"/>
        <w:tblW w:w="91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3240"/>
        <w:gridCol w:w="2610"/>
        <w:gridCol w:w="1735"/>
      </w:tblGrid>
      <w:tr w:rsidR="00F34256" w:rsidRPr="00F34256" w14:paraId="566F9E72" w14:textId="77777777" w:rsidTr="00772F3B">
        <w:trPr>
          <w:trHeight w:val="557"/>
        </w:trPr>
        <w:tc>
          <w:tcPr>
            <w:tcW w:w="1540" w:type="dxa"/>
            <w:tcBorders>
              <w:top w:val="single" w:sz="4" w:space="0" w:color="auto"/>
              <w:bottom w:val="single" w:sz="4" w:space="0" w:color="auto"/>
            </w:tcBorders>
            <w:vAlign w:val="center"/>
          </w:tcPr>
          <w:p w14:paraId="724A3B33"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Antifungal</w:t>
            </w:r>
          </w:p>
        </w:tc>
        <w:tc>
          <w:tcPr>
            <w:tcW w:w="3240" w:type="dxa"/>
            <w:tcBorders>
              <w:top w:val="single" w:sz="4" w:space="0" w:color="auto"/>
              <w:bottom w:val="single" w:sz="4" w:space="0" w:color="auto"/>
            </w:tcBorders>
            <w:vAlign w:val="center"/>
          </w:tcPr>
          <w:p w14:paraId="24CDFB7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Number of Susceptible Fungal</w:t>
            </w:r>
          </w:p>
        </w:tc>
        <w:tc>
          <w:tcPr>
            <w:tcW w:w="2610" w:type="dxa"/>
            <w:tcBorders>
              <w:top w:val="single" w:sz="4" w:space="0" w:color="auto"/>
              <w:bottom w:val="single" w:sz="4" w:space="0" w:color="auto"/>
            </w:tcBorders>
            <w:vAlign w:val="center"/>
          </w:tcPr>
          <w:p w14:paraId="0D346896"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Total number of Fungi</w:t>
            </w:r>
          </w:p>
        </w:tc>
        <w:tc>
          <w:tcPr>
            <w:tcW w:w="1735" w:type="dxa"/>
            <w:tcBorders>
              <w:top w:val="single" w:sz="4" w:space="0" w:color="auto"/>
              <w:bottom w:val="single" w:sz="4" w:space="0" w:color="auto"/>
            </w:tcBorders>
            <w:vAlign w:val="center"/>
          </w:tcPr>
          <w:p w14:paraId="2E9CF4FF"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Percentage Occurrence (%)</w:t>
            </w:r>
          </w:p>
        </w:tc>
      </w:tr>
      <w:tr w:rsidR="00F34256" w:rsidRPr="00F34256" w14:paraId="6ACACB87" w14:textId="77777777" w:rsidTr="00772F3B">
        <w:trPr>
          <w:trHeight w:val="402"/>
        </w:trPr>
        <w:tc>
          <w:tcPr>
            <w:tcW w:w="1540" w:type="dxa"/>
            <w:tcBorders>
              <w:top w:val="single" w:sz="4" w:space="0" w:color="auto"/>
            </w:tcBorders>
            <w:vAlign w:val="center"/>
          </w:tcPr>
          <w:p w14:paraId="131E640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Clotrimazole</w:t>
            </w:r>
          </w:p>
        </w:tc>
        <w:tc>
          <w:tcPr>
            <w:tcW w:w="3240" w:type="dxa"/>
            <w:tcBorders>
              <w:top w:val="single" w:sz="4" w:space="0" w:color="auto"/>
            </w:tcBorders>
            <w:vAlign w:val="center"/>
          </w:tcPr>
          <w:p w14:paraId="0FEFB6D0"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tcBorders>
              <w:top w:val="single" w:sz="4" w:space="0" w:color="auto"/>
            </w:tcBorders>
            <w:vAlign w:val="center"/>
          </w:tcPr>
          <w:p w14:paraId="7A44F65E"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tcBorders>
              <w:top w:val="single" w:sz="4" w:space="0" w:color="auto"/>
            </w:tcBorders>
            <w:vAlign w:val="center"/>
          </w:tcPr>
          <w:p w14:paraId="42AC65D1"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r w:rsidR="00F34256" w:rsidRPr="00F34256" w14:paraId="7C5CD60F" w14:textId="77777777" w:rsidTr="00772F3B">
        <w:trPr>
          <w:trHeight w:val="394"/>
        </w:trPr>
        <w:tc>
          <w:tcPr>
            <w:tcW w:w="1540" w:type="dxa"/>
            <w:vAlign w:val="center"/>
          </w:tcPr>
          <w:p w14:paraId="00EEFAA0"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Ketoconazole</w:t>
            </w:r>
          </w:p>
        </w:tc>
        <w:tc>
          <w:tcPr>
            <w:tcW w:w="3240" w:type="dxa"/>
            <w:vAlign w:val="center"/>
          </w:tcPr>
          <w:p w14:paraId="6B1173E9"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vAlign w:val="center"/>
          </w:tcPr>
          <w:p w14:paraId="17989CCC"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vAlign w:val="center"/>
          </w:tcPr>
          <w:p w14:paraId="54C3F362"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r w:rsidR="00F34256" w:rsidRPr="00F34256" w14:paraId="3F6BD3CE" w14:textId="77777777" w:rsidTr="00772F3B">
        <w:trPr>
          <w:trHeight w:val="394"/>
        </w:trPr>
        <w:tc>
          <w:tcPr>
            <w:tcW w:w="1540" w:type="dxa"/>
            <w:tcBorders>
              <w:bottom w:val="single" w:sz="4" w:space="0" w:color="auto"/>
            </w:tcBorders>
            <w:vAlign w:val="center"/>
          </w:tcPr>
          <w:p w14:paraId="108CE707"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Nystatin</w:t>
            </w:r>
          </w:p>
        </w:tc>
        <w:tc>
          <w:tcPr>
            <w:tcW w:w="3240" w:type="dxa"/>
            <w:tcBorders>
              <w:bottom w:val="single" w:sz="4" w:space="0" w:color="auto"/>
            </w:tcBorders>
            <w:vAlign w:val="center"/>
          </w:tcPr>
          <w:p w14:paraId="0887A87A"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tcBorders>
              <w:bottom w:val="single" w:sz="4" w:space="0" w:color="auto"/>
            </w:tcBorders>
            <w:vAlign w:val="center"/>
          </w:tcPr>
          <w:p w14:paraId="5756F4E2"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tcBorders>
              <w:bottom w:val="single" w:sz="4" w:space="0" w:color="auto"/>
            </w:tcBorders>
            <w:vAlign w:val="center"/>
          </w:tcPr>
          <w:p w14:paraId="3DFD748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bl>
    <w:p w14:paraId="26A9563C" w14:textId="77777777" w:rsidR="00F34256" w:rsidRPr="00F34256" w:rsidRDefault="00F34256" w:rsidP="00F34256">
      <w:pPr>
        <w:spacing w:after="0" w:line="240" w:lineRule="auto"/>
        <w:rPr>
          <w:rFonts w:ascii="Calibri" w:hAnsi="Calibri" w:cs="Calibri"/>
        </w:rPr>
      </w:pPr>
    </w:p>
    <w:p w14:paraId="495E11D0" w14:textId="77777777" w:rsidR="00F34256" w:rsidRPr="003E325E" w:rsidRDefault="003E325E" w:rsidP="003E325E">
      <w:pPr>
        <w:spacing w:after="0" w:line="276" w:lineRule="auto"/>
        <w:jc w:val="both"/>
        <w:rPr>
          <w:rFonts w:ascii="Calibri" w:hAnsi="Calibri" w:cs="Calibri"/>
          <w:sz w:val="24"/>
          <w:szCs w:val="24"/>
        </w:rPr>
      </w:pPr>
      <w:r w:rsidRPr="003E325E">
        <w:rPr>
          <w:rFonts w:ascii="Calibri" w:hAnsi="Calibri" w:cs="Calibri"/>
          <w:sz w:val="24"/>
          <w:szCs w:val="24"/>
        </w:rPr>
        <w:t xml:space="preserve">Table 5 presents the molecular characterization of the fungal isolates from Gwagwalada River. BLAST analysis identified the isolates as </w:t>
      </w:r>
      <w:r w:rsidRPr="003E325E">
        <w:rPr>
          <w:rStyle w:val="Emphasis"/>
          <w:rFonts w:ascii="Calibri" w:hAnsi="Calibri" w:cs="Calibri"/>
          <w:sz w:val="24"/>
          <w:szCs w:val="24"/>
        </w:rPr>
        <w:t xml:space="preserve">Aspergillus </w:t>
      </w:r>
      <w:proofErr w:type="spellStart"/>
      <w:r w:rsidRPr="003E325E">
        <w:rPr>
          <w:rStyle w:val="Emphasis"/>
          <w:rFonts w:ascii="Calibri" w:hAnsi="Calibri" w:cs="Calibri"/>
          <w:sz w:val="24"/>
          <w:szCs w:val="24"/>
        </w:rPr>
        <w:t>niger</w:t>
      </w:r>
      <w:proofErr w:type="spellEnd"/>
      <w:r w:rsidRPr="003E325E">
        <w:rPr>
          <w:rFonts w:ascii="Calibri" w:hAnsi="Calibri" w:cs="Calibri"/>
          <w:sz w:val="24"/>
          <w:szCs w:val="24"/>
        </w:rPr>
        <w:t xml:space="preserve"> (JX110160.1), </w:t>
      </w:r>
      <w:r w:rsidRPr="003E325E">
        <w:rPr>
          <w:rStyle w:val="Emphasis"/>
          <w:rFonts w:ascii="Calibri" w:hAnsi="Calibri" w:cs="Calibri"/>
          <w:sz w:val="24"/>
          <w:szCs w:val="24"/>
        </w:rPr>
        <w:t>Aspergillus flavus</w:t>
      </w:r>
      <w:r w:rsidRPr="003E325E">
        <w:rPr>
          <w:rFonts w:ascii="Calibri" w:hAnsi="Calibri" w:cs="Calibri"/>
          <w:sz w:val="24"/>
          <w:szCs w:val="24"/>
        </w:rPr>
        <w:t xml:space="preserve"> (FJ654479.1), and </w:t>
      </w:r>
      <w:r w:rsidRPr="003E325E">
        <w:rPr>
          <w:rStyle w:val="Emphasis"/>
          <w:rFonts w:ascii="Calibri" w:hAnsi="Calibri" w:cs="Calibri"/>
          <w:sz w:val="24"/>
          <w:szCs w:val="24"/>
        </w:rPr>
        <w:t xml:space="preserve">Fusarium </w:t>
      </w:r>
      <w:proofErr w:type="spellStart"/>
      <w:r w:rsidRPr="003E325E">
        <w:rPr>
          <w:rStyle w:val="Emphasis"/>
          <w:rFonts w:ascii="Calibri" w:hAnsi="Calibri" w:cs="Calibri"/>
          <w:sz w:val="24"/>
          <w:szCs w:val="24"/>
        </w:rPr>
        <w:t>oxysporum</w:t>
      </w:r>
      <w:proofErr w:type="spellEnd"/>
      <w:r w:rsidRPr="003E325E">
        <w:rPr>
          <w:rFonts w:ascii="Calibri" w:hAnsi="Calibri" w:cs="Calibri"/>
          <w:sz w:val="24"/>
          <w:szCs w:val="24"/>
        </w:rPr>
        <w:t xml:space="preserve"> (JX089402.1). Agarose gel electrophoresis, performed </w:t>
      </w:r>
      <w:r w:rsidRPr="003E325E">
        <w:rPr>
          <w:rFonts w:ascii="Calibri" w:hAnsi="Calibri" w:cs="Calibri"/>
          <w:sz w:val="24"/>
          <w:szCs w:val="24"/>
        </w:rPr>
        <w:lastRenderedPageBreak/>
        <w:t>in duplicate, and PCR amplification of genomic DNA are shown in Plate 2, confirming successful molecular identification.</w:t>
      </w:r>
    </w:p>
    <w:p w14:paraId="38DE467C" w14:textId="77777777" w:rsidR="00F34256" w:rsidRPr="00F34256" w:rsidRDefault="00F34256" w:rsidP="00F34256">
      <w:pPr>
        <w:spacing w:after="0" w:line="240" w:lineRule="auto"/>
        <w:rPr>
          <w:rFonts w:ascii="Calibri" w:hAnsi="Calibri" w:cs="Calibri"/>
        </w:rPr>
      </w:pPr>
    </w:p>
    <w:p w14:paraId="4242C86E"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5. Molecular identities of isolated fungi</w:t>
      </w:r>
    </w:p>
    <w:tbl>
      <w:tblPr>
        <w:tblStyle w:val="TableGrid"/>
        <w:tblW w:w="892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160"/>
        <w:gridCol w:w="1350"/>
        <w:gridCol w:w="1350"/>
        <w:gridCol w:w="960"/>
        <w:gridCol w:w="1275"/>
        <w:gridCol w:w="1275"/>
      </w:tblGrid>
      <w:tr w:rsidR="00F34256" w:rsidRPr="00F34256" w14:paraId="51512861" w14:textId="77777777" w:rsidTr="009D4ADF">
        <w:tc>
          <w:tcPr>
            <w:tcW w:w="552" w:type="dxa"/>
            <w:tcBorders>
              <w:top w:val="single" w:sz="4" w:space="0" w:color="auto"/>
              <w:bottom w:val="single" w:sz="4" w:space="0" w:color="auto"/>
            </w:tcBorders>
            <w:vAlign w:val="center"/>
          </w:tcPr>
          <w:p w14:paraId="1710057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S/N</w:t>
            </w:r>
          </w:p>
        </w:tc>
        <w:tc>
          <w:tcPr>
            <w:tcW w:w="2160" w:type="dxa"/>
            <w:tcBorders>
              <w:top w:val="single" w:sz="4" w:space="0" w:color="auto"/>
              <w:bottom w:val="single" w:sz="4" w:space="0" w:color="auto"/>
            </w:tcBorders>
            <w:vAlign w:val="center"/>
          </w:tcPr>
          <w:p w14:paraId="5CADA5F4"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Subject</w:t>
            </w:r>
          </w:p>
        </w:tc>
        <w:tc>
          <w:tcPr>
            <w:tcW w:w="1350" w:type="dxa"/>
            <w:tcBorders>
              <w:top w:val="single" w:sz="4" w:space="0" w:color="auto"/>
              <w:bottom w:val="single" w:sz="4" w:space="0" w:color="auto"/>
            </w:tcBorders>
            <w:vAlign w:val="center"/>
          </w:tcPr>
          <w:p w14:paraId="0CC45CA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ID (%)</w:t>
            </w:r>
          </w:p>
        </w:tc>
        <w:tc>
          <w:tcPr>
            <w:tcW w:w="1350" w:type="dxa"/>
            <w:tcBorders>
              <w:top w:val="single" w:sz="4" w:space="0" w:color="auto"/>
              <w:bottom w:val="single" w:sz="4" w:space="0" w:color="auto"/>
            </w:tcBorders>
            <w:vAlign w:val="center"/>
          </w:tcPr>
          <w:p w14:paraId="64244D49"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Cover (%)</w:t>
            </w:r>
          </w:p>
        </w:tc>
        <w:tc>
          <w:tcPr>
            <w:tcW w:w="960" w:type="dxa"/>
            <w:tcBorders>
              <w:top w:val="single" w:sz="4" w:space="0" w:color="auto"/>
              <w:bottom w:val="single" w:sz="4" w:space="0" w:color="auto"/>
            </w:tcBorders>
            <w:vAlign w:val="center"/>
          </w:tcPr>
          <w:p w14:paraId="5FB5CDB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E-value</w:t>
            </w:r>
          </w:p>
        </w:tc>
        <w:tc>
          <w:tcPr>
            <w:tcW w:w="1275" w:type="dxa"/>
            <w:tcBorders>
              <w:top w:val="single" w:sz="4" w:space="0" w:color="auto"/>
              <w:bottom w:val="single" w:sz="4" w:space="0" w:color="auto"/>
            </w:tcBorders>
            <w:vAlign w:val="center"/>
          </w:tcPr>
          <w:p w14:paraId="5CA1203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Length</w:t>
            </w:r>
          </w:p>
        </w:tc>
        <w:tc>
          <w:tcPr>
            <w:tcW w:w="1275" w:type="dxa"/>
            <w:tcBorders>
              <w:top w:val="single" w:sz="4" w:space="0" w:color="auto"/>
              <w:bottom w:val="single" w:sz="4" w:space="0" w:color="auto"/>
            </w:tcBorders>
            <w:vAlign w:val="center"/>
          </w:tcPr>
          <w:p w14:paraId="2C5EF10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Accession No.</w:t>
            </w:r>
          </w:p>
        </w:tc>
      </w:tr>
      <w:tr w:rsidR="009D4ADF" w:rsidRPr="00F34256" w14:paraId="0372796F" w14:textId="77777777" w:rsidTr="009D4ADF">
        <w:tc>
          <w:tcPr>
            <w:tcW w:w="552" w:type="dxa"/>
            <w:tcBorders>
              <w:top w:val="single" w:sz="4" w:space="0" w:color="auto"/>
            </w:tcBorders>
            <w:vAlign w:val="center"/>
          </w:tcPr>
          <w:p w14:paraId="3186E9BB"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w:t>
            </w:r>
          </w:p>
        </w:tc>
        <w:tc>
          <w:tcPr>
            <w:tcW w:w="2160" w:type="dxa"/>
            <w:tcBorders>
              <w:top w:val="single" w:sz="4" w:space="0" w:color="auto"/>
            </w:tcBorders>
            <w:vAlign w:val="center"/>
          </w:tcPr>
          <w:p w14:paraId="1FC17245"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c>
          <w:tcPr>
            <w:tcW w:w="1350" w:type="dxa"/>
            <w:tcBorders>
              <w:top w:val="single" w:sz="4" w:space="0" w:color="auto"/>
            </w:tcBorders>
            <w:vAlign w:val="center"/>
          </w:tcPr>
          <w:p w14:paraId="5B49718B"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99.46</w:t>
            </w:r>
          </w:p>
        </w:tc>
        <w:tc>
          <w:tcPr>
            <w:tcW w:w="1350" w:type="dxa"/>
            <w:tcBorders>
              <w:top w:val="single" w:sz="4" w:space="0" w:color="auto"/>
            </w:tcBorders>
            <w:vAlign w:val="center"/>
          </w:tcPr>
          <w:p w14:paraId="2B95CF58"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w:t>
            </w:r>
          </w:p>
        </w:tc>
        <w:tc>
          <w:tcPr>
            <w:tcW w:w="960" w:type="dxa"/>
            <w:tcBorders>
              <w:top w:val="single" w:sz="4" w:space="0" w:color="auto"/>
            </w:tcBorders>
            <w:vAlign w:val="center"/>
          </w:tcPr>
          <w:p w14:paraId="2D402163"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tcBorders>
              <w:top w:val="single" w:sz="4" w:space="0" w:color="auto"/>
            </w:tcBorders>
            <w:vAlign w:val="center"/>
          </w:tcPr>
          <w:p w14:paraId="104D923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556</w:t>
            </w:r>
          </w:p>
        </w:tc>
        <w:tc>
          <w:tcPr>
            <w:tcW w:w="1275" w:type="dxa"/>
            <w:tcBorders>
              <w:top w:val="single" w:sz="4" w:space="0" w:color="auto"/>
            </w:tcBorders>
            <w:vAlign w:val="center"/>
          </w:tcPr>
          <w:p w14:paraId="0AEEBA6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JX110160.1</w:t>
            </w:r>
          </w:p>
        </w:tc>
      </w:tr>
      <w:tr w:rsidR="009D4ADF" w:rsidRPr="00F34256" w14:paraId="47A24839" w14:textId="77777777" w:rsidTr="009D4ADF">
        <w:tc>
          <w:tcPr>
            <w:tcW w:w="552" w:type="dxa"/>
            <w:vAlign w:val="center"/>
          </w:tcPr>
          <w:p w14:paraId="59A953A4"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2</w:t>
            </w:r>
          </w:p>
        </w:tc>
        <w:tc>
          <w:tcPr>
            <w:tcW w:w="2160" w:type="dxa"/>
            <w:vAlign w:val="center"/>
          </w:tcPr>
          <w:p w14:paraId="4FFA9CE2"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Aspergillus flavus</w:t>
            </w:r>
          </w:p>
        </w:tc>
        <w:tc>
          <w:tcPr>
            <w:tcW w:w="1350" w:type="dxa"/>
            <w:vAlign w:val="center"/>
          </w:tcPr>
          <w:p w14:paraId="5C616FED"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94.27</w:t>
            </w:r>
          </w:p>
        </w:tc>
        <w:tc>
          <w:tcPr>
            <w:tcW w:w="1350" w:type="dxa"/>
            <w:vAlign w:val="center"/>
          </w:tcPr>
          <w:p w14:paraId="210FD188"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100</w:t>
            </w:r>
          </w:p>
        </w:tc>
        <w:tc>
          <w:tcPr>
            <w:tcW w:w="960" w:type="dxa"/>
            <w:vAlign w:val="center"/>
          </w:tcPr>
          <w:p w14:paraId="76E62099"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vAlign w:val="center"/>
          </w:tcPr>
          <w:p w14:paraId="757D97B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437</w:t>
            </w:r>
          </w:p>
        </w:tc>
        <w:tc>
          <w:tcPr>
            <w:tcW w:w="1275" w:type="dxa"/>
            <w:vAlign w:val="center"/>
          </w:tcPr>
          <w:p w14:paraId="6E33787D"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FJ654479.1</w:t>
            </w:r>
          </w:p>
        </w:tc>
      </w:tr>
      <w:tr w:rsidR="009D4ADF" w:rsidRPr="00F34256" w14:paraId="487077B5" w14:textId="77777777" w:rsidTr="009D4ADF">
        <w:tc>
          <w:tcPr>
            <w:tcW w:w="552" w:type="dxa"/>
            <w:tcBorders>
              <w:bottom w:val="single" w:sz="4" w:space="0" w:color="auto"/>
            </w:tcBorders>
            <w:vAlign w:val="center"/>
          </w:tcPr>
          <w:p w14:paraId="37B99371"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3</w:t>
            </w:r>
          </w:p>
        </w:tc>
        <w:tc>
          <w:tcPr>
            <w:tcW w:w="2160" w:type="dxa"/>
            <w:tcBorders>
              <w:bottom w:val="single" w:sz="4" w:space="0" w:color="auto"/>
            </w:tcBorders>
            <w:vAlign w:val="center"/>
          </w:tcPr>
          <w:p w14:paraId="655A1CA2"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 xml:space="preserve">Fusarium </w:t>
            </w:r>
            <w:proofErr w:type="spellStart"/>
            <w:r w:rsidRPr="00F34256">
              <w:rPr>
                <w:rFonts w:ascii="Calibri" w:hAnsi="Calibri" w:cs="Calibri"/>
                <w:i/>
              </w:rPr>
              <w:t>oxysporum</w:t>
            </w:r>
            <w:proofErr w:type="spellEnd"/>
          </w:p>
        </w:tc>
        <w:tc>
          <w:tcPr>
            <w:tcW w:w="1350" w:type="dxa"/>
            <w:tcBorders>
              <w:bottom w:val="single" w:sz="4" w:space="0" w:color="auto"/>
            </w:tcBorders>
            <w:vAlign w:val="center"/>
          </w:tcPr>
          <w:p w14:paraId="4D0950B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99.72</w:t>
            </w:r>
          </w:p>
        </w:tc>
        <w:tc>
          <w:tcPr>
            <w:tcW w:w="1350" w:type="dxa"/>
            <w:tcBorders>
              <w:bottom w:val="single" w:sz="4" w:space="0" w:color="auto"/>
            </w:tcBorders>
            <w:vAlign w:val="center"/>
          </w:tcPr>
          <w:p w14:paraId="796B2CF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100</w:t>
            </w:r>
          </w:p>
        </w:tc>
        <w:tc>
          <w:tcPr>
            <w:tcW w:w="960" w:type="dxa"/>
            <w:tcBorders>
              <w:bottom w:val="single" w:sz="4" w:space="0" w:color="auto"/>
            </w:tcBorders>
            <w:vAlign w:val="center"/>
          </w:tcPr>
          <w:p w14:paraId="1FA9C6F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tcBorders>
              <w:bottom w:val="single" w:sz="4" w:space="0" w:color="auto"/>
            </w:tcBorders>
            <w:vAlign w:val="center"/>
          </w:tcPr>
          <w:p w14:paraId="4F41EE1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357</w:t>
            </w:r>
          </w:p>
        </w:tc>
        <w:tc>
          <w:tcPr>
            <w:tcW w:w="1275" w:type="dxa"/>
            <w:tcBorders>
              <w:bottom w:val="single" w:sz="4" w:space="0" w:color="auto"/>
            </w:tcBorders>
            <w:vAlign w:val="center"/>
          </w:tcPr>
          <w:p w14:paraId="2F577000"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JX089402.1</w:t>
            </w:r>
          </w:p>
        </w:tc>
      </w:tr>
    </w:tbl>
    <w:p w14:paraId="1DAD2E14" w14:textId="77777777" w:rsidR="00F34256" w:rsidRPr="00F34256" w:rsidRDefault="00F34256" w:rsidP="00F34256">
      <w:pPr>
        <w:spacing w:after="0" w:line="240" w:lineRule="auto"/>
        <w:rPr>
          <w:rFonts w:ascii="Calibri" w:hAnsi="Calibri" w:cs="Calibri"/>
        </w:rPr>
      </w:pPr>
    </w:p>
    <w:p w14:paraId="17CD6825" w14:textId="77777777" w:rsidR="00B5514B" w:rsidRDefault="00B5514B" w:rsidP="00F34256">
      <w:pPr>
        <w:spacing w:after="0" w:line="240" w:lineRule="auto"/>
        <w:rPr>
          <w:rFonts w:ascii="Calibri" w:hAnsi="Calibri" w:cs="Calibri"/>
        </w:rPr>
      </w:pPr>
      <w:r>
        <w:rPr>
          <w:rFonts w:ascii="Calibri" w:hAnsi="Calibri" w:cs="Calibri"/>
        </w:rPr>
        <w:t xml:space="preserve">   </w:t>
      </w:r>
    </w:p>
    <w:p w14:paraId="3E2113BB" w14:textId="77777777" w:rsidR="00B5514B" w:rsidRDefault="00B5514B" w:rsidP="00F34256">
      <w:pPr>
        <w:spacing w:after="0" w:line="240" w:lineRule="auto"/>
        <w:rPr>
          <w:rFonts w:ascii="Calibri" w:hAnsi="Calibri" w:cs="Calibri"/>
        </w:rPr>
      </w:pPr>
    </w:p>
    <w:p w14:paraId="15FEC0EE" w14:textId="77777777" w:rsidR="00F34256" w:rsidRDefault="008C0FAC" w:rsidP="00F34256">
      <w:pPr>
        <w:spacing w:after="0" w:line="240" w:lineRule="auto"/>
        <w:rPr>
          <w:rFonts w:ascii="Calibri" w:hAnsi="Calibri" w:cs="Calibri"/>
        </w:rPr>
      </w:pPr>
      <w:r>
        <w:rPr>
          <w:rFonts w:ascii="Calibri" w:hAnsi="Calibri" w:cs="Calibri"/>
          <w:noProof/>
        </w:rPr>
        <w:drawing>
          <wp:inline distT="0" distB="0" distL="0" distR="0" wp14:anchorId="27A37BD5" wp14:editId="45D25A5E">
            <wp:extent cx="5727700" cy="3635375"/>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635375"/>
                    </a:xfrm>
                    <a:prstGeom prst="rect">
                      <a:avLst/>
                    </a:prstGeom>
                    <a:noFill/>
                    <a:ln>
                      <a:noFill/>
                    </a:ln>
                  </pic:spPr>
                </pic:pic>
              </a:graphicData>
            </a:graphic>
          </wp:inline>
        </w:drawing>
      </w:r>
    </w:p>
    <w:p w14:paraId="693C35B0" w14:textId="77777777" w:rsidR="008C0FAC" w:rsidRDefault="008C0FAC" w:rsidP="00F34256">
      <w:pPr>
        <w:spacing w:after="0" w:line="240" w:lineRule="auto"/>
        <w:rPr>
          <w:rFonts w:ascii="Calibri" w:hAnsi="Calibri" w:cs="Calibri"/>
        </w:rPr>
      </w:pPr>
      <w:r w:rsidRPr="008C0FAC">
        <w:rPr>
          <w:rFonts w:ascii="Calibri" w:hAnsi="Calibri" w:cs="Calibri"/>
        </w:rPr>
        <w:t xml:space="preserve">Plate 2: Agarose gel electrophoresis, A = Genomic DNA </w:t>
      </w:r>
      <w:r>
        <w:rPr>
          <w:rFonts w:ascii="Calibri" w:hAnsi="Calibri" w:cs="Calibri"/>
        </w:rPr>
        <w:t>(gDNA)</w:t>
      </w:r>
      <w:r w:rsidRPr="008C0FAC">
        <w:rPr>
          <w:rFonts w:ascii="Calibri" w:hAnsi="Calibri" w:cs="Calibri"/>
        </w:rPr>
        <w:t>, B = DNA Amplification (PCR)</w:t>
      </w:r>
    </w:p>
    <w:p w14:paraId="45E488DD" w14:textId="77777777" w:rsidR="008C0FAC" w:rsidRDefault="008C0FAC" w:rsidP="00F34256">
      <w:pPr>
        <w:spacing w:after="0" w:line="240" w:lineRule="auto"/>
        <w:rPr>
          <w:rFonts w:ascii="Calibri" w:hAnsi="Calibri" w:cs="Calibri"/>
        </w:rPr>
      </w:pPr>
    </w:p>
    <w:p w14:paraId="6B635DA6" w14:textId="77777777" w:rsidR="008C0FAC" w:rsidRPr="008C0FAC" w:rsidRDefault="008C0FAC" w:rsidP="00F34256">
      <w:pPr>
        <w:spacing w:after="0" w:line="240" w:lineRule="auto"/>
        <w:rPr>
          <w:rFonts w:ascii="Calibri" w:hAnsi="Calibri" w:cs="Calibri"/>
        </w:rPr>
      </w:pPr>
    </w:p>
    <w:p w14:paraId="5E0CA190" w14:textId="77777777" w:rsidR="005D4B85" w:rsidRDefault="005D4B85" w:rsidP="005D4B85">
      <w:pPr>
        <w:spacing w:line="276" w:lineRule="auto"/>
        <w:jc w:val="both"/>
        <w:rPr>
          <w:rFonts w:ascii="Calibri" w:hAnsi="Calibri" w:cs="Calibri"/>
          <w:b/>
          <w:bCs/>
          <w:sz w:val="24"/>
          <w:szCs w:val="24"/>
        </w:rPr>
      </w:pPr>
    </w:p>
    <w:p w14:paraId="259EFFAF" w14:textId="77777777" w:rsidR="005D4B85" w:rsidRPr="005D4B85" w:rsidRDefault="005D4B85" w:rsidP="005D4B85">
      <w:pPr>
        <w:spacing w:line="276" w:lineRule="auto"/>
        <w:jc w:val="both"/>
        <w:rPr>
          <w:rFonts w:ascii="Calibri" w:hAnsi="Calibri" w:cs="Calibri"/>
          <w:b/>
          <w:bCs/>
          <w:sz w:val="24"/>
          <w:szCs w:val="24"/>
        </w:rPr>
      </w:pPr>
      <w:r w:rsidRPr="005D4B85">
        <w:rPr>
          <w:rFonts w:ascii="Calibri" w:hAnsi="Calibri" w:cs="Calibri"/>
          <w:b/>
          <w:bCs/>
          <w:sz w:val="24"/>
          <w:szCs w:val="24"/>
        </w:rPr>
        <w:t>DISCUSSION</w:t>
      </w:r>
    </w:p>
    <w:p w14:paraId="5FC3A567"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The present study investigated the fungal microbiological profile of water in the </w:t>
      </w:r>
      <w:r w:rsidRPr="005D4B85">
        <w:rPr>
          <w:rFonts w:ascii="Calibri" w:hAnsi="Calibri" w:cs="Calibri"/>
          <w:iCs/>
          <w:sz w:val="24"/>
          <w:szCs w:val="24"/>
        </w:rPr>
        <w:t>Gwagwalada River</w:t>
      </w:r>
      <w:r w:rsidRPr="005D4B85">
        <w:rPr>
          <w:rFonts w:ascii="Calibri" w:hAnsi="Calibri" w:cs="Calibri"/>
          <w:sz w:val="24"/>
          <w:szCs w:val="24"/>
        </w:rPr>
        <w:t xml:space="preserve"> receiving effluent from the </w:t>
      </w:r>
      <w:proofErr w:type="spellStart"/>
      <w:r w:rsidRPr="005D4B85">
        <w:rPr>
          <w:rFonts w:ascii="Calibri" w:hAnsi="Calibri" w:cs="Calibri"/>
          <w:sz w:val="24"/>
          <w:szCs w:val="24"/>
        </w:rPr>
        <w:t>Kutunku</w:t>
      </w:r>
      <w:proofErr w:type="spellEnd"/>
      <w:r w:rsidRPr="005D4B85">
        <w:rPr>
          <w:rFonts w:ascii="Calibri" w:hAnsi="Calibri" w:cs="Calibri"/>
          <w:sz w:val="24"/>
          <w:szCs w:val="24"/>
        </w:rPr>
        <w:t xml:space="preserve"> abattoir, Abuja, revealing high fungal loads and the presence of potentially pathogenic species such as </w:t>
      </w:r>
      <w:r w:rsidRPr="005D4B85">
        <w:rPr>
          <w:rFonts w:ascii="Calibri" w:hAnsi="Calibri" w:cs="Calibri"/>
          <w:i/>
          <w:iCs/>
          <w:sz w:val="24"/>
          <w:szCs w:val="24"/>
        </w:rPr>
        <w:t xml:space="preserve">Fusarium </w:t>
      </w:r>
      <w:proofErr w:type="spellStart"/>
      <w:r w:rsidRPr="005D4B85">
        <w:rPr>
          <w:rFonts w:ascii="Calibri" w:hAnsi="Calibri" w:cs="Calibri"/>
          <w:i/>
          <w:iCs/>
          <w:sz w:val="24"/>
          <w:szCs w:val="24"/>
        </w:rPr>
        <w:t>oxysporum</w:t>
      </w:r>
      <w:proofErr w:type="spellEnd"/>
      <w:r w:rsidRPr="005D4B85">
        <w:rPr>
          <w:rFonts w:ascii="Calibri" w:hAnsi="Calibri" w:cs="Calibri"/>
          <w:sz w:val="24"/>
          <w:szCs w:val="24"/>
        </w:rPr>
        <w:t xml:space="preserve">, </w:t>
      </w:r>
      <w:r w:rsidRPr="005D4B85">
        <w:rPr>
          <w:rFonts w:ascii="Calibri" w:hAnsi="Calibri" w:cs="Calibri"/>
          <w:i/>
          <w:iCs/>
          <w:sz w:val="24"/>
          <w:szCs w:val="24"/>
        </w:rPr>
        <w:t xml:space="preserve">Aspergillus </w:t>
      </w:r>
      <w:proofErr w:type="spellStart"/>
      <w:r w:rsidRPr="005D4B85">
        <w:rPr>
          <w:rFonts w:ascii="Calibri" w:hAnsi="Calibri" w:cs="Calibri"/>
          <w:i/>
          <w:iCs/>
          <w:sz w:val="24"/>
          <w:szCs w:val="24"/>
        </w:rPr>
        <w:t>niger</w:t>
      </w:r>
      <w:proofErr w:type="spellEnd"/>
      <w:r w:rsidRPr="005D4B85">
        <w:rPr>
          <w:rFonts w:ascii="Calibri" w:hAnsi="Calibri" w:cs="Calibri"/>
          <w:sz w:val="24"/>
          <w:szCs w:val="24"/>
        </w:rPr>
        <w:t xml:space="preserve">, and </w:t>
      </w:r>
      <w:r w:rsidRPr="005D4B85">
        <w:rPr>
          <w:rFonts w:ascii="Calibri" w:hAnsi="Calibri" w:cs="Calibri"/>
          <w:i/>
          <w:iCs/>
          <w:sz w:val="24"/>
          <w:szCs w:val="24"/>
        </w:rPr>
        <w:t>Aspergillus flavus</w:t>
      </w:r>
      <w:r w:rsidRPr="005D4B85">
        <w:rPr>
          <w:rFonts w:ascii="Calibri" w:hAnsi="Calibri" w:cs="Calibri"/>
          <w:sz w:val="24"/>
          <w:szCs w:val="24"/>
        </w:rPr>
        <w:t>. The findings have important implications for river water quality and public health, echoing broader trends in aquatic fungal contamination observed globally.</w:t>
      </w:r>
    </w:p>
    <w:p w14:paraId="6FAD4F89"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Fungi are natural components of aquatic ecosystems where they facilitate organic matter decomposition and nutrient cycling, yet elevated concentrations often reflect anthropogenic pollution. Research has increasingly shown that surface waters serve as reservoirs for diverse </w:t>
      </w:r>
      <w:r w:rsidRPr="005D4B85">
        <w:rPr>
          <w:rFonts w:ascii="Calibri" w:hAnsi="Calibri" w:cs="Calibri"/>
          <w:sz w:val="24"/>
          <w:szCs w:val="24"/>
        </w:rPr>
        <w:lastRenderedPageBreak/>
        <w:t>fungal communities, including opportunistic pathogens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In Nigeria, surface waters impacted by human activities have been demonstrated to harbor </w:t>
      </w:r>
      <w:r>
        <w:rPr>
          <w:rFonts w:ascii="Calibri" w:hAnsi="Calibri" w:cs="Calibri"/>
          <w:sz w:val="24"/>
          <w:szCs w:val="24"/>
        </w:rPr>
        <w:t>multidrug-resistant</w:t>
      </w:r>
      <w:r w:rsidRPr="005D4B85">
        <w:rPr>
          <w:rFonts w:ascii="Calibri" w:hAnsi="Calibri" w:cs="Calibri"/>
          <w:sz w:val="24"/>
          <w:szCs w:val="24"/>
        </w:rPr>
        <w:t xml:space="preserve"> fungal species, indicating that contamination is widespread and not limited to clinical settings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w:t>
      </w:r>
    </w:p>
    <w:p w14:paraId="66D122EB" w14:textId="77777777" w:rsid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The significantly higher fungal counts downstream of the abattoir in this study align with patterns of contamination</w:t>
      </w:r>
      <w:r>
        <w:rPr>
          <w:rFonts w:ascii="Calibri" w:hAnsi="Calibri" w:cs="Calibri"/>
          <w:sz w:val="24"/>
          <w:szCs w:val="24"/>
        </w:rPr>
        <w:t xml:space="preserve"> reported in coupled wastewater or </w:t>
      </w:r>
      <w:r w:rsidRPr="005D4B85">
        <w:rPr>
          <w:rFonts w:ascii="Calibri" w:hAnsi="Calibri" w:cs="Calibri"/>
          <w:sz w:val="24"/>
          <w:szCs w:val="24"/>
        </w:rPr>
        <w:t>water body systems. Studies show that untreated abattoir effluents contribute organic matter and nutrients that stimulate microbial growth, potentially altering aquatic microbial community structures (</w:t>
      </w:r>
      <w:proofErr w:type="spellStart"/>
      <w:r w:rsidRPr="005D4B85">
        <w:rPr>
          <w:rFonts w:ascii="Calibri" w:hAnsi="Calibri" w:cs="Calibri"/>
          <w:sz w:val="24"/>
          <w:szCs w:val="24"/>
        </w:rPr>
        <w:t>Chinakwe</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2022).</w:t>
      </w:r>
      <w:r w:rsidR="00BB78F7">
        <w:rPr>
          <w:rFonts w:ascii="Calibri" w:hAnsi="Calibri" w:cs="Calibri"/>
          <w:sz w:val="24"/>
          <w:szCs w:val="24"/>
        </w:rPr>
        <w:t xml:space="preserve"> </w:t>
      </w:r>
      <w:r w:rsidRPr="005D4B85">
        <w:rPr>
          <w:rFonts w:ascii="Calibri" w:hAnsi="Calibri" w:cs="Calibri"/>
          <w:sz w:val="24"/>
          <w:szCs w:val="24"/>
        </w:rPr>
        <w:t>Abattoir effluent is known to elevate biological and chemical pollutants in receiving waters, thereby degrading water quality. Although many studies focus on bacteria, less attention has been given to fungal contamination despite its health relevance. Research on wastewater discharge highlights that slaughterhouse waste contains high microbial loads, posing environmental contamination and health risks if untreated (</w:t>
      </w:r>
      <w:proofErr w:type="spellStart"/>
      <w:r w:rsidR="00BB78F7">
        <w:rPr>
          <w:rFonts w:ascii="Calibri" w:hAnsi="Calibri" w:cs="Calibri"/>
          <w:sz w:val="24"/>
          <w:szCs w:val="24"/>
        </w:rPr>
        <w:t>Awari</w:t>
      </w:r>
      <w:proofErr w:type="spellEnd"/>
      <w:r w:rsidR="00BB78F7">
        <w:rPr>
          <w:rFonts w:ascii="Calibri" w:hAnsi="Calibri" w:cs="Calibri"/>
          <w:sz w:val="24"/>
          <w:szCs w:val="24"/>
        </w:rPr>
        <w:t xml:space="preserve"> </w:t>
      </w:r>
      <w:r w:rsidR="00CA22BB" w:rsidRPr="00CA22BB">
        <w:rPr>
          <w:rFonts w:ascii="Calibri" w:hAnsi="Calibri" w:cs="Calibri"/>
          <w:i/>
          <w:sz w:val="24"/>
          <w:szCs w:val="24"/>
        </w:rPr>
        <w:t>et al</w:t>
      </w:r>
      <w:r w:rsidR="00BB78F7">
        <w:rPr>
          <w:rFonts w:ascii="Calibri" w:hAnsi="Calibri" w:cs="Calibri"/>
          <w:sz w:val="24"/>
          <w:szCs w:val="24"/>
        </w:rPr>
        <w:t xml:space="preserve">., </w:t>
      </w:r>
      <w:r w:rsidRPr="005D4B85">
        <w:rPr>
          <w:rFonts w:ascii="Calibri" w:hAnsi="Calibri" w:cs="Calibri"/>
          <w:sz w:val="24"/>
          <w:szCs w:val="24"/>
        </w:rPr>
        <w:t xml:space="preserve">2025). </w:t>
      </w:r>
    </w:p>
    <w:p w14:paraId="00357DCC"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The elevated fungal loads at the effluent discharge and downstream points in this study suggest a direct influence of abattoir waste on microbial proliferation. Such effects are consistent with findings from other regions: abattoir effluents can alter physicochemical conditions like oxygen demand and organic load, creating favorable conditions for fungi (Ndukwe </w:t>
      </w:r>
      <w:r w:rsidR="00CA22BB" w:rsidRPr="00CA22BB">
        <w:rPr>
          <w:rFonts w:ascii="Calibri" w:hAnsi="Calibri" w:cs="Calibri"/>
          <w:i/>
          <w:sz w:val="24"/>
          <w:szCs w:val="24"/>
        </w:rPr>
        <w:t>et al</w:t>
      </w:r>
      <w:r w:rsidRPr="005D4B85">
        <w:rPr>
          <w:rFonts w:ascii="Calibri" w:hAnsi="Calibri" w:cs="Calibri"/>
          <w:sz w:val="24"/>
          <w:szCs w:val="24"/>
        </w:rPr>
        <w:t xml:space="preserve">., 2023). Although Ndukwe </w:t>
      </w:r>
      <w:r w:rsidR="00CA22BB" w:rsidRPr="00CA22BB">
        <w:rPr>
          <w:rFonts w:ascii="Calibri" w:hAnsi="Calibri" w:cs="Calibri"/>
          <w:i/>
          <w:sz w:val="24"/>
          <w:szCs w:val="24"/>
        </w:rPr>
        <w:t>et al</w:t>
      </w:r>
      <w:r w:rsidRPr="005D4B85">
        <w:rPr>
          <w:rFonts w:ascii="Calibri" w:hAnsi="Calibri" w:cs="Calibri"/>
          <w:sz w:val="24"/>
          <w:szCs w:val="24"/>
        </w:rPr>
        <w:t>. (2023) did not focus on fungi, their work underscores how abattoir pollution disrupts river water quality, which indirectly supports increased microbial colonization.</w:t>
      </w:r>
    </w:p>
    <w:p w14:paraId="1F27A838"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The occurrence of medically relevant fungi such as </w:t>
      </w:r>
      <w:r w:rsidRPr="005D4B85">
        <w:rPr>
          <w:rFonts w:ascii="Calibri" w:hAnsi="Calibri" w:cs="Calibri"/>
          <w:i/>
          <w:iCs/>
          <w:sz w:val="24"/>
          <w:szCs w:val="24"/>
        </w:rPr>
        <w:t>Aspergillus</w:t>
      </w:r>
      <w:r w:rsidRPr="005D4B85">
        <w:rPr>
          <w:rFonts w:ascii="Calibri" w:hAnsi="Calibri" w:cs="Calibri"/>
          <w:sz w:val="24"/>
          <w:szCs w:val="24"/>
        </w:rPr>
        <w:t xml:space="preserve"> and </w:t>
      </w:r>
      <w:r w:rsidRPr="005D4B85">
        <w:rPr>
          <w:rFonts w:ascii="Calibri" w:hAnsi="Calibri" w:cs="Calibri"/>
          <w:i/>
          <w:iCs/>
          <w:sz w:val="24"/>
          <w:szCs w:val="24"/>
        </w:rPr>
        <w:t>Fusarium</w:t>
      </w:r>
      <w:r w:rsidRPr="005D4B85">
        <w:rPr>
          <w:rFonts w:ascii="Calibri" w:hAnsi="Calibri" w:cs="Calibri"/>
          <w:sz w:val="24"/>
          <w:szCs w:val="24"/>
        </w:rPr>
        <w:t xml:space="preserve"> in river water raises public health concerns, particularly in communities using untreated river water for domestic or recreational purposes. </w:t>
      </w:r>
      <w:r w:rsidRPr="005D4B85">
        <w:rPr>
          <w:rFonts w:ascii="Calibri" w:hAnsi="Calibri" w:cs="Calibri"/>
          <w:i/>
          <w:iCs/>
          <w:sz w:val="24"/>
          <w:szCs w:val="24"/>
        </w:rPr>
        <w:t>Aspergillus</w:t>
      </w:r>
      <w:r w:rsidRPr="005D4B85">
        <w:rPr>
          <w:rFonts w:ascii="Calibri" w:hAnsi="Calibri" w:cs="Calibri"/>
          <w:sz w:val="24"/>
          <w:szCs w:val="24"/>
        </w:rPr>
        <w:t xml:space="preserve"> species are associated with respiratory and allergic diseases, while </w:t>
      </w:r>
      <w:r w:rsidRPr="005D4B85">
        <w:rPr>
          <w:rFonts w:ascii="Calibri" w:hAnsi="Calibri" w:cs="Calibri"/>
          <w:i/>
          <w:iCs/>
          <w:sz w:val="24"/>
          <w:szCs w:val="24"/>
        </w:rPr>
        <w:t>Fusarium</w:t>
      </w:r>
      <w:r w:rsidRPr="005D4B85">
        <w:rPr>
          <w:rFonts w:ascii="Calibri" w:hAnsi="Calibri" w:cs="Calibri"/>
          <w:sz w:val="24"/>
          <w:szCs w:val="24"/>
        </w:rPr>
        <w:t xml:space="preserve"> species are known for their opportunistic infections in </w:t>
      </w:r>
      <w:r w:rsidR="0027119D">
        <w:rPr>
          <w:rFonts w:ascii="Calibri" w:hAnsi="Calibri" w:cs="Calibri"/>
          <w:sz w:val="24"/>
          <w:szCs w:val="24"/>
        </w:rPr>
        <w:t>immune-</w:t>
      </w:r>
      <w:r w:rsidRPr="005D4B85">
        <w:rPr>
          <w:rFonts w:ascii="Calibri" w:hAnsi="Calibri" w:cs="Calibri"/>
          <w:sz w:val="24"/>
          <w:szCs w:val="24"/>
        </w:rPr>
        <w:t>compromised individuals. Multidrug resistance among surface</w:t>
      </w:r>
      <w:r w:rsidRPr="005D4B85">
        <w:rPr>
          <w:rFonts w:ascii="Calibri" w:hAnsi="Calibri" w:cs="Calibri"/>
          <w:sz w:val="24"/>
          <w:szCs w:val="24"/>
        </w:rPr>
        <w:noBreakHyphen/>
        <w:t>water fungi has been documented recently, illustrating potential challenges for clinical management if infections arise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w:t>
      </w:r>
    </w:p>
    <w:p w14:paraId="4F6D2D28"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Moreover, fungal contamination in water sources could represent a vehicle for exposure to mycotoxins even where disease is not evident, as indicated by studies on mycotoxin occurrence in drinking water sources (Koko </w:t>
      </w:r>
      <w:r w:rsidR="00CA22BB" w:rsidRPr="00CA22BB">
        <w:rPr>
          <w:rFonts w:ascii="Calibri" w:hAnsi="Calibri" w:cs="Calibri"/>
          <w:i/>
          <w:sz w:val="24"/>
          <w:szCs w:val="24"/>
        </w:rPr>
        <w:t>et al</w:t>
      </w:r>
      <w:r w:rsidRPr="005D4B85">
        <w:rPr>
          <w:rFonts w:ascii="Calibri" w:hAnsi="Calibri" w:cs="Calibri"/>
          <w:sz w:val="24"/>
          <w:szCs w:val="24"/>
        </w:rPr>
        <w:t xml:space="preserve">., 2024). Although mycotoxins were not directly assessed in the present study, their potential presence in contaminated water supplies underscores the need for comprehensive water safety strategies. </w:t>
      </w:r>
    </w:p>
    <w:p w14:paraId="2A6A4454"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The finding that all isolates were 100% susceptible to clotrimazole, ketoconazole, and nystatin suggests that at this time, these antifungal agents remain effective against fungi isolated from Gwagwalada River. This contrasts with reports of multidrug</w:t>
      </w:r>
      <w:r w:rsidRPr="005D4B85">
        <w:rPr>
          <w:rFonts w:ascii="Calibri" w:hAnsi="Calibri" w:cs="Calibri"/>
          <w:sz w:val="24"/>
          <w:szCs w:val="24"/>
        </w:rPr>
        <w:noBreakHyphen/>
        <w:t>resistant fungal isolates from surface waters in other Nigerian contexts, where high resistance to multiple antifungals was observed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2025). Such differences might reflect site</w:t>
      </w:r>
      <w:r w:rsidRPr="005D4B85">
        <w:rPr>
          <w:rFonts w:ascii="Calibri" w:hAnsi="Calibri" w:cs="Calibri"/>
          <w:sz w:val="24"/>
          <w:szCs w:val="24"/>
        </w:rPr>
        <w:noBreakHyphen/>
        <w:t xml:space="preserve">specific factors, including local pollution sources, antibiotic use patterns, or ecological pressures shaping resistance phenotypes. Continued monitoring is therefore essential to detect </w:t>
      </w:r>
      <w:r w:rsidR="007545B6">
        <w:rPr>
          <w:rFonts w:ascii="Calibri" w:hAnsi="Calibri" w:cs="Calibri"/>
          <w:sz w:val="24"/>
          <w:szCs w:val="24"/>
        </w:rPr>
        <w:t xml:space="preserve">the </w:t>
      </w:r>
      <w:r w:rsidRPr="005D4B85">
        <w:rPr>
          <w:rFonts w:ascii="Calibri" w:hAnsi="Calibri" w:cs="Calibri"/>
          <w:sz w:val="24"/>
          <w:szCs w:val="24"/>
        </w:rPr>
        <w:t xml:space="preserve">emergence of </w:t>
      </w:r>
      <w:r w:rsidRPr="005D4B85">
        <w:rPr>
          <w:rFonts w:ascii="Calibri" w:hAnsi="Calibri" w:cs="Calibri"/>
          <w:sz w:val="24"/>
          <w:szCs w:val="24"/>
        </w:rPr>
        <w:lastRenderedPageBreak/>
        <w:t xml:space="preserve">resistance, particularly given the global trend of increasing antimicrobial resistance in environmental fungi. </w:t>
      </w:r>
    </w:p>
    <w:p w14:paraId="49CC1A77"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Studies examining fungal diversity in aquatic systems underscore the complexity of fungal communities and their sensitivity to environmental gradients. Aquatic fungal assemblages respond to factors like nutrient availability, pH, and organic pollution, which can shift community structure toward pollution</w:t>
      </w:r>
      <w:r w:rsidRPr="005D4B85">
        <w:rPr>
          <w:rFonts w:ascii="Calibri" w:hAnsi="Calibri" w:cs="Calibri"/>
          <w:sz w:val="24"/>
          <w:szCs w:val="24"/>
        </w:rPr>
        <w:noBreakHyphen/>
        <w:t xml:space="preserve">tolerant and potentially pathogenic taxa (Shen </w:t>
      </w:r>
      <w:r w:rsidR="00CA22BB" w:rsidRPr="00CA22BB">
        <w:rPr>
          <w:rFonts w:ascii="Calibri" w:hAnsi="Calibri" w:cs="Calibri"/>
          <w:i/>
          <w:sz w:val="24"/>
          <w:szCs w:val="24"/>
        </w:rPr>
        <w:t>et al</w:t>
      </w:r>
      <w:r w:rsidRPr="005D4B85">
        <w:rPr>
          <w:rFonts w:ascii="Calibri" w:hAnsi="Calibri" w:cs="Calibri"/>
          <w:sz w:val="24"/>
          <w:szCs w:val="24"/>
        </w:rPr>
        <w:t>., 2025). These dynamics are relevant to understanding the distribution of fungi along the Gwagwalada River, where effluent inputs likely create microhabitats that favor certain species.</w:t>
      </w:r>
    </w:p>
    <w:p w14:paraId="362019CD"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Given the potential risks associated with contaminated surface waters, systematic monitoring of fungal contaminants should be integrated into broader water quality assessment frameworks. Regular surveillance can help detect shifts in microbial community composition and emergent resistance patterns, providing early warning for public health interventions. Water treatment measures, including effective effluent management and sanitation infrastructure, are vital to reducing fungal and other microbial pollutants in rivers receiving abattoir waste.</w:t>
      </w:r>
      <w:r w:rsidR="00BB78F7">
        <w:rPr>
          <w:rFonts w:ascii="Calibri" w:hAnsi="Calibri" w:cs="Calibri"/>
          <w:sz w:val="24"/>
          <w:szCs w:val="24"/>
        </w:rPr>
        <w:t xml:space="preserve"> </w:t>
      </w:r>
      <w:r w:rsidRPr="005D4B85">
        <w:rPr>
          <w:rFonts w:ascii="Calibri" w:hAnsi="Calibri" w:cs="Calibri"/>
          <w:sz w:val="24"/>
          <w:szCs w:val="24"/>
        </w:rPr>
        <w:t xml:space="preserve">Furthermore, public health education on the risks of using untreated river water can help mitigate exposure, especially for vulnerable populations such as children and </w:t>
      </w:r>
      <w:r w:rsidR="00BB78F7">
        <w:rPr>
          <w:rFonts w:ascii="Calibri" w:hAnsi="Calibri" w:cs="Calibri"/>
          <w:sz w:val="24"/>
          <w:szCs w:val="24"/>
        </w:rPr>
        <w:t>immune-</w:t>
      </w:r>
      <w:r w:rsidRPr="005D4B85">
        <w:rPr>
          <w:rFonts w:ascii="Calibri" w:hAnsi="Calibri" w:cs="Calibri"/>
          <w:sz w:val="24"/>
          <w:szCs w:val="24"/>
        </w:rPr>
        <w:t>compromised individuals.</w:t>
      </w:r>
    </w:p>
    <w:p w14:paraId="088AADC2" w14:textId="77777777" w:rsidR="00F34256" w:rsidRDefault="00F34256">
      <w:pPr>
        <w:rPr>
          <w:rFonts w:ascii="Calibri" w:hAnsi="Calibri" w:cs="Calibri"/>
          <w:b/>
          <w:sz w:val="24"/>
          <w:szCs w:val="24"/>
        </w:rPr>
      </w:pPr>
    </w:p>
    <w:p w14:paraId="4B38AE9D" w14:textId="77777777" w:rsidR="00302E88" w:rsidRPr="00302E88" w:rsidRDefault="0027119D" w:rsidP="00302E88">
      <w:pPr>
        <w:spacing w:line="276" w:lineRule="auto"/>
        <w:jc w:val="both"/>
        <w:rPr>
          <w:rFonts w:ascii="Calibri" w:hAnsi="Calibri" w:cs="Calibri"/>
          <w:sz w:val="24"/>
          <w:szCs w:val="24"/>
        </w:rPr>
      </w:pPr>
      <w:r>
        <w:rPr>
          <w:rFonts w:ascii="Calibri" w:hAnsi="Calibri" w:cs="Calibri"/>
          <w:b/>
          <w:bCs/>
          <w:sz w:val="24"/>
          <w:szCs w:val="24"/>
        </w:rPr>
        <w:t>CONCLUSION/</w:t>
      </w:r>
      <w:r w:rsidR="00F11C77" w:rsidRPr="00302E88">
        <w:rPr>
          <w:rFonts w:ascii="Calibri" w:hAnsi="Calibri" w:cs="Calibri"/>
          <w:b/>
          <w:bCs/>
          <w:sz w:val="24"/>
          <w:szCs w:val="24"/>
        </w:rPr>
        <w:t>RECOMMENDATION</w:t>
      </w:r>
      <w:r w:rsidR="00302E88" w:rsidRPr="00302E88">
        <w:rPr>
          <w:rFonts w:ascii="Calibri" w:hAnsi="Calibri" w:cs="Calibri"/>
          <w:b/>
          <w:sz w:val="24"/>
          <w:szCs w:val="24"/>
        </w:rPr>
        <w:br/>
      </w:r>
      <w:r w:rsidR="00302E88" w:rsidRPr="00302E88">
        <w:rPr>
          <w:rFonts w:ascii="Calibri" w:hAnsi="Calibri" w:cs="Calibri"/>
          <w:sz w:val="24"/>
          <w:szCs w:val="24"/>
        </w:rPr>
        <w:t xml:space="preserve">Based on the findings of high fungal loads and the presence of potentially pathogenic species in the Gwagwalada River, it is recommended that comprehensive and continuous microbiological monitoring programs be established. Regular surveillance of fungal populations, including molecular identification and antifungal susceptibility testing, will help detect shifts in community composition and the emergence of resistant strains. Effluent from </w:t>
      </w:r>
      <w:proofErr w:type="spellStart"/>
      <w:r w:rsidR="00302E88" w:rsidRPr="00302E88">
        <w:rPr>
          <w:rFonts w:ascii="Calibri" w:hAnsi="Calibri" w:cs="Calibri"/>
          <w:sz w:val="24"/>
          <w:szCs w:val="24"/>
        </w:rPr>
        <w:t>Kutunku</w:t>
      </w:r>
      <w:proofErr w:type="spellEnd"/>
      <w:r w:rsidR="00302E88" w:rsidRPr="00302E88">
        <w:rPr>
          <w:rFonts w:ascii="Calibri" w:hAnsi="Calibri" w:cs="Calibri"/>
          <w:sz w:val="24"/>
          <w:szCs w:val="24"/>
        </w:rPr>
        <w:t xml:space="preserve"> abattoir should undergo proper treatment before discharge to reduce microbial and chemical pollution, and water quality management practices should be enforced by regulatory authorities. Public health awareness campaigns are also essential to educate communities on the risks of using untreated river water for domestic or recreational purposes. Additionally, implementing effective sanitation and wastewater management infrastructure will minimize environmental contamination. Long-term ecological studies on the impact of abattoir effluents on aquatic fungal communities are advised to inform policy decisions and safeguard both human health and ecosystem integrity</w:t>
      </w:r>
      <w:r w:rsidR="00302E88">
        <w:rPr>
          <w:rFonts w:ascii="Calibri" w:hAnsi="Calibri" w:cs="Calibri"/>
          <w:sz w:val="24"/>
          <w:szCs w:val="24"/>
        </w:rPr>
        <w:t>.</w:t>
      </w:r>
    </w:p>
    <w:p w14:paraId="588F8D48" w14:textId="77777777" w:rsidR="00D520AD" w:rsidRDefault="00D520AD" w:rsidP="00D520AD">
      <w:pPr>
        <w:rPr>
          <w:rFonts w:ascii="Calibri" w:hAnsi="Calibri" w:cs="Calibri"/>
          <w:b/>
          <w:bCs/>
          <w:sz w:val="24"/>
          <w:szCs w:val="24"/>
        </w:rPr>
      </w:pPr>
    </w:p>
    <w:p w14:paraId="73521405" w14:textId="77777777" w:rsidR="00302E88" w:rsidRDefault="00302E88">
      <w:pPr>
        <w:rPr>
          <w:rFonts w:ascii="Calibri" w:hAnsi="Calibri" w:cs="Calibri"/>
          <w:b/>
          <w:sz w:val="24"/>
          <w:szCs w:val="24"/>
        </w:rPr>
      </w:pPr>
      <w:bookmarkStart w:id="0" w:name="_GoBack"/>
      <w:bookmarkEnd w:id="0"/>
    </w:p>
    <w:p w14:paraId="2ED6EC58" w14:textId="77777777" w:rsidR="00D43EAD" w:rsidRPr="00126E35" w:rsidRDefault="00084359">
      <w:pPr>
        <w:rPr>
          <w:rFonts w:ascii="Calibri" w:hAnsi="Calibri" w:cs="Calibri"/>
          <w:b/>
          <w:sz w:val="24"/>
          <w:szCs w:val="24"/>
        </w:rPr>
      </w:pPr>
      <w:r w:rsidRPr="00126E35">
        <w:rPr>
          <w:rFonts w:ascii="Calibri" w:hAnsi="Calibri" w:cs="Calibri"/>
          <w:b/>
          <w:sz w:val="24"/>
          <w:szCs w:val="24"/>
        </w:rPr>
        <w:t xml:space="preserve">REFERENCES </w:t>
      </w:r>
    </w:p>
    <w:p w14:paraId="0635AE6F"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lastRenderedPageBreak/>
        <w:t xml:space="preserve">Abana, C. C., </w:t>
      </w:r>
      <w:proofErr w:type="spellStart"/>
      <w:r w:rsidRPr="006A05B2">
        <w:rPr>
          <w:rFonts w:ascii="Calibri" w:eastAsia="Times New Roman" w:hAnsi="Calibri" w:cs="Calibri"/>
          <w:bCs/>
          <w:color w:val="000000" w:themeColor="text1"/>
          <w:sz w:val="24"/>
          <w:szCs w:val="24"/>
        </w:rPr>
        <w:t>Anyamene</w:t>
      </w:r>
      <w:proofErr w:type="spellEnd"/>
      <w:r w:rsidRPr="006A05B2">
        <w:rPr>
          <w:rFonts w:ascii="Calibri" w:eastAsia="Times New Roman" w:hAnsi="Calibri" w:cs="Calibri"/>
          <w:bCs/>
          <w:color w:val="000000" w:themeColor="text1"/>
          <w:sz w:val="24"/>
          <w:szCs w:val="24"/>
        </w:rPr>
        <w:t xml:space="preserve">, C. O., </w:t>
      </w:r>
      <w:proofErr w:type="spellStart"/>
      <w:r w:rsidRPr="006A05B2">
        <w:rPr>
          <w:rFonts w:ascii="Calibri" w:eastAsia="Times New Roman" w:hAnsi="Calibri" w:cs="Calibri"/>
          <w:bCs/>
          <w:color w:val="000000" w:themeColor="text1"/>
          <w:sz w:val="24"/>
          <w:szCs w:val="24"/>
        </w:rPr>
        <w:t>Ezebialu</w:t>
      </w:r>
      <w:proofErr w:type="spellEnd"/>
      <w:r w:rsidRPr="006A05B2">
        <w:rPr>
          <w:rFonts w:ascii="Calibri" w:eastAsia="Times New Roman" w:hAnsi="Calibri" w:cs="Calibri"/>
          <w:bCs/>
          <w:color w:val="000000" w:themeColor="text1"/>
          <w:sz w:val="24"/>
          <w:szCs w:val="24"/>
        </w:rPr>
        <w:t xml:space="preserve">, C. U., Okonkwo, N. N., </w:t>
      </w:r>
      <w:proofErr w:type="spellStart"/>
      <w:r w:rsidRPr="006A05B2">
        <w:rPr>
          <w:rFonts w:ascii="Calibri" w:eastAsia="Times New Roman" w:hAnsi="Calibri" w:cs="Calibri"/>
          <w:bCs/>
          <w:color w:val="000000" w:themeColor="text1"/>
          <w:sz w:val="24"/>
          <w:szCs w:val="24"/>
        </w:rPr>
        <w:t>Umeoduagu</w:t>
      </w:r>
      <w:proofErr w:type="spellEnd"/>
      <w:r w:rsidRPr="006A05B2">
        <w:rPr>
          <w:rFonts w:ascii="Calibri" w:eastAsia="Times New Roman" w:hAnsi="Calibri" w:cs="Calibri"/>
          <w:bCs/>
          <w:color w:val="000000" w:themeColor="text1"/>
          <w:sz w:val="24"/>
          <w:szCs w:val="24"/>
        </w:rPr>
        <w:t xml:space="preserve">, N. D., </w:t>
      </w:r>
      <w:proofErr w:type="spellStart"/>
      <w:r w:rsidRPr="006A05B2">
        <w:rPr>
          <w:rFonts w:ascii="Calibri" w:eastAsia="Times New Roman" w:hAnsi="Calibri" w:cs="Calibri"/>
          <w:bCs/>
          <w:color w:val="000000" w:themeColor="text1"/>
          <w:sz w:val="24"/>
          <w:szCs w:val="24"/>
        </w:rPr>
        <w:t>Egurefa</w:t>
      </w:r>
      <w:proofErr w:type="spellEnd"/>
      <w:r w:rsidRPr="006A05B2">
        <w:rPr>
          <w:rFonts w:ascii="Calibri" w:eastAsia="Times New Roman" w:hAnsi="Calibri" w:cs="Calibri"/>
          <w:bCs/>
          <w:color w:val="000000" w:themeColor="text1"/>
          <w:sz w:val="24"/>
          <w:szCs w:val="24"/>
        </w:rPr>
        <w:t xml:space="preserve">, S. O., Okoli, F. A., </w:t>
      </w:r>
      <w:proofErr w:type="spellStart"/>
      <w:r w:rsidRPr="006A05B2">
        <w:rPr>
          <w:rFonts w:ascii="Calibri" w:eastAsia="Times New Roman" w:hAnsi="Calibri" w:cs="Calibri"/>
          <w:bCs/>
          <w:color w:val="000000" w:themeColor="text1"/>
          <w:sz w:val="24"/>
          <w:szCs w:val="24"/>
        </w:rPr>
        <w:t>Udenweze</w:t>
      </w:r>
      <w:proofErr w:type="spellEnd"/>
      <w:r w:rsidRPr="006A05B2">
        <w:rPr>
          <w:rFonts w:ascii="Calibri" w:eastAsia="Times New Roman" w:hAnsi="Calibri" w:cs="Calibri"/>
          <w:bCs/>
          <w:color w:val="000000" w:themeColor="text1"/>
          <w:sz w:val="24"/>
          <w:szCs w:val="24"/>
        </w:rPr>
        <w:t xml:space="preserve">, E. C., &amp; </w:t>
      </w:r>
      <w:proofErr w:type="spellStart"/>
      <w:r w:rsidRPr="006A05B2">
        <w:rPr>
          <w:rFonts w:ascii="Calibri" w:eastAsia="Times New Roman" w:hAnsi="Calibri" w:cs="Calibri"/>
          <w:bCs/>
          <w:color w:val="000000" w:themeColor="text1"/>
          <w:sz w:val="24"/>
          <w:szCs w:val="24"/>
        </w:rPr>
        <w:t>Awari</w:t>
      </w:r>
      <w:proofErr w:type="spellEnd"/>
      <w:r w:rsidRPr="006A05B2">
        <w:rPr>
          <w:rFonts w:ascii="Calibri" w:eastAsia="Times New Roman" w:hAnsi="Calibri" w:cs="Calibri"/>
          <w:bCs/>
          <w:color w:val="000000" w:themeColor="text1"/>
          <w:sz w:val="24"/>
          <w:szCs w:val="24"/>
        </w:rPr>
        <w:t>, V. G. (2024). Isolation and identification of bacteria and fungi from selected rivers and lake. ISAR Journal of Science &amp; Technology, 2(4), 29–35.</w:t>
      </w:r>
    </w:p>
    <w:p w14:paraId="54719038"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Al-Afify, A. D. G., Abdo, M. H., Othman, A. A., &amp; Hassan, K. H. (2023). Water quality and microbiological assessment of </w:t>
      </w:r>
      <w:proofErr w:type="spellStart"/>
      <w:r w:rsidRPr="006A05B2">
        <w:rPr>
          <w:rFonts w:ascii="Calibri" w:eastAsia="Times New Roman" w:hAnsi="Calibri" w:cs="Calibri"/>
          <w:bCs/>
          <w:color w:val="000000" w:themeColor="text1"/>
          <w:sz w:val="24"/>
          <w:szCs w:val="24"/>
        </w:rPr>
        <w:t>Burullus</w:t>
      </w:r>
      <w:proofErr w:type="spellEnd"/>
      <w:r w:rsidRPr="006A05B2">
        <w:rPr>
          <w:rFonts w:ascii="Calibri" w:eastAsia="Times New Roman" w:hAnsi="Calibri" w:cs="Calibri"/>
          <w:bCs/>
          <w:color w:val="000000" w:themeColor="text1"/>
          <w:sz w:val="24"/>
          <w:szCs w:val="24"/>
        </w:rPr>
        <w:t xml:space="preserve"> Lake and its surrounding drains. Water, Air, &amp; Soil Pollution, 234, 385. https://doi.org/10.1007/s11270-023-06351-3</w:t>
      </w:r>
    </w:p>
    <w:p w14:paraId="23B6A184"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Awari</w:t>
      </w:r>
      <w:proofErr w:type="spellEnd"/>
      <w:r w:rsidRPr="006A05B2">
        <w:rPr>
          <w:rFonts w:ascii="Calibri" w:eastAsia="Times New Roman" w:hAnsi="Calibri" w:cs="Calibri"/>
          <w:bCs/>
          <w:color w:val="000000" w:themeColor="text1"/>
          <w:sz w:val="24"/>
          <w:szCs w:val="24"/>
        </w:rPr>
        <w:t xml:space="preserve">, V. G., </w:t>
      </w:r>
      <w:proofErr w:type="spellStart"/>
      <w:r w:rsidRPr="006A05B2">
        <w:rPr>
          <w:rFonts w:ascii="Calibri" w:eastAsia="Times New Roman" w:hAnsi="Calibri" w:cs="Calibri"/>
          <w:bCs/>
          <w:color w:val="000000" w:themeColor="text1"/>
          <w:sz w:val="24"/>
          <w:szCs w:val="24"/>
        </w:rPr>
        <w:t>Ofunnwa</w:t>
      </w:r>
      <w:proofErr w:type="spellEnd"/>
      <w:r w:rsidRPr="006A05B2">
        <w:rPr>
          <w:rFonts w:ascii="Calibri" w:eastAsia="Times New Roman" w:hAnsi="Calibri" w:cs="Calibri"/>
          <w:bCs/>
          <w:color w:val="000000" w:themeColor="text1"/>
          <w:sz w:val="24"/>
          <w:szCs w:val="24"/>
        </w:rPr>
        <w:t xml:space="preserve">, J. P., </w:t>
      </w:r>
      <w:proofErr w:type="spellStart"/>
      <w:r w:rsidRPr="006A05B2">
        <w:rPr>
          <w:rFonts w:ascii="Calibri" w:eastAsia="Times New Roman" w:hAnsi="Calibri" w:cs="Calibri"/>
          <w:bCs/>
          <w:color w:val="000000" w:themeColor="text1"/>
          <w:sz w:val="24"/>
          <w:szCs w:val="24"/>
        </w:rPr>
        <w:t>Nwozor</w:t>
      </w:r>
      <w:proofErr w:type="spellEnd"/>
      <w:r w:rsidRPr="006A05B2">
        <w:rPr>
          <w:rFonts w:ascii="Calibri" w:eastAsia="Times New Roman" w:hAnsi="Calibri" w:cs="Calibri"/>
          <w:bCs/>
          <w:color w:val="000000" w:themeColor="text1"/>
          <w:sz w:val="24"/>
          <w:szCs w:val="24"/>
        </w:rPr>
        <w:t xml:space="preserve">, N. C., Soludo, O. C., Imo, K. I., </w:t>
      </w:r>
      <w:proofErr w:type="spellStart"/>
      <w:r w:rsidRPr="006A05B2">
        <w:rPr>
          <w:rFonts w:ascii="Calibri" w:eastAsia="Times New Roman" w:hAnsi="Calibri" w:cs="Calibri"/>
          <w:bCs/>
          <w:color w:val="000000" w:themeColor="text1"/>
          <w:sz w:val="24"/>
          <w:szCs w:val="24"/>
        </w:rPr>
        <w:t>Nwajiobi</w:t>
      </w:r>
      <w:proofErr w:type="spellEnd"/>
      <w:r w:rsidRPr="006A05B2">
        <w:rPr>
          <w:rFonts w:ascii="Calibri" w:eastAsia="Times New Roman" w:hAnsi="Calibri" w:cs="Calibri"/>
          <w:bCs/>
          <w:color w:val="000000" w:themeColor="text1"/>
          <w:sz w:val="24"/>
          <w:szCs w:val="24"/>
        </w:rPr>
        <w:t xml:space="preserve">, F. O., Chukwu, A. U., Agu, K. C., </w:t>
      </w:r>
      <w:proofErr w:type="spellStart"/>
      <w:r w:rsidRPr="006A05B2">
        <w:rPr>
          <w:rFonts w:ascii="Calibri" w:eastAsia="Times New Roman" w:hAnsi="Calibri" w:cs="Calibri"/>
          <w:bCs/>
          <w:color w:val="000000" w:themeColor="text1"/>
          <w:sz w:val="24"/>
          <w:szCs w:val="24"/>
        </w:rPr>
        <w:t>Ogujiofor</w:t>
      </w:r>
      <w:proofErr w:type="spellEnd"/>
      <w:r w:rsidRPr="006A05B2">
        <w:rPr>
          <w:rFonts w:ascii="Calibri" w:eastAsia="Times New Roman" w:hAnsi="Calibri" w:cs="Calibri"/>
          <w:bCs/>
          <w:color w:val="000000" w:themeColor="text1"/>
          <w:sz w:val="24"/>
          <w:szCs w:val="24"/>
        </w:rPr>
        <w:t xml:space="preserve">, F. I., Awah, N. S., &amp; Agor, T. M. (2025). Microbiological investigation of wastewater discharge from Temple and </w:t>
      </w:r>
      <w:proofErr w:type="spellStart"/>
      <w:r w:rsidRPr="006A05B2">
        <w:rPr>
          <w:rFonts w:ascii="Calibri" w:eastAsia="Times New Roman" w:hAnsi="Calibri" w:cs="Calibri"/>
          <w:bCs/>
          <w:color w:val="000000" w:themeColor="text1"/>
          <w:sz w:val="24"/>
          <w:szCs w:val="24"/>
        </w:rPr>
        <w:t>Nkwelle</w:t>
      </w:r>
      <w:proofErr w:type="spellEnd"/>
      <w:r w:rsidRPr="006A05B2">
        <w:rPr>
          <w:rFonts w:ascii="Calibri" w:eastAsia="Times New Roman" w:hAnsi="Calibri" w:cs="Calibri"/>
          <w:bCs/>
          <w:color w:val="000000" w:themeColor="text1"/>
          <w:sz w:val="24"/>
          <w:szCs w:val="24"/>
        </w:rPr>
        <w:t xml:space="preserve"> abattoir. International Journal of Multidisciplinary Approach Research and Science, 3(3), 845–859. https://doi.org/10.59653/ijmars.v3i03.1851</w:t>
      </w:r>
    </w:p>
    <w:p w14:paraId="305F1162"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Babič, M. N., &amp; Gunde-Cimerman, N. (2021). Water-transmitted fungi are involved in degradation of concrete drinking water storage tanks. Microorganisms, 9(1), 160. https://doi.org/10.3390/microorganisms9010160</w:t>
      </w:r>
    </w:p>
    <w:p w14:paraId="4A2A9A91"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Bakare-</w:t>
      </w:r>
      <w:proofErr w:type="spellStart"/>
      <w:r w:rsidRPr="006A05B2">
        <w:rPr>
          <w:rFonts w:ascii="Calibri" w:eastAsia="Times New Roman" w:hAnsi="Calibri" w:cs="Calibri"/>
          <w:bCs/>
          <w:color w:val="000000" w:themeColor="text1"/>
          <w:sz w:val="24"/>
          <w:szCs w:val="24"/>
        </w:rPr>
        <w:t>Abidola</w:t>
      </w:r>
      <w:proofErr w:type="spellEnd"/>
      <w:r w:rsidRPr="006A05B2">
        <w:rPr>
          <w:rFonts w:ascii="Calibri" w:eastAsia="Times New Roman" w:hAnsi="Calibri" w:cs="Calibri"/>
          <w:bCs/>
          <w:color w:val="000000" w:themeColor="text1"/>
          <w:sz w:val="24"/>
          <w:szCs w:val="24"/>
        </w:rPr>
        <w:t xml:space="preserve">, T., </w:t>
      </w:r>
      <w:proofErr w:type="spellStart"/>
      <w:r w:rsidRPr="006A05B2">
        <w:rPr>
          <w:rFonts w:ascii="Calibri" w:eastAsia="Times New Roman" w:hAnsi="Calibri" w:cs="Calibri"/>
          <w:bCs/>
          <w:color w:val="000000" w:themeColor="text1"/>
          <w:sz w:val="24"/>
          <w:szCs w:val="24"/>
        </w:rPr>
        <w:t>Elabor</w:t>
      </w:r>
      <w:proofErr w:type="spellEnd"/>
      <w:r w:rsidRPr="006A05B2">
        <w:rPr>
          <w:rFonts w:ascii="Calibri" w:eastAsia="Times New Roman" w:hAnsi="Calibri" w:cs="Calibri"/>
          <w:bCs/>
          <w:color w:val="000000" w:themeColor="text1"/>
          <w:sz w:val="24"/>
          <w:szCs w:val="24"/>
        </w:rPr>
        <w:t xml:space="preserve">, I., Onwuchekwa, N., Onwuchekwa, C., Oladeji, J., Olawale, A. O., &amp; </w:t>
      </w:r>
      <w:proofErr w:type="spellStart"/>
      <w:r w:rsidRPr="006A05B2">
        <w:rPr>
          <w:rFonts w:ascii="Calibri" w:eastAsia="Times New Roman" w:hAnsi="Calibri" w:cs="Calibri"/>
          <w:bCs/>
          <w:color w:val="000000" w:themeColor="text1"/>
          <w:sz w:val="24"/>
          <w:szCs w:val="24"/>
        </w:rPr>
        <w:t>Adeiza</w:t>
      </w:r>
      <w:proofErr w:type="spellEnd"/>
      <w:r w:rsidRPr="006A05B2">
        <w:rPr>
          <w:rFonts w:ascii="Calibri" w:eastAsia="Times New Roman" w:hAnsi="Calibri" w:cs="Calibri"/>
          <w:bCs/>
          <w:color w:val="000000" w:themeColor="text1"/>
          <w:sz w:val="24"/>
          <w:szCs w:val="24"/>
        </w:rPr>
        <w:t>, A. A. (2025). Environmental impact assessment of abattoir wastewater. Path of Science, 11(6), 5001–5014. https://doi.org/10.22178/pos.11916</w:t>
      </w:r>
    </w:p>
    <w:p w14:paraId="5F788ED5"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Buitrago-Zuluaga, C., Osorio-Giraldo, C. V., &amp; Peñuela-Martínez, A. E. (2025). Identification of filamentous fungi present in prolonged fermentations of Coffea arabica L. var. Castillo. Applied Microbiology, 5(4), 114. https://doi.org/10.3390/applmicrobiol5040114</w:t>
      </w:r>
    </w:p>
    <w:p w14:paraId="2F0C5945"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Chinakwe</w:t>
      </w:r>
      <w:proofErr w:type="spellEnd"/>
      <w:r w:rsidRPr="006A05B2">
        <w:rPr>
          <w:rFonts w:ascii="Calibri" w:eastAsia="Times New Roman" w:hAnsi="Calibri" w:cs="Calibri"/>
          <w:bCs/>
          <w:color w:val="000000" w:themeColor="text1"/>
          <w:sz w:val="24"/>
          <w:szCs w:val="24"/>
        </w:rPr>
        <w:t xml:space="preserve">, E. C., Nwogwugwu, N. U., Ihejirika, C. E., </w:t>
      </w:r>
      <w:proofErr w:type="spellStart"/>
      <w:r w:rsidRPr="006A05B2">
        <w:rPr>
          <w:rFonts w:ascii="Calibri" w:eastAsia="Times New Roman" w:hAnsi="Calibri" w:cs="Calibri"/>
          <w:bCs/>
          <w:color w:val="000000" w:themeColor="text1"/>
          <w:sz w:val="24"/>
          <w:szCs w:val="24"/>
        </w:rPr>
        <w:t>Ngumah</w:t>
      </w:r>
      <w:proofErr w:type="spellEnd"/>
      <w:r w:rsidRPr="006A05B2">
        <w:rPr>
          <w:rFonts w:ascii="Calibri" w:eastAsia="Times New Roman" w:hAnsi="Calibri" w:cs="Calibri"/>
          <w:bCs/>
          <w:color w:val="000000" w:themeColor="text1"/>
          <w:sz w:val="24"/>
          <w:szCs w:val="24"/>
        </w:rPr>
        <w:t xml:space="preserve">, J. C., Mike-Anosike, E. E., </w:t>
      </w:r>
      <w:proofErr w:type="spellStart"/>
      <w:r w:rsidRPr="006A05B2">
        <w:rPr>
          <w:rFonts w:ascii="Calibri" w:eastAsia="Times New Roman" w:hAnsi="Calibri" w:cs="Calibri"/>
          <w:bCs/>
          <w:color w:val="000000" w:themeColor="text1"/>
          <w:sz w:val="24"/>
          <w:szCs w:val="24"/>
        </w:rPr>
        <w:t>Ajugwo</w:t>
      </w:r>
      <w:proofErr w:type="spellEnd"/>
      <w:r w:rsidRPr="006A05B2">
        <w:rPr>
          <w:rFonts w:ascii="Calibri" w:eastAsia="Times New Roman" w:hAnsi="Calibri" w:cs="Calibri"/>
          <w:bCs/>
          <w:color w:val="000000" w:themeColor="text1"/>
          <w:sz w:val="24"/>
          <w:szCs w:val="24"/>
        </w:rPr>
        <w:t xml:space="preserve">, G. C., &amp; Iwuji, J. C. (2022). Physico-chemical and microbiological qualities of abattoir wastewater in </w:t>
      </w:r>
      <w:proofErr w:type="spellStart"/>
      <w:r w:rsidRPr="006A05B2">
        <w:rPr>
          <w:rFonts w:ascii="Calibri" w:eastAsia="Times New Roman" w:hAnsi="Calibri" w:cs="Calibri"/>
          <w:bCs/>
          <w:color w:val="000000" w:themeColor="text1"/>
          <w:sz w:val="24"/>
          <w:szCs w:val="24"/>
        </w:rPr>
        <w:t>Egbu</w:t>
      </w:r>
      <w:proofErr w:type="spellEnd"/>
      <w:r w:rsidRPr="006A05B2">
        <w:rPr>
          <w:rFonts w:ascii="Calibri" w:eastAsia="Times New Roman" w:hAnsi="Calibri" w:cs="Calibri"/>
          <w:bCs/>
          <w:color w:val="000000" w:themeColor="text1"/>
          <w:sz w:val="24"/>
          <w:szCs w:val="24"/>
        </w:rPr>
        <w:t>, Imo State, Nigeria. Microbiology Research Journal International, 32(4), 31–36. https://doi.org/10.9734/mrji/2022/v32i430383</w:t>
      </w:r>
    </w:p>
    <w:p w14:paraId="07C98862"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Dizge</w:t>
      </w:r>
      <w:proofErr w:type="spellEnd"/>
      <w:r w:rsidRPr="006A05B2">
        <w:rPr>
          <w:rFonts w:ascii="Calibri" w:eastAsia="Times New Roman" w:hAnsi="Calibri" w:cs="Calibri"/>
          <w:bCs/>
          <w:color w:val="000000" w:themeColor="text1"/>
          <w:sz w:val="24"/>
          <w:szCs w:val="24"/>
        </w:rPr>
        <w:t xml:space="preserve">, E. M., &amp; </w:t>
      </w:r>
      <w:proofErr w:type="spellStart"/>
      <w:r w:rsidRPr="006A05B2">
        <w:rPr>
          <w:rFonts w:ascii="Calibri" w:eastAsia="Times New Roman" w:hAnsi="Calibri" w:cs="Calibri"/>
          <w:bCs/>
          <w:color w:val="000000" w:themeColor="text1"/>
          <w:sz w:val="24"/>
          <w:szCs w:val="24"/>
        </w:rPr>
        <w:t>Göksay</w:t>
      </w:r>
      <w:proofErr w:type="spellEnd"/>
      <w:r w:rsidRPr="006A05B2">
        <w:rPr>
          <w:rFonts w:ascii="Calibri" w:eastAsia="Times New Roman" w:hAnsi="Calibri" w:cs="Calibri"/>
          <w:bCs/>
          <w:color w:val="000000" w:themeColor="text1"/>
          <w:sz w:val="24"/>
          <w:szCs w:val="24"/>
        </w:rPr>
        <w:t xml:space="preserve"> </w:t>
      </w:r>
      <w:proofErr w:type="spellStart"/>
      <w:r w:rsidRPr="006A05B2">
        <w:rPr>
          <w:rFonts w:ascii="Calibri" w:eastAsia="Times New Roman" w:hAnsi="Calibri" w:cs="Calibri"/>
          <w:bCs/>
          <w:color w:val="000000" w:themeColor="text1"/>
          <w:sz w:val="24"/>
          <w:szCs w:val="24"/>
        </w:rPr>
        <w:t>Kadaifçiler</w:t>
      </w:r>
      <w:proofErr w:type="spellEnd"/>
      <w:r w:rsidRPr="006A05B2">
        <w:rPr>
          <w:rFonts w:ascii="Calibri" w:eastAsia="Times New Roman" w:hAnsi="Calibri" w:cs="Calibri"/>
          <w:bCs/>
          <w:color w:val="000000" w:themeColor="text1"/>
          <w:sz w:val="24"/>
          <w:szCs w:val="24"/>
        </w:rPr>
        <w:t xml:space="preserve">, D. (2025). Fungal contamination in residential water systems: A comparative study between hot and </w:t>
      </w:r>
      <w:proofErr w:type="gramStart"/>
      <w:r w:rsidRPr="006A05B2">
        <w:rPr>
          <w:rFonts w:ascii="Calibri" w:eastAsia="Times New Roman" w:hAnsi="Calibri" w:cs="Calibri"/>
          <w:bCs/>
          <w:color w:val="000000" w:themeColor="text1"/>
          <w:sz w:val="24"/>
          <w:szCs w:val="24"/>
        </w:rPr>
        <w:t>cold water</w:t>
      </w:r>
      <w:proofErr w:type="gramEnd"/>
      <w:r w:rsidRPr="006A05B2">
        <w:rPr>
          <w:rFonts w:ascii="Calibri" w:eastAsia="Times New Roman" w:hAnsi="Calibri" w:cs="Calibri"/>
          <w:bCs/>
          <w:color w:val="000000" w:themeColor="text1"/>
          <w:sz w:val="24"/>
          <w:szCs w:val="24"/>
        </w:rPr>
        <w:t xml:space="preserve"> samples. Trakya University Journal of Natural Sciences, 26(1), 61–72. https://doi.org/10.23902/trkjnat.1576675</w:t>
      </w:r>
    </w:p>
    <w:p w14:paraId="5981C2AF"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Eke, C. G., Asemota, U. K., </w:t>
      </w:r>
      <w:proofErr w:type="spellStart"/>
      <w:r w:rsidRPr="006A05B2">
        <w:rPr>
          <w:rFonts w:ascii="Calibri" w:eastAsia="Times New Roman" w:hAnsi="Calibri" w:cs="Calibri"/>
          <w:bCs/>
          <w:color w:val="000000" w:themeColor="text1"/>
          <w:sz w:val="24"/>
          <w:szCs w:val="24"/>
        </w:rPr>
        <w:t>Ukandu</w:t>
      </w:r>
      <w:proofErr w:type="spellEnd"/>
      <w:r w:rsidRPr="006A05B2">
        <w:rPr>
          <w:rFonts w:ascii="Calibri" w:eastAsia="Times New Roman" w:hAnsi="Calibri" w:cs="Calibri"/>
          <w:bCs/>
          <w:color w:val="000000" w:themeColor="text1"/>
          <w:sz w:val="24"/>
          <w:szCs w:val="24"/>
        </w:rPr>
        <w:t xml:space="preserve">, U. U., Omokhuale, F. M., &amp; Etuk-Udo, G. A. (2023). Molecular identification of bacterial flora from </w:t>
      </w:r>
      <w:proofErr w:type="spellStart"/>
      <w:r w:rsidRPr="006A05B2">
        <w:rPr>
          <w:rFonts w:ascii="Calibri" w:eastAsia="Times New Roman" w:hAnsi="Calibri" w:cs="Calibri"/>
          <w:bCs/>
          <w:color w:val="000000" w:themeColor="text1"/>
          <w:sz w:val="24"/>
          <w:szCs w:val="24"/>
        </w:rPr>
        <w:t>Clarias</w:t>
      </w:r>
      <w:proofErr w:type="spellEnd"/>
      <w:r w:rsidRPr="006A05B2">
        <w:rPr>
          <w:rFonts w:ascii="Calibri" w:eastAsia="Times New Roman" w:hAnsi="Calibri" w:cs="Calibri"/>
          <w:bCs/>
          <w:color w:val="000000" w:themeColor="text1"/>
          <w:sz w:val="24"/>
          <w:szCs w:val="24"/>
        </w:rPr>
        <w:t xml:space="preserve"> </w:t>
      </w:r>
      <w:proofErr w:type="spellStart"/>
      <w:r w:rsidRPr="006A05B2">
        <w:rPr>
          <w:rFonts w:ascii="Calibri" w:eastAsia="Times New Roman" w:hAnsi="Calibri" w:cs="Calibri"/>
          <w:bCs/>
          <w:color w:val="000000" w:themeColor="text1"/>
          <w:sz w:val="24"/>
          <w:szCs w:val="24"/>
        </w:rPr>
        <w:t>gariepinus</w:t>
      </w:r>
      <w:proofErr w:type="spellEnd"/>
      <w:r w:rsidRPr="006A05B2">
        <w:rPr>
          <w:rFonts w:ascii="Calibri" w:eastAsia="Times New Roman" w:hAnsi="Calibri" w:cs="Calibri"/>
          <w:bCs/>
          <w:color w:val="000000" w:themeColor="text1"/>
          <w:sz w:val="24"/>
          <w:szCs w:val="24"/>
        </w:rPr>
        <w:t xml:space="preserve"> gastrointestinal tract within Abuja metropolis. Proceedings of the Biotechnology Society of Nigeria 35th Annual Conference.</w:t>
      </w:r>
    </w:p>
    <w:p w14:paraId="62169E6C"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Hussain, F., Salam, I., Memon, Z., Abdullah, M., Abbas, G., Akbar, M., Hussain, A., Majeed, M., Ali, K., &amp; Moda, H. M. (2024). Occurrence of fungal microbial contamination in drinking water of a megacity of Karachi (Pakistan) and their </w:t>
      </w:r>
      <w:proofErr w:type="spellStart"/>
      <w:r w:rsidRPr="006A05B2">
        <w:rPr>
          <w:rFonts w:ascii="Calibri" w:eastAsia="Times New Roman" w:hAnsi="Calibri" w:cs="Calibri"/>
          <w:bCs/>
          <w:color w:val="000000" w:themeColor="text1"/>
          <w:sz w:val="24"/>
          <w:szCs w:val="24"/>
        </w:rPr>
        <w:t>physico</w:t>
      </w:r>
      <w:proofErr w:type="spellEnd"/>
      <w:r w:rsidRPr="006A05B2">
        <w:rPr>
          <w:rFonts w:ascii="Calibri" w:eastAsia="Times New Roman" w:hAnsi="Calibri" w:cs="Calibri"/>
          <w:bCs/>
          <w:color w:val="000000" w:themeColor="text1"/>
          <w:sz w:val="24"/>
          <w:szCs w:val="24"/>
        </w:rPr>
        <w:t xml:space="preserve">-chemical control. </w:t>
      </w:r>
      <w:proofErr w:type="spellStart"/>
      <w:r w:rsidRPr="006A05B2">
        <w:rPr>
          <w:rFonts w:ascii="Calibri" w:eastAsia="Times New Roman" w:hAnsi="Calibri" w:cs="Calibri"/>
          <w:bCs/>
          <w:color w:val="000000" w:themeColor="text1"/>
          <w:sz w:val="24"/>
          <w:szCs w:val="24"/>
        </w:rPr>
        <w:t>Heliyon</w:t>
      </w:r>
      <w:proofErr w:type="spellEnd"/>
      <w:r w:rsidRPr="006A05B2">
        <w:rPr>
          <w:rFonts w:ascii="Calibri" w:eastAsia="Times New Roman" w:hAnsi="Calibri" w:cs="Calibri"/>
          <w:bCs/>
          <w:color w:val="000000" w:themeColor="text1"/>
          <w:sz w:val="24"/>
          <w:szCs w:val="24"/>
        </w:rPr>
        <w:t>, 10(7), e28926. https://doi.org/10.1016/j.heliyon.2024.e28926</w:t>
      </w:r>
    </w:p>
    <w:p w14:paraId="18C86FD3"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Iweriolor</w:t>
      </w:r>
      <w:proofErr w:type="spellEnd"/>
      <w:r w:rsidRPr="006A05B2">
        <w:rPr>
          <w:rFonts w:ascii="Calibri" w:eastAsia="Times New Roman" w:hAnsi="Calibri" w:cs="Calibri"/>
          <w:bCs/>
          <w:color w:val="000000" w:themeColor="text1"/>
          <w:sz w:val="24"/>
          <w:szCs w:val="24"/>
        </w:rPr>
        <w:t xml:space="preserve">, S. N., &amp; Anyiam, I. V. (2023). Microbiological assessment and antibiotic susceptibility of </w:t>
      </w:r>
      <w:proofErr w:type="spellStart"/>
      <w:r w:rsidRPr="006A05B2">
        <w:rPr>
          <w:rFonts w:ascii="Calibri" w:eastAsia="Times New Roman" w:hAnsi="Calibri" w:cs="Calibri"/>
          <w:bCs/>
          <w:color w:val="000000" w:themeColor="text1"/>
          <w:sz w:val="24"/>
          <w:szCs w:val="24"/>
        </w:rPr>
        <w:t>Orogodo</w:t>
      </w:r>
      <w:proofErr w:type="spellEnd"/>
      <w:r w:rsidRPr="006A05B2">
        <w:rPr>
          <w:rFonts w:ascii="Calibri" w:eastAsia="Times New Roman" w:hAnsi="Calibri" w:cs="Calibri"/>
          <w:bCs/>
          <w:color w:val="000000" w:themeColor="text1"/>
          <w:sz w:val="24"/>
          <w:szCs w:val="24"/>
        </w:rPr>
        <w:t xml:space="preserve"> River exposed to abattoir effluent in Delta State, Nigeria. South Asian Journal of Research in Microbiology, 17(4), 24–36.</w:t>
      </w:r>
    </w:p>
    <w:p w14:paraId="5C76BC48"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lastRenderedPageBreak/>
        <w:t xml:space="preserve">Koko, D. T., Alfred, M. O., </w:t>
      </w:r>
      <w:proofErr w:type="spellStart"/>
      <w:r w:rsidRPr="006A05B2">
        <w:rPr>
          <w:rFonts w:ascii="Calibri" w:eastAsia="Times New Roman" w:hAnsi="Calibri" w:cs="Calibri"/>
          <w:bCs/>
          <w:color w:val="000000" w:themeColor="text1"/>
          <w:sz w:val="24"/>
          <w:szCs w:val="24"/>
        </w:rPr>
        <w:t>Bolujoko</w:t>
      </w:r>
      <w:proofErr w:type="spellEnd"/>
      <w:r w:rsidRPr="006A05B2">
        <w:rPr>
          <w:rFonts w:ascii="Calibri" w:eastAsia="Times New Roman" w:hAnsi="Calibri" w:cs="Calibri"/>
          <w:bCs/>
          <w:color w:val="000000" w:themeColor="text1"/>
          <w:sz w:val="24"/>
          <w:szCs w:val="24"/>
        </w:rPr>
        <w:t xml:space="preserve">, N., </w:t>
      </w:r>
      <w:proofErr w:type="spellStart"/>
      <w:r w:rsidRPr="006A05B2">
        <w:rPr>
          <w:rFonts w:ascii="Calibri" w:eastAsia="Times New Roman" w:hAnsi="Calibri" w:cs="Calibri"/>
          <w:bCs/>
          <w:color w:val="000000" w:themeColor="text1"/>
          <w:sz w:val="24"/>
          <w:szCs w:val="24"/>
        </w:rPr>
        <w:t>Olorunnisola</w:t>
      </w:r>
      <w:proofErr w:type="spellEnd"/>
      <w:r w:rsidRPr="006A05B2">
        <w:rPr>
          <w:rFonts w:ascii="Calibri" w:eastAsia="Times New Roman" w:hAnsi="Calibri" w:cs="Calibri"/>
          <w:bCs/>
          <w:color w:val="000000" w:themeColor="text1"/>
          <w:sz w:val="24"/>
          <w:szCs w:val="24"/>
        </w:rPr>
        <w:t xml:space="preserve">, D. O., </w:t>
      </w:r>
      <w:proofErr w:type="spellStart"/>
      <w:r w:rsidRPr="006A05B2">
        <w:rPr>
          <w:rFonts w:ascii="Calibri" w:eastAsia="Times New Roman" w:hAnsi="Calibri" w:cs="Calibri"/>
          <w:bCs/>
          <w:color w:val="000000" w:themeColor="text1"/>
          <w:sz w:val="24"/>
          <w:szCs w:val="24"/>
        </w:rPr>
        <w:t>Otitoju</w:t>
      </w:r>
      <w:proofErr w:type="spellEnd"/>
      <w:r w:rsidRPr="006A05B2">
        <w:rPr>
          <w:rFonts w:ascii="Calibri" w:eastAsia="Times New Roman" w:hAnsi="Calibri" w:cs="Calibri"/>
          <w:bCs/>
          <w:color w:val="000000" w:themeColor="text1"/>
          <w:sz w:val="24"/>
          <w:szCs w:val="24"/>
        </w:rPr>
        <w:t xml:space="preserve">, O. B., </w:t>
      </w:r>
      <w:proofErr w:type="spellStart"/>
      <w:r w:rsidRPr="006A05B2">
        <w:rPr>
          <w:rFonts w:ascii="Calibri" w:eastAsia="Times New Roman" w:hAnsi="Calibri" w:cs="Calibri"/>
          <w:bCs/>
          <w:color w:val="000000" w:themeColor="text1"/>
          <w:sz w:val="24"/>
          <w:szCs w:val="24"/>
        </w:rPr>
        <w:t>Msagati</w:t>
      </w:r>
      <w:proofErr w:type="spellEnd"/>
      <w:r w:rsidRPr="006A05B2">
        <w:rPr>
          <w:rFonts w:ascii="Calibri" w:eastAsia="Times New Roman" w:hAnsi="Calibri" w:cs="Calibri"/>
          <w:bCs/>
          <w:color w:val="000000" w:themeColor="text1"/>
          <w:sz w:val="24"/>
          <w:szCs w:val="24"/>
        </w:rPr>
        <w:t xml:space="preserve">, T. A. M., </w:t>
      </w:r>
      <w:proofErr w:type="spellStart"/>
      <w:r w:rsidRPr="006A05B2">
        <w:rPr>
          <w:rFonts w:ascii="Calibri" w:eastAsia="Times New Roman" w:hAnsi="Calibri" w:cs="Calibri"/>
          <w:bCs/>
          <w:color w:val="000000" w:themeColor="text1"/>
          <w:sz w:val="24"/>
          <w:szCs w:val="24"/>
        </w:rPr>
        <w:t>Omorogie</w:t>
      </w:r>
      <w:proofErr w:type="spellEnd"/>
      <w:r w:rsidRPr="006A05B2">
        <w:rPr>
          <w:rFonts w:ascii="Calibri" w:eastAsia="Times New Roman" w:hAnsi="Calibri" w:cs="Calibri"/>
          <w:bCs/>
          <w:color w:val="000000" w:themeColor="text1"/>
          <w:sz w:val="24"/>
          <w:szCs w:val="24"/>
        </w:rPr>
        <w:t xml:space="preserve">, M. O., </w:t>
      </w:r>
      <w:proofErr w:type="spellStart"/>
      <w:r w:rsidRPr="006A05B2">
        <w:rPr>
          <w:rFonts w:ascii="Calibri" w:eastAsia="Times New Roman" w:hAnsi="Calibri" w:cs="Calibri"/>
          <w:bCs/>
          <w:color w:val="000000" w:themeColor="text1"/>
          <w:sz w:val="24"/>
          <w:szCs w:val="24"/>
        </w:rPr>
        <w:t>Ogunlaja</w:t>
      </w:r>
      <w:proofErr w:type="spellEnd"/>
      <w:r w:rsidRPr="006A05B2">
        <w:rPr>
          <w:rFonts w:ascii="Calibri" w:eastAsia="Times New Roman" w:hAnsi="Calibri" w:cs="Calibri"/>
          <w:bCs/>
          <w:color w:val="000000" w:themeColor="text1"/>
          <w:sz w:val="24"/>
          <w:szCs w:val="24"/>
        </w:rPr>
        <w:t xml:space="preserve">, A., </w:t>
      </w:r>
      <w:proofErr w:type="spellStart"/>
      <w:r w:rsidRPr="006A05B2">
        <w:rPr>
          <w:rFonts w:ascii="Calibri" w:eastAsia="Times New Roman" w:hAnsi="Calibri" w:cs="Calibri"/>
          <w:bCs/>
          <w:color w:val="000000" w:themeColor="text1"/>
          <w:sz w:val="24"/>
          <w:szCs w:val="24"/>
        </w:rPr>
        <w:t>Olukanni</w:t>
      </w:r>
      <w:proofErr w:type="spellEnd"/>
      <w:r w:rsidRPr="006A05B2">
        <w:rPr>
          <w:rFonts w:ascii="Calibri" w:eastAsia="Times New Roman" w:hAnsi="Calibri" w:cs="Calibri"/>
          <w:bCs/>
          <w:color w:val="000000" w:themeColor="text1"/>
          <w:sz w:val="24"/>
          <w:szCs w:val="24"/>
        </w:rPr>
        <w:t xml:space="preserve">, O. D., &amp; </w:t>
      </w:r>
      <w:proofErr w:type="spellStart"/>
      <w:r w:rsidRPr="006A05B2">
        <w:rPr>
          <w:rFonts w:ascii="Calibri" w:eastAsia="Times New Roman" w:hAnsi="Calibri" w:cs="Calibri"/>
          <w:bCs/>
          <w:color w:val="000000" w:themeColor="text1"/>
          <w:sz w:val="24"/>
          <w:szCs w:val="24"/>
        </w:rPr>
        <w:t>Unuabonah</w:t>
      </w:r>
      <w:proofErr w:type="spellEnd"/>
      <w:r w:rsidRPr="006A05B2">
        <w:rPr>
          <w:rFonts w:ascii="Calibri" w:eastAsia="Times New Roman" w:hAnsi="Calibri" w:cs="Calibri"/>
          <w:bCs/>
          <w:color w:val="000000" w:themeColor="text1"/>
          <w:sz w:val="24"/>
          <w:szCs w:val="24"/>
        </w:rPr>
        <w:t>, E. I. (2024). Prevalence and health risk evaluations of mycotoxins in drinking water sources in Nigeria. RSC Advances, 14, 34435–34447. https://doi.org/10.1039/D4RA04866K</w:t>
      </w:r>
    </w:p>
    <w:p w14:paraId="5221ECB3"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Liang, F. (2025). Research progress on fungi and their spore in-activation in different water bodies. Desalination and Water Treatment, 321, 101007. https://doi.org/10.1016/j.dwt.2025.101007</w:t>
      </w:r>
    </w:p>
    <w:p w14:paraId="7A8260FF"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Manir, A., Gul, M., Achakzai, S. K., Gul, S., Khan, A. N., Ashiq, K., Tabassim, U., &amp; Hameed, N. (2020). Isolation of bacteria and fungi from effluent from Gusau modern abattoir. Bulletin of Environment, Pharmacology and Life Sciences, 9(2), 45–54.</w:t>
      </w:r>
    </w:p>
    <w:p w14:paraId="76D00BE5"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Ndukwe, M. K., </w:t>
      </w:r>
      <w:proofErr w:type="spellStart"/>
      <w:r w:rsidRPr="006A05B2">
        <w:rPr>
          <w:rFonts w:ascii="Calibri" w:eastAsia="Times New Roman" w:hAnsi="Calibri" w:cs="Calibri"/>
          <w:bCs/>
          <w:color w:val="000000" w:themeColor="text1"/>
          <w:sz w:val="24"/>
          <w:szCs w:val="24"/>
        </w:rPr>
        <w:t>Igara</w:t>
      </w:r>
      <w:proofErr w:type="spellEnd"/>
      <w:r w:rsidRPr="006A05B2">
        <w:rPr>
          <w:rFonts w:ascii="Calibri" w:eastAsia="Times New Roman" w:hAnsi="Calibri" w:cs="Calibri"/>
          <w:bCs/>
          <w:color w:val="000000" w:themeColor="text1"/>
          <w:sz w:val="24"/>
          <w:szCs w:val="24"/>
        </w:rPr>
        <w:t xml:space="preserve">, C. E., </w:t>
      </w:r>
      <w:proofErr w:type="spellStart"/>
      <w:r w:rsidRPr="006A05B2">
        <w:rPr>
          <w:rFonts w:ascii="Calibri" w:eastAsia="Times New Roman" w:hAnsi="Calibri" w:cs="Calibri"/>
          <w:bCs/>
          <w:color w:val="000000" w:themeColor="text1"/>
          <w:sz w:val="24"/>
          <w:szCs w:val="24"/>
        </w:rPr>
        <w:t>Nkama</w:t>
      </w:r>
      <w:proofErr w:type="spellEnd"/>
      <w:r w:rsidRPr="006A05B2">
        <w:rPr>
          <w:rFonts w:ascii="Calibri" w:eastAsia="Times New Roman" w:hAnsi="Calibri" w:cs="Calibri"/>
          <w:bCs/>
          <w:color w:val="000000" w:themeColor="text1"/>
          <w:sz w:val="24"/>
          <w:szCs w:val="24"/>
        </w:rPr>
        <w:t xml:space="preserve">, O. J., Ibe, C. O., Okoro, O. E., </w:t>
      </w:r>
      <w:proofErr w:type="spellStart"/>
      <w:r w:rsidRPr="006A05B2">
        <w:rPr>
          <w:rFonts w:ascii="Calibri" w:eastAsia="Times New Roman" w:hAnsi="Calibri" w:cs="Calibri"/>
          <w:bCs/>
          <w:color w:val="000000" w:themeColor="text1"/>
          <w:sz w:val="24"/>
          <w:szCs w:val="24"/>
        </w:rPr>
        <w:t>Nnnachi</w:t>
      </w:r>
      <w:proofErr w:type="spellEnd"/>
      <w:r w:rsidRPr="006A05B2">
        <w:rPr>
          <w:rFonts w:ascii="Calibri" w:eastAsia="Times New Roman" w:hAnsi="Calibri" w:cs="Calibri"/>
          <w:bCs/>
          <w:color w:val="000000" w:themeColor="text1"/>
          <w:sz w:val="24"/>
          <w:szCs w:val="24"/>
        </w:rPr>
        <w:t xml:space="preserve">, E. O., &amp; </w:t>
      </w:r>
      <w:proofErr w:type="spellStart"/>
      <w:r w:rsidRPr="006A05B2">
        <w:rPr>
          <w:rFonts w:ascii="Calibri" w:eastAsia="Times New Roman" w:hAnsi="Calibri" w:cs="Calibri"/>
          <w:bCs/>
          <w:color w:val="000000" w:themeColor="text1"/>
          <w:sz w:val="24"/>
          <w:szCs w:val="24"/>
        </w:rPr>
        <w:t>Atiaetuk</w:t>
      </w:r>
      <w:proofErr w:type="spellEnd"/>
      <w:r w:rsidRPr="006A05B2">
        <w:rPr>
          <w:rFonts w:ascii="Calibri" w:eastAsia="Times New Roman" w:hAnsi="Calibri" w:cs="Calibri"/>
          <w:bCs/>
          <w:color w:val="000000" w:themeColor="text1"/>
          <w:sz w:val="24"/>
          <w:szCs w:val="24"/>
        </w:rPr>
        <w:t xml:space="preserve">, I. E. (2023). Effect of abattoir waste on surface water quality parameters of </w:t>
      </w:r>
      <w:proofErr w:type="spellStart"/>
      <w:r w:rsidRPr="006A05B2">
        <w:rPr>
          <w:rFonts w:ascii="Calibri" w:eastAsia="Times New Roman" w:hAnsi="Calibri" w:cs="Calibri"/>
          <w:bCs/>
          <w:color w:val="000000" w:themeColor="text1"/>
          <w:sz w:val="24"/>
          <w:szCs w:val="24"/>
        </w:rPr>
        <w:t>Iwofe</w:t>
      </w:r>
      <w:proofErr w:type="spellEnd"/>
      <w:r w:rsidRPr="006A05B2">
        <w:rPr>
          <w:rFonts w:ascii="Calibri" w:eastAsia="Times New Roman" w:hAnsi="Calibri" w:cs="Calibri"/>
          <w:bCs/>
          <w:color w:val="000000" w:themeColor="text1"/>
          <w:sz w:val="24"/>
          <w:szCs w:val="24"/>
        </w:rPr>
        <w:t xml:space="preserve"> River, Port Harcourt, Rivers State, Nigeria. Journal of Geography, Environment and Earth Science International, 27(9), 93–101. https://doi.org/10.9734/jgeesi/2023/v27i9708</w:t>
      </w:r>
    </w:p>
    <w:p w14:paraId="26655ABC"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Ningombam</w:t>
      </w:r>
      <w:proofErr w:type="spellEnd"/>
      <w:r w:rsidRPr="006A05B2">
        <w:rPr>
          <w:rFonts w:ascii="Calibri" w:eastAsia="Times New Roman" w:hAnsi="Calibri" w:cs="Calibri"/>
          <w:bCs/>
          <w:color w:val="000000" w:themeColor="text1"/>
          <w:sz w:val="24"/>
          <w:szCs w:val="24"/>
        </w:rPr>
        <w:t>, L. (2025). Fungal bioremediation in environmental pollution and recent advances. Environmental Biotechnology Reviews. https://doi.org/10.1007/s44274-025-00267-x</w:t>
      </w:r>
    </w:p>
    <w:p w14:paraId="1956B298"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Nkenna</w:t>
      </w:r>
      <w:proofErr w:type="spellEnd"/>
      <w:r w:rsidRPr="006A05B2">
        <w:rPr>
          <w:rFonts w:ascii="Calibri" w:eastAsia="Times New Roman" w:hAnsi="Calibri" w:cs="Calibri"/>
          <w:bCs/>
          <w:color w:val="000000" w:themeColor="text1"/>
          <w:sz w:val="24"/>
          <w:szCs w:val="24"/>
        </w:rPr>
        <w:t>, C. U. (2023). Profile of fungi isolated from domestic water used by street vendors: The public health implication. Clinical Medicine and Health Research Journal, 3(4), 480–484. https://doi.org/10.18535/cmhrj.v3i4.201</w:t>
      </w:r>
    </w:p>
    <w:p w14:paraId="2E0E31F5"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Nwogwugwu</w:t>
      </w:r>
      <w:proofErr w:type="spellEnd"/>
      <w:r w:rsidRPr="006A05B2">
        <w:rPr>
          <w:rFonts w:ascii="Calibri" w:eastAsia="Times New Roman" w:hAnsi="Calibri" w:cs="Calibri"/>
          <w:bCs/>
          <w:color w:val="000000" w:themeColor="text1"/>
          <w:sz w:val="24"/>
          <w:szCs w:val="24"/>
        </w:rPr>
        <w:t xml:space="preserve">, N. R., </w:t>
      </w:r>
      <w:proofErr w:type="spellStart"/>
      <w:r w:rsidRPr="006A05B2">
        <w:rPr>
          <w:rFonts w:ascii="Calibri" w:eastAsia="Times New Roman" w:hAnsi="Calibri" w:cs="Calibri"/>
          <w:bCs/>
          <w:color w:val="000000" w:themeColor="text1"/>
          <w:sz w:val="24"/>
          <w:szCs w:val="24"/>
        </w:rPr>
        <w:t>Obire</w:t>
      </w:r>
      <w:proofErr w:type="spellEnd"/>
      <w:r w:rsidRPr="006A05B2">
        <w:rPr>
          <w:rFonts w:ascii="Calibri" w:eastAsia="Times New Roman" w:hAnsi="Calibri" w:cs="Calibri"/>
          <w:bCs/>
          <w:color w:val="000000" w:themeColor="text1"/>
          <w:sz w:val="24"/>
          <w:szCs w:val="24"/>
        </w:rPr>
        <w:t xml:space="preserve">, O., &amp; </w:t>
      </w:r>
      <w:proofErr w:type="spellStart"/>
      <w:r w:rsidRPr="006A05B2">
        <w:rPr>
          <w:rFonts w:ascii="Calibri" w:eastAsia="Times New Roman" w:hAnsi="Calibri" w:cs="Calibri"/>
          <w:bCs/>
          <w:color w:val="000000" w:themeColor="text1"/>
          <w:sz w:val="24"/>
          <w:szCs w:val="24"/>
        </w:rPr>
        <w:t>Nrior</w:t>
      </w:r>
      <w:proofErr w:type="spellEnd"/>
      <w:r w:rsidRPr="006A05B2">
        <w:rPr>
          <w:rFonts w:ascii="Calibri" w:eastAsia="Times New Roman" w:hAnsi="Calibri" w:cs="Calibri"/>
          <w:bCs/>
          <w:color w:val="000000" w:themeColor="text1"/>
          <w:sz w:val="24"/>
          <w:szCs w:val="24"/>
        </w:rPr>
        <w:t xml:space="preserve">, R. R. (2024). Prevalence and antifungal profile of fungi isolated from drinking water sources in </w:t>
      </w:r>
      <w:proofErr w:type="spellStart"/>
      <w:r w:rsidRPr="006A05B2">
        <w:rPr>
          <w:rFonts w:ascii="Calibri" w:eastAsia="Times New Roman" w:hAnsi="Calibri" w:cs="Calibri"/>
          <w:bCs/>
          <w:color w:val="000000" w:themeColor="text1"/>
          <w:sz w:val="24"/>
          <w:szCs w:val="24"/>
        </w:rPr>
        <w:t>Gbam</w:t>
      </w:r>
      <w:proofErr w:type="spellEnd"/>
      <w:r w:rsidRPr="006A05B2">
        <w:rPr>
          <w:rFonts w:ascii="Calibri" w:eastAsia="Times New Roman" w:hAnsi="Calibri" w:cs="Calibri"/>
          <w:bCs/>
          <w:color w:val="000000" w:themeColor="text1"/>
          <w:sz w:val="24"/>
          <w:szCs w:val="24"/>
        </w:rPr>
        <w:t>, Tai, Nigeria. International Journal of Microbiology and Applied Sciences, 3(1), 281–287.</w:t>
      </w:r>
    </w:p>
    <w:p w14:paraId="719F5B71"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Ogbonna, S. I., Akani, N. P., Williams, J. O., &amp; </w:t>
      </w:r>
      <w:proofErr w:type="spellStart"/>
      <w:r w:rsidRPr="006A05B2">
        <w:rPr>
          <w:rFonts w:ascii="Calibri" w:eastAsia="Times New Roman" w:hAnsi="Calibri" w:cs="Calibri"/>
          <w:bCs/>
          <w:color w:val="000000" w:themeColor="text1"/>
          <w:sz w:val="24"/>
          <w:szCs w:val="24"/>
        </w:rPr>
        <w:t>Peekate</w:t>
      </w:r>
      <w:proofErr w:type="spellEnd"/>
      <w:r w:rsidRPr="006A05B2">
        <w:rPr>
          <w:rFonts w:ascii="Calibri" w:eastAsia="Times New Roman" w:hAnsi="Calibri" w:cs="Calibri"/>
          <w:bCs/>
          <w:color w:val="000000" w:themeColor="text1"/>
          <w:sz w:val="24"/>
          <w:szCs w:val="24"/>
        </w:rPr>
        <w:t>, L. P. (2022). Distribution and fluconazole susceptibility pattern of fungi isolated from saloon equipment in Rivers State, Nigeria. International Journal of Health &amp; Pharmaceutical Research, 7(1), 56–66. https://doi.org/10.56201/ijhpr.v7.no12022.pg56.66</w:t>
      </w:r>
    </w:p>
    <w:p w14:paraId="0983FD48"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Priscillia, E., Abu, M., Abel, U. O., &amp; Adewumi, T. (2021). Structural exploration of aeromagnetic data over part of Gwagwalada, Abuja for potential mineral targets using derivative filters. Journal of Geological Research, 3(3), 45.</w:t>
      </w:r>
    </w:p>
    <w:p w14:paraId="2798771E"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Ramadan, L., &amp; Harb, M. (2025). Fungi as an emerging waterborne health concern: Impact of treated wastewater discharge versus aerosolization. Environmental Science: Processes &amp; Impacts, 27, 1103–1119. https://doi.org/10.1039/D5EM00020C</w:t>
      </w:r>
    </w:p>
    <w:p w14:paraId="1F1E8A13"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Seng, Y. C., Rath, T., Lim, S., Eav, C., &amp; Phan, K. (2018). Assessment of physicochemical properties of the river water in Phnom Penh and its suburban area. Bulletin of the Cambodian Chemical Society, 9, 29–35.</w:t>
      </w:r>
    </w:p>
    <w:p w14:paraId="71A3BC03"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Titilawo</w:t>
      </w:r>
      <w:proofErr w:type="spellEnd"/>
      <w:r w:rsidRPr="006A05B2">
        <w:rPr>
          <w:rFonts w:ascii="Calibri" w:eastAsia="Times New Roman" w:hAnsi="Calibri" w:cs="Calibri"/>
          <w:bCs/>
          <w:color w:val="000000" w:themeColor="text1"/>
          <w:sz w:val="24"/>
          <w:szCs w:val="24"/>
        </w:rPr>
        <w:t xml:space="preserve">, M. A., </w:t>
      </w:r>
      <w:proofErr w:type="spellStart"/>
      <w:r w:rsidRPr="006A05B2">
        <w:rPr>
          <w:rFonts w:ascii="Calibri" w:eastAsia="Times New Roman" w:hAnsi="Calibri" w:cs="Calibri"/>
          <w:bCs/>
          <w:color w:val="000000" w:themeColor="text1"/>
          <w:sz w:val="24"/>
          <w:szCs w:val="24"/>
        </w:rPr>
        <w:t>Akinniranye</w:t>
      </w:r>
      <w:proofErr w:type="spellEnd"/>
      <w:r w:rsidRPr="006A05B2">
        <w:rPr>
          <w:rFonts w:ascii="Calibri" w:eastAsia="Times New Roman" w:hAnsi="Calibri" w:cs="Calibri"/>
          <w:bCs/>
          <w:color w:val="000000" w:themeColor="text1"/>
          <w:sz w:val="24"/>
          <w:szCs w:val="24"/>
        </w:rPr>
        <w:t xml:space="preserve">, B. O., Ajani, T. F., </w:t>
      </w:r>
      <w:proofErr w:type="spellStart"/>
      <w:r w:rsidRPr="006A05B2">
        <w:rPr>
          <w:rFonts w:ascii="Calibri" w:eastAsia="Times New Roman" w:hAnsi="Calibri" w:cs="Calibri"/>
          <w:bCs/>
          <w:color w:val="000000" w:themeColor="text1"/>
          <w:sz w:val="24"/>
          <w:szCs w:val="24"/>
        </w:rPr>
        <w:t>Titilawo</w:t>
      </w:r>
      <w:proofErr w:type="spellEnd"/>
      <w:r w:rsidRPr="006A05B2">
        <w:rPr>
          <w:rFonts w:ascii="Calibri" w:eastAsia="Times New Roman" w:hAnsi="Calibri" w:cs="Calibri"/>
          <w:bCs/>
          <w:color w:val="000000" w:themeColor="text1"/>
          <w:sz w:val="24"/>
          <w:szCs w:val="24"/>
        </w:rPr>
        <w:t xml:space="preserve">, Y., Olaitan, J. O., &amp; </w:t>
      </w:r>
      <w:proofErr w:type="spellStart"/>
      <w:r w:rsidRPr="006A05B2">
        <w:rPr>
          <w:rFonts w:ascii="Calibri" w:eastAsia="Times New Roman" w:hAnsi="Calibri" w:cs="Calibri"/>
          <w:bCs/>
          <w:color w:val="000000" w:themeColor="text1"/>
          <w:sz w:val="24"/>
          <w:szCs w:val="24"/>
        </w:rPr>
        <w:t>Adebooye</w:t>
      </w:r>
      <w:proofErr w:type="spellEnd"/>
      <w:r w:rsidRPr="006A05B2">
        <w:rPr>
          <w:rFonts w:ascii="Calibri" w:eastAsia="Times New Roman" w:hAnsi="Calibri" w:cs="Calibri"/>
          <w:bCs/>
          <w:color w:val="000000" w:themeColor="text1"/>
          <w:sz w:val="24"/>
          <w:szCs w:val="24"/>
        </w:rPr>
        <w:t>, C. O. (2025). Surface waters are hotspots of multidrug resistant fungi: Insight from selected waterbodies in Osun State, Nigeria. Total Environment Microbiology, 1(4), 100035. https://doi.org/10.1016/j.temicr.2025.100035</w:t>
      </w:r>
    </w:p>
    <w:p w14:paraId="3170B960" w14:textId="77777777" w:rsidR="006A05B2" w:rsidRPr="006A05B2" w:rsidRDefault="006A05B2" w:rsidP="006A05B2">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lastRenderedPageBreak/>
        <w:t>Vega, E. C., Dávila, M. A. M., Castillo, P. Z., Espinoza, O. C., &amp; Barrientos, M. R. Z. (2023). Population growth and water consumption: Chachapoyas case, 2011–2021. Journal of Law and Sustainable Development, 11(11), e1156. https://doi.org/10.55908/sdgs.v11i11.1156</w:t>
      </w:r>
    </w:p>
    <w:p w14:paraId="4C845C22" w14:textId="77777777" w:rsidR="00B95B23" w:rsidRPr="00BB78F7" w:rsidRDefault="006A05B2" w:rsidP="006A05B2">
      <w:pPr>
        <w:numPr>
          <w:ilvl w:val="0"/>
          <w:numId w:val="1"/>
        </w:numPr>
        <w:spacing w:before="100" w:beforeAutospacing="1" w:after="100" w:afterAutospacing="1" w:line="276" w:lineRule="auto"/>
        <w:jc w:val="both"/>
        <w:rPr>
          <w:rFonts w:ascii="Calibri" w:eastAsia="Times New Roman" w:hAnsi="Calibri" w:cs="Calibri"/>
          <w:color w:val="000000" w:themeColor="text1"/>
          <w:sz w:val="24"/>
          <w:szCs w:val="24"/>
        </w:rPr>
      </w:pPr>
      <w:r w:rsidRPr="006A05B2">
        <w:rPr>
          <w:rFonts w:ascii="Calibri" w:eastAsia="Times New Roman" w:hAnsi="Calibri" w:cs="Calibri"/>
          <w:bCs/>
          <w:color w:val="000000" w:themeColor="text1"/>
          <w:sz w:val="24"/>
          <w:szCs w:val="24"/>
        </w:rPr>
        <w:t xml:space="preserve">Weldon, C. (2025). Ecology and life cycles of aquatic pathogenic fungi. In N. J. Smit &amp; B. Sures (Eds.), Aquatic parasitology: Ecological and environmental concepts and implications of marine and freshwater parasites (pp. </w:t>
      </w:r>
      <w:r w:rsidR="00686CB3">
        <w:rPr>
          <w:rFonts w:ascii="Calibri" w:eastAsia="Times New Roman" w:hAnsi="Calibri" w:cs="Calibri"/>
          <w:bCs/>
          <w:color w:val="000000" w:themeColor="text1"/>
          <w:sz w:val="24"/>
          <w:szCs w:val="24"/>
        </w:rPr>
        <w:t>71-88</w:t>
      </w:r>
      <w:r w:rsidRPr="006A05B2">
        <w:rPr>
          <w:rFonts w:ascii="Calibri" w:eastAsia="Times New Roman" w:hAnsi="Calibri" w:cs="Calibri"/>
          <w:bCs/>
          <w:color w:val="000000" w:themeColor="text1"/>
          <w:sz w:val="24"/>
          <w:szCs w:val="24"/>
        </w:rPr>
        <w:t>). Springer. https://doi.org/10.1007/978-3-031-83903-0_4</w:t>
      </w:r>
    </w:p>
    <w:p w14:paraId="0CCF7067" w14:textId="77777777" w:rsidR="00BB78F7" w:rsidRPr="00BB78F7" w:rsidRDefault="00BB78F7" w:rsidP="00846F2E">
      <w:pPr>
        <w:spacing w:before="100" w:beforeAutospacing="1" w:after="100" w:afterAutospacing="1" w:line="240" w:lineRule="auto"/>
        <w:ind w:left="720"/>
        <w:jc w:val="both"/>
        <w:rPr>
          <w:rFonts w:ascii="Calibri" w:eastAsia="Times New Roman" w:hAnsi="Calibri" w:cs="Calibri"/>
          <w:color w:val="000000" w:themeColor="text1"/>
          <w:sz w:val="24"/>
          <w:szCs w:val="24"/>
        </w:rPr>
      </w:pPr>
    </w:p>
    <w:sectPr w:rsidR="00BB78F7" w:rsidRPr="00BB78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E62A" w14:textId="77777777" w:rsidR="00471F81" w:rsidRDefault="00471F81" w:rsidP="000817C7">
      <w:pPr>
        <w:spacing w:after="0" w:line="240" w:lineRule="auto"/>
      </w:pPr>
      <w:r>
        <w:separator/>
      </w:r>
    </w:p>
  </w:endnote>
  <w:endnote w:type="continuationSeparator" w:id="0">
    <w:p w14:paraId="51507477" w14:textId="77777777" w:rsidR="00471F81" w:rsidRDefault="00471F81" w:rsidP="0008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0522" w14:textId="77777777" w:rsidR="000817C7" w:rsidRDefault="0008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DA30" w14:textId="77777777" w:rsidR="000817C7" w:rsidRDefault="0008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6B91" w14:textId="77777777" w:rsidR="000817C7" w:rsidRDefault="0008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8E769" w14:textId="77777777" w:rsidR="00471F81" w:rsidRDefault="00471F81" w:rsidP="000817C7">
      <w:pPr>
        <w:spacing w:after="0" w:line="240" w:lineRule="auto"/>
      </w:pPr>
      <w:r>
        <w:separator/>
      </w:r>
    </w:p>
  </w:footnote>
  <w:footnote w:type="continuationSeparator" w:id="0">
    <w:p w14:paraId="2C356608" w14:textId="77777777" w:rsidR="00471F81" w:rsidRDefault="00471F81" w:rsidP="00081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A806" w14:textId="1873007B" w:rsidR="000817C7" w:rsidRDefault="000817C7">
    <w:pPr>
      <w:pStyle w:val="Header"/>
    </w:pPr>
    <w:r>
      <w:rPr>
        <w:noProof/>
      </w:rPr>
      <w:pict w14:anchorId="08C8B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67F" w14:textId="74344B9C" w:rsidR="000817C7" w:rsidRDefault="000817C7">
    <w:pPr>
      <w:pStyle w:val="Header"/>
    </w:pPr>
    <w:r>
      <w:rPr>
        <w:noProof/>
      </w:rPr>
      <w:pict w14:anchorId="7D31A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0FA7" w14:textId="1C3D2028" w:rsidR="000817C7" w:rsidRDefault="000817C7">
    <w:pPr>
      <w:pStyle w:val="Header"/>
    </w:pPr>
    <w:r>
      <w:rPr>
        <w:noProof/>
      </w:rPr>
      <w:pict w14:anchorId="3BF0B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31C61"/>
    <w:multiLevelType w:val="multilevel"/>
    <w:tmpl w:val="E40405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9252F3"/>
    <w:multiLevelType w:val="multilevel"/>
    <w:tmpl w:val="E55A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21"/>
    <w:rsid w:val="00024A6D"/>
    <w:rsid w:val="0007452B"/>
    <w:rsid w:val="000817C7"/>
    <w:rsid w:val="00084359"/>
    <w:rsid w:val="000D7C0F"/>
    <w:rsid w:val="00126E35"/>
    <w:rsid w:val="002409F6"/>
    <w:rsid w:val="0027119D"/>
    <w:rsid w:val="00302D07"/>
    <w:rsid w:val="00302E88"/>
    <w:rsid w:val="00345DD8"/>
    <w:rsid w:val="00372B3D"/>
    <w:rsid w:val="00387BFA"/>
    <w:rsid w:val="003E325E"/>
    <w:rsid w:val="00471F81"/>
    <w:rsid w:val="00591434"/>
    <w:rsid w:val="005D4B85"/>
    <w:rsid w:val="005E6E8E"/>
    <w:rsid w:val="00676A4F"/>
    <w:rsid w:val="00686CB3"/>
    <w:rsid w:val="00692955"/>
    <w:rsid w:val="00697D13"/>
    <w:rsid w:val="006A05B2"/>
    <w:rsid w:val="007545B6"/>
    <w:rsid w:val="00772F3B"/>
    <w:rsid w:val="007A0D5D"/>
    <w:rsid w:val="00846F2E"/>
    <w:rsid w:val="0088374F"/>
    <w:rsid w:val="008C0FAC"/>
    <w:rsid w:val="009A67C0"/>
    <w:rsid w:val="009D4ADF"/>
    <w:rsid w:val="00A239B2"/>
    <w:rsid w:val="00A30D21"/>
    <w:rsid w:val="00A43A15"/>
    <w:rsid w:val="00B5514B"/>
    <w:rsid w:val="00B95B23"/>
    <w:rsid w:val="00BB78F7"/>
    <w:rsid w:val="00CA22BB"/>
    <w:rsid w:val="00CF5B97"/>
    <w:rsid w:val="00D43EAD"/>
    <w:rsid w:val="00D520AD"/>
    <w:rsid w:val="00D97E88"/>
    <w:rsid w:val="00E2260F"/>
    <w:rsid w:val="00EF23E9"/>
    <w:rsid w:val="00F11C77"/>
    <w:rsid w:val="00F34256"/>
    <w:rsid w:val="00F8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257A1D"/>
  <w15:chartTrackingRefBased/>
  <w15:docId w15:val="{29796764-54F8-4C70-A04A-9F54D38E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D2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226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D43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260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0D21"/>
    <w:pPr>
      <w:ind w:left="720"/>
      <w:contextualSpacing/>
    </w:pPr>
  </w:style>
  <w:style w:type="paragraph" w:styleId="NormalWeb">
    <w:name w:val="Normal (Web)"/>
    <w:basedOn w:val="Normal"/>
    <w:uiPriority w:val="99"/>
    <w:unhideWhenUsed/>
    <w:rsid w:val="00A30D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D21"/>
    <w:rPr>
      <w:b/>
      <w:bCs/>
    </w:rPr>
  </w:style>
  <w:style w:type="character" w:styleId="Emphasis">
    <w:name w:val="Emphasis"/>
    <w:basedOn w:val="DefaultParagraphFont"/>
    <w:uiPriority w:val="20"/>
    <w:qFormat/>
    <w:rsid w:val="00A30D21"/>
    <w:rPr>
      <w:i/>
      <w:iCs/>
    </w:rPr>
  </w:style>
  <w:style w:type="character" w:customStyle="1" w:styleId="Heading2Char">
    <w:name w:val="Heading 2 Char"/>
    <w:basedOn w:val="DefaultParagraphFont"/>
    <w:link w:val="Heading2"/>
    <w:uiPriority w:val="9"/>
    <w:rsid w:val="00D43EAD"/>
    <w:rPr>
      <w:rFonts w:ascii="Times New Roman" w:eastAsia="Times New Roman" w:hAnsi="Times New Roman" w:cs="Times New Roman"/>
      <w:b/>
      <w:bCs/>
      <w:kern w:val="0"/>
      <w:sz w:val="36"/>
      <w:szCs w:val="36"/>
      <w:lang w:val="en-US"/>
      <w14:ligatures w14:val="none"/>
    </w:rPr>
  </w:style>
  <w:style w:type="character" w:styleId="Hyperlink">
    <w:name w:val="Hyperlink"/>
    <w:basedOn w:val="DefaultParagraphFont"/>
    <w:uiPriority w:val="99"/>
    <w:unhideWhenUsed/>
    <w:rsid w:val="00692955"/>
    <w:rPr>
      <w:color w:val="467886" w:themeColor="hyperlink"/>
      <w:u w:val="single"/>
    </w:rPr>
  </w:style>
  <w:style w:type="character" w:customStyle="1" w:styleId="Heading1Char">
    <w:name w:val="Heading 1 Char"/>
    <w:basedOn w:val="DefaultParagraphFont"/>
    <w:link w:val="Heading1"/>
    <w:uiPriority w:val="9"/>
    <w:rsid w:val="00E2260F"/>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E2260F"/>
    <w:rPr>
      <w:rFonts w:asciiTheme="majorHAnsi" w:eastAsiaTheme="majorEastAsia" w:hAnsiTheme="majorHAnsi" w:cstheme="majorBidi"/>
      <w:color w:val="0A2F40" w:themeColor="accent1" w:themeShade="7F"/>
      <w:kern w:val="0"/>
      <w:lang w:val="en-US"/>
      <w14:ligatures w14:val="none"/>
    </w:rPr>
  </w:style>
  <w:style w:type="table" w:styleId="TableGrid">
    <w:name w:val="Table Grid"/>
    <w:basedOn w:val="TableNormal"/>
    <w:uiPriority w:val="39"/>
    <w:rsid w:val="00F3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5B23"/>
    <w:pPr>
      <w:spacing w:after="0" w:line="240" w:lineRule="auto"/>
    </w:pPr>
    <w:rPr>
      <w:rFonts w:ascii="Calibri" w:eastAsia="Calibri" w:hAnsi="Calibri" w:cs="Times New Roman"/>
      <w:kern w:val="0"/>
      <w:sz w:val="22"/>
      <w:szCs w:val="22"/>
      <w:lang w:val="en-US"/>
      <w14:ligatures w14:val="none"/>
    </w:rPr>
  </w:style>
  <w:style w:type="character" w:styleId="UnresolvedMention">
    <w:name w:val="Unresolved Mention"/>
    <w:basedOn w:val="DefaultParagraphFont"/>
    <w:uiPriority w:val="99"/>
    <w:semiHidden/>
    <w:unhideWhenUsed/>
    <w:rsid w:val="007A0D5D"/>
    <w:rPr>
      <w:color w:val="605E5C"/>
      <w:shd w:val="clear" w:color="auto" w:fill="E1DFDD"/>
    </w:rPr>
  </w:style>
  <w:style w:type="paragraph" w:styleId="Header">
    <w:name w:val="header"/>
    <w:basedOn w:val="Normal"/>
    <w:link w:val="HeaderChar"/>
    <w:uiPriority w:val="99"/>
    <w:unhideWhenUsed/>
    <w:rsid w:val="000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C7"/>
    <w:rPr>
      <w:kern w:val="0"/>
      <w:sz w:val="22"/>
      <w:szCs w:val="22"/>
      <w:lang w:val="en-US"/>
      <w14:ligatures w14:val="none"/>
    </w:rPr>
  </w:style>
  <w:style w:type="paragraph" w:styleId="Footer">
    <w:name w:val="footer"/>
    <w:basedOn w:val="Normal"/>
    <w:link w:val="FooterChar"/>
    <w:uiPriority w:val="99"/>
    <w:unhideWhenUsed/>
    <w:rsid w:val="000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C7"/>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251">
      <w:bodyDiv w:val="1"/>
      <w:marLeft w:val="0"/>
      <w:marRight w:val="0"/>
      <w:marTop w:val="0"/>
      <w:marBottom w:val="0"/>
      <w:divBdr>
        <w:top w:val="none" w:sz="0" w:space="0" w:color="auto"/>
        <w:left w:val="none" w:sz="0" w:space="0" w:color="auto"/>
        <w:bottom w:val="none" w:sz="0" w:space="0" w:color="auto"/>
        <w:right w:val="none" w:sz="0" w:space="0" w:color="auto"/>
      </w:divBdr>
    </w:div>
    <w:div w:id="473134639">
      <w:bodyDiv w:val="1"/>
      <w:marLeft w:val="0"/>
      <w:marRight w:val="0"/>
      <w:marTop w:val="0"/>
      <w:marBottom w:val="0"/>
      <w:divBdr>
        <w:top w:val="none" w:sz="0" w:space="0" w:color="auto"/>
        <w:left w:val="none" w:sz="0" w:space="0" w:color="auto"/>
        <w:bottom w:val="none" w:sz="0" w:space="0" w:color="auto"/>
        <w:right w:val="none" w:sz="0" w:space="0" w:color="auto"/>
      </w:divBdr>
    </w:div>
    <w:div w:id="734010822">
      <w:bodyDiv w:val="1"/>
      <w:marLeft w:val="0"/>
      <w:marRight w:val="0"/>
      <w:marTop w:val="0"/>
      <w:marBottom w:val="0"/>
      <w:divBdr>
        <w:top w:val="none" w:sz="0" w:space="0" w:color="auto"/>
        <w:left w:val="none" w:sz="0" w:space="0" w:color="auto"/>
        <w:bottom w:val="none" w:sz="0" w:space="0" w:color="auto"/>
        <w:right w:val="none" w:sz="0" w:space="0" w:color="auto"/>
      </w:divBdr>
    </w:div>
    <w:div w:id="1057358118">
      <w:bodyDiv w:val="1"/>
      <w:marLeft w:val="0"/>
      <w:marRight w:val="0"/>
      <w:marTop w:val="0"/>
      <w:marBottom w:val="0"/>
      <w:divBdr>
        <w:top w:val="none" w:sz="0" w:space="0" w:color="auto"/>
        <w:left w:val="none" w:sz="0" w:space="0" w:color="auto"/>
        <w:bottom w:val="none" w:sz="0" w:space="0" w:color="auto"/>
        <w:right w:val="none" w:sz="0" w:space="0" w:color="auto"/>
      </w:divBdr>
    </w:div>
    <w:div w:id="1157501036">
      <w:bodyDiv w:val="1"/>
      <w:marLeft w:val="0"/>
      <w:marRight w:val="0"/>
      <w:marTop w:val="0"/>
      <w:marBottom w:val="0"/>
      <w:divBdr>
        <w:top w:val="none" w:sz="0" w:space="0" w:color="auto"/>
        <w:left w:val="none" w:sz="0" w:space="0" w:color="auto"/>
        <w:bottom w:val="none" w:sz="0" w:space="0" w:color="auto"/>
        <w:right w:val="none" w:sz="0" w:space="0" w:color="auto"/>
      </w:divBdr>
    </w:div>
    <w:div w:id="1218054216">
      <w:bodyDiv w:val="1"/>
      <w:marLeft w:val="0"/>
      <w:marRight w:val="0"/>
      <w:marTop w:val="0"/>
      <w:marBottom w:val="0"/>
      <w:divBdr>
        <w:top w:val="none" w:sz="0" w:space="0" w:color="auto"/>
        <w:left w:val="none" w:sz="0" w:space="0" w:color="auto"/>
        <w:bottom w:val="none" w:sz="0" w:space="0" w:color="auto"/>
        <w:right w:val="none" w:sz="0" w:space="0" w:color="auto"/>
      </w:divBdr>
    </w:div>
    <w:div w:id="1374185093">
      <w:bodyDiv w:val="1"/>
      <w:marLeft w:val="0"/>
      <w:marRight w:val="0"/>
      <w:marTop w:val="0"/>
      <w:marBottom w:val="0"/>
      <w:divBdr>
        <w:top w:val="none" w:sz="0" w:space="0" w:color="auto"/>
        <w:left w:val="none" w:sz="0" w:space="0" w:color="auto"/>
        <w:bottom w:val="none" w:sz="0" w:space="0" w:color="auto"/>
        <w:right w:val="none" w:sz="0" w:space="0" w:color="auto"/>
      </w:divBdr>
    </w:div>
    <w:div w:id="1398479710">
      <w:bodyDiv w:val="1"/>
      <w:marLeft w:val="0"/>
      <w:marRight w:val="0"/>
      <w:marTop w:val="0"/>
      <w:marBottom w:val="0"/>
      <w:divBdr>
        <w:top w:val="none" w:sz="0" w:space="0" w:color="auto"/>
        <w:left w:val="none" w:sz="0" w:space="0" w:color="auto"/>
        <w:bottom w:val="none" w:sz="0" w:space="0" w:color="auto"/>
        <w:right w:val="none" w:sz="0" w:space="0" w:color="auto"/>
      </w:divBdr>
    </w:div>
    <w:div w:id="1515415108">
      <w:bodyDiv w:val="1"/>
      <w:marLeft w:val="0"/>
      <w:marRight w:val="0"/>
      <w:marTop w:val="0"/>
      <w:marBottom w:val="0"/>
      <w:divBdr>
        <w:top w:val="none" w:sz="0" w:space="0" w:color="auto"/>
        <w:left w:val="none" w:sz="0" w:space="0" w:color="auto"/>
        <w:bottom w:val="none" w:sz="0" w:space="0" w:color="auto"/>
        <w:right w:val="none" w:sz="0" w:space="0" w:color="auto"/>
      </w:divBdr>
    </w:div>
    <w:div w:id="19333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13</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33</cp:revision>
  <dcterms:created xsi:type="dcterms:W3CDTF">2026-01-28T11:36:00Z</dcterms:created>
  <dcterms:modified xsi:type="dcterms:W3CDTF">2026-01-29T10:36:00Z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eb9bc42e-fef7-4f5b-b9ef-f92450d40bac</vt:lpwstr>
  </property>
</Properties>
</file>