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CF4C5" w14:textId="77777777" w:rsidR="00A353B2" w:rsidRDefault="00A353B2" w:rsidP="00C43037">
      <w:pPr>
        <w:spacing w:line="360" w:lineRule="auto"/>
        <w:jc w:val="center"/>
        <w:rPr>
          <w:rFonts w:ascii="Arial" w:hAnsi="Arial" w:cs="Arial"/>
          <w:b/>
          <w:sz w:val="24"/>
          <w:szCs w:val="24"/>
        </w:rPr>
      </w:pPr>
      <w:r w:rsidRPr="00A353B2">
        <w:rPr>
          <w:rFonts w:ascii="Arial" w:hAnsi="Arial" w:cs="Arial"/>
          <w:b/>
          <w:sz w:val="24"/>
          <w:szCs w:val="24"/>
        </w:rPr>
        <w:t xml:space="preserve">Original Research Article </w:t>
      </w:r>
    </w:p>
    <w:p w14:paraId="17C6C072" w14:textId="77777777" w:rsidR="00A353B2" w:rsidRDefault="00A353B2" w:rsidP="00C43037">
      <w:pPr>
        <w:spacing w:line="360" w:lineRule="auto"/>
        <w:jc w:val="center"/>
        <w:rPr>
          <w:rFonts w:ascii="Arial" w:hAnsi="Arial" w:cs="Arial"/>
          <w:b/>
          <w:sz w:val="24"/>
          <w:szCs w:val="24"/>
        </w:rPr>
      </w:pPr>
    </w:p>
    <w:p w14:paraId="160A1531" w14:textId="5BA9AFB6" w:rsidR="00C43037" w:rsidRPr="000D2C0C" w:rsidRDefault="00C43037" w:rsidP="00C43037">
      <w:pPr>
        <w:spacing w:line="360" w:lineRule="auto"/>
        <w:jc w:val="center"/>
        <w:rPr>
          <w:rFonts w:ascii="Arial" w:hAnsi="Arial" w:cs="Arial"/>
          <w:b/>
          <w:sz w:val="24"/>
          <w:szCs w:val="24"/>
        </w:rPr>
      </w:pPr>
      <w:r w:rsidRPr="000D2C0C">
        <w:rPr>
          <w:rFonts w:ascii="Arial" w:hAnsi="Arial" w:cs="Arial"/>
          <w:b/>
          <w:sz w:val="24"/>
          <w:szCs w:val="24"/>
        </w:rPr>
        <w:t>Evaluation of fungal diseases in soybean varieties (</w:t>
      </w:r>
      <w:r w:rsidRPr="000D2C0C">
        <w:rPr>
          <w:rFonts w:ascii="Arial" w:hAnsi="Arial" w:cs="Arial"/>
          <w:b/>
          <w:i/>
          <w:sz w:val="24"/>
          <w:szCs w:val="24"/>
        </w:rPr>
        <w:t>Glucine max</w:t>
      </w:r>
      <w:r w:rsidRPr="000D2C0C">
        <w:rPr>
          <w:rFonts w:ascii="Arial" w:hAnsi="Arial" w:cs="Arial"/>
          <w:b/>
          <w:sz w:val="24"/>
          <w:szCs w:val="24"/>
        </w:rPr>
        <w:t xml:space="preserve"> (L.) Merr) believed to be disease-resistant in the central region of Burkina Faso</w:t>
      </w:r>
    </w:p>
    <w:p w14:paraId="1BDBA8FB" w14:textId="77777777" w:rsidR="00C43037" w:rsidRPr="000D2C0C" w:rsidRDefault="00C43037" w:rsidP="00C43037">
      <w:pPr>
        <w:rPr>
          <w:rFonts w:ascii="Arial" w:hAnsi="Arial" w:cs="Arial"/>
          <w:sz w:val="24"/>
          <w:szCs w:val="24"/>
        </w:rPr>
      </w:pPr>
    </w:p>
    <w:p w14:paraId="27ED16DB" w14:textId="77777777" w:rsidR="00C43037" w:rsidRPr="000D2C0C" w:rsidRDefault="00C43037" w:rsidP="00C43037">
      <w:pPr>
        <w:rPr>
          <w:rFonts w:ascii="Arial" w:hAnsi="Arial" w:cs="Arial"/>
          <w:sz w:val="24"/>
          <w:szCs w:val="24"/>
        </w:rPr>
      </w:pPr>
    </w:p>
    <w:p w14:paraId="4D928488" w14:textId="77777777" w:rsidR="00C43037" w:rsidRPr="000D2C0C" w:rsidRDefault="00C43037" w:rsidP="00C43037">
      <w:pPr>
        <w:rPr>
          <w:rFonts w:ascii="Arial" w:hAnsi="Arial" w:cs="Arial"/>
          <w:b/>
          <w:sz w:val="24"/>
          <w:szCs w:val="24"/>
        </w:rPr>
      </w:pPr>
      <w:r w:rsidRPr="000D2C0C">
        <w:rPr>
          <w:rFonts w:ascii="Arial" w:hAnsi="Arial" w:cs="Arial"/>
          <w:b/>
          <w:sz w:val="24"/>
          <w:szCs w:val="24"/>
        </w:rPr>
        <w:t>Abstract</w:t>
      </w:r>
    </w:p>
    <w:p w14:paraId="08F33F5C" w14:textId="77777777" w:rsidR="00C43037" w:rsidRPr="000D2C0C" w:rsidRDefault="00C43037" w:rsidP="00C43037">
      <w:pPr>
        <w:spacing w:line="360" w:lineRule="auto"/>
        <w:jc w:val="both"/>
        <w:rPr>
          <w:rFonts w:ascii="Arial" w:hAnsi="Arial" w:cs="Arial"/>
          <w:sz w:val="24"/>
          <w:szCs w:val="24"/>
        </w:rPr>
      </w:pPr>
      <w:r w:rsidRPr="000D2C0C">
        <w:rPr>
          <w:rFonts w:ascii="Arial" w:hAnsi="Arial" w:cs="Arial"/>
          <w:sz w:val="24"/>
          <w:szCs w:val="24"/>
        </w:rPr>
        <w:t>Soybean (</w:t>
      </w:r>
      <w:r w:rsidRPr="000D2C0C">
        <w:rPr>
          <w:rFonts w:ascii="Arial" w:hAnsi="Arial" w:cs="Arial"/>
          <w:i/>
          <w:sz w:val="24"/>
          <w:szCs w:val="24"/>
        </w:rPr>
        <w:t>Glycine max</w:t>
      </w:r>
      <w:r w:rsidRPr="000D2C0C">
        <w:rPr>
          <w:rFonts w:ascii="Arial" w:hAnsi="Arial" w:cs="Arial"/>
          <w:sz w:val="24"/>
          <w:szCs w:val="24"/>
        </w:rPr>
        <w:t xml:space="preserve">) is a cash crop of economic and agronomic importance in Sahelian countries due to its ability to fix atmospheric nitrogen. Researchers have developed several disease-resistant varieties, but yields remain suboptimal. This situation motivates this study, which aims to evaluate the diseases that attack resistant varieties, causing damage in order to identify them and propose control methods. Identification was carried out at several </w:t>
      </w:r>
      <w:proofErr w:type="gramStart"/>
      <w:r w:rsidRPr="000D2C0C">
        <w:rPr>
          <w:rFonts w:ascii="Arial" w:hAnsi="Arial" w:cs="Arial"/>
          <w:sz w:val="24"/>
          <w:szCs w:val="24"/>
        </w:rPr>
        <w:t>levels:</w:t>
      </w:r>
      <w:proofErr w:type="gramEnd"/>
      <w:r w:rsidRPr="000D2C0C">
        <w:rPr>
          <w:rFonts w:ascii="Arial" w:hAnsi="Arial" w:cs="Arial"/>
          <w:sz w:val="24"/>
          <w:szCs w:val="24"/>
        </w:rPr>
        <w:t xml:space="preserve"> first, symptomatology, then macroscopic identification, and finally microscopic analysis. Following these analyses, four (4) pathogens responsible for fungal diseases were identified.</w:t>
      </w:r>
      <w:r w:rsidRPr="000D2C0C">
        <w:rPr>
          <w:rFonts w:ascii="Arial" w:hAnsi="Arial" w:cs="Arial"/>
        </w:rPr>
        <w:t xml:space="preserve"> </w:t>
      </w:r>
      <w:r w:rsidRPr="000D2C0C">
        <w:rPr>
          <w:rFonts w:ascii="Arial" w:hAnsi="Arial" w:cs="Arial"/>
          <w:sz w:val="24"/>
          <w:szCs w:val="24"/>
        </w:rPr>
        <w:t xml:space="preserve">These fungi are </w:t>
      </w:r>
      <w:r w:rsidRPr="000D2C0C">
        <w:rPr>
          <w:rFonts w:ascii="Arial" w:hAnsi="Arial" w:cs="Arial"/>
          <w:i/>
          <w:sz w:val="24"/>
          <w:szCs w:val="24"/>
        </w:rPr>
        <w:t>Peronospora manshurica</w:t>
      </w:r>
      <w:r w:rsidRPr="000D2C0C">
        <w:rPr>
          <w:rFonts w:ascii="Arial" w:hAnsi="Arial" w:cs="Arial"/>
          <w:sz w:val="24"/>
          <w:szCs w:val="24"/>
        </w:rPr>
        <w:t xml:space="preserve">, </w:t>
      </w:r>
      <w:r w:rsidRPr="000D2C0C">
        <w:rPr>
          <w:rFonts w:ascii="Arial" w:hAnsi="Arial" w:cs="Arial"/>
          <w:i/>
          <w:sz w:val="24"/>
          <w:szCs w:val="24"/>
        </w:rPr>
        <w:t>Phomopsis sojae</w:t>
      </w:r>
      <w:r w:rsidRPr="000D2C0C">
        <w:rPr>
          <w:rFonts w:ascii="Arial" w:hAnsi="Arial" w:cs="Arial"/>
          <w:sz w:val="24"/>
          <w:szCs w:val="24"/>
        </w:rPr>
        <w:t xml:space="preserve">, </w:t>
      </w:r>
      <w:r w:rsidRPr="000D2C0C">
        <w:rPr>
          <w:rFonts w:ascii="Arial" w:hAnsi="Arial" w:cs="Arial"/>
          <w:i/>
          <w:sz w:val="24"/>
          <w:szCs w:val="24"/>
        </w:rPr>
        <w:t>Sclerotinia sclerotiorum</w:t>
      </w:r>
      <w:r w:rsidRPr="000D2C0C">
        <w:rPr>
          <w:rFonts w:ascii="Arial" w:hAnsi="Arial" w:cs="Arial"/>
          <w:sz w:val="24"/>
          <w:szCs w:val="24"/>
        </w:rPr>
        <w:t xml:space="preserve">, and </w:t>
      </w:r>
      <w:r w:rsidRPr="000D2C0C">
        <w:rPr>
          <w:rFonts w:ascii="Arial" w:hAnsi="Arial" w:cs="Arial"/>
          <w:i/>
          <w:sz w:val="24"/>
          <w:szCs w:val="24"/>
        </w:rPr>
        <w:t>Phialophora gregata</w:t>
      </w:r>
      <w:r w:rsidRPr="000D2C0C">
        <w:rPr>
          <w:rFonts w:ascii="Arial" w:hAnsi="Arial" w:cs="Arial"/>
          <w:sz w:val="24"/>
          <w:szCs w:val="24"/>
        </w:rPr>
        <w:t>, responsible respectively for downy mildew, soybean blight, sclerotinia leaf spot, and brown stem rot. Unfortunately, resistant varieties are no longer resistant to fungal diseases. Since resistance is not an indefinite process, the responsible genes will need to be re-evaluated, and environmental factors taken into account, to develop new, more resistant varieties.</w:t>
      </w:r>
    </w:p>
    <w:p w14:paraId="76D259C0" w14:textId="77777777" w:rsidR="00C43037" w:rsidRPr="000D2C0C" w:rsidRDefault="00C43037" w:rsidP="00C43037">
      <w:pPr>
        <w:spacing w:line="360" w:lineRule="auto"/>
        <w:jc w:val="both"/>
        <w:rPr>
          <w:rFonts w:ascii="Arial" w:hAnsi="Arial" w:cs="Arial"/>
          <w:sz w:val="24"/>
          <w:szCs w:val="24"/>
        </w:rPr>
      </w:pPr>
    </w:p>
    <w:p w14:paraId="7ECA16D4" w14:textId="77777777" w:rsidR="00C43037" w:rsidRPr="000D2C0C" w:rsidRDefault="00C43037" w:rsidP="00C43037">
      <w:pPr>
        <w:rPr>
          <w:rFonts w:ascii="Arial" w:hAnsi="Arial" w:cs="Arial"/>
          <w:sz w:val="24"/>
          <w:szCs w:val="24"/>
        </w:rPr>
      </w:pPr>
      <w:proofErr w:type="gramStart"/>
      <w:r w:rsidRPr="000D2C0C">
        <w:rPr>
          <w:rFonts w:ascii="Arial" w:hAnsi="Arial" w:cs="Arial"/>
          <w:b/>
          <w:sz w:val="24"/>
          <w:szCs w:val="24"/>
        </w:rPr>
        <w:t>Keywords</w:t>
      </w:r>
      <w:r w:rsidRPr="000D2C0C">
        <w:rPr>
          <w:rFonts w:ascii="Arial" w:hAnsi="Arial" w:cs="Arial"/>
          <w:sz w:val="24"/>
          <w:szCs w:val="24"/>
        </w:rPr>
        <w:t>:</w:t>
      </w:r>
      <w:proofErr w:type="gramEnd"/>
      <w:r w:rsidRPr="000D2C0C">
        <w:rPr>
          <w:rFonts w:ascii="Arial" w:hAnsi="Arial" w:cs="Arial"/>
          <w:sz w:val="24"/>
          <w:szCs w:val="24"/>
        </w:rPr>
        <w:t xml:space="preserve"> </w:t>
      </w:r>
      <w:r w:rsidRPr="000D2C0C">
        <w:rPr>
          <w:rFonts w:ascii="Arial" w:hAnsi="Arial" w:cs="Arial"/>
          <w:i/>
          <w:sz w:val="24"/>
          <w:szCs w:val="24"/>
        </w:rPr>
        <w:t>Glycine max</w:t>
      </w:r>
      <w:r w:rsidRPr="000D2C0C">
        <w:rPr>
          <w:rFonts w:ascii="Arial" w:hAnsi="Arial" w:cs="Arial"/>
          <w:sz w:val="24"/>
          <w:szCs w:val="24"/>
        </w:rPr>
        <w:t>, fungus, productivity, Burkina Faso.</w:t>
      </w:r>
    </w:p>
    <w:p w14:paraId="29DABB6D" w14:textId="77777777" w:rsidR="00C43037" w:rsidRPr="000D2C0C" w:rsidRDefault="00C43037" w:rsidP="00C43037">
      <w:pPr>
        <w:rPr>
          <w:rFonts w:ascii="Arial" w:hAnsi="Arial" w:cs="Arial"/>
          <w:sz w:val="24"/>
          <w:szCs w:val="24"/>
        </w:rPr>
      </w:pPr>
    </w:p>
    <w:p w14:paraId="47551A8A" w14:textId="77777777" w:rsidR="00C43037" w:rsidRPr="000D2C0C" w:rsidRDefault="000D2C0C" w:rsidP="00C43037">
      <w:pPr>
        <w:rPr>
          <w:rFonts w:ascii="Arial" w:hAnsi="Arial" w:cs="Arial"/>
          <w:b/>
          <w:sz w:val="24"/>
          <w:szCs w:val="24"/>
        </w:rPr>
      </w:pPr>
      <w:r w:rsidRPr="000D2C0C">
        <w:rPr>
          <w:rFonts w:ascii="Arial" w:hAnsi="Arial" w:cs="Arial"/>
          <w:b/>
          <w:sz w:val="24"/>
          <w:szCs w:val="24"/>
        </w:rPr>
        <w:t xml:space="preserve">1. </w:t>
      </w:r>
      <w:r>
        <w:rPr>
          <w:rFonts w:ascii="Arial" w:hAnsi="Arial" w:cs="Arial"/>
          <w:b/>
          <w:sz w:val="24"/>
          <w:szCs w:val="24"/>
        </w:rPr>
        <w:t>INTRODUCTION</w:t>
      </w:r>
    </w:p>
    <w:p w14:paraId="26E80716" w14:textId="77777777" w:rsidR="00C43037" w:rsidRPr="000D2C0C" w:rsidRDefault="00C43037" w:rsidP="00C43037">
      <w:pPr>
        <w:spacing w:line="360" w:lineRule="auto"/>
        <w:jc w:val="both"/>
        <w:rPr>
          <w:rFonts w:ascii="Arial" w:hAnsi="Arial" w:cs="Arial"/>
          <w:sz w:val="24"/>
          <w:szCs w:val="24"/>
        </w:rPr>
      </w:pPr>
      <w:r w:rsidRPr="000D2C0C">
        <w:rPr>
          <w:rFonts w:ascii="Arial" w:hAnsi="Arial" w:cs="Arial"/>
          <w:sz w:val="24"/>
          <w:szCs w:val="24"/>
        </w:rPr>
        <w:t xml:space="preserve">In sub-Saharan Africa, soybeans play a crucial role in food security as they provide an accessible source of protein for the most vulnerable populations. Environmentally, their cultivation also offers significant advantages. Soybeans benefit from the symbiotic relationship between their roots and the bacterium </w:t>
      </w:r>
      <w:r w:rsidRPr="000D2C0C">
        <w:rPr>
          <w:rFonts w:ascii="Arial" w:hAnsi="Arial" w:cs="Arial"/>
          <w:i/>
          <w:sz w:val="24"/>
          <w:szCs w:val="24"/>
        </w:rPr>
        <w:t>Rhizobium japonicum</w:t>
      </w:r>
      <w:r w:rsidRPr="000D2C0C">
        <w:rPr>
          <w:rFonts w:ascii="Arial" w:hAnsi="Arial" w:cs="Arial"/>
          <w:sz w:val="24"/>
          <w:szCs w:val="24"/>
        </w:rPr>
        <w:t xml:space="preserve">, which reduces their need for nitrogen fertilizers and helps reduce greenhouse gas emissions in crop rotation systems (Zoromé, 2017). In Burkina Faso, soybeans are cultivated in </w:t>
      </w:r>
      <w:r w:rsidRPr="000D2C0C">
        <w:rPr>
          <w:rFonts w:ascii="Arial" w:hAnsi="Arial" w:cs="Arial"/>
          <w:sz w:val="24"/>
          <w:szCs w:val="24"/>
        </w:rPr>
        <w:lastRenderedPageBreak/>
        <w:t xml:space="preserve">several </w:t>
      </w:r>
      <w:proofErr w:type="gramStart"/>
      <w:r w:rsidRPr="000D2C0C">
        <w:rPr>
          <w:rFonts w:ascii="Arial" w:hAnsi="Arial" w:cs="Arial"/>
          <w:sz w:val="24"/>
          <w:szCs w:val="24"/>
        </w:rPr>
        <w:t>regions;</w:t>
      </w:r>
      <w:proofErr w:type="gramEnd"/>
      <w:r w:rsidRPr="000D2C0C">
        <w:rPr>
          <w:rFonts w:ascii="Arial" w:hAnsi="Arial" w:cs="Arial"/>
          <w:sz w:val="24"/>
          <w:szCs w:val="24"/>
        </w:rPr>
        <w:t xml:space="preserve"> according to the INSD (2023), the Nazinon region (formerly Centre-Sud) ranks third in terms of producing agricultural households with 7.3%, after Nakambé (formerly Centre-Est) (9.0%) and the East (10.5%).</w:t>
      </w:r>
      <w:r w:rsidRPr="000D2C0C">
        <w:rPr>
          <w:rFonts w:ascii="Arial" w:hAnsi="Arial" w:cs="Arial"/>
        </w:rPr>
        <w:t xml:space="preserve"> </w:t>
      </w:r>
      <w:r w:rsidRPr="000D2C0C">
        <w:rPr>
          <w:rFonts w:ascii="Arial" w:hAnsi="Arial" w:cs="Arial"/>
          <w:sz w:val="24"/>
          <w:szCs w:val="24"/>
        </w:rPr>
        <w:t>According to MARAH (2023), soybean production in the country has increased over the past ten years, rising from 24,347 tons in 2012 to 106,675 tons in 2021. The area planted with soybeans has also increased, from 22,198 hectares in 2012 to 98,204 hectares in 2021.</w:t>
      </w:r>
    </w:p>
    <w:p w14:paraId="2E64A080" w14:textId="77777777" w:rsidR="00C43037" w:rsidRPr="000D2C0C" w:rsidRDefault="00C43037" w:rsidP="00C43037">
      <w:pPr>
        <w:spacing w:line="360" w:lineRule="auto"/>
        <w:jc w:val="both"/>
        <w:rPr>
          <w:rFonts w:ascii="Arial" w:hAnsi="Arial" w:cs="Arial"/>
          <w:sz w:val="24"/>
          <w:szCs w:val="24"/>
        </w:rPr>
      </w:pPr>
      <w:r w:rsidRPr="000D2C0C">
        <w:rPr>
          <w:rFonts w:ascii="Arial" w:hAnsi="Arial" w:cs="Arial"/>
          <w:sz w:val="24"/>
          <w:szCs w:val="24"/>
        </w:rPr>
        <w:t>Soybeans, despite their nutritional, economic, and environmental advantages, face numerous constraints. The main limiting factors include pests (defoliating insects, aphids, sap-sucking insects, thrips, leafhoppers, nematodes) and fungal diseases, which cause pod, seedling, and crown rot (MARAH, 2021). Climate change and poor soil quality also reduce yields (Sawadogo, 2017). Identifying pathogens is an essential step in developing effective and environmentally friendly control strategies, which requires understanding host-pathogen relationships.</w:t>
      </w:r>
    </w:p>
    <w:p w14:paraId="656E093E" w14:textId="77777777" w:rsidR="00C43037" w:rsidRPr="000D2C0C" w:rsidRDefault="000D2C0C" w:rsidP="00C43037">
      <w:pPr>
        <w:spacing w:line="360" w:lineRule="auto"/>
        <w:jc w:val="both"/>
        <w:rPr>
          <w:rFonts w:ascii="Arial" w:hAnsi="Arial" w:cs="Arial"/>
          <w:b/>
          <w:sz w:val="24"/>
          <w:szCs w:val="24"/>
        </w:rPr>
      </w:pPr>
      <w:r>
        <w:rPr>
          <w:rFonts w:ascii="Arial" w:hAnsi="Arial" w:cs="Arial"/>
          <w:b/>
          <w:sz w:val="24"/>
          <w:szCs w:val="24"/>
        </w:rPr>
        <w:t xml:space="preserve">2. </w:t>
      </w:r>
      <w:r w:rsidR="00C43037" w:rsidRPr="000D2C0C">
        <w:rPr>
          <w:rFonts w:ascii="Arial" w:hAnsi="Arial" w:cs="Arial"/>
          <w:b/>
          <w:sz w:val="24"/>
          <w:szCs w:val="24"/>
        </w:rPr>
        <w:t>M</w:t>
      </w:r>
      <w:r>
        <w:rPr>
          <w:rFonts w:ascii="Arial" w:hAnsi="Arial" w:cs="Arial"/>
          <w:b/>
          <w:sz w:val="24"/>
          <w:szCs w:val="24"/>
        </w:rPr>
        <w:t xml:space="preserve">ATERIALS AND METHODS </w:t>
      </w:r>
    </w:p>
    <w:p w14:paraId="496578F3" w14:textId="77777777" w:rsidR="00C43037" w:rsidRPr="000D2C0C" w:rsidRDefault="000D2C0C" w:rsidP="00C43037">
      <w:pPr>
        <w:spacing w:line="360" w:lineRule="auto"/>
        <w:jc w:val="both"/>
        <w:rPr>
          <w:rFonts w:ascii="Arial" w:hAnsi="Arial" w:cs="Arial"/>
          <w:b/>
          <w:sz w:val="24"/>
          <w:szCs w:val="24"/>
        </w:rPr>
      </w:pPr>
      <w:r>
        <w:rPr>
          <w:rFonts w:ascii="Arial" w:hAnsi="Arial" w:cs="Arial"/>
          <w:b/>
          <w:sz w:val="24"/>
          <w:szCs w:val="24"/>
        </w:rPr>
        <w:t xml:space="preserve">2.1. </w:t>
      </w:r>
      <w:r w:rsidR="00C43037" w:rsidRPr="000D2C0C">
        <w:rPr>
          <w:rFonts w:ascii="Arial" w:hAnsi="Arial" w:cs="Arial"/>
          <w:b/>
          <w:sz w:val="24"/>
          <w:szCs w:val="24"/>
        </w:rPr>
        <w:t>Study Site Overview</w:t>
      </w:r>
    </w:p>
    <w:p w14:paraId="54DDCB8E" w14:textId="77777777" w:rsidR="00C43037" w:rsidRPr="000D2C0C" w:rsidRDefault="00C43037" w:rsidP="00C43037">
      <w:pPr>
        <w:spacing w:line="360" w:lineRule="auto"/>
        <w:jc w:val="both"/>
        <w:rPr>
          <w:rFonts w:ascii="Arial" w:hAnsi="Arial" w:cs="Arial"/>
          <w:sz w:val="24"/>
          <w:szCs w:val="24"/>
        </w:rPr>
      </w:pPr>
      <w:r w:rsidRPr="000D2C0C">
        <w:rPr>
          <w:rFonts w:ascii="Arial" w:hAnsi="Arial" w:cs="Arial"/>
          <w:sz w:val="24"/>
          <w:szCs w:val="24"/>
        </w:rPr>
        <w:t>The rural commune of Saponé, located 35 km south of Ouagadougou in the Bazèga province, comprises forty administrative villages and belongs to the Nazinon region (formerly the Centre-South region). The study was conducted in this commune, specifically in the village of Baguemnini. The choice of the commune of Saponé is justified by the fact that it constitutes an important soybean production area, where many farmers cultivate soybeans but still face significant biotic constraints, particularly disease pressure, which limits yields.</w:t>
      </w:r>
      <w:r w:rsidR="00B410FA" w:rsidRPr="000D2C0C">
        <w:rPr>
          <w:rFonts w:ascii="Arial" w:hAnsi="Arial" w:cs="Arial"/>
        </w:rPr>
        <w:t xml:space="preserve"> </w:t>
      </w:r>
      <w:r w:rsidR="00B410FA" w:rsidRPr="000D2C0C">
        <w:rPr>
          <w:rFonts w:ascii="Arial" w:hAnsi="Arial" w:cs="Arial"/>
          <w:sz w:val="24"/>
          <w:szCs w:val="24"/>
        </w:rPr>
        <w:t xml:space="preserve">It is characterized by a Sudano-Sahelian climate marked by a Sahelian influence, with annual rainfall between 600 and 900 mm, concentrated over four to five months (FiBL, 2025). This rainfall pattern strongly influences local rainfed agriculture. The climate alternates between a rainy season from May to October, dominated by the monsoon, and a dry season from November to April, marked by the Harmattan winds from the Sahara (INSD, 2022). The vegetation is representative of the Sudanian wooded and shrubby savanna and is structured into agroforestry parks dominated by shea (Vitellaria paradoxa) as well as Fabaceae such as Pterocarpus erinaceus (Ganaba et al. 2005, Compaoré et al. 2021). As for the local fauna, it is composed of small and medium-sized species, including rodents (Mastomys natalensis), hares (Lepus victoriae), mongooses (Herpestes ichneumon), </w:t>
      </w:r>
      <w:r w:rsidR="00B410FA" w:rsidRPr="000D2C0C">
        <w:rPr>
          <w:rFonts w:ascii="Arial" w:hAnsi="Arial" w:cs="Arial"/>
          <w:sz w:val="24"/>
          <w:szCs w:val="24"/>
        </w:rPr>
        <w:lastRenderedPageBreak/>
        <w:t>a diverse avifauna, as well as various reptiles and amphibians (Diblioni et al. 2011). Hydrographically, the commune is part of the Volta basin, shared between the Nakambé (white Volta) and the Nazinon (red Volta).</w:t>
      </w:r>
    </w:p>
    <w:p w14:paraId="5BD6F926" w14:textId="77777777" w:rsidR="00B410FA" w:rsidRPr="000D2C0C" w:rsidRDefault="000D2C0C" w:rsidP="00B410FA">
      <w:pPr>
        <w:spacing w:line="360" w:lineRule="auto"/>
        <w:jc w:val="both"/>
        <w:rPr>
          <w:rFonts w:ascii="Arial" w:hAnsi="Arial" w:cs="Arial"/>
          <w:b/>
          <w:sz w:val="24"/>
          <w:szCs w:val="24"/>
        </w:rPr>
      </w:pPr>
      <w:r>
        <w:rPr>
          <w:rFonts w:ascii="Arial" w:hAnsi="Arial" w:cs="Arial"/>
          <w:b/>
          <w:sz w:val="24"/>
          <w:szCs w:val="24"/>
        </w:rPr>
        <w:t xml:space="preserve">2.2. </w:t>
      </w:r>
      <w:r w:rsidR="00B410FA" w:rsidRPr="000D2C0C">
        <w:rPr>
          <w:rFonts w:ascii="Arial" w:hAnsi="Arial" w:cs="Arial"/>
          <w:b/>
          <w:sz w:val="24"/>
          <w:szCs w:val="24"/>
        </w:rPr>
        <w:t>Plant material</w:t>
      </w:r>
    </w:p>
    <w:p w14:paraId="61211C97"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 xml:space="preserve">The plant material consists of leaves, stems, and pods at different growth stages of four (04) soybean varieties produced and developed in research centers in Burkina </w:t>
      </w:r>
      <w:proofErr w:type="gramStart"/>
      <w:r w:rsidRPr="000D2C0C">
        <w:rPr>
          <w:rFonts w:ascii="Arial" w:hAnsi="Arial" w:cs="Arial"/>
          <w:sz w:val="24"/>
          <w:szCs w:val="24"/>
        </w:rPr>
        <w:t>Faso:</w:t>
      </w:r>
      <w:proofErr w:type="gramEnd"/>
      <w:r w:rsidRPr="000D2C0C">
        <w:rPr>
          <w:rFonts w:ascii="Arial" w:hAnsi="Arial" w:cs="Arial"/>
          <w:sz w:val="24"/>
          <w:szCs w:val="24"/>
        </w:rPr>
        <w:t xml:space="preserve"> G196, G197, G115, and TGX 1987-10F. These varieties are the most widely produced in several agro-ecological zones and are resistant to various diseases.</w:t>
      </w:r>
    </w:p>
    <w:p w14:paraId="4E52BB60" w14:textId="77777777" w:rsidR="00B410FA" w:rsidRPr="000D2C0C" w:rsidRDefault="00B410FA" w:rsidP="00B410FA">
      <w:pPr>
        <w:spacing w:line="360" w:lineRule="auto"/>
        <w:jc w:val="both"/>
        <w:rPr>
          <w:rFonts w:ascii="Arial" w:hAnsi="Arial" w:cs="Arial"/>
          <w:b/>
          <w:sz w:val="24"/>
          <w:szCs w:val="24"/>
        </w:rPr>
      </w:pPr>
      <w:r w:rsidRPr="000D2C0C">
        <w:rPr>
          <w:rFonts w:ascii="Arial" w:hAnsi="Arial" w:cs="Arial"/>
          <w:b/>
          <w:sz w:val="24"/>
          <w:szCs w:val="24"/>
        </w:rPr>
        <w:t>G196</w:t>
      </w:r>
    </w:p>
    <w:p w14:paraId="56EB28A4"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The G196 soybean variety has a short to medium growing cycle, well-suited to Sahelian zones, and good phenological plasticity, allowing for strong performance at both the beginning and end of the season (Zoromé, 2017). Its water requirements range from 450 to 650 mm, with high sensitivity to water stress during flowering and pod filling (FAO, 2016). Yields reach 1.5 to 2.5 t/ha under standard farming conditions and more than 3 t/ha under optimal conditions (Thio et al., 2022). G196 exhibits good tolerance to foliar diseases but remains susceptible to root rot in poorly drained soils (Konaté et al., 2019).</w:t>
      </w:r>
    </w:p>
    <w:p w14:paraId="16830275" w14:textId="77777777" w:rsidR="00B410FA" w:rsidRPr="000D2C0C" w:rsidRDefault="00B410FA" w:rsidP="00B410FA">
      <w:pPr>
        <w:spacing w:line="360" w:lineRule="auto"/>
        <w:jc w:val="both"/>
        <w:rPr>
          <w:rFonts w:ascii="Arial" w:hAnsi="Arial" w:cs="Arial"/>
          <w:b/>
          <w:sz w:val="24"/>
          <w:szCs w:val="24"/>
        </w:rPr>
      </w:pPr>
      <w:r w:rsidRPr="000D2C0C">
        <w:rPr>
          <w:rFonts w:ascii="Arial" w:hAnsi="Arial" w:cs="Arial"/>
          <w:b/>
          <w:sz w:val="24"/>
          <w:szCs w:val="24"/>
        </w:rPr>
        <w:t>G197</w:t>
      </w:r>
    </w:p>
    <w:p w14:paraId="3B02050A"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The G197 variety has an average growing cycle of 90 to 110 days, depending on growing conditions (Ouedraogo et al., 2022). Its water requirements, similar to those of early-maturing varieties, range from 500 to 700 mm, with slight drought tolerance thanks to its deep root system. Yields reach 2 to 3 t/ha, making it a suitable variety for commercial production (Thio et al., 2022). It tolerates cercospora leaf spot but remains susceptible to bacterial pustule, requiring monitoring (Konaté et al., 2019). Good nutrition in calcium, magnesium, and trace elements enhances its resistance (Graham, 2000).</w:t>
      </w:r>
    </w:p>
    <w:p w14:paraId="578835DC" w14:textId="77777777" w:rsidR="00B410FA" w:rsidRPr="000D2C0C" w:rsidRDefault="00B410FA" w:rsidP="00B410FA">
      <w:pPr>
        <w:spacing w:line="360" w:lineRule="auto"/>
        <w:jc w:val="both"/>
        <w:rPr>
          <w:rFonts w:ascii="Arial" w:hAnsi="Arial" w:cs="Arial"/>
          <w:b/>
          <w:sz w:val="24"/>
          <w:szCs w:val="24"/>
        </w:rPr>
      </w:pPr>
      <w:r w:rsidRPr="000D2C0C">
        <w:rPr>
          <w:rFonts w:ascii="Arial" w:hAnsi="Arial" w:cs="Arial"/>
          <w:b/>
          <w:sz w:val="24"/>
          <w:szCs w:val="24"/>
        </w:rPr>
        <w:t>G115</w:t>
      </w:r>
    </w:p>
    <w:p w14:paraId="1F8721F9"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 xml:space="preserve">The G115 variety is an early-maturing variety with a growing cycle of 80 to 95 days, adapted to areas with a short rainy season (Zoromé, 2017). It requires 450 to 550 mm of rainfall, making it advantageous in areas with high rainfall variability (FAO, 2016). Its yield ranges from 1.2 to 2 t/ha, and its earliness sometimes allows for double </w:t>
      </w:r>
      <w:r w:rsidRPr="000D2C0C">
        <w:rPr>
          <w:rFonts w:ascii="Arial" w:hAnsi="Arial" w:cs="Arial"/>
          <w:sz w:val="24"/>
          <w:szCs w:val="24"/>
        </w:rPr>
        <w:lastRenderedPageBreak/>
        <w:t>cropping (Ouedraogo et al., 2022). It exhibits good tolerance to root diseases such as Fusarium wilt, thanks to a vigorous root system, but remains susceptible to foliar diseases at the end of the growing cycle, particularly Cercospora leaf spot and powdery mildew (Kebede et al., 2024).</w:t>
      </w:r>
    </w:p>
    <w:p w14:paraId="1E2F1A43" w14:textId="77777777" w:rsidR="00B410FA" w:rsidRPr="000D2C0C" w:rsidRDefault="00B410FA" w:rsidP="00B410FA">
      <w:pPr>
        <w:spacing w:line="360" w:lineRule="auto"/>
        <w:jc w:val="both"/>
        <w:rPr>
          <w:rFonts w:ascii="Arial" w:hAnsi="Arial" w:cs="Arial"/>
          <w:sz w:val="24"/>
          <w:szCs w:val="24"/>
        </w:rPr>
      </w:pPr>
    </w:p>
    <w:p w14:paraId="100F36CA" w14:textId="77777777" w:rsidR="00B410FA" w:rsidRPr="000D2C0C" w:rsidRDefault="00B410FA" w:rsidP="00B410FA">
      <w:pPr>
        <w:spacing w:line="360" w:lineRule="auto"/>
        <w:jc w:val="both"/>
        <w:rPr>
          <w:rFonts w:ascii="Arial" w:hAnsi="Arial" w:cs="Arial"/>
          <w:b/>
          <w:sz w:val="24"/>
          <w:szCs w:val="24"/>
        </w:rPr>
      </w:pPr>
      <w:r w:rsidRPr="000D2C0C">
        <w:rPr>
          <w:rFonts w:ascii="Arial" w:hAnsi="Arial" w:cs="Arial"/>
          <w:b/>
          <w:sz w:val="24"/>
          <w:szCs w:val="24"/>
        </w:rPr>
        <w:t>TGx 1987-10F</w:t>
      </w:r>
    </w:p>
    <w:p w14:paraId="32B58A92"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The TGx 1987-10F variety is an early to mid-early maturing line, with a growing cycle of 89 to 97 days, adapted to areas with short or irregular rainy seasons (Tefera et al., 2015). It requires 450 to 550 mm of water, particularly during the flowering-pod-filling stages (FAO, 2016). Its yield varies between 1.5 and 2.0 t/ha thanks to good nodulation and consistent pod production (IITA, 2018). Tolerant to Asian rust and cercospora leaf spot (Konaté et al., 2019), it remains, however, vulnerable to root diseases and prolonged water deficits, which affect pod filling (Kebede et al., 2024).</w:t>
      </w:r>
    </w:p>
    <w:p w14:paraId="7991DCCD" w14:textId="77777777" w:rsidR="00B410FA" w:rsidRPr="000D2C0C" w:rsidRDefault="000D2C0C" w:rsidP="00B410FA">
      <w:pPr>
        <w:spacing w:line="360" w:lineRule="auto"/>
        <w:jc w:val="both"/>
        <w:rPr>
          <w:rFonts w:ascii="Arial" w:hAnsi="Arial" w:cs="Arial"/>
          <w:b/>
          <w:sz w:val="24"/>
          <w:szCs w:val="24"/>
        </w:rPr>
      </w:pPr>
      <w:r>
        <w:rPr>
          <w:rFonts w:ascii="Arial" w:hAnsi="Arial" w:cs="Arial"/>
          <w:b/>
          <w:sz w:val="24"/>
          <w:szCs w:val="24"/>
        </w:rPr>
        <w:t xml:space="preserve">2.3. </w:t>
      </w:r>
      <w:r w:rsidR="00B410FA" w:rsidRPr="000D2C0C">
        <w:rPr>
          <w:rFonts w:ascii="Arial" w:hAnsi="Arial" w:cs="Arial"/>
          <w:b/>
          <w:sz w:val="24"/>
          <w:szCs w:val="24"/>
        </w:rPr>
        <w:t>Sampling and Collection Methods</w:t>
      </w:r>
    </w:p>
    <w:p w14:paraId="6BD09589"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 xml:space="preserve">Samples were collected from blocks exhibiting foliar symptoms. Each sample consisted of several leaves, placed in </w:t>
      </w:r>
      <w:proofErr w:type="gramStart"/>
      <w:r w:rsidRPr="000D2C0C">
        <w:rPr>
          <w:rFonts w:ascii="Arial" w:hAnsi="Arial" w:cs="Arial"/>
          <w:sz w:val="24"/>
          <w:szCs w:val="24"/>
        </w:rPr>
        <w:t>a</w:t>
      </w:r>
      <w:proofErr w:type="gramEnd"/>
      <w:r w:rsidRPr="000D2C0C">
        <w:rPr>
          <w:rFonts w:ascii="Arial" w:hAnsi="Arial" w:cs="Arial"/>
          <w:sz w:val="24"/>
          <w:szCs w:val="24"/>
        </w:rPr>
        <w:t xml:space="preserve"> transparent bag, and then labeled. Upon arrival at the laboratory, an initial sorting took place. Subsequently, only samples showing severe and clearly visible symptoms were retained for incubation.</w:t>
      </w:r>
    </w:p>
    <w:p w14:paraId="3C05ACB8" w14:textId="77777777" w:rsidR="00B410FA" w:rsidRPr="000D2C0C" w:rsidRDefault="000D2C0C" w:rsidP="00B410FA">
      <w:pPr>
        <w:spacing w:line="360" w:lineRule="auto"/>
        <w:jc w:val="both"/>
        <w:rPr>
          <w:rFonts w:ascii="Arial" w:hAnsi="Arial" w:cs="Arial"/>
          <w:b/>
          <w:sz w:val="24"/>
          <w:szCs w:val="24"/>
        </w:rPr>
      </w:pPr>
      <w:r>
        <w:rPr>
          <w:rFonts w:ascii="Arial" w:hAnsi="Arial" w:cs="Arial"/>
          <w:b/>
          <w:sz w:val="24"/>
          <w:szCs w:val="24"/>
        </w:rPr>
        <w:t xml:space="preserve">2.4. </w:t>
      </w:r>
      <w:r w:rsidR="00B410FA" w:rsidRPr="000D2C0C">
        <w:rPr>
          <w:rFonts w:ascii="Arial" w:hAnsi="Arial" w:cs="Arial"/>
          <w:b/>
          <w:sz w:val="24"/>
          <w:szCs w:val="24"/>
        </w:rPr>
        <w:t>Preparation of the Culture Medium</w:t>
      </w:r>
    </w:p>
    <w:p w14:paraId="40BFE3BD"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PDA (Potato-Dextrose-Agar) culture medium was used for the isolation of fungi. In the case of certain obligate parasites, direct observations were made under a microscope. The culture medium was prepared by taking 39 g of synthetic PDA powder, weighing it using an electronic balance, and adding it to 1 liter of distilled water in a jar. The mixture was stirred to obtain a homogeneous solution. The jar was then placed in an autoclave at a pressure of 1 bar and 121 °C for 15 minutes. The jar was removed from the autoclave and cooled to between 45 °C and 50 °C to prevent condensation. Finally, the medium was transferred under a sterile fume hood into sterile 9 cm diameter Petri dishes, adding approximately 15 ml of medium per dish.</w:t>
      </w:r>
    </w:p>
    <w:p w14:paraId="1C909BC9" w14:textId="77777777" w:rsidR="00B410FA" w:rsidRPr="000D2C0C" w:rsidRDefault="000D2C0C" w:rsidP="00B410FA">
      <w:pPr>
        <w:spacing w:line="360" w:lineRule="auto"/>
        <w:jc w:val="both"/>
        <w:rPr>
          <w:rFonts w:ascii="Arial" w:hAnsi="Arial" w:cs="Arial"/>
          <w:b/>
          <w:sz w:val="24"/>
          <w:szCs w:val="24"/>
        </w:rPr>
      </w:pPr>
      <w:r>
        <w:rPr>
          <w:rFonts w:ascii="Arial" w:hAnsi="Arial" w:cs="Arial"/>
          <w:b/>
          <w:sz w:val="24"/>
          <w:szCs w:val="24"/>
        </w:rPr>
        <w:t xml:space="preserve">2.5. </w:t>
      </w:r>
      <w:r w:rsidR="00B410FA" w:rsidRPr="000D2C0C">
        <w:rPr>
          <w:rFonts w:ascii="Arial" w:hAnsi="Arial" w:cs="Arial"/>
          <w:b/>
          <w:sz w:val="24"/>
          <w:szCs w:val="24"/>
        </w:rPr>
        <w:t>Incubation</w:t>
      </w:r>
    </w:p>
    <w:p w14:paraId="72B5247D"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lastRenderedPageBreak/>
        <w:t>The samples were first washed thoroughly under running water. They were then cut into small fragments of approximately 25 mm² (5 mm on each side), selecting areas close to the spots or lesions, near necrotic zones (Moreau-Moulds, 1991). These fragments were then disinfected for a few seconds in a 2% sodium hypochlorite solution, followed by 30 seconds of rinsing with sterile distilled water. This rinsing was repeated three times to remove as much sodium hypochlorite as possible. This disinfection process eliminated exogenous microflora. Afterward, the fragments were placed on sterile Watmann filter paper to dry for 30 seconds under a fume hood. Finally, the cut fragments were placed on culture media prepared beforehand in Petri dishes. The incubation was done under alternating light (12h) and darkness (12h) to induce better fungal development.</w:t>
      </w:r>
    </w:p>
    <w:p w14:paraId="2A45D1A3" w14:textId="77777777" w:rsidR="00B410FA" w:rsidRPr="000D2C0C" w:rsidRDefault="000D2C0C" w:rsidP="00B410FA">
      <w:pPr>
        <w:spacing w:line="360" w:lineRule="auto"/>
        <w:jc w:val="both"/>
        <w:rPr>
          <w:rFonts w:ascii="Arial" w:hAnsi="Arial" w:cs="Arial"/>
          <w:b/>
          <w:sz w:val="24"/>
          <w:szCs w:val="24"/>
        </w:rPr>
      </w:pPr>
      <w:r>
        <w:rPr>
          <w:rFonts w:ascii="Arial" w:hAnsi="Arial" w:cs="Arial"/>
          <w:b/>
          <w:sz w:val="24"/>
          <w:szCs w:val="24"/>
        </w:rPr>
        <w:t xml:space="preserve">2.6. </w:t>
      </w:r>
      <w:r w:rsidR="00B410FA" w:rsidRPr="000D2C0C">
        <w:rPr>
          <w:rFonts w:ascii="Arial" w:hAnsi="Arial" w:cs="Arial"/>
          <w:b/>
          <w:sz w:val="24"/>
          <w:szCs w:val="24"/>
        </w:rPr>
        <w:t>Isolation</w:t>
      </w:r>
    </w:p>
    <w:p w14:paraId="5388285D"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After colony development during incubation, successive subculturing was carried out under the same conditions to obtain pure colonies in Petri dishes. The pure colonies obtained using the Moreau-Moulds method (1991), which consisted of taking a thin portion of the mycelium with a scalpel blade and then depositing it in a new Petri dish containing a PDA-based medium, were subjected to macroscopic and microscopic identification.</w:t>
      </w:r>
    </w:p>
    <w:p w14:paraId="298162EF" w14:textId="77777777" w:rsidR="00B410FA" w:rsidRPr="000D2C0C" w:rsidRDefault="000D2C0C" w:rsidP="00B410FA">
      <w:pPr>
        <w:spacing w:line="360" w:lineRule="auto"/>
        <w:jc w:val="both"/>
        <w:rPr>
          <w:rFonts w:ascii="Arial" w:hAnsi="Arial" w:cs="Arial"/>
          <w:b/>
          <w:sz w:val="24"/>
          <w:szCs w:val="24"/>
        </w:rPr>
      </w:pPr>
      <w:r>
        <w:rPr>
          <w:rFonts w:ascii="Arial" w:hAnsi="Arial" w:cs="Arial"/>
          <w:b/>
          <w:sz w:val="24"/>
          <w:szCs w:val="24"/>
        </w:rPr>
        <w:t xml:space="preserve">2.7. </w:t>
      </w:r>
      <w:r w:rsidR="00B410FA" w:rsidRPr="000D2C0C">
        <w:rPr>
          <w:rFonts w:ascii="Arial" w:hAnsi="Arial" w:cs="Arial"/>
          <w:b/>
          <w:sz w:val="24"/>
          <w:szCs w:val="24"/>
        </w:rPr>
        <w:t>Symptomatology</w:t>
      </w:r>
    </w:p>
    <w:p w14:paraId="63BD3AEC"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Symptomatology consists of the study of symptoms. Symptoms are the visible manifestation of disease. They are characterized by changes in different parts of the plant, such as leaves and stems. Several symptoms are characteristic of diseases. Necrosis is the death of cells, chlorosis is the degradation of chlorophyll, wilting is the loss of turgor, and yellowing is a change in color. Galls and many other symptoms can also appear on the plant.</w:t>
      </w:r>
    </w:p>
    <w:p w14:paraId="6D8A503D" w14:textId="77777777" w:rsidR="00B410FA" w:rsidRPr="000D2C0C" w:rsidRDefault="000D2C0C" w:rsidP="00B410FA">
      <w:pPr>
        <w:spacing w:line="360" w:lineRule="auto"/>
        <w:jc w:val="both"/>
        <w:rPr>
          <w:rFonts w:ascii="Arial" w:hAnsi="Arial" w:cs="Arial"/>
          <w:b/>
          <w:sz w:val="24"/>
          <w:szCs w:val="24"/>
        </w:rPr>
      </w:pPr>
      <w:r>
        <w:rPr>
          <w:rFonts w:ascii="Arial" w:hAnsi="Arial" w:cs="Arial"/>
          <w:b/>
          <w:sz w:val="24"/>
          <w:szCs w:val="24"/>
        </w:rPr>
        <w:t xml:space="preserve">2.8. </w:t>
      </w:r>
      <w:r w:rsidR="00B410FA" w:rsidRPr="000D2C0C">
        <w:rPr>
          <w:rFonts w:ascii="Arial" w:hAnsi="Arial" w:cs="Arial"/>
          <w:b/>
          <w:sz w:val="24"/>
          <w:szCs w:val="24"/>
        </w:rPr>
        <w:t>Macroscopic Identification</w:t>
      </w:r>
    </w:p>
    <w:p w14:paraId="6E353290"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 xml:space="preserve">Macroscopic identification of fungi is performed by observing pure colonies with the naked eye after successive subculturing on culture medium. Two criteria are </w:t>
      </w:r>
      <w:proofErr w:type="gramStart"/>
      <w:r w:rsidRPr="000D2C0C">
        <w:rPr>
          <w:rFonts w:ascii="Arial" w:hAnsi="Arial" w:cs="Arial"/>
          <w:sz w:val="24"/>
          <w:szCs w:val="24"/>
        </w:rPr>
        <w:t>considered:</w:t>
      </w:r>
      <w:proofErr w:type="gramEnd"/>
      <w:r w:rsidRPr="000D2C0C">
        <w:rPr>
          <w:rFonts w:ascii="Arial" w:hAnsi="Arial" w:cs="Arial"/>
          <w:sz w:val="24"/>
          <w:szCs w:val="24"/>
        </w:rPr>
        <w:t xml:space="preserve"> the appearance and color of the colonies. The first criterion is based on the appearance of the colonies, which may appear downy, woolly, cottony, velvety, powdery, or granular. As for the second criterion, color, the most common colors are </w:t>
      </w:r>
      <w:r w:rsidRPr="000D2C0C">
        <w:rPr>
          <w:rFonts w:ascii="Arial" w:hAnsi="Arial" w:cs="Arial"/>
          <w:sz w:val="24"/>
          <w:szCs w:val="24"/>
        </w:rPr>
        <w:lastRenderedPageBreak/>
        <w:t>white, cream, yellow, orange, brown, and even black. The pigments may be localized within the mycelium or diffused throughout the culture medium (Boton et al., 1990).</w:t>
      </w:r>
    </w:p>
    <w:p w14:paraId="09E1A8A4" w14:textId="77777777" w:rsidR="00B410FA" w:rsidRPr="000D2C0C" w:rsidRDefault="000D2C0C" w:rsidP="00B410FA">
      <w:pPr>
        <w:spacing w:line="360" w:lineRule="auto"/>
        <w:jc w:val="both"/>
        <w:rPr>
          <w:rFonts w:ascii="Arial" w:hAnsi="Arial" w:cs="Arial"/>
          <w:b/>
          <w:sz w:val="24"/>
          <w:szCs w:val="24"/>
        </w:rPr>
      </w:pPr>
      <w:r>
        <w:rPr>
          <w:rFonts w:ascii="Arial" w:hAnsi="Arial" w:cs="Arial"/>
          <w:b/>
          <w:sz w:val="24"/>
          <w:szCs w:val="24"/>
        </w:rPr>
        <w:t xml:space="preserve">2.9. </w:t>
      </w:r>
      <w:r w:rsidR="00B410FA" w:rsidRPr="000D2C0C">
        <w:rPr>
          <w:rFonts w:ascii="Arial" w:hAnsi="Arial" w:cs="Arial"/>
          <w:b/>
          <w:sz w:val="24"/>
          <w:szCs w:val="24"/>
        </w:rPr>
        <w:t>Microscopic Identification</w:t>
      </w:r>
    </w:p>
    <w:p w14:paraId="310F4577"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Microscopic examination consisted of using a scalpel to remove a thin portion of mycelium from a cultured colony and placing it on a slide with a drop of sterile water. Observation under 40x and 100x objectives (400x and 1000x magnification) allowed for the distinction of the main morphological elements, including the presence of spores (shape, size, color) and the structure of the hyphae (presence or absence of septa), in accordance with the identification keys proposed by Barnet and Hunter (1987).</w:t>
      </w:r>
    </w:p>
    <w:p w14:paraId="31E8AE50" w14:textId="77777777" w:rsidR="00C742FF" w:rsidRPr="000D2C0C" w:rsidRDefault="00C742FF" w:rsidP="00C742FF">
      <w:pPr>
        <w:spacing w:line="360" w:lineRule="auto"/>
        <w:jc w:val="both"/>
        <w:rPr>
          <w:rFonts w:ascii="Arial" w:hAnsi="Arial" w:cs="Arial"/>
          <w:sz w:val="24"/>
          <w:szCs w:val="24"/>
        </w:rPr>
      </w:pPr>
    </w:p>
    <w:p w14:paraId="467402DC" w14:textId="77777777" w:rsidR="00C742FF" w:rsidRPr="000D2C0C" w:rsidRDefault="000D2C0C" w:rsidP="00C742FF">
      <w:pPr>
        <w:spacing w:line="360" w:lineRule="auto"/>
        <w:jc w:val="both"/>
        <w:rPr>
          <w:rFonts w:ascii="Arial" w:hAnsi="Arial" w:cs="Arial"/>
          <w:b/>
          <w:sz w:val="24"/>
          <w:szCs w:val="24"/>
        </w:rPr>
      </w:pPr>
      <w:r>
        <w:rPr>
          <w:rFonts w:ascii="Arial" w:hAnsi="Arial" w:cs="Arial"/>
          <w:b/>
          <w:sz w:val="24"/>
          <w:szCs w:val="24"/>
        </w:rPr>
        <w:t xml:space="preserve">3. </w:t>
      </w:r>
      <w:r w:rsidR="00C742FF" w:rsidRPr="000D2C0C">
        <w:rPr>
          <w:rFonts w:ascii="Arial" w:hAnsi="Arial" w:cs="Arial"/>
          <w:b/>
          <w:sz w:val="24"/>
          <w:szCs w:val="24"/>
        </w:rPr>
        <w:t>R</w:t>
      </w:r>
      <w:r>
        <w:rPr>
          <w:rFonts w:ascii="Arial" w:hAnsi="Arial" w:cs="Arial"/>
          <w:b/>
          <w:sz w:val="24"/>
          <w:szCs w:val="24"/>
        </w:rPr>
        <w:t xml:space="preserve">ESULTS </w:t>
      </w:r>
    </w:p>
    <w:p w14:paraId="6B9E9CEB" w14:textId="77777777" w:rsidR="00C742FF" w:rsidRPr="000D2C0C" w:rsidRDefault="000D2C0C" w:rsidP="00C742FF">
      <w:pPr>
        <w:spacing w:line="360" w:lineRule="auto"/>
        <w:jc w:val="both"/>
        <w:rPr>
          <w:rFonts w:ascii="Arial" w:hAnsi="Arial" w:cs="Arial"/>
          <w:b/>
          <w:sz w:val="24"/>
          <w:szCs w:val="24"/>
        </w:rPr>
      </w:pPr>
      <w:r>
        <w:rPr>
          <w:rFonts w:ascii="Arial" w:hAnsi="Arial" w:cs="Arial"/>
          <w:b/>
          <w:sz w:val="24"/>
          <w:szCs w:val="24"/>
        </w:rPr>
        <w:t xml:space="preserve">3.1. </w:t>
      </w:r>
      <w:r w:rsidR="00C742FF" w:rsidRPr="000D2C0C">
        <w:rPr>
          <w:rFonts w:ascii="Arial" w:hAnsi="Arial" w:cs="Arial"/>
          <w:b/>
          <w:sz w:val="24"/>
          <w:szCs w:val="24"/>
        </w:rPr>
        <w:t>Symptomatology</w:t>
      </w:r>
    </w:p>
    <w:p w14:paraId="3EF6CBE5" w14:textId="77777777" w:rsidR="00C742FF" w:rsidRPr="000D2C0C" w:rsidRDefault="00C742FF" w:rsidP="00C742FF">
      <w:pPr>
        <w:spacing w:line="360" w:lineRule="auto"/>
        <w:jc w:val="both"/>
        <w:rPr>
          <w:rFonts w:ascii="Arial" w:hAnsi="Arial" w:cs="Arial"/>
          <w:sz w:val="24"/>
          <w:szCs w:val="24"/>
        </w:rPr>
      </w:pPr>
      <w:r w:rsidRPr="000D2C0C">
        <w:rPr>
          <w:rFonts w:ascii="Arial" w:hAnsi="Arial" w:cs="Arial"/>
          <w:sz w:val="24"/>
          <w:szCs w:val="24"/>
        </w:rPr>
        <w:t xml:space="preserve">Collecting samples on-site allowed for an inventory of the main fungal diseases affecting soybeans. These four (4) diseases attack different parts of the plants, including leaves, stems, and pods. Symptoms manifest in various </w:t>
      </w:r>
      <w:proofErr w:type="gramStart"/>
      <w:r w:rsidRPr="000D2C0C">
        <w:rPr>
          <w:rFonts w:ascii="Arial" w:hAnsi="Arial" w:cs="Arial"/>
          <w:sz w:val="24"/>
          <w:szCs w:val="24"/>
        </w:rPr>
        <w:t>forms:</w:t>
      </w:r>
      <w:proofErr w:type="gramEnd"/>
      <w:r w:rsidRPr="000D2C0C">
        <w:rPr>
          <w:rFonts w:ascii="Arial" w:hAnsi="Arial" w:cs="Arial"/>
          <w:sz w:val="24"/>
          <w:szCs w:val="24"/>
        </w:rPr>
        <w:t xml:space="preserve"> necrotic spots scattered along the leaf (Photo 1), necrosis (Photo 2), whitish rot on the stem and pods (Photo 3), and chlorosis of the veins and leaf blade (Photo 4). All of these manifestations contribute to a decrease in photosynthetic activity.</w:t>
      </w:r>
    </w:p>
    <w:tbl>
      <w:tblPr>
        <w:tblStyle w:val="TableGrid"/>
        <w:tblW w:w="104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6"/>
        <w:gridCol w:w="5121"/>
      </w:tblGrid>
      <w:tr w:rsidR="00C742FF" w:rsidRPr="000D2C0C" w14:paraId="24FEC3B3" w14:textId="77777777" w:rsidTr="00282762">
        <w:trPr>
          <w:trHeight w:val="3310"/>
          <w:jc w:val="center"/>
        </w:trPr>
        <w:tc>
          <w:tcPr>
            <w:tcW w:w="5098" w:type="dxa"/>
          </w:tcPr>
          <w:p w14:paraId="1CF8F905" w14:textId="77777777" w:rsidR="00C742FF" w:rsidRPr="000D2C0C" w:rsidRDefault="00C742FF" w:rsidP="00C742FF">
            <w:pPr>
              <w:keepNext/>
              <w:spacing w:line="278" w:lineRule="auto"/>
              <w:rPr>
                <w:rFonts w:ascii="Arial" w:eastAsia="Calibri" w:hAnsi="Arial" w:cs="Arial"/>
                <w:kern w:val="2"/>
                <w:sz w:val="24"/>
                <w:szCs w:val="24"/>
                <w:lang w:val="en-US"/>
                <w14:ligatures w14:val="standardContextual"/>
              </w:rPr>
            </w:pPr>
            <w:r w:rsidRPr="000D2C0C">
              <w:rPr>
                <w:rFonts w:ascii="Arial" w:eastAsia="Calibri" w:hAnsi="Arial" w:cs="Arial"/>
                <w:noProof/>
                <w:kern w:val="2"/>
                <w:sz w:val="24"/>
                <w:szCs w:val="24"/>
                <w:lang w:eastAsia="fr-FR"/>
                <w14:ligatures w14:val="standardContextual"/>
              </w:rPr>
              <w:lastRenderedPageBreak/>
              <w:drawing>
                <wp:inline distT="0" distB="0" distL="0" distR="0" wp14:anchorId="1DD0A9BB" wp14:editId="27C65655">
                  <wp:extent cx="3271619" cy="2258060"/>
                  <wp:effectExtent l="0" t="0" r="508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42409" cy="2306919"/>
                          </a:xfrm>
                          <a:prstGeom prst="rect">
                            <a:avLst/>
                          </a:prstGeom>
                          <a:noFill/>
                          <a:ln>
                            <a:noFill/>
                          </a:ln>
                        </pic:spPr>
                      </pic:pic>
                    </a:graphicData>
                  </a:graphic>
                </wp:inline>
              </w:drawing>
            </w:r>
          </w:p>
          <w:p w14:paraId="1675ECB7" w14:textId="77777777" w:rsidR="00C742FF" w:rsidRPr="000D2C0C" w:rsidRDefault="00C742FF" w:rsidP="00C742FF">
            <w:pPr>
              <w:spacing w:after="200" w:line="278" w:lineRule="auto"/>
              <w:jc w:val="center"/>
              <w:rPr>
                <w:rFonts w:ascii="Arial" w:eastAsia="Calibri" w:hAnsi="Arial" w:cs="Arial"/>
                <w:iCs/>
                <w:kern w:val="2"/>
                <w:sz w:val="24"/>
                <w:szCs w:val="24"/>
                <w:lang w:val="en-US"/>
                <w14:ligatures w14:val="standardContextual"/>
              </w:rPr>
            </w:pPr>
            <w:r w:rsidRPr="000D2C0C">
              <w:rPr>
                <w:rFonts w:ascii="Arial" w:eastAsia="Calibri" w:hAnsi="Arial" w:cs="Arial"/>
                <w:b/>
                <w:iCs/>
                <w:kern w:val="2"/>
                <w:sz w:val="24"/>
                <w:szCs w:val="24"/>
                <w:lang w:val="en-US"/>
                <w14:ligatures w14:val="standardContextual"/>
              </w:rPr>
              <w:t xml:space="preserve">Photo 1: </w:t>
            </w:r>
            <w:r w:rsidRPr="000D2C0C">
              <w:rPr>
                <w:rFonts w:ascii="Arial" w:eastAsia="Calibri" w:hAnsi="Arial" w:cs="Arial"/>
                <w:iCs/>
                <w:kern w:val="2"/>
                <w:sz w:val="24"/>
                <w:szCs w:val="24"/>
                <w:lang w:val="en-US"/>
                <w14:ligatures w14:val="standardContextual"/>
              </w:rPr>
              <w:t>Brownish, rounded, and scattered necrotic spots</w:t>
            </w:r>
          </w:p>
        </w:tc>
        <w:tc>
          <w:tcPr>
            <w:tcW w:w="5399" w:type="dxa"/>
          </w:tcPr>
          <w:p w14:paraId="4506EF4A" w14:textId="77777777" w:rsidR="00C742FF" w:rsidRPr="000D2C0C" w:rsidRDefault="00C742FF" w:rsidP="00C742FF">
            <w:pPr>
              <w:keepNext/>
              <w:spacing w:line="278" w:lineRule="auto"/>
              <w:rPr>
                <w:rFonts w:ascii="Arial" w:eastAsia="Calibri" w:hAnsi="Arial" w:cs="Arial"/>
                <w:kern w:val="2"/>
                <w:sz w:val="24"/>
                <w:szCs w:val="24"/>
                <w:lang w:val="en-US"/>
                <w14:ligatures w14:val="standardContextual"/>
              </w:rPr>
            </w:pPr>
            <w:r w:rsidRPr="000D2C0C">
              <w:rPr>
                <w:rFonts w:ascii="Arial" w:eastAsia="Calibri" w:hAnsi="Arial" w:cs="Arial"/>
                <w:noProof/>
                <w:kern w:val="2"/>
                <w:sz w:val="24"/>
                <w:szCs w:val="24"/>
                <w:lang w:eastAsia="fr-FR"/>
                <w14:ligatures w14:val="standardContextual"/>
              </w:rPr>
              <w:drawing>
                <wp:inline distT="0" distB="0" distL="0" distR="0" wp14:anchorId="12956132" wp14:editId="5658CD3C">
                  <wp:extent cx="3114675" cy="2258684"/>
                  <wp:effectExtent l="0" t="0" r="0" b="889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1416" cy="2292579"/>
                          </a:xfrm>
                          <a:prstGeom prst="rect">
                            <a:avLst/>
                          </a:prstGeom>
                          <a:noFill/>
                          <a:ln>
                            <a:noFill/>
                          </a:ln>
                        </pic:spPr>
                      </pic:pic>
                    </a:graphicData>
                  </a:graphic>
                </wp:inline>
              </w:drawing>
            </w:r>
          </w:p>
          <w:p w14:paraId="3616B650" w14:textId="77777777" w:rsidR="00C742FF" w:rsidRPr="000D2C0C" w:rsidRDefault="00C742FF" w:rsidP="00C742FF">
            <w:pPr>
              <w:spacing w:after="200" w:line="278" w:lineRule="auto"/>
              <w:jc w:val="center"/>
              <w:rPr>
                <w:rFonts w:ascii="Arial" w:eastAsia="Calibri" w:hAnsi="Arial" w:cs="Arial"/>
                <w:i/>
                <w:iCs/>
                <w:strike/>
                <w:color w:val="EE0000"/>
                <w:kern w:val="2"/>
                <w:sz w:val="24"/>
                <w:szCs w:val="24"/>
                <w:lang w:val="en-US"/>
                <w14:ligatures w14:val="standardContextual"/>
              </w:rPr>
            </w:pPr>
            <w:r w:rsidRPr="000D2C0C">
              <w:rPr>
                <w:rFonts w:ascii="Arial" w:eastAsia="Calibri" w:hAnsi="Arial" w:cs="Arial"/>
                <w:b/>
                <w:iCs/>
                <w:kern w:val="2"/>
                <w:sz w:val="24"/>
                <w:szCs w:val="24"/>
                <w:lang w:val="en-US"/>
                <w14:ligatures w14:val="standardContextual"/>
              </w:rPr>
              <w:t>Photo 2</w:t>
            </w:r>
            <w:r w:rsidRPr="000D2C0C">
              <w:rPr>
                <w:rFonts w:ascii="Arial" w:eastAsia="Calibri" w:hAnsi="Arial" w:cs="Arial"/>
                <w:iCs/>
                <w:kern w:val="2"/>
                <w:sz w:val="24"/>
                <w:szCs w:val="24"/>
                <w:lang w:val="en-US"/>
                <w14:ligatures w14:val="standardContextual"/>
              </w:rPr>
              <w:t>: Necrosis followed by desiccation</w:t>
            </w:r>
          </w:p>
          <w:p w14:paraId="205CD908" w14:textId="77777777" w:rsidR="00C742FF" w:rsidRPr="000D2C0C" w:rsidRDefault="00C742FF" w:rsidP="00C742FF">
            <w:pPr>
              <w:spacing w:line="278" w:lineRule="auto"/>
              <w:rPr>
                <w:rFonts w:ascii="Arial" w:eastAsia="Calibri" w:hAnsi="Arial" w:cs="Arial"/>
                <w:kern w:val="2"/>
                <w:sz w:val="24"/>
                <w:szCs w:val="24"/>
                <w:lang w:val="en-US"/>
                <w14:ligatures w14:val="standardContextual"/>
              </w:rPr>
            </w:pPr>
          </w:p>
        </w:tc>
      </w:tr>
      <w:tr w:rsidR="00C742FF" w:rsidRPr="000D2C0C" w14:paraId="51C14937" w14:textId="77777777" w:rsidTr="00282762">
        <w:trPr>
          <w:trHeight w:val="4117"/>
          <w:jc w:val="center"/>
        </w:trPr>
        <w:tc>
          <w:tcPr>
            <w:tcW w:w="5098" w:type="dxa"/>
          </w:tcPr>
          <w:p w14:paraId="5CA681EB" w14:textId="77777777" w:rsidR="00C742FF" w:rsidRPr="000D2C0C" w:rsidRDefault="00C742FF" w:rsidP="00C742FF">
            <w:pPr>
              <w:keepNext/>
              <w:spacing w:line="278" w:lineRule="auto"/>
              <w:rPr>
                <w:rFonts w:ascii="Arial" w:eastAsia="Calibri" w:hAnsi="Arial" w:cs="Arial"/>
                <w:kern w:val="2"/>
                <w:sz w:val="24"/>
                <w:szCs w:val="24"/>
                <w:lang w:val="en-US"/>
                <w14:ligatures w14:val="standardContextual"/>
              </w:rPr>
            </w:pPr>
            <w:r w:rsidRPr="000D2C0C">
              <w:rPr>
                <w:rFonts w:ascii="Arial" w:eastAsia="Calibri" w:hAnsi="Arial" w:cs="Arial"/>
                <w:noProof/>
                <w:kern w:val="2"/>
                <w:sz w:val="24"/>
                <w:szCs w:val="24"/>
                <w:lang w:eastAsia="fr-FR"/>
                <w14:ligatures w14:val="standardContextual"/>
              </w:rPr>
              <w:drawing>
                <wp:inline distT="0" distB="0" distL="0" distR="0" wp14:anchorId="32A3F8DA" wp14:editId="64E23D5C">
                  <wp:extent cx="3248025" cy="3186712"/>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8025" cy="3186712"/>
                          </a:xfrm>
                          <a:prstGeom prst="rect">
                            <a:avLst/>
                          </a:prstGeom>
                          <a:noFill/>
                          <a:ln>
                            <a:noFill/>
                          </a:ln>
                        </pic:spPr>
                      </pic:pic>
                    </a:graphicData>
                  </a:graphic>
                </wp:inline>
              </w:drawing>
            </w:r>
          </w:p>
          <w:p w14:paraId="7AD2F0AE" w14:textId="77777777" w:rsidR="00C742FF" w:rsidRPr="000D2C0C" w:rsidRDefault="00C742FF" w:rsidP="00C742FF">
            <w:pPr>
              <w:spacing w:after="200" w:line="278" w:lineRule="auto"/>
              <w:jc w:val="center"/>
              <w:rPr>
                <w:rFonts w:ascii="Arial" w:eastAsia="Calibri" w:hAnsi="Arial" w:cs="Arial"/>
                <w:i/>
                <w:iCs/>
                <w:kern w:val="2"/>
                <w:sz w:val="24"/>
                <w:szCs w:val="24"/>
                <w:lang w:val="en-US"/>
                <w14:ligatures w14:val="standardContextual"/>
              </w:rPr>
            </w:pPr>
            <w:r w:rsidRPr="000D2C0C">
              <w:rPr>
                <w:rFonts w:ascii="Arial" w:eastAsia="Calibri" w:hAnsi="Arial" w:cs="Arial"/>
                <w:b/>
                <w:iCs/>
                <w:kern w:val="2"/>
                <w:sz w:val="24"/>
                <w:szCs w:val="24"/>
                <w:lang w:val="en-US"/>
                <w14:ligatures w14:val="standardContextual"/>
              </w:rPr>
              <w:t>Photo 3</w:t>
            </w:r>
            <w:r w:rsidRPr="000D2C0C">
              <w:rPr>
                <w:rFonts w:ascii="Arial" w:eastAsia="Calibri" w:hAnsi="Arial" w:cs="Arial"/>
                <w:iCs/>
                <w:kern w:val="2"/>
                <w:sz w:val="24"/>
                <w:szCs w:val="24"/>
                <w:lang w:val="en-US"/>
                <w14:ligatures w14:val="standardContextual"/>
              </w:rPr>
              <w:t>: Whitish rot on the stem and pods</w:t>
            </w:r>
          </w:p>
        </w:tc>
        <w:tc>
          <w:tcPr>
            <w:tcW w:w="5399" w:type="dxa"/>
          </w:tcPr>
          <w:p w14:paraId="09683B06" w14:textId="77777777" w:rsidR="00C742FF" w:rsidRPr="000D2C0C" w:rsidRDefault="00C742FF" w:rsidP="00C742FF">
            <w:pPr>
              <w:keepNext/>
              <w:spacing w:line="278" w:lineRule="auto"/>
              <w:rPr>
                <w:rFonts w:ascii="Arial" w:eastAsia="Calibri" w:hAnsi="Arial" w:cs="Arial"/>
                <w:kern w:val="2"/>
                <w:sz w:val="24"/>
                <w:szCs w:val="24"/>
                <w:lang w:val="en-US"/>
                <w14:ligatures w14:val="standardContextual"/>
              </w:rPr>
            </w:pPr>
            <w:r w:rsidRPr="000D2C0C">
              <w:rPr>
                <w:rFonts w:ascii="Arial" w:eastAsia="Calibri" w:hAnsi="Arial" w:cs="Arial"/>
                <w:noProof/>
                <w:kern w:val="2"/>
                <w:sz w:val="24"/>
                <w:szCs w:val="24"/>
                <w:lang w:eastAsia="fr-FR"/>
                <w14:ligatures w14:val="standardContextual"/>
              </w:rPr>
              <w:drawing>
                <wp:inline distT="0" distB="0" distL="0" distR="0" wp14:anchorId="11CCDABE" wp14:editId="3903E12D">
                  <wp:extent cx="3048000" cy="318643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57" cy="3186490"/>
                          </a:xfrm>
                          <a:prstGeom prst="rect">
                            <a:avLst/>
                          </a:prstGeom>
                          <a:noFill/>
                          <a:ln>
                            <a:noFill/>
                          </a:ln>
                        </pic:spPr>
                      </pic:pic>
                    </a:graphicData>
                  </a:graphic>
                </wp:inline>
              </w:drawing>
            </w:r>
          </w:p>
          <w:p w14:paraId="7EAD19BC" w14:textId="77777777" w:rsidR="00C742FF" w:rsidRPr="000D2C0C" w:rsidRDefault="00C742FF" w:rsidP="00C742FF">
            <w:pPr>
              <w:spacing w:after="200" w:line="278" w:lineRule="auto"/>
              <w:jc w:val="center"/>
              <w:rPr>
                <w:rFonts w:ascii="Arial" w:eastAsia="Calibri" w:hAnsi="Arial" w:cs="Arial"/>
                <w:iCs/>
                <w:color w:val="44546A"/>
                <w:kern w:val="2"/>
                <w:sz w:val="24"/>
                <w:szCs w:val="24"/>
                <w:lang w:val="en-US"/>
                <w14:ligatures w14:val="standardContextual"/>
              </w:rPr>
            </w:pPr>
            <w:r w:rsidRPr="000D2C0C">
              <w:rPr>
                <w:rFonts w:ascii="Arial" w:eastAsia="Calibri" w:hAnsi="Arial" w:cs="Arial"/>
                <w:b/>
                <w:iCs/>
                <w:kern w:val="2"/>
                <w:sz w:val="24"/>
                <w:szCs w:val="24"/>
                <w:lang w:val="en-US"/>
                <w14:ligatures w14:val="standardContextual"/>
              </w:rPr>
              <w:t>Photo 4</w:t>
            </w:r>
            <w:r w:rsidRPr="000D2C0C">
              <w:rPr>
                <w:rFonts w:ascii="Arial" w:eastAsia="Calibri" w:hAnsi="Arial" w:cs="Arial"/>
                <w:iCs/>
                <w:kern w:val="2"/>
                <w:sz w:val="24"/>
                <w:szCs w:val="24"/>
                <w:lang w:val="en-US"/>
                <w14:ligatures w14:val="standardContextual"/>
              </w:rPr>
              <w:t>:</w:t>
            </w:r>
            <w:r w:rsidRPr="000D2C0C">
              <w:rPr>
                <w:rFonts w:ascii="Arial" w:eastAsia="Calibri" w:hAnsi="Arial" w:cs="Arial"/>
                <w:b/>
                <w:iCs/>
                <w:kern w:val="2"/>
                <w:sz w:val="24"/>
                <w:szCs w:val="24"/>
                <w:lang w:val="en-US"/>
                <w14:ligatures w14:val="standardContextual"/>
              </w:rPr>
              <w:t xml:space="preserve"> </w:t>
            </w:r>
            <w:r w:rsidRPr="000D2C0C">
              <w:rPr>
                <w:rFonts w:ascii="Arial" w:eastAsia="Calibri" w:hAnsi="Arial" w:cs="Arial"/>
                <w:iCs/>
                <w:kern w:val="2"/>
                <w:sz w:val="24"/>
                <w:szCs w:val="24"/>
                <w:lang w:val="en-US"/>
                <w14:ligatures w14:val="standardContextual"/>
              </w:rPr>
              <w:t>Chlorosis of the veins and leaf blade</w:t>
            </w:r>
          </w:p>
        </w:tc>
      </w:tr>
    </w:tbl>
    <w:p w14:paraId="7F22AFFF" w14:textId="77777777" w:rsidR="00C742FF" w:rsidRPr="000D2C0C" w:rsidRDefault="00C742FF" w:rsidP="00C742FF">
      <w:pPr>
        <w:rPr>
          <w:rFonts w:ascii="Arial" w:eastAsia="Calibri" w:hAnsi="Arial" w:cs="Arial"/>
          <w:sz w:val="24"/>
          <w:szCs w:val="24"/>
        </w:rPr>
      </w:pPr>
    </w:p>
    <w:tbl>
      <w:tblPr>
        <w:tblStyle w:val="Grilledutableau1"/>
        <w:tblW w:w="104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6"/>
        <w:gridCol w:w="5121"/>
      </w:tblGrid>
      <w:tr w:rsidR="00C742FF" w:rsidRPr="000D2C0C" w14:paraId="2C071F3D" w14:textId="77777777" w:rsidTr="00282762">
        <w:trPr>
          <w:trHeight w:val="3310"/>
          <w:jc w:val="center"/>
        </w:trPr>
        <w:tc>
          <w:tcPr>
            <w:tcW w:w="5098" w:type="dxa"/>
          </w:tcPr>
          <w:p w14:paraId="70C6D4DA" w14:textId="77777777" w:rsidR="00C742FF" w:rsidRPr="000D2C0C" w:rsidRDefault="00C742FF" w:rsidP="00C742FF">
            <w:pPr>
              <w:keepNext/>
              <w:spacing w:line="278" w:lineRule="auto"/>
              <w:rPr>
                <w:rFonts w:ascii="Arial" w:eastAsia="Calibri" w:hAnsi="Arial" w:cs="Arial"/>
                <w:kern w:val="2"/>
                <w:sz w:val="24"/>
                <w:szCs w:val="24"/>
                <w:lang w:val="en-US"/>
                <w14:ligatures w14:val="standardContextual"/>
              </w:rPr>
            </w:pPr>
            <w:r w:rsidRPr="000D2C0C">
              <w:rPr>
                <w:rFonts w:ascii="Arial" w:eastAsia="Calibri" w:hAnsi="Arial" w:cs="Arial"/>
                <w:noProof/>
                <w:kern w:val="2"/>
                <w:sz w:val="24"/>
                <w:szCs w:val="24"/>
                <w:lang w:eastAsia="fr-FR"/>
                <w14:ligatures w14:val="standardContextual"/>
              </w:rPr>
              <w:lastRenderedPageBreak/>
              <w:drawing>
                <wp:inline distT="0" distB="0" distL="0" distR="0" wp14:anchorId="73A257F1" wp14:editId="0E179034">
                  <wp:extent cx="3271619" cy="2258060"/>
                  <wp:effectExtent l="0" t="0" r="508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42409" cy="2306919"/>
                          </a:xfrm>
                          <a:prstGeom prst="rect">
                            <a:avLst/>
                          </a:prstGeom>
                          <a:noFill/>
                          <a:ln>
                            <a:noFill/>
                          </a:ln>
                        </pic:spPr>
                      </pic:pic>
                    </a:graphicData>
                  </a:graphic>
                </wp:inline>
              </w:drawing>
            </w:r>
          </w:p>
          <w:p w14:paraId="16E09BEB" w14:textId="7970F23C" w:rsidR="00C742FF" w:rsidRPr="000D2C0C" w:rsidRDefault="00C742FF" w:rsidP="00C742FF">
            <w:pPr>
              <w:spacing w:after="200" w:line="278" w:lineRule="auto"/>
              <w:jc w:val="center"/>
              <w:rPr>
                <w:rFonts w:ascii="Arial" w:eastAsia="Calibri" w:hAnsi="Arial" w:cs="Arial"/>
                <w:iCs/>
                <w:kern w:val="2"/>
                <w:sz w:val="24"/>
                <w:szCs w:val="24"/>
                <w:lang w:val="en-US"/>
                <w14:ligatures w14:val="standardContextual"/>
              </w:rPr>
            </w:pPr>
            <w:bookmarkStart w:id="0" w:name="_Toc213322797"/>
            <w:bookmarkStart w:id="1" w:name="_Toc213623885"/>
            <w:r w:rsidRPr="000D2C0C">
              <w:rPr>
                <w:rFonts w:ascii="Arial" w:eastAsia="Calibri" w:hAnsi="Arial" w:cs="Arial"/>
                <w:b/>
                <w:iCs/>
                <w:kern w:val="2"/>
                <w:sz w:val="24"/>
                <w:szCs w:val="24"/>
                <w:lang w:val="en-US"/>
                <w14:ligatures w14:val="standardContextual"/>
              </w:rPr>
              <w:t xml:space="preserve">Photo </w:t>
            </w:r>
            <w:r w:rsidR="00793C02">
              <w:rPr>
                <w:rFonts w:ascii="Arial" w:eastAsia="Calibri" w:hAnsi="Arial" w:cs="Arial"/>
                <w:b/>
                <w:iCs/>
                <w:kern w:val="2"/>
                <w:sz w:val="24"/>
                <w:szCs w:val="24"/>
                <w:lang w:val="en-US"/>
                <w14:ligatures w14:val="standardContextual"/>
              </w:rPr>
              <w:t>5</w:t>
            </w:r>
            <w:r w:rsidRPr="000D2C0C">
              <w:rPr>
                <w:rFonts w:ascii="Arial" w:eastAsia="Calibri" w:hAnsi="Arial" w:cs="Arial"/>
                <w:iCs/>
                <w:kern w:val="2"/>
                <w:sz w:val="24"/>
                <w:szCs w:val="24"/>
                <w:lang w:val="en-US"/>
                <w14:ligatures w14:val="standardContextual"/>
              </w:rPr>
              <w:t xml:space="preserve">: </w:t>
            </w:r>
            <w:bookmarkEnd w:id="0"/>
            <w:bookmarkEnd w:id="1"/>
            <w:r w:rsidRPr="000D2C0C">
              <w:rPr>
                <w:rFonts w:ascii="Arial" w:eastAsia="Calibri" w:hAnsi="Arial" w:cs="Arial"/>
                <w:iCs/>
                <w:kern w:val="2"/>
                <w:sz w:val="24"/>
                <w:szCs w:val="24"/>
                <w:lang w:val="en-US"/>
                <w14:ligatures w14:val="standardContextual"/>
              </w:rPr>
              <w:t>Brownish, rounded, and scattered necrotic spots</w:t>
            </w:r>
          </w:p>
        </w:tc>
        <w:tc>
          <w:tcPr>
            <w:tcW w:w="5399" w:type="dxa"/>
          </w:tcPr>
          <w:p w14:paraId="41CA4F6D" w14:textId="77777777" w:rsidR="00C742FF" w:rsidRPr="000D2C0C" w:rsidRDefault="00C742FF" w:rsidP="00C742FF">
            <w:pPr>
              <w:keepNext/>
              <w:spacing w:line="278" w:lineRule="auto"/>
              <w:rPr>
                <w:rFonts w:ascii="Arial" w:eastAsia="Calibri" w:hAnsi="Arial" w:cs="Arial"/>
                <w:kern w:val="2"/>
                <w:sz w:val="24"/>
                <w:szCs w:val="24"/>
                <w:lang w:val="en-US"/>
                <w14:ligatures w14:val="standardContextual"/>
              </w:rPr>
            </w:pPr>
            <w:r w:rsidRPr="000D2C0C">
              <w:rPr>
                <w:rFonts w:ascii="Arial" w:eastAsia="Calibri" w:hAnsi="Arial" w:cs="Arial"/>
                <w:noProof/>
                <w:kern w:val="2"/>
                <w:sz w:val="24"/>
                <w:szCs w:val="24"/>
                <w:lang w:eastAsia="fr-FR"/>
                <w14:ligatures w14:val="standardContextual"/>
              </w:rPr>
              <w:drawing>
                <wp:inline distT="0" distB="0" distL="0" distR="0" wp14:anchorId="54FD8A7A" wp14:editId="6684C21C">
                  <wp:extent cx="3114675" cy="2258684"/>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1416" cy="2292579"/>
                          </a:xfrm>
                          <a:prstGeom prst="rect">
                            <a:avLst/>
                          </a:prstGeom>
                          <a:noFill/>
                          <a:ln>
                            <a:noFill/>
                          </a:ln>
                        </pic:spPr>
                      </pic:pic>
                    </a:graphicData>
                  </a:graphic>
                </wp:inline>
              </w:drawing>
            </w:r>
          </w:p>
          <w:p w14:paraId="0955E643" w14:textId="7FA31EEB" w:rsidR="00C742FF" w:rsidRPr="000D2C0C" w:rsidRDefault="00C742FF" w:rsidP="00C742FF">
            <w:pPr>
              <w:spacing w:after="200" w:line="278" w:lineRule="auto"/>
              <w:jc w:val="center"/>
              <w:rPr>
                <w:rFonts w:ascii="Arial" w:eastAsia="Calibri" w:hAnsi="Arial" w:cs="Arial"/>
                <w:i/>
                <w:iCs/>
                <w:strike/>
                <w:color w:val="EE0000"/>
                <w:kern w:val="2"/>
                <w:sz w:val="24"/>
                <w:szCs w:val="24"/>
                <w:lang w:val="en-US"/>
                <w14:ligatures w14:val="standardContextual"/>
              </w:rPr>
            </w:pPr>
            <w:bookmarkStart w:id="2" w:name="_Toc213322798"/>
            <w:bookmarkStart w:id="3" w:name="_Toc213623886"/>
            <w:r w:rsidRPr="000D2C0C">
              <w:rPr>
                <w:rFonts w:ascii="Arial" w:eastAsia="Calibri" w:hAnsi="Arial" w:cs="Arial"/>
                <w:b/>
                <w:iCs/>
                <w:kern w:val="2"/>
                <w:sz w:val="24"/>
                <w:szCs w:val="24"/>
                <w:lang w:val="en-US"/>
                <w14:ligatures w14:val="standardContextual"/>
              </w:rPr>
              <w:t xml:space="preserve">Photo </w:t>
            </w:r>
            <w:r w:rsidR="00793C02">
              <w:rPr>
                <w:rFonts w:ascii="Arial" w:eastAsia="Calibri" w:hAnsi="Arial" w:cs="Arial"/>
                <w:b/>
                <w:iCs/>
                <w:kern w:val="2"/>
                <w:sz w:val="24"/>
                <w:szCs w:val="24"/>
                <w:lang w:val="en-US"/>
                <w14:ligatures w14:val="standardContextual"/>
              </w:rPr>
              <w:t>6</w:t>
            </w:r>
            <w:r w:rsidRPr="000D2C0C">
              <w:rPr>
                <w:rFonts w:ascii="Arial" w:eastAsia="Calibri" w:hAnsi="Arial" w:cs="Arial"/>
                <w:iCs/>
                <w:kern w:val="2"/>
                <w:sz w:val="24"/>
                <w:szCs w:val="24"/>
                <w:lang w:val="en-US"/>
                <w14:ligatures w14:val="standardContextual"/>
              </w:rPr>
              <w:t>: Necrosis followed by desiccation</w:t>
            </w:r>
            <w:bookmarkEnd w:id="2"/>
            <w:bookmarkEnd w:id="3"/>
          </w:p>
          <w:p w14:paraId="3F6F4DC4" w14:textId="77777777" w:rsidR="00C742FF" w:rsidRPr="000D2C0C" w:rsidRDefault="00C742FF" w:rsidP="00C742FF">
            <w:pPr>
              <w:spacing w:line="278" w:lineRule="auto"/>
              <w:rPr>
                <w:rFonts w:ascii="Arial" w:eastAsia="Calibri" w:hAnsi="Arial" w:cs="Arial"/>
                <w:kern w:val="2"/>
                <w:sz w:val="24"/>
                <w:szCs w:val="24"/>
                <w:lang w:val="en-US"/>
                <w14:ligatures w14:val="standardContextual"/>
              </w:rPr>
            </w:pPr>
          </w:p>
        </w:tc>
      </w:tr>
      <w:tr w:rsidR="00C742FF" w:rsidRPr="000D2C0C" w14:paraId="3AFBC3AC" w14:textId="77777777" w:rsidTr="00282762">
        <w:trPr>
          <w:trHeight w:val="4117"/>
          <w:jc w:val="center"/>
        </w:trPr>
        <w:tc>
          <w:tcPr>
            <w:tcW w:w="5098" w:type="dxa"/>
          </w:tcPr>
          <w:p w14:paraId="28462221" w14:textId="77777777" w:rsidR="00C742FF" w:rsidRPr="000D2C0C" w:rsidRDefault="00C742FF" w:rsidP="00C742FF">
            <w:pPr>
              <w:keepNext/>
              <w:spacing w:line="278" w:lineRule="auto"/>
              <w:rPr>
                <w:rFonts w:ascii="Arial" w:eastAsia="Calibri" w:hAnsi="Arial" w:cs="Arial"/>
                <w:kern w:val="2"/>
                <w:sz w:val="24"/>
                <w:szCs w:val="24"/>
                <w:lang w:val="en-US"/>
                <w14:ligatures w14:val="standardContextual"/>
              </w:rPr>
            </w:pPr>
            <w:r w:rsidRPr="000D2C0C">
              <w:rPr>
                <w:rFonts w:ascii="Arial" w:eastAsia="Calibri" w:hAnsi="Arial" w:cs="Arial"/>
                <w:noProof/>
                <w:kern w:val="2"/>
                <w:sz w:val="24"/>
                <w:szCs w:val="24"/>
                <w:lang w:eastAsia="fr-FR"/>
                <w14:ligatures w14:val="standardContextual"/>
              </w:rPr>
              <w:drawing>
                <wp:inline distT="0" distB="0" distL="0" distR="0" wp14:anchorId="78809B1A" wp14:editId="680D6FBE">
                  <wp:extent cx="3248025" cy="318671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8025" cy="3186712"/>
                          </a:xfrm>
                          <a:prstGeom prst="rect">
                            <a:avLst/>
                          </a:prstGeom>
                          <a:noFill/>
                          <a:ln>
                            <a:noFill/>
                          </a:ln>
                        </pic:spPr>
                      </pic:pic>
                    </a:graphicData>
                  </a:graphic>
                </wp:inline>
              </w:drawing>
            </w:r>
          </w:p>
          <w:p w14:paraId="259823F5" w14:textId="1A36A9E8" w:rsidR="00C742FF" w:rsidRPr="000D2C0C" w:rsidRDefault="00C742FF" w:rsidP="00C742FF">
            <w:pPr>
              <w:spacing w:after="200" w:line="278" w:lineRule="auto"/>
              <w:jc w:val="center"/>
              <w:rPr>
                <w:rFonts w:ascii="Arial" w:eastAsia="Calibri" w:hAnsi="Arial" w:cs="Arial"/>
                <w:i/>
                <w:iCs/>
                <w:kern w:val="2"/>
                <w:sz w:val="24"/>
                <w:szCs w:val="24"/>
                <w:lang w:val="en-US"/>
                <w14:ligatures w14:val="standardContextual"/>
              </w:rPr>
            </w:pPr>
            <w:bookmarkStart w:id="4" w:name="_Toc213322799"/>
            <w:bookmarkStart w:id="5" w:name="_Toc213623887"/>
            <w:r w:rsidRPr="000D2C0C">
              <w:rPr>
                <w:rFonts w:ascii="Arial" w:eastAsia="Calibri" w:hAnsi="Arial" w:cs="Arial"/>
                <w:b/>
                <w:iCs/>
                <w:kern w:val="2"/>
                <w:sz w:val="24"/>
                <w:szCs w:val="24"/>
                <w:lang w:val="en-US"/>
                <w14:ligatures w14:val="standardContextual"/>
              </w:rPr>
              <w:t xml:space="preserve">Photo </w:t>
            </w:r>
            <w:r w:rsidR="00793C02">
              <w:rPr>
                <w:rFonts w:ascii="Arial" w:eastAsia="Calibri" w:hAnsi="Arial" w:cs="Arial"/>
                <w:b/>
                <w:iCs/>
                <w:kern w:val="2"/>
                <w:sz w:val="24"/>
                <w:szCs w:val="24"/>
                <w:lang w:val="en-US"/>
                <w14:ligatures w14:val="standardContextual"/>
              </w:rPr>
              <w:t>7</w:t>
            </w:r>
            <w:r w:rsidRPr="000D2C0C">
              <w:rPr>
                <w:rFonts w:ascii="Arial" w:eastAsia="Calibri" w:hAnsi="Arial" w:cs="Arial"/>
                <w:iCs/>
                <w:kern w:val="2"/>
                <w:sz w:val="24"/>
                <w:szCs w:val="24"/>
                <w:lang w:val="en-US"/>
                <w14:ligatures w14:val="standardContextual"/>
              </w:rPr>
              <w:t>: Whitish rot on the stem and pods</w:t>
            </w:r>
            <w:bookmarkEnd w:id="4"/>
            <w:bookmarkEnd w:id="5"/>
          </w:p>
        </w:tc>
        <w:tc>
          <w:tcPr>
            <w:tcW w:w="5399" w:type="dxa"/>
          </w:tcPr>
          <w:p w14:paraId="58A82AEB" w14:textId="77777777" w:rsidR="00C742FF" w:rsidRPr="000D2C0C" w:rsidRDefault="00C742FF" w:rsidP="00C742FF">
            <w:pPr>
              <w:keepNext/>
              <w:spacing w:line="278" w:lineRule="auto"/>
              <w:rPr>
                <w:rFonts w:ascii="Arial" w:eastAsia="Calibri" w:hAnsi="Arial" w:cs="Arial"/>
                <w:kern w:val="2"/>
                <w:sz w:val="24"/>
                <w:szCs w:val="24"/>
                <w:lang w:val="en-US"/>
                <w14:ligatures w14:val="standardContextual"/>
              </w:rPr>
            </w:pPr>
            <w:r w:rsidRPr="000D2C0C">
              <w:rPr>
                <w:rFonts w:ascii="Arial" w:eastAsia="Calibri" w:hAnsi="Arial" w:cs="Arial"/>
                <w:noProof/>
                <w:kern w:val="2"/>
                <w:sz w:val="24"/>
                <w:szCs w:val="24"/>
                <w:lang w:eastAsia="fr-FR"/>
                <w14:ligatures w14:val="standardContextual"/>
              </w:rPr>
              <w:drawing>
                <wp:inline distT="0" distB="0" distL="0" distR="0" wp14:anchorId="242E92D1" wp14:editId="199E46C3">
                  <wp:extent cx="3048000" cy="318643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57" cy="3186490"/>
                          </a:xfrm>
                          <a:prstGeom prst="rect">
                            <a:avLst/>
                          </a:prstGeom>
                          <a:noFill/>
                          <a:ln>
                            <a:noFill/>
                          </a:ln>
                        </pic:spPr>
                      </pic:pic>
                    </a:graphicData>
                  </a:graphic>
                </wp:inline>
              </w:drawing>
            </w:r>
          </w:p>
          <w:p w14:paraId="46836D0F" w14:textId="550C747F" w:rsidR="00C742FF" w:rsidRPr="000D2C0C" w:rsidRDefault="00C742FF" w:rsidP="00C742FF">
            <w:pPr>
              <w:spacing w:after="200" w:line="278" w:lineRule="auto"/>
              <w:jc w:val="center"/>
              <w:rPr>
                <w:rFonts w:ascii="Arial" w:eastAsia="Calibri" w:hAnsi="Arial" w:cs="Arial"/>
                <w:iCs/>
                <w:color w:val="44546A"/>
                <w:kern w:val="2"/>
                <w:sz w:val="24"/>
                <w:szCs w:val="24"/>
                <w:lang w:val="en-US"/>
                <w14:ligatures w14:val="standardContextual"/>
              </w:rPr>
            </w:pPr>
            <w:bookmarkStart w:id="6" w:name="_Toc213322800"/>
            <w:bookmarkStart w:id="7" w:name="_Toc213623888"/>
            <w:r w:rsidRPr="000D2C0C">
              <w:rPr>
                <w:rFonts w:ascii="Arial" w:eastAsia="Calibri" w:hAnsi="Arial" w:cs="Arial"/>
                <w:b/>
                <w:iCs/>
                <w:kern w:val="2"/>
                <w:sz w:val="24"/>
                <w:szCs w:val="24"/>
                <w:lang w:val="en-US"/>
                <w14:ligatures w14:val="standardContextual"/>
              </w:rPr>
              <w:t xml:space="preserve">Photo </w:t>
            </w:r>
            <w:r w:rsidR="00793C02">
              <w:rPr>
                <w:rFonts w:ascii="Arial" w:eastAsia="Calibri" w:hAnsi="Arial" w:cs="Arial"/>
                <w:b/>
                <w:iCs/>
                <w:kern w:val="2"/>
                <w:sz w:val="24"/>
                <w:szCs w:val="24"/>
                <w:lang w:val="en-US"/>
                <w14:ligatures w14:val="standardContextual"/>
              </w:rPr>
              <w:t>8</w:t>
            </w:r>
            <w:r w:rsidRPr="000D2C0C">
              <w:rPr>
                <w:rFonts w:ascii="Arial" w:eastAsia="Calibri" w:hAnsi="Arial" w:cs="Arial"/>
                <w:iCs/>
                <w:kern w:val="2"/>
                <w:sz w:val="24"/>
                <w:szCs w:val="24"/>
                <w:lang w:val="en-US"/>
                <w14:ligatures w14:val="standardContextual"/>
              </w:rPr>
              <w:t>:</w:t>
            </w:r>
            <w:r w:rsidRPr="000D2C0C">
              <w:rPr>
                <w:rFonts w:ascii="Arial" w:eastAsia="Calibri" w:hAnsi="Arial" w:cs="Arial"/>
                <w:b/>
                <w:iCs/>
                <w:kern w:val="2"/>
                <w:sz w:val="24"/>
                <w:szCs w:val="24"/>
                <w:lang w:val="en-US"/>
                <w14:ligatures w14:val="standardContextual"/>
              </w:rPr>
              <w:t xml:space="preserve"> </w:t>
            </w:r>
            <w:r w:rsidRPr="000D2C0C">
              <w:rPr>
                <w:rFonts w:ascii="Arial" w:eastAsia="Calibri" w:hAnsi="Arial" w:cs="Arial"/>
                <w:iCs/>
                <w:kern w:val="2"/>
                <w:sz w:val="24"/>
                <w:szCs w:val="24"/>
                <w:lang w:val="en-US"/>
                <w14:ligatures w14:val="standardContextual"/>
              </w:rPr>
              <w:t>Chlorosis of the veins and leaf blade</w:t>
            </w:r>
            <w:bookmarkEnd w:id="6"/>
            <w:bookmarkEnd w:id="7"/>
          </w:p>
        </w:tc>
      </w:tr>
    </w:tbl>
    <w:p w14:paraId="678E748D" w14:textId="77777777" w:rsidR="00C742FF" w:rsidRPr="000D2C0C" w:rsidRDefault="00C742FF" w:rsidP="00C742FF">
      <w:pPr>
        <w:spacing w:line="360" w:lineRule="auto"/>
        <w:jc w:val="both"/>
        <w:rPr>
          <w:rFonts w:ascii="Arial" w:hAnsi="Arial" w:cs="Arial"/>
          <w:sz w:val="24"/>
          <w:szCs w:val="24"/>
        </w:rPr>
      </w:pPr>
    </w:p>
    <w:p w14:paraId="5F1A219C" w14:textId="77777777" w:rsidR="00C742FF" w:rsidRPr="000D2C0C" w:rsidRDefault="000D2C0C" w:rsidP="00C742FF">
      <w:pPr>
        <w:spacing w:line="360" w:lineRule="auto"/>
        <w:jc w:val="both"/>
        <w:rPr>
          <w:rFonts w:ascii="Arial" w:hAnsi="Arial" w:cs="Arial"/>
          <w:b/>
          <w:sz w:val="24"/>
          <w:szCs w:val="24"/>
        </w:rPr>
      </w:pPr>
      <w:r>
        <w:rPr>
          <w:rFonts w:ascii="Arial" w:hAnsi="Arial" w:cs="Arial"/>
          <w:b/>
          <w:sz w:val="24"/>
          <w:szCs w:val="24"/>
        </w:rPr>
        <w:t xml:space="preserve">3.2. </w:t>
      </w:r>
      <w:r w:rsidR="00C742FF" w:rsidRPr="000D2C0C">
        <w:rPr>
          <w:rFonts w:ascii="Arial" w:hAnsi="Arial" w:cs="Arial"/>
          <w:b/>
          <w:sz w:val="24"/>
          <w:szCs w:val="24"/>
        </w:rPr>
        <w:t>Identification</w:t>
      </w:r>
    </w:p>
    <w:p w14:paraId="08883617" w14:textId="77777777" w:rsidR="00C742FF" w:rsidRPr="000D2C0C" w:rsidRDefault="00C742FF" w:rsidP="00C742FF">
      <w:pPr>
        <w:spacing w:line="360" w:lineRule="auto"/>
        <w:jc w:val="both"/>
        <w:rPr>
          <w:rFonts w:ascii="Arial" w:hAnsi="Arial" w:cs="Arial"/>
          <w:sz w:val="24"/>
          <w:szCs w:val="24"/>
        </w:rPr>
      </w:pPr>
      <w:r w:rsidRPr="000D2C0C">
        <w:rPr>
          <w:rFonts w:ascii="Arial" w:hAnsi="Arial" w:cs="Arial"/>
          <w:sz w:val="24"/>
          <w:szCs w:val="24"/>
        </w:rPr>
        <w:t>Macroscopic and microscopic identifications allowed for the identification of four (4) pathogens. These fungi were observed on samples composed solely of leaves.</w:t>
      </w:r>
    </w:p>
    <w:p w14:paraId="6C8FD0B7" w14:textId="77777777" w:rsidR="00C742FF" w:rsidRPr="000D2C0C" w:rsidRDefault="00C742FF" w:rsidP="00C742FF">
      <w:pPr>
        <w:spacing w:line="360" w:lineRule="auto"/>
        <w:jc w:val="both"/>
        <w:rPr>
          <w:rFonts w:ascii="Arial" w:hAnsi="Arial" w:cs="Arial"/>
          <w:b/>
          <w:sz w:val="24"/>
          <w:szCs w:val="24"/>
        </w:rPr>
      </w:pPr>
      <w:r w:rsidRPr="000D2C0C">
        <w:rPr>
          <w:rFonts w:ascii="Arial" w:hAnsi="Arial" w:cs="Arial"/>
          <w:b/>
          <w:sz w:val="24"/>
          <w:szCs w:val="24"/>
        </w:rPr>
        <w:t>Downy Mildew</w:t>
      </w:r>
    </w:p>
    <w:p w14:paraId="6446FDCE" w14:textId="08C5BFE8" w:rsidR="00C742FF" w:rsidRPr="000D2C0C" w:rsidRDefault="00C742FF" w:rsidP="00C742FF">
      <w:pPr>
        <w:spacing w:line="360" w:lineRule="auto"/>
        <w:jc w:val="both"/>
        <w:rPr>
          <w:rFonts w:ascii="Arial" w:hAnsi="Arial" w:cs="Arial"/>
          <w:sz w:val="24"/>
          <w:szCs w:val="24"/>
        </w:rPr>
      </w:pPr>
      <w:r w:rsidRPr="000D2C0C">
        <w:rPr>
          <w:rFonts w:ascii="Arial" w:hAnsi="Arial" w:cs="Arial"/>
          <w:sz w:val="24"/>
          <w:szCs w:val="24"/>
        </w:rPr>
        <w:t xml:space="preserve">Peronospora manshurica on PDA develops a white, filamentous colony (Photo </w:t>
      </w:r>
      <w:r w:rsidR="00793C02">
        <w:rPr>
          <w:rFonts w:ascii="Arial" w:hAnsi="Arial" w:cs="Arial"/>
          <w:sz w:val="24"/>
          <w:szCs w:val="24"/>
        </w:rPr>
        <w:t>9</w:t>
      </w:r>
      <w:r w:rsidRPr="000D2C0C">
        <w:rPr>
          <w:rFonts w:ascii="Arial" w:hAnsi="Arial" w:cs="Arial"/>
          <w:sz w:val="24"/>
          <w:szCs w:val="24"/>
        </w:rPr>
        <w:t xml:space="preserve">). However, it has a black underside. Observations were made 11 days after </w:t>
      </w:r>
      <w:r w:rsidRPr="000D2C0C">
        <w:rPr>
          <w:rFonts w:ascii="Arial" w:hAnsi="Arial" w:cs="Arial"/>
          <w:sz w:val="24"/>
          <w:szCs w:val="24"/>
        </w:rPr>
        <w:lastRenderedPageBreak/>
        <w:t xml:space="preserve">subculturing. Under the microscope, </w:t>
      </w:r>
      <w:r w:rsidRPr="000D2C0C">
        <w:rPr>
          <w:rFonts w:ascii="Arial" w:hAnsi="Arial" w:cs="Arial"/>
          <w:i/>
          <w:sz w:val="24"/>
          <w:szCs w:val="24"/>
        </w:rPr>
        <w:t>Peronospora manshurica</w:t>
      </w:r>
      <w:r w:rsidRPr="000D2C0C">
        <w:rPr>
          <w:rFonts w:ascii="Arial" w:hAnsi="Arial" w:cs="Arial"/>
          <w:sz w:val="24"/>
          <w:szCs w:val="24"/>
        </w:rPr>
        <w:t xml:space="preserve"> exhibits septate mycelium (Photo </w:t>
      </w:r>
      <w:r w:rsidR="00793C02">
        <w:rPr>
          <w:rFonts w:ascii="Arial" w:hAnsi="Arial" w:cs="Arial"/>
          <w:sz w:val="24"/>
          <w:szCs w:val="24"/>
        </w:rPr>
        <w:t>10</w:t>
      </w:r>
      <w:r w:rsidRPr="000D2C0C">
        <w:rPr>
          <w:rFonts w:ascii="Arial" w:hAnsi="Arial" w:cs="Arial"/>
          <w:sz w:val="24"/>
          <w:szCs w:val="24"/>
        </w:rPr>
        <w:t xml:space="preserve">). The spores are oval-shaped (Photo </w:t>
      </w:r>
      <w:r w:rsidR="00793C02">
        <w:rPr>
          <w:rFonts w:ascii="Arial" w:hAnsi="Arial" w:cs="Arial"/>
          <w:sz w:val="24"/>
          <w:szCs w:val="24"/>
        </w:rPr>
        <w:t>11</w:t>
      </w:r>
      <w:r w:rsidRPr="000D2C0C">
        <w:rPr>
          <w:rFonts w:ascii="Arial" w:hAnsi="Arial" w:cs="Arial"/>
          <w:sz w:val="24"/>
          <w:szCs w:val="24"/>
        </w:rPr>
        <w:t>).</w:t>
      </w:r>
    </w:p>
    <w:p w14:paraId="1283B576" w14:textId="77777777" w:rsidR="00C742FF" w:rsidRPr="000D2C0C" w:rsidRDefault="00C742FF" w:rsidP="00C742FF">
      <w:pPr>
        <w:rPr>
          <w:rFonts w:ascii="Arial" w:eastAsia="Times New Roman" w:hAnsi="Arial" w:cs="Arial"/>
          <w:sz w:val="24"/>
          <w:szCs w:val="24"/>
          <w:lang w:eastAsia="fr-FR"/>
        </w:rPr>
      </w:pPr>
    </w:p>
    <w:tbl>
      <w:tblPr>
        <w:tblStyle w:val="TableGrid"/>
        <w:tblW w:w="77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6"/>
      </w:tblGrid>
      <w:tr w:rsidR="00C742FF" w:rsidRPr="000D2C0C" w14:paraId="473B69D7" w14:textId="77777777" w:rsidTr="00282762">
        <w:trPr>
          <w:trHeight w:val="4951"/>
          <w:jc w:val="center"/>
        </w:trPr>
        <w:tc>
          <w:tcPr>
            <w:tcW w:w="7786" w:type="dxa"/>
          </w:tcPr>
          <w:p w14:paraId="61D51960" w14:textId="77777777" w:rsidR="00C742FF" w:rsidRPr="000D2C0C" w:rsidRDefault="00C742FF" w:rsidP="00C742FF">
            <w:pPr>
              <w:keepNext/>
              <w:spacing w:line="278" w:lineRule="auto"/>
              <w:rPr>
                <w:rFonts w:ascii="Arial" w:eastAsia="Times New Roman" w:hAnsi="Arial" w:cs="Arial"/>
                <w:kern w:val="2"/>
                <w:sz w:val="24"/>
                <w:szCs w:val="24"/>
                <w:lang w:val="en-US" w:eastAsia="fr-FR"/>
                <w14:ligatures w14:val="standardContextual"/>
              </w:rPr>
            </w:pPr>
            <w:r w:rsidRPr="000D2C0C">
              <w:rPr>
                <w:rFonts w:ascii="Arial" w:eastAsia="Calibri" w:hAnsi="Arial" w:cs="Arial"/>
                <w:noProof/>
                <w:kern w:val="2"/>
                <w:sz w:val="24"/>
                <w:szCs w:val="24"/>
                <w:lang w:eastAsia="fr-FR"/>
                <w14:ligatures w14:val="standardContextual"/>
              </w:rPr>
              <w:drawing>
                <wp:inline distT="0" distB="0" distL="0" distR="0" wp14:anchorId="40A1F57F" wp14:editId="5564DDD0">
                  <wp:extent cx="2250281" cy="300037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09-22 à 17.32.14_26dfc58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0281" cy="3000375"/>
                          </a:xfrm>
                          <a:prstGeom prst="rect">
                            <a:avLst/>
                          </a:prstGeom>
                        </pic:spPr>
                      </pic:pic>
                    </a:graphicData>
                  </a:graphic>
                </wp:inline>
              </w:drawing>
            </w:r>
            <w:r w:rsidRPr="000D2C0C">
              <w:rPr>
                <w:rFonts w:ascii="Arial" w:eastAsia="Times New Roman" w:hAnsi="Arial" w:cs="Arial"/>
                <w:kern w:val="2"/>
                <w:sz w:val="24"/>
                <w:szCs w:val="24"/>
                <w:lang w:val="en-US" w:eastAsia="fr-FR"/>
                <w14:ligatures w14:val="standardContextual"/>
              </w:rPr>
              <w:t xml:space="preserve">  </w:t>
            </w:r>
            <w:r w:rsidRPr="000D2C0C">
              <w:rPr>
                <w:rFonts w:ascii="Arial" w:eastAsia="Calibri" w:hAnsi="Arial" w:cs="Arial"/>
                <w:noProof/>
                <w:kern w:val="2"/>
                <w:sz w:val="24"/>
                <w:szCs w:val="24"/>
                <w:lang w:eastAsia="fr-FR"/>
                <w14:ligatures w14:val="standardContextual"/>
              </w:rPr>
              <w:drawing>
                <wp:inline distT="0" distB="0" distL="0" distR="0" wp14:anchorId="4D31A2C0" wp14:editId="00A858D7">
                  <wp:extent cx="2240281" cy="2987040"/>
                  <wp:effectExtent l="0" t="0" r="7620" b="381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9-22 à 17.32.15_8d0de04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0064" cy="3013417"/>
                          </a:xfrm>
                          <a:prstGeom prst="rect">
                            <a:avLst/>
                          </a:prstGeom>
                        </pic:spPr>
                      </pic:pic>
                    </a:graphicData>
                  </a:graphic>
                </wp:inline>
              </w:drawing>
            </w:r>
          </w:p>
        </w:tc>
      </w:tr>
    </w:tbl>
    <w:p w14:paraId="4D584182" w14:textId="3F3E2757" w:rsidR="00C742FF" w:rsidRPr="000D2C0C" w:rsidRDefault="00C742FF" w:rsidP="00C742FF">
      <w:pPr>
        <w:spacing w:after="200" w:line="240" w:lineRule="auto"/>
        <w:jc w:val="center"/>
        <w:rPr>
          <w:rFonts w:ascii="Arial" w:eastAsia="Calibri" w:hAnsi="Arial" w:cs="Arial"/>
          <w:iCs/>
          <w:sz w:val="36"/>
          <w:szCs w:val="24"/>
        </w:rPr>
      </w:pPr>
      <w:bookmarkStart w:id="8" w:name="_Toc214234922"/>
      <w:r w:rsidRPr="000D2C0C">
        <w:rPr>
          <w:rFonts w:ascii="Arial" w:eastAsia="Calibri" w:hAnsi="Arial" w:cs="Arial"/>
          <w:b/>
          <w:iCs/>
          <w:sz w:val="24"/>
          <w:szCs w:val="18"/>
        </w:rPr>
        <w:t xml:space="preserve">Photo </w:t>
      </w:r>
      <w:proofErr w:type="gramStart"/>
      <w:r w:rsidR="00793C02">
        <w:rPr>
          <w:rFonts w:ascii="Arial" w:eastAsia="Calibri" w:hAnsi="Arial" w:cs="Arial"/>
          <w:b/>
          <w:iCs/>
          <w:sz w:val="24"/>
          <w:szCs w:val="18"/>
        </w:rPr>
        <w:t>9</w:t>
      </w:r>
      <w:r w:rsidRPr="000D2C0C">
        <w:rPr>
          <w:rFonts w:ascii="Arial" w:eastAsia="Calibri" w:hAnsi="Arial" w:cs="Arial"/>
          <w:iCs/>
          <w:sz w:val="24"/>
          <w:szCs w:val="18"/>
        </w:rPr>
        <w:t>:</w:t>
      </w:r>
      <w:proofErr w:type="gramEnd"/>
      <w:r w:rsidRPr="000D2C0C">
        <w:rPr>
          <w:rFonts w:ascii="Arial" w:eastAsia="Calibri" w:hAnsi="Arial" w:cs="Arial"/>
          <w:iCs/>
          <w:sz w:val="24"/>
          <w:szCs w:val="18"/>
        </w:rPr>
        <w:t xml:space="preserve"> </w:t>
      </w:r>
      <w:bookmarkEnd w:id="8"/>
      <w:r w:rsidR="00FD34B6" w:rsidRPr="000D2C0C">
        <w:rPr>
          <w:rFonts w:ascii="Arial" w:eastAsia="Calibri" w:hAnsi="Arial" w:cs="Arial"/>
          <w:i/>
          <w:iCs/>
          <w:sz w:val="24"/>
          <w:szCs w:val="18"/>
        </w:rPr>
        <w:t>Peronospora manshurica on culture medium (A: upper surface), (B: lower surface)</w:t>
      </w:r>
    </w:p>
    <w:p w14:paraId="4DD6015A" w14:textId="77777777" w:rsidR="00C742FF" w:rsidRPr="000D2C0C" w:rsidRDefault="00C742FF" w:rsidP="00C742FF">
      <w:pPr>
        <w:spacing w:after="200" w:line="240" w:lineRule="auto"/>
        <w:jc w:val="center"/>
        <w:rPr>
          <w:rFonts w:ascii="Arial" w:eastAsia="Calibri" w:hAnsi="Arial" w:cs="Arial"/>
          <w:iCs/>
          <w:sz w:val="36"/>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410"/>
      </w:tblGrid>
      <w:tr w:rsidR="00C742FF" w:rsidRPr="000D2C0C" w14:paraId="143CDBBC" w14:textId="77777777" w:rsidTr="00282762">
        <w:trPr>
          <w:trHeight w:val="4557"/>
          <w:jc w:val="center"/>
        </w:trPr>
        <w:tc>
          <w:tcPr>
            <w:tcW w:w="4410" w:type="dxa"/>
          </w:tcPr>
          <w:p w14:paraId="25FEAD78" w14:textId="77777777" w:rsidR="00C742FF" w:rsidRPr="000D2C0C" w:rsidRDefault="00C742FF" w:rsidP="00C742FF">
            <w:pPr>
              <w:keepNext/>
              <w:rPr>
                <w:rFonts w:ascii="Arial" w:eastAsia="Calibri" w:hAnsi="Arial" w:cs="Arial"/>
              </w:rPr>
            </w:pPr>
            <w:r w:rsidRPr="000D2C0C">
              <w:rPr>
                <w:rFonts w:ascii="Arial" w:eastAsia="Calibri" w:hAnsi="Arial" w:cs="Arial"/>
                <w:noProof/>
                <w:lang w:eastAsia="fr-FR"/>
              </w:rPr>
              <w:drawing>
                <wp:inline distT="0" distB="0" distL="0" distR="0" wp14:anchorId="46995A14" wp14:editId="2ACFCAEB">
                  <wp:extent cx="2716006" cy="2637790"/>
                  <wp:effectExtent l="0" t="0" r="825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hatsApp Image 2025-10-13 à 19.06.38_92d7094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53547" cy="2674249"/>
                          </a:xfrm>
                          <a:prstGeom prst="rect">
                            <a:avLst/>
                          </a:prstGeom>
                        </pic:spPr>
                      </pic:pic>
                    </a:graphicData>
                  </a:graphic>
                </wp:inline>
              </w:drawing>
            </w:r>
          </w:p>
          <w:p w14:paraId="36518AEB" w14:textId="09019CFB" w:rsidR="00C742FF" w:rsidRPr="000D2C0C" w:rsidRDefault="00C742FF" w:rsidP="00C742FF">
            <w:pPr>
              <w:spacing w:after="200"/>
              <w:jc w:val="center"/>
              <w:rPr>
                <w:rFonts w:ascii="Arial" w:eastAsia="Calibri" w:hAnsi="Arial" w:cs="Arial"/>
                <w:iCs/>
                <w:color w:val="000000"/>
              </w:rPr>
            </w:pPr>
            <w:bookmarkStart w:id="9" w:name="_Toc214234923"/>
            <w:r w:rsidRPr="000D2C0C">
              <w:rPr>
                <w:rFonts w:ascii="Arial" w:eastAsia="Calibri" w:hAnsi="Arial" w:cs="Arial"/>
                <w:b/>
                <w:iCs/>
                <w:szCs w:val="18"/>
              </w:rPr>
              <w:t xml:space="preserve">Photo </w:t>
            </w:r>
            <w:proofErr w:type="gramStart"/>
            <w:r w:rsidR="00793C02">
              <w:rPr>
                <w:rFonts w:ascii="Arial" w:eastAsia="Calibri" w:hAnsi="Arial" w:cs="Arial"/>
                <w:b/>
                <w:iCs/>
                <w:szCs w:val="18"/>
              </w:rPr>
              <w:t>10</w:t>
            </w:r>
            <w:r w:rsidRPr="000D2C0C">
              <w:rPr>
                <w:rFonts w:ascii="Arial" w:eastAsia="Calibri" w:hAnsi="Arial" w:cs="Arial"/>
                <w:iCs/>
                <w:szCs w:val="18"/>
              </w:rPr>
              <w:t>:</w:t>
            </w:r>
            <w:proofErr w:type="gramEnd"/>
            <w:r w:rsidRPr="000D2C0C">
              <w:rPr>
                <w:rFonts w:ascii="Arial" w:eastAsia="Calibri" w:hAnsi="Arial" w:cs="Arial"/>
                <w:iCs/>
                <w:szCs w:val="18"/>
              </w:rPr>
              <w:t xml:space="preserve"> </w:t>
            </w:r>
            <w:r w:rsidR="00FD34B6" w:rsidRPr="000D2C0C">
              <w:rPr>
                <w:rFonts w:ascii="Arial" w:eastAsia="Calibri" w:hAnsi="Arial" w:cs="Arial"/>
                <w:iCs/>
                <w:szCs w:val="18"/>
              </w:rPr>
              <w:t xml:space="preserve">Mycellium of </w:t>
            </w:r>
            <w:r w:rsidR="00FD34B6" w:rsidRPr="000D2C0C">
              <w:rPr>
                <w:rFonts w:ascii="Arial" w:eastAsia="Calibri" w:hAnsi="Arial" w:cs="Arial"/>
                <w:i/>
                <w:iCs/>
                <w:szCs w:val="18"/>
              </w:rPr>
              <w:t>Peronospora manshurica</w:t>
            </w:r>
            <w:r w:rsidR="00FD34B6" w:rsidRPr="000D2C0C">
              <w:rPr>
                <w:rFonts w:ascii="Arial" w:eastAsia="Calibri" w:hAnsi="Arial" w:cs="Arial"/>
                <w:iCs/>
                <w:szCs w:val="18"/>
              </w:rPr>
              <w:t xml:space="preserve"> (G X 100)</w:t>
            </w:r>
            <w:bookmarkEnd w:id="9"/>
          </w:p>
        </w:tc>
        <w:tc>
          <w:tcPr>
            <w:tcW w:w="4410" w:type="dxa"/>
          </w:tcPr>
          <w:p w14:paraId="714B274B" w14:textId="77777777" w:rsidR="00C742FF" w:rsidRPr="000D2C0C" w:rsidRDefault="00C742FF" w:rsidP="00C742FF">
            <w:pPr>
              <w:keepNext/>
              <w:rPr>
                <w:rFonts w:ascii="Arial" w:eastAsia="Calibri" w:hAnsi="Arial" w:cs="Arial"/>
              </w:rPr>
            </w:pPr>
            <w:r w:rsidRPr="000D2C0C">
              <w:rPr>
                <w:rFonts w:ascii="Arial" w:eastAsia="Calibri" w:hAnsi="Arial" w:cs="Arial"/>
                <w:noProof/>
                <w:lang w:eastAsia="fr-FR"/>
              </w:rPr>
              <w:drawing>
                <wp:inline distT="0" distB="0" distL="0" distR="0" wp14:anchorId="14D428A4" wp14:editId="2A27D25A">
                  <wp:extent cx="2400300" cy="2705683"/>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6175" cy="2746123"/>
                          </a:xfrm>
                          <a:prstGeom prst="rect">
                            <a:avLst/>
                          </a:prstGeom>
                          <a:noFill/>
                          <a:ln>
                            <a:noFill/>
                          </a:ln>
                        </pic:spPr>
                      </pic:pic>
                    </a:graphicData>
                  </a:graphic>
                </wp:inline>
              </w:drawing>
            </w:r>
          </w:p>
          <w:p w14:paraId="6B2F64D9" w14:textId="4F464626" w:rsidR="00C742FF" w:rsidRPr="000D2C0C" w:rsidRDefault="00C742FF" w:rsidP="00C742FF">
            <w:pPr>
              <w:spacing w:after="200"/>
              <w:jc w:val="center"/>
              <w:rPr>
                <w:rFonts w:ascii="Arial" w:eastAsia="Calibri" w:hAnsi="Arial" w:cs="Arial"/>
                <w:iCs/>
              </w:rPr>
            </w:pPr>
            <w:bookmarkStart w:id="10" w:name="_Toc213322803"/>
            <w:bookmarkStart w:id="11" w:name="_Toc214234924"/>
            <w:r w:rsidRPr="000D2C0C">
              <w:rPr>
                <w:rFonts w:ascii="Arial" w:eastAsia="Calibri" w:hAnsi="Arial" w:cs="Arial"/>
                <w:b/>
                <w:iCs/>
              </w:rPr>
              <w:t xml:space="preserve">Photo </w:t>
            </w:r>
            <w:proofErr w:type="gramStart"/>
            <w:r w:rsidR="00793C02">
              <w:rPr>
                <w:rFonts w:ascii="Arial" w:eastAsia="Calibri" w:hAnsi="Arial" w:cs="Arial"/>
                <w:b/>
                <w:iCs/>
              </w:rPr>
              <w:t>11</w:t>
            </w:r>
            <w:r w:rsidRPr="000D2C0C">
              <w:rPr>
                <w:rFonts w:ascii="Arial" w:eastAsia="Calibri" w:hAnsi="Arial" w:cs="Arial"/>
                <w:iCs/>
              </w:rPr>
              <w:t>:</w:t>
            </w:r>
            <w:proofErr w:type="gramEnd"/>
            <w:r w:rsidRPr="000D2C0C">
              <w:rPr>
                <w:rFonts w:ascii="Arial" w:eastAsia="Calibri" w:hAnsi="Arial" w:cs="Arial"/>
                <w:iCs/>
              </w:rPr>
              <w:t xml:space="preserve"> </w:t>
            </w:r>
            <w:r w:rsidR="00FD34B6" w:rsidRPr="000D2C0C">
              <w:rPr>
                <w:rFonts w:ascii="Arial" w:eastAsia="Calibri" w:hAnsi="Arial" w:cs="Arial"/>
                <w:iCs/>
              </w:rPr>
              <w:t xml:space="preserve">Spores of </w:t>
            </w:r>
            <w:r w:rsidR="00FD34B6" w:rsidRPr="000D2C0C">
              <w:rPr>
                <w:rFonts w:ascii="Arial" w:eastAsia="Calibri" w:hAnsi="Arial" w:cs="Arial"/>
                <w:i/>
                <w:iCs/>
              </w:rPr>
              <w:t>Peronospora manshurica</w:t>
            </w:r>
            <w:r w:rsidR="00FD34B6" w:rsidRPr="000D2C0C">
              <w:rPr>
                <w:rFonts w:ascii="Arial" w:eastAsia="Calibri" w:hAnsi="Arial" w:cs="Arial"/>
                <w:iCs/>
              </w:rPr>
              <w:t xml:space="preserve"> (G X 100)</w:t>
            </w:r>
            <w:bookmarkEnd w:id="10"/>
            <w:bookmarkEnd w:id="11"/>
          </w:p>
        </w:tc>
      </w:tr>
    </w:tbl>
    <w:p w14:paraId="7DC67B5B" w14:textId="77777777" w:rsidR="00C742FF" w:rsidRPr="000D2C0C" w:rsidRDefault="00C742FF" w:rsidP="00C742FF">
      <w:pPr>
        <w:rPr>
          <w:rFonts w:ascii="Arial" w:eastAsia="Calibri" w:hAnsi="Arial" w:cs="Arial"/>
          <w:sz w:val="24"/>
          <w:szCs w:val="24"/>
        </w:rPr>
      </w:pPr>
    </w:p>
    <w:p w14:paraId="42775DE0" w14:textId="77777777" w:rsidR="00FD34B6" w:rsidRPr="000D2C0C" w:rsidRDefault="00FD34B6" w:rsidP="00C742FF">
      <w:pPr>
        <w:rPr>
          <w:rFonts w:ascii="Arial" w:eastAsia="Calibri" w:hAnsi="Arial" w:cs="Arial"/>
          <w:sz w:val="24"/>
          <w:szCs w:val="24"/>
        </w:rPr>
      </w:pPr>
    </w:p>
    <w:p w14:paraId="7859321D" w14:textId="77777777" w:rsidR="00FD34B6" w:rsidRPr="000D2C0C" w:rsidRDefault="00FD34B6" w:rsidP="00C742FF">
      <w:pPr>
        <w:rPr>
          <w:rFonts w:ascii="Arial" w:eastAsia="Calibri" w:hAnsi="Arial" w:cs="Arial"/>
          <w:sz w:val="24"/>
          <w:szCs w:val="24"/>
        </w:rPr>
      </w:pPr>
    </w:p>
    <w:p w14:paraId="10E47747" w14:textId="77777777" w:rsidR="00FD34B6" w:rsidRPr="000D2C0C" w:rsidRDefault="00FD34B6" w:rsidP="00FD34B6">
      <w:pPr>
        <w:spacing w:before="240" w:line="360" w:lineRule="auto"/>
        <w:jc w:val="both"/>
        <w:rPr>
          <w:rFonts w:ascii="Arial" w:eastAsia="Calibri" w:hAnsi="Arial" w:cs="Arial"/>
          <w:b/>
          <w:sz w:val="24"/>
          <w:szCs w:val="24"/>
        </w:rPr>
      </w:pPr>
      <w:r w:rsidRPr="000D2C0C">
        <w:rPr>
          <w:rFonts w:ascii="Arial" w:eastAsia="Calibri" w:hAnsi="Arial" w:cs="Arial"/>
          <w:b/>
          <w:sz w:val="24"/>
          <w:szCs w:val="24"/>
        </w:rPr>
        <w:lastRenderedPageBreak/>
        <w:t>Soybean blight</w:t>
      </w:r>
    </w:p>
    <w:p w14:paraId="27C09245" w14:textId="5569044B" w:rsidR="00C742FF" w:rsidRPr="000D2C0C" w:rsidRDefault="00FD34B6" w:rsidP="00FD34B6">
      <w:pPr>
        <w:spacing w:before="240" w:line="360" w:lineRule="auto"/>
        <w:jc w:val="both"/>
        <w:rPr>
          <w:rFonts w:ascii="Arial" w:eastAsia="Times New Roman" w:hAnsi="Arial" w:cs="Arial"/>
          <w:sz w:val="24"/>
          <w:szCs w:val="24"/>
          <w:lang w:eastAsia="fr-FR"/>
        </w:rPr>
      </w:pPr>
      <w:r w:rsidRPr="000D2C0C">
        <w:rPr>
          <w:rFonts w:ascii="Arial" w:eastAsia="Calibri" w:hAnsi="Arial" w:cs="Arial"/>
          <w:sz w:val="24"/>
          <w:szCs w:val="24"/>
        </w:rPr>
        <w:t xml:space="preserve">The pathogen that causes soybean blight on culture medium (PDA) presents as a whitish colony (Photo </w:t>
      </w:r>
      <w:r w:rsidR="00793C02">
        <w:rPr>
          <w:rFonts w:ascii="Arial" w:eastAsia="Calibri" w:hAnsi="Arial" w:cs="Arial"/>
          <w:sz w:val="24"/>
          <w:szCs w:val="24"/>
        </w:rPr>
        <w:t>12</w:t>
      </w:r>
      <w:r w:rsidRPr="000D2C0C">
        <w:rPr>
          <w:rFonts w:ascii="Arial" w:eastAsia="Calibri" w:hAnsi="Arial" w:cs="Arial"/>
          <w:sz w:val="24"/>
          <w:szCs w:val="24"/>
        </w:rPr>
        <w:t xml:space="preserve">), with a cottony appearance and rounded ends. It occupies half of the Petri dish without staining the culture medium. In fact, the upper and lower surfaces are the same creamy-white color. Under the microscope, </w:t>
      </w:r>
      <w:r w:rsidRPr="000D2C0C">
        <w:rPr>
          <w:rFonts w:ascii="Arial" w:eastAsia="Calibri" w:hAnsi="Arial" w:cs="Arial"/>
          <w:i/>
          <w:sz w:val="24"/>
          <w:szCs w:val="24"/>
        </w:rPr>
        <w:t>Phomopsis sojae</w:t>
      </w:r>
      <w:r w:rsidRPr="000D2C0C">
        <w:rPr>
          <w:rFonts w:ascii="Arial" w:eastAsia="Calibri" w:hAnsi="Arial" w:cs="Arial"/>
          <w:sz w:val="24"/>
          <w:szCs w:val="24"/>
        </w:rPr>
        <w:t xml:space="preserve"> develops a septate mycelium (Photo </w:t>
      </w:r>
      <w:r w:rsidR="00793C02">
        <w:rPr>
          <w:rFonts w:ascii="Arial" w:eastAsia="Calibri" w:hAnsi="Arial" w:cs="Arial"/>
          <w:sz w:val="24"/>
          <w:szCs w:val="24"/>
        </w:rPr>
        <w:t>13</w:t>
      </w:r>
      <w:r w:rsidRPr="000D2C0C">
        <w:rPr>
          <w:rFonts w:ascii="Arial" w:eastAsia="Calibri" w:hAnsi="Arial" w:cs="Arial"/>
          <w:sz w:val="24"/>
          <w:szCs w:val="24"/>
        </w:rPr>
        <w:t xml:space="preserve">). The spores (Photo </w:t>
      </w:r>
      <w:r w:rsidR="00793C02">
        <w:rPr>
          <w:rFonts w:ascii="Arial" w:eastAsia="Calibri" w:hAnsi="Arial" w:cs="Arial"/>
          <w:sz w:val="24"/>
          <w:szCs w:val="24"/>
        </w:rPr>
        <w:t>14</w:t>
      </w:r>
      <w:r w:rsidRPr="000D2C0C">
        <w:rPr>
          <w:rFonts w:ascii="Arial" w:eastAsia="Calibri" w:hAnsi="Arial" w:cs="Arial"/>
          <w:sz w:val="24"/>
          <w:szCs w:val="24"/>
        </w:rPr>
        <w:t>) are hyaline and spindle-shaped.</w:t>
      </w:r>
    </w:p>
    <w:tbl>
      <w:tblPr>
        <w:tblStyle w:val="TableGrid"/>
        <w:tblW w:w="97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6"/>
      </w:tblGrid>
      <w:tr w:rsidR="00C742FF" w:rsidRPr="000D2C0C" w14:paraId="72857C07" w14:textId="77777777" w:rsidTr="00282762">
        <w:trPr>
          <w:trHeight w:val="2899"/>
          <w:jc w:val="center"/>
        </w:trPr>
        <w:tc>
          <w:tcPr>
            <w:tcW w:w="9796" w:type="dxa"/>
          </w:tcPr>
          <w:p w14:paraId="21B832BE" w14:textId="77777777" w:rsidR="00C742FF" w:rsidRPr="000D2C0C" w:rsidRDefault="00C742FF" w:rsidP="00C742FF">
            <w:pPr>
              <w:rPr>
                <w:rFonts w:ascii="Arial" w:eastAsia="Calibri" w:hAnsi="Arial" w:cs="Arial"/>
              </w:rPr>
            </w:pPr>
          </w:p>
          <w:p w14:paraId="327F560D" w14:textId="77777777" w:rsidR="00C742FF" w:rsidRPr="000D2C0C" w:rsidRDefault="00C742FF" w:rsidP="00C742FF">
            <w:pPr>
              <w:rPr>
                <w:rFonts w:ascii="Arial" w:eastAsia="Calibri" w:hAnsi="Arial" w:cs="Arial"/>
              </w:rPr>
            </w:pPr>
            <w:r w:rsidRPr="000D2C0C">
              <w:rPr>
                <w:rFonts w:ascii="Arial" w:eastAsia="Calibri" w:hAnsi="Arial" w:cs="Arial"/>
                <w:noProof/>
                <w:lang w:eastAsia="fr-FR"/>
              </w:rPr>
              <w:drawing>
                <wp:inline distT="0" distB="0" distL="0" distR="0" wp14:anchorId="54BD9811" wp14:editId="5D73494C">
                  <wp:extent cx="2925235" cy="2193925"/>
                  <wp:effectExtent l="0" t="0" r="889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5-09-23 à 17.53.43_af9e594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40774" cy="2205579"/>
                          </a:xfrm>
                          <a:prstGeom prst="rect">
                            <a:avLst/>
                          </a:prstGeom>
                        </pic:spPr>
                      </pic:pic>
                    </a:graphicData>
                  </a:graphic>
                </wp:inline>
              </w:drawing>
            </w:r>
            <w:r w:rsidRPr="000D2C0C">
              <w:rPr>
                <w:rFonts w:ascii="Arial" w:eastAsia="Calibri" w:hAnsi="Arial" w:cs="Arial"/>
              </w:rPr>
              <w:t xml:space="preserve">  </w:t>
            </w:r>
            <w:r w:rsidRPr="000D2C0C">
              <w:rPr>
                <w:rFonts w:ascii="Arial" w:eastAsia="Calibri" w:hAnsi="Arial" w:cs="Arial"/>
                <w:noProof/>
                <w:lang w:eastAsia="fr-FR"/>
              </w:rPr>
              <w:drawing>
                <wp:inline distT="0" distB="0" distL="0" distR="0" wp14:anchorId="245EFFCC" wp14:editId="5D749B36">
                  <wp:extent cx="2933700" cy="2200275"/>
                  <wp:effectExtent l="0" t="0" r="0" b="952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5-09-22 à 17.43.25_698bcd3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17420" cy="2263065"/>
                          </a:xfrm>
                          <a:prstGeom prst="rect">
                            <a:avLst/>
                          </a:prstGeom>
                        </pic:spPr>
                      </pic:pic>
                    </a:graphicData>
                  </a:graphic>
                </wp:inline>
              </w:drawing>
            </w:r>
          </w:p>
          <w:p w14:paraId="5A14FEF2" w14:textId="77777777" w:rsidR="00C742FF" w:rsidRPr="000D2C0C" w:rsidRDefault="00C742FF" w:rsidP="00C742FF">
            <w:pPr>
              <w:keepNext/>
              <w:rPr>
                <w:rFonts w:ascii="Arial" w:eastAsia="Calibri" w:hAnsi="Arial" w:cs="Arial"/>
              </w:rPr>
            </w:pPr>
          </w:p>
        </w:tc>
      </w:tr>
    </w:tbl>
    <w:p w14:paraId="05F40AE3" w14:textId="2AF771CC" w:rsidR="00C742FF" w:rsidRPr="000D2C0C" w:rsidRDefault="00C742FF" w:rsidP="00C742FF">
      <w:pPr>
        <w:spacing w:after="200" w:line="240" w:lineRule="auto"/>
        <w:jc w:val="center"/>
        <w:rPr>
          <w:rFonts w:ascii="Arial" w:eastAsia="Calibri" w:hAnsi="Arial" w:cs="Arial"/>
          <w:iCs/>
          <w:sz w:val="24"/>
          <w:szCs w:val="24"/>
        </w:rPr>
      </w:pPr>
      <w:bookmarkStart w:id="12" w:name="_Toc213322804"/>
      <w:bookmarkStart w:id="13" w:name="_Toc214234925"/>
      <w:r w:rsidRPr="000D2C0C">
        <w:rPr>
          <w:rFonts w:ascii="Arial" w:eastAsia="Calibri" w:hAnsi="Arial" w:cs="Arial"/>
          <w:b/>
          <w:iCs/>
          <w:sz w:val="24"/>
          <w:szCs w:val="24"/>
        </w:rPr>
        <w:t xml:space="preserve">Photo </w:t>
      </w:r>
      <w:proofErr w:type="gramStart"/>
      <w:r w:rsidR="00793C02">
        <w:rPr>
          <w:rFonts w:ascii="Arial" w:eastAsia="Calibri" w:hAnsi="Arial" w:cs="Arial"/>
          <w:b/>
          <w:iCs/>
          <w:sz w:val="24"/>
          <w:szCs w:val="24"/>
        </w:rPr>
        <w:t>12</w:t>
      </w:r>
      <w:r w:rsidRPr="000D2C0C">
        <w:rPr>
          <w:rFonts w:ascii="Arial" w:eastAsia="Calibri" w:hAnsi="Arial" w:cs="Arial"/>
          <w:iCs/>
          <w:sz w:val="24"/>
          <w:szCs w:val="24"/>
        </w:rPr>
        <w:t>:</w:t>
      </w:r>
      <w:proofErr w:type="gramEnd"/>
      <w:r w:rsidRPr="000D2C0C">
        <w:rPr>
          <w:rFonts w:ascii="Arial" w:eastAsia="Calibri" w:hAnsi="Arial" w:cs="Arial"/>
          <w:iCs/>
          <w:sz w:val="24"/>
          <w:szCs w:val="24"/>
        </w:rPr>
        <w:t xml:space="preserve"> </w:t>
      </w:r>
      <w:bookmarkEnd w:id="12"/>
      <w:bookmarkEnd w:id="13"/>
      <w:r w:rsidR="00FD34B6" w:rsidRPr="000D2C0C">
        <w:rPr>
          <w:rFonts w:ascii="Arial" w:eastAsia="Calibri" w:hAnsi="Arial" w:cs="Arial"/>
          <w:i/>
          <w:iCs/>
          <w:sz w:val="24"/>
          <w:szCs w:val="24"/>
        </w:rPr>
        <w:t>Phomopsis sojae on culture medium (A: upper surface), (B: lower surface)</w:t>
      </w:r>
    </w:p>
    <w:tbl>
      <w:tblPr>
        <w:tblStyle w:val="TableGrid"/>
        <w:tblW w:w="95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4566"/>
      </w:tblGrid>
      <w:tr w:rsidR="00C742FF" w:rsidRPr="000D2C0C" w14:paraId="0B3D4ACF" w14:textId="77777777" w:rsidTr="00282762">
        <w:trPr>
          <w:trHeight w:val="4274"/>
          <w:jc w:val="center"/>
        </w:trPr>
        <w:tc>
          <w:tcPr>
            <w:tcW w:w="5113" w:type="dxa"/>
          </w:tcPr>
          <w:p w14:paraId="7E526121" w14:textId="77777777" w:rsidR="00C742FF" w:rsidRPr="000D2C0C" w:rsidRDefault="00C742FF" w:rsidP="00C742FF">
            <w:pPr>
              <w:keepNext/>
              <w:rPr>
                <w:rFonts w:ascii="Arial" w:eastAsia="Calibri" w:hAnsi="Arial" w:cs="Arial"/>
              </w:rPr>
            </w:pPr>
            <w:r w:rsidRPr="000D2C0C">
              <w:rPr>
                <w:rFonts w:ascii="Arial" w:eastAsia="Calibri" w:hAnsi="Arial" w:cs="Arial"/>
                <w:noProof/>
                <w:lang w:eastAsia="fr-FR"/>
              </w:rPr>
              <w:drawing>
                <wp:inline distT="0" distB="0" distL="0" distR="0" wp14:anchorId="5B5C6CD9" wp14:editId="6BC0C5E4">
                  <wp:extent cx="3171503" cy="2738339"/>
                  <wp:effectExtent l="0" t="0" r="0" b="508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51202" cy="2807153"/>
                          </a:xfrm>
                          <a:prstGeom prst="rect">
                            <a:avLst/>
                          </a:prstGeom>
                          <a:noFill/>
                          <a:ln>
                            <a:noFill/>
                          </a:ln>
                        </pic:spPr>
                      </pic:pic>
                    </a:graphicData>
                  </a:graphic>
                </wp:inline>
              </w:drawing>
            </w:r>
          </w:p>
          <w:p w14:paraId="396537CF" w14:textId="62E14D4C" w:rsidR="00C742FF" w:rsidRPr="000D2C0C" w:rsidRDefault="00C742FF" w:rsidP="00C742FF">
            <w:pPr>
              <w:spacing w:after="200"/>
              <w:jc w:val="center"/>
              <w:rPr>
                <w:rFonts w:ascii="Arial" w:eastAsia="Calibri" w:hAnsi="Arial" w:cs="Arial"/>
                <w:iCs/>
              </w:rPr>
            </w:pPr>
            <w:bookmarkStart w:id="14" w:name="_Toc213322805"/>
            <w:bookmarkStart w:id="15" w:name="_Toc214234926"/>
            <w:r w:rsidRPr="000D2C0C">
              <w:rPr>
                <w:rFonts w:ascii="Arial" w:eastAsia="Calibri" w:hAnsi="Arial" w:cs="Arial"/>
                <w:b/>
                <w:iCs/>
              </w:rPr>
              <w:t xml:space="preserve">Photo </w:t>
            </w:r>
            <w:proofErr w:type="gramStart"/>
            <w:r w:rsidR="00793C02">
              <w:rPr>
                <w:rFonts w:ascii="Arial" w:eastAsia="Calibri" w:hAnsi="Arial" w:cs="Arial"/>
                <w:b/>
                <w:iCs/>
              </w:rPr>
              <w:t>13</w:t>
            </w:r>
            <w:r w:rsidRPr="000D2C0C">
              <w:rPr>
                <w:rFonts w:ascii="Arial" w:eastAsia="Calibri" w:hAnsi="Arial" w:cs="Arial"/>
                <w:iCs/>
              </w:rPr>
              <w:t>:</w:t>
            </w:r>
            <w:proofErr w:type="gramEnd"/>
            <w:r w:rsidRPr="000D2C0C">
              <w:rPr>
                <w:rFonts w:ascii="Arial" w:eastAsia="Calibri" w:hAnsi="Arial" w:cs="Arial"/>
                <w:iCs/>
              </w:rPr>
              <w:t xml:space="preserve"> </w:t>
            </w:r>
            <w:r w:rsidR="00FD34B6" w:rsidRPr="000D2C0C">
              <w:rPr>
                <w:rFonts w:ascii="Arial" w:eastAsia="Calibri" w:hAnsi="Arial" w:cs="Arial"/>
                <w:i/>
                <w:iCs/>
              </w:rPr>
              <w:t>Phomopsis sojae</w:t>
            </w:r>
            <w:r w:rsidR="00FD34B6" w:rsidRPr="000D2C0C">
              <w:rPr>
                <w:rFonts w:ascii="Arial" w:eastAsia="Calibri" w:hAnsi="Arial" w:cs="Arial"/>
                <w:iCs/>
              </w:rPr>
              <w:t xml:space="preserve"> spores </w:t>
            </w:r>
            <w:r w:rsidRPr="000D2C0C">
              <w:rPr>
                <w:rFonts w:ascii="Arial" w:eastAsia="Calibri" w:hAnsi="Arial" w:cs="Arial"/>
                <w:iCs/>
              </w:rPr>
              <w:t>(G X 40)</w:t>
            </w:r>
            <w:bookmarkEnd w:id="14"/>
            <w:bookmarkEnd w:id="15"/>
          </w:p>
        </w:tc>
        <w:tc>
          <w:tcPr>
            <w:tcW w:w="4481" w:type="dxa"/>
          </w:tcPr>
          <w:p w14:paraId="7B1ACDBF" w14:textId="77777777" w:rsidR="00C742FF" w:rsidRPr="000D2C0C" w:rsidRDefault="00C742FF" w:rsidP="00C742FF">
            <w:pPr>
              <w:keepNext/>
              <w:rPr>
                <w:rFonts w:ascii="Arial" w:eastAsia="Calibri" w:hAnsi="Arial" w:cs="Arial"/>
              </w:rPr>
            </w:pPr>
            <w:r w:rsidRPr="000D2C0C">
              <w:rPr>
                <w:rFonts w:ascii="Arial" w:eastAsia="Calibri" w:hAnsi="Arial" w:cs="Arial"/>
                <w:noProof/>
                <w:lang w:eastAsia="fr-FR"/>
              </w:rPr>
              <w:drawing>
                <wp:inline distT="0" distB="0" distL="0" distR="0" wp14:anchorId="43D0F3EA" wp14:editId="422A1F1D">
                  <wp:extent cx="2752725" cy="2738120"/>
                  <wp:effectExtent l="0" t="0" r="9525" b="5080"/>
                  <wp:docPr id="16" name="Image 16"/>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52725" cy="2738120"/>
                          </a:xfrm>
                          <a:prstGeom prst="rect">
                            <a:avLst/>
                          </a:prstGeom>
                          <a:noFill/>
                          <a:ln>
                            <a:noFill/>
                          </a:ln>
                        </pic:spPr>
                      </pic:pic>
                    </a:graphicData>
                  </a:graphic>
                </wp:inline>
              </w:drawing>
            </w:r>
          </w:p>
          <w:p w14:paraId="4E541883" w14:textId="062B9E8B" w:rsidR="00C742FF" w:rsidRPr="000D2C0C" w:rsidRDefault="00C742FF" w:rsidP="00C742FF">
            <w:pPr>
              <w:spacing w:after="200"/>
              <w:jc w:val="center"/>
              <w:rPr>
                <w:rFonts w:ascii="Arial" w:eastAsia="Calibri" w:hAnsi="Arial" w:cs="Arial"/>
                <w:iCs/>
              </w:rPr>
            </w:pPr>
            <w:bookmarkStart w:id="16" w:name="_Toc213322806"/>
            <w:bookmarkStart w:id="17" w:name="_Toc214234927"/>
            <w:r w:rsidRPr="000D2C0C">
              <w:rPr>
                <w:rFonts w:ascii="Arial" w:eastAsia="Calibri" w:hAnsi="Arial" w:cs="Arial"/>
                <w:b/>
                <w:iCs/>
              </w:rPr>
              <w:t xml:space="preserve">Photo </w:t>
            </w:r>
            <w:proofErr w:type="gramStart"/>
            <w:r w:rsidRPr="000D2C0C">
              <w:rPr>
                <w:rFonts w:ascii="Arial" w:eastAsia="Calibri" w:hAnsi="Arial" w:cs="Arial"/>
                <w:b/>
                <w:iCs/>
              </w:rPr>
              <w:t>1</w:t>
            </w:r>
            <w:r w:rsidR="00793C02">
              <w:rPr>
                <w:rFonts w:ascii="Arial" w:eastAsia="Calibri" w:hAnsi="Arial" w:cs="Arial"/>
                <w:b/>
                <w:iCs/>
              </w:rPr>
              <w:t>4</w:t>
            </w:r>
            <w:r w:rsidRPr="000D2C0C">
              <w:rPr>
                <w:rFonts w:ascii="Arial" w:eastAsia="Calibri" w:hAnsi="Arial" w:cs="Arial"/>
                <w:iCs/>
              </w:rPr>
              <w:t>:</w:t>
            </w:r>
            <w:proofErr w:type="gramEnd"/>
            <w:r w:rsidRPr="000D2C0C">
              <w:rPr>
                <w:rFonts w:ascii="Arial" w:eastAsia="Calibri" w:hAnsi="Arial" w:cs="Arial"/>
                <w:iCs/>
              </w:rPr>
              <w:t xml:space="preserve"> </w:t>
            </w:r>
            <w:r w:rsidR="00FD34B6" w:rsidRPr="000D2C0C">
              <w:rPr>
                <w:rFonts w:ascii="Arial" w:eastAsia="Calibri" w:hAnsi="Arial" w:cs="Arial"/>
                <w:i/>
                <w:iCs/>
              </w:rPr>
              <w:t>Phomopsis soya</w:t>
            </w:r>
            <w:r w:rsidR="00FD34B6" w:rsidRPr="000D2C0C">
              <w:rPr>
                <w:rFonts w:ascii="Arial" w:eastAsia="Calibri" w:hAnsi="Arial" w:cs="Arial"/>
                <w:iCs/>
              </w:rPr>
              <w:t xml:space="preserve"> mycelium (G X 100)</w:t>
            </w:r>
            <w:bookmarkEnd w:id="16"/>
            <w:bookmarkEnd w:id="17"/>
          </w:p>
        </w:tc>
      </w:tr>
    </w:tbl>
    <w:p w14:paraId="496BAC48" w14:textId="77777777" w:rsidR="00C742FF" w:rsidRPr="000D2C0C" w:rsidRDefault="00C742FF" w:rsidP="00C742FF">
      <w:pPr>
        <w:contextualSpacing/>
        <w:outlineLvl w:val="2"/>
        <w:rPr>
          <w:rFonts w:ascii="Arial" w:eastAsia="Calibri" w:hAnsi="Arial" w:cs="Arial"/>
          <w:sz w:val="24"/>
          <w:szCs w:val="24"/>
        </w:rPr>
      </w:pPr>
      <w:bookmarkStart w:id="18" w:name="_Toc213284673"/>
      <w:bookmarkStart w:id="19" w:name="_Toc214234494"/>
    </w:p>
    <w:bookmarkEnd w:id="18"/>
    <w:bookmarkEnd w:id="19"/>
    <w:p w14:paraId="42BD3221" w14:textId="77777777" w:rsidR="00FD34B6" w:rsidRPr="000D2C0C" w:rsidRDefault="00FD34B6" w:rsidP="00FD34B6">
      <w:pPr>
        <w:spacing w:before="100" w:beforeAutospacing="1" w:after="100" w:afterAutospacing="1" w:line="360" w:lineRule="auto"/>
        <w:jc w:val="both"/>
        <w:rPr>
          <w:rFonts w:ascii="Arial" w:eastAsia="Calibri" w:hAnsi="Arial" w:cs="Arial"/>
          <w:b/>
          <w:sz w:val="24"/>
          <w:szCs w:val="24"/>
        </w:rPr>
      </w:pPr>
      <w:r w:rsidRPr="000D2C0C">
        <w:rPr>
          <w:rFonts w:ascii="Arial" w:eastAsia="Calibri" w:hAnsi="Arial" w:cs="Arial"/>
          <w:b/>
          <w:sz w:val="24"/>
          <w:szCs w:val="24"/>
        </w:rPr>
        <w:t>Sclerotinia infection</w:t>
      </w:r>
    </w:p>
    <w:p w14:paraId="6F38EC02" w14:textId="30F6A4DC" w:rsidR="00C742FF" w:rsidRPr="000D2C0C" w:rsidRDefault="00FD34B6" w:rsidP="00FD34B6">
      <w:pPr>
        <w:spacing w:before="100" w:beforeAutospacing="1" w:after="100" w:afterAutospacing="1" w:line="360" w:lineRule="auto"/>
        <w:jc w:val="both"/>
        <w:rPr>
          <w:rFonts w:ascii="Arial" w:eastAsia="Times New Roman" w:hAnsi="Arial" w:cs="Arial"/>
          <w:sz w:val="24"/>
          <w:szCs w:val="24"/>
          <w:lang w:eastAsia="fr-FR"/>
        </w:rPr>
      </w:pPr>
      <w:r w:rsidRPr="000D2C0C">
        <w:rPr>
          <w:rFonts w:ascii="Arial" w:eastAsia="Calibri" w:hAnsi="Arial" w:cs="Arial"/>
          <w:sz w:val="24"/>
          <w:szCs w:val="24"/>
        </w:rPr>
        <w:lastRenderedPageBreak/>
        <w:t>The fungus develops a brownish colony (Photo 1</w:t>
      </w:r>
      <w:r w:rsidR="00793C02">
        <w:rPr>
          <w:rFonts w:ascii="Arial" w:eastAsia="Calibri" w:hAnsi="Arial" w:cs="Arial"/>
          <w:sz w:val="24"/>
          <w:szCs w:val="24"/>
        </w:rPr>
        <w:t>5</w:t>
      </w:r>
      <w:r w:rsidRPr="000D2C0C">
        <w:rPr>
          <w:rFonts w:ascii="Arial" w:eastAsia="Calibri" w:hAnsi="Arial" w:cs="Arial"/>
          <w:sz w:val="24"/>
          <w:szCs w:val="24"/>
        </w:rPr>
        <w:t>) on the Petri dish. It has a filamentous appearance with a creamy center. The upper surface is brown and the lower surface black with a whitish center. Sclerotinia sclerotiorum has a septate (Photo 1</w:t>
      </w:r>
      <w:r w:rsidR="00793C02">
        <w:rPr>
          <w:rFonts w:ascii="Arial" w:eastAsia="Calibri" w:hAnsi="Arial" w:cs="Arial"/>
          <w:sz w:val="24"/>
          <w:szCs w:val="24"/>
        </w:rPr>
        <w:t>6</w:t>
      </w:r>
      <w:r w:rsidRPr="000D2C0C">
        <w:rPr>
          <w:rFonts w:ascii="Arial" w:eastAsia="Calibri" w:hAnsi="Arial" w:cs="Arial"/>
          <w:sz w:val="24"/>
          <w:szCs w:val="24"/>
        </w:rPr>
        <w:t>), hyaline, and abundant mycelium that branches within the infected tissues. The spores (Photo 1</w:t>
      </w:r>
      <w:r w:rsidR="00793C02">
        <w:rPr>
          <w:rFonts w:ascii="Arial" w:eastAsia="Calibri" w:hAnsi="Arial" w:cs="Arial"/>
          <w:sz w:val="24"/>
          <w:szCs w:val="24"/>
        </w:rPr>
        <w:t>7</w:t>
      </w:r>
      <w:r w:rsidRPr="000D2C0C">
        <w:rPr>
          <w:rFonts w:ascii="Arial" w:eastAsia="Calibri" w:hAnsi="Arial" w:cs="Arial"/>
          <w:sz w:val="24"/>
          <w:szCs w:val="24"/>
        </w:rPr>
        <w:t>) are unicellular and ellipsoidal.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6"/>
      </w:tblGrid>
      <w:tr w:rsidR="00C742FF" w:rsidRPr="000D2C0C" w14:paraId="562EE4B9" w14:textId="77777777" w:rsidTr="00282762">
        <w:trPr>
          <w:trHeight w:val="5790"/>
          <w:jc w:val="center"/>
        </w:trPr>
        <w:tc>
          <w:tcPr>
            <w:tcW w:w="9046" w:type="dxa"/>
          </w:tcPr>
          <w:p w14:paraId="75C308A0" w14:textId="77777777" w:rsidR="00C742FF" w:rsidRPr="000D2C0C" w:rsidRDefault="00C742FF" w:rsidP="00C742FF">
            <w:pPr>
              <w:keepNext/>
              <w:spacing w:before="100" w:beforeAutospacing="1" w:after="100" w:afterAutospacing="1"/>
              <w:rPr>
                <w:rFonts w:ascii="Arial" w:eastAsia="Times New Roman" w:hAnsi="Arial" w:cs="Arial"/>
                <w:lang w:eastAsia="fr-FR"/>
              </w:rPr>
            </w:pPr>
            <w:r w:rsidRPr="000D2C0C">
              <w:rPr>
                <w:rFonts w:ascii="Arial" w:eastAsia="Calibri" w:hAnsi="Arial" w:cs="Arial"/>
                <w:noProof/>
                <w:lang w:eastAsia="fr-FR"/>
              </w:rPr>
              <w:drawing>
                <wp:inline distT="0" distB="0" distL="0" distR="0" wp14:anchorId="64F883D5" wp14:editId="60605C46">
                  <wp:extent cx="2449002" cy="3265336"/>
                  <wp:effectExtent l="0" t="0" r="889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5-09-22 à 17.52.02_7555a67b.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53692" cy="3271589"/>
                          </a:xfrm>
                          <a:prstGeom prst="rect">
                            <a:avLst/>
                          </a:prstGeom>
                        </pic:spPr>
                      </pic:pic>
                    </a:graphicData>
                  </a:graphic>
                </wp:inline>
              </w:drawing>
            </w:r>
            <w:r w:rsidRPr="000D2C0C">
              <w:rPr>
                <w:rFonts w:ascii="Arial" w:eastAsia="Times New Roman" w:hAnsi="Arial" w:cs="Arial"/>
                <w:lang w:eastAsia="fr-FR"/>
              </w:rPr>
              <w:t xml:space="preserve"> </w:t>
            </w:r>
            <w:r w:rsidRPr="000D2C0C">
              <w:rPr>
                <w:rFonts w:ascii="Arial" w:eastAsia="Calibri" w:hAnsi="Arial" w:cs="Arial"/>
                <w:noProof/>
                <w:lang w:eastAsia="fr-FR"/>
              </w:rPr>
              <w:drawing>
                <wp:inline distT="0" distB="0" distL="0" distR="0" wp14:anchorId="21466A26" wp14:editId="58AC2DA8">
                  <wp:extent cx="2450989" cy="3267986"/>
                  <wp:effectExtent l="0" t="0" r="6985" b="889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5-09-22 à 17.52.02_87631b7d.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68832" cy="3291776"/>
                          </a:xfrm>
                          <a:prstGeom prst="rect">
                            <a:avLst/>
                          </a:prstGeom>
                        </pic:spPr>
                      </pic:pic>
                    </a:graphicData>
                  </a:graphic>
                </wp:inline>
              </w:drawing>
            </w:r>
          </w:p>
        </w:tc>
      </w:tr>
    </w:tbl>
    <w:p w14:paraId="60097E1F" w14:textId="66ACF2AE" w:rsidR="00C742FF" w:rsidRPr="000D2C0C" w:rsidRDefault="00C742FF" w:rsidP="00C742FF">
      <w:pPr>
        <w:spacing w:after="200" w:line="240" w:lineRule="auto"/>
        <w:jc w:val="center"/>
        <w:rPr>
          <w:rFonts w:ascii="Arial" w:eastAsia="Calibri" w:hAnsi="Arial" w:cs="Arial"/>
          <w:iCs/>
          <w:sz w:val="24"/>
          <w:szCs w:val="24"/>
        </w:rPr>
      </w:pPr>
      <w:bookmarkStart w:id="20" w:name="_Toc213322807"/>
      <w:bookmarkStart w:id="21" w:name="_Toc214234928"/>
      <w:r w:rsidRPr="000D2C0C">
        <w:rPr>
          <w:rFonts w:ascii="Arial" w:eastAsia="Calibri" w:hAnsi="Arial" w:cs="Arial"/>
          <w:b/>
          <w:iCs/>
          <w:sz w:val="24"/>
          <w:szCs w:val="24"/>
        </w:rPr>
        <w:t xml:space="preserve">Photo </w:t>
      </w:r>
      <w:proofErr w:type="gramStart"/>
      <w:r w:rsidRPr="000D2C0C">
        <w:rPr>
          <w:rFonts w:ascii="Arial" w:eastAsia="Calibri" w:hAnsi="Arial" w:cs="Arial"/>
          <w:b/>
          <w:iCs/>
          <w:sz w:val="24"/>
          <w:szCs w:val="24"/>
        </w:rPr>
        <w:t>1</w:t>
      </w:r>
      <w:r w:rsidR="00793C02">
        <w:rPr>
          <w:rFonts w:ascii="Arial" w:eastAsia="Calibri" w:hAnsi="Arial" w:cs="Arial"/>
          <w:b/>
          <w:iCs/>
          <w:sz w:val="24"/>
          <w:szCs w:val="24"/>
        </w:rPr>
        <w:t>5</w:t>
      </w:r>
      <w:r w:rsidRPr="000D2C0C">
        <w:rPr>
          <w:rFonts w:ascii="Arial" w:eastAsia="Calibri" w:hAnsi="Arial" w:cs="Arial"/>
          <w:iCs/>
          <w:sz w:val="24"/>
          <w:szCs w:val="24"/>
        </w:rPr>
        <w:t>:</w:t>
      </w:r>
      <w:proofErr w:type="gramEnd"/>
      <w:r w:rsidRPr="000D2C0C">
        <w:rPr>
          <w:rFonts w:ascii="Arial" w:eastAsia="Calibri" w:hAnsi="Arial" w:cs="Arial"/>
          <w:iCs/>
          <w:sz w:val="24"/>
          <w:szCs w:val="24"/>
        </w:rPr>
        <w:t xml:space="preserve"> </w:t>
      </w:r>
      <w:bookmarkEnd w:id="20"/>
      <w:bookmarkEnd w:id="21"/>
      <w:r w:rsidR="00FD34B6" w:rsidRPr="000D2C0C">
        <w:rPr>
          <w:rFonts w:ascii="Arial" w:eastAsia="Calibri" w:hAnsi="Arial" w:cs="Arial"/>
          <w:i/>
          <w:iCs/>
          <w:sz w:val="24"/>
          <w:szCs w:val="24"/>
        </w:rPr>
        <w:t>Sclerotinia sclerotiorum on culture medium (A: upper surface), (B: lower surface)</w:t>
      </w:r>
    </w:p>
    <w:tbl>
      <w:tblPr>
        <w:tblStyle w:val="TableGrid"/>
        <w:tblW w:w="93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824"/>
      </w:tblGrid>
      <w:tr w:rsidR="00C742FF" w:rsidRPr="000D2C0C" w14:paraId="5EEDAA4C" w14:textId="77777777" w:rsidTr="00282762">
        <w:trPr>
          <w:trHeight w:val="4998"/>
          <w:jc w:val="center"/>
        </w:trPr>
        <w:tc>
          <w:tcPr>
            <w:tcW w:w="4068" w:type="dxa"/>
          </w:tcPr>
          <w:p w14:paraId="67386132" w14:textId="77777777" w:rsidR="00C742FF" w:rsidRPr="000D2C0C" w:rsidRDefault="00C742FF" w:rsidP="00C742FF">
            <w:pPr>
              <w:rPr>
                <w:rFonts w:ascii="Arial" w:eastAsia="Calibri" w:hAnsi="Arial" w:cs="Arial"/>
              </w:rPr>
            </w:pPr>
            <w:r w:rsidRPr="000D2C0C">
              <w:rPr>
                <w:rFonts w:ascii="Arial" w:eastAsia="Calibri" w:hAnsi="Arial" w:cs="Arial"/>
                <w:noProof/>
                <w:lang w:eastAsia="fr-FR"/>
              </w:rPr>
              <w:drawing>
                <wp:inline distT="0" distB="0" distL="0" distR="0" wp14:anchorId="61A8204A" wp14:editId="09EB8FD4">
                  <wp:extent cx="2705100" cy="2684780"/>
                  <wp:effectExtent l="0" t="0" r="0" b="127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05202" cy="2684881"/>
                          </a:xfrm>
                          <a:prstGeom prst="rect">
                            <a:avLst/>
                          </a:prstGeom>
                          <a:noFill/>
                          <a:ln>
                            <a:noFill/>
                          </a:ln>
                        </pic:spPr>
                      </pic:pic>
                    </a:graphicData>
                  </a:graphic>
                </wp:inline>
              </w:drawing>
            </w:r>
          </w:p>
          <w:p w14:paraId="78F5B79E" w14:textId="1D1ECD1D" w:rsidR="00C742FF" w:rsidRPr="000D2C0C" w:rsidRDefault="00C742FF" w:rsidP="00C742FF">
            <w:pPr>
              <w:rPr>
                <w:rFonts w:ascii="Arial" w:eastAsia="Calibri" w:hAnsi="Arial" w:cs="Arial"/>
              </w:rPr>
            </w:pPr>
            <w:bookmarkStart w:id="22" w:name="_Toc213322808"/>
            <w:bookmarkStart w:id="23" w:name="_Toc214234929"/>
            <w:r w:rsidRPr="000D2C0C">
              <w:rPr>
                <w:rFonts w:ascii="Arial" w:eastAsia="Calibri" w:hAnsi="Arial" w:cs="Arial"/>
                <w:b/>
              </w:rPr>
              <w:t xml:space="preserve">Photo </w:t>
            </w:r>
            <w:proofErr w:type="gramStart"/>
            <w:r w:rsidRPr="000D2C0C">
              <w:rPr>
                <w:rFonts w:ascii="Arial" w:eastAsia="Calibri" w:hAnsi="Arial" w:cs="Arial"/>
                <w:b/>
              </w:rPr>
              <w:t>1</w:t>
            </w:r>
            <w:r w:rsidR="00793C02">
              <w:rPr>
                <w:rFonts w:ascii="Arial" w:eastAsia="Calibri" w:hAnsi="Arial" w:cs="Arial"/>
                <w:b/>
              </w:rPr>
              <w:t>6</w:t>
            </w:r>
            <w:r w:rsidRPr="000D2C0C">
              <w:rPr>
                <w:rFonts w:ascii="Arial" w:eastAsia="Calibri" w:hAnsi="Arial" w:cs="Arial"/>
                <w:i/>
              </w:rPr>
              <w:t>:</w:t>
            </w:r>
            <w:proofErr w:type="gramEnd"/>
            <w:r w:rsidRPr="000D2C0C">
              <w:rPr>
                <w:rFonts w:ascii="Arial" w:eastAsia="Calibri" w:hAnsi="Arial" w:cs="Arial"/>
              </w:rPr>
              <w:t xml:space="preserve"> </w:t>
            </w:r>
            <w:r w:rsidR="00FD34B6" w:rsidRPr="000D2C0C">
              <w:rPr>
                <w:rFonts w:ascii="Arial" w:eastAsia="Calibri" w:hAnsi="Arial" w:cs="Arial"/>
              </w:rPr>
              <w:t xml:space="preserve">Mycelium of </w:t>
            </w:r>
            <w:r w:rsidR="00FD34B6" w:rsidRPr="000D2C0C">
              <w:rPr>
                <w:rFonts w:ascii="Arial" w:eastAsia="Calibri" w:hAnsi="Arial" w:cs="Arial"/>
                <w:i/>
              </w:rPr>
              <w:t>Sclerotinia sclerotiorum</w:t>
            </w:r>
            <w:r w:rsidR="00FD34B6" w:rsidRPr="000D2C0C">
              <w:rPr>
                <w:rFonts w:ascii="Arial" w:eastAsia="Calibri" w:hAnsi="Arial" w:cs="Arial"/>
              </w:rPr>
              <w:t xml:space="preserve"> (G x 100)</w:t>
            </w:r>
            <w:bookmarkEnd w:id="22"/>
            <w:bookmarkEnd w:id="23"/>
          </w:p>
        </w:tc>
        <w:tc>
          <w:tcPr>
            <w:tcW w:w="5232" w:type="dxa"/>
          </w:tcPr>
          <w:p w14:paraId="05921D4A" w14:textId="77777777" w:rsidR="00C742FF" w:rsidRPr="000D2C0C" w:rsidRDefault="00C742FF" w:rsidP="00C742FF">
            <w:pPr>
              <w:rPr>
                <w:rFonts w:ascii="Arial" w:eastAsia="Calibri" w:hAnsi="Arial" w:cs="Arial"/>
              </w:rPr>
            </w:pPr>
            <w:r w:rsidRPr="000D2C0C">
              <w:rPr>
                <w:rFonts w:ascii="Arial" w:eastAsia="Calibri" w:hAnsi="Arial" w:cs="Arial"/>
                <w:noProof/>
                <w:lang w:eastAsia="fr-FR"/>
              </w:rPr>
              <w:drawing>
                <wp:inline distT="0" distB="0" distL="0" distR="0" wp14:anchorId="2CF95C6F" wp14:editId="755BCC70">
                  <wp:extent cx="2790825" cy="2684145"/>
                  <wp:effectExtent l="0" t="0" r="9525" b="190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94865" cy="2688031"/>
                          </a:xfrm>
                          <a:prstGeom prst="rect">
                            <a:avLst/>
                          </a:prstGeom>
                          <a:noFill/>
                          <a:ln>
                            <a:noFill/>
                          </a:ln>
                        </pic:spPr>
                      </pic:pic>
                    </a:graphicData>
                  </a:graphic>
                </wp:inline>
              </w:drawing>
            </w:r>
          </w:p>
          <w:p w14:paraId="517A6125" w14:textId="151BF595" w:rsidR="00C742FF" w:rsidRPr="000D2C0C" w:rsidRDefault="00C742FF" w:rsidP="00C742FF">
            <w:pPr>
              <w:rPr>
                <w:rFonts w:ascii="Arial" w:eastAsia="Calibri" w:hAnsi="Arial" w:cs="Arial"/>
              </w:rPr>
            </w:pPr>
            <w:bookmarkStart w:id="24" w:name="_Toc213322809"/>
            <w:bookmarkStart w:id="25" w:name="_Toc214234930"/>
            <w:r w:rsidRPr="000D2C0C">
              <w:rPr>
                <w:rFonts w:ascii="Arial" w:eastAsia="Calibri" w:hAnsi="Arial" w:cs="Arial"/>
                <w:b/>
              </w:rPr>
              <w:t xml:space="preserve">Photo </w:t>
            </w:r>
            <w:proofErr w:type="gramStart"/>
            <w:r w:rsidRPr="000D2C0C">
              <w:rPr>
                <w:rFonts w:ascii="Arial" w:eastAsia="Calibri" w:hAnsi="Arial" w:cs="Arial"/>
                <w:b/>
              </w:rPr>
              <w:t>1</w:t>
            </w:r>
            <w:r w:rsidR="00793C02">
              <w:rPr>
                <w:rFonts w:ascii="Arial" w:eastAsia="Calibri" w:hAnsi="Arial" w:cs="Arial"/>
                <w:b/>
              </w:rPr>
              <w:t>7</w:t>
            </w:r>
            <w:r w:rsidRPr="000D2C0C">
              <w:rPr>
                <w:rFonts w:ascii="Arial" w:eastAsia="Calibri" w:hAnsi="Arial" w:cs="Arial"/>
                <w:i/>
              </w:rPr>
              <w:t>:</w:t>
            </w:r>
            <w:proofErr w:type="gramEnd"/>
            <w:r w:rsidRPr="000D2C0C">
              <w:rPr>
                <w:rFonts w:ascii="Arial" w:eastAsia="Calibri" w:hAnsi="Arial" w:cs="Arial"/>
                <w:i/>
              </w:rPr>
              <w:t xml:space="preserve"> </w:t>
            </w:r>
            <w:r w:rsidR="00FD34B6" w:rsidRPr="000D2C0C">
              <w:rPr>
                <w:rFonts w:ascii="Arial" w:eastAsia="Calibri" w:hAnsi="Arial" w:cs="Arial"/>
                <w:i/>
              </w:rPr>
              <w:t>Sclerotinia sclerotiorum</w:t>
            </w:r>
            <w:r w:rsidR="00FD34B6" w:rsidRPr="000D2C0C">
              <w:rPr>
                <w:rFonts w:ascii="Arial" w:eastAsia="Calibri" w:hAnsi="Arial" w:cs="Arial"/>
              </w:rPr>
              <w:t xml:space="preserve"> spores (G x 100)</w:t>
            </w:r>
            <w:bookmarkEnd w:id="24"/>
            <w:bookmarkEnd w:id="25"/>
          </w:p>
        </w:tc>
      </w:tr>
    </w:tbl>
    <w:p w14:paraId="5EAB07FD" w14:textId="77777777" w:rsidR="00C742FF" w:rsidRPr="000D2C0C" w:rsidRDefault="00C742FF" w:rsidP="00C742FF">
      <w:pPr>
        <w:rPr>
          <w:rFonts w:ascii="Arial" w:eastAsia="Calibri" w:hAnsi="Arial" w:cs="Arial"/>
          <w:sz w:val="24"/>
          <w:szCs w:val="24"/>
        </w:rPr>
      </w:pPr>
    </w:p>
    <w:p w14:paraId="625E61B4" w14:textId="77777777" w:rsidR="00C742FF" w:rsidRPr="000D2C0C" w:rsidRDefault="00C742FF" w:rsidP="00C742FF">
      <w:pPr>
        <w:contextualSpacing/>
        <w:outlineLvl w:val="2"/>
        <w:rPr>
          <w:rFonts w:ascii="Arial" w:eastAsia="Calibri" w:hAnsi="Arial" w:cs="Arial"/>
          <w:b/>
          <w:sz w:val="24"/>
          <w:szCs w:val="24"/>
        </w:rPr>
      </w:pPr>
      <w:bookmarkStart w:id="26" w:name="_Toc213284674"/>
      <w:bookmarkStart w:id="27" w:name="_Toc214234495"/>
    </w:p>
    <w:p w14:paraId="59D72CB3" w14:textId="77777777" w:rsidR="00C742FF" w:rsidRPr="000D2C0C" w:rsidRDefault="00C742FF" w:rsidP="00C742FF">
      <w:pPr>
        <w:contextualSpacing/>
        <w:outlineLvl w:val="2"/>
        <w:rPr>
          <w:rFonts w:ascii="Arial" w:eastAsia="Calibri" w:hAnsi="Arial" w:cs="Arial"/>
          <w:b/>
          <w:sz w:val="24"/>
          <w:szCs w:val="24"/>
        </w:rPr>
      </w:pPr>
    </w:p>
    <w:p w14:paraId="2EDAC7F7" w14:textId="77777777" w:rsidR="00C742FF" w:rsidRPr="000D2C0C" w:rsidRDefault="00C742FF" w:rsidP="00C742FF">
      <w:pPr>
        <w:contextualSpacing/>
        <w:outlineLvl w:val="2"/>
        <w:rPr>
          <w:rFonts w:ascii="Arial" w:eastAsia="Calibri" w:hAnsi="Arial" w:cs="Arial"/>
          <w:b/>
          <w:sz w:val="24"/>
          <w:szCs w:val="24"/>
        </w:rPr>
      </w:pPr>
    </w:p>
    <w:bookmarkEnd w:id="26"/>
    <w:bookmarkEnd w:id="27"/>
    <w:p w14:paraId="1A3608A7" w14:textId="77777777" w:rsidR="00FD34B6" w:rsidRPr="000D2C0C" w:rsidRDefault="00FD34B6" w:rsidP="00C742FF">
      <w:pPr>
        <w:spacing w:before="100" w:beforeAutospacing="1" w:after="100" w:afterAutospacing="1" w:line="360" w:lineRule="auto"/>
        <w:jc w:val="both"/>
        <w:rPr>
          <w:rFonts w:ascii="Arial" w:eastAsia="Calibri" w:hAnsi="Arial" w:cs="Arial"/>
          <w:b/>
          <w:sz w:val="24"/>
          <w:szCs w:val="24"/>
        </w:rPr>
      </w:pPr>
      <w:r w:rsidRPr="000D2C0C">
        <w:rPr>
          <w:rFonts w:ascii="Arial" w:eastAsia="Calibri" w:hAnsi="Arial" w:cs="Arial"/>
          <w:b/>
          <w:sz w:val="24"/>
          <w:szCs w:val="24"/>
        </w:rPr>
        <w:t>Brown stem rot</w:t>
      </w:r>
    </w:p>
    <w:p w14:paraId="25F6B1CE" w14:textId="1C7A53A7" w:rsidR="00C742FF" w:rsidRPr="000D2C0C" w:rsidRDefault="00FD34B6" w:rsidP="00C742FF">
      <w:pPr>
        <w:spacing w:before="100" w:beforeAutospacing="1" w:after="100" w:afterAutospacing="1" w:line="360" w:lineRule="auto"/>
        <w:jc w:val="both"/>
        <w:rPr>
          <w:rFonts w:ascii="Arial" w:eastAsia="Times New Roman" w:hAnsi="Arial" w:cs="Arial"/>
          <w:sz w:val="24"/>
          <w:szCs w:val="24"/>
          <w:lang w:eastAsia="fr-FR"/>
        </w:rPr>
      </w:pPr>
      <w:r w:rsidRPr="000D2C0C">
        <w:rPr>
          <w:rFonts w:ascii="Arial" w:eastAsia="Calibri" w:hAnsi="Arial" w:cs="Arial"/>
          <w:i/>
          <w:iCs/>
          <w:sz w:val="24"/>
          <w:szCs w:val="24"/>
        </w:rPr>
        <w:t>Phialophora gregata</w:t>
      </w:r>
      <w:r w:rsidRPr="000D2C0C">
        <w:rPr>
          <w:rFonts w:ascii="Arial" w:eastAsia="Calibri" w:hAnsi="Arial" w:cs="Arial"/>
          <w:iCs/>
          <w:sz w:val="24"/>
          <w:szCs w:val="24"/>
        </w:rPr>
        <w:t>, when grown on culture medium, develops a black colony (Photo 1</w:t>
      </w:r>
      <w:r w:rsidR="00793C02">
        <w:rPr>
          <w:rFonts w:ascii="Arial" w:eastAsia="Calibri" w:hAnsi="Arial" w:cs="Arial"/>
          <w:iCs/>
          <w:sz w:val="24"/>
          <w:szCs w:val="24"/>
        </w:rPr>
        <w:t>8</w:t>
      </w:r>
      <w:r w:rsidRPr="000D2C0C">
        <w:rPr>
          <w:rFonts w:ascii="Arial" w:eastAsia="Calibri" w:hAnsi="Arial" w:cs="Arial"/>
          <w:iCs/>
          <w:sz w:val="24"/>
          <w:szCs w:val="24"/>
        </w:rPr>
        <w:t xml:space="preserve">) that is initially centered and then reduced to the edges. It has a cottony appearance with rounded ends, is colorless on the culture medium, and both sides are the same color. </w:t>
      </w:r>
      <w:r w:rsidRPr="000D2C0C">
        <w:rPr>
          <w:rFonts w:ascii="Arial" w:eastAsia="Calibri" w:hAnsi="Arial" w:cs="Arial"/>
          <w:i/>
          <w:iCs/>
          <w:sz w:val="24"/>
          <w:szCs w:val="24"/>
        </w:rPr>
        <w:t>Phialophora gregata</w:t>
      </w:r>
      <w:r w:rsidRPr="000D2C0C">
        <w:rPr>
          <w:rFonts w:ascii="Arial" w:eastAsia="Calibri" w:hAnsi="Arial" w:cs="Arial"/>
          <w:iCs/>
          <w:sz w:val="24"/>
          <w:szCs w:val="24"/>
        </w:rPr>
        <w:t xml:space="preserve"> is distinguished by its septate mycelium (Photo 1</w:t>
      </w:r>
      <w:r w:rsidR="00793C02">
        <w:rPr>
          <w:rFonts w:ascii="Arial" w:eastAsia="Calibri" w:hAnsi="Arial" w:cs="Arial"/>
          <w:iCs/>
          <w:sz w:val="24"/>
          <w:szCs w:val="24"/>
        </w:rPr>
        <w:t>9</w:t>
      </w:r>
      <w:r w:rsidRPr="000D2C0C">
        <w:rPr>
          <w:rFonts w:ascii="Arial" w:eastAsia="Calibri" w:hAnsi="Arial" w:cs="Arial"/>
          <w:iCs/>
          <w:sz w:val="24"/>
          <w:szCs w:val="24"/>
        </w:rPr>
        <w:t xml:space="preserve">). The spores are circular to rounded (Photo </w:t>
      </w:r>
      <w:r w:rsidR="00793C02">
        <w:rPr>
          <w:rFonts w:ascii="Arial" w:eastAsia="Calibri" w:hAnsi="Arial" w:cs="Arial"/>
          <w:iCs/>
          <w:sz w:val="24"/>
          <w:szCs w:val="24"/>
        </w:rPr>
        <w:t>20</w:t>
      </w:r>
      <w:r w:rsidRPr="000D2C0C">
        <w:rPr>
          <w:rFonts w:ascii="Arial" w:eastAsia="Calibri" w:hAnsi="Arial" w:cs="Arial"/>
          <w:iCs/>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742FF" w:rsidRPr="000D2C0C" w14:paraId="5477C8B3" w14:textId="77777777" w:rsidTr="00282762">
        <w:trPr>
          <w:jc w:val="center"/>
        </w:trPr>
        <w:tc>
          <w:tcPr>
            <w:tcW w:w="9062" w:type="dxa"/>
          </w:tcPr>
          <w:p w14:paraId="040FFC17" w14:textId="77777777" w:rsidR="00C742FF" w:rsidRPr="000D2C0C" w:rsidRDefault="00C742FF" w:rsidP="00C742FF">
            <w:pPr>
              <w:jc w:val="both"/>
              <w:rPr>
                <w:rFonts w:ascii="Arial" w:eastAsia="Calibri" w:hAnsi="Arial" w:cs="Arial"/>
              </w:rPr>
            </w:pPr>
            <w:r w:rsidRPr="000D2C0C">
              <w:rPr>
                <w:rFonts w:ascii="Arial" w:eastAsia="Calibri" w:hAnsi="Arial" w:cs="Arial"/>
                <w:noProof/>
                <w:lang w:eastAsia="fr-FR"/>
              </w:rPr>
              <w:drawing>
                <wp:inline distT="0" distB="0" distL="0" distR="0" wp14:anchorId="5DBED4C7" wp14:editId="53860CF6">
                  <wp:extent cx="2581275" cy="3441700"/>
                  <wp:effectExtent l="0" t="0" r="9525" b="635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5-09-22 à 17.54.36_ae5e915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81802" cy="3442403"/>
                          </a:xfrm>
                          <a:prstGeom prst="rect">
                            <a:avLst/>
                          </a:prstGeom>
                        </pic:spPr>
                      </pic:pic>
                    </a:graphicData>
                  </a:graphic>
                </wp:inline>
              </w:drawing>
            </w:r>
            <w:r w:rsidRPr="000D2C0C">
              <w:rPr>
                <w:rFonts w:ascii="Arial" w:eastAsia="Calibri" w:hAnsi="Arial" w:cs="Arial"/>
              </w:rPr>
              <w:t xml:space="preserve"> </w:t>
            </w:r>
            <w:r w:rsidRPr="000D2C0C">
              <w:rPr>
                <w:rFonts w:ascii="Arial" w:eastAsia="Calibri" w:hAnsi="Arial" w:cs="Arial"/>
                <w:noProof/>
                <w:lang w:eastAsia="fr-FR"/>
              </w:rPr>
              <w:drawing>
                <wp:inline distT="0" distB="0" distL="0" distR="0" wp14:anchorId="7CABA965" wp14:editId="1E0F7EF4">
                  <wp:extent cx="2581275" cy="3441700"/>
                  <wp:effectExtent l="0" t="0" r="9525" b="635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25-09-22 à 17.54.37_dae0a8fe.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87373" cy="3449831"/>
                          </a:xfrm>
                          <a:prstGeom prst="rect">
                            <a:avLst/>
                          </a:prstGeom>
                        </pic:spPr>
                      </pic:pic>
                    </a:graphicData>
                  </a:graphic>
                </wp:inline>
              </w:drawing>
            </w:r>
          </w:p>
          <w:p w14:paraId="7446A012" w14:textId="77777777" w:rsidR="00C742FF" w:rsidRPr="000D2C0C" w:rsidRDefault="00C742FF" w:rsidP="00C742FF">
            <w:pPr>
              <w:jc w:val="both"/>
              <w:rPr>
                <w:rFonts w:ascii="Arial" w:eastAsia="Calibri" w:hAnsi="Arial" w:cs="Arial"/>
              </w:rPr>
            </w:pPr>
          </w:p>
        </w:tc>
      </w:tr>
    </w:tbl>
    <w:p w14:paraId="125B661A" w14:textId="16CAA266" w:rsidR="00C742FF" w:rsidRPr="000D2C0C" w:rsidRDefault="00C742FF" w:rsidP="00C742FF">
      <w:pPr>
        <w:spacing w:after="200" w:line="240" w:lineRule="auto"/>
        <w:jc w:val="both"/>
        <w:rPr>
          <w:rFonts w:ascii="Arial" w:eastAsia="Calibri" w:hAnsi="Arial" w:cs="Arial"/>
          <w:sz w:val="24"/>
          <w:szCs w:val="24"/>
        </w:rPr>
      </w:pPr>
      <w:bookmarkStart w:id="28" w:name="_Toc213322810"/>
      <w:bookmarkStart w:id="29" w:name="_Toc214234931"/>
      <w:r w:rsidRPr="000D2C0C">
        <w:rPr>
          <w:rFonts w:ascii="Arial" w:eastAsia="Calibri" w:hAnsi="Arial" w:cs="Arial"/>
          <w:b/>
          <w:iCs/>
          <w:sz w:val="24"/>
          <w:szCs w:val="24"/>
        </w:rPr>
        <w:t xml:space="preserve">Photo </w:t>
      </w:r>
      <w:proofErr w:type="gramStart"/>
      <w:r w:rsidR="00793C02">
        <w:rPr>
          <w:rFonts w:ascii="Arial" w:eastAsia="Calibri" w:hAnsi="Arial" w:cs="Arial"/>
          <w:b/>
          <w:iCs/>
          <w:sz w:val="24"/>
          <w:szCs w:val="24"/>
        </w:rPr>
        <w:t>18</w:t>
      </w:r>
      <w:r w:rsidRPr="000D2C0C">
        <w:rPr>
          <w:rFonts w:ascii="Arial" w:eastAsia="Calibri" w:hAnsi="Arial" w:cs="Arial"/>
          <w:iCs/>
          <w:sz w:val="24"/>
          <w:szCs w:val="24"/>
        </w:rPr>
        <w:t>:</w:t>
      </w:r>
      <w:proofErr w:type="gramEnd"/>
      <w:r w:rsidRPr="000D2C0C">
        <w:rPr>
          <w:rFonts w:ascii="Arial" w:eastAsia="Calibri" w:hAnsi="Arial" w:cs="Arial"/>
          <w:iCs/>
          <w:sz w:val="24"/>
          <w:szCs w:val="24"/>
        </w:rPr>
        <w:t xml:space="preserve"> </w:t>
      </w:r>
      <w:bookmarkEnd w:id="28"/>
      <w:bookmarkEnd w:id="29"/>
      <w:r w:rsidR="00FD34B6" w:rsidRPr="000D2C0C">
        <w:rPr>
          <w:rFonts w:ascii="Arial" w:eastAsia="Calibri" w:hAnsi="Arial" w:cs="Arial"/>
          <w:i/>
          <w:iCs/>
          <w:sz w:val="24"/>
          <w:szCs w:val="24"/>
        </w:rPr>
        <w:t xml:space="preserve">Phialophora gregata </w:t>
      </w:r>
      <w:r w:rsidR="00FD34B6" w:rsidRPr="000D2C0C">
        <w:rPr>
          <w:rFonts w:ascii="Arial" w:eastAsia="Calibri" w:hAnsi="Arial" w:cs="Arial"/>
          <w:iCs/>
          <w:sz w:val="24"/>
          <w:szCs w:val="24"/>
        </w:rPr>
        <w:t>on culture medium (A: upper surface), (B: lower surface)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3"/>
        <w:gridCol w:w="4299"/>
      </w:tblGrid>
      <w:tr w:rsidR="00C742FF" w:rsidRPr="000D2C0C" w14:paraId="0700AB03" w14:textId="77777777" w:rsidTr="00FD34B6">
        <w:trPr>
          <w:jc w:val="center"/>
        </w:trPr>
        <w:tc>
          <w:tcPr>
            <w:tcW w:w="4773" w:type="dxa"/>
          </w:tcPr>
          <w:p w14:paraId="5768BC93" w14:textId="77777777" w:rsidR="00C742FF" w:rsidRPr="000D2C0C" w:rsidRDefault="00C742FF" w:rsidP="00C742FF">
            <w:pPr>
              <w:rPr>
                <w:rFonts w:ascii="Arial" w:eastAsia="Calibri" w:hAnsi="Arial" w:cs="Arial"/>
              </w:rPr>
            </w:pPr>
            <w:r w:rsidRPr="000D2C0C">
              <w:rPr>
                <w:rFonts w:ascii="Arial" w:eastAsia="Calibri" w:hAnsi="Arial" w:cs="Arial"/>
                <w:noProof/>
                <w:lang w:eastAsia="fr-FR"/>
              </w:rPr>
              <w:lastRenderedPageBreak/>
              <w:drawing>
                <wp:inline distT="0" distB="0" distL="0" distR="0" wp14:anchorId="54B5C852" wp14:editId="5CD2CED9">
                  <wp:extent cx="2998470" cy="2341880"/>
                  <wp:effectExtent l="0" t="0" r="0" b="127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10440" cy="2351229"/>
                          </a:xfrm>
                          <a:prstGeom prst="rect">
                            <a:avLst/>
                          </a:prstGeom>
                          <a:noFill/>
                          <a:ln>
                            <a:noFill/>
                          </a:ln>
                        </pic:spPr>
                      </pic:pic>
                    </a:graphicData>
                  </a:graphic>
                </wp:inline>
              </w:drawing>
            </w:r>
          </w:p>
          <w:p w14:paraId="68173807" w14:textId="190073A6" w:rsidR="00C742FF" w:rsidRPr="000D2C0C" w:rsidRDefault="00C742FF" w:rsidP="00C742FF">
            <w:pPr>
              <w:rPr>
                <w:rFonts w:ascii="Arial" w:eastAsia="Calibri" w:hAnsi="Arial" w:cs="Arial"/>
                <w:i/>
              </w:rPr>
            </w:pPr>
            <w:bookmarkStart w:id="30" w:name="_Toc213322811"/>
            <w:bookmarkStart w:id="31" w:name="_Toc214234932"/>
            <w:r w:rsidRPr="000D2C0C">
              <w:rPr>
                <w:rFonts w:ascii="Arial" w:eastAsia="Calibri" w:hAnsi="Arial" w:cs="Arial"/>
                <w:b/>
              </w:rPr>
              <w:t xml:space="preserve">Photo </w:t>
            </w:r>
            <w:proofErr w:type="gramStart"/>
            <w:r w:rsidRPr="000D2C0C">
              <w:rPr>
                <w:rFonts w:ascii="Arial" w:eastAsia="Calibri" w:hAnsi="Arial" w:cs="Arial"/>
                <w:b/>
              </w:rPr>
              <w:t>1</w:t>
            </w:r>
            <w:r w:rsidR="00793C02">
              <w:rPr>
                <w:rFonts w:ascii="Arial" w:eastAsia="Calibri" w:hAnsi="Arial" w:cs="Arial"/>
                <w:b/>
              </w:rPr>
              <w:t>9</w:t>
            </w:r>
            <w:r w:rsidRPr="000D2C0C">
              <w:rPr>
                <w:rFonts w:ascii="Arial" w:eastAsia="Calibri" w:hAnsi="Arial" w:cs="Arial"/>
                <w:i/>
              </w:rPr>
              <w:t>:</w:t>
            </w:r>
            <w:proofErr w:type="gramEnd"/>
            <w:r w:rsidRPr="000D2C0C">
              <w:rPr>
                <w:rFonts w:ascii="Arial" w:eastAsia="Calibri" w:hAnsi="Arial" w:cs="Arial"/>
                <w:i/>
              </w:rPr>
              <w:t xml:space="preserve"> </w:t>
            </w:r>
            <w:r w:rsidR="00FD34B6" w:rsidRPr="000D2C0C">
              <w:rPr>
                <w:rFonts w:ascii="Arial" w:eastAsia="Calibri" w:hAnsi="Arial" w:cs="Arial"/>
              </w:rPr>
              <w:t xml:space="preserve">Mycelium of </w:t>
            </w:r>
            <w:r w:rsidR="00FD34B6" w:rsidRPr="000D2C0C">
              <w:rPr>
                <w:rFonts w:ascii="Arial" w:eastAsia="Calibri" w:hAnsi="Arial" w:cs="Arial"/>
                <w:i/>
              </w:rPr>
              <w:t>Phialophora gregata</w:t>
            </w:r>
            <w:r w:rsidR="00FD34B6" w:rsidRPr="000D2C0C">
              <w:rPr>
                <w:rFonts w:ascii="Arial" w:eastAsia="Calibri" w:hAnsi="Arial" w:cs="Arial"/>
              </w:rPr>
              <w:t xml:space="preserve"> (G X 100)</w:t>
            </w:r>
            <w:bookmarkEnd w:id="30"/>
            <w:bookmarkEnd w:id="31"/>
          </w:p>
        </w:tc>
        <w:tc>
          <w:tcPr>
            <w:tcW w:w="4299" w:type="dxa"/>
          </w:tcPr>
          <w:p w14:paraId="5DCD6292" w14:textId="77777777" w:rsidR="00C742FF" w:rsidRPr="000D2C0C" w:rsidRDefault="00C742FF" w:rsidP="00C742FF">
            <w:pPr>
              <w:rPr>
                <w:rFonts w:ascii="Arial" w:eastAsia="Calibri" w:hAnsi="Arial" w:cs="Arial"/>
              </w:rPr>
            </w:pPr>
            <w:r w:rsidRPr="000D2C0C">
              <w:rPr>
                <w:rFonts w:ascii="Arial" w:eastAsia="Calibri" w:hAnsi="Arial" w:cs="Arial"/>
                <w:noProof/>
                <w:lang w:eastAsia="fr-FR"/>
              </w:rPr>
              <w:drawing>
                <wp:inline distT="0" distB="0" distL="0" distR="0" wp14:anchorId="1E564B9A" wp14:editId="6F9F1494">
                  <wp:extent cx="2676525" cy="2341880"/>
                  <wp:effectExtent l="0" t="0" r="9525" b="127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92620" cy="2355963"/>
                          </a:xfrm>
                          <a:prstGeom prst="rect">
                            <a:avLst/>
                          </a:prstGeom>
                          <a:noFill/>
                          <a:ln>
                            <a:noFill/>
                          </a:ln>
                        </pic:spPr>
                      </pic:pic>
                    </a:graphicData>
                  </a:graphic>
                </wp:inline>
              </w:drawing>
            </w:r>
          </w:p>
          <w:p w14:paraId="2B4B68D0" w14:textId="42DEDEBE" w:rsidR="00C742FF" w:rsidRPr="000D2C0C" w:rsidRDefault="00C742FF" w:rsidP="00C742FF">
            <w:pPr>
              <w:rPr>
                <w:rFonts w:ascii="Arial" w:eastAsia="Calibri" w:hAnsi="Arial" w:cs="Arial"/>
                <w:i/>
              </w:rPr>
            </w:pPr>
            <w:bookmarkStart w:id="32" w:name="_Toc213322812"/>
            <w:bookmarkStart w:id="33" w:name="_Toc214234933"/>
            <w:r w:rsidRPr="000D2C0C">
              <w:rPr>
                <w:rFonts w:ascii="Arial" w:eastAsia="Calibri" w:hAnsi="Arial" w:cs="Arial"/>
                <w:b/>
              </w:rPr>
              <w:t xml:space="preserve">Photo </w:t>
            </w:r>
            <w:proofErr w:type="gramStart"/>
            <w:r w:rsidR="00793C02">
              <w:rPr>
                <w:rFonts w:ascii="Arial" w:eastAsia="Calibri" w:hAnsi="Arial" w:cs="Arial"/>
                <w:b/>
              </w:rPr>
              <w:t>20</w:t>
            </w:r>
            <w:r w:rsidRPr="000D2C0C">
              <w:rPr>
                <w:rFonts w:ascii="Arial" w:eastAsia="Calibri" w:hAnsi="Arial" w:cs="Arial"/>
                <w:i/>
              </w:rPr>
              <w:t>:</w:t>
            </w:r>
            <w:proofErr w:type="gramEnd"/>
            <w:r w:rsidRPr="000D2C0C">
              <w:rPr>
                <w:rFonts w:ascii="Arial" w:eastAsia="Calibri" w:hAnsi="Arial" w:cs="Arial"/>
                <w:i/>
              </w:rPr>
              <w:t xml:space="preserve"> </w:t>
            </w:r>
            <w:r w:rsidR="00FD34B6" w:rsidRPr="000D2C0C">
              <w:rPr>
                <w:rFonts w:ascii="Arial" w:eastAsia="Calibri" w:hAnsi="Arial" w:cs="Arial"/>
              </w:rPr>
              <w:t xml:space="preserve">Spores of </w:t>
            </w:r>
            <w:r w:rsidR="00FD34B6" w:rsidRPr="000D2C0C">
              <w:rPr>
                <w:rFonts w:ascii="Arial" w:eastAsia="Calibri" w:hAnsi="Arial" w:cs="Arial"/>
                <w:i/>
              </w:rPr>
              <w:t>Phialophora gregata</w:t>
            </w:r>
            <w:r w:rsidR="00FD34B6" w:rsidRPr="000D2C0C">
              <w:rPr>
                <w:rFonts w:ascii="Arial" w:eastAsia="Calibri" w:hAnsi="Arial" w:cs="Arial"/>
              </w:rPr>
              <w:t xml:space="preserve"> </w:t>
            </w:r>
            <w:r w:rsidRPr="000D2C0C">
              <w:rPr>
                <w:rFonts w:ascii="Arial" w:eastAsia="Calibri" w:hAnsi="Arial" w:cs="Arial"/>
                <w:i/>
              </w:rPr>
              <w:t>(G X 100)</w:t>
            </w:r>
            <w:bookmarkEnd w:id="32"/>
            <w:bookmarkEnd w:id="33"/>
          </w:p>
        </w:tc>
      </w:tr>
    </w:tbl>
    <w:p w14:paraId="3FAD5573" w14:textId="77777777" w:rsidR="000D2C0C" w:rsidRDefault="000D2C0C" w:rsidP="00FD34B6">
      <w:pPr>
        <w:spacing w:line="360" w:lineRule="auto"/>
        <w:jc w:val="both"/>
        <w:rPr>
          <w:rFonts w:ascii="Arial" w:hAnsi="Arial" w:cs="Arial"/>
          <w:b/>
          <w:sz w:val="24"/>
          <w:szCs w:val="24"/>
        </w:rPr>
      </w:pPr>
    </w:p>
    <w:p w14:paraId="77B401ED" w14:textId="77777777" w:rsidR="00FD34B6" w:rsidRPr="000D2C0C" w:rsidRDefault="000D2C0C" w:rsidP="00FD34B6">
      <w:pPr>
        <w:spacing w:line="360" w:lineRule="auto"/>
        <w:jc w:val="both"/>
        <w:rPr>
          <w:rFonts w:ascii="Arial" w:hAnsi="Arial" w:cs="Arial"/>
          <w:b/>
          <w:sz w:val="24"/>
          <w:szCs w:val="24"/>
        </w:rPr>
      </w:pPr>
      <w:r>
        <w:rPr>
          <w:rFonts w:ascii="Arial" w:hAnsi="Arial" w:cs="Arial"/>
          <w:b/>
          <w:sz w:val="24"/>
          <w:szCs w:val="24"/>
        </w:rPr>
        <w:t xml:space="preserve">4. </w:t>
      </w:r>
      <w:r w:rsidR="00FD34B6" w:rsidRPr="000D2C0C">
        <w:rPr>
          <w:rFonts w:ascii="Arial" w:hAnsi="Arial" w:cs="Arial"/>
          <w:b/>
          <w:sz w:val="24"/>
          <w:szCs w:val="24"/>
        </w:rPr>
        <w:t>D</w:t>
      </w:r>
      <w:r>
        <w:rPr>
          <w:rFonts w:ascii="Arial" w:hAnsi="Arial" w:cs="Arial"/>
          <w:b/>
          <w:sz w:val="24"/>
          <w:szCs w:val="24"/>
        </w:rPr>
        <w:t xml:space="preserve">ISCUSSION </w:t>
      </w:r>
    </w:p>
    <w:p w14:paraId="4FBAE98B" w14:textId="77777777" w:rsidR="00C742FF" w:rsidRPr="000D2C0C" w:rsidRDefault="00FD34B6" w:rsidP="00FD34B6">
      <w:pPr>
        <w:spacing w:line="360" w:lineRule="auto"/>
        <w:jc w:val="both"/>
        <w:rPr>
          <w:rFonts w:ascii="Arial" w:hAnsi="Arial" w:cs="Arial"/>
          <w:sz w:val="24"/>
          <w:szCs w:val="24"/>
        </w:rPr>
      </w:pPr>
      <w:r w:rsidRPr="000D2C0C">
        <w:rPr>
          <w:rFonts w:ascii="Arial" w:hAnsi="Arial" w:cs="Arial"/>
          <w:sz w:val="24"/>
          <w:szCs w:val="24"/>
        </w:rPr>
        <w:t xml:space="preserve">Cultural and microscopic observations identified four fungal pathogens responsible for various soybean </w:t>
      </w:r>
      <w:proofErr w:type="gramStart"/>
      <w:r w:rsidRPr="000D2C0C">
        <w:rPr>
          <w:rFonts w:ascii="Arial" w:hAnsi="Arial" w:cs="Arial"/>
          <w:sz w:val="24"/>
          <w:szCs w:val="24"/>
        </w:rPr>
        <w:t>spoilage:</w:t>
      </w:r>
      <w:proofErr w:type="gramEnd"/>
      <w:r w:rsidRPr="000D2C0C">
        <w:rPr>
          <w:rFonts w:ascii="Arial" w:hAnsi="Arial" w:cs="Arial"/>
          <w:sz w:val="24"/>
          <w:szCs w:val="24"/>
        </w:rPr>
        <w:t xml:space="preserve"> </w:t>
      </w:r>
      <w:r w:rsidRPr="000D2C0C">
        <w:rPr>
          <w:rFonts w:ascii="Arial" w:hAnsi="Arial" w:cs="Arial"/>
          <w:i/>
          <w:sz w:val="24"/>
          <w:szCs w:val="24"/>
        </w:rPr>
        <w:t>Peronospora manshurica</w:t>
      </w:r>
      <w:r w:rsidRPr="000D2C0C">
        <w:rPr>
          <w:rFonts w:ascii="Arial" w:hAnsi="Arial" w:cs="Arial"/>
          <w:sz w:val="24"/>
          <w:szCs w:val="24"/>
        </w:rPr>
        <w:t xml:space="preserve">, </w:t>
      </w:r>
      <w:r w:rsidRPr="000D2C0C">
        <w:rPr>
          <w:rFonts w:ascii="Arial" w:hAnsi="Arial" w:cs="Arial"/>
          <w:i/>
          <w:sz w:val="24"/>
          <w:szCs w:val="24"/>
        </w:rPr>
        <w:t>Phomopsis sojae</w:t>
      </w:r>
      <w:r w:rsidRPr="000D2C0C">
        <w:rPr>
          <w:rFonts w:ascii="Arial" w:hAnsi="Arial" w:cs="Arial"/>
          <w:sz w:val="24"/>
          <w:szCs w:val="24"/>
        </w:rPr>
        <w:t xml:space="preserve">, </w:t>
      </w:r>
      <w:r w:rsidRPr="000D2C0C">
        <w:rPr>
          <w:rFonts w:ascii="Arial" w:hAnsi="Arial" w:cs="Arial"/>
          <w:i/>
          <w:sz w:val="24"/>
          <w:szCs w:val="24"/>
        </w:rPr>
        <w:t>Sclerotinia sclerotiorum</w:t>
      </w:r>
      <w:r w:rsidRPr="000D2C0C">
        <w:rPr>
          <w:rFonts w:ascii="Arial" w:hAnsi="Arial" w:cs="Arial"/>
          <w:sz w:val="24"/>
          <w:szCs w:val="24"/>
        </w:rPr>
        <w:t xml:space="preserve">, and </w:t>
      </w:r>
      <w:r w:rsidRPr="000D2C0C">
        <w:rPr>
          <w:rFonts w:ascii="Arial" w:hAnsi="Arial" w:cs="Arial"/>
          <w:i/>
          <w:sz w:val="24"/>
          <w:szCs w:val="24"/>
        </w:rPr>
        <w:t>Phialophora gregata</w:t>
      </w:r>
      <w:r w:rsidRPr="000D2C0C">
        <w:rPr>
          <w:rFonts w:ascii="Arial" w:hAnsi="Arial" w:cs="Arial"/>
          <w:sz w:val="24"/>
          <w:szCs w:val="24"/>
        </w:rPr>
        <w:t>. These species exhibit distinct characteristics both in culture media and under the microscope, reflecting their morphological and ecological diversity.</w:t>
      </w:r>
    </w:p>
    <w:p w14:paraId="509E4A7E" w14:textId="77777777" w:rsidR="00792F61" w:rsidRPr="000D2C0C" w:rsidRDefault="00792F61" w:rsidP="00FD34B6">
      <w:pPr>
        <w:spacing w:line="360" w:lineRule="auto"/>
        <w:jc w:val="both"/>
        <w:rPr>
          <w:rFonts w:ascii="Arial" w:hAnsi="Arial" w:cs="Arial"/>
          <w:sz w:val="24"/>
          <w:szCs w:val="24"/>
        </w:rPr>
      </w:pPr>
      <w:r w:rsidRPr="000D2C0C">
        <w:rPr>
          <w:rFonts w:ascii="Arial" w:hAnsi="Arial" w:cs="Arial"/>
          <w:i/>
          <w:sz w:val="24"/>
          <w:szCs w:val="24"/>
        </w:rPr>
        <w:t>Peronospora manshurica</w:t>
      </w:r>
      <w:r w:rsidRPr="000D2C0C">
        <w:rPr>
          <w:rFonts w:ascii="Arial" w:hAnsi="Arial" w:cs="Arial"/>
          <w:sz w:val="24"/>
          <w:szCs w:val="24"/>
        </w:rPr>
        <w:t xml:space="preserve"> develops a white, filamentous colony on PDA medium, with a black underside observed on the 11th day after subculturing. This pigmentation of the reverse side indicates intense metabolic activity, characteristic of slow-growing oomycetes. Under the microscope, the mycelium appears septate, and the oval-shaped spores are typical of the genus Peronospora, known to cause soybean downy mildew. These morphological structures confirm the descriptions of Chambar (2019) and Faria and Inacio (2023), who report that P. manshurica produces ellipsoid conidia responsible for chlorotic spots on the leaves.</w:t>
      </w:r>
    </w:p>
    <w:p w14:paraId="639CAB2C" w14:textId="77777777" w:rsidR="00792F61" w:rsidRPr="000D2C0C" w:rsidRDefault="00792F61" w:rsidP="00FD34B6">
      <w:pPr>
        <w:spacing w:line="360" w:lineRule="auto"/>
        <w:jc w:val="both"/>
        <w:rPr>
          <w:rFonts w:ascii="Arial" w:hAnsi="Arial" w:cs="Arial"/>
          <w:sz w:val="24"/>
          <w:szCs w:val="24"/>
        </w:rPr>
      </w:pPr>
      <w:r w:rsidRPr="000D2C0C">
        <w:rPr>
          <w:rFonts w:ascii="Arial" w:hAnsi="Arial" w:cs="Arial"/>
          <w:sz w:val="24"/>
          <w:szCs w:val="24"/>
        </w:rPr>
        <w:t xml:space="preserve">Regarding </w:t>
      </w:r>
      <w:r w:rsidRPr="000D2C0C">
        <w:rPr>
          <w:rFonts w:ascii="Arial" w:hAnsi="Arial" w:cs="Arial"/>
          <w:i/>
          <w:sz w:val="24"/>
          <w:szCs w:val="24"/>
        </w:rPr>
        <w:t>Phomopsis sojae</w:t>
      </w:r>
      <w:r w:rsidRPr="000D2C0C">
        <w:rPr>
          <w:rFonts w:ascii="Arial" w:hAnsi="Arial" w:cs="Arial"/>
          <w:sz w:val="24"/>
          <w:szCs w:val="24"/>
        </w:rPr>
        <w:t xml:space="preserve">, the agent of soybean blight, the colony observed on PDA is whitish, cottony in appearance, and occupies half of the Petri dish without staining the medium. Both sides exhibit a uniform creamy-white hue, indicating homogeneous mycelial growth. Microscopic examination reveals septate mycelium and hyaline, spindle-shaped spores, typical of the conidial forms of the genus Phomopsis. These observations corroborate the results of Amaroli and Garnier (2024) and Li et al. (2025), </w:t>
      </w:r>
      <w:r w:rsidRPr="000D2C0C">
        <w:rPr>
          <w:rFonts w:ascii="Arial" w:hAnsi="Arial" w:cs="Arial"/>
          <w:sz w:val="24"/>
          <w:szCs w:val="24"/>
        </w:rPr>
        <w:lastRenderedPageBreak/>
        <w:t>who describe Phomopsis sojae as a moderately growing fungus producing spindle-shaped, translucent pycnidiospores responsible for stem and pod rot.</w:t>
      </w:r>
    </w:p>
    <w:p w14:paraId="0C5FAA4D" w14:textId="77777777" w:rsidR="00792F61" w:rsidRPr="000D2C0C" w:rsidRDefault="00792F61" w:rsidP="00FD34B6">
      <w:pPr>
        <w:spacing w:line="360" w:lineRule="auto"/>
        <w:jc w:val="both"/>
        <w:rPr>
          <w:rFonts w:ascii="Arial" w:hAnsi="Arial" w:cs="Arial"/>
          <w:sz w:val="24"/>
          <w:szCs w:val="24"/>
        </w:rPr>
      </w:pPr>
      <w:r w:rsidRPr="000D2C0C">
        <w:rPr>
          <w:rFonts w:ascii="Arial" w:hAnsi="Arial" w:cs="Arial"/>
          <w:i/>
          <w:sz w:val="24"/>
          <w:szCs w:val="24"/>
        </w:rPr>
        <w:t>Sclerotinia sclerotiorum</w:t>
      </w:r>
      <w:r w:rsidRPr="000D2C0C">
        <w:rPr>
          <w:rFonts w:ascii="Arial" w:hAnsi="Arial" w:cs="Arial"/>
          <w:sz w:val="24"/>
          <w:szCs w:val="24"/>
        </w:rPr>
        <w:t>, on the other hand, presents a brownish, filamentous colony with a creamy center and a black underside. These characteristics indicate the progressive formation of sclerotia, the species' typical storage organs. The septate, hyaline, and branched mycelium is abundant in infected tissues, reflecting a strong capacity for cellular invasion. The unicellular, ellipsoidal spores conform to the classic descriptions of Solene (2024), which associate S. sclerotiorum with soybean sclerotinia rot, a disease responsible for white rot and severe wilting.</w:t>
      </w:r>
    </w:p>
    <w:p w14:paraId="4D15145A" w14:textId="77777777" w:rsidR="00792F61" w:rsidRPr="000D2C0C" w:rsidRDefault="00792F61" w:rsidP="00FD34B6">
      <w:pPr>
        <w:spacing w:line="360" w:lineRule="auto"/>
        <w:jc w:val="both"/>
        <w:rPr>
          <w:rFonts w:ascii="Arial" w:hAnsi="Arial" w:cs="Arial"/>
          <w:sz w:val="24"/>
          <w:szCs w:val="24"/>
        </w:rPr>
      </w:pPr>
      <w:r w:rsidRPr="000D2C0C">
        <w:rPr>
          <w:rFonts w:ascii="Arial" w:hAnsi="Arial" w:cs="Arial"/>
          <w:sz w:val="24"/>
          <w:szCs w:val="24"/>
        </w:rPr>
        <w:t xml:space="preserve">Finally, </w:t>
      </w:r>
      <w:r w:rsidRPr="000D2C0C">
        <w:rPr>
          <w:rFonts w:ascii="Arial" w:hAnsi="Arial" w:cs="Arial"/>
          <w:i/>
          <w:sz w:val="24"/>
          <w:szCs w:val="24"/>
        </w:rPr>
        <w:t>Phialophora gregata</w:t>
      </w:r>
      <w:r w:rsidRPr="000D2C0C">
        <w:rPr>
          <w:rFonts w:ascii="Arial" w:hAnsi="Arial" w:cs="Arial"/>
          <w:sz w:val="24"/>
          <w:szCs w:val="24"/>
        </w:rPr>
        <w:t xml:space="preserve"> is distinguished by a dense, centrally located black colony with a cottony appearance at the tips, occupying a colorless medium. This morphology is characteristic of fungi responsible for vascular brown rot. Under the microscope, the mycelium is septate, thin, and hyaline, while the spores are circular to rounded, sometimes clustered. These observations confirm those of Richard et al. (2023) and Wang et al. (2024), who described P. gregata as the causal agent of soybean stem brown rot, a slow-progressing systemic disease affecting vascular tissues and reducing sap translocation.</w:t>
      </w:r>
    </w:p>
    <w:p w14:paraId="3CBAAC5E" w14:textId="77777777" w:rsidR="00792F61" w:rsidRDefault="00792F61" w:rsidP="00FD34B6">
      <w:pPr>
        <w:spacing w:line="360" w:lineRule="auto"/>
        <w:jc w:val="both"/>
        <w:rPr>
          <w:rFonts w:ascii="Arial" w:hAnsi="Arial" w:cs="Arial"/>
          <w:sz w:val="24"/>
          <w:szCs w:val="24"/>
        </w:rPr>
      </w:pPr>
      <w:r w:rsidRPr="000D2C0C">
        <w:rPr>
          <w:rFonts w:ascii="Arial" w:hAnsi="Arial" w:cs="Arial"/>
          <w:sz w:val="24"/>
          <w:szCs w:val="24"/>
        </w:rPr>
        <w:t>Overall, the analysis of the morphological and cultural characteristics of the four isolated fungi reveals significant fungal diversity affecting soybeans. Differences in colony color, texture, and shape, as well as spore morphology, are essential identification criteria. These pathogens, although distinct, share a septate mycelium, indicating their membership in the Ascomycetes or closely related Oomycetes. Their simultaneous presence on soybeans underscores the complexity of pathogen-host interactions and the importance of an integrated approach combining morphological, molecular, and cultural diagnostics for accurate identification.</w:t>
      </w:r>
    </w:p>
    <w:p w14:paraId="56D484A4" w14:textId="77777777" w:rsidR="006A03E9" w:rsidRDefault="006A03E9" w:rsidP="00792F61">
      <w:pPr>
        <w:spacing w:line="360" w:lineRule="auto"/>
        <w:jc w:val="both"/>
        <w:rPr>
          <w:rFonts w:ascii="Arial" w:hAnsi="Arial" w:cs="Arial"/>
          <w:b/>
          <w:sz w:val="24"/>
          <w:szCs w:val="24"/>
        </w:rPr>
      </w:pPr>
    </w:p>
    <w:p w14:paraId="2A6AD889" w14:textId="1FDC05BA" w:rsidR="00792F61" w:rsidRPr="000D2C0C" w:rsidRDefault="000D2C0C" w:rsidP="00792F61">
      <w:pPr>
        <w:spacing w:line="360" w:lineRule="auto"/>
        <w:jc w:val="both"/>
        <w:rPr>
          <w:rFonts w:ascii="Arial" w:hAnsi="Arial" w:cs="Arial"/>
          <w:b/>
          <w:sz w:val="24"/>
          <w:szCs w:val="24"/>
        </w:rPr>
      </w:pPr>
      <w:bookmarkStart w:id="34" w:name="_GoBack"/>
      <w:bookmarkEnd w:id="34"/>
      <w:r>
        <w:rPr>
          <w:rFonts w:ascii="Arial" w:hAnsi="Arial" w:cs="Arial"/>
          <w:b/>
          <w:sz w:val="24"/>
          <w:szCs w:val="24"/>
        </w:rPr>
        <w:t xml:space="preserve">5. </w:t>
      </w:r>
      <w:r w:rsidR="00792F61" w:rsidRPr="000D2C0C">
        <w:rPr>
          <w:rFonts w:ascii="Arial" w:hAnsi="Arial" w:cs="Arial"/>
          <w:b/>
          <w:sz w:val="24"/>
          <w:szCs w:val="24"/>
        </w:rPr>
        <w:t>C</w:t>
      </w:r>
      <w:r>
        <w:rPr>
          <w:rFonts w:ascii="Arial" w:hAnsi="Arial" w:cs="Arial"/>
          <w:b/>
          <w:sz w:val="24"/>
          <w:szCs w:val="24"/>
        </w:rPr>
        <w:t xml:space="preserve">ONCLUSION </w:t>
      </w:r>
    </w:p>
    <w:p w14:paraId="6001D15D" w14:textId="77777777"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 xml:space="preserve">The results of this study have led to a better understanding of fungal diseases affecting soybean production in Saponé. Four pathogens were isolated and </w:t>
      </w:r>
      <w:proofErr w:type="gramStart"/>
      <w:r w:rsidRPr="000D2C0C">
        <w:rPr>
          <w:rFonts w:ascii="Arial" w:hAnsi="Arial" w:cs="Arial"/>
          <w:sz w:val="24"/>
          <w:szCs w:val="24"/>
        </w:rPr>
        <w:t>identified:</w:t>
      </w:r>
      <w:proofErr w:type="gramEnd"/>
      <w:r w:rsidRPr="000D2C0C">
        <w:rPr>
          <w:rFonts w:ascii="Arial" w:hAnsi="Arial" w:cs="Arial"/>
          <w:sz w:val="24"/>
          <w:szCs w:val="24"/>
        </w:rPr>
        <w:t xml:space="preserve"> Peronospora manshurica, Phomopsis sojae, Sclerotinia sclerotiorum, and Phialophora gregata, confirming that several fungal diseases constitute a major constraint to </w:t>
      </w:r>
      <w:r w:rsidRPr="000D2C0C">
        <w:rPr>
          <w:rFonts w:ascii="Arial" w:hAnsi="Arial" w:cs="Arial"/>
          <w:sz w:val="24"/>
          <w:szCs w:val="24"/>
        </w:rPr>
        <w:lastRenderedPageBreak/>
        <w:t>soybean cultivation in Burkina Faso. These pathogens, responsible for a variety of symptoms, significantly affect yield. Regarding disease resistance, all varieties exhibited symptoms to varying degrees.</w:t>
      </w:r>
    </w:p>
    <w:p w14:paraId="40C9D592" w14:textId="77777777" w:rsidR="00792F61" w:rsidRPr="000D2C0C" w:rsidRDefault="000D2C0C" w:rsidP="00792F61">
      <w:pPr>
        <w:spacing w:line="360" w:lineRule="auto"/>
        <w:jc w:val="both"/>
        <w:rPr>
          <w:rFonts w:ascii="Arial" w:hAnsi="Arial" w:cs="Arial"/>
          <w:b/>
          <w:sz w:val="24"/>
          <w:szCs w:val="24"/>
        </w:rPr>
      </w:pPr>
      <w:r>
        <w:rPr>
          <w:rFonts w:ascii="Arial" w:hAnsi="Arial" w:cs="Arial"/>
          <w:b/>
          <w:sz w:val="24"/>
          <w:szCs w:val="24"/>
        </w:rPr>
        <w:t>REFERENCES</w:t>
      </w:r>
    </w:p>
    <w:p w14:paraId="1A131463" w14:textId="77777777"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 xml:space="preserve">Amaroli, E., and Garnier, J.F. 2024. </w:t>
      </w:r>
      <w:proofErr w:type="gramStart"/>
      <w:r w:rsidRPr="000D2C0C">
        <w:rPr>
          <w:rFonts w:ascii="Arial" w:hAnsi="Arial" w:cs="Arial"/>
          <w:sz w:val="24"/>
          <w:szCs w:val="24"/>
        </w:rPr>
        <w:t>Soybeans:</w:t>
      </w:r>
      <w:proofErr w:type="gramEnd"/>
      <w:r w:rsidRPr="000D2C0C">
        <w:rPr>
          <w:rFonts w:ascii="Arial" w:hAnsi="Arial" w:cs="Arial"/>
          <w:sz w:val="24"/>
          <w:szCs w:val="24"/>
        </w:rPr>
        <w:t xml:space="preserve"> Why are mirror measures necessary to protect the environment, health, and farmers? Agriculture case study. 16p. </w:t>
      </w:r>
      <w:hyperlink r:id="rId26" w:history="1">
        <w:r w:rsidRPr="000D2C0C">
          <w:rPr>
            <w:rStyle w:val="Hyperlink"/>
            <w:rFonts w:ascii="Arial" w:hAnsi="Arial" w:cs="Arial"/>
            <w:sz w:val="24"/>
            <w:szCs w:val="24"/>
          </w:rPr>
          <w:t>https://www.veblen-institute.org/IMG/pdf/mm-etude-soja.pdf</w:t>
        </w:r>
      </w:hyperlink>
      <w:r w:rsidRPr="000D2C0C">
        <w:rPr>
          <w:rFonts w:ascii="Arial" w:hAnsi="Arial" w:cs="Arial"/>
          <w:sz w:val="24"/>
          <w:szCs w:val="24"/>
        </w:rPr>
        <w:t>.</w:t>
      </w:r>
    </w:p>
    <w:p w14:paraId="6901E557" w14:textId="77777777"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 xml:space="preserve">Barnett, H.L., Hunter, B.B. 1987. Illustrated genera of imperfect fungi. Fourt edition. 240p. </w:t>
      </w:r>
      <w:hyperlink r:id="rId27" w:history="1">
        <w:r w:rsidRPr="000D2C0C">
          <w:rPr>
            <w:rStyle w:val="Hyperlink"/>
            <w:rFonts w:ascii="Arial" w:hAnsi="Arial" w:cs="Arial"/>
            <w:sz w:val="24"/>
            <w:szCs w:val="24"/>
          </w:rPr>
          <w:t>https://fr.scribd.com/document/325199387/Barnett-Hunter-Illustrated-Genera-of-Imperfect-Fungi</w:t>
        </w:r>
      </w:hyperlink>
    </w:p>
    <w:p w14:paraId="08C83079" w14:textId="77777777"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Chambert, C. 2019. Soybeans in crop rotation. Terres Inovia, https://www.terresinovia.fr/web/guest/-/le-soja-dans-la-rotation-culturale?inheritRedirect=true&amp;redirect=%2Fweb%2Fguest%2Frecherche%3Fq%3Dsoja</w:t>
      </w:r>
    </w:p>
    <w:p w14:paraId="02F83AB9" w14:textId="77777777"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 xml:space="preserve">Chevalier, D., Debeuf, C., Joubrel, G., Kocken, M., and Planchenaul, N. 2016. Soybean </w:t>
      </w:r>
      <w:proofErr w:type="gramStart"/>
      <w:r w:rsidRPr="000D2C0C">
        <w:rPr>
          <w:rFonts w:ascii="Arial" w:hAnsi="Arial" w:cs="Arial"/>
          <w:sz w:val="24"/>
          <w:szCs w:val="24"/>
        </w:rPr>
        <w:t>foods:</w:t>
      </w:r>
      <w:proofErr w:type="gramEnd"/>
      <w:r w:rsidRPr="000D2C0C">
        <w:rPr>
          <w:rFonts w:ascii="Arial" w:hAnsi="Arial" w:cs="Arial"/>
          <w:sz w:val="24"/>
          <w:szCs w:val="24"/>
        </w:rPr>
        <w:t xml:space="preserve"> consumption in France, nutritional qualities, and recent scientific data on health. Research Article Dossier. 23(4)D405. </w:t>
      </w:r>
      <w:proofErr w:type="gramStart"/>
      <w:r w:rsidRPr="000D2C0C">
        <w:rPr>
          <w:rFonts w:ascii="Arial" w:hAnsi="Arial" w:cs="Arial"/>
          <w:sz w:val="24"/>
          <w:szCs w:val="24"/>
        </w:rPr>
        <w:t>DOI:</w:t>
      </w:r>
      <w:proofErr w:type="gramEnd"/>
      <w:r w:rsidRPr="000D2C0C">
        <w:rPr>
          <w:rFonts w:ascii="Arial" w:hAnsi="Arial" w:cs="Arial"/>
          <w:sz w:val="24"/>
          <w:szCs w:val="24"/>
        </w:rPr>
        <w:t xml:space="preserve"> 10.1051/ocl/2016025.</w:t>
      </w:r>
    </w:p>
    <w:p w14:paraId="07F1777E" w14:textId="77777777"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 xml:space="preserve">Compaore, S., Belemnaba, L., Hounkpevi, A., Idohou, R. ; Zerbo, I., Ouedraogo, S., Thiombiano, A. 2021. Diversity of plants used in the management of hypertension by three associations of traditional healers along a climate gradient in Burkina Faso. Advances in Traditional Medicine, 21. </w:t>
      </w:r>
      <w:proofErr w:type="gramStart"/>
      <w:r w:rsidRPr="000D2C0C">
        <w:rPr>
          <w:rFonts w:ascii="Arial" w:hAnsi="Arial" w:cs="Arial"/>
          <w:sz w:val="24"/>
          <w:szCs w:val="24"/>
        </w:rPr>
        <w:t>DOI:</w:t>
      </w:r>
      <w:proofErr w:type="gramEnd"/>
      <w:r w:rsidRPr="000D2C0C">
        <w:rPr>
          <w:rFonts w:ascii="Arial" w:hAnsi="Arial" w:cs="Arial"/>
          <w:sz w:val="24"/>
          <w:szCs w:val="24"/>
        </w:rPr>
        <w:t xml:space="preserve"> 10.1007/s13596-020-00495-x.</w:t>
      </w:r>
    </w:p>
    <w:p w14:paraId="5581DDAA" w14:textId="77777777"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Diblioni, O.T., Millogo, A.N., Ouedraogo, A.J., Guenda, W., and Vermeulen, C. 2011. Faunal diversity and distribution of poaching activities in the Mare aux Hippopotames Biosphere Reserve in Burkina Faso. Int. J. Biol. Chem. Sci. 5(5</w:t>
      </w:r>
      <w:proofErr w:type="gramStart"/>
      <w:r w:rsidRPr="000D2C0C">
        <w:rPr>
          <w:rFonts w:ascii="Arial" w:hAnsi="Arial" w:cs="Arial"/>
          <w:sz w:val="24"/>
          <w:szCs w:val="24"/>
        </w:rPr>
        <w:t>):</w:t>
      </w:r>
      <w:proofErr w:type="gramEnd"/>
      <w:r w:rsidRPr="000D2C0C">
        <w:rPr>
          <w:rFonts w:ascii="Arial" w:hAnsi="Arial" w:cs="Arial"/>
          <w:sz w:val="24"/>
          <w:szCs w:val="24"/>
        </w:rPr>
        <w:t xml:space="preserve"> 1813-1827. DOI: </w:t>
      </w:r>
      <w:hyperlink r:id="rId28" w:history="1">
        <w:r w:rsidRPr="000D2C0C">
          <w:rPr>
            <w:rStyle w:val="Hyperlink"/>
            <w:rFonts w:ascii="Arial" w:hAnsi="Arial" w:cs="Arial"/>
            <w:sz w:val="24"/>
            <w:szCs w:val="24"/>
          </w:rPr>
          <w:t>http://dx.doi.org/10.4314/ijbcs.v5i5.5</w:t>
        </w:r>
      </w:hyperlink>
      <w:r w:rsidRPr="000D2C0C">
        <w:rPr>
          <w:rFonts w:ascii="Arial" w:hAnsi="Arial" w:cs="Arial"/>
          <w:sz w:val="24"/>
          <w:szCs w:val="24"/>
        </w:rPr>
        <w:t>.</w:t>
      </w:r>
    </w:p>
    <w:p w14:paraId="722198C3" w14:textId="77777777"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FAO., 2016. Soil and Crop Water Management. Food and Agriculture Organization of the United Nations.</w:t>
      </w:r>
    </w:p>
    <w:p w14:paraId="0DEE75D7" w14:textId="77777777" w:rsidR="00DC07BC" w:rsidRPr="000D2C0C" w:rsidRDefault="00DC07BC" w:rsidP="00DC07BC">
      <w:pPr>
        <w:spacing w:line="360" w:lineRule="auto"/>
        <w:jc w:val="both"/>
        <w:rPr>
          <w:rFonts w:ascii="Arial" w:hAnsi="Arial" w:cs="Arial"/>
          <w:sz w:val="24"/>
          <w:szCs w:val="24"/>
        </w:rPr>
      </w:pPr>
      <w:r w:rsidRPr="000D2C0C">
        <w:rPr>
          <w:rFonts w:ascii="Arial" w:hAnsi="Arial" w:cs="Arial"/>
          <w:sz w:val="24"/>
          <w:szCs w:val="24"/>
        </w:rPr>
        <w:t xml:space="preserve">Faria, C.M.X., Carlos Antonio Inácio, C.A. 2023. Considerations about gender Colletotrichum. Annual review of plant pathology. 29 : 131-147. </w:t>
      </w:r>
      <w:proofErr w:type="gramStart"/>
      <w:r w:rsidRPr="000D2C0C">
        <w:rPr>
          <w:rFonts w:ascii="Arial" w:hAnsi="Arial" w:cs="Arial"/>
          <w:sz w:val="24"/>
          <w:szCs w:val="24"/>
        </w:rPr>
        <w:t>doi:</w:t>
      </w:r>
      <w:proofErr w:type="gramEnd"/>
      <w:r w:rsidRPr="000D2C0C">
        <w:rPr>
          <w:rFonts w:ascii="Arial" w:hAnsi="Arial" w:cs="Arial"/>
          <w:sz w:val="24"/>
          <w:szCs w:val="24"/>
        </w:rPr>
        <w:t xml:space="preserve"> 10.31976/0104-038321v280006.</w:t>
      </w:r>
    </w:p>
    <w:p w14:paraId="102B7C78" w14:textId="77777777" w:rsidR="00DC07BC" w:rsidRPr="000D2C0C" w:rsidRDefault="00DC07BC" w:rsidP="00792F61">
      <w:pPr>
        <w:spacing w:line="360" w:lineRule="auto"/>
        <w:jc w:val="both"/>
        <w:rPr>
          <w:rFonts w:ascii="Arial" w:hAnsi="Arial" w:cs="Arial"/>
          <w:sz w:val="24"/>
          <w:szCs w:val="24"/>
        </w:rPr>
      </w:pPr>
      <w:r w:rsidRPr="000D2C0C">
        <w:rPr>
          <w:rFonts w:ascii="Arial" w:hAnsi="Arial" w:cs="Arial"/>
          <w:sz w:val="24"/>
          <w:szCs w:val="24"/>
        </w:rPr>
        <w:lastRenderedPageBreak/>
        <w:t xml:space="preserve">FiBL, 2025. Organic Soybean Cultivation. Fact Sheet 2025, Swiss Edition, No. 1834. </w:t>
      </w:r>
      <w:hyperlink r:id="rId29" w:history="1">
        <w:r w:rsidRPr="000D2C0C">
          <w:rPr>
            <w:rStyle w:val="Hyperlink"/>
            <w:rFonts w:ascii="Arial" w:hAnsi="Arial" w:cs="Arial"/>
            <w:sz w:val="24"/>
            <w:szCs w:val="24"/>
          </w:rPr>
          <w:t>https://orgprints.org/id/eprint/56433/</w:t>
        </w:r>
      </w:hyperlink>
    </w:p>
    <w:p w14:paraId="6F52C662" w14:textId="77777777"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 xml:space="preserve">Ganaba, S., Ouadba, J.M., Bognounou, O. 2005. Traditional exploitation of spontaneous plants in the Sahelian region of Burkina Faso. International Journal of Environmental Sciences. </w:t>
      </w:r>
      <w:hyperlink r:id="rId30" w:history="1">
        <w:r w:rsidRPr="000D2C0C">
          <w:rPr>
            <w:rStyle w:val="Hyperlink"/>
            <w:rFonts w:ascii="Arial" w:hAnsi="Arial" w:cs="Arial"/>
            <w:sz w:val="24"/>
            <w:szCs w:val="24"/>
          </w:rPr>
          <w:t>https://doi.org/10.4000/vertigo.2783</w:t>
        </w:r>
      </w:hyperlink>
      <w:r w:rsidRPr="000D2C0C">
        <w:rPr>
          <w:rFonts w:ascii="Arial" w:hAnsi="Arial" w:cs="Arial"/>
          <w:sz w:val="24"/>
          <w:szCs w:val="24"/>
        </w:rPr>
        <w:t>.</w:t>
      </w:r>
    </w:p>
    <w:p w14:paraId="55917FAF" w14:textId="77777777"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 xml:space="preserve">INSD, 2023. Statistical Yearbook for the Central Region. Avenue Pascal ZAGRE, Ouaga 2000, 01 BP 374 Ouagadougou 01, BURKINA </w:t>
      </w:r>
      <w:proofErr w:type="gramStart"/>
      <w:r w:rsidRPr="000D2C0C">
        <w:rPr>
          <w:rFonts w:ascii="Arial" w:hAnsi="Arial" w:cs="Arial"/>
          <w:sz w:val="24"/>
          <w:szCs w:val="24"/>
        </w:rPr>
        <w:t>FASO;</w:t>
      </w:r>
      <w:proofErr w:type="gramEnd"/>
      <w:r w:rsidRPr="000D2C0C">
        <w:rPr>
          <w:rFonts w:ascii="Arial" w:hAnsi="Arial" w:cs="Arial"/>
          <w:sz w:val="24"/>
          <w:szCs w:val="24"/>
        </w:rPr>
        <w:t xml:space="preserve"> Website: www.insd.bf. http://cns.bf/IMG/pdf/dr-est_annuaire_statistique_2023_de_la_region_du_centre.pdf. 191p.</w:t>
      </w:r>
    </w:p>
    <w:p w14:paraId="49DC2D92" w14:textId="7D4E63A1"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 xml:space="preserve">INSD, 2022. Overview of Economic Trends. Avenue Pascal ZAGRE, Ouaga 2000, 01 BP 374 Ouagadougou 01, BURKINA </w:t>
      </w:r>
      <w:proofErr w:type="gramStart"/>
      <w:r w:rsidRPr="000D2C0C">
        <w:rPr>
          <w:rFonts w:ascii="Arial" w:hAnsi="Arial" w:cs="Arial"/>
          <w:sz w:val="24"/>
          <w:szCs w:val="24"/>
        </w:rPr>
        <w:t>FASO;</w:t>
      </w:r>
      <w:proofErr w:type="gramEnd"/>
      <w:r w:rsidRPr="000D2C0C">
        <w:rPr>
          <w:rFonts w:ascii="Arial" w:hAnsi="Arial" w:cs="Arial"/>
          <w:sz w:val="24"/>
          <w:szCs w:val="24"/>
        </w:rPr>
        <w:t xml:space="preserve"> Website: www.insd.bf; Email: </w:t>
      </w:r>
      <w:r w:rsidR="00C900FF">
        <w:rPr>
          <w:rFonts w:ascii="Arial" w:hAnsi="Arial" w:cs="Arial"/>
          <w:sz w:val="24"/>
          <w:szCs w:val="24"/>
        </w:rPr>
        <w:t>xxx</w:t>
      </w:r>
      <w:r w:rsidRPr="000D2C0C">
        <w:rPr>
          <w:rFonts w:ascii="Arial" w:hAnsi="Arial" w:cs="Arial"/>
          <w:sz w:val="24"/>
          <w:szCs w:val="24"/>
        </w:rPr>
        <w:t xml:space="preserve">@yahoo.fr. </w:t>
      </w:r>
      <w:hyperlink r:id="rId31" w:history="1">
        <w:r w:rsidRPr="000D2C0C">
          <w:rPr>
            <w:rStyle w:val="Hyperlink"/>
            <w:rFonts w:ascii="Arial" w:hAnsi="Arial" w:cs="Arial"/>
            <w:sz w:val="24"/>
            <w:szCs w:val="24"/>
          </w:rPr>
          <w:t>https://www.insd.bf/sites/default/files/2023-03/Note_conjoncture_2022T3.pdf</w:t>
        </w:r>
      </w:hyperlink>
      <w:r w:rsidRPr="000D2C0C">
        <w:rPr>
          <w:rFonts w:ascii="Arial" w:hAnsi="Arial" w:cs="Arial"/>
          <w:sz w:val="24"/>
          <w:szCs w:val="24"/>
        </w:rPr>
        <w:t>.</w:t>
      </w:r>
    </w:p>
    <w:p w14:paraId="1ECD2171" w14:textId="77777777"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 xml:space="preserve">Kebede, A.A., Kendeya, Y.B., &amp; Araya, G., 2024. An Evaluation on Cultivation Process of Soya Bean Varieties for Yield and Shattering Character at Moisture Stress Area in Western Tigray, Ethiopia. Asian Journal of Plant and Soil Sciences.  9(1) : 57-65. </w:t>
      </w:r>
      <w:hyperlink r:id="rId32" w:history="1">
        <w:r w:rsidRPr="000D2C0C">
          <w:rPr>
            <w:rStyle w:val="Hyperlink"/>
            <w:rFonts w:ascii="Arial" w:hAnsi="Arial" w:cs="Arial"/>
            <w:sz w:val="24"/>
            <w:szCs w:val="24"/>
          </w:rPr>
          <w:t>https://doi.org/10.56557/ajopss/2024/v9i1106</w:t>
        </w:r>
      </w:hyperlink>
      <w:r w:rsidRPr="000D2C0C">
        <w:rPr>
          <w:rFonts w:ascii="Arial" w:hAnsi="Arial" w:cs="Arial"/>
          <w:sz w:val="24"/>
          <w:szCs w:val="24"/>
        </w:rPr>
        <w:t>.</w:t>
      </w:r>
    </w:p>
    <w:p w14:paraId="3E88B901" w14:textId="77777777"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Konaté, A., Sawadogo, W., &amp; Nana, R., 2019. Agronomic and sanitary evaluation of improved soybean varieties in the Sudanian-Sahelian zones of Burkina Faso. African Journal of Agronomy, 12(2), 55–67.</w:t>
      </w:r>
    </w:p>
    <w:p w14:paraId="1E2E23BF" w14:textId="77777777" w:rsidR="00BF6B74" w:rsidRPr="000D2C0C" w:rsidRDefault="00BF6B74" w:rsidP="00792F61">
      <w:pPr>
        <w:spacing w:line="360" w:lineRule="auto"/>
        <w:jc w:val="both"/>
        <w:rPr>
          <w:rFonts w:ascii="Arial" w:hAnsi="Arial" w:cs="Arial"/>
          <w:sz w:val="24"/>
          <w:szCs w:val="24"/>
        </w:rPr>
      </w:pPr>
      <w:r w:rsidRPr="000D2C0C">
        <w:rPr>
          <w:rFonts w:ascii="Arial" w:hAnsi="Arial" w:cs="Arial"/>
          <w:sz w:val="24"/>
          <w:szCs w:val="24"/>
        </w:rPr>
        <w:t xml:space="preserve">Li Y, Liu J, Shi F, Ma L, Zhang Y, Yu L, Meng Q. 2025. Epidemiology of sclerotinia stem rot and efficacy of integrated control measures for soybean in Northeast China. Front Plant Sci. </w:t>
      </w:r>
      <w:proofErr w:type="gramStart"/>
      <w:r w:rsidRPr="000D2C0C">
        <w:rPr>
          <w:rFonts w:ascii="Arial" w:hAnsi="Arial" w:cs="Arial"/>
          <w:sz w:val="24"/>
          <w:szCs w:val="24"/>
        </w:rPr>
        <w:t>doi:</w:t>
      </w:r>
      <w:proofErr w:type="gramEnd"/>
      <w:r w:rsidRPr="000D2C0C">
        <w:rPr>
          <w:rFonts w:ascii="Arial" w:hAnsi="Arial" w:cs="Arial"/>
          <w:sz w:val="24"/>
          <w:szCs w:val="24"/>
        </w:rPr>
        <w:t xml:space="preserve"> 10.3389/fpls.2025.1679911.</w:t>
      </w:r>
    </w:p>
    <w:p w14:paraId="6B1E1BB1"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t>MARAH, 2023. Yearbook of agricultural, pastoral, and fisheries statistics. http://www.insd.bf/n/index.php/publications?id=36. https://earlywarning.usgs.gov/fews/datadownloads/East%20Africa/eMODIS%20NDVI%20C6.</w:t>
      </w:r>
    </w:p>
    <w:p w14:paraId="7D19562D"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t xml:space="preserve">MARAH, 2021. Yearbook of agricultural, pastoral, and fisheries statistics. http://www.insd.bf/n/index.php/publications?id=36. </w:t>
      </w:r>
      <w:hyperlink r:id="rId33" w:history="1">
        <w:r w:rsidRPr="000D2C0C">
          <w:rPr>
            <w:rStyle w:val="Hyperlink"/>
            <w:rFonts w:ascii="Arial" w:hAnsi="Arial" w:cs="Arial"/>
            <w:sz w:val="24"/>
            <w:szCs w:val="24"/>
          </w:rPr>
          <w:t>https://earlywarning.usgs.gov/fews/datadownloads/East%20Africa/eMODIS%20NDVI%20C6</w:t>
        </w:r>
      </w:hyperlink>
      <w:r w:rsidRPr="000D2C0C">
        <w:rPr>
          <w:rFonts w:ascii="Arial" w:hAnsi="Arial" w:cs="Arial"/>
          <w:sz w:val="24"/>
          <w:szCs w:val="24"/>
        </w:rPr>
        <w:t>.</w:t>
      </w:r>
    </w:p>
    <w:p w14:paraId="500BE65F"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lastRenderedPageBreak/>
        <w:t xml:space="preserve">Moreau-Moulds, C., 1991. Techniques of analyses and control in the food </w:t>
      </w:r>
      <w:proofErr w:type="gramStart"/>
      <w:r w:rsidRPr="000D2C0C">
        <w:rPr>
          <w:rFonts w:ascii="Arial" w:hAnsi="Arial" w:cs="Arial"/>
          <w:sz w:val="24"/>
          <w:szCs w:val="24"/>
        </w:rPr>
        <w:t>industries.Microbiological</w:t>
      </w:r>
      <w:proofErr w:type="gramEnd"/>
      <w:r w:rsidRPr="000D2C0C">
        <w:rPr>
          <w:rFonts w:ascii="Arial" w:hAnsi="Arial" w:cs="Arial"/>
          <w:sz w:val="24"/>
          <w:szCs w:val="24"/>
        </w:rPr>
        <w:t xml:space="preserve"> control. B.E.D.M. Gembloux.</w:t>
      </w:r>
    </w:p>
    <w:p w14:paraId="7391A53F"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t xml:space="preserve">Omoigui, L.O., Kamara, A.Y., Batieno, J., Iorlamen, T., Kouyate, Z., Yirzagla, J., Diallo, S., and Garba, U. 2017. Guide to Cowpea Production in West Africa. Tropical Legume III (TLIII). Headquarters outside </w:t>
      </w:r>
      <w:proofErr w:type="gramStart"/>
      <w:r w:rsidRPr="000D2C0C">
        <w:rPr>
          <w:rFonts w:ascii="Arial" w:hAnsi="Arial" w:cs="Arial"/>
          <w:sz w:val="24"/>
          <w:szCs w:val="24"/>
        </w:rPr>
        <w:t>Nigeria:</w:t>
      </w:r>
      <w:proofErr w:type="gramEnd"/>
      <w:r w:rsidRPr="000D2C0C">
        <w:rPr>
          <w:rFonts w:ascii="Arial" w:hAnsi="Arial" w:cs="Arial"/>
          <w:sz w:val="24"/>
          <w:szCs w:val="24"/>
        </w:rPr>
        <w:t xml:space="preserve"> IITA Ltd, 7th Floor, Grosvenor House, 125 High Street, Croydon CRO 9XP, UK. 61p. </w:t>
      </w:r>
      <w:hyperlink r:id="rId34" w:history="1">
        <w:r w:rsidRPr="000D2C0C">
          <w:rPr>
            <w:rStyle w:val="Hyperlink"/>
            <w:rFonts w:ascii="Arial" w:hAnsi="Arial" w:cs="Arial"/>
            <w:sz w:val="24"/>
            <w:szCs w:val="24"/>
          </w:rPr>
          <w:t>https://www.iita.org/wp-content/uploads/2020/05/Cowpea-manual-</w:t>
        </w:r>
        <w:r w:rsidR="00DC07BC" w:rsidRPr="000D2C0C">
          <w:rPr>
            <w:rStyle w:val="Hyperlink"/>
            <w:rFonts w:ascii="Arial" w:hAnsi="Arial" w:cs="Arial"/>
            <w:sz w:val="24"/>
            <w:szCs w:val="24"/>
          </w:rPr>
          <w:t>french_version</w:t>
        </w:r>
        <w:r w:rsidRPr="000D2C0C">
          <w:rPr>
            <w:rStyle w:val="Hyperlink"/>
            <w:rFonts w:ascii="Arial" w:hAnsi="Arial" w:cs="Arial"/>
            <w:sz w:val="24"/>
            <w:szCs w:val="24"/>
          </w:rPr>
          <w:t>.pdf</w:t>
        </w:r>
      </w:hyperlink>
      <w:r w:rsidRPr="000D2C0C">
        <w:rPr>
          <w:rFonts w:ascii="Arial" w:hAnsi="Arial" w:cs="Arial"/>
          <w:sz w:val="24"/>
          <w:szCs w:val="24"/>
        </w:rPr>
        <w:t>.</w:t>
      </w:r>
    </w:p>
    <w:p w14:paraId="357D60D1" w14:textId="77777777" w:rsidR="00DC07BC" w:rsidRPr="000D2C0C" w:rsidRDefault="00DC07BC" w:rsidP="00BF6B74">
      <w:pPr>
        <w:spacing w:line="360" w:lineRule="auto"/>
        <w:jc w:val="both"/>
        <w:rPr>
          <w:rFonts w:ascii="Arial" w:hAnsi="Arial" w:cs="Arial"/>
          <w:sz w:val="24"/>
          <w:szCs w:val="24"/>
        </w:rPr>
      </w:pPr>
      <w:r w:rsidRPr="000D2C0C">
        <w:rPr>
          <w:rFonts w:ascii="Arial" w:hAnsi="Arial" w:cs="Arial"/>
          <w:sz w:val="24"/>
          <w:szCs w:val="24"/>
        </w:rPr>
        <w:t xml:space="preserve">Ouédraogo, E.R., Konaté, K., Sanou, A., Sama, </w:t>
      </w:r>
      <w:proofErr w:type="gramStart"/>
      <w:r w:rsidRPr="000D2C0C">
        <w:rPr>
          <w:rFonts w:ascii="Arial" w:hAnsi="Arial" w:cs="Arial"/>
          <w:sz w:val="24"/>
          <w:szCs w:val="24"/>
        </w:rPr>
        <w:t>H.;</w:t>
      </w:r>
      <w:proofErr w:type="gramEnd"/>
      <w:r w:rsidRPr="000D2C0C">
        <w:rPr>
          <w:rFonts w:ascii="Arial" w:hAnsi="Arial" w:cs="Arial"/>
          <w:sz w:val="24"/>
          <w:szCs w:val="24"/>
        </w:rPr>
        <w:t xml:space="preserve"> Compaoré, E.W.R., Sytar, O., Hilou, A., Brestic, M., Dicko, M.H. 2022. Assessing the Quality of Burkina Faso Soybeans Based on Fatty Acid Composition and Pesticide Residue Contamination. Molecules, 27, 6260. </w:t>
      </w:r>
      <w:proofErr w:type="gramStart"/>
      <w:r w:rsidRPr="000D2C0C">
        <w:rPr>
          <w:rFonts w:ascii="Arial" w:hAnsi="Arial" w:cs="Arial"/>
          <w:sz w:val="24"/>
          <w:szCs w:val="24"/>
        </w:rPr>
        <w:t>https</w:t>
      </w:r>
      <w:proofErr w:type="gramEnd"/>
      <w:r w:rsidRPr="000D2C0C">
        <w:rPr>
          <w:rFonts w:ascii="Arial" w:hAnsi="Arial" w:cs="Arial"/>
          <w:sz w:val="24"/>
          <w:szCs w:val="24"/>
        </w:rPr>
        <w:t>:// doi.org/10.3390/molecules27196260.</w:t>
      </w:r>
    </w:p>
    <w:p w14:paraId="25F80061"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t xml:space="preserve">Richard, D., Leimbrock-Rosch, L., Keßler, S., Stoll, E., Zimmer, S. 2023. Soybean yield response to different mechanical weed control methods in organic agriculture in Luxembourg. Eur J Agron </w:t>
      </w:r>
      <w:proofErr w:type="gramStart"/>
      <w:r w:rsidRPr="000D2C0C">
        <w:rPr>
          <w:rFonts w:ascii="Arial" w:hAnsi="Arial" w:cs="Arial"/>
          <w:sz w:val="24"/>
          <w:szCs w:val="24"/>
        </w:rPr>
        <w:t>147:</w:t>
      </w:r>
      <w:proofErr w:type="gramEnd"/>
      <w:r w:rsidRPr="000D2C0C">
        <w:rPr>
          <w:rFonts w:ascii="Arial" w:hAnsi="Arial" w:cs="Arial"/>
          <w:sz w:val="24"/>
          <w:szCs w:val="24"/>
        </w:rPr>
        <w:t xml:space="preserve"> 126842. </w:t>
      </w:r>
      <w:hyperlink r:id="rId35" w:history="1">
        <w:r w:rsidRPr="000D2C0C">
          <w:rPr>
            <w:rStyle w:val="Hyperlink"/>
            <w:rFonts w:ascii="Arial" w:hAnsi="Arial" w:cs="Arial"/>
            <w:sz w:val="24"/>
            <w:szCs w:val="24"/>
          </w:rPr>
          <w:t>https://doi.org/10.1016/j.eja.2023.126842</w:t>
        </w:r>
      </w:hyperlink>
      <w:r w:rsidRPr="000D2C0C">
        <w:rPr>
          <w:rFonts w:ascii="Arial" w:hAnsi="Arial" w:cs="Arial"/>
          <w:sz w:val="24"/>
          <w:szCs w:val="24"/>
        </w:rPr>
        <w:t>.</w:t>
      </w:r>
    </w:p>
    <w:p w14:paraId="36334389"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t>Sawadogo, Y., 2017. Study of the biological efficacy of the herbicide SELEKAM-soya (Fluazyfop-p-butyl 12 g/l EC) on soybean weeds (Glycine max (L.) Merr.) and its effects on the agrochemical properties of the soil. Master's thesis, Polytechnic University of Bobo-Dioulasso, Burkina Faso, 67 pp.</w:t>
      </w:r>
    </w:p>
    <w:p w14:paraId="67B29E62" w14:textId="77777777" w:rsidR="00BF6B74" w:rsidRPr="000D2C0C" w:rsidRDefault="00BF6B74" w:rsidP="00BF6B74">
      <w:pPr>
        <w:spacing w:line="360" w:lineRule="auto"/>
        <w:jc w:val="both"/>
        <w:rPr>
          <w:rFonts w:ascii="Arial" w:hAnsi="Arial" w:cs="Arial"/>
          <w:sz w:val="24"/>
          <w:szCs w:val="24"/>
        </w:rPr>
      </w:pPr>
    </w:p>
    <w:p w14:paraId="4A72F79C"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t xml:space="preserve">Solene, D., 2024. Feasibility study and adaptation of technical approaches for organic soybean and chickpea cultivation in Brittany, in a context of climate change. Master's thesis, Agro Rennes-Angers Institute, 72 pp. </w:t>
      </w:r>
      <w:hyperlink r:id="rId36" w:history="1">
        <w:r w:rsidRPr="000D2C0C">
          <w:rPr>
            <w:rStyle w:val="Hyperlink"/>
            <w:rFonts w:ascii="Arial" w:hAnsi="Arial" w:cs="Arial"/>
            <w:sz w:val="24"/>
            <w:szCs w:val="24"/>
          </w:rPr>
          <w:t>https://dumas.ccsd.cnrs.fr/dumas-04836066v1/file/2024_David_Sol%C3%A8ne_SIV.pdf</w:t>
        </w:r>
      </w:hyperlink>
      <w:r w:rsidRPr="000D2C0C">
        <w:rPr>
          <w:rFonts w:ascii="Arial" w:hAnsi="Arial" w:cs="Arial"/>
          <w:sz w:val="24"/>
          <w:szCs w:val="24"/>
        </w:rPr>
        <w:t>.</w:t>
      </w:r>
    </w:p>
    <w:p w14:paraId="3791E5A0"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t>Tefera, A., Kamara, A.Y., &amp; Idah, M., 2015. Performance and adaptation of promiscuous soybean genotypes in the tropical savannas of West Africa. Journal of Crop Improvement, 29(1), 1–15.</w:t>
      </w:r>
    </w:p>
    <w:p w14:paraId="73230FAD"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t>Thio, I. G., Ouédraogo, N., Drabo, I., Serréme, P. A. E. D., &amp; others., 2022. Evaluation of medium maturity group of soybean (Glycine max L. Merr.) for agronomic performance and adaptation in Sudanian zone of Burkina Faso. African Journal of Agricultural Research, 18(4), 264</w:t>
      </w:r>
      <w:r w:rsidRPr="000D2C0C">
        <w:rPr>
          <w:rFonts w:ascii="Cambria Math" w:hAnsi="Cambria Math" w:cs="Cambria Math"/>
          <w:sz w:val="24"/>
          <w:szCs w:val="24"/>
        </w:rPr>
        <w:t>‑</w:t>
      </w:r>
      <w:r w:rsidRPr="000D2C0C">
        <w:rPr>
          <w:rFonts w:ascii="Arial" w:hAnsi="Arial" w:cs="Arial"/>
          <w:sz w:val="24"/>
          <w:szCs w:val="24"/>
        </w:rPr>
        <w:t>275.</w:t>
      </w:r>
    </w:p>
    <w:p w14:paraId="231D56E9"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lastRenderedPageBreak/>
        <w:t xml:space="preserve">Wang S-Y, Jiang Y-H, Chen X, Herrera-Balandrano DD, Simoes MF, Shi X-C, Laborda P. 2024. Biocontrol strategies for the management of Sclerotinia sclerotiorum in Brassica </w:t>
      </w:r>
      <w:proofErr w:type="gramStart"/>
      <w:r w:rsidRPr="000D2C0C">
        <w:rPr>
          <w:rFonts w:ascii="Arial" w:hAnsi="Arial" w:cs="Arial"/>
          <w:sz w:val="24"/>
          <w:szCs w:val="24"/>
        </w:rPr>
        <w:t>species:</w:t>
      </w:r>
      <w:proofErr w:type="gramEnd"/>
      <w:r w:rsidRPr="000D2C0C">
        <w:rPr>
          <w:rFonts w:ascii="Arial" w:hAnsi="Arial" w:cs="Arial"/>
          <w:sz w:val="24"/>
          <w:szCs w:val="24"/>
        </w:rPr>
        <w:t xml:space="preserve"> A review. Physiol Mol Plant Pathol. 114(7</w:t>
      </w:r>
      <w:proofErr w:type="gramStart"/>
      <w:r w:rsidRPr="000D2C0C">
        <w:rPr>
          <w:rFonts w:ascii="Arial" w:hAnsi="Arial" w:cs="Arial"/>
          <w:sz w:val="24"/>
          <w:szCs w:val="24"/>
        </w:rPr>
        <w:t>):</w:t>
      </w:r>
      <w:proofErr w:type="gramEnd"/>
      <w:r w:rsidRPr="000D2C0C">
        <w:rPr>
          <w:rFonts w:ascii="Arial" w:hAnsi="Arial" w:cs="Arial"/>
          <w:sz w:val="24"/>
          <w:szCs w:val="24"/>
        </w:rPr>
        <w:t xml:space="preserve">1447-1457. </w:t>
      </w:r>
      <w:proofErr w:type="gramStart"/>
      <w:r w:rsidRPr="000D2C0C">
        <w:rPr>
          <w:rFonts w:ascii="Arial" w:hAnsi="Arial" w:cs="Arial"/>
          <w:sz w:val="24"/>
          <w:szCs w:val="24"/>
        </w:rPr>
        <w:t>doi:</w:t>
      </w:r>
      <w:proofErr w:type="gramEnd"/>
      <w:r w:rsidRPr="000D2C0C">
        <w:rPr>
          <w:rFonts w:ascii="Arial" w:hAnsi="Arial" w:cs="Arial"/>
          <w:sz w:val="24"/>
          <w:szCs w:val="24"/>
        </w:rPr>
        <w:t xml:space="preserve"> 10.1094/PHYTO-01-24-0006-RVW.</w:t>
      </w:r>
    </w:p>
    <w:p w14:paraId="379BF43F"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t>Zoromé, I., 2017. Evaluation of the agronomic and morphological values ​​of new early soybean varieties in Burkina Faso. Doctoral thesis, Nazi Boni University, Bobo-Dioulasso, Burkina Faso, 65 p.</w:t>
      </w:r>
    </w:p>
    <w:p w14:paraId="74F5F94A" w14:textId="77777777" w:rsidR="00BF6B74" w:rsidRPr="000D2C0C" w:rsidRDefault="00BF6B74" w:rsidP="00BF6B74">
      <w:pPr>
        <w:spacing w:line="360" w:lineRule="auto"/>
        <w:jc w:val="both"/>
        <w:rPr>
          <w:rFonts w:ascii="Arial" w:hAnsi="Arial" w:cs="Arial"/>
          <w:sz w:val="24"/>
          <w:szCs w:val="24"/>
        </w:rPr>
      </w:pPr>
    </w:p>
    <w:p w14:paraId="1B697503" w14:textId="77777777" w:rsidR="00792F61" w:rsidRPr="000D2C0C" w:rsidRDefault="00792F61" w:rsidP="00792F61">
      <w:pPr>
        <w:spacing w:line="360" w:lineRule="auto"/>
        <w:jc w:val="both"/>
        <w:rPr>
          <w:rFonts w:ascii="Arial" w:hAnsi="Arial" w:cs="Arial"/>
          <w:sz w:val="24"/>
          <w:szCs w:val="24"/>
        </w:rPr>
      </w:pPr>
    </w:p>
    <w:p w14:paraId="37BAA192" w14:textId="77777777" w:rsidR="00792F61" w:rsidRPr="000D2C0C" w:rsidRDefault="00792F61" w:rsidP="00FD34B6">
      <w:pPr>
        <w:spacing w:line="360" w:lineRule="auto"/>
        <w:jc w:val="both"/>
        <w:rPr>
          <w:rFonts w:ascii="Arial" w:hAnsi="Arial" w:cs="Arial"/>
          <w:sz w:val="24"/>
          <w:szCs w:val="24"/>
        </w:rPr>
      </w:pPr>
    </w:p>
    <w:p w14:paraId="0DD541B2" w14:textId="77777777" w:rsidR="00B410FA" w:rsidRPr="000D2C0C" w:rsidRDefault="00B410FA" w:rsidP="00B410FA">
      <w:pPr>
        <w:spacing w:line="360" w:lineRule="auto"/>
        <w:jc w:val="both"/>
        <w:rPr>
          <w:rFonts w:ascii="Arial" w:hAnsi="Arial" w:cs="Arial"/>
          <w:sz w:val="24"/>
          <w:szCs w:val="24"/>
        </w:rPr>
      </w:pPr>
    </w:p>
    <w:p w14:paraId="49461378" w14:textId="77777777" w:rsidR="00B410FA" w:rsidRPr="000D2C0C" w:rsidRDefault="00B410FA" w:rsidP="00B410FA">
      <w:pPr>
        <w:spacing w:line="360" w:lineRule="auto"/>
        <w:jc w:val="both"/>
        <w:rPr>
          <w:rFonts w:ascii="Arial" w:hAnsi="Arial" w:cs="Arial"/>
          <w:sz w:val="24"/>
          <w:szCs w:val="24"/>
        </w:rPr>
      </w:pPr>
    </w:p>
    <w:p w14:paraId="2065B937" w14:textId="77777777" w:rsidR="00B410FA" w:rsidRPr="000D2C0C" w:rsidRDefault="00B410FA" w:rsidP="00C43037">
      <w:pPr>
        <w:spacing w:line="360" w:lineRule="auto"/>
        <w:jc w:val="both"/>
        <w:rPr>
          <w:rFonts w:ascii="Arial" w:hAnsi="Arial" w:cs="Arial"/>
          <w:sz w:val="24"/>
          <w:szCs w:val="24"/>
        </w:rPr>
      </w:pPr>
    </w:p>
    <w:p w14:paraId="797F258E" w14:textId="77777777" w:rsidR="00C27E15" w:rsidRPr="000D2C0C" w:rsidRDefault="00C27E15" w:rsidP="00C43037">
      <w:pPr>
        <w:rPr>
          <w:rFonts w:ascii="Arial" w:hAnsi="Arial" w:cs="Arial"/>
          <w:sz w:val="24"/>
          <w:szCs w:val="24"/>
        </w:rPr>
      </w:pPr>
    </w:p>
    <w:sectPr w:rsidR="00C27E15" w:rsidRPr="000D2C0C" w:rsidSect="003341E4">
      <w:headerReference w:type="even" r:id="rId37"/>
      <w:headerReference w:type="default" r:id="rId38"/>
      <w:footerReference w:type="even" r:id="rId39"/>
      <w:footerReference w:type="default" r:id="rId40"/>
      <w:headerReference w:type="first" r:id="rId41"/>
      <w:footerReference w:type="firs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1D265" w14:textId="77777777" w:rsidR="00606658" w:rsidRDefault="00606658" w:rsidP="00C742FF">
      <w:pPr>
        <w:spacing w:after="0" w:line="240" w:lineRule="auto"/>
      </w:pPr>
      <w:r>
        <w:separator/>
      </w:r>
    </w:p>
  </w:endnote>
  <w:endnote w:type="continuationSeparator" w:id="0">
    <w:p w14:paraId="38A66E45" w14:textId="77777777" w:rsidR="00606658" w:rsidRDefault="00606658" w:rsidP="00C74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5D55A" w14:textId="77777777" w:rsidR="00AD01C6" w:rsidRDefault="00AD0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8815224"/>
      <w:docPartObj>
        <w:docPartGallery w:val="Page Numbers (Bottom of Page)"/>
        <w:docPartUnique/>
      </w:docPartObj>
    </w:sdtPr>
    <w:sdtEndPr/>
    <w:sdtContent>
      <w:p w14:paraId="255B0D18" w14:textId="77777777" w:rsidR="00AB194B" w:rsidRDefault="00AB194B">
        <w:pPr>
          <w:pStyle w:val="Footer"/>
          <w:jc w:val="right"/>
        </w:pPr>
        <w:r>
          <w:fldChar w:fldCharType="begin"/>
        </w:r>
        <w:r>
          <w:instrText>PAGE   \* MERGEFORMAT</w:instrText>
        </w:r>
        <w:r>
          <w:fldChar w:fldCharType="separate"/>
        </w:r>
        <w:r w:rsidR="0065203D">
          <w:rPr>
            <w:noProof/>
          </w:rPr>
          <w:t>18</w:t>
        </w:r>
        <w:r>
          <w:fldChar w:fldCharType="end"/>
        </w:r>
      </w:p>
    </w:sdtContent>
  </w:sdt>
  <w:p w14:paraId="31121A67" w14:textId="77777777" w:rsidR="00AB194B" w:rsidRDefault="00AB19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0B658" w14:textId="77777777" w:rsidR="00AD01C6" w:rsidRDefault="00AD0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EEBF2" w14:textId="77777777" w:rsidR="00606658" w:rsidRDefault="00606658" w:rsidP="00C742FF">
      <w:pPr>
        <w:spacing w:after="0" w:line="240" w:lineRule="auto"/>
      </w:pPr>
      <w:r>
        <w:separator/>
      </w:r>
    </w:p>
  </w:footnote>
  <w:footnote w:type="continuationSeparator" w:id="0">
    <w:p w14:paraId="1F3AC158" w14:textId="77777777" w:rsidR="00606658" w:rsidRDefault="00606658" w:rsidP="00C74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CE7AC" w14:textId="63F91E8D" w:rsidR="00AD01C6" w:rsidRDefault="00AD01C6">
    <w:pPr>
      <w:pStyle w:val="Header"/>
    </w:pPr>
    <w:r>
      <w:rPr>
        <w:noProof/>
      </w:rPr>
      <w:pict w14:anchorId="0F12E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86529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57C7B" w14:textId="076EDECF" w:rsidR="00AD01C6" w:rsidRDefault="00AD01C6">
    <w:pPr>
      <w:pStyle w:val="Header"/>
    </w:pPr>
    <w:r>
      <w:rPr>
        <w:noProof/>
      </w:rPr>
      <w:pict w14:anchorId="774AB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86529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42957" w14:textId="642D045A" w:rsidR="00AD01C6" w:rsidRDefault="00AD01C6">
    <w:pPr>
      <w:pStyle w:val="Header"/>
    </w:pPr>
    <w:r>
      <w:rPr>
        <w:noProof/>
      </w:rPr>
      <w:pict w14:anchorId="4E4C6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86529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037"/>
    <w:rsid w:val="000B2339"/>
    <w:rsid w:val="000D2C0C"/>
    <w:rsid w:val="001E4E44"/>
    <w:rsid w:val="00234172"/>
    <w:rsid w:val="003341E4"/>
    <w:rsid w:val="00441AD3"/>
    <w:rsid w:val="00606658"/>
    <w:rsid w:val="0065203D"/>
    <w:rsid w:val="00691E80"/>
    <w:rsid w:val="006A03E9"/>
    <w:rsid w:val="006C3249"/>
    <w:rsid w:val="00792F61"/>
    <w:rsid w:val="00793C02"/>
    <w:rsid w:val="0095594B"/>
    <w:rsid w:val="00A2540C"/>
    <w:rsid w:val="00A353B2"/>
    <w:rsid w:val="00AB194B"/>
    <w:rsid w:val="00AD01C6"/>
    <w:rsid w:val="00B410FA"/>
    <w:rsid w:val="00BF6B74"/>
    <w:rsid w:val="00C27E15"/>
    <w:rsid w:val="00C43037"/>
    <w:rsid w:val="00C742FF"/>
    <w:rsid w:val="00C900FF"/>
    <w:rsid w:val="00DC07BC"/>
    <w:rsid w:val="00DF56F4"/>
    <w:rsid w:val="00E17846"/>
    <w:rsid w:val="00E4112A"/>
    <w:rsid w:val="00E567B5"/>
    <w:rsid w:val="00F937CD"/>
    <w:rsid w:val="00FC007A"/>
    <w:rsid w:val="00FD34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B3EE58"/>
  <w15:chartTrackingRefBased/>
  <w15:docId w15:val="{CE662639-FF8D-403C-AFF1-34ABCED4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lledutableau1">
    <w:name w:val="Grille du tableau1"/>
    <w:basedOn w:val="TableNormal"/>
    <w:next w:val="TableGrid"/>
    <w:uiPriority w:val="39"/>
    <w:rsid w:val="00C7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7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42F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742FF"/>
  </w:style>
  <w:style w:type="paragraph" w:styleId="Footer">
    <w:name w:val="footer"/>
    <w:basedOn w:val="Normal"/>
    <w:link w:val="FooterChar"/>
    <w:uiPriority w:val="99"/>
    <w:unhideWhenUsed/>
    <w:rsid w:val="00C742F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42FF"/>
  </w:style>
  <w:style w:type="character" w:styleId="Hyperlink">
    <w:name w:val="Hyperlink"/>
    <w:basedOn w:val="DefaultParagraphFont"/>
    <w:uiPriority w:val="99"/>
    <w:unhideWhenUsed/>
    <w:rsid w:val="00792F61"/>
    <w:rPr>
      <w:color w:val="0563C1" w:themeColor="hyperlink"/>
      <w:u w:val="single"/>
    </w:rPr>
  </w:style>
  <w:style w:type="character" w:styleId="LineNumber">
    <w:name w:val="line number"/>
    <w:basedOn w:val="DefaultParagraphFont"/>
    <w:uiPriority w:val="99"/>
    <w:semiHidden/>
    <w:unhideWhenUsed/>
    <w:rsid w:val="000D2C0C"/>
  </w:style>
  <w:style w:type="paragraph" w:styleId="ListParagraph">
    <w:name w:val="List Paragraph"/>
    <w:basedOn w:val="Normal"/>
    <w:uiPriority w:val="34"/>
    <w:qFormat/>
    <w:rsid w:val="000D2C0C"/>
    <w:pPr>
      <w:ind w:left="720"/>
      <w:contextualSpacing/>
    </w:pPr>
  </w:style>
  <w:style w:type="character" w:styleId="UnresolvedMention">
    <w:name w:val="Unresolved Mention"/>
    <w:basedOn w:val="DefaultParagraphFont"/>
    <w:uiPriority w:val="99"/>
    <w:semiHidden/>
    <w:unhideWhenUsed/>
    <w:rsid w:val="00A35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g"/><Relationship Id="rId26" Type="http://schemas.openxmlformats.org/officeDocument/2006/relationships/hyperlink" Target="https://www.veblen-institute.org/IMG/pdf/mm-etude-soja.pdf" TargetMode="External"/><Relationship Id="rId39" Type="http://schemas.openxmlformats.org/officeDocument/2006/relationships/footer" Target="footer1.xml"/><Relationship Id="rId21" Type="http://schemas.openxmlformats.org/officeDocument/2006/relationships/image" Target="media/image16.jpeg"/><Relationship Id="rId34" Type="http://schemas.openxmlformats.org/officeDocument/2006/relationships/hyperlink" Target="https://www.iita.org/wp-content/uploads/2020/05/Cowpea-manual-FRENCH_VERSION.pdf" TargetMode="External"/><Relationship Id="rId42" Type="http://schemas.openxmlformats.org/officeDocument/2006/relationships/footer" Target="footer3.xml"/><Relationship Id="rId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hyperlink" Target="https://orgprints.org/id/eprint/56433/" TargetMode="External"/><Relationship Id="rId41"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g"/><Relationship Id="rId24" Type="http://schemas.openxmlformats.org/officeDocument/2006/relationships/image" Target="media/image19.jpeg"/><Relationship Id="rId32" Type="http://schemas.openxmlformats.org/officeDocument/2006/relationships/hyperlink" Target="https://doi.org/10.56557/ajopss/2024/v9i1106"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image" Target="media/image18.jpg"/><Relationship Id="rId28" Type="http://schemas.openxmlformats.org/officeDocument/2006/relationships/hyperlink" Target="http://dx.doi.org/10.4314/ijbcs.v5i5.5" TargetMode="External"/><Relationship Id="rId36" Type="http://schemas.openxmlformats.org/officeDocument/2006/relationships/hyperlink" Target="https://dumas.ccsd.cnrs.fr/dumas-04836066v1/file/2024_David_Sol%C3%A8ne_SIV.pdf" TargetMode="External"/><Relationship Id="rId10" Type="http://schemas.openxmlformats.org/officeDocument/2006/relationships/image" Target="media/image5.jpg"/><Relationship Id="rId19" Type="http://schemas.openxmlformats.org/officeDocument/2006/relationships/image" Target="media/image14.jpg"/><Relationship Id="rId31" Type="http://schemas.openxmlformats.org/officeDocument/2006/relationships/hyperlink" Target="https://www.insd.bf/sites/default/files/2023-03/Note_conjoncture_2022T3.pdf"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g"/><Relationship Id="rId22" Type="http://schemas.openxmlformats.org/officeDocument/2006/relationships/image" Target="media/image17.jpg"/><Relationship Id="rId27" Type="http://schemas.openxmlformats.org/officeDocument/2006/relationships/hyperlink" Target="https://fr.scribd.com/document/325199387/Barnett-Hunter-Illustrated-Genera-of-Imperfect-Fungi" TargetMode="External"/><Relationship Id="rId30" Type="http://schemas.openxmlformats.org/officeDocument/2006/relationships/hyperlink" Target="https://doi.org/10.4000/vertigo.2783" TargetMode="External"/><Relationship Id="rId35" Type="http://schemas.openxmlformats.org/officeDocument/2006/relationships/hyperlink" Target="https://doi.org/10.1016/j.eja.2023.126842" TargetMode="External"/><Relationship Id="rId43" Type="http://schemas.openxmlformats.org/officeDocument/2006/relationships/fontTable" Target="fontTable.xml"/><Relationship Id="rId8" Type="http://schemas.openxmlformats.org/officeDocument/2006/relationships/image" Target="media/image3.jpeg"/><Relationship Id="rId3" Type="http://schemas.openxmlformats.org/officeDocument/2006/relationships/webSettings" Target="webSettings.xml"/><Relationship Id="rId12" Type="http://schemas.openxmlformats.org/officeDocument/2006/relationships/image" Target="media/image7.jp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hyperlink" Target="https://earlywarning.usgs.gov/fews/datadownloads/East%20Africa/eMODIS%20NDVI%20C6" TargetMode="External"/><Relationship Id="rId38"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18</Pages>
  <Words>3896</Words>
  <Characters>22208</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840</dc:creator>
  <cp:keywords/>
  <dc:description/>
  <cp:lastModifiedBy>SDI PC 1170</cp:lastModifiedBy>
  <cp:revision>29</cp:revision>
  <dcterms:created xsi:type="dcterms:W3CDTF">2026-01-09T14:59:00Z</dcterms:created>
  <dcterms:modified xsi:type="dcterms:W3CDTF">2026-01-20T10:58:00Z</dcterms:modified>
</cp:coreProperties>
</file>