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AFB43" w14:textId="77777777" w:rsidR="00EC13E6" w:rsidRDefault="00EC13E6">
      <w:pPr>
        <w:widowControl w:val="0"/>
        <w:pBdr>
          <w:top w:val="nil"/>
          <w:left w:val="nil"/>
          <w:bottom w:val="nil"/>
          <w:right w:val="nil"/>
          <w:between w:val="nil"/>
        </w:pBdr>
        <w:spacing w:line="240" w:lineRule="auto"/>
        <w:jc w:val="right"/>
        <w:rPr>
          <w:b/>
          <w:bCs/>
          <w:color w:val="000000"/>
          <w:sz w:val="36"/>
          <w:szCs w:val="36"/>
        </w:rPr>
      </w:pPr>
      <w:r w:rsidRPr="00EC13E6">
        <w:rPr>
          <w:b/>
          <w:bCs/>
          <w:color w:val="000000"/>
          <w:sz w:val="36"/>
          <w:szCs w:val="36"/>
        </w:rPr>
        <w:t>Minireview Article</w:t>
      </w:r>
    </w:p>
    <w:p w14:paraId="1BC3826F" w14:textId="77777777" w:rsidR="00EC13E6" w:rsidRDefault="00EC13E6">
      <w:pPr>
        <w:widowControl w:val="0"/>
        <w:pBdr>
          <w:top w:val="nil"/>
          <w:left w:val="nil"/>
          <w:bottom w:val="nil"/>
          <w:right w:val="nil"/>
          <w:between w:val="nil"/>
        </w:pBdr>
        <w:spacing w:line="240" w:lineRule="auto"/>
        <w:jc w:val="right"/>
        <w:rPr>
          <w:b/>
          <w:bCs/>
          <w:color w:val="000000"/>
          <w:sz w:val="36"/>
          <w:szCs w:val="36"/>
        </w:rPr>
      </w:pPr>
    </w:p>
    <w:p w14:paraId="00000001" w14:textId="6D70CF09" w:rsidR="002D2CBF" w:rsidRDefault="00125BFF">
      <w:pPr>
        <w:widowControl w:val="0"/>
        <w:pBdr>
          <w:top w:val="nil"/>
          <w:left w:val="nil"/>
          <w:bottom w:val="nil"/>
          <w:right w:val="nil"/>
          <w:between w:val="nil"/>
        </w:pBdr>
        <w:spacing w:line="240" w:lineRule="auto"/>
        <w:jc w:val="right"/>
        <w:rPr>
          <w:b/>
          <w:bCs/>
          <w:color w:val="000000"/>
          <w:sz w:val="36"/>
          <w:szCs w:val="36"/>
        </w:rPr>
      </w:pPr>
      <w:r>
        <w:rPr>
          <w:b/>
          <w:bCs/>
          <w:color w:val="000000"/>
          <w:sz w:val="36"/>
          <w:szCs w:val="36"/>
        </w:rPr>
        <w:t>Combating Sarcopenia in Older Adults: The Synergistic Roles of Pr</w:t>
      </w:r>
      <w:bookmarkStart w:id="0" w:name="_GoBack"/>
      <w:bookmarkEnd w:id="0"/>
      <w:r>
        <w:rPr>
          <w:b/>
          <w:bCs/>
          <w:color w:val="000000"/>
          <w:sz w:val="36"/>
          <w:szCs w:val="36"/>
        </w:rPr>
        <w:t xml:space="preserve">otein Intake and Exercise </w:t>
      </w:r>
    </w:p>
    <w:p w14:paraId="22BA4605" w14:textId="77777777" w:rsidR="00E30F98" w:rsidRDefault="00E30F98">
      <w:pPr>
        <w:widowControl w:val="0"/>
        <w:pBdr>
          <w:top w:val="nil"/>
          <w:left w:val="nil"/>
          <w:bottom w:val="nil"/>
          <w:right w:val="nil"/>
          <w:between w:val="nil"/>
        </w:pBdr>
        <w:spacing w:line="240" w:lineRule="auto"/>
        <w:jc w:val="right"/>
        <w:rPr>
          <w:b/>
          <w:bCs/>
          <w:color w:val="000000"/>
          <w:sz w:val="36"/>
          <w:szCs w:val="36"/>
        </w:rPr>
      </w:pPr>
    </w:p>
    <w:p w14:paraId="570FA004" w14:textId="77777777" w:rsidR="00E5424C" w:rsidRDefault="00E5424C">
      <w:pPr>
        <w:widowControl w:val="0"/>
        <w:pBdr>
          <w:top w:val="nil"/>
          <w:left w:val="nil"/>
          <w:bottom w:val="nil"/>
          <w:right w:val="nil"/>
          <w:between w:val="nil"/>
        </w:pBdr>
        <w:spacing w:line="240" w:lineRule="auto"/>
        <w:jc w:val="right"/>
        <w:rPr>
          <w:i/>
          <w:iCs/>
          <w:color w:val="000000"/>
          <w:sz w:val="20"/>
          <w:szCs w:val="20"/>
        </w:rPr>
      </w:pPr>
    </w:p>
    <w:p w14:paraId="3514F787" w14:textId="77777777" w:rsidR="00E5424C" w:rsidRDefault="00E5424C">
      <w:pPr>
        <w:widowControl w:val="0"/>
        <w:pBdr>
          <w:top w:val="nil"/>
          <w:left w:val="nil"/>
          <w:bottom w:val="nil"/>
          <w:right w:val="nil"/>
          <w:between w:val="nil"/>
        </w:pBdr>
        <w:spacing w:line="240" w:lineRule="auto"/>
        <w:jc w:val="right"/>
        <w:rPr>
          <w:i/>
          <w:iCs/>
          <w:color w:val="000000"/>
          <w:sz w:val="20"/>
          <w:szCs w:val="20"/>
        </w:rPr>
      </w:pPr>
    </w:p>
    <w:p w14:paraId="4E8353B7" w14:textId="77777777" w:rsidR="00E5424C" w:rsidRDefault="00E5424C">
      <w:pPr>
        <w:widowControl w:val="0"/>
        <w:pBdr>
          <w:top w:val="nil"/>
          <w:left w:val="nil"/>
          <w:bottom w:val="nil"/>
          <w:right w:val="nil"/>
          <w:between w:val="nil"/>
        </w:pBdr>
        <w:spacing w:line="240" w:lineRule="auto"/>
        <w:jc w:val="right"/>
        <w:rPr>
          <w:i/>
          <w:iCs/>
          <w:color w:val="000000"/>
          <w:sz w:val="20"/>
          <w:szCs w:val="20"/>
        </w:rPr>
      </w:pPr>
    </w:p>
    <w:p w14:paraId="79DADED6" w14:textId="77777777" w:rsidR="00E5424C" w:rsidRDefault="00E5424C">
      <w:pPr>
        <w:widowControl w:val="0"/>
        <w:pBdr>
          <w:top w:val="nil"/>
          <w:left w:val="nil"/>
          <w:bottom w:val="nil"/>
          <w:right w:val="nil"/>
          <w:between w:val="nil"/>
        </w:pBdr>
        <w:spacing w:line="240" w:lineRule="auto"/>
        <w:jc w:val="right"/>
        <w:rPr>
          <w:i/>
          <w:iCs/>
          <w:color w:val="000000"/>
          <w:sz w:val="20"/>
          <w:szCs w:val="20"/>
        </w:rPr>
      </w:pPr>
    </w:p>
    <w:p w14:paraId="71706F72" w14:textId="1F2F6FA5" w:rsidR="00E30F98" w:rsidRDefault="00E30F98">
      <w:pPr>
        <w:widowControl w:val="0"/>
        <w:pBdr>
          <w:top w:val="nil"/>
          <w:left w:val="nil"/>
          <w:bottom w:val="nil"/>
          <w:right w:val="nil"/>
          <w:between w:val="nil"/>
        </w:pBdr>
        <w:spacing w:line="240" w:lineRule="auto"/>
        <w:jc w:val="right"/>
        <w:rPr>
          <w:i/>
          <w:iCs/>
          <w:color w:val="000000"/>
          <w:sz w:val="20"/>
          <w:szCs w:val="20"/>
        </w:rPr>
      </w:pPr>
      <w:r>
        <w:rPr>
          <w:i/>
          <w:iCs/>
          <w:color w:val="000000"/>
          <w:sz w:val="20"/>
          <w:szCs w:val="20"/>
        </w:rPr>
        <w:t xml:space="preserve"> </w:t>
      </w:r>
    </w:p>
    <w:p w14:paraId="399E6DCE" w14:textId="77777777" w:rsidR="00CE4045" w:rsidRDefault="00CE4045">
      <w:pPr>
        <w:widowControl w:val="0"/>
        <w:pBdr>
          <w:top w:val="nil"/>
          <w:left w:val="nil"/>
          <w:bottom w:val="nil"/>
          <w:right w:val="nil"/>
          <w:between w:val="nil"/>
        </w:pBdr>
        <w:spacing w:line="240" w:lineRule="auto"/>
        <w:jc w:val="right"/>
        <w:rPr>
          <w:i/>
          <w:iCs/>
          <w:color w:val="000000"/>
          <w:sz w:val="20"/>
          <w:szCs w:val="20"/>
        </w:rPr>
      </w:pPr>
    </w:p>
    <w:p w14:paraId="00000005" w14:textId="77777777" w:rsidR="002D2CBF" w:rsidRPr="00206F9D" w:rsidRDefault="002D2CBF">
      <w:pPr>
        <w:widowControl w:val="0"/>
        <w:pBdr>
          <w:top w:val="nil"/>
          <w:left w:val="nil"/>
          <w:bottom w:val="single" w:sz="4" w:space="1" w:color="000000"/>
          <w:right w:val="nil"/>
          <w:between w:val="nil"/>
        </w:pBdr>
        <w:spacing w:line="240" w:lineRule="auto"/>
        <w:jc w:val="right"/>
        <w:rPr>
          <w:i/>
          <w:iCs/>
          <w:color w:val="000000"/>
          <w:sz w:val="24"/>
          <w:szCs w:val="24"/>
        </w:rPr>
      </w:pPr>
    </w:p>
    <w:p w14:paraId="00000006" w14:textId="77777777" w:rsidR="002D2CBF" w:rsidRDefault="002D2CBF">
      <w:pPr>
        <w:widowControl w:val="0"/>
        <w:pBdr>
          <w:top w:val="nil"/>
          <w:left w:val="nil"/>
          <w:bottom w:val="nil"/>
          <w:right w:val="nil"/>
          <w:between w:val="nil"/>
        </w:pBdr>
        <w:spacing w:line="240" w:lineRule="auto"/>
        <w:jc w:val="both"/>
        <w:rPr>
          <w:color w:val="000000"/>
          <w:sz w:val="28"/>
          <w:szCs w:val="28"/>
        </w:rPr>
      </w:pPr>
    </w:p>
    <w:p w14:paraId="00000007" w14:textId="77777777" w:rsidR="002D2CBF" w:rsidRDefault="00125BFF">
      <w:pPr>
        <w:widowControl w:val="0"/>
        <w:pBdr>
          <w:top w:val="nil"/>
          <w:left w:val="nil"/>
          <w:bottom w:val="nil"/>
          <w:right w:val="nil"/>
          <w:between w:val="nil"/>
        </w:pBdr>
        <w:spacing w:line="360" w:lineRule="auto"/>
        <w:jc w:val="both"/>
        <w:rPr>
          <w:color w:val="000000"/>
        </w:rPr>
      </w:pPr>
      <w:r>
        <w:rPr>
          <w:b/>
          <w:bCs/>
          <w:color w:val="000000"/>
        </w:rPr>
        <w:t>ABSTRACT:</w:t>
      </w:r>
    </w:p>
    <w:p w14:paraId="00000008" w14:textId="77777777" w:rsidR="002D2CBF" w:rsidRDefault="00125BFF">
      <w:pPr>
        <w:widowControl w:val="0"/>
        <w:pBdr>
          <w:top w:val="single" w:sz="4" w:space="1" w:color="000000"/>
          <w:left w:val="single" w:sz="4" w:space="4" w:color="000000"/>
          <w:bottom w:val="single" w:sz="4" w:space="1" w:color="000000"/>
          <w:right w:val="single" w:sz="4" w:space="4" w:color="000000"/>
          <w:between w:val="nil"/>
        </w:pBdr>
        <w:shd w:val="clear" w:color="auto" w:fill="C6D9F1"/>
        <w:spacing w:line="240" w:lineRule="auto"/>
        <w:jc w:val="both"/>
        <w:rPr>
          <w:color w:val="000000"/>
          <w:sz w:val="20"/>
          <w:szCs w:val="20"/>
        </w:rPr>
      </w:pPr>
      <w:r>
        <w:rPr>
          <w:color w:val="000000"/>
          <w:sz w:val="20"/>
          <w:szCs w:val="20"/>
        </w:rPr>
        <w:t>Given its correlation with frailty, disability, and death, sarcopenia—the age-related loss of muscle mass, strength, and functional ability—represents a significant public health concern. According to available data, older individuals' muscle loss is hastened by inadequate protein intake, physical inactivity, and metabolic changes; the best remedies include resistance training and higher protein intake. This review examines the complementary effects of dietary protein and structured exercise on muscle health by combining data from mechanistic research, randomized controlled trials, and epidemiological studies. Studies consistently demonstrate that the benefits of protein supplementation alone are limited, especially when there is insufficient training stimulus. However, intakes of 1.0–1.5 g/kg/day of high-quality, leucine-rich protein considerably increase muscle protein synthesis, improve strength, and lessen functional loss when combined with resistance or multicomponent exercise. Individual reactions are further shaped by other elements like the distribution of proteins, supplies derived from plants as opposed to animals, interactions between the gut bacteria, and biomarkers of anabolic resistance. The body of research indicates that the best way to prevent sarcopenia, maintain independence, and encourage healthy aging is to combine optimal protein consumption with regular exercise.</w:t>
      </w:r>
    </w:p>
    <w:p w14:paraId="00000009" w14:textId="77777777" w:rsidR="002D2CBF" w:rsidRDefault="002D2CBF">
      <w:pPr>
        <w:widowControl w:val="0"/>
        <w:pBdr>
          <w:top w:val="nil"/>
          <w:left w:val="nil"/>
          <w:bottom w:val="nil"/>
          <w:right w:val="nil"/>
          <w:between w:val="nil"/>
        </w:pBdr>
        <w:spacing w:line="360" w:lineRule="auto"/>
        <w:jc w:val="both"/>
        <w:rPr>
          <w:color w:val="000000"/>
          <w:sz w:val="24"/>
          <w:szCs w:val="24"/>
        </w:rPr>
      </w:pPr>
    </w:p>
    <w:p w14:paraId="0000000A" w14:textId="77777777" w:rsidR="002D2CBF" w:rsidRDefault="00125BFF">
      <w:pPr>
        <w:widowControl w:val="0"/>
        <w:pBdr>
          <w:top w:val="nil"/>
          <w:left w:val="nil"/>
          <w:bottom w:val="nil"/>
          <w:right w:val="nil"/>
          <w:between w:val="nil"/>
        </w:pBdr>
        <w:spacing w:line="360" w:lineRule="auto"/>
        <w:jc w:val="both"/>
        <w:rPr>
          <w:i/>
          <w:iCs/>
          <w:color w:val="000000"/>
          <w:sz w:val="20"/>
          <w:szCs w:val="20"/>
        </w:rPr>
      </w:pPr>
      <w:r>
        <w:rPr>
          <w:i/>
          <w:iCs/>
          <w:color w:val="000000"/>
        </w:rPr>
        <w:t xml:space="preserve">KEYWORDS: </w:t>
      </w:r>
      <w:r>
        <w:rPr>
          <w:i/>
          <w:iCs/>
          <w:color w:val="000000"/>
          <w:sz w:val="20"/>
          <w:szCs w:val="20"/>
        </w:rPr>
        <w:t>sarcopenia, protein consumption, exercise, preventive measures, late onset, correlation</w:t>
      </w:r>
    </w:p>
    <w:p w14:paraId="0000000B" w14:textId="77777777" w:rsidR="002D2CBF" w:rsidRDefault="002D2CBF">
      <w:pPr>
        <w:widowControl w:val="0"/>
        <w:pBdr>
          <w:top w:val="nil"/>
          <w:left w:val="nil"/>
          <w:bottom w:val="nil"/>
          <w:right w:val="nil"/>
          <w:between w:val="nil"/>
        </w:pBdr>
        <w:spacing w:line="360" w:lineRule="auto"/>
        <w:jc w:val="both"/>
        <w:rPr>
          <w:color w:val="000000"/>
          <w:sz w:val="20"/>
          <w:szCs w:val="20"/>
        </w:rPr>
      </w:pPr>
    </w:p>
    <w:p w14:paraId="0000000C" w14:textId="77777777" w:rsidR="002D2CBF" w:rsidRDefault="00125BFF">
      <w:pPr>
        <w:widowControl w:val="0"/>
        <w:numPr>
          <w:ilvl w:val="0"/>
          <w:numId w:val="3"/>
        </w:numPr>
        <w:pBdr>
          <w:top w:val="nil"/>
          <w:left w:val="nil"/>
          <w:bottom w:val="nil"/>
          <w:right w:val="nil"/>
          <w:between w:val="nil"/>
        </w:pBdr>
        <w:spacing w:line="360" w:lineRule="auto"/>
        <w:jc w:val="both"/>
        <w:rPr>
          <w:b/>
          <w:bCs/>
          <w:color w:val="000000"/>
        </w:rPr>
      </w:pPr>
      <w:r>
        <w:rPr>
          <w:b/>
          <w:bCs/>
          <w:color w:val="000000"/>
        </w:rPr>
        <w:t>INTRODUCTION:</w:t>
      </w:r>
    </w:p>
    <w:p w14:paraId="0000000D" w14:textId="77777777" w:rsidR="002D2CBF" w:rsidRDefault="00125BFF">
      <w:pPr>
        <w:widowControl w:val="0"/>
        <w:pBdr>
          <w:top w:val="nil"/>
          <w:left w:val="nil"/>
          <w:bottom w:val="nil"/>
          <w:right w:val="nil"/>
          <w:between w:val="nil"/>
        </w:pBdr>
        <w:spacing w:line="360" w:lineRule="auto"/>
        <w:jc w:val="both"/>
        <w:rPr>
          <w:b/>
          <w:bCs/>
          <w:color w:val="000000"/>
          <w:sz w:val="28"/>
          <w:szCs w:val="28"/>
        </w:rPr>
      </w:pPr>
      <w:r>
        <w:rPr>
          <w:b/>
          <w:bCs/>
        </w:rPr>
        <w:t xml:space="preserve">1.1 </w:t>
      </w:r>
      <w:r>
        <w:rPr>
          <w:b/>
          <w:bCs/>
          <w:color w:val="000000"/>
        </w:rPr>
        <w:t>Sarcopenia</w:t>
      </w:r>
    </w:p>
    <w:p w14:paraId="0000000E" w14:textId="77777777" w:rsidR="002D2CBF" w:rsidRDefault="00125BFF">
      <w:pPr>
        <w:widowControl w:val="0"/>
        <w:pBdr>
          <w:top w:val="nil"/>
          <w:left w:val="nil"/>
          <w:bottom w:val="nil"/>
          <w:right w:val="nil"/>
          <w:between w:val="nil"/>
        </w:pBdr>
        <w:spacing w:line="240" w:lineRule="auto"/>
        <w:jc w:val="both"/>
        <w:rPr>
          <w:color w:val="000000"/>
        </w:rPr>
      </w:pPr>
      <w:r>
        <w:rPr>
          <w:color w:val="000000"/>
          <w:sz w:val="20"/>
          <w:szCs w:val="20"/>
        </w:rPr>
        <w:t>Sarcopenia is defined as a progressive loss of muscle mass and function that raises the risk of falls, fragility, disability, and death. Even though it is mostly age-related, genetic, behavioral, and environmental factors can affect its development and severity. It can also manifest early in specific medical conditions. Its mechanisms, biomarkers, and interventions—particularly nutrition and resistance training—have been better understood thanks to the rapid expansion of research. The authors emphasize the necessity of long-term preventive measures and predict that sarcopenia diagnosis and treatment will soon be standard procedures in clinical settings (Cruz-</w:t>
      </w:r>
      <w:proofErr w:type="spellStart"/>
      <w:r>
        <w:rPr>
          <w:color w:val="000000"/>
          <w:sz w:val="20"/>
          <w:szCs w:val="20"/>
        </w:rPr>
        <w:t>Jentoft</w:t>
      </w:r>
      <w:proofErr w:type="spellEnd"/>
      <w:r>
        <w:rPr>
          <w:color w:val="000000"/>
          <w:sz w:val="20"/>
          <w:szCs w:val="20"/>
        </w:rPr>
        <w:t xml:space="preserve"> &amp; Sayer, 2019) [1]. The article "Sarcopenia: how to measure, when, and why" highlights the role of muscle as an endocrine organ that releases myokines associated with metabolism and inflammation. Given the growing worldwide and economic impact of sarcopenia, the authors stress the importance of early detection and treatment. The primary imaging methods—DXA, CT, MRI, and ultrasound—are discussed, with the explanation that CT is the gold standard, MRI offers thorough, radiation-free imaging, DXA is simple but less accurate, and ultrasound is helpful but lacks standard cut-offs. The study concludes that radiologists greatly improve outcomes by routinely assessing muscle health in clinical imaging (</w:t>
      </w:r>
      <w:proofErr w:type="spellStart"/>
      <w:r>
        <w:rPr>
          <w:color w:val="000000"/>
          <w:sz w:val="20"/>
          <w:szCs w:val="20"/>
        </w:rPr>
        <w:t>Tagliafico</w:t>
      </w:r>
      <w:proofErr w:type="spellEnd"/>
      <w:r>
        <w:rPr>
          <w:color w:val="000000"/>
          <w:sz w:val="20"/>
          <w:szCs w:val="20"/>
        </w:rPr>
        <w:t xml:space="preserve"> et al. 2022) [2].</w:t>
      </w:r>
    </w:p>
    <w:p w14:paraId="0000000F"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lastRenderedPageBreak/>
        <w:t>For muscle growth and maintenance, the ISSN Position Stand suggests consuming 1.4–2.0 g/kg/day of protein; intakes exceeding 3.0 g/kg/day may help resistance-trained athletes lose fat. Combining exercise, which increases protein sensitivity for up to 24 hours, with protein intake—20–40 g of high-quality, leucine-rich protein every 3–4 hours—maximizes muscle protein synthesis (MPS). Supplements work well, but whole foods are preferred. Carbs should be the top priority for endurance athletes, but extra protein helps with recuperation and 30–40 g of casein before bed increases MPS overnight. Healthy people can safely consume up to 3.3 g/kg of protein per day, which supports muscle growth, repair, and body composition (</w:t>
      </w:r>
      <w:proofErr w:type="spellStart"/>
      <w:r>
        <w:rPr>
          <w:color w:val="000000"/>
          <w:sz w:val="20"/>
          <w:szCs w:val="20"/>
        </w:rPr>
        <w:t>Jäger</w:t>
      </w:r>
      <w:proofErr w:type="spellEnd"/>
      <w:r>
        <w:rPr>
          <w:color w:val="000000"/>
          <w:sz w:val="20"/>
          <w:szCs w:val="20"/>
        </w:rPr>
        <w:t xml:space="preserve"> et al., 2017) [3].</w:t>
      </w:r>
    </w:p>
    <w:p w14:paraId="00000010"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The purpose of the study "Effects of Protein Supplementation Combined with Exercise Training on Muscle Mass and Function in Older Adults" was to determine whether including protein in exercise regimens would enhance the results of sarcopenia. Protein supplementation by itself had no effect, but when combined with regular exercise, it greatly improved older persons' muscle mass, strength, and functional ability, according to this randomized controlled research. The findings emphasize that exercise is the primary factor influencing muscle health in older adults and show that protein works best when paired with physical activity (Liao et al., 2020) [4]. In sarcopenic older individuals, early vs delayed supervised resistance exercise with nutritional support was evaluated in a randomized controlled experiment. Lower-extremity lean mass increased more quickly and significantly with early intervention, and this benefit persisted even after switching to at-home exercise. Nonetheless, strength and mobility gains were comparable for both groups. In general, consistent at-home exercise helps sustain muscle mass increases, but beginning structured resistance training and diet early speeds them up (van Loon, 2014) [5].</w:t>
      </w:r>
    </w:p>
    <w:p w14:paraId="00000011" w14:textId="77777777" w:rsidR="002D2CBF" w:rsidRDefault="002D2CBF">
      <w:pPr>
        <w:widowControl w:val="0"/>
        <w:pBdr>
          <w:top w:val="nil"/>
          <w:left w:val="nil"/>
          <w:bottom w:val="nil"/>
          <w:right w:val="nil"/>
          <w:between w:val="nil"/>
        </w:pBdr>
        <w:spacing w:line="240" w:lineRule="auto"/>
        <w:jc w:val="both"/>
        <w:rPr>
          <w:color w:val="000000"/>
          <w:sz w:val="24"/>
          <w:szCs w:val="24"/>
        </w:rPr>
      </w:pPr>
    </w:p>
    <w:p w14:paraId="00000012" w14:textId="77777777" w:rsidR="002D2CBF" w:rsidRDefault="00125BFF">
      <w:pPr>
        <w:widowControl w:val="0"/>
        <w:numPr>
          <w:ilvl w:val="0"/>
          <w:numId w:val="3"/>
        </w:numPr>
        <w:pBdr>
          <w:top w:val="nil"/>
          <w:left w:val="nil"/>
          <w:bottom w:val="nil"/>
          <w:right w:val="nil"/>
          <w:between w:val="nil"/>
        </w:pBdr>
        <w:spacing w:line="360" w:lineRule="auto"/>
        <w:jc w:val="both"/>
        <w:rPr>
          <w:b/>
          <w:bCs/>
        </w:rPr>
      </w:pPr>
      <w:r>
        <w:rPr>
          <w:b/>
          <w:bCs/>
        </w:rPr>
        <w:t xml:space="preserve"> </w:t>
      </w:r>
      <w:r>
        <w:rPr>
          <w:b/>
          <w:bCs/>
          <w:color w:val="000000"/>
        </w:rPr>
        <w:t>Protein and Healthy Aging</w:t>
      </w:r>
    </w:p>
    <w:p w14:paraId="00000013" w14:textId="27B2357E"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In order to prevent sarcopenia, it is crucial to consume enough high-quality protein and engage in regular physical activity, according to the paper "Protein and Healthy Aging." Given that older persons frequently </w:t>
      </w:r>
      <w:r w:rsidR="00AA7192">
        <w:rPr>
          <w:color w:val="000000"/>
          <w:sz w:val="20"/>
          <w:szCs w:val="20"/>
        </w:rPr>
        <w:t>under consume</w:t>
      </w:r>
      <w:r>
        <w:rPr>
          <w:color w:val="000000"/>
          <w:sz w:val="20"/>
          <w:szCs w:val="20"/>
        </w:rPr>
        <w:t xml:space="preserve"> protein at breakfast, it is noted that ingesting 25–30 g of protein per meal, equally spread throughout the day, increases muscle protein synthesis. Animal proteins often contain more leucine, which is essential for muscle building, even though both plant and animal proteins are beneficial. The study also emphasizes how exercise increases the anabolic benefits of protein, making the combination crucial for maintaining older persons' independence, strength, and muscle mass. In order to improve protein and exercise recommendations for healthy aging, it calls for more research in its conclusion (</w:t>
      </w:r>
      <w:proofErr w:type="spellStart"/>
      <w:r>
        <w:rPr>
          <w:color w:val="000000"/>
          <w:sz w:val="20"/>
          <w:szCs w:val="20"/>
        </w:rPr>
        <w:t>Paddon</w:t>
      </w:r>
      <w:proofErr w:type="spellEnd"/>
      <w:r>
        <w:rPr>
          <w:color w:val="000000"/>
          <w:sz w:val="20"/>
          <w:szCs w:val="20"/>
        </w:rPr>
        <w:t xml:space="preserve">-Jones et al., 2015) [6]. </w:t>
      </w:r>
      <w:r>
        <w:rPr>
          <w:sz w:val="20"/>
          <w:szCs w:val="20"/>
        </w:rPr>
        <w:t>According to the review "Protein Consumption and the Elderly," older people should not ingest the recommended daily allowance of 0.8 g/kg of protein because sarcopenia is a consequence of aging. Because of anabolic resistance, the authors recommend a higher intake of 1.2–2.0 g/kg/day, emphasizing that high-quality, leucine-rich animal proteins elicit the strongest anabolic response. They note that total daily protein intake is more important than meal distribution and that age-related decreases in mTORC1 activity and leucine sensitivity reduce muscle protein synthesis. Overall, the data concludes that a bigger, higher-quality protein intake is necessary for older persons to sustain muscle growth and function</w:t>
      </w:r>
      <w:r>
        <w:rPr>
          <w:color w:val="000000"/>
          <w:sz w:val="20"/>
          <w:szCs w:val="20"/>
        </w:rPr>
        <w:t xml:space="preserve"> (Baum, Kim, &amp; Wolfe, 2016) [7].</w:t>
      </w:r>
    </w:p>
    <w:p w14:paraId="00000014"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The Nurses' Health Study, a 32-year follow-up of 48,762 women, looked at midlife protein consumption and healthy aging, which is characterized by the absence of significant chronic diseases and good cognitive, mental, and physical function. Merely 7.6% fulfilled these requirements. Greater odds of healthy aging were closely associated with higher total protein intake, particularly plant protein, which increased the likelihood by 22–58% when substituted for animal protein, carbohydrates, or lipids. According to the study, consuming plant-based protein in midlife promotes improved health and a higher standard of living in later life (</w:t>
      </w:r>
      <w:proofErr w:type="spellStart"/>
      <w:r>
        <w:rPr>
          <w:color w:val="000000"/>
          <w:sz w:val="20"/>
          <w:szCs w:val="20"/>
        </w:rPr>
        <w:t>Ardisson</w:t>
      </w:r>
      <w:proofErr w:type="spellEnd"/>
      <w:r>
        <w:rPr>
          <w:color w:val="000000"/>
          <w:sz w:val="20"/>
          <w:szCs w:val="20"/>
        </w:rPr>
        <w:t xml:space="preserve"> Korat et al. 2024) [8]. </w:t>
      </w:r>
      <w:r>
        <w:rPr>
          <w:sz w:val="20"/>
          <w:szCs w:val="20"/>
        </w:rPr>
        <w:t xml:space="preserve">In addition to improving physical and mental outcomes, a balanced diet rich in fruits, vegetables, whole grains, lean meats, and healthy fats lowers the prevalence of chronic diseases. The importance of diet for healthy aging is emphasized in this review. Better aging is linked to diets like the Okinawa, DASH, and Mediterranean patterns. Since preserving muscle, bone health, independence, and cognitive function in older adults requires an appropriate intake of protein, fiber, vitamin D, and omega-3 fatty acids, a more robust public health message on nutrition and aging is required </w:t>
      </w:r>
      <w:r>
        <w:rPr>
          <w:color w:val="000000"/>
          <w:sz w:val="20"/>
          <w:szCs w:val="20"/>
        </w:rPr>
        <w:t>(</w:t>
      </w:r>
      <w:proofErr w:type="spellStart"/>
      <w:r>
        <w:rPr>
          <w:color w:val="000000"/>
          <w:sz w:val="20"/>
          <w:szCs w:val="20"/>
        </w:rPr>
        <w:t>Bojang</w:t>
      </w:r>
      <w:proofErr w:type="spellEnd"/>
      <w:r>
        <w:rPr>
          <w:color w:val="000000"/>
          <w:sz w:val="20"/>
          <w:szCs w:val="20"/>
        </w:rPr>
        <w:t xml:space="preserve"> &amp; </w:t>
      </w:r>
      <w:proofErr w:type="spellStart"/>
      <w:r>
        <w:rPr>
          <w:color w:val="000000"/>
          <w:sz w:val="20"/>
          <w:szCs w:val="20"/>
        </w:rPr>
        <w:t>Manchana</w:t>
      </w:r>
      <w:proofErr w:type="spellEnd"/>
      <w:r>
        <w:rPr>
          <w:color w:val="000000"/>
          <w:sz w:val="20"/>
          <w:szCs w:val="20"/>
        </w:rPr>
        <w:t>, 2023) [9].</w:t>
      </w:r>
    </w:p>
    <w:p w14:paraId="00000015" w14:textId="77777777" w:rsidR="002D2CBF" w:rsidRDefault="002D2CBF">
      <w:pPr>
        <w:widowControl w:val="0"/>
        <w:pBdr>
          <w:top w:val="nil"/>
          <w:left w:val="nil"/>
          <w:bottom w:val="nil"/>
          <w:right w:val="nil"/>
          <w:between w:val="nil"/>
        </w:pBdr>
        <w:spacing w:line="240" w:lineRule="auto"/>
        <w:jc w:val="both"/>
        <w:rPr>
          <w:color w:val="000000"/>
          <w:sz w:val="24"/>
          <w:szCs w:val="24"/>
        </w:rPr>
      </w:pPr>
    </w:p>
    <w:p w14:paraId="00000016" w14:textId="77777777" w:rsidR="002D2CBF" w:rsidRDefault="00125BFF">
      <w:pPr>
        <w:widowControl w:val="0"/>
        <w:numPr>
          <w:ilvl w:val="0"/>
          <w:numId w:val="3"/>
        </w:numPr>
        <w:pBdr>
          <w:top w:val="nil"/>
          <w:left w:val="nil"/>
          <w:bottom w:val="nil"/>
          <w:right w:val="nil"/>
          <w:between w:val="nil"/>
        </w:pBdr>
        <w:spacing w:line="360" w:lineRule="auto"/>
        <w:jc w:val="both"/>
        <w:rPr>
          <w:b/>
          <w:bCs/>
          <w:color w:val="000000"/>
        </w:rPr>
      </w:pPr>
      <w:r>
        <w:rPr>
          <w:b/>
          <w:bCs/>
          <w:color w:val="000000"/>
        </w:rPr>
        <w:t>Sarcopenia and Aging</w:t>
      </w:r>
    </w:p>
    <w:p w14:paraId="00000017"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Anabolic resistance, mitochondrial dysfunction, decreased NAD</w:t>
      </w:r>
      <w:r>
        <w:rPr>
          <w:rFonts w:ascii="Times New Roman" w:eastAsia="Times New Roman" w:hAnsi="Times New Roman" w:cs="Times New Roman"/>
          <w:color w:val="000000"/>
          <w:sz w:val="20"/>
          <w:szCs w:val="20"/>
        </w:rPr>
        <w:t>⁺</w:t>
      </w:r>
      <w:r>
        <w:rPr>
          <w:color w:val="000000"/>
          <w:sz w:val="20"/>
          <w:szCs w:val="20"/>
        </w:rPr>
        <w:t xml:space="preserve"> metabolism, altered myokine signaling, </w:t>
      </w:r>
      <w:r>
        <w:rPr>
          <w:color w:val="000000"/>
          <w:sz w:val="20"/>
          <w:szCs w:val="20"/>
        </w:rPr>
        <w:lastRenderedPageBreak/>
        <w:t>and alterations in gut microbiota are some of the multifactorial reasons of sarcopenia. Muscle atrophy is accelerated by decreased NAD</w:t>
      </w:r>
      <w:r>
        <w:rPr>
          <w:rFonts w:ascii="Times New Roman" w:eastAsia="Times New Roman" w:hAnsi="Times New Roman" w:cs="Times New Roman"/>
          <w:color w:val="000000"/>
          <w:sz w:val="20"/>
          <w:szCs w:val="20"/>
        </w:rPr>
        <w:t>⁺</w:t>
      </w:r>
      <w:r>
        <w:rPr>
          <w:color w:val="000000"/>
          <w:sz w:val="20"/>
          <w:szCs w:val="20"/>
        </w:rPr>
        <w:t xml:space="preserve"> levels, impaired mitophagy, and reduced mitochondrial biogenesis. Resistance training, essential amino acids, NAD</w:t>
      </w:r>
      <w:r>
        <w:rPr>
          <w:rFonts w:ascii="Times New Roman" w:eastAsia="Times New Roman" w:hAnsi="Times New Roman" w:cs="Times New Roman"/>
          <w:color w:val="000000"/>
          <w:sz w:val="20"/>
          <w:szCs w:val="20"/>
        </w:rPr>
        <w:t>⁺</w:t>
      </w:r>
      <w:r>
        <w:rPr>
          <w:color w:val="000000"/>
          <w:sz w:val="20"/>
          <w:szCs w:val="20"/>
        </w:rPr>
        <w:t xml:space="preserve"> boosters (NMN, NR), exercise-mimicking medications, myostatin-targeting antibodies, and microbiota modification are also promising therapies. However, methodological and diagnostic issues continue to restrict clinical translation. In order to enhance prevention and therapy, future strategies will concentrate on precision medicine, improved biomarkers, and multi-omics techniques </w:t>
      </w:r>
      <w:r>
        <w:rPr>
          <w:color w:val="222222"/>
          <w:sz w:val="20"/>
          <w:szCs w:val="20"/>
          <w:highlight w:val="white"/>
        </w:rPr>
        <w:t>(Dao et al., 2020) [10].</w:t>
      </w:r>
      <w:r>
        <w:rPr>
          <w:color w:val="000000"/>
          <w:sz w:val="20"/>
          <w:szCs w:val="20"/>
        </w:rPr>
        <w:t xml:space="preserve"> The main causes of muscle aging, which impairs protein synthesis and muscle function, include oxidative stress, mitochondrial malfunction, decreased satellite cell activity, and chronic inflammation. Frequent resistance and endurance training </w:t>
      </w:r>
      <w:proofErr w:type="gramStart"/>
      <w:r>
        <w:rPr>
          <w:color w:val="000000"/>
          <w:sz w:val="20"/>
          <w:szCs w:val="20"/>
        </w:rPr>
        <w:t>reduces</w:t>
      </w:r>
      <w:proofErr w:type="gramEnd"/>
      <w:r>
        <w:rPr>
          <w:color w:val="000000"/>
          <w:sz w:val="20"/>
          <w:szCs w:val="20"/>
        </w:rPr>
        <w:t xml:space="preserve"> inflammation, increases stem cell activity, strengthens antioxidant defenses, and improves mitochondrial health to counteract these impacts. The authors </w:t>
      </w:r>
      <w:proofErr w:type="gramStart"/>
      <w:r>
        <w:rPr>
          <w:color w:val="000000"/>
          <w:sz w:val="20"/>
          <w:szCs w:val="20"/>
        </w:rPr>
        <w:t>come to the conclusion</w:t>
      </w:r>
      <w:proofErr w:type="gramEnd"/>
      <w:r>
        <w:rPr>
          <w:color w:val="000000"/>
          <w:sz w:val="20"/>
          <w:szCs w:val="20"/>
        </w:rPr>
        <w:t xml:space="preserve"> that the best way to prevent sarcopenia and promote independent, healthy aging is to combine molecular insights with focused exercise regimens (Di Filippo et al., 2020) [11]. </w:t>
      </w:r>
    </w:p>
    <w:p w14:paraId="00000018"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This cross-sectional study of 1,611 older people from the Toledo study of Healthy Aging examined the relationship between sarcopenia and frailty. Frailty was measured using </w:t>
      </w:r>
      <w:proofErr w:type="spellStart"/>
      <w:r>
        <w:rPr>
          <w:color w:val="000000"/>
          <w:sz w:val="20"/>
          <w:szCs w:val="20"/>
        </w:rPr>
        <w:t>Fried's</w:t>
      </w:r>
      <w:proofErr w:type="spellEnd"/>
      <w:r>
        <w:rPr>
          <w:color w:val="000000"/>
          <w:sz w:val="20"/>
          <w:szCs w:val="20"/>
        </w:rPr>
        <w:t xml:space="preserve"> criteria, while sarcopenia was assessed using the EWGSOP, FNIH, and </w:t>
      </w:r>
      <w:proofErr w:type="spellStart"/>
      <w:r>
        <w:rPr>
          <w:color w:val="000000"/>
          <w:sz w:val="20"/>
          <w:szCs w:val="20"/>
        </w:rPr>
        <w:t>sFNIH</w:t>
      </w:r>
      <w:proofErr w:type="spellEnd"/>
      <w:r>
        <w:rPr>
          <w:color w:val="000000"/>
          <w:sz w:val="20"/>
          <w:szCs w:val="20"/>
        </w:rPr>
        <w:t xml:space="preserve"> criteria. 20.6% to 28.1% of people had sarcopenia, while 4.5% of people had frailty. The fact that there was a significant but weak association between the two conditions indicates that they are distinct but related conditions. Logistic regression showed significant connections, especially with FNIH criteria, even though many sarcopenic individuals were not weak. The results of the study indicate that sarcopenia should be evaluated separately in clinical practice because it is a component of frailty and not a reliable indicator on its own (Davies et al., 2018) [12].</w:t>
      </w:r>
    </w:p>
    <w:p w14:paraId="00000019" w14:textId="77777777" w:rsidR="002D2CBF" w:rsidRDefault="002D2CBF">
      <w:pPr>
        <w:widowControl w:val="0"/>
        <w:pBdr>
          <w:top w:val="nil"/>
          <w:left w:val="nil"/>
          <w:bottom w:val="nil"/>
          <w:right w:val="nil"/>
          <w:between w:val="nil"/>
        </w:pBdr>
        <w:spacing w:line="240" w:lineRule="auto"/>
        <w:ind w:right="513"/>
        <w:jc w:val="both"/>
        <w:rPr>
          <w:color w:val="000000"/>
          <w:sz w:val="24"/>
          <w:szCs w:val="24"/>
        </w:rPr>
      </w:pPr>
    </w:p>
    <w:p w14:paraId="0000001A" w14:textId="77777777" w:rsidR="002D2CBF" w:rsidRDefault="00125BFF">
      <w:pPr>
        <w:widowControl w:val="0"/>
        <w:pBdr>
          <w:top w:val="nil"/>
          <w:left w:val="nil"/>
          <w:bottom w:val="nil"/>
          <w:right w:val="nil"/>
          <w:between w:val="nil"/>
        </w:pBdr>
        <w:spacing w:line="360" w:lineRule="auto"/>
        <w:ind w:right="513"/>
        <w:jc w:val="both"/>
        <w:rPr>
          <w:b/>
          <w:bCs/>
          <w:color w:val="000000"/>
        </w:rPr>
      </w:pPr>
      <w:r>
        <w:rPr>
          <w:b/>
          <w:bCs/>
        </w:rPr>
        <w:t xml:space="preserve">3.1 </w:t>
      </w:r>
      <w:r>
        <w:rPr>
          <w:b/>
          <w:bCs/>
          <w:color w:val="000000"/>
        </w:rPr>
        <w:t>Sarcopenia Prevalence</w:t>
      </w:r>
    </w:p>
    <w:p w14:paraId="0000001B"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According to the review "Epidemiology of Sarcopenia: Prevalence, Risk Factors, and Consequences," up to 66% of people with severe chronic conditions and 10–16% of older persons worldwide suffer from sarcopenia. Increased mortality, disability, falls, fractures, cognitive decline, and longer hospital admissions are all linked to it. Physical inactivity, poor nutrition, smoking, insufficient sleep, and diabetes are important modifiable risk factors. Its advancement may be influenced by inflammation, oxidative stress, insulin resistance, and changes in the gut flora. Visceral fat probably raises risk, even if a higher BMI could seem beneficial. The authors stress that sarcopenia is a serious worldwide health issue that calls for integrated nutritional, lifestyle, and molecular-targeted interventions. They also stress the necessity for big prospective and omics-based investigations (Yuan &amp; Larsson, 2022) [13].</w:t>
      </w:r>
    </w:p>
    <w:p w14:paraId="0000001C"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The study "Global prevalence of sarcopenia and severe sarcopenia," which looked at 263 studies with more than 690,000 individuals, produced the most thorough global estimate to date. Prevalence varied widely (0.2%–86.5%) due to diverse diagnostic methods, with pooled rates of about 10% using EWGSOP2 and 27% using definitions based only on muscle mass. Severe sarcopenia affected 2–9% of people, and it was more common in men and in Europe. Despite the fact that muscle loss began earlier, most studies focused on people over 60, and there was little information from Africa. The review discovered a high level of variation between studies because of different definitions and assessment tools. In order to improve comparability, early detection, and therapeutic therapy, the authors emphasize the necessity of standard global criteria for sarcopenia, a major global health concern (</w:t>
      </w:r>
      <w:proofErr w:type="spellStart"/>
      <w:r>
        <w:rPr>
          <w:color w:val="000000"/>
          <w:sz w:val="20"/>
          <w:szCs w:val="20"/>
        </w:rPr>
        <w:t>Petermann</w:t>
      </w:r>
      <w:proofErr w:type="spellEnd"/>
      <w:r>
        <w:rPr>
          <w:color w:val="000000"/>
          <w:sz w:val="20"/>
          <w:szCs w:val="20"/>
        </w:rPr>
        <w:t>-Rocha et al., 2022) [14].</w:t>
      </w:r>
    </w:p>
    <w:p w14:paraId="0000001D" w14:textId="77777777" w:rsidR="002D2CBF" w:rsidRDefault="002D2CBF">
      <w:pPr>
        <w:widowControl w:val="0"/>
        <w:pBdr>
          <w:top w:val="nil"/>
          <w:left w:val="nil"/>
          <w:bottom w:val="nil"/>
          <w:right w:val="nil"/>
          <w:between w:val="nil"/>
        </w:pBdr>
        <w:spacing w:line="240" w:lineRule="auto"/>
        <w:ind w:right="513"/>
        <w:jc w:val="both"/>
        <w:rPr>
          <w:color w:val="000000"/>
          <w:sz w:val="24"/>
          <w:szCs w:val="24"/>
        </w:rPr>
      </w:pPr>
    </w:p>
    <w:p w14:paraId="0000001E" w14:textId="77777777" w:rsidR="002D2CBF" w:rsidRDefault="00125BFF">
      <w:pPr>
        <w:widowControl w:val="0"/>
        <w:pBdr>
          <w:top w:val="nil"/>
          <w:left w:val="nil"/>
          <w:bottom w:val="nil"/>
          <w:right w:val="nil"/>
          <w:between w:val="nil"/>
        </w:pBdr>
        <w:spacing w:line="360" w:lineRule="auto"/>
        <w:ind w:right="513"/>
        <w:jc w:val="both"/>
        <w:rPr>
          <w:b/>
          <w:bCs/>
          <w:color w:val="000000"/>
        </w:rPr>
      </w:pPr>
      <w:r>
        <w:rPr>
          <w:b/>
          <w:bCs/>
        </w:rPr>
        <w:t xml:space="preserve">3.2 </w:t>
      </w:r>
      <w:r>
        <w:rPr>
          <w:b/>
          <w:bCs/>
          <w:color w:val="000000"/>
        </w:rPr>
        <w:t>Sarcopenia and Protein Consumption</w:t>
      </w:r>
    </w:p>
    <w:p w14:paraId="0000001F"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This 12-month RCT examined whether giving older persons with sarcopenia a daily dose of 40 g of whey-enriched protein could increase their muscle mass or improve their physical performance. There were no discernible differences in muscle mass, handgrip strength, or physical performance between the protein, placebo, and control groups among 218 Finnish participants who were 74 years of age or older. Over half of participants in the supplement groups had modest gastrointestinal side effects, and all groups exhibited a steady loss in function. The study </w:t>
      </w:r>
      <w:proofErr w:type="gramStart"/>
      <w:r>
        <w:rPr>
          <w:color w:val="000000"/>
          <w:sz w:val="20"/>
          <w:szCs w:val="20"/>
        </w:rPr>
        <w:t>comes to the conclusion</w:t>
      </w:r>
      <w:proofErr w:type="gramEnd"/>
      <w:r>
        <w:rPr>
          <w:color w:val="000000"/>
          <w:sz w:val="20"/>
          <w:szCs w:val="20"/>
        </w:rPr>
        <w:t xml:space="preserve"> that older persons with sarcopenia cannot adequately maintain or increase muscle health with protein supplements alone, even when combined with low-intensity at-home exercise (</w:t>
      </w:r>
      <w:proofErr w:type="spellStart"/>
      <w:r>
        <w:rPr>
          <w:color w:val="000000"/>
          <w:sz w:val="20"/>
          <w:szCs w:val="20"/>
        </w:rPr>
        <w:t>Björkman</w:t>
      </w:r>
      <w:proofErr w:type="spellEnd"/>
      <w:r>
        <w:rPr>
          <w:color w:val="000000"/>
          <w:sz w:val="20"/>
          <w:szCs w:val="20"/>
        </w:rPr>
        <w:t xml:space="preserve"> et al., 2020) [15]. The research about the impact of protein and dietary supplements on sarcopenia in older adults is compiled in this review. It states that while protein by itself has little effect, high-quality animal proteins, particularly whey and milk protein (1.2–1.5 g/kg/day), when paired with resistance training, enhance muscle mass, strength, and performance. Leucine-rich </w:t>
      </w:r>
      <w:r>
        <w:rPr>
          <w:color w:val="000000"/>
          <w:sz w:val="20"/>
          <w:szCs w:val="20"/>
        </w:rPr>
        <w:lastRenderedPageBreak/>
        <w:t xml:space="preserve">essential amino acids, HMB, creatine, citrulline, and omega-3s are examples of supplements that improve muscle health by increasing lean mass, strength, blood flow, and lowering inflammation. Whey protein, leucine, and vitamin D are examples of combinations that work better than individual supplements. Overall, the analysis </w:t>
      </w:r>
      <w:proofErr w:type="gramStart"/>
      <w:r>
        <w:rPr>
          <w:color w:val="000000"/>
          <w:sz w:val="20"/>
          <w:szCs w:val="20"/>
        </w:rPr>
        <w:t>comes to the conclusion</w:t>
      </w:r>
      <w:proofErr w:type="gramEnd"/>
      <w:r>
        <w:rPr>
          <w:color w:val="000000"/>
          <w:sz w:val="20"/>
          <w:szCs w:val="20"/>
        </w:rPr>
        <w:t xml:space="preserve"> that a synergistic strategy combining sufficient protein intake, tailored supplementation, and regular exercise is the most effective way to combat sarcopenia (Young </w:t>
      </w:r>
      <w:proofErr w:type="spellStart"/>
      <w:r>
        <w:rPr>
          <w:color w:val="000000"/>
          <w:sz w:val="20"/>
          <w:szCs w:val="20"/>
        </w:rPr>
        <w:t>Jin</w:t>
      </w:r>
      <w:proofErr w:type="spellEnd"/>
      <w:r>
        <w:rPr>
          <w:color w:val="000000"/>
          <w:sz w:val="20"/>
          <w:szCs w:val="20"/>
        </w:rPr>
        <w:t xml:space="preserve"> Jang 2023) [16]. </w:t>
      </w:r>
    </w:p>
    <w:p w14:paraId="00000020" w14:textId="77777777" w:rsidR="002D2CBF" w:rsidRDefault="00125BFF">
      <w:pPr>
        <w:widowControl w:val="0"/>
        <w:pBdr>
          <w:top w:val="nil"/>
          <w:left w:val="nil"/>
          <w:bottom w:val="nil"/>
          <w:right w:val="nil"/>
          <w:between w:val="nil"/>
        </w:pBdr>
        <w:spacing w:line="240" w:lineRule="auto"/>
        <w:jc w:val="both"/>
        <w:rPr>
          <w:color w:val="000000"/>
          <w:sz w:val="20"/>
          <w:szCs w:val="20"/>
        </w:rPr>
      </w:pPr>
      <w:r>
        <w:rPr>
          <w:sz w:val="20"/>
          <w:szCs w:val="20"/>
        </w:rPr>
        <w:t xml:space="preserve">This comprehensive review and meta-analysis, which included seven studies including 3,353 older adults, found that individuals with sarcopenia consumed much less protein than those without it. A regular diet high in fat may increase the risk of sarcopenia even when protein levels are adequate, whereas consuming more plant-based protein may lower the risk, according to some study. Overall, the study shows that insufficient protein intake is associated with sarcopenia; however, most of the data are cross-sectional, highlighting the need for longer-term studies. It emphasizes the need to carefully evaluate protein quality, overall dietary practices, and lifestyle factors like exercise in order to prevent muscle loss in older adults </w:t>
      </w:r>
      <w:r>
        <w:rPr>
          <w:color w:val="000000"/>
          <w:sz w:val="20"/>
          <w:szCs w:val="20"/>
        </w:rPr>
        <w:t>(Coelho-Junior et al. 2022) [17].</w:t>
      </w:r>
    </w:p>
    <w:p w14:paraId="00000021" w14:textId="77777777" w:rsidR="002D2CBF" w:rsidRDefault="002D2CBF">
      <w:pPr>
        <w:widowControl w:val="0"/>
        <w:pBdr>
          <w:top w:val="nil"/>
          <w:left w:val="nil"/>
          <w:bottom w:val="nil"/>
          <w:right w:val="nil"/>
          <w:between w:val="nil"/>
        </w:pBdr>
        <w:spacing w:line="240" w:lineRule="auto"/>
        <w:ind w:right="513"/>
        <w:jc w:val="both"/>
        <w:rPr>
          <w:color w:val="000000"/>
          <w:sz w:val="24"/>
          <w:szCs w:val="24"/>
        </w:rPr>
      </w:pPr>
    </w:p>
    <w:p w14:paraId="00000022" w14:textId="77777777" w:rsidR="002D2CBF" w:rsidRDefault="00125BFF">
      <w:pPr>
        <w:widowControl w:val="0"/>
        <w:numPr>
          <w:ilvl w:val="0"/>
          <w:numId w:val="3"/>
        </w:numPr>
        <w:pBdr>
          <w:top w:val="nil"/>
          <w:left w:val="nil"/>
          <w:bottom w:val="nil"/>
          <w:right w:val="nil"/>
          <w:between w:val="nil"/>
        </w:pBdr>
        <w:spacing w:line="360" w:lineRule="auto"/>
        <w:ind w:right="513"/>
        <w:jc w:val="both"/>
        <w:rPr>
          <w:b/>
          <w:bCs/>
          <w:color w:val="000000"/>
        </w:rPr>
      </w:pPr>
      <w:r>
        <w:rPr>
          <w:b/>
          <w:bCs/>
          <w:color w:val="000000"/>
        </w:rPr>
        <w:t>Correlation Between Sarcopenia, Exercise and Protein</w:t>
      </w:r>
    </w:p>
    <w:p w14:paraId="00000023" w14:textId="06674F2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The article emphasizes that avoiding or delaying sarcopenia requires frequent exercise, particularly resistance training, and a sufficient intake of protein. It argues that older persons benefit more from 1.0 - 1.5 g/kg/day of protein, especially from leucine-rich sources, and that the typical 0.8 g/kg/day advice is too low. While aerobic exercise promotes endurance, resistance training increases muscular mass and strength. By activating mTORC1, these activities improve muscle protein synthesis in conjunction with protein. The authors conclude that the best way to postpone sarcopenia and encourage healthy, independent aging is to combine regular resistance and aerobic exercise with at least 1.2 g/kg/day of protein (</w:t>
      </w:r>
      <w:proofErr w:type="spellStart"/>
      <w:r>
        <w:rPr>
          <w:color w:val="000000"/>
          <w:sz w:val="20"/>
          <w:szCs w:val="20"/>
        </w:rPr>
        <w:t>Naseeb</w:t>
      </w:r>
      <w:proofErr w:type="spellEnd"/>
      <w:r>
        <w:rPr>
          <w:color w:val="000000"/>
          <w:sz w:val="20"/>
          <w:szCs w:val="20"/>
        </w:rPr>
        <w:t xml:space="preserve"> &amp; Volpe, 2017) [1</w:t>
      </w:r>
      <w:r>
        <w:rPr>
          <w:sz w:val="20"/>
          <w:szCs w:val="20"/>
        </w:rPr>
        <w:t>8</w:t>
      </w:r>
      <w:r>
        <w:rPr>
          <w:color w:val="000000"/>
          <w:sz w:val="20"/>
          <w:szCs w:val="20"/>
        </w:rPr>
        <w:t xml:space="preserve">]. The authors stress that the best methods to promote muscle protein synthesis and combat anabolic resistance in the absence of approved medication therapies are consistent resistance exercise and sufficient protein consumption (1.0–1.5 g/kg/day). Both animal and </w:t>
      </w:r>
      <w:r w:rsidR="00AA7192">
        <w:rPr>
          <w:color w:val="000000"/>
          <w:sz w:val="20"/>
          <w:szCs w:val="20"/>
        </w:rPr>
        <w:t>well-chosen</w:t>
      </w:r>
      <w:r>
        <w:rPr>
          <w:color w:val="000000"/>
          <w:sz w:val="20"/>
          <w:szCs w:val="20"/>
        </w:rPr>
        <w:t xml:space="preserve"> plant proteins can improve muscle health, and exercise-induced myokines boost metabolism, regeneration, and inflammation control. The study </w:t>
      </w:r>
      <w:proofErr w:type="gramStart"/>
      <w:r>
        <w:rPr>
          <w:color w:val="000000"/>
          <w:sz w:val="20"/>
          <w:szCs w:val="20"/>
        </w:rPr>
        <w:t>comes to the conclusion</w:t>
      </w:r>
      <w:proofErr w:type="gramEnd"/>
      <w:r>
        <w:rPr>
          <w:color w:val="000000"/>
          <w:sz w:val="20"/>
          <w:szCs w:val="20"/>
        </w:rPr>
        <w:t xml:space="preserve"> that the best way to prevent or treat sarcopenia in elderly and chronically ill persons is to combine customized exercise regimens with a balanced diet (</w:t>
      </w:r>
      <w:proofErr w:type="spellStart"/>
      <w:r>
        <w:rPr>
          <w:color w:val="000000"/>
          <w:sz w:val="20"/>
          <w:szCs w:val="20"/>
        </w:rPr>
        <w:t>Nasso</w:t>
      </w:r>
      <w:proofErr w:type="spellEnd"/>
      <w:r>
        <w:rPr>
          <w:color w:val="000000"/>
          <w:sz w:val="20"/>
          <w:szCs w:val="20"/>
        </w:rPr>
        <w:t xml:space="preserve"> et al., 2024) [</w:t>
      </w:r>
      <w:r>
        <w:rPr>
          <w:sz w:val="20"/>
          <w:szCs w:val="20"/>
        </w:rPr>
        <w:t>19</w:t>
      </w:r>
      <w:r>
        <w:rPr>
          <w:color w:val="000000"/>
          <w:sz w:val="20"/>
          <w:szCs w:val="20"/>
        </w:rPr>
        <w:t>].</w:t>
      </w:r>
    </w:p>
    <w:p w14:paraId="00000024"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In this study, 80 older persons (mean age 76.5 years) who participated in weekly resistance training at HUR and traditional gyms were studied for relationships between physical activity, nutrition, and sarcopenia-related parameters. HUR individuals ingested more protein even though overall activity and diet quality were comparable between groups. In the traditional gym group, higher protein and energy intake were linked to higher appendicular lean mass, and increased physical activity was linked to faster gait speed. There were no connections found between the components of sarcopenia and the general quality of diet. The authors conclude that if physical activity or protein intake is inadequate, even active older persons may have decreased gait speed and lean mass, underscoring the significance of both for preserving muscle health with aging (</w:t>
      </w:r>
      <w:proofErr w:type="spellStart"/>
      <w:r>
        <w:rPr>
          <w:color w:val="000000"/>
          <w:sz w:val="20"/>
          <w:szCs w:val="20"/>
        </w:rPr>
        <w:t>Akehurst</w:t>
      </w:r>
      <w:proofErr w:type="spellEnd"/>
      <w:r>
        <w:rPr>
          <w:color w:val="000000"/>
          <w:sz w:val="20"/>
          <w:szCs w:val="20"/>
        </w:rPr>
        <w:t xml:space="preserve"> et al., 2021) [2</w:t>
      </w:r>
      <w:r>
        <w:rPr>
          <w:sz w:val="20"/>
          <w:szCs w:val="20"/>
        </w:rPr>
        <w:t>0</w:t>
      </w:r>
      <w:r>
        <w:rPr>
          <w:color w:val="000000"/>
          <w:sz w:val="20"/>
          <w:szCs w:val="20"/>
        </w:rPr>
        <w:t>].</w:t>
      </w:r>
    </w:p>
    <w:p w14:paraId="00000025" w14:textId="77777777" w:rsidR="002D2CBF" w:rsidRDefault="002D2CBF">
      <w:pPr>
        <w:widowControl w:val="0"/>
        <w:pBdr>
          <w:top w:val="nil"/>
          <w:left w:val="nil"/>
          <w:bottom w:val="nil"/>
          <w:right w:val="nil"/>
          <w:between w:val="nil"/>
        </w:pBdr>
        <w:spacing w:line="240" w:lineRule="auto"/>
        <w:jc w:val="both"/>
        <w:rPr>
          <w:color w:val="000000"/>
          <w:sz w:val="20"/>
          <w:szCs w:val="20"/>
        </w:rPr>
      </w:pPr>
    </w:p>
    <w:p w14:paraId="00000026" w14:textId="77777777" w:rsidR="002D2CBF" w:rsidRDefault="00125BFF">
      <w:pPr>
        <w:widowControl w:val="0"/>
        <w:pBdr>
          <w:top w:val="nil"/>
          <w:left w:val="nil"/>
          <w:bottom w:val="nil"/>
          <w:right w:val="nil"/>
          <w:between w:val="nil"/>
        </w:pBdr>
        <w:spacing w:line="360" w:lineRule="auto"/>
        <w:ind w:right="513"/>
        <w:jc w:val="both"/>
        <w:rPr>
          <w:b/>
          <w:bCs/>
          <w:color w:val="000000"/>
        </w:rPr>
      </w:pPr>
      <w:r>
        <w:rPr>
          <w:b/>
          <w:bCs/>
        </w:rPr>
        <w:t xml:space="preserve">4.1 </w:t>
      </w:r>
      <w:r>
        <w:rPr>
          <w:b/>
          <w:bCs/>
          <w:color w:val="000000"/>
        </w:rPr>
        <w:t xml:space="preserve">Sarcopenia and Exercise Effectiveness </w:t>
      </w:r>
    </w:p>
    <w:p w14:paraId="00000027"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According to the article "Exercise and Sarcopenia," the best strategy for managing and preventing age-related muscle loss is consistent resistance and endurance training. Exercise helps recover strength and function by increasing the synthesis of muscle proteins, enhancing mitochondrial function, and lowering inflammation. Muscle health is further improved by combining exercise with enough protein and nutrients like vitamin D and omega-3 fatty acids. The authors conclude that structured exercise is still the most effective way to fight sarcopenia and lessen frailty in older persons, and they advocate customized programs that include resistance, endurance, and balance training multiple times a week (</w:t>
      </w:r>
      <w:proofErr w:type="spellStart"/>
      <w:r>
        <w:rPr>
          <w:color w:val="000000"/>
          <w:sz w:val="20"/>
          <w:szCs w:val="20"/>
        </w:rPr>
        <w:t>Phu</w:t>
      </w:r>
      <w:proofErr w:type="spellEnd"/>
      <w:r>
        <w:rPr>
          <w:color w:val="000000"/>
          <w:sz w:val="20"/>
          <w:szCs w:val="20"/>
        </w:rPr>
        <w:t>, Boersma, &amp; Duque, 2015) [2</w:t>
      </w:r>
      <w:r>
        <w:rPr>
          <w:sz w:val="20"/>
          <w:szCs w:val="20"/>
        </w:rPr>
        <w:t>1</w:t>
      </w:r>
      <w:r>
        <w:rPr>
          <w:color w:val="000000"/>
          <w:sz w:val="20"/>
          <w:szCs w:val="20"/>
        </w:rPr>
        <w:t xml:space="preserve">]. Exercise considerably increased knee-extension strength, balance, and both appendicular and leg muscle mass in older persons with sarcopenia, according to the review "Exercise Interventions in Healthy Older Adults with Sarcopenia," which included six high-quality trials. These findings demonstrate that organized exercise, particularly resistance training, can successfully lessen functional decline and muscular weakness. However, judgments on the best regimens are limited by the wide variations in exercise type, intensity, and duration across research. In order to determine the best exercise </w:t>
      </w:r>
      <w:r>
        <w:rPr>
          <w:color w:val="000000"/>
          <w:sz w:val="20"/>
          <w:szCs w:val="20"/>
        </w:rPr>
        <w:lastRenderedPageBreak/>
        <w:t>recommendations for treating sarcopenia, the authors advocate for more uniform, carefully planned studies (</w:t>
      </w:r>
      <w:proofErr w:type="spellStart"/>
      <w:r>
        <w:rPr>
          <w:color w:val="000000"/>
          <w:sz w:val="20"/>
          <w:szCs w:val="20"/>
        </w:rPr>
        <w:t>Vlietstra</w:t>
      </w:r>
      <w:proofErr w:type="spellEnd"/>
      <w:r>
        <w:rPr>
          <w:color w:val="000000"/>
          <w:sz w:val="20"/>
          <w:szCs w:val="20"/>
        </w:rPr>
        <w:t xml:space="preserve">, </w:t>
      </w:r>
      <w:proofErr w:type="spellStart"/>
      <w:r>
        <w:rPr>
          <w:color w:val="000000"/>
          <w:sz w:val="20"/>
          <w:szCs w:val="20"/>
        </w:rPr>
        <w:t>Hendrickx</w:t>
      </w:r>
      <w:proofErr w:type="spellEnd"/>
      <w:r>
        <w:rPr>
          <w:color w:val="000000"/>
          <w:sz w:val="20"/>
          <w:szCs w:val="20"/>
        </w:rPr>
        <w:t>, &amp; Waters, 2018) [2</w:t>
      </w:r>
      <w:r>
        <w:rPr>
          <w:sz w:val="20"/>
          <w:szCs w:val="20"/>
        </w:rPr>
        <w:t>2</w:t>
      </w:r>
      <w:r>
        <w:rPr>
          <w:color w:val="000000"/>
          <w:sz w:val="20"/>
          <w:szCs w:val="20"/>
        </w:rPr>
        <w:t xml:space="preserve">]. </w:t>
      </w:r>
    </w:p>
    <w:p w14:paraId="00000028"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According to the review "Sarcopenia, Frailty and Their Prevention by Exercise," sarcopenia and frailty are caused by age-related decreases in muscular mass, strength, and brain function, which raise the risk of disability and death. It identifies oxidative stress, hormonal fluctuations, and neuronal degeneration as the main causes of muscle loss, with poor nutrition and inactivity being the main modifiable risks. The authors stress that frequent aerobic and resistance training reduces oxidative stress and inflammation while enhancing strength, balance, and functional ability. But they point out that exercise might not be sufficient on its own; the best way to prevent or reduce sarcopenia and frailty is to combine physical activity with a healthy diet, particularly enough protein, and other supportive techniques (Nascimento et al. 2019) [2</w:t>
      </w:r>
      <w:r>
        <w:rPr>
          <w:sz w:val="20"/>
          <w:szCs w:val="20"/>
        </w:rPr>
        <w:t>3</w:t>
      </w:r>
      <w:r>
        <w:rPr>
          <w:color w:val="000000"/>
          <w:sz w:val="20"/>
          <w:szCs w:val="20"/>
        </w:rPr>
        <w:t>]. Resistance training, either by itself or in conjunction with balance or aerobic exercise, is the most effective treatment for enhancing quality of life and functional outcomes like gait speed, chair stands, and timed up-and-go performance, according to a systematic review and network meta-analysis of 42 randomized trials involving 3,728 older adults with sarcopenia. Handgrip strength was further enhanced by adding nutritional support, particularly protein supplements, although other physical function measurements were not significantly affected. Exercise, especially resistance and multicomponent programs, is the cornerstone of managing sarcopenia, with food providing extra advantages mostly for muscle strength, the study concluded using PRISMA and GRADE techniques (Shen et al., 2023) [2</w:t>
      </w:r>
      <w:r>
        <w:rPr>
          <w:sz w:val="20"/>
          <w:szCs w:val="20"/>
        </w:rPr>
        <w:t>4</w:t>
      </w:r>
      <w:r>
        <w:rPr>
          <w:color w:val="000000"/>
          <w:sz w:val="20"/>
          <w:szCs w:val="20"/>
        </w:rPr>
        <w:t>].</w:t>
      </w:r>
    </w:p>
    <w:p w14:paraId="00000029"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Exercise regimens, including resistance, aerobic, balance, weight, and whole-body vibration training, significantly improved muscle strength and physical performance in older adults with sarcopenia, but did not increase muscle mass, according to a systematic review and meta-analysis of 22 trials involving 1,041 adults aged 60 and over. Grip strength, chair stand performance, gait speed, and TUG test times showed the biggest improvements. The most successful exercises were resistance and aerobic training; home-based and mixed programs also demonstrated advantages. The authors stressed the need for bigger, uniform studies to identify the best exercise regimens and long-term results because of the heterogeneity in study designs (Bao et al. 2020) [2</w:t>
      </w:r>
      <w:r>
        <w:rPr>
          <w:sz w:val="20"/>
          <w:szCs w:val="20"/>
        </w:rPr>
        <w:t>5</w:t>
      </w:r>
      <w:r>
        <w:rPr>
          <w:color w:val="000000"/>
          <w:sz w:val="20"/>
          <w:szCs w:val="20"/>
        </w:rPr>
        <w:t xml:space="preserve">]. </w:t>
      </w:r>
    </w:p>
    <w:p w14:paraId="0000002A" w14:textId="77777777" w:rsidR="002D2CBF" w:rsidRDefault="002D2CBF">
      <w:pPr>
        <w:widowControl w:val="0"/>
        <w:pBdr>
          <w:top w:val="nil"/>
          <w:left w:val="nil"/>
          <w:bottom w:val="nil"/>
          <w:right w:val="nil"/>
          <w:between w:val="nil"/>
        </w:pBdr>
        <w:spacing w:line="240" w:lineRule="auto"/>
        <w:jc w:val="both"/>
        <w:rPr>
          <w:color w:val="000000"/>
          <w:sz w:val="20"/>
          <w:szCs w:val="20"/>
        </w:rPr>
      </w:pPr>
    </w:p>
    <w:p w14:paraId="0000002B" w14:textId="77777777" w:rsidR="002D2CBF" w:rsidRDefault="00125BFF">
      <w:pPr>
        <w:widowControl w:val="0"/>
        <w:numPr>
          <w:ilvl w:val="0"/>
          <w:numId w:val="3"/>
        </w:numPr>
        <w:pBdr>
          <w:top w:val="nil"/>
          <w:left w:val="nil"/>
          <w:bottom w:val="nil"/>
          <w:right w:val="nil"/>
          <w:between w:val="nil"/>
        </w:pBdr>
        <w:spacing w:line="360" w:lineRule="auto"/>
        <w:ind w:right="513"/>
        <w:jc w:val="both"/>
        <w:rPr>
          <w:b/>
          <w:bCs/>
          <w:color w:val="000000"/>
        </w:rPr>
      </w:pPr>
      <w:r>
        <w:rPr>
          <w:b/>
          <w:bCs/>
          <w:color w:val="000000"/>
        </w:rPr>
        <w:t>Late Onset of Sarcopenia Based on Increased Protein in Diet and Regular Exercise</w:t>
      </w:r>
    </w:p>
    <w:p w14:paraId="0000002C"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Aging decreases muscle protein synthesis, which results in muscle loss, weakness, and frailty, according to the article "Strategies to Prevent Sarcopenia in the Aging Process: Role of Protein Intake and Exercise." It highlights that in order to efficiently increase muscle protein synthesis, older persons require a greater protein intake—roughly 1.0–1.3 g/kg/day, evenly distributed, and rich in leucine. Resistance training increases muscle mass and strength by activating the mTOR pathway, especially when combined with sufficient protein. Cardiovascular and metabolic health are further supported by aerobic and mixed activities. Overall, the analysis </w:t>
      </w:r>
      <w:proofErr w:type="gramStart"/>
      <w:r>
        <w:rPr>
          <w:color w:val="000000"/>
          <w:sz w:val="20"/>
          <w:szCs w:val="20"/>
        </w:rPr>
        <w:t>comes to the conclusion</w:t>
      </w:r>
      <w:proofErr w:type="gramEnd"/>
      <w:r>
        <w:rPr>
          <w:color w:val="000000"/>
          <w:sz w:val="20"/>
          <w:szCs w:val="20"/>
        </w:rPr>
        <w:t xml:space="preserve"> that maintaining good aging and preventing or delaying sarcopenia can be achieved with regular resistance and aerobic exercise along with adequate protein intake (</w:t>
      </w:r>
      <w:proofErr w:type="spellStart"/>
      <w:r>
        <w:rPr>
          <w:color w:val="000000"/>
          <w:sz w:val="20"/>
          <w:szCs w:val="20"/>
        </w:rPr>
        <w:t>Rogeri</w:t>
      </w:r>
      <w:proofErr w:type="spellEnd"/>
      <w:r>
        <w:rPr>
          <w:color w:val="000000"/>
          <w:sz w:val="20"/>
          <w:szCs w:val="20"/>
        </w:rPr>
        <w:t xml:space="preserve"> et al., 2022) [2</w:t>
      </w:r>
      <w:r>
        <w:rPr>
          <w:sz w:val="20"/>
          <w:szCs w:val="20"/>
        </w:rPr>
        <w:t>6</w:t>
      </w:r>
      <w:r>
        <w:rPr>
          <w:color w:val="000000"/>
          <w:sz w:val="20"/>
          <w:szCs w:val="20"/>
        </w:rPr>
        <w:t>]. 85 persons with sarcopenia who were 65 years of age or older participated in a 12-week open-label trial that compared a high-protein diet by itself with the same diet plus a whey protein, leucine, and vitamin D supplement. In addition to increasing body weight, fat-free mass, and appendicular muscle mass index, both groups attained roughly 1.5 g protein/kg/day, demonstrating that sufficient protein promotes muscle maintenance. Only the supplement group, particularly those between the ages of 65 and 74, saw an improvement in gait speed, suggesting additional advantages for physical performance. According to the study's findings, while consuming a lot of protein increases muscle mass, supplements provide a practical means of achieving protein targets and may also improve mobility in persons with sarcopenia (Lin et al., 2019) [2</w:t>
      </w:r>
      <w:r>
        <w:rPr>
          <w:sz w:val="20"/>
          <w:szCs w:val="20"/>
        </w:rPr>
        <w:t>7</w:t>
      </w:r>
      <w:r>
        <w:rPr>
          <w:color w:val="000000"/>
          <w:sz w:val="20"/>
          <w:szCs w:val="20"/>
        </w:rPr>
        <w:t>].</w:t>
      </w:r>
    </w:p>
    <w:p w14:paraId="0000002D" w14:textId="77777777" w:rsidR="002D2CBF" w:rsidRDefault="00125BFF">
      <w:pPr>
        <w:widowControl w:val="0"/>
        <w:pBdr>
          <w:top w:val="nil"/>
          <w:left w:val="nil"/>
          <w:bottom w:val="nil"/>
          <w:right w:val="nil"/>
          <w:between w:val="nil"/>
        </w:pBdr>
        <w:shd w:val="clear" w:color="auto" w:fill="FFFFFF"/>
        <w:spacing w:line="240" w:lineRule="auto"/>
        <w:jc w:val="both"/>
        <w:rPr>
          <w:color w:val="000000"/>
          <w:sz w:val="20"/>
          <w:szCs w:val="20"/>
        </w:rPr>
      </w:pPr>
      <w:r>
        <w:rPr>
          <w:color w:val="000000"/>
          <w:sz w:val="20"/>
          <w:szCs w:val="20"/>
        </w:rPr>
        <w:t>Sarcopenia, a loss of muscular mass, strength, and function, is caused by aging, inactivity, poor nutrition, and chronic illness, according to the paper "Nutrition and physical activity for the prevention and treatment of age-related sarcopenia." It emphasizes how leucine-rich meals, vitamin D, n-3 fatty acids, and a sufficient protein consumption (1.2 - 1.5 g/kg/day) improve muscular health, particularly when paired with regular resistance and endurance exercise. While inactivity accelerates the loss of muscle mass, physical activity increases the anabolic response. Despite the benefits of both exercise and nutrition, research findings differ because of variable methodology. Although more standardized study is required, the authors conclude that preserving independence and quality of life in older persons requires an ideal diet and physical activity (</w:t>
      </w:r>
      <w:proofErr w:type="spellStart"/>
      <w:r>
        <w:rPr>
          <w:color w:val="000000"/>
          <w:sz w:val="20"/>
          <w:szCs w:val="20"/>
        </w:rPr>
        <w:t>Bosaeus</w:t>
      </w:r>
      <w:proofErr w:type="spellEnd"/>
      <w:r>
        <w:rPr>
          <w:color w:val="000000"/>
          <w:sz w:val="20"/>
          <w:szCs w:val="20"/>
        </w:rPr>
        <w:t xml:space="preserve"> &amp; Rothenberg, 2016) [2</w:t>
      </w:r>
      <w:r>
        <w:rPr>
          <w:sz w:val="20"/>
          <w:szCs w:val="20"/>
        </w:rPr>
        <w:t>8</w:t>
      </w:r>
      <w:r>
        <w:rPr>
          <w:color w:val="000000"/>
          <w:sz w:val="20"/>
          <w:szCs w:val="20"/>
        </w:rPr>
        <w:t>].</w:t>
      </w:r>
    </w:p>
    <w:p w14:paraId="0000002E" w14:textId="77777777" w:rsidR="002D2CBF" w:rsidRDefault="00125BFF">
      <w:pPr>
        <w:widowControl w:val="0"/>
        <w:pBdr>
          <w:top w:val="nil"/>
          <w:left w:val="nil"/>
          <w:bottom w:val="nil"/>
          <w:right w:val="nil"/>
          <w:between w:val="nil"/>
        </w:pBdr>
        <w:shd w:val="clear" w:color="auto" w:fill="FFFFFF"/>
        <w:spacing w:line="240" w:lineRule="auto"/>
        <w:jc w:val="both"/>
        <w:rPr>
          <w:color w:val="000000"/>
          <w:sz w:val="20"/>
          <w:szCs w:val="20"/>
        </w:rPr>
      </w:pPr>
      <w:r>
        <w:rPr>
          <w:color w:val="000000"/>
          <w:sz w:val="20"/>
          <w:szCs w:val="20"/>
        </w:rPr>
        <w:lastRenderedPageBreak/>
        <w:t>Nineteen trials on nutritional, exercise, and combined therapies in older persons with sarcopenia or frailty are reviewed in the publication "Nutrition and Exercise in Sarcopenia." In certain instances, protein supplements increased muscle strength, but overall dietary benefits were uneven. While the effects on grip strength and walking speed varied, exercise, particularly resistance training, generally increased lower-body strength. Strength was also increased by combined diet and exercise regimens, but body composition was rarely altered. The authors stress that the majority of non-calorie-restricted therapies had no effect on lean mass and urge further focused, carefully planned studies. In general, regular exercise and a sufficient protein intake are still crucial for lowering the risk of sarcopenia (Anton et al. 2018) [</w:t>
      </w:r>
      <w:r>
        <w:rPr>
          <w:sz w:val="20"/>
          <w:szCs w:val="20"/>
        </w:rPr>
        <w:t>29</w:t>
      </w:r>
      <w:r>
        <w:rPr>
          <w:color w:val="000000"/>
          <w:sz w:val="20"/>
          <w:szCs w:val="20"/>
        </w:rPr>
        <w:t>].</w:t>
      </w:r>
    </w:p>
    <w:p w14:paraId="0000002F"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This review examines how gut microbiota is shaped by dietary protein and how these interactions affect obesity and sarcopenia in older persons. Muscle loss can be accelerated by age-related inflammation, metabolic dysfunction, and decreased microbial diversity. Increased protein consumption promotes muscle protein synthesis and helps overcome anabolic resistance, however depending on the protein source, too much undigested protein can produce both beneficial (SCFAs) and detrimental metabolites. While sufficient fiber increases the generation of SCFA and improves metabolic health, plant and white-meat proteins support a better microbiota than red meat. In general, the research highlights integrated diets high in fiber and protein to promote gut-muscle health and reduce the risk of sarcopenic obesity (</w:t>
      </w:r>
      <w:proofErr w:type="spellStart"/>
      <w:r>
        <w:rPr>
          <w:color w:val="000000"/>
          <w:sz w:val="20"/>
          <w:szCs w:val="20"/>
        </w:rPr>
        <w:t>Prokopidis</w:t>
      </w:r>
      <w:proofErr w:type="spellEnd"/>
      <w:r>
        <w:rPr>
          <w:color w:val="000000"/>
          <w:sz w:val="20"/>
          <w:szCs w:val="20"/>
        </w:rPr>
        <w:t xml:space="preserve"> et al., 2020) [3</w:t>
      </w:r>
      <w:r>
        <w:rPr>
          <w:sz w:val="20"/>
          <w:szCs w:val="20"/>
        </w:rPr>
        <w:t>0</w:t>
      </w:r>
      <w:r>
        <w:rPr>
          <w:color w:val="000000"/>
          <w:sz w:val="20"/>
          <w:szCs w:val="20"/>
        </w:rPr>
        <w:t>]. "Anabolic resistance," which occurs when aged muscle reacts less well to protein, exercise, and insulin, is a major cause of sarcopenia. This diminished sensitivity results from reduced muscle blood flow, disturbed signaling, and poor absorption of amino acids, all of which restrict the transport of nutrients to muscle. Muscle protein synthesis can be further hampered by even short periods of rest, such as 14 days of reduced mobility. The review also emphasizes how anabolic responses with aging vary by sex. In general, it highlights that maintaining muscle's anabolic ability and preventing sarcopenia require frequent exercise and a sufficient protein intake (Churchward-</w:t>
      </w:r>
      <w:proofErr w:type="spellStart"/>
      <w:r>
        <w:rPr>
          <w:color w:val="000000"/>
          <w:sz w:val="20"/>
          <w:szCs w:val="20"/>
        </w:rPr>
        <w:t>Venne</w:t>
      </w:r>
      <w:proofErr w:type="spellEnd"/>
      <w:r>
        <w:rPr>
          <w:color w:val="000000"/>
          <w:sz w:val="20"/>
          <w:szCs w:val="20"/>
        </w:rPr>
        <w:t>, Breen, &amp; Phillips, 2014) [3</w:t>
      </w:r>
      <w:r>
        <w:rPr>
          <w:sz w:val="20"/>
          <w:szCs w:val="20"/>
        </w:rPr>
        <w:t>1</w:t>
      </w:r>
      <w:r>
        <w:rPr>
          <w:color w:val="000000"/>
          <w:sz w:val="20"/>
          <w:szCs w:val="20"/>
        </w:rPr>
        <w:t>]. Lower-extremity lean mass increased more quickly and significantly in older persons with sarcopenia who began supervised resistance training with nutritional supplements early. These effects persisted during subsequent at-home exercise. Longer programs may be required to increase overall physical performance, though, as functional measurements like grip strength and gait speed improved similarly regardless of when training started (Chang et al., 2021) [3</w:t>
      </w:r>
      <w:r>
        <w:rPr>
          <w:sz w:val="20"/>
          <w:szCs w:val="20"/>
        </w:rPr>
        <w:t>2</w:t>
      </w:r>
      <w:r>
        <w:rPr>
          <w:color w:val="000000"/>
          <w:sz w:val="20"/>
          <w:szCs w:val="20"/>
        </w:rPr>
        <w:t>].</w:t>
      </w:r>
    </w:p>
    <w:p w14:paraId="00000030" w14:textId="77777777" w:rsidR="002D2CBF" w:rsidRDefault="002D2CBF">
      <w:pPr>
        <w:widowControl w:val="0"/>
        <w:pBdr>
          <w:top w:val="nil"/>
          <w:left w:val="nil"/>
          <w:bottom w:val="nil"/>
          <w:right w:val="nil"/>
          <w:between w:val="nil"/>
        </w:pBdr>
        <w:spacing w:line="240" w:lineRule="auto"/>
        <w:jc w:val="both"/>
        <w:rPr>
          <w:color w:val="000000"/>
          <w:sz w:val="24"/>
          <w:szCs w:val="24"/>
        </w:rPr>
      </w:pPr>
    </w:p>
    <w:p w14:paraId="00000031" w14:textId="77777777" w:rsidR="002D2CBF" w:rsidRDefault="00125BFF">
      <w:pPr>
        <w:widowControl w:val="0"/>
        <w:numPr>
          <w:ilvl w:val="0"/>
          <w:numId w:val="3"/>
        </w:numPr>
        <w:pBdr>
          <w:top w:val="nil"/>
          <w:left w:val="nil"/>
          <w:bottom w:val="nil"/>
          <w:right w:val="nil"/>
          <w:between w:val="nil"/>
        </w:pBdr>
        <w:spacing w:line="360" w:lineRule="auto"/>
        <w:jc w:val="both"/>
        <w:rPr>
          <w:b/>
          <w:bCs/>
          <w:color w:val="000000"/>
        </w:rPr>
      </w:pPr>
      <w:r>
        <w:rPr>
          <w:b/>
          <w:bCs/>
          <w:color w:val="000000"/>
        </w:rPr>
        <w:t>CONCLUSION:</w:t>
      </w:r>
    </w:p>
    <w:p w14:paraId="00000032" w14:textId="77777777" w:rsidR="002D2CBF" w:rsidRDefault="00125BFF">
      <w:pPr>
        <w:widowControl w:val="0"/>
        <w:pBdr>
          <w:top w:val="nil"/>
          <w:left w:val="nil"/>
          <w:bottom w:val="nil"/>
          <w:right w:val="nil"/>
          <w:between w:val="nil"/>
        </w:pBdr>
        <w:spacing w:line="240" w:lineRule="auto"/>
        <w:jc w:val="both"/>
        <w:rPr>
          <w:color w:val="000000"/>
        </w:rPr>
      </w:pPr>
      <w:r>
        <w:rPr>
          <w:color w:val="000000"/>
        </w:rPr>
        <w:t>The examined data unequivocally shows that exercise and nutrition alone are insufficient to prevent or reverse sarcopenia; rather, their combined use results in the strongest gains in muscle mass, strength, and functional performance in older adults. Age-related anabolic resistance can be overcome with an adequate daily protein intake, ideally 1.0–1.5 g/kg/day of high-quality, leucine-rich sources, especially when spread equally between meals. However, strength training continues to be the primary force behind muscle adaptation, with aerobic and balancing workouts offering supplementary advantages for mobility and metabolic health. Whole-food protein sources provide additional nutritional benefits, but protein supplements might be helpful for people who are having trouble meeting their dietary goals, particularly when combined with regular exercise. The multifactorial aspect of muscle aging is further highlighted by emerging fields such targeted nutrition supplementation, mitochondrial support, and gut microbiota manipulation. In the end, long-term, lifestyle-based therapies focused on regular physical activity and optimal protein consumption are necessary to delay or mitigate sarcopenia. To improve individualized prevention and treatment plans in clinical practice, more consistent, large-scale trials and the establishment of standardized diagnostic criteria will be crucial.</w:t>
      </w:r>
    </w:p>
    <w:p w14:paraId="00000033" w14:textId="77777777" w:rsidR="002D2CBF" w:rsidRDefault="002D2CBF">
      <w:pPr>
        <w:widowControl w:val="0"/>
        <w:pBdr>
          <w:top w:val="nil"/>
          <w:left w:val="nil"/>
          <w:bottom w:val="nil"/>
          <w:right w:val="nil"/>
          <w:between w:val="nil"/>
        </w:pBdr>
        <w:spacing w:line="240" w:lineRule="auto"/>
        <w:jc w:val="both"/>
        <w:rPr>
          <w:color w:val="000000"/>
          <w:sz w:val="24"/>
          <w:szCs w:val="24"/>
        </w:rPr>
      </w:pPr>
    </w:p>
    <w:p w14:paraId="73E2C844" w14:textId="77777777" w:rsidR="00F84701" w:rsidRDefault="00F84701">
      <w:pPr>
        <w:widowControl w:val="0"/>
        <w:pBdr>
          <w:top w:val="nil"/>
          <w:left w:val="nil"/>
          <w:bottom w:val="nil"/>
          <w:right w:val="nil"/>
          <w:between w:val="nil"/>
        </w:pBdr>
        <w:spacing w:line="240" w:lineRule="auto"/>
        <w:jc w:val="both"/>
        <w:rPr>
          <w:color w:val="000000"/>
          <w:sz w:val="24"/>
          <w:szCs w:val="24"/>
        </w:rPr>
      </w:pPr>
    </w:p>
    <w:p w14:paraId="27E8CAC2" w14:textId="77777777" w:rsidR="00F84701" w:rsidRDefault="00F84701" w:rsidP="00F84701">
      <w:pPr>
        <w:pBdr>
          <w:top w:val="nil"/>
          <w:left w:val="nil"/>
          <w:bottom w:val="nil"/>
          <w:right w:val="nil"/>
          <w:between w:val="nil"/>
        </w:pBdr>
        <w:jc w:val="both"/>
        <w:rPr>
          <w:sz w:val="20"/>
          <w:szCs w:val="20"/>
          <w:highlight w:val="white"/>
          <w:u w:val="single"/>
        </w:rPr>
      </w:pPr>
      <w:r>
        <w:rPr>
          <w:b/>
          <w:bCs/>
          <w:sz w:val="20"/>
          <w:szCs w:val="20"/>
          <w:highlight w:val="white"/>
        </w:rPr>
        <w:t>ABBREVIATIONS</w:t>
      </w:r>
      <w:r>
        <w:rPr>
          <w:sz w:val="20"/>
          <w:szCs w:val="20"/>
          <w:highlight w:val="white"/>
          <w:u w:val="single"/>
        </w:rPr>
        <w:t xml:space="preserve"> </w:t>
      </w:r>
    </w:p>
    <w:p w14:paraId="28B74DF1"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 xml:space="preserve">DXA - Dual Energy X-Ray Absorptiometry </w:t>
      </w:r>
    </w:p>
    <w:p w14:paraId="1B35EBBF"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CT - Computed Tomography</w:t>
      </w:r>
    </w:p>
    <w:p w14:paraId="7EA1C604"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ISSN - International Society of Sports Nutrition</w:t>
      </w:r>
    </w:p>
    <w:p w14:paraId="1F367A2C"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 xml:space="preserve">MPS - Multiple Protein System </w:t>
      </w:r>
    </w:p>
    <w:p w14:paraId="07F9A10F"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lastRenderedPageBreak/>
        <w:t>mTORC1 - Mechanistic Target of Rapamycin Complex 1</w:t>
      </w:r>
    </w:p>
    <w:p w14:paraId="0EA48356"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 xml:space="preserve">DASH - Dietary Approach to Stop Hypertension </w:t>
      </w:r>
    </w:p>
    <w:p w14:paraId="584F2746"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NAD+ - Nicotinamide Adenine Dinucleotide</w:t>
      </w:r>
    </w:p>
    <w:p w14:paraId="6FA288A3"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NMN - Nicotinamide Mononucleotide</w:t>
      </w:r>
    </w:p>
    <w:p w14:paraId="4960B7BF"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EWGSOP - European Working Group on Sarcopenia in Older People</w:t>
      </w:r>
    </w:p>
    <w:p w14:paraId="1E75EED5"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FNIH - Foundation for the National Institutes of Health</w:t>
      </w:r>
    </w:p>
    <w:p w14:paraId="2D58300E"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RCT - Randomized Controlled Trial</w:t>
      </w:r>
    </w:p>
    <w:p w14:paraId="2B385849"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 xml:space="preserve">HUR - Helsinki University Research </w:t>
      </w:r>
    </w:p>
    <w:p w14:paraId="2B9FC223"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 xml:space="preserve">PRISMA - Preferred Reporting Items for Systematic Review and </w:t>
      </w:r>
      <w:proofErr w:type="spellStart"/>
      <w:r>
        <w:rPr>
          <w:sz w:val="20"/>
          <w:szCs w:val="20"/>
          <w:highlight w:val="white"/>
        </w:rPr>
        <w:t>Meta Analysis</w:t>
      </w:r>
      <w:proofErr w:type="spellEnd"/>
    </w:p>
    <w:p w14:paraId="2AE7757C"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GRADE - Grading of Recommendations, Assessment, Development and Evaluation System</w:t>
      </w:r>
    </w:p>
    <w:p w14:paraId="0C92D571"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 xml:space="preserve">TUG - Timed Get Up and Go </w:t>
      </w:r>
    </w:p>
    <w:p w14:paraId="7812F6C9"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SCFA - Short Chain Fatty Acid</w:t>
      </w:r>
    </w:p>
    <w:p w14:paraId="162C5DB7" w14:textId="77777777" w:rsidR="00F84701" w:rsidRDefault="00F84701">
      <w:pPr>
        <w:widowControl w:val="0"/>
        <w:pBdr>
          <w:top w:val="nil"/>
          <w:left w:val="nil"/>
          <w:bottom w:val="nil"/>
          <w:right w:val="nil"/>
          <w:between w:val="nil"/>
        </w:pBdr>
        <w:spacing w:line="240" w:lineRule="auto"/>
        <w:jc w:val="both"/>
        <w:rPr>
          <w:color w:val="000000"/>
          <w:sz w:val="24"/>
          <w:szCs w:val="24"/>
        </w:rPr>
      </w:pPr>
    </w:p>
    <w:p w14:paraId="00000034" w14:textId="77777777" w:rsidR="002D2CBF" w:rsidRDefault="00125BFF">
      <w:pPr>
        <w:widowControl w:val="0"/>
        <w:pBdr>
          <w:top w:val="nil"/>
          <w:left w:val="nil"/>
          <w:bottom w:val="nil"/>
          <w:right w:val="nil"/>
          <w:between w:val="nil"/>
        </w:pBdr>
        <w:spacing w:line="360" w:lineRule="auto"/>
        <w:jc w:val="both"/>
        <w:rPr>
          <w:color w:val="000000"/>
          <w:sz w:val="24"/>
          <w:szCs w:val="24"/>
        </w:rPr>
      </w:pPr>
      <w:r>
        <w:rPr>
          <w:b/>
          <w:bCs/>
          <w:color w:val="000000"/>
        </w:rPr>
        <w:t>REFERENCES:</w:t>
      </w:r>
    </w:p>
    <w:p w14:paraId="00000035" w14:textId="77777777" w:rsidR="002D2CBF" w:rsidRDefault="00125BFF">
      <w:pPr>
        <w:widowControl w:val="0"/>
        <w:numPr>
          <w:ilvl w:val="0"/>
          <w:numId w:val="2"/>
        </w:numPr>
        <w:pBdr>
          <w:top w:val="nil"/>
          <w:left w:val="nil"/>
          <w:bottom w:val="nil"/>
          <w:right w:val="nil"/>
          <w:between w:val="nil"/>
        </w:pBdr>
        <w:spacing w:line="360" w:lineRule="auto"/>
        <w:jc w:val="both"/>
        <w:rPr>
          <w:sz w:val="20"/>
          <w:szCs w:val="20"/>
        </w:rPr>
      </w:pPr>
      <w:r>
        <w:rPr>
          <w:sz w:val="20"/>
          <w:szCs w:val="20"/>
        </w:rPr>
        <w:t>Cruz-</w:t>
      </w:r>
      <w:proofErr w:type="spellStart"/>
      <w:r>
        <w:rPr>
          <w:sz w:val="20"/>
          <w:szCs w:val="20"/>
        </w:rPr>
        <w:t>Jentoft</w:t>
      </w:r>
      <w:proofErr w:type="spellEnd"/>
      <w:r>
        <w:rPr>
          <w:sz w:val="20"/>
          <w:szCs w:val="20"/>
        </w:rPr>
        <w:t xml:space="preserve">, A. J., &amp; Sayer, A. A. (2019). </w:t>
      </w:r>
      <w:r>
        <w:rPr>
          <w:i/>
          <w:iCs/>
          <w:sz w:val="20"/>
          <w:szCs w:val="20"/>
        </w:rPr>
        <w:t>Sarcopenia.</w:t>
      </w:r>
      <w:r>
        <w:rPr>
          <w:sz w:val="20"/>
          <w:szCs w:val="20"/>
        </w:rPr>
        <w:t xml:space="preserve"> </w:t>
      </w:r>
      <w:r>
        <w:rPr>
          <w:i/>
          <w:iCs/>
          <w:sz w:val="20"/>
          <w:szCs w:val="20"/>
        </w:rPr>
        <w:t>The Lancet, 393</w:t>
      </w:r>
      <w:r>
        <w:rPr>
          <w:sz w:val="20"/>
          <w:szCs w:val="20"/>
        </w:rPr>
        <w:t>(10191), 2636–2646.</w:t>
      </w:r>
      <w:hyperlink r:id="rId9">
        <w:r w:rsidR="002D2CBF">
          <w:rPr>
            <w:sz w:val="20"/>
            <w:szCs w:val="20"/>
          </w:rPr>
          <w:t xml:space="preserve"> </w:t>
        </w:r>
      </w:hyperlink>
      <w:hyperlink r:id="rId10">
        <w:r w:rsidR="002D2CBF">
          <w:rPr>
            <w:color w:val="1155CC"/>
            <w:sz w:val="20"/>
            <w:szCs w:val="20"/>
            <w:u w:val="single"/>
          </w:rPr>
          <w:t>https://doi.org/10.1016/S0140-6736(19)31138-9</w:t>
        </w:r>
      </w:hyperlink>
    </w:p>
    <w:p w14:paraId="00000036" w14:textId="77777777" w:rsidR="002D2CBF" w:rsidRDefault="002D2CBF">
      <w:pPr>
        <w:widowControl w:val="0"/>
        <w:pBdr>
          <w:top w:val="nil"/>
          <w:left w:val="nil"/>
          <w:bottom w:val="nil"/>
          <w:right w:val="nil"/>
          <w:between w:val="nil"/>
        </w:pBdr>
        <w:spacing w:line="240" w:lineRule="auto"/>
        <w:jc w:val="both"/>
        <w:rPr>
          <w:sz w:val="20"/>
          <w:szCs w:val="20"/>
        </w:rPr>
      </w:pPr>
    </w:p>
    <w:p w14:paraId="00000037" w14:textId="77777777" w:rsidR="002D2CBF" w:rsidRDefault="00125BFF">
      <w:pPr>
        <w:widowControl w:val="0"/>
        <w:numPr>
          <w:ilvl w:val="0"/>
          <w:numId w:val="2"/>
        </w:numPr>
        <w:pBdr>
          <w:top w:val="nil"/>
          <w:left w:val="nil"/>
          <w:bottom w:val="nil"/>
          <w:right w:val="nil"/>
          <w:between w:val="nil"/>
        </w:pBdr>
        <w:spacing w:line="360" w:lineRule="auto"/>
        <w:jc w:val="both"/>
        <w:rPr>
          <w:sz w:val="20"/>
          <w:szCs w:val="20"/>
        </w:rPr>
      </w:pPr>
      <w:proofErr w:type="spellStart"/>
      <w:r>
        <w:rPr>
          <w:sz w:val="20"/>
          <w:szCs w:val="20"/>
        </w:rPr>
        <w:t>Tagliafico</w:t>
      </w:r>
      <w:proofErr w:type="spellEnd"/>
      <w:r>
        <w:rPr>
          <w:sz w:val="20"/>
          <w:szCs w:val="20"/>
        </w:rPr>
        <w:t xml:space="preserve">, A. S., </w:t>
      </w:r>
      <w:proofErr w:type="spellStart"/>
      <w:r>
        <w:rPr>
          <w:sz w:val="20"/>
          <w:szCs w:val="20"/>
        </w:rPr>
        <w:t>Bignotti</w:t>
      </w:r>
      <w:proofErr w:type="spellEnd"/>
      <w:r>
        <w:rPr>
          <w:sz w:val="20"/>
          <w:szCs w:val="20"/>
        </w:rPr>
        <w:t xml:space="preserve">, B., Torri, L., &amp; Rossi, F. (2022). </w:t>
      </w:r>
      <w:r>
        <w:rPr>
          <w:i/>
          <w:iCs/>
          <w:sz w:val="20"/>
          <w:szCs w:val="20"/>
        </w:rPr>
        <w:t>Sarcopenia: How to measure, when and why.</w:t>
      </w:r>
      <w:r>
        <w:rPr>
          <w:sz w:val="20"/>
          <w:szCs w:val="20"/>
        </w:rPr>
        <w:t xml:space="preserve"> </w:t>
      </w:r>
      <w:r>
        <w:rPr>
          <w:i/>
          <w:iCs/>
          <w:sz w:val="20"/>
          <w:szCs w:val="20"/>
        </w:rPr>
        <w:t xml:space="preserve">La </w:t>
      </w:r>
      <w:proofErr w:type="spellStart"/>
      <w:r>
        <w:rPr>
          <w:i/>
          <w:iCs/>
          <w:sz w:val="20"/>
          <w:szCs w:val="20"/>
        </w:rPr>
        <w:t>Radiologia</w:t>
      </w:r>
      <w:proofErr w:type="spellEnd"/>
      <w:r>
        <w:rPr>
          <w:i/>
          <w:iCs/>
          <w:sz w:val="20"/>
          <w:szCs w:val="20"/>
        </w:rPr>
        <w:t xml:space="preserve"> </w:t>
      </w:r>
      <w:proofErr w:type="spellStart"/>
      <w:r>
        <w:rPr>
          <w:i/>
          <w:iCs/>
          <w:sz w:val="20"/>
          <w:szCs w:val="20"/>
        </w:rPr>
        <w:t>Medica</w:t>
      </w:r>
      <w:proofErr w:type="spellEnd"/>
      <w:r>
        <w:rPr>
          <w:i/>
          <w:iCs/>
          <w:sz w:val="20"/>
          <w:szCs w:val="20"/>
        </w:rPr>
        <w:t>, 127</w:t>
      </w:r>
      <w:r>
        <w:rPr>
          <w:sz w:val="20"/>
          <w:szCs w:val="20"/>
        </w:rPr>
        <w:t>(2), 228–237.</w:t>
      </w:r>
      <w:hyperlink r:id="rId11">
        <w:r w:rsidR="002D2CBF">
          <w:rPr>
            <w:sz w:val="20"/>
            <w:szCs w:val="20"/>
          </w:rPr>
          <w:t xml:space="preserve"> </w:t>
        </w:r>
      </w:hyperlink>
      <w:hyperlink r:id="rId12">
        <w:r w:rsidR="002D2CBF">
          <w:rPr>
            <w:color w:val="1155CC"/>
            <w:sz w:val="20"/>
            <w:szCs w:val="20"/>
            <w:u w:val="single"/>
          </w:rPr>
          <w:t>https://doi.org/10.1007/s11547-022-01450-3</w:t>
        </w:r>
      </w:hyperlink>
    </w:p>
    <w:p w14:paraId="00000038" w14:textId="77777777" w:rsidR="002D2CBF" w:rsidRDefault="002D2CBF">
      <w:pPr>
        <w:widowControl w:val="0"/>
        <w:pBdr>
          <w:top w:val="nil"/>
          <w:left w:val="nil"/>
          <w:bottom w:val="nil"/>
          <w:right w:val="nil"/>
          <w:between w:val="nil"/>
        </w:pBdr>
        <w:spacing w:line="240" w:lineRule="auto"/>
        <w:jc w:val="both"/>
        <w:rPr>
          <w:sz w:val="20"/>
          <w:szCs w:val="20"/>
        </w:rPr>
      </w:pPr>
    </w:p>
    <w:p w14:paraId="00000039" w14:textId="77777777" w:rsidR="002D2CBF" w:rsidRDefault="00125BFF">
      <w:pPr>
        <w:widowControl w:val="0"/>
        <w:numPr>
          <w:ilvl w:val="0"/>
          <w:numId w:val="2"/>
        </w:numPr>
        <w:pBdr>
          <w:top w:val="nil"/>
          <w:left w:val="nil"/>
          <w:bottom w:val="nil"/>
          <w:right w:val="nil"/>
          <w:between w:val="nil"/>
        </w:pBdr>
        <w:spacing w:line="360" w:lineRule="auto"/>
        <w:jc w:val="both"/>
        <w:rPr>
          <w:sz w:val="20"/>
          <w:szCs w:val="20"/>
        </w:rPr>
      </w:pPr>
      <w:proofErr w:type="spellStart"/>
      <w:r>
        <w:rPr>
          <w:sz w:val="20"/>
          <w:szCs w:val="20"/>
        </w:rPr>
        <w:t>Jäger</w:t>
      </w:r>
      <w:proofErr w:type="spellEnd"/>
      <w:r>
        <w:rPr>
          <w:sz w:val="20"/>
          <w:szCs w:val="20"/>
        </w:rPr>
        <w:t xml:space="preserve">, R., </w:t>
      </w:r>
      <w:proofErr w:type="spellStart"/>
      <w:r>
        <w:rPr>
          <w:sz w:val="20"/>
          <w:szCs w:val="20"/>
        </w:rPr>
        <w:t>Kerksick</w:t>
      </w:r>
      <w:proofErr w:type="spellEnd"/>
      <w:r>
        <w:rPr>
          <w:sz w:val="20"/>
          <w:szCs w:val="20"/>
        </w:rPr>
        <w:t xml:space="preserve">, C. M., Campbell, B. I., Cribb, P. J., Wells, S. D., </w:t>
      </w:r>
      <w:proofErr w:type="spellStart"/>
      <w:r>
        <w:rPr>
          <w:sz w:val="20"/>
          <w:szCs w:val="20"/>
        </w:rPr>
        <w:t>Skwiat</w:t>
      </w:r>
      <w:proofErr w:type="spellEnd"/>
      <w:r>
        <w:rPr>
          <w:sz w:val="20"/>
          <w:szCs w:val="20"/>
        </w:rPr>
        <w:t xml:space="preserve">, T. M., … Antonio, J. (2017). International Society of Sports Nutrition Position Stand: protein and exercise. </w:t>
      </w:r>
      <w:r>
        <w:rPr>
          <w:i/>
          <w:iCs/>
          <w:sz w:val="20"/>
          <w:szCs w:val="20"/>
        </w:rPr>
        <w:t>Journal of the International Society of Sports Nutrition</w:t>
      </w:r>
      <w:r>
        <w:rPr>
          <w:sz w:val="20"/>
          <w:szCs w:val="20"/>
        </w:rPr>
        <w:t xml:space="preserve">, </w:t>
      </w:r>
      <w:r>
        <w:rPr>
          <w:i/>
          <w:iCs/>
          <w:sz w:val="20"/>
          <w:szCs w:val="20"/>
        </w:rPr>
        <w:t>14</w:t>
      </w:r>
      <w:r>
        <w:rPr>
          <w:sz w:val="20"/>
          <w:szCs w:val="20"/>
        </w:rPr>
        <w:t xml:space="preserve">(1). </w:t>
      </w:r>
      <w:hyperlink r:id="rId13">
        <w:r w:rsidR="002D2CBF">
          <w:rPr>
            <w:color w:val="1155CC"/>
            <w:sz w:val="20"/>
            <w:szCs w:val="20"/>
            <w:u w:val="single"/>
          </w:rPr>
          <w:t>https://doi.org/10.1186/s12970-017-0177-8</w:t>
        </w:r>
      </w:hyperlink>
    </w:p>
    <w:p w14:paraId="0000003A" w14:textId="77777777" w:rsidR="002D2CBF" w:rsidRDefault="002D2CBF">
      <w:pPr>
        <w:widowControl w:val="0"/>
        <w:pBdr>
          <w:top w:val="nil"/>
          <w:left w:val="nil"/>
          <w:bottom w:val="nil"/>
          <w:right w:val="nil"/>
          <w:between w:val="nil"/>
        </w:pBdr>
        <w:spacing w:line="240" w:lineRule="auto"/>
        <w:jc w:val="both"/>
        <w:rPr>
          <w:sz w:val="20"/>
          <w:szCs w:val="20"/>
        </w:rPr>
      </w:pPr>
    </w:p>
    <w:p w14:paraId="0000003B" w14:textId="77777777" w:rsidR="002D2CBF" w:rsidRDefault="00125BFF">
      <w:pPr>
        <w:numPr>
          <w:ilvl w:val="0"/>
          <w:numId w:val="2"/>
        </w:numPr>
        <w:jc w:val="both"/>
        <w:rPr>
          <w:sz w:val="20"/>
          <w:szCs w:val="20"/>
        </w:rPr>
      </w:pPr>
      <w:r>
        <w:rPr>
          <w:sz w:val="20"/>
          <w:szCs w:val="20"/>
        </w:rPr>
        <w:t xml:space="preserve">Liao, C. D., Wu, Y. T., </w:t>
      </w:r>
      <w:proofErr w:type="spellStart"/>
      <w:r>
        <w:rPr>
          <w:sz w:val="20"/>
          <w:szCs w:val="20"/>
        </w:rPr>
        <w:t>Tsauo</w:t>
      </w:r>
      <w:proofErr w:type="spellEnd"/>
      <w:r>
        <w:rPr>
          <w:sz w:val="20"/>
          <w:szCs w:val="20"/>
        </w:rPr>
        <w:t xml:space="preserve">, J. Y., Chen, P. R., Tu, Y. K., Chen, H. C., &amp; </w:t>
      </w:r>
      <w:proofErr w:type="spellStart"/>
      <w:r>
        <w:rPr>
          <w:sz w:val="20"/>
          <w:szCs w:val="20"/>
        </w:rPr>
        <w:t>Liou</w:t>
      </w:r>
      <w:proofErr w:type="spellEnd"/>
      <w:r>
        <w:rPr>
          <w:sz w:val="20"/>
          <w:szCs w:val="20"/>
        </w:rPr>
        <w:t xml:space="preserve">, T. H. (2020). Effects of protein supplementation combined with exercise training on muscle mass and function in older adults with lower-extremity osteoarthritis: a systematic review and meta-analysis of randomized trials. </w:t>
      </w:r>
      <w:r>
        <w:rPr>
          <w:i/>
          <w:iCs/>
          <w:sz w:val="20"/>
          <w:szCs w:val="20"/>
        </w:rPr>
        <w:t>Nutrients</w:t>
      </w:r>
      <w:r>
        <w:rPr>
          <w:sz w:val="20"/>
          <w:szCs w:val="20"/>
        </w:rPr>
        <w:t xml:space="preserve">, </w:t>
      </w:r>
      <w:r>
        <w:rPr>
          <w:i/>
          <w:iCs/>
          <w:sz w:val="20"/>
          <w:szCs w:val="20"/>
        </w:rPr>
        <w:t>12</w:t>
      </w:r>
      <w:r>
        <w:rPr>
          <w:sz w:val="20"/>
          <w:szCs w:val="20"/>
        </w:rPr>
        <w:t xml:space="preserve">(8), 2422. </w:t>
      </w:r>
      <w:hyperlink r:id="rId14">
        <w:r w:rsidR="002D2CBF">
          <w:rPr>
            <w:color w:val="1155CC"/>
            <w:sz w:val="20"/>
            <w:szCs w:val="20"/>
            <w:u w:val="single"/>
          </w:rPr>
          <w:t>https://doi.org/10.3390/nu12082422</w:t>
        </w:r>
      </w:hyperlink>
      <w:r>
        <w:rPr>
          <w:color w:val="1155CC"/>
          <w:sz w:val="20"/>
          <w:szCs w:val="20"/>
        </w:rPr>
        <w:t xml:space="preserve"> </w:t>
      </w:r>
    </w:p>
    <w:p w14:paraId="0000003C" w14:textId="77777777" w:rsidR="002D2CBF" w:rsidRDefault="002D2CBF">
      <w:pPr>
        <w:pStyle w:val="Heading1"/>
        <w:keepNext w:val="0"/>
        <w:keepLines w:val="0"/>
        <w:widowControl w:val="0"/>
        <w:spacing w:before="0" w:after="0" w:line="240" w:lineRule="auto"/>
        <w:jc w:val="both"/>
        <w:rPr>
          <w:sz w:val="20"/>
          <w:szCs w:val="20"/>
        </w:rPr>
      </w:pPr>
      <w:bookmarkStart w:id="1" w:name="_heading=h.w51c5oxz0q8" w:colFirst="0" w:colLast="0"/>
      <w:bookmarkEnd w:id="1"/>
    </w:p>
    <w:p w14:paraId="0000003D" w14:textId="730FE5EB" w:rsidR="002D2CBF" w:rsidRDefault="00125BFF">
      <w:pPr>
        <w:numPr>
          <w:ilvl w:val="0"/>
          <w:numId w:val="2"/>
        </w:numPr>
        <w:pBdr>
          <w:top w:val="nil"/>
          <w:left w:val="nil"/>
          <w:bottom w:val="nil"/>
          <w:right w:val="nil"/>
          <w:between w:val="nil"/>
        </w:pBdr>
        <w:jc w:val="both"/>
        <w:rPr>
          <w:sz w:val="20"/>
          <w:szCs w:val="20"/>
          <w:highlight w:val="white"/>
        </w:rPr>
      </w:pPr>
      <w:r>
        <w:rPr>
          <w:sz w:val="20"/>
          <w:szCs w:val="20"/>
          <w:highlight w:val="white"/>
        </w:rPr>
        <w:t xml:space="preserve">van Loon, L.J.C. Is There a Need for Protein Ingestion During </w:t>
      </w:r>
      <w:r w:rsidR="00AA7192">
        <w:rPr>
          <w:sz w:val="20"/>
          <w:szCs w:val="20"/>
          <w:highlight w:val="white"/>
        </w:rPr>
        <w:t>Exercise?</w:t>
      </w:r>
      <w:r>
        <w:rPr>
          <w:sz w:val="20"/>
          <w:szCs w:val="20"/>
          <w:highlight w:val="white"/>
        </w:rPr>
        <w:t xml:space="preserve"> </w:t>
      </w:r>
      <w:r>
        <w:rPr>
          <w:i/>
          <w:iCs/>
          <w:sz w:val="20"/>
          <w:szCs w:val="20"/>
          <w:highlight w:val="white"/>
        </w:rPr>
        <w:t>Sports Med</w:t>
      </w:r>
      <w:r>
        <w:rPr>
          <w:sz w:val="20"/>
          <w:szCs w:val="20"/>
          <w:highlight w:val="white"/>
        </w:rPr>
        <w:t xml:space="preserve"> 44 (Suppl 1), 105–111 (2014). </w:t>
      </w:r>
      <w:hyperlink r:id="rId15">
        <w:r w:rsidR="002D2CBF">
          <w:rPr>
            <w:color w:val="1155CC"/>
            <w:sz w:val="20"/>
            <w:szCs w:val="20"/>
            <w:highlight w:val="white"/>
            <w:u w:val="single"/>
          </w:rPr>
          <w:t>https://doi.org/10.1007/s40279-014-0156-z</w:t>
        </w:r>
      </w:hyperlink>
    </w:p>
    <w:p w14:paraId="0000003E" w14:textId="77777777" w:rsidR="002D2CBF" w:rsidRDefault="002D2CBF">
      <w:pPr>
        <w:pBdr>
          <w:top w:val="nil"/>
          <w:left w:val="nil"/>
          <w:bottom w:val="nil"/>
          <w:right w:val="nil"/>
          <w:between w:val="nil"/>
        </w:pBdr>
        <w:jc w:val="both"/>
        <w:rPr>
          <w:sz w:val="20"/>
          <w:szCs w:val="20"/>
          <w:highlight w:val="white"/>
        </w:rPr>
      </w:pPr>
    </w:p>
    <w:p w14:paraId="0000003F" w14:textId="77777777" w:rsidR="002D2CBF" w:rsidRDefault="00125BFF">
      <w:pPr>
        <w:pStyle w:val="Heading1"/>
        <w:keepNext w:val="0"/>
        <w:keepLines w:val="0"/>
        <w:widowControl w:val="0"/>
        <w:numPr>
          <w:ilvl w:val="0"/>
          <w:numId w:val="2"/>
        </w:numPr>
        <w:spacing w:before="0" w:after="0" w:line="360" w:lineRule="auto"/>
        <w:jc w:val="both"/>
        <w:rPr>
          <w:sz w:val="20"/>
          <w:szCs w:val="20"/>
        </w:rPr>
      </w:pPr>
      <w:bookmarkStart w:id="2" w:name="_heading=h.nx31sbqkrj56" w:colFirst="0" w:colLast="0"/>
      <w:bookmarkEnd w:id="2"/>
      <w:proofErr w:type="spellStart"/>
      <w:r>
        <w:rPr>
          <w:sz w:val="20"/>
          <w:szCs w:val="20"/>
        </w:rPr>
        <w:t>Paddon</w:t>
      </w:r>
      <w:proofErr w:type="spellEnd"/>
      <w:r>
        <w:rPr>
          <w:sz w:val="20"/>
          <w:szCs w:val="20"/>
        </w:rPr>
        <w:t xml:space="preserve">-Jones, D., Campbell, W. W., Jacques, P. F., </w:t>
      </w:r>
      <w:proofErr w:type="spellStart"/>
      <w:r>
        <w:rPr>
          <w:sz w:val="20"/>
          <w:szCs w:val="20"/>
        </w:rPr>
        <w:t>Kritchevsky</w:t>
      </w:r>
      <w:proofErr w:type="spellEnd"/>
      <w:r>
        <w:rPr>
          <w:sz w:val="20"/>
          <w:szCs w:val="20"/>
        </w:rPr>
        <w:t xml:space="preserve">, S. B., Moore, L. L., Rodriguez, N. R., &amp; van Loon, L. J. C. (2015). Protein and healthy aging. </w:t>
      </w:r>
      <w:r>
        <w:rPr>
          <w:i/>
          <w:iCs/>
          <w:sz w:val="20"/>
          <w:szCs w:val="20"/>
        </w:rPr>
        <w:t>The American Journal of Clinical Nutrition, 101</w:t>
      </w:r>
      <w:r>
        <w:rPr>
          <w:sz w:val="20"/>
          <w:szCs w:val="20"/>
        </w:rPr>
        <w:t>(6), 1339S–1345S.</w:t>
      </w:r>
      <w:hyperlink r:id="rId16">
        <w:r w:rsidR="002D2CBF">
          <w:rPr>
            <w:sz w:val="20"/>
            <w:szCs w:val="20"/>
          </w:rPr>
          <w:t xml:space="preserve"> </w:t>
        </w:r>
      </w:hyperlink>
      <w:hyperlink r:id="rId17">
        <w:r w:rsidR="002D2CBF">
          <w:rPr>
            <w:color w:val="1155CC"/>
            <w:sz w:val="20"/>
            <w:szCs w:val="20"/>
            <w:u w:val="single"/>
          </w:rPr>
          <w:t>https://doi.org/10.3945/ajcn.114.084061</w:t>
        </w:r>
      </w:hyperlink>
      <w:r>
        <w:rPr>
          <w:color w:val="1155CC"/>
          <w:sz w:val="20"/>
          <w:szCs w:val="20"/>
        </w:rPr>
        <w:t xml:space="preserve"> </w:t>
      </w:r>
    </w:p>
    <w:p w14:paraId="00000040" w14:textId="77777777" w:rsidR="002D2CBF" w:rsidRDefault="002D2CBF">
      <w:pPr>
        <w:pBdr>
          <w:top w:val="nil"/>
          <w:left w:val="nil"/>
          <w:bottom w:val="nil"/>
          <w:right w:val="nil"/>
          <w:between w:val="nil"/>
        </w:pBdr>
        <w:ind w:left="720"/>
        <w:rPr>
          <w:sz w:val="20"/>
          <w:szCs w:val="20"/>
        </w:rPr>
      </w:pPr>
    </w:p>
    <w:p w14:paraId="00000041" w14:textId="77777777" w:rsidR="002D2CBF" w:rsidRDefault="00125BFF">
      <w:pPr>
        <w:numPr>
          <w:ilvl w:val="0"/>
          <w:numId w:val="2"/>
        </w:numPr>
        <w:pBdr>
          <w:top w:val="nil"/>
          <w:left w:val="nil"/>
          <w:bottom w:val="nil"/>
          <w:right w:val="nil"/>
          <w:between w:val="nil"/>
        </w:pBdr>
        <w:jc w:val="both"/>
        <w:rPr>
          <w:sz w:val="20"/>
          <w:szCs w:val="20"/>
        </w:rPr>
      </w:pPr>
      <w:r>
        <w:rPr>
          <w:sz w:val="20"/>
          <w:szCs w:val="20"/>
        </w:rPr>
        <w:t xml:space="preserve">Baum, J. I., Kim, I.-Y., &amp; Wolfe, R. R. (2016). Protein Consumption and the Elderly: What Is the Optimal Level of Intake? Nutrients, 8(6), 359. </w:t>
      </w:r>
      <w:hyperlink r:id="rId18">
        <w:r w:rsidR="002D2CBF">
          <w:rPr>
            <w:color w:val="1155CC"/>
            <w:sz w:val="20"/>
            <w:szCs w:val="20"/>
            <w:u w:val="single"/>
          </w:rPr>
          <w:t>https://doi.org/10.3390/nu8060359</w:t>
        </w:r>
      </w:hyperlink>
      <w:r>
        <w:rPr>
          <w:sz w:val="20"/>
          <w:szCs w:val="20"/>
        </w:rPr>
        <w:t xml:space="preserve"> </w:t>
      </w:r>
    </w:p>
    <w:p w14:paraId="00000042" w14:textId="77777777" w:rsidR="002D2CBF" w:rsidRDefault="002D2CBF">
      <w:pPr>
        <w:pBdr>
          <w:top w:val="nil"/>
          <w:left w:val="nil"/>
          <w:bottom w:val="nil"/>
          <w:right w:val="nil"/>
          <w:between w:val="nil"/>
        </w:pBdr>
        <w:jc w:val="both"/>
        <w:rPr>
          <w:sz w:val="20"/>
          <w:szCs w:val="20"/>
        </w:rPr>
      </w:pPr>
    </w:p>
    <w:p w14:paraId="00000043" w14:textId="77777777" w:rsidR="002D2CBF" w:rsidRDefault="00125BFF">
      <w:pPr>
        <w:numPr>
          <w:ilvl w:val="0"/>
          <w:numId w:val="2"/>
        </w:numPr>
        <w:pBdr>
          <w:top w:val="nil"/>
          <w:left w:val="nil"/>
          <w:bottom w:val="nil"/>
          <w:right w:val="nil"/>
          <w:between w:val="nil"/>
        </w:pBdr>
        <w:jc w:val="both"/>
        <w:rPr>
          <w:sz w:val="20"/>
          <w:szCs w:val="20"/>
        </w:rPr>
      </w:pPr>
      <w:proofErr w:type="spellStart"/>
      <w:r>
        <w:rPr>
          <w:sz w:val="20"/>
          <w:szCs w:val="20"/>
        </w:rPr>
        <w:t>Ardisson</w:t>
      </w:r>
      <w:proofErr w:type="spellEnd"/>
      <w:r>
        <w:rPr>
          <w:sz w:val="20"/>
          <w:szCs w:val="20"/>
        </w:rPr>
        <w:t xml:space="preserve"> Korat, A. V., Shea, M. K., Jacques, P. F., </w:t>
      </w:r>
      <w:proofErr w:type="spellStart"/>
      <w:r>
        <w:rPr>
          <w:sz w:val="20"/>
          <w:szCs w:val="20"/>
        </w:rPr>
        <w:t>Sebastiani</w:t>
      </w:r>
      <w:proofErr w:type="spellEnd"/>
      <w:r>
        <w:rPr>
          <w:sz w:val="20"/>
          <w:szCs w:val="20"/>
        </w:rPr>
        <w:t xml:space="preserve">, P., Wang, M., </w:t>
      </w:r>
      <w:proofErr w:type="spellStart"/>
      <w:r>
        <w:rPr>
          <w:sz w:val="20"/>
          <w:szCs w:val="20"/>
        </w:rPr>
        <w:t>Eliassen</w:t>
      </w:r>
      <w:proofErr w:type="spellEnd"/>
      <w:r>
        <w:rPr>
          <w:sz w:val="20"/>
          <w:szCs w:val="20"/>
        </w:rPr>
        <w:t xml:space="preserve">, A. H., Willett, W. C., &amp; Sun, Q. (2024). </w:t>
      </w:r>
      <w:r>
        <w:rPr>
          <w:i/>
          <w:iCs/>
          <w:sz w:val="20"/>
          <w:szCs w:val="20"/>
        </w:rPr>
        <w:t xml:space="preserve">Dietary protein intake in midlife in relation to healthy aging: </w:t>
      </w:r>
      <w:hyperlink r:id="rId19">
        <w:r w:rsidR="002D2CBF">
          <w:rPr>
            <w:color w:val="1155CC"/>
            <w:sz w:val="20"/>
            <w:szCs w:val="20"/>
            <w:u w:val="single"/>
          </w:rPr>
          <w:t>https://doi.org/10.1016/j.ajcnut.2023.11.010</w:t>
        </w:r>
      </w:hyperlink>
    </w:p>
    <w:p w14:paraId="00000044" w14:textId="77777777" w:rsidR="002D2CBF" w:rsidRDefault="002D2CBF">
      <w:pPr>
        <w:pBdr>
          <w:top w:val="nil"/>
          <w:left w:val="nil"/>
          <w:bottom w:val="nil"/>
          <w:right w:val="nil"/>
          <w:between w:val="nil"/>
        </w:pBdr>
        <w:jc w:val="both"/>
        <w:rPr>
          <w:sz w:val="20"/>
          <w:szCs w:val="20"/>
          <w:highlight w:val="white"/>
        </w:rPr>
      </w:pPr>
    </w:p>
    <w:p w14:paraId="00000045" w14:textId="77777777" w:rsidR="002D2CBF" w:rsidRDefault="00125BFF">
      <w:pPr>
        <w:numPr>
          <w:ilvl w:val="0"/>
          <w:numId w:val="2"/>
        </w:numPr>
        <w:pBdr>
          <w:top w:val="nil"/>
          <w:left w:val="nil"/>
          <w:bottom w:val="nil"/>
          <w:right w:val="nil"/>
          <w:between w:val="nil"/>
        </w:pBdr>
        <w:jc w:val="both"/>
        <w:rPr>
          <w:sz w:val="20"/>
          <w:szCs w:val="20"/>
          <w:highlight w:val="white"/>
        </w:rPr>
      </w:pPr>
      <w:proofErr w:type="spellStart"/>
      <w:r>
        <w:rPr>
          <w:sz w:val="20"/>
          <w:szCs w:val="20"/>
          <w:highlight w:val="white"/>
        </w:rPr>
        <w:t>Bojang</w:t>
      </w:r>
      <w:proofErr w:type="spellEnd"/>
      <w:r>
        <w:rPr>
          <w:sz w:val="20"/>
          <w:szCs w:val="20"/>
          <w:highlight w:val="white"/>
        </w:rPr>
        <w:t xml:space="preserve">, K.P., </w:t>
      </w:r>
      <w:proofErr w:type="spellStart"/>
      <w:r>
        <w:rPr>
          <w:sz w:val="20"/>
          <w:szCs w:val="20"/>
          <w:highlight w:val="white"/>
        </w:rPr>
        <w:t>Manchana</w:t>
      </w:r>
      <w:proofErr w:type="spellEnd"/>
      <w:r>
        <w:rPr>
          <w:sz w:val="20"/>
          <w:szCs w:val="20"/>
          <w:highlight w:val="white"/>
        </w:rPr>
        <w:t xml:space="preserve">, V. Nutrition and Healthy Aging: A Review. </w:t>
      </w:r>
      <w:proofErr w:type="spellStart"/>
      <w:r>
        <w:rPr>
          <w:sz w:val="20"/>
          <w:szCs w:val="20"/>
          <w:highlight w:val="white"/>
        </w:rPr>
        <w:t>Curr</w:t>
      </w:r>
      <w:proofErr w:type="spellEnd"/>
      <w:r>
        <w:rPr>
          <w:sz w:val="20"/>
          <w:szCs w:val="20"/>
          <w:highlight w:val="white"/>
        </w:rPr>
        <w:t xml:space="preserve"> </w:t>
      </w:r>
      <w:proofErr w:type="spellStart"/>
      <w:r>
        <w:rPr>
          <w:sz w:val="20"/>
          <w:szCs w:val="20"/>
          <w:highlight w:val="white"/>
        </w:rPr>
        <w:t>Nutr</w:t>
      </w:r>
      <w:proofErr w:type="spellEnd"/>
      <w:r>
        <w:rPr>
          <w:sz w:val="20"/>
          <w:szCs w:val="20"/>
          <w:highlight w:val="white"/>
        </w:rPr>
        <w:t xml:space="preserve"> Rep 12, 369–375 (2023). </w:t>
      </w:r>
      <w:hyperlink r:id="rId20">
        <w:r w:rsidR="002D2CBF">
          <w:rPr>
            <w:color w:val="1155CC"/>
            <w:sz w:val="20"/>
            <w:szCs w:val="20"/>
            <w:highlight w:val="white"/>
            <w:u w:val="single"/>
          </w:rPr>
          <w:t>https://doi.org/10.1007/s13668-023-00473-0</w:t>
        </w:r>
      </w:hyperlink>
      <w:r>
        <w:rPr>
          <w:color w:val="1155CC"/>
          <w:sz w:val="20"/>
          <w:szCs w:val="20"/>
          <w:highlight w:val="white"/>
        </w:rPr>
        <w:t xml:space="preserve"> </w:t>
      </w:r>
    </w:p>
    <w:p w14:paraId="00000046" w14:textId="77777777" w:rsidR="002D2CBF" w:rsidRDefault="002D2CBF">
      <w:pPr>
        <w:pBdr>
          <w:top w:val="nil"/>
          <w:left w:val="nil"/>
          <w:bottom w:val="nil"/>
          <w:right w:val="nil"/>
          <w:between w:val="nil"/>
        </w:pBdr>
        <w:ind w:left="720"/>
        <w:jc w:val="both"/>
        <w:rPr>
          <w:sz w:val="20"/>
          <w:szCs w:val="20"/>
          <w:highlight w:val="white"/>
        </w:rPr>
      </w:pPr>
    </w:p>
    <w:p w14:paraId="00000047" w14:textId="77777777" w:rsidR="002D2CBF" w:rsidRDefault="00125BFF">
      <w:pPr>
        <w:numPr>
          <w:ilvl w:val="0"/>
          <w:numId w:val="2"/>
        </w:numPr>
        <w:jc w:val="both"/>
        <w:rPr>
          <w:sz w:val="20"/>
          <w:szCs w:val="20"/>
          <w:highlight w:val="white"/>
        </w:rPr>
      </w:pPr>
      <w:r>
        <w:rPr>
          <w:sz w:val="20"/>
          <w:szCs w:val="20"/>
        </w:rPr>
        <w:lastRenderedPageBreak/>
        <w:t xml:space="preserve">Dao, T., Green, A. E., Kim, Y. A., Bae, S. J., Ha, K. T., </w:t>
      </w:r>
      <w:proofErr w:type="spellStart"/>
      <w:r>
        <w:rPr>
          <w:sz w:val="20"/>
          <w:szCs w:val="20"/>
        </w:rPr>
        <w:t>Gariani</w:t>
      </w:r>
      <w:proofErr w:type="spellEnd"/>
      <w:r>
        <w:rPr>
          <w:sz w:val="20"/>
          <w:szCs w:val="20"/>
        </w:rPr>
        <w:t xml:space="preserve">, K., ... &amp; Ryu, D. (2020). Sarcopenia and muscle aging: a brief overview. </w:t>
      </w:r>
      <w:r>
        <w:rPr>
          <w:i/>
          <w:iCs/>
          <w:sz w:val="20"/>
          <w:szCs w:val="20"/>
        </w:rPr>
        <w:t>Endocrinology and metabolism</w:t>
      </w:r>
      <w:r>
        <w:rPr>
          <w:sz w:val="20"/>
          <w:szCs w:val="20"/>
        </w:rPr>
        <w:t xml:space="preserve">, </w:t>
      </w:r>
      <w:r>
        <w:rPr>
          <w:i/>
          <w:iCs/>
          <w:sz w:val="20"/>
          <w:szCs w:val="20"/>
        </w:rPr>
        <w:t>35</w:t>
      </w:r>
      <w:r>
        <w:rPr>
          <w:sz w:val="20"/>
          <w:szCs w:val="20"/>
        </w:rPr>
        <w:t xml:space="preserve">(4), 716-732. </w:t>
      </w:r>
      <w:hyperlink r:id="rId21">
        <w:r w:rsidR="002D2CBF">
          <w:rPr>
            <w:color w:val="1155CC"/>
            <w:sz w:val="20"/>
            <w:szCs w:val="20"/>
            <w:u w:val="single"/>
          </w:rPr>
          <w:t>https://doi.org/10.3803/EnM.2020.405</w:t>
        </w:r>
      </w:hyperlink>
      <w:r>
        <w:rPr>
          <w:color w:val="1155CC"/>
          <w:sz w:val="20"/>
          <w:szCs w:val="20"/>
        </w:rPr>
        <w:t xml:space="preserve"> </w:t>
      </w:r>
    </w:p>
    <w:p w14:paraId="00000048" w14:textId="77777777" w:rsidR="002D2CBF" w:rsidRDefault="002D2CBF">
      <w:pPr>
        <w:ind w:left="720"/>
        <w:jc w:val="both"/>
        <w:rPr>
          <w:sz w:val="20"/>
          <w:szCs w:val="20"/>
        </w:rPr>
      </w:pPr>
    </w:p>
    <w:p w14:paraId="00000049" w14:textId="77777777" w:rsidR="002D2CBF" w:rsidRDefault="00125BFF">
      <w:pPr>
        <w:numPr>
          <w:ilvl w:val="0"/>
          <w:numId w:val="2"/>
        </w:numPr>
        <w:jc w:val="both"/>
        <w:rPr>
          <w:sz w:val="20"/>
          <w:szCs w:val="20"/>
        </w:rPr>
      </w:pPr>
      <w:r>
        <w:rPr>
          <w:sz w:val="20"/>
          <w:szCs w:val="20"/>
        </w:rPr>
        <w:t xml:space="preserve">Di Filippo, E. S., Bondi, D., Pietrangelo, T., </w:t>
      </w:r>
      <w:proofErr w:type="spellStart"/>
      <w:r>
        <w:rPr>
          <w:sz w:val="20"/>
          <w:szCs w:val="20"/>
        </w:rPr>
        <w:t>Fanò-Illic</w:t>
      </w:r>
      <w:proofErr w:type="spellEnd"/>
      <w:r>
        <w:rPr>
          <w:sz w:val="20"/>
          <w:szCs w:val="20"/>
        </w:rPr>
        <w:t xml:space="preserve">, G., &amp; </w:t>
      </w:r>
      <w:proofErr w:type="spellStart"/>
      <w:r>
        <w:rPr>
          <w:sz w:val="20"/>
          <w:szCs w:val="20"/>
        </w:rPr>
        <w:t>Fulle</w:t>
      </w:r>
      <w:proofErr w:type="spellEnd"/>
      <w:r>
        <w:rPr>
          <w:sz w:val="20"/>
          <w:szCs w:val="20"/>
        </w:rPr>
        <w:t xml:space="preserve">, S. (2020). Molecular and cellular aspects of sarcopenia, muscle healthy aging and physical conditioning in the elderly. </w:t>
      </w:r>
      <w:r>
        <w:rPr>
          <w:i/>
          <w:iCs/>
          <w:sz w:val="20"/>
          <w:szCs w:val="20"/>
        </w:rPr>
        <w:t>Journal of Science in Sport and Exercise</w:t>
      </w:r>
      <w:r>
        <w:rPr>
          <w:sz w:val="20"/>
          <w:szCs w:val="20"/>
        </w:rPr>
        <w:t xml:space="preserve">, </w:t>
      </w:r>
      <w:r>
        <w:rPr>
          <w:i/>
          <w:iCs/>
          <w:sz w:val="20"/>
          <w:szCs w:val="20"/>
        </w:rPr>
        <w:t>2</w:t>
      </w:r>
      <w:r>
        <w:rPr>
          <w:sz w:val="20"/>
          <w:szCs w:val="20"/>
        </w:rPr>
        <w:t xml:space="preserve">(3), 246-257. </w:t>
      </w:r>
      <w:hyperlink r:id="rId22">
        <w:r w:rsidR="002D2CBF">
          <w:rPr>
            <w:color w:val="1155CC"/>
            <w:sz w:val="20"/>
            <w:szCs w:val="20"/>
            <w:highlight w:val="white"/>
            <w:u w:val="single"/>
          </w:rPr>
          <w:t>https://doi.org/10.1007/s42978-020-00065-2</w:t>
        </w:r>
      </w:hyperlink>
    </w:p>
    <w:p w14:paraId="0000004A" w14:textId="77777777" w:rsidR="002D2CBF" w:rsidRDefault="002D2CBF">
      <w:pPr>
        <w:ind w:left="720"/>
        <w:jc w:val="both"/>
        <w:rPr>
          <w:sz w:val="20"/>
          <w:szCs w:val="20"/>
        </w:rPr>
      </w:pPr>
    </w:p>
    <w:p w14:paraId="0000004B" w14:textId="77777777" w:rsidR="002D2CBF" w:rsidRDefault="00125BFF">
      <w:pPr>
        <w:widowControl w:val="0"/>
        <w:numPr>
          <w:ilvl w:val="0"/>
          <w:numId w:val="2"/>
        </w:numPr>
        <w:spacing w:line="360" w:lineRule="auto"/>
        <w:jc w:val="both"/>
        <w:rPr>
          <w:sz w:val="20"/>
          <w:szCs w:val="20"/>
        </w:rPr>
      </w:pPr>
      <w:r>
        <w:rPr>
          <w:sz w:val="20"/>
          <w:szCs w:val="20"/>
        </w:rPr>
        <w:t xml:space="preserve">Davies, B., García, F., Ara, I., </w:t>
      </w:r>
      <w:proofErr w:type="spellStart"/>
      <w:r>
        <w:rPr>
          <w:sz w:val="20"/>
          <w:szCs w:val="20"/>
        </w:rPr>
        <w:t>Artalejo</w:t>
      </w:r>
      <w:proofErr w:type="spellEnd"/>
      <w:r>
        <w:rPr>
          <w:sz w:val="20"/>
          <w:szCs w:val="20"/>
        </w:rPr>
        <w:t>, F. R., Rodriguez-</w:t>
      </w:r>
      <w:proofErr w:type="spellStart"/>
      <w:r>
        <w:rPr>
          <w:sz w:val="20"/>
          <w:szCs w:val="20"/>
        </w:rPr>
        <w:t>Mañas</w:t>
      </w:r>
      <w:proofErr w:type="spellEnd"/>
      <w:r>
        <w:rPr>
          <w:sz w:val="20"/>
          <w:szCs w:val="20"/>
        </w:rPr>
        <w:t xml:space="preserve">, L., &amp; Walter, S. (2018). Relationship between sarcopenia and frailty in the Toledo study of healthy aging: a population based cross-sectional study. </w:t>
      </w:r>
      <w:r>
        <w:rPr>
          <w:i/>
          <w:iCs/>
          <w:sz w:val="20"/>
          <w:szCs w:val="20"/>
        </w:rPr>
        <w:t>Journal of the American Medical Directors Association</w:t>
      </w:r>
      <w:r>
        <w:rPr>
          <w:sz w:val="20"/>
          <w:szCs w:val="20"/>
        </w:rPr>
        <w:t xml:space="preserve">, </w:t>
      </w:r>
      <w:r>
        <w:rPr>
          <w:i/>
          <w:iCs/>
          <w:sz w:val="20"/>
          <w:szCs w:val="20"/>
        </w:rPr>
        <w:t>19</w:t>
      </w:r>
      <w:r>
        <w:rPr>
          <w:sz w:val="20"/>
          <w:szCs w:val="20"/>
        </w:rPr>
        <w:t>(4), 282-286.</w:t>
      </w:r>
      <w:r>
        <w:rPr>
          <w:color w:val="1155CC"/>
          <w:sz w:val="20"/>
          <w:szCs w:val="20"/>
          <w:u w:val="single"/>
        </w:rPr>
        <w:t xml:space="preserve"> </w:t>
      </w:r>
      <w:hyperlink r:id="rId23">
        <w:r w:rsidR="002D2CBF">
          <w:rPr>
            <w:color w:val="1155CC"/>
            <w:sz w:val="20"/>
            <w:szCs w:val="20"/>
            <w:u w:val="single"/>
          </w:rPr>
          <w:t>https://doi.org/10.1016/j.jamda.2017.09.014</w:t>
        </w:r>
      </w:hyperlink>
    </w:p>
    <w:p w14:paraId="0000004C" w14:textId="77777777" w:rsidR="002D2CBF" w:rsidRDefault="002D2CBF">
      <w:pPr>
        <w:pBdr>
          <w:top w:val="nil"/>
          <w:left w:val="nil"/>
          <w:bottom w:val="nil"/>
          <w:right w:val="nil"/>
          <w:between w:val="nil"/>
        </w:pBdr>
        <w:spacing w:line="240" w:lineRule="auto"/>
        <w:jc w:val="both"/>
        <w:rPr>
          <w:sz w:val="20"/>
          <w:szCs w:val="20"/>
        </w:rPr>
      </w:pPr>
    </w:p>
    <w:p w14:paraId="0000004D" w14:textId="77777777" w:rsidR="002D2CBF" w:rsidRDefault="00125BFF">
      <w:pPr>
        <w:numPr>
          <w:ilvl w:val="0"/>
          <w:numId w:val="2"/>
        </w:numPr>
        <w:pBdr>
          <w:top w:val="nil"/>
          <w:left w:val="nil"/>
          <w:bottom w:val="nil"/>
          <w:right w:val="nil"/>
          <w:between w:val="nil"/>
        </w:pBdr>
        <w:jc w:val="both"/>
        <w:rPr>
          <w:sz w:val="20"/>
          <w:szCs w:val="20"/>
        </w:rPr>
      </w:pPr>
      <w:r>
        <w:rPr>
          <w:sz w:val="20"/>
          <w:szCs w:val="20"/>
        </w:rPr>
        <w:t xml:space="preserve">Yuan, S., &amp; Larsson, S. C. (2023). Epidemiology of sarcopenia: Prevalence, risk factors, and consequences. </w:t>
      </w:r>
      <w:r>
        <w:rPr>
          <w:i/>
          <w:iCs/>
          <w:sz w:val="20"/>
          <w:szCs w:val="20"/>
        </w:rPr>
        <w:t>Metabolism</w:t>
      </w:r>
      <w:r>
        <w:rPr>
          <w:sz w:val="20"/>
          <w:szCs w:val="20"/>
        </w:rPr>
        <w:t xml:space="preserve">, </w:t>
      </w:r>
      <w:r>
        <w:rPr>
          <w:i/>
          <w:iCs/>
          <w:sz w:val="20"/>
          <w:szCs w:val="20"/>
        </w:rPr>
        <w:t>144</w:t>
      </w:r>
      <w:r>
        <w:rPr>
          <w:sz w:val="20"/>
          <w:szCs w:val="20"/>
        </w:rPr>
        <w:t xml:space="preserve">, 155533. </w:t>
      </w:r>
      <w:hyperlink r:id="rId24">
        <w:r w:rsidR="002D2CBF">
          <w:rPr>
            <w:sz w:val="20"/>
            <w:szCs w:val="20"/>
          </w:rPr>
          <w:t xml:space="preserve"> </w:t>
        </w:r>
      </w:hyperlink>
      <w:hyperlink r:id="rId25">
        <w:r w:rsidR="002D2CBF">
          <w:rPr>
            <w:color w:val="1155CC"/>
            <w:sz w:val="20"/>
            <w:szCs w:val="20"/>
            <w:u w:val="single"/>
          </w:rPr>
          <w:t>https://doi.org/10.1016/j.metabol.2023.155533</w:t>
        </w:r>
      </w:hyperlink>
      <w:r>
        <w:rPr>
          <w:color w:val="1155CC"/>
          <w:sz w:val="20"/>
          <w:szCs w:val="20"/>
        </w:rPr>
        <w:t xml:space="preserve"> </w:t>
      </w:r>
    </w:p>
    <w:p w14:paraId="0000004E" w14:textId="77777777" w:rsidR="002D2CBF" w:rsidRDefault="002D2CBF">
      <w:pPr>
        <w:pBdr>
          <w:top w:val="nil"/>
          <w:left w:val="nil"/>
          <w:bottom w:val="nil"/>
          <w:right w:val="nil"/>
          <w:between w:val="nil"/>
        </w:pBdr>
        <w:spacing w:line="240" w:lineRule="auto"/>
        <w:jc w:val="both"/>
        <w:rPr>
          <w:sz w:val="20"/>
          <w:szCs w:val="20"/>
        </w:rPr>
      </w:pPr>
    </w:p>
    <w:p w14:paraId="0000004F" w14:textId="2B43A952" w:rsidR="002D2CBF" w:rsidRDefault="00125BFF">
      <w:pPr>
        <w:numPr>
          <w:ilvl w:val="0"/>
          <w:numId w:val="2"/>
        </w:numPr>
        <w:pBdr>
          <w:top w:val="nil"/>
          <w:left w:val="nil"/>
          <w:bottom w:val="nil"/>
          <w:right w:val="nil"/>
          <w:between w:val="nil"/>
        </w:pBdr>
        <w:jc w:val="both"/>
        <w:rPr>
          <w:sz w:val="20"/>
          <w:szCs w:val="20"/>
        </w:rPr>
      </w:pPr>
      <w:proofErr w:type="spellStart"/>
      <w:r>
        <w:rPr>
          <w:sz w:val="20"/>
          <w:szCs w:val="20"/>
        </w:rPr>
        <w:t>Petermann</w:t>
      </w:r>
      <w:proofErr w:type="spellEnd"/>
      <w:r>
        <w:rPr>
          <w:rFonts w:ascii="Times New Roman" w:eastAsia="Times New Roman" w:hAnsi="Times New Roman" w:cs="Times New Roman"/>
          <w:sz w:val="20"/>
          <w:szCs w:val="20"/>
        </w:rPr>
        <w:t>‐</w:t>
      </w:r>
      <w:r>
        <w:rPr>
          <w:sz w:val="20"/>
          <w:szCs w:val="20"/>
        </w:rPr>
        <w:t xml:space="preserve">Rocha, F., </w:t>
      </w:r>
      <w:proofErr w:type="spellStart"/>
      <w:r>
        <w:rPr>
          <w:sz w:val="20"/>
          <w:szCs w:val="20"/>
        </w:rPr>
        <w:t>Balntzi</w:t>
      </w:r>
      <w:proofErr w:type="spellEnd"/>
      <w:r>
        <w:rPr>
          <w:sz w:val="20"/>
          <w:szCs w:val="20"/>
        </w:rPr>
        <w:t xml:space="preserve">, V., Gray, S. R., Lara, J., Ho, F. K., Pell, J. P., &amp; </w:t>
      </w:r>
      <w:proofErr w:type="spellStart"/>
      <w:r>
        <w:rPr>
          <w:sz w:val="20"/>
          <w:szCs w:val="20"/>
        </w:rPr>
        <w:t>Celis</w:t>
      </w:r>
      <w:proofErr w:type="spellEnd"/>
      <w:r>
        <w:rPr>
          <w:rFonts w:ascii="Times New Roman" w:eastAsia="Times New Roman" w:hAnsi="Times New Roman" w:cs="Times New Roman"/>
          <w:sz w:val="20"/>
          <w:szCs w:val="20"/>
        </w:rPr>
        <w:t>‐</w:t>
      </w:r>
      <w:r>
        <w:rPr>
          <w:sz w:val="20"/>
          <w:szCs w:val="20"/>
        </w:rPr>
        <w:t>Morales, C. (2022). Global prevalence of sarcopenia and severe sarcopenia: a systematic review and meta</w:t>
      </w:r>
      <w:r>
        <w:rPr>
          <w:rFonts w:ascii="Times New Roman" w:eastAsia="Times New Roman" w:hAnsi="Times New Roman" w:cs="Times New Roman"/>
          <w:sz w:val="20"/>
          <w:szCs w:val="20"/>
        </w:rPr>
        <w:t>‐</w:t>
      </w:r>
      <w:r>
        <w:rPr>
          <w:sz w:val="20"/>
          <w:szCs w:val="20"/>
        </w:rPr>
        <w:t xml:space="preserve">analysis. </w:t>
      </w:r>
      <w:r>
        <w:rPr>
          <w:i/>
          <w:iCs/>
          <w:sz w:val="20"/>
          <w:szCs w:val="20"/>
        </w:rPr>
        <w:t>Journal of cachexia, sarcopenia and muscle</w:t>
      </w:r>
      <w:r>
        <w:rPr>
          <w:sz w:val="20"/>
          <w:szCs w:val="20"/>
        </w:rPr>
        <w:t xml:space="preserve">, </w:t>
      </w:r>
      <w:r>
        <w:rPr>
          <w:i/>
          <w:iCs/>
          <w:sz w:val="20"/>
          <w:szCs w:val="20"/>
        </w:rPr>
        <w:t>13</w:t>
      </w:r>
      <w:r>
        <w:rPr>
          <w:sz w:val="20"/>
          <w:szCs w:val="20"/>
        </w:rPr>
        <w:t xml:space="preserve">(1), 86-99. </w:t>
      </w:r>
    </w:p>
    <w:p w14:paraId="00000050" w14:textId="77777777" w:rsidR="002D2CBF" w:rsidRDefault="002D2CBF">
      <w:pPr>
        <w:pBdr>
          <w:top w:val="nil"/>
          <w:left w:val="nil"/>
          <w:bottom w:val="nil"/>
          <w:right w:val="nil"/>
          <w:between w:val="nil"/>
        </w:pBdr>
        <w:spacing w:line="240" w:lineRule="auto"/>
        <w:jc w:val="both"/>
        <w:rPr>
          <w:sz w:val="20"/>
          <w:szCs w:val="20"/>
        </w:rPr>
      </w:pPr>
    </w:p>
    <w:p w14:paraId="00000051" w14:textId="77777777" w:rsidR="002D2CBF" w:rsidRDefault="00125BFF">
      <w:pPr>
        <w:numPr>
          <w:ilvl w:val="0"/>
          <w:numId w:val="2"/>
        </w:numPr>
        <w:jc w:val="both"/>
        <w:rPr>
          <w:sz w:val="20"/>
          <w:szCs w:val="20"/>
        </w:rPr>
      </w:pPr>
      <w:proofErr w:type="spellStart"/>
      <w:r>
        <w:rPr>
          <w:sz w:val="20"/>
          <w:szCs w:val="20"/>
        </w:rPr>
        <w:t>Björkman</w:t>
      </w:r>
      <w:proofErr w:type="spellEnd"/>
      <w:r>
        <w:rPr>
          <w:sz w:val="20"/>
          <w:szCs w:val="20"/>
        </w:rPr>
        <w:t xml:space="preserve">, M. P., </w:t>
      </w:r>
      <w:proofErr w:type="spellStart"/>
      <w:r>
        <w:rPr>
          <w:sz w:val="20"/>
          <w:szCs w:val="20"/>
        </w:rPr>
        <w:t>Suominen</w:t>
      </w:r>
      <w:proofErr w:type="spellEnd"/>
      <w:r>
        <w:rPr>
          <w:sz w:val="20"/>
          <w:szCs w:val="20"/>
        </w:rPr>
        <w:t xml:space="preserve">, M. H., </w:t>
      </w:r>
      <w:proofErr w:type="spellStart"/>
      <w:r>
        <w:rPr>
          <w:sz w:val="20"/>
          <w:szCs w:val="20"/>
        </w:rPr>
        <w:t>Kautiainen</w:t>
      </w:r>
      <w:proofErr w:type="spellEnd"/>
      <w:r>
        <w:rPr>
          <w:sz w:val="20"/>
          <w:szCs w:val="20"/>
        </w:rPr>
        <w:t xml:space="preserve">, H., </w:t>
      </w:r>
      <w:proofErr w:type="spellStart"/>
      <w:r>
        <w:rPr>
          <w:sz w:val="20"/>
          <w:szCs w:val="20"/>
        </w:rPr>
        <w:t>Jyväkorpi</w:t>
      </w:r>
      <w:proofErr w:type="spellEnd"/>
      <w:r>
        <w:rPr>
          <w:sz w:val="20"/>
          <w:szCs w:val="20"/>
        </w:rPr>
        <w:t xml:space="preserve">, S. K., </w:t>
      </w:r>
      <w:proofErr w:type="spellStart"/>
      <w:r>
        <w:rPr>
          <w:sz w:val="20"/>
          <w:szCs w:val="20"/>
        </w:rPr>
        <w:t>Finne-Soveri</w:t>
      </w:r>
      <w:proofErr w:type="spellEnd"/>
      <w:r>
        <w:rPr>
          <w:sz w:val="20"/>
          <w:szCs w:val="20"/>
        </w:rPr>
        <w:t xml:space="preserve">, H. U., Strandberg, T. E., ... &amp; </w:t>
      </w:r>
      <w:proofErr w:type="spellStart"/>
      <w:r>
        <w:rPr>
          <w:sz w:val="20"/>
          <w:szCs w:val="20"/>
        </w:rPr>
        <w:t>Tilvis</w:t>
      </w:r>
      <w:proofErr w:type="spellEnd"/>
      <w:r>
        <w:rPr>
          <w:sz w:val="20"/>
          <w:szCs w:val="20"/>
        </w:rPr>
        <w:t xml:space="preserve">, R. S. (2020). Effect of protein supplementation on physical performance in older people with sarcopenia–A randomized controlled trial. </w:t>
      </w:r>
      <w:r>
        <w:rPr>
          <w:i/>
          <w:iCs/>
          <w:sz w:val="20"/>
          <w:szCs w:val="20"/>
        </w:rPr>
        <w:t>Journal of the American Medical Directors Association</w:t>
      </w:r>
      <w:r>
        <w:rPr>
          <w:sz w:val="20"/>
          <w:szCs w:val="20"/>
        </w:rPr>
        <w:t xml:space="preserve">, </w:t>
      </w:r>
      <w:r>
        <w:rPr>
          <w:i/>
          <w:iCs/>
          <w:sz w:val="20"/>
          <w:szCs w:val="20"/>
        </w:rPr>
        <w:t>21</w:t>
      </w:r>
      <w:r>
        <w:rPr>
          <w:sz w:val="20"/>
          <w:szCs w:val="20"/>
        </w:rPr>
        <w:t xml:space="preserve">(2), 226-232. </w:t>
      </w:r>
      <w:hyperlink r:id="rId26">
        <w:r w:rsidR="002D2CBF">
          <w:rPr>
            <w:color w:val="1155CC"/>
            <w:sz w:val="20"/>
            <w:szCs w:val="20"/>
            <w:u w:val="single"/>
          </w:rPr>
          <w:t>https://doi.org/10.1016/j.jamda.2019.09.006</w:t>
        </w:r>
      </w:hyperlink>
    </w:p>
    <w:p w14:paraId="00000052" w14:textId="77777777" w:rsidR="002D2CBF" w:rsidRDefault="002D2CBF">
      <w:pPr>
        <w:pBdr>
          <w:top w:val="nil"/>
          <w:left w:val="nil"/>
          <w:bottom w:val="nil"/>
          <w:right w:val="nil"/>
          <w:between w:val="nil"/>
        </w:pBdr>
        <w:spacing w:line="240" w:lineRule="auto"/>
        <w:jc w:val="both"/>
        <w:rPr>
          <w:sz w:val="20"/>
          <w:szCs w:val="20"/>
        </w:rPr>
      </w:pPr>
    </w:p>
    <w:p w14:paraId="00000053" w14:textId="06807A9F" w:rsidR="002D2CBF" w:rsidRDefault="00125BFF">
      <w:pPr>
        <w:widowControl w:val="0"/>
        <w:numPr>
          <w:ilvl w:val="0"/>
          <w:numId w:val="2"/>
        </w:numPr>
        <w:spacing w:line="360" w:lineRule="auto"/>
        <w:jc w:val="both"/>
        <w:rPr>
          <w:sz w:val="20"/>
          <w:szCs w:val="20"/>
        </w:rPr>
      </w:pPr>
      <w:r>
        <w:rPr>
          <w:sz w:val="20"/>
          <w:szCs w:val="20"/>
        </w:rPr>
        <w:t xml:space="preserve">Jang, Y. J. (2022). The effects of protein and supplements on sarcopenia in human clinical studies: how older adults should consume protein and supplements. </w:t>
      </w:r>
      <w:r>
        <w:rPr>
          <w:i/>
          <w:iCs/>
          <w:sz w:val="20"/>
          <w:szCs w:val="20"/>
        </w:rPr>
        <w:t>Journal of microbiology and biotechnology</w:t>
      </w:r>
      <w:r>
        <w:rPr>
          <w:sz w:val="20"/>
          <w:szCs w:val="20"/>
        </w:rPr>
        <w:t xml:space="preserve">, </w:t>
      </w:r>
      <w:r>
        <w:rPr>
          <w:i/>
          <w:iCs/>
          <w:sz w:val="20"/>
          <w:szCs w:val="20"/>
        </w:rPr>
        <w:t>33</w:t>
      </w:r>
      <w:r>
        <w:rPr>
          <w:sz w:val="20"/>
          <w:szCs w:val="20"/>
        </w:rPr>
        <w:t>(2), 143.</w:t>
      </w:r>
      <w:r>
        <w:rPr>
          <w:color w:val="1155CC"/>
          <w:sz w:val="20"/>
          <w:szCs w:val="20"/>
        </w:rPr>
        <w:t xml:space="preserve"> </w:t>
      </w:r>
    </w:p>
    <w:p w14:paraId="00000054" w14:textId="77777777" w:rsidR="002D2CBF" w:rsidRDefault="002D2CBF">
      <w:pPr>
        <w:pBdr>
          <w:top w:val="nil"/>
          <w:left w:val="nil"/>
          <w:bottom w:val="nil"/>
          <w:right w:val="nil"/>
          <w:between w:val="nil"/>
        </w:pBdr>
        <w:ind w:left="720"/>
        <w:jc w:val="both"/>
        <w:rPr>
          <w:sz w:val="20"/>
          <w:szCs w:val="20"/>
        </w:rPr>
      </w:pPr>
    </w:p>
    <w:p w14:paraId="00000055" w14:textId="77777777" w:rsidR="002D2CBF" w:rsidRDefault="00125BFF">
      <w:pPr>
        <w:widowControl w:val="0"/>
        <w:numPr>
          <w:ilvl w:val="0"/>
          <w:numId w:val="2"/>
        </w:numPr>
        <w:spacing w:after="240" w:line="360" w:lineRule="auto"/>
        <w:jc w:val="both"/>
        <w:rPr>
          <w:sz w:val="20"/>
          <w:szCs w:val="20"/>
        </w:rPr>
      </w:pPr>
      <w:r>
        <w:rPr>
          <w:sz w:val="20"/>
          <w:szCs w:val="20"/>
        </w:rPr>
        <w:t xml:space="preserve">Coelho-Junior, H. J., </w:t>
      </w:r>
      <w:proofErr w:type="spellStart"/>
      <w:r>
        <w:rPr>
          <w:sz w:val="20"/>
          <w:szCs w:val="20"/>
        </w:rPr>
        <w:t>Calvani</w:t>
      </w:r>
      <w:proofErr w:type="spellEnd"/>
      <w:r>
        <w:rPr>
          <w:sz w:val="20"/>
          <w:szCs w:val="20"/>
        </w:rPr>
        <w:t xml:space="preserve">, R., </w:t>
      </w:r>
      <w:proofErr w:type="spellStart"/>
      <w:r>
        <w:rPr>
          <w:sz w:val="20"/>
          <w:szCs w:val="20"/>
        </w:rPr>
        <w:t>Azzolino</w:t>
      </w:r>
      <w:proofErr w:type="spellEnd"/>
      <w:r>
        <w:rPr>
          <w:sz w:val="20"/>
          <w:szCs w:val="20"/>
        </w:rPr>
        <w:t xml:space="preserve">, D., </w:t>
      </w:r>
      <w:proofErr w:type="spellStart"/>
      <w:r>
        <w:rPr>
          <w:sz w:val="20"/>
          <w:szCs w:val="20"/>
        </w:rPr>
        <w:t>Picca</w:t>
      </w:r>
      <w:proofErr w:type="spellEnd"/>
      <w:r>
        <w:rPr>
          <w:sz w:val="20"/>
          <w:szCs w:val="20"/>
        </w:rPr>
        <w:t xml:space="preserve">, A., </w:t>
      </w:r>
      <w:proofErr w:type="spellStart"/>
      <w:r>
        <w:rPr>
          <w:sz w:val="20"/>
          <w:szCs w:val="20"/>
        </w:rPr>
        <w:t>Tosato</w:t>
      </w:r>
      <w:proofErr w:type="spellEnd"/>
      <w:r>
        <w:rPr>
          <w:sz w:val="20"/>
          <w:szCs w:val="20"/>
        </w:rPr>
        <w:t xml:space="preserve">, M., </w:t>
      </w:r>
      <w:proofErr w:type="spellStart"/>
      <w:r>
        <w:rPr>
          <w:sz w:val="20"/>
          <w:szCs w:val="20"/>
        </w:rPr>
        <w:t>Landi</w:t>
      </w:r>
      <w:proofErr w:type="spellEnd"/>
      <w:r>
        <w:rPr>
          <w:sz w:val="20"/>
          <w:szCs w:val="20"/>
        </w:rPr>
        <w:t xml:space="preserve">, F., ... &amp; Marzetti, E. (2022). Protein intake and sarcopenia in older adults: a systematic review and meta-analysis. </w:t>
      </w:r>
      <w:r>
        <w:rPr>
          <w:i/>
          <w:iCs/>
          <w:sz w:val="20"/>
          <w:szCs w:val="20"/>
        </w:rPr>
        <w:t>International journal of environmental research and public health</w:t>
      </w:r>
      <w:r>
        <w:rPr>
          <w:sz w:val="20"/>
          <w:szCs w:val="20"/>
        </w:rPr>
        <w:t xml:space="preserve">, </w:t>
      </w:r>
      <w:r>
        <w:rPr>
          <w:i/>
          <w:iCs/>
          <w:sz w:val="20"/>
          <w:szCs w:val="20"/>
        </w:rPr>
        <w:t>19</w:t>
      </w:r>
      <w:r>
        <w:rPr>
          <w:sz w:val="20"/>
          <w:szCs w:val="20"/>
        </w:rPr>
        <w:t xml:space="preserve">(14), 8718. </w:t>
      </w:r>
      <w:hyperlink r:id="rId27">
        <w:r w:rsidR="002D2CBF">
          <w:rPr>
            <w:color w:val="1155CC"/>
            <w:sz w:val="20"/>
            <w:szCs w:val="20"/>
            <w:u w:val="single"/>
          </w:rPr>
          <w:t>https://doi.org/10.3390/ijerph19148718</w:t>
        </w:r>
      </w:hyperlink>
      <w:r>
        <w:rPr>
          <w:color w:val="1155CC"/>
          <w:sz w:val="20"/>
          <w:szCs w:val="20"/>
          <w:u w:val="single"/>
        </w:rPr>
        <w:t xml:space="preserve"> </w:t>
      </w:r>
    </w:p>
    <w:p w14:paraId="00000056" w14:textId="77777777" w:rsidR="002D2CBF" w:rsidRDefault="00125BFF">
      <w:pPr>
        <w:numPr>
          <w:ilvl w:val="0"/>
          <w:numId w:val="2"/>
        </w:numPr>
        <w:jc w:val="both"/>
        <w:rPr>
          <w:sz w:val="20"/>
          <w:szCs w:val="20"/>
        </w:rPr>
      </w:pPr>
      <w:proofErr w:type="spellStart"/>
      <w:r>
        <w:rPr>
          <w:sz w:val="20"/>
          <w:szCs w:val="20"/>
        </w:rPr>
        <w:t>Naseeb</w:t>
      </w:r>
      <w:proofErr w:type="spellEnd"/>
      <w:r>
        <w:rPr>
          <w:sz w:val="20"/>
          <w:szCs w:val="20"/>
        </w:rPr>
        <w:t xml:space="preserve">, M. A., &amp; Volpe, S. L. (2017). Protein and exercise in the prevention of sarcopenia and aging. </w:t>
      </w:r>
      <w:r>
        <w:rPr>
          <w:i/>
          <w:iCs/>
          <w:sz w:val="20"/>
          <w:szCs w:val="20"/>
        </w:rPr>
        <w:t>Nutrition research</w:t>
      </w:r>
      <w:r>
        <w:rPr>
          <w:sz w:val="20"/>
          <w:szCs w:val="20"/>
        </w:rPr>
        <w:t xml:space="preserve">, </w:t>
      </w:r>
      <w:r>
        <w:rPr>
          <w:i/>
          <w:iCs/>
          <w:sz w:val="20"/>
          <w:szCs w:val="20"/>
        </w:rPr>
        <w:t>40</w:t>
      </w:r>
      <w:r>
        <w:rPr>
          <w:sz w:val="20"/>
          <w:szCs w:val="20"/>
        </w:rPr>
        <w:t>, 1-20.</w:t>
      </w:r>
      <w:r>
        <w:rPr>
          <w:color w:val="1155CC"/>
          <w:sz w:val="20"/>
          <w:szCs w:val="20"/>
          <w:u w:val="single"/>
        </w:rPr>
        <w:t xml:space="preserve"> </w:t>
      </w:r>
      <w:hyperlink r:id="rId28">
        <w:r w:rsidR="002D2CBF">
          <w:rPr>
            <w:color w:val="1155CC"/>
            <w:sz w:val="20"/>
            <w:szCs w:val="20"/>
            <w:u w:val="single"/>
          </w:rPr>
          <w:t>https://doi.org/10.1016/j.nutres.2017.01.001</w:t>
        </w:r>
      </w:hyperlink>
    </w:p>
    <w:p w14:paraId="00000057" w14:textId="77777777" w:rsidR="002D2CBF" w:rsidRDefault="002D2CBF">
      <w:pPr>
        <w:widowControl w:val="0"/>
        <w:pBdr>
          <w:top w:val="nil"/>
          <w:left w:val="nil"/>
          <w:bottom w:val="nil"/>
          <w:right w:val="nil"/>
          <w:between w:val="nil"/>
        </w:pBdr>
        <w:spacing w:line="240" w:lineRule="auto"/>
        <w:ind w:left="720"/>
        <w:jc w:val="both"/>
        <w:rPr>
          <w:sz w:val="20"/>
          <w:szCs w:val="20"/>
        </w:rPr>
      </w:pPr>
    </w:p>
    <w:p w14:paraId="00000058" w14:textId="77777777" w:rsidR="002D2CBF" w:rsidRDefault="00125BFF">
      <w:pPr>
        <w:numPr>
          <w:ilvl w:val="0"/>
          <w:numId w:val="2"/>
        </w:numPr>
        <w:jc w:val="both"/>
        <w:rPr>
          <w:sz w:val="20"/>
          <w:szCs w:val="20"/>
        </w:rPr>
      </w:pPr>
      <w:proofErr w:type="spellStart"/>
      <w:r>
        <w:rPr>
          <w:sz w:val="20"/>
          <w:szCs w:val="20"/>
        </w:rPr>
        <w:t>Nasso</w:t>
      </w:r>
      <w:proofErr w:type="spellEnd"/>
      <w:r>
        <w:rPr>
          <w:sz w:val="20"/>
          <w:szCs w:val="20"/>
        </w:rPr>
        <w:t xml:space="preserve">, R., </w:t>
      </w:r>
      <w:proofErr w:type="spellStart"/>
      <w:r>
        <w:rPr>
          <w:sz w:val="20"/>
          <w:szCs w:val="20"/>
        </w:rPr>
        <w:t>D’Errico</w:t>
      </w:r>
      <w:proofErr w:type="spellEnd"/>
      <w:r>
        <w:rPr>
          <w:sz w:val="20"/>
          <w:szCs w:val="20"/>
        </w:rPr>
        <w:t xml:space="preserve">, A., </w:t>
      </w:r>
      <w:proofErr w:type="spellStart"/>
      <w:r>
        <w:rPr>
          <w:sz w:val="20"/>
          <w:szCs w:val="20"/>
        </w:rPr>
        <w:t>Motti</w:t>
      </w:r>
      <w:proofErr w:type="spellEnd"/>
      <w:r>
        <w:rPr>
          <w:sz w:val="20"/>
          <w:szCs w:val="20"/>
        </w:rPr>
        <w:t xml:space="preserve">, M. L., </w:t>
      </w:r>
      <w:proofErr w:type="spellStart"/>
      <w:r>
        <w:rPr>
          <w:sz w:val="20"/>
          <w:szCs w:val="20"/>
        </w:rPr>
        <w:t>Masullo</w:t>
      </w:r>
      <w:proofErr w:type="spellEnd"/>
      <w:r>
        <w:rPr>
          <w:sz w:val="20"/>
          <w:szCs w:val="20"/>
        </w:rPr>
        <w:t xml:space="preserve">, M., &amp; </w:t>
      </w:r>
      <w:proofErr w:type="spellStart"/>
      <w:r>
        <w:rPr>
          <w:sz w:val="20"/>
          <w:szCs w:val="20"/>
        </w:rPr>
        <w:t>Arcone</w:t>
      </w:r>
      <w:proofErr w:type="spellEnd"/>
      <w:r>
        <w:rPr>
          <w:sz w:val="20"/>
          <w:szCs w:val="20"/>
        </w:rPr>
        <w:t xml:space="preserve">, R. (2024). Dietary Protein and Physical Exercise for the Treatment of Sarcopenia. Clinics and Practice, 14(4), 1451-1467. </w:t>
      </w:r>
      <w:hyperlink r:id="rId29">
        <w:r w:rsidR="002D2CBF">
          <w:rPr>
            <w:color w:val="1155CC"/>
            <w:sz w:val="20"/>
            <w:szCs w:val="20"/>
            <w:u w:val="single"/>
          </w:rPr>
          <w:t>https://doi.org/10.3390/clinpract14040117</w:t>
        </w:r>
      </w:hyperlink>
    </w:p>
    <w:p w14:paraId="00000059" w14:textId="77777777" w:rsidR="002D2CBF" w:rsidRDefault="002D2CBF">
      <w:pPr>
        <w:ind w:left="720"/>
        <w:jc w:val="both"/>
        <w:rPr>
          <w:sz w:val="20"/>
          <w:szCs w:val="20"/>
        </w:rPr>
      </w:pPr>
    </w:p>
    <w:p w14:paraId="0000005A" w14:textId="77777777" w:rsidR="002D2CBF" w:rsidRDefault="00125BFF">
      <w:pPr>
        <w:numPr>
          <w:ilvl w:val="0"/>
          <w:numId w:val="2"/>
        </w:numPr>
        <w:jc w:val="both"/>
        <w:rPr>
          <w:sz w:val="20"/>
          <w:szCs w:val="20"/>
        </w:rPr>
      </w:pPr>
      <w:proofErr w:type="spellStart"/>
      <w:r>
        <w:rPr>
          <w:sz w:val="20"/>
          <w:szCs w:val="20"/>
        </w:rPr>
        <w:t>Akehurst</w:t>
      </w:r>
      <w:proofErr w:type="spellEnd"/>
      <w:r>
        <w:rPr>
          <w:sz w:val="20"/>
          <w:szCs w:val="20"/>
        </w:rPr>
        <w:t xml:space="preserve">, E., Scott, D., Rodríguez, J. P., Alonso Gonzalez, C., Murphy, J., McCarthy, H., </w:t>
      </w:r>
      <w:proofErr w:type="spellStart"/>
      <w:r>
        <w:rPr>
          <w:sz w:val="20"/>
          <w:szCs w:val="20"/>
        </w:rPr>
        <w:t>Dorgo</w:t>
      </w:r>
      <w:proofErr w:type="spellEnd"/>
      <w:r>
        <w:rPr>
          <w:sz w:val="20"/>
          <w:szCs w:val="20"/>
        </w:rPr>
        <w:t xml:space="preserve">, S., &amp; Hayes, A. (2021). </w:t>
      </w:r>
      <w:r>
        <w:rPr>
          <w:i/>
          <w:iCs/>
          <w:sz w:val="20"/>
          <w:szCs w:val="20"/>
        </w:rPr>
        <w:t>Associations of sarcopenia components with physical activity and nutrition in Australian older adults performing exercise training.</w:t>
      </w:r>
      <w:r>
        <w:rPr>
          <w:sz w:val="20"/>
          <w:szCs w:val="20"/>
        </w:rPr>
        <w:t xml:space="preserve"> </w:t>
      </w:r>
      <w:r>
        <w:rPr>
          <w:i/>
          <w:iCs/>
          <w:sz w:val="20"/>
          <w:szCs w:val="20"/>
        </w:rPr>
        <w:t>BMC Geriatrics, 21</w:t>
      </w:r>
      <w:r>
        <w:rPr>
          <w:sz w:val="20"/>
          <w:szCs w:val="20"/>
        </w:rPr>
        <w:t>(1), 276.</w:t>
      </w:r>
      <w:hyperlink r:id="rId30">
        <w:r w:rsidR="002D2CBF">
          <w:rPr>
            <w:sz w:val="20"/>
            <w:szCs w:val="20"/>
          </w:rPr>
          <w:t xml:space="preserve"> </w:t>
        </w:r>
      </w:hyperlink>
      <w:hyperlink r:id="rId31">
        <w:r w:rsidR="002D2CBF">
          <w:rPr>
            <w:color w:val="1155CC"/>
            <w:sz w:val="20"/>
            <w:szCs w:val="20"/>
            <w:u w:val="single"/>
          </w:rPr>
          <w:t>https://doi.org/10.1186/s12877-021-02212-y</w:t>
        </w:r>
      </w:hyperlink>
    </w:p>
    <w:p w14:paraId="0000005B" w14:textId="77777777" w:rsidR="002D2CBF" w:rsidRDefault="002D2CBF">
      <w:pPr>
        <w:pBdr>
          <w:top w:val="nil"/>
          <w:left w:val="nil"/>
          <w:bottom w:val="nil"/>
          <w:right w:val="nil"/>
          <w:between w:val="nil"/>
        </w:pBdr>
        <w:jc w:val="both"/>
        <w:rPr>
          <w:sz w:val="20"/>
          <w:szCs w:val="20"/>
        </w:rPr>
      </w:pPr>
    </w:p>
    <w:p w14:paraId="0000005C" w14:textId="77777777" w:rsidR="002D2CBF" w:rsidRDefault="00125BFF">
      <w:pPr>
        <w:numPr>
          <w:ilvl w:val="0"/>
          <w:numId w:val="2"/>
        </w:numPr>
        <w:jc w:val="both"/>
        <w:rPr>
          <w:sz w:val="20"/>
          <w:szCs w:val="20"/>
        </w:rPr>
      </w:pPr>
      <w:proofErr w:type="spellStart"/>
      <w:r>
        <w:rPr>
          <w:sz w:val="20"/>
          <w:szCs w:val="20"/>
        </w:rPr>
        <w:lastRenderedPageBreak/>
        <w:t>Phu</w:t>
      </w:r>
      <w:proofErr w:type="spellEnd"/>
      <w:r>
        <w:rPr>
          <w:sz w:val="20"/>
          <w:szCs w:val="20"/>
        </w:rPr>
        <w:t xml:space="preserve">, S., Boersma, D., &amp; Duque, G. (2015). Exercise and sarcopenia. </w:t>
      </w:r>
      <w:r>
        <w:rPr>
          <w:i/>
          <w:iCs/>
          <w:sz w:val="20"/>
          <w:szCs w:val="20"/>
        </w:rPr>
        <w:t>Journal of Clinical Densitometry</w:t>
      </w:r>
      <w:r>
        <w:rPr>
          <w:sz w:val="20"/>
          <w:szCs w:val="20"/>
        </w:rPr>
        <w:t xml:space="preserve">, </w:t>
      </w:r>
      <w:r>
        <w:rPr>
          <w:i/>
          <w:iCs/>
          <w:sz w:val="20"/>
          <w:szCs w:val="20"/>
        </w:rPr>
        <w:t>18</w:t>
      </w:r>
      <w:r>
        <w:rPr>
          <w:sz w:val="20"/>
          <w:szCs w:val="20"/>
        </w:rPr>
        <w:t xml:space="preserve">(4), 488-492. </w:t>
      </w:r>
      <w:hyperlink r:id="rId32">
        <w:r w:rsidR="002D2CBF">
          <w:rPr>
            <w:sz w:val="20"/>
            <w:szCs w:val="20"/>
          </w:rPr>
          <w:t>https://doi.org/10.1016/j.jocd.2015.04.011</w:t>
        </w:r>
      </w:hyperlink>
      <w:r>
        <w:rPr>
          <w:sz w:val="20"/>
          <w:szCs w:val="20"/>
        </w:rPr>
        <w:t xml:space="preserve"> </w:t>
      </w:r>
    </w:p>
    <w:p w14:paraId="0000005D" w14:textId="77777777" w:rsidR="002D2CBF" w:rsidRDefault="002D2CBF">
      <w:pPr>
        <w:pBdr>
          <w:top w:val="nil"/>
          <w:left w:val="nil"/>
          <w:bottom w:val="nil"/>
          <w:right w:val="nil"/>
          <w:between w:val="nil"/>
        </w:pBdr>
        <w:ind w:left="720"/>
        <w:jc w:val="both"/>
        <w:rPr>
          <w:sz w:val="20"/>
          <w:szCs w:val="20"/>
        </w:rPr>
      </w:pPr>
    </w:p>
    <w:p w14:paraId="0000005E" w14:textId="77777777" w:rsidR="002D2CBF" w:rsidRDefault="00125BFF">
      <w:pPr>
        <w:numPr>
          <w:ilvl w:val="0"/>
          <w:numId w:val="2"/>
        </w:numPr>
        <w:jc w:val="both"/>
        <w:rPr>
          <w:sz w:val="20"/>
          <w:szCs w:val="20"/>
        </w:rPr>
      </w:pPr>
      <w:proofErr w:type="spellStart"/>
      <w:r>
        <w:rPr>
          <w:sz w:val="20"/>
          <w:szCs w:val="20"/>
        </w:rPr>
        <w:t>Vlietstra</w:t>
      </w:r>
      <w:proofErr w:type="spellEnd"/>
      <w:r>
        <w:rPr>
          <w:sz w:val="20"/>
          <w:szCs w:val="20"/>
        </w:rPr>
        <w:t xml:space="preserve">, L., </w:t>
      </w:r>
      <w:proofErr w:type="spellStart"/>
      <w:r>
        <w:rPr>
          <w:sz w:val="20"/>
          <w:szCs w:val="20"/>
        </w:rPr>
        <w:t>Hendrickx</w:t>
      </w:r>
      <w:proofErr w:type="spellEnd"/>
      <w:r>
        <w:rPr>
          <w:sz w:val="20"/>
          <w:szCs w:val="20"/>
        </w:rPr>
        <w:t xml:space="preserve">, W., &amp; Waters, D. L. (2018). Exercise interventions in healthy older adults with sarcopenia: A systematic review and meta-analysis. Australasian Journal on Ageing, 37(3), 169–183. </w:t>
      </w:r>
      <w:hyperlink r:id="rId33">
        <w:r w:rsidR="002D2CBF">
          <w:rPr>
            <w:color w:val="1155CC"/>
            <w:sz w:val="20"/>
            <w:szCs w:val="20"/>
            <w:u w:val="single"/>
          </w:rPr>
          <w:t>https://doi.org/10.1111/ajag.12521</w:t>
        </w:r>
      </w:hyperlink>
      <w:r>
        <w:rPr>
          <w:color w:val="1155CC"/>
          <w:sz w:val="20"/>
          <w:szCs w:val="20"/>
        </w:rPr>
        <w:t xml:space="preserve"> </w:t>
      </w:r>
    </w:p>
    <w:p w14:paraId="0000005F" w14:textId="77777777" w:rsidR="002D2CBF" w:rsidRDefault="002D2CBF">
      <w:pPr>
        <w:pBdr>
          <w:top w:val="nil"/>
          <w:left w:val="nil"/>
          <w:bottom w:val="nil"/>
          <w:right w:val="nil"/>
          <w:between w:val="nil"/>
        </w:pBdr>
        <w:ind w:left="720"/>
        <w:jc w:val="both"/>
        <w:rPr>
          <w:sz w:val="20"/>
          <w:szCs w:val="20"/>
        </w:rPr>
      </w:pPr>
    </w:p>
    <w:p w14:paraId="00000060" w14:textId="77777777" w:rsidR="002D2CBF" w:rsidRDefault="00125BFF">
      <w:pPr>
        <w:numPr>
          <w:ilvl w:val="0"/>
          <w:numId w:val="2"/>
        </w:numPr>
        <w:jc w:val="both"/>
        <w:rPr>
          <w:sz w:val="20"/>
          <w:szCs w:val="20"/>
        </w:rPr>
      </w:pPr>
      <w:r>
        <w:rPr>
          <w:sz w:val="20"/>
          <w:szCs w:val="20"/>
          <w:highlight w:val="white"/>
        </w:rPr>
        <w:t xml:space="preserve">Nascimento, C. M., Ingles, M., Salvador-Pascual, A., </w:t>
      </w:r>
      <w:proofErr w:type="spellStart"/>
      <w:r>
        <w:rPr>
          <w:sz w:val="20"/>
          <w:szCs w:val="20"/>
          <w:highlight w:val="white"/>
        </w:rPr>
        <w:t>Cominetti</w:t>
      </w:r>
      <w:proofErr w:type="spellEnd"/>
      <w:r>
        <w:rPr>
          <w:sz w:val="20"/>
          <w:szCs w:val="20"/>
          <w:highlight w:val="white"/>
        </w:rPr>
        <w:t xml:space="preserve">, M. R., Gomez-Cabrera, M. C., &amp; </w:t>
      </w:r>
      <w:proofErr w:type="spellStart"/>
      <w:r>
        <w:rPr>
          <w:sz w:val="20"/>
          <w:szCs w:val="20"/>
          <w:highlight w:val="white"/>
        </w:rPr>
        <w:t>Viña</w:t>
      </w:r>
      <w:proofErr w:type="spellEnd"/>
      <w:r>
        <w:rPr>
          <w:sz w:val="20"/>
          <w:szCs w:val="20"/>
          <w:highlight w:val="white"/>
        </w:rPr>
        <w:t xml:space="preserve">, J. (2019). Sarcopenia, frailty and their prevention by exercise. </w:t>
      </w:r>
      <w:r>
        <w:rPr>
          <w:i/>
          <w:iCs/>
          <w:sz w:val="20"/>
          <w:szCs w:val="20"/>
          <w:highlight w:val="white"/>
        </w:rPr>
        <w:t>Free radical biology and medicine</w:t>
      </w:r>
      <w:r>
        <w:rPr>
          <w:sz w:val="20"/>
          <w:szCs w:val="20"/>
          <w:highlight w:val="white"/>
        </w:rPr>
        <w:t xml:space="preserve">, </w:t>
      </w:r>
      <w:r>
        <w:rPr>
          <w:i/>
          <w:iCs/>
          <w:sz w:val="20"/>
          <w:szCs w:val="20"/>
          <w:highlight w:val="white"/>
        </w:rPr>
        <w:t>132</w:t>
      </w:r>
      <w:r>
        <w:rPr>
          <w:sz w:val="20"/>
          <w:szCs w:val="20"/>
          <w:highlight w:val="white"/>
        </w:rPr>
        <w:t xml:space="preserve">, 42-49. </w:t>
      </w:r>
      <w:hyperlink r:id="rId34">
        <w:r w:rsidR="002D2CBF">
          <w:rPr>
            <w:color w:val="1155CC"/>
            <w:sz w:val="20"/>
            <w:szCs w:val="20"/>
            <w:highlight w:val="white"/>
            <w:u w:val="single"/>
          </w:rPr>
          <w:t>https://doi.org/10.1016/j.freeradbiomed.2018.08.035</w:t>
        </w:r>
      </w:hyperlink>
      <w:r>
        <w:rPr>
          <w:color w:val="1155CC"/>
          <w:sz w:val="20"/>
          <w:szCs w:val="20"/>
          <w:highlight w:val="white"/>
        </w:rPr>
        <w:t xml:space="preserve"> </w:t>
      </w:r>
    </w:p>
    <w:p w14:paraId="00000061" w14:textId="77777777" w:rsidR="002D2CBF" w:rsidRDefault="002D2CBF">
      <w:pPr>
        <w:pBdr>
          <w:top w:val="nil"/>
          <w:left w:val="nil"/>
          <w:bottom w:val="nil"/>
          <w:right w:val="nil"/>
          <w:between w:val="nil"/>
        </w:pBdr>
        <w:jc w:val="both"/>
        <w:rPr>
          <w:sz w:val="20"/>
          <w:szCs w:val="20"/>
          <w:highlight w:val="white"/>
        </w:rPr>
      </w:pPr>
    </w:p>
    <w:p w14:paraId="00000062" w14:textId="77777777" w:rsidR="002D2CBF" w:rsidRDefault="00125BFF">
      <w:pPr>
        <w:numPr>
          <w:ilvl w:val="0"/>
          <w:numId w:val="2"/>
        </w:numPr>
        <w:jc w:val="both"/>
        <w:rPr>
          <w:sz w:val="20"/>
          <w:szCs w:val="20"/>
        </w:rPr>
      </w:pPr>
      <w:r>
        <w:rPr>
          <w:sz w:val="20"/>
          <w:szCs w:val="20"/>
          <w:highlight w:val="white"/>
        </w:rPr>
        <w:t xml:space="preserve">Shen, Y., Shi, Q., </w:t>
      </w:r>
      <w:proofErr w:type="spellStart"/>
      <w:r>
        <w:rPr>
          <w:sz w:val="20"/>
          <w:szCs w:val="20"/>
          <w:highlight w:val="white"/>
        </w:rPr>
        <w:t>Nong</w:t>
      </w:r>
      <w:proofErr w:type="spellEnd"/>
      <w:r>
        <w:rPr>
          <w:sz w:val="20"/>
          <w:szCs w:val="20"/>
          <w:highlight w:val="white"/>
        </w:rPr>
        <w:t>, K., Li, S., Yue, J., Huang, J., ... &amp; Hao, Q. (2023). Exercise for sarcopenia in older people: a systematic review and network meta</w:t>
      </w:r>
      <w:r>
        <w:rPr>
          <w:rFonts w:ascii="Times New Roman" w:eastAsia="Times New Roman" w:hAnsi="Times New Roman" w:cs="Times New Roman"/>
          <w:sz w:val="20"/>
          <w:szCs w:val="20"/>
          <w:highlight w:val="white"/>
        </w:rPr>
        <w:t>‐</w:t>
      </w:r>
      <w:r>
        <w:rPr>
          <w:sz w:val="20"/>
          <w:szCs w:val="20"/>
          <w:highlight w:val="white"/>
        </w:rPr>
        <w:t xml:space="preserve">analysis. </w:t>
      </w:r>
      <w:r>
        <w:rPr>
          <w:i/>
          <w:iCs/>
          <w:sz w:val="20"/>
          <w:szCs w:val="20"/>
          <w:highlight w:val="white"/>
        </w:rPr>
        <w:t>Journal of cachexia, sarcopenia and muscle</w:t>
      </w:r>
      <w:r>
        <w:rPr>
          <w:sz w:val="20"/>
          <w:szCs w:val="20"/>
          <w:highlight w:val="white"/>
        </w:rPr>
        <w:t xml:space="preserve">, </w:t>
      </w:r>
      <w:r>
        <w:rPr>
          <w:i/>
          <w:iCs/>
          <w:sz w:val="20"/>
          <w:szCs w:val="20"/>
          <w:highlight w:val="white"/>
        </w:rPr>
        <w:t>14</w:t>
      </w:r>
      <w:r>
        <w:rPr>
          <w:sz w:val="20"/>
          <w:szCs w:val="20"/>
          <w:highlight w:val="white"/>
        </w:rPr>
        <w:t xml:space="preserve">(3), 1199-1211. </w:t>
      </w:r>
      <w:hyperlink r:id="rId35">
        <w:r w:rsidR="002D2CBF">
          <w:rPr>
            <w:color w:val="1155CC"/>
            <w:sz w:val="20"/>
            <w:szCs w:val="20"/>
            <w:highlight w:val="white"/>
            <w:u w:val="single"/>
          </w:rPr>
          <w:t>https://doi.org/10.1002/jcsm.13225</w:t>
        </w:r>
      </w:hyperlink>
      <w:r>
        <w:rPr>
          <w:color w:val="1155CC"/>
          <w:sz w:val="20"/>
          <w:szCs w:val="20"/>
          <w:highlight w:val="white"/>
        </w:rPr>
        <w:t xml:space="preserve"> </w:t>
      </w:r>
    </w:p>
    <w:p w14:paraId="00000063" w14:textId="77777777" w:rsidR="002D2CBF" w:rsidRDefault="002D2CBF">
      <w:pPr>
        <w:pBdr>
          <w:top w:val="nil"/>
          <w:left w:val="nil"/>
          <w:bottom w:val="nil"/>
          <w:right w:val="nil"/>
          <w:between w:val="nil"/>
        </w:pBdr>
        <w:jc w:val="both"/>
        <w:rPr>
          <w:sz w:val="20"/>
          <w:szCs w:val="20"/>
        </w:rPr>
      </w:pPr>
    </w:p>
    <w:p w14:paraId="00000064" w14:textId="77777777" w:rsidR="002D2CBF" w:rsidRDefault="00125BFF">
      <w:pPr>
        <w:numPr>
          <w:ilvl w:val="0"/>
          <w:numId w:val="2"/>
        </w:numPr>
        <w:jc w:val="both"/>
        <w:rPr>
          <w:sz w:val="20"/>
          <w:szCs w:val="20"/>
          <w:highlight w:val="white"/>
        </w:rPr>
      </w:pPr>
      <w:r>
        <w:rPr>
          <w:sz w:val="20"/>
          <w:szCs w:val="20"/>
          <w:highlight w:val="white"/>
        </w:rPr>
        <w:t xml:space="preserve">Bao, W., Sun, Y., Zhang, T., Zou, L., Wu, X., Wang, D., &amp; Chen, Z. (2020). Exercise programs for muscle mass, muscle strength and physical performance in older adults with sarcopenia: a systematic review and meta-analysis. </w:t>
      </w:r>
      <w:r>
        <w:rPr>
          <w:i/>
          <w:iCs/>
          <w:sz w:val="20"/>
          <w:szCs w:val="20"/>
          <w:highlight w:val="white"/>
        </w:rPr>
        <w:t>Aging and disease</w:t>
      </w:r>
      <w:r>
        <w:rPr>
          <w:sz w:val="20"/>
          <w:szCs w:val="20"/>
          <w:highlight w:val="white"/>
        </w:rPr>
        <w:t xml:space="preserve">, </w:t>
      </w:r>
      <w:r>
        <w:rPr>
          <w:i/>
          <w:iCs/>
          <w:sz w:val="20"/>
          <w:szCs w:val="20"/>
          <w:highlight w:val="white"/>
        </w:rPr>
        <w:t>11</w:t>
      </w:r>
      <w:r>
        <w:rPr>
          <w:sz w:val="20"/>
          <w:szCs w:val="20"/>
          <w:highlight w:val="white"/>
        </w:rPr>
        <w:t xml:space="preserve">(4), 863. </w:t>
      </w:r>
      <w:hyperlink r:id="rId36">
        <w:r w:rsidR="002D2CBF">
          <w:rPr>
            <w:color w:val="1155CC"/>
            <w:sz w:val="20"/>
            <w:szCs w:val="20"/>
            <w:highlight w:val="white"/>
            <w:u w:val="single"/>
          </w:rPr>
          <w:t>10.14336/AD.2019.1012</w:t>
        </w:r>
      </w:hyperlink>
    </w:p>
    <w:p w14:paraId="00000065" w14:textId="77777777" w:rsidR="002D2CBF" w:rsidRDefault="002D2CBF">
      <w:pPr>
        <w:ind w:left="720"/>
        <w:jc w:val="both"/>
        <w:rPr>
          <w:sz w:val="20"/>
          <w:szCs w:val="20"/>
          <w:highlight w:val="white"/>
        </w:rPr>
      </w:pPr>
    </w:p>
    <w:p w14:paraId="00000066" w14:textId="77777777" w:rsidR="002D2CBF" w:rsidRDefault="00125BFF">
      <w:pPr>
        <w:numPr>
          <w:ilvl w:val="0"/>
          <w:numId w:val="2"/>
        </w:numPr>
        <w:jc w:val="both"/>
        <w:rPr>
          <w:sz w:val="20"/>
          <w:szCs w:val="20"/>
          <w:highlight w:val="white"/>
        </w:rPr>
      </w:pPr>
      <w:proofErr w:type="spellStart"/>
      <w:r>
        <w:rPr>
          <w:sz w:val="20"/>
          <w:szCs w:val="20"/>
          <w:highlight w:val="white"/>
        </w:rPr>
        <w:t>Rogeri</w:t>
      </w:r>
      <w:proofErr w:type="spellEnd"/>
      <w:r>
        <w:rPr>
          <w:sz w:val="20"/>
          <w:szCs w:val="20"/>
          <w:highlight w:val="white"/>
        </w:rPr>
        <w:t xml:space="preserve">, P. S., </w:t>
      </w:r>
      <w:proofErr w:type="spellStart"/>
      <w:r>
        <w:rPr>
          <w:sz w:val="20"/>
          <w:szCs w:val="20"/>
          <w:highlight w:val="white"/>
        </w:rPr>
        <w:t>Zanella</w:t>
      </w:r>
      <w:proofErr w:type="spellEnd"/>
      <w:r>
        <w:rPr>
          <w:sz w:val="20"/>
          <w:szCs w:val="20"/>
          <w:highlight w:val="white"/>
        </w:rPr>
        <w:t xml:space="preserve">, R., Jr., Martins, G. L., Garcia, M. D. A., </w:t>
      </w:r>
      <w:proofErr w:type="spellStart"/>
      <w:r>
        <w:rPr>
          <w:sz w:val="20"/>
          <w:szCs w:val="20"/>
          <w:highlight w:val="white"/>
        </w:rPr>
        <w:t>Leite</w:t>
      </w:r>
      <w:proofErr w:type="spellEnd"/>
      <w:r>
        <w:rPr>
          <w:sz w:val="20"/>
          <w:szCs w:val="20"/>
          <w:highlight w:val="white"/>
        </w:rPr>
        <w:t xml:space="preserve">, G., </w:t>
      </w:r>
      <w:proofErr w:type="spellStart"/>
      <w:r>
        <w:rPr>
          <w:sz w:val="20"/>
          <w:szCs w:val="20"/>
          <w:highlight w:val="white"/>
        </w:rPr>
        <w:t>Lugaresi</w:t>
      </w:r>
      <w:proofErr w:type="spellEnd"/>
      <w:r>
        <w:rPr>
          <w:sz w:val="20"/>
          <w:szCs w:val="20"/>
          <w:highlight w:val="white"/>
        </w:rPr>
        <w:t xml:space="preserve">, R., Gasparini, S. O., </w:t>
      </w:r>
      <w:proofErr w:type="spellStart"/>
      <w:r>
        <w:rPr>
          <w:sz w:val="20"/>
          <w:szCs w:val="20"/>
          <w:highlight w:val="white"/>
        </w:rPr>
        <w:t>Sperandio</w:t>
      </w:r>
      <w:proofErr w:type="spellEnd"/>
      <w:r>
        <w:rPr>
          <w:sz w:val="20"/>
          <w:szCs w:val="20"/>
          <w:highlight w:val="white"/>
        </w:rPr>
        <w:t xml:space="preserve">, G. A., Ferreira, L. H. B., Souza-Junior, T. P., &amp; Lancha, A. H., Jr. (2022). Strategies to Prevent Sarcopenia in the Aging Process: Role of Protein Intake and Exercise. Nutrients, 14(1), 52. </w:t>
      </w:r>
      <w:hyperlink r:id="rId37">
        <w:r w:rsidR="002D2CBF">
          <w:rPr>
            <w:color w:val="1155CC"/>
            <w:sz w:val="20"/>
            <w:szCs w:val="20"/>
            <w:highlight w:val="white"/>
            <w:u w:val="single"/>
          </w:rPr>
          <w:t>https://doi.org/10.3390/nu14010052</w:t>
        </w:r>
      </w:hyperlink>
      <w:r>
        <w:rPr>
          <w:color w:val="1155CC"/>
          <w:sz w:val="20"/>
          <w:szCs w:val="20"/>
          <w:highlight w:val="white"/>
        </w:rPr>
        <w:t xml:space="preserve">. </w:t>
      </w:r>
    </w:p>
    <w:p w14:paraId="00000067" w14:textId="77777777" w:rsidR="002D2CBF" w:rsidRDefault="002D2CBF">
      <w:pPr>
        <w:pBdr>
          <w:top w:val="nil"/>
          <w:left w:val="nil"/>
          <w:bottom w:val="nil"/>
          <w:right w:val="nil"/>
          <w:between w:val="nil"/>
        </w:pBdr>
        <w:jc w:val="both"/>
        <w:rPr>
          <w:sz w:val="20"/>
          <w:szCs w:val="20"/>
        </w:rPr>
      </w:pPr>
    </w:p>
    <w:p w14:paraId="00000068" w14:textId="07FCF156" w:rsidR="002D2CBF" w:rsidRDefault="00125BFF">
      <w:pPr>
        <w:numPr>
          <w:ilvl w:val="0"/>
          <w:numId w:val="2"/>
        </w:numPr>
        <w:pBdr>
          <w:top w:val="nil"/>
          <w:left w:val="nil"/>
          <w:bottom w:val="nil"/>
          <w:right w:val="nil"/>
          <w:between w:val="nil"/>
        </w:pBdr>
        <w:jc w:val="both"/>
        <w:rPr>
          <w:sz w:val="20"/>
          <w:szCs w:val="20"/>
        </w:rPr>
      </w:pPr>
      <w:r>
        <w:rPr>
          <w:sz w:val="20"/>
          <w:szCs w:val="20"/>
          <w:highlight w:val="white"/>
        </w:rPr>
        <w:t xml:space="preserve">Lin, C.-C., Shih, M.-H., Chen, C.-D., &amp; Yeh, S.-L. (2019). Effects of adequate dietary protein with whey protein, leucine, and vitamin D supplementation on sarcopenia in older adults: An open-label, parallel-group study. Clinical Nutrition, 38(6), 2592–2598. </w:t>
      </w:r>
    </w:p>
    <w:p w14:paraId="00000069" w14:textId="77777777" w:rsidR="002D2CBF" w:rsidRDefault="002D2CBF">
      <w:pPr>
        <w:pBdr>
          <w:top w:val="nil"/>
          <w:left w:val="nil"/>
          <w:bottom w:val="nil"/>
          <w:right w:val="nil"/>
          <w:between w:val="nil"/>
        </w:pBdr>
        <w:jc w:val="both"/>
        <w:rPr>
          <w:sz w:val="20"/>
          <w:szCs w:val="20"/>
          <w:highlight w:val="white"/>
        </w:rPr>
      </w:pPr>
    </w:p>
    <w:p w14:paraId="0000006A" w14:textId="77777777" w:rsidR="002D2CBF" w:rsidRDefault="00125BFF">
      <w:pPr>
        <w:numPr>
          <w:ilvl w:val="0"/>
          <w:numId w:val="2"/>
        </w:numPr>
        <w:pBdr>
          <w:top w:val="nil"/>
          <w:left w:val="nil"/>
          <w:bottom w:val="nil"/>
          <w:right w:val="nil"/>
          <w:between w:val="nil"/>
        </w:pBdr>
        <w:jc w:val="both"/>
        <w:rPr>
          <w:sz w:val="20"/>
          <w:szCs w:val="20"/>
          <w:highlight w:val="white"/>
        </w:rPr>
      </w:pPr>
      <w:proofErr w:type="spellStart"/>
      <w:r>
        <w:rPr>
          <w:sz w:val="20"/>
          <w:szCs w:val="20"/>
          <w:highlight w:val="white"/>
        </w:rPr>
        <w:t>Bosaeus</w:t>
      </w:r>
      <w:proofErr w:type="spellEnd"/>
      <w:r>
        <w:rPr>
          <w:sz w:val="20"/>
          <w:szCs w:val="20"/>
          <w:highlight w:val="white"/>
        </w:rPr>
        <w:t xml:space="preserve">, I., &amp; Rothenberg, E. (2016). Nutrition and physical activity for the prevention and treatment of age-related sarcopenia. </w:t>
      </w:r>
      <w:r>
        <w:rPr>
          <w:i/>
          <w:iCs/>
          <w:sz w:val="20"/>
          <w:szCs w:val="20"/>
          <w:highlight w:val="white"/>
        </w:rPr>
        <w:t>Proceedings of the Nutrition Society</w:t>
      </w:r>
      <w:r>
        <w:rPr>
          <w:sz w:val="20"/>
          <w:szCs w:val="20"/>
          <w:highlight w:val="white"/>
        </w:rPr>
        <w:t xml:space="preserve">, </w:t>
      </w:r>
      <w:r>
        <w:rPr>
          <w:i/>
          <w:iCs/>
          <w:sz w:val="20"/>
          <w:szCs w:val="20"/>
          <w:highlight w:val="white"/>
        </w:rPr>
        <w:t>75</w:t>
      </w:r>
      <w:r>
        <w:rPr>
          <w:sz w:val="20"/>
          <w:szCs w:val="20"/>
          <w:highlight w:val="white"/>
        </w:rPr>
        <w:t xml:space="preserve">(2), 174–180. </w:t>
      </w:r>
      <w:hyperlink r:id="rId38">
        <w:r w:rsidR="002D2CBF">
          <w:rPr>
            <w:color w:val="1155CC"/>
            <w:sz w:val="20"/>
            <w:szCs w:val="20"/>
            <w:highlight w:val="white"/>
            <w:u w:val="single"/>
          </w:rPr>
          <w:t>https://doi.org/10.1017/S002966511500422X</w:t>
        </w:r>
      </w:hyperlink>
      <w:r>
        <w:rPr>
          <w:color w:val="1155CC"/>
          <w:sz w:val="20"/>
          <w:szCs w:val="20"/>
          <w:highlight w:val="white"/>
        </w:rPr>
        <w:t xml:space="preserve">  </w:t>
      </w:r>
    </w:p>
    <w:p w14:paraId="0000006B" w14:textId="77777777" w:rsidR="002D2CBF" w:rsidRDefault="002D2CBF">
      <w:pPr>
        <w:pBdr>
          <w:top w:val="nil"/>
          <w:left w:val="nil"/>
          <w:bottom w:val="nil"/>
          <w:right w:val="nil"/>
          <w:between w:val="nil"/>
        </w:pBdr>
        <w:jc w:val="both"/>
        <w:rPr>
          <w:sz w:val="20"/>
          <w:szCs w:val="20"/>
          <w:highlight w:val="white"/>
        </w:rPr>
      </w:pPr>
    </w:p>
    <w:p w14:paraId="0000006C" w14:textId="77777777" w:rsidR="002D2CBF" w:rsidRDefault="00125BFF">
      <w:pPr>
        <w:numPr>
          <w:ilvl w:val="0"/>
          <w:numId w:val="2"/>
        </w:numPr>
        <w:pBdr>
          <w:top w:val="nil"/>
          <w:left w:val="nil"/>
          <w:bottom w:val="nil"/>
          <w:right w:val="nil"/>
          <w:between w:val="nil"/>
        </w:pBdr>
        <w:jc w:val="both"/>
        <w:rPr>
          <w:sz w:val="20"/>
          <w:szCs w:val="20"/>
          <w:highlight w:val="white"/>
        </w:rPr>
      </w:pPr>
      <w:r>
        <w:rPr>
          <w:sz w:val="20"/>
          <w:szCs w:val="20"/>
          <w:highlight w:val="white"/>
        </w:rPr>
        <w:t xml:space="preserve">Anton, S. D., </w:t>
      </w:r>
      <w:proofErr w:type="spellStart"/>
      <w:r>
        <w:rPr>
          <w:sz w:val="20"/>
          <w:szCs w:val="20"/>
          <w:highlight w:val="white"/>
        </w:rPr>
        <w:t>Hida</w:t>
      </w:r>
      <w:proofErr w:type="spellEnd"/>
      <w:r>
        <w:rPr>
          <w:sz w:val="20"/>
          <w:szCs w:val="20"/>
          <w:highlight w:val="white"/>
        </w:rPr>
        <w:t xml:space="preserve">, A., </w:t>
      </w:r>
      <w:proofErr w:type="spellStart"/>
      <w:r>
        <w:rPr>
          <w:sz w:val="20"/>
          <w:szCs w:val="20"/>
          <w:highlight w:val="white"/>
        </w:rPr>
        <w:t>Mankowski</w:t>
      </w:r>
      <w:proofErr w:type="spellEnd"/>
      <w:r>
        <w:rPr>
          <w:sz w:val="20"/>
          <w:szCs w:val="20"/>
          <w:highlight w:val="white"/>
        </w:rPr>
        <w:t xml:space="preserve">, R., Layne, A., Solberg, L. M., </w:t>
      </w:r>
      <w:proofErr w:type="spellStart"/>
      <w:r>
        <w:rPr>
          <w:sz w:val="20"/>
          <w:szCs w:val="20"/>
          <w:highlight w:val="white"/>
        </w:rPr>
        <w:t>Mainous</w:t>
      </w:r>
      <w:proofErr w:type="spellEnd"/>
      <w:r>
        <w:rPr>
          <w:sz w:val="20"/>
          <w:szCs w:val="20"/>
          <w:highlight w:val="white"/>
        </w:rPr>
        <w:t xml:space="preserve">, A. G., &amp; Buford, T. (2018). </w:t>
      </w:r>
      <w:r>
        <w:rPr>
          <w:i/>
          <w:iCs/>
          <w:sz w:val="20"/>
          <w:szCs w:val="20"/>
          <w:highlight w:val="white"/>
        </w:rPr>
        <w:t>Nutrition and exercise in sarcopenia.</w:t>
      </w:r>
      <w:r>
        <w:rPr>
          <w:sz w:val="20"/>
          <w:szCs w:val="20"/>
          <w:highlight w:val="white"/>
        </w:rPr>
        <w:t xml:space="preserve"> </w:t>
      </w:r>
      <w:r>
        <w:rPr>
          <w:i/>
          <w:iCs/>
          <w:sz w:val="20"/>
          <w:szCs w:val="20"/>
          <w:highlight w:val="white"/>
        </w:rPr>
        <w:t>Current Protein and Peptide Science, 19</w:t>
      </w:r>
      <w:r>
        <w:rPr>
          <w:sz w:val="20"/>
          <w:szCs w:val="20"/>
          <w:highlight w:val="white"/>
        </w:rPr>
        <w:t xml:space="preserve">(7), 649–667. </w:t>
      </w:r>
      <w:hyperlink r:id="rId39">
        <w:r w:rsidR="002D2CBF">
          <w:rPr>
            <w:color w:val="1155CC"/>
            <w:sz w:val="20"/>
            <w:szCs w:val="20"/>
            <w:highlight w:val="white"/>
            <w:u w:val="single"/>
          </w:rPr>
          <w:t>https://doi.org/10.2174/1389203717666161227144349</w:t>
        </w:r>
      </w:hyperlink>
      <w:r>
        <w:rPr>
          <w:color w:val="1155CC"/>
          <w:sz w:val="20"/>
          <w:szCs w:val="20"/>
          <w:highlight w:val="white"/>
          <w:u w:val="single"/>
        </w:rPr>
        <w:t xml:space="preserve"> </w:t>
      </w:r>
    </w:p>
    <w:p w14:paraId="0000006D" w14:textId="77777777" w:rsidR="002D2CBF" w:rsidRDefault="002D2CBF">
      <w:pPr>
        <w:pBdr>
          <w:top w:val="nil"/>
          <w:left w:val="nil"/>
          <w:bottom w:val="nil"/>
          <w:right w:val="nil"/>
          <w:between w:val="nil"/>
        </w:pBdr>
        <w:jc w:val="both"/>
        <w:rPr>
          <w:sz w:val="20"/>
          <w:szCs w:val="20"/>
          <w:highlight w:val="white"/>
        </w:rPr>
      </w:pPr>
    </w:p>
    <w:p w14:paraId="0000006E" w14:textId="77777777" w:rsidR="002D2CBF" w:rsidRDefault="00125BFF">
      <w:pPr>
        <w:numPr>
          <w:ilvl w:val="0"/>
          <w:numId w:val="2"/>
        </w:numPr>
        <w:pBdr>
          <w:top w:val="nil"/>
          <w:left w:val="nil"/>
          <w:bottom w:val="nil"/>
          <w:right w:val="nil"/>
          <w:between w:val="nil"/>
        </w:pBdr>
        <w:jc w:val="both"/>
        <w:rPr>
          <w:sz w:val="20"/>
          <w:szCs w:val="20"/>
          <w:highlight w:val="white"/>
        </w:rPr>
      </w:pPr>
      <w:proofErr w:type="spellStart"/>
      <w:r>
        <w:rPr>
          <w:sz w:val="20"/>
          <w:szCs w:val="20"/>
          <w:highlight w:val="white"/>
        </w:rPr>
        <w:t>Prokopidis</w:t>
      </w:r>
      <w:proofErr w:type="spellEnd"/>
      <w:r>
        <w:rPr>
          <w:sz w:val="20"/>
          <w:szCs w:val="20"/>
          <w:highlight w:val="white"/>
        </w:rPr>
        <w:t xml:space="preserve">, K., </w:t>
      </w:r>
      <w:proofErr w:type="spellStart"/>
      <w:r>
        <w:rPr>
          <w:sz w:val="20"/>
          <w:szCs w:val="20"/>
          <w:highlight w:val="white"/>
        </w:rPr>
        <w:t>Cervo</w:t>
      </w:r>
      <w:proofErr w:type="spellEnd"/>
      <w:r>
        <w:rPr>
          <w:sz w:val="20"/>
          <w:szCs w:val="20"/>
          <w:highlight w:val="white"/>
        </w:rPr>
        <w:t xml:space="preserve">, M. M., </w:t>
      </w:r>
      <w:proofErr w:type="spellStart"/>
      <w:r>
        <w:rPr>
          <w:sz w:val="20"/>
          <w:szCs w:val="20"/>
          <w:highlight w:val="white"/>
        </w:rPr>
        <w:t>Gandham</w:t>
      </w:r>
      <w:proofErr w:type="spellEnd"/>
      <w:r>
        <w:rPr>
          <w:sz w:val="20"/>
          <w:szCs w:val="20"/>
          <w:highlight w:val="white"/>
        </w:rPr>
        <w:t xml:space="preserve">, A., &amp; Scott, D. (2020). Impact of Protein Intake in Older Adults with Sarcopenia and Obesity: A Gut Microbiota Perspective. Nutrients, 12(8), 2285. </w:t>
      </w:r>
      <w:hyperlink r:id="rId40">
        <w:r w:rsidR="002D2CBF">
          <w:rPr>
            <w:color w:val="1155CC"/>
            <w:sz w:val="20"/>
            <w:szCs w:val="20"/>
            <w:highlight w:val="white"/>
            <w:u w:val="single"/>
          </w:rPr>
          <w:t>https://doi.org/10.3390/nu12082285</w:t>
        </w:r>
      </w:hyperlink>
      <w:r>
        <w:rPr>
          <w:color w:val="1155CC"/>
          <w:sz w:val="20"/>
          <w:szCs w:val="20"/>
          <w:highlight w:val="white"/>
        </w:rPr>
        <w:t xml:space="preserve"> </w:t>
      </w:r>
    </w:p>
    <w:p w14:paraId="0000006F" w14:textId="77777777" w:rsidR="002D2CBF" w:rsidRDefault="002D2CBF">
      <w:pPr>
        <w:pBdr>
          <w:top w:val="nil"/>
          <w:left w:val="nil"/>
          <w:bottom w:val="nil"/>
          <w:right w:val="nil"/>
          <w:between w:val="nil"/>
        </w:pBdr>
        <w:jc w:val="both"/>
        <w:rPr>
          <w:sz w:val="20"/>
          <w:szCs w:val="20"/>
          <w:highlight w:val="white"/>
        </w:rPr>
      </w:pPr>
    </w:p>
    <w:p w14:paraId="00000070" w14:textId="77777777" w:rsidR="002D2CBF" w:rsidRDefault="00125BFF">
      <w:pPr>
        <w:numPr>
          <w:ilvl w:val="0"/>
          <w:numId w:val="2"/>
        </w:numPr>
        <w:pBdr>
          <w:top w:val="nil"/>
          <w:left w:val="nil"/>
          <w:bottom w:val="nil"/>
          <w:right w:val="nil"/>
          <w:between w:val="nil"/>
        </w:pBdr>
        <w:jc w:val="both"/>
        <w:rPr>
          <w:sz w:val="20"/>
          <w:szCs w:val="20"/>
          <w:highlight w:val="white"/>
        </w:rPr>
      </w:pPr>
      <w:r>
        <w:rPr>
          <w:sz w:val="20"/>
          <w:szCs w:val="20"/>
          <w:highlight w:val="white"/>
        </w:rPr>
        <w:t>Churchward</w:t>
      </w:r>
      <w:r>
        <w:rPr>
          <w:rFonts w:ascii="Times New Roman" w:eastAsia="Times New Roman" w:hAnsi="Times New Roman" w:cs="Times New Roman"/>
          <w:sz w:val="20"/>
          <w:szCs w:val="20"/>
          <w:highlight w:val="white"/>
        </w:rPr>
        <w:t>‐</w:t>
      </w:r>
      <w:proofErr w:type="spellStart"/>
      <w:r>
        <w:rPr>
          <w:sz w:val="20"/>
          <w:szCs w:val="20"/>
          <w:highlight w:val="white"/>
        </w:rPr>
        <w:t>Venne</w:t>
      </w:r>
      <w:proofErr w:type="spellEnd"/>
      <w:r>
        <w:rPr>
          <w:sz w:val="20"/>
          <w:szCs w:val="20"/>
          <w:highlight w:val="white"/>
        </w:rPr>
        <w:t xml:space="preserve">, T. A., Breen, L., &amp; Phillips, S. M. (2014). Alterations in human muscle protein metabolism with aging: protein and exercise as countermeasures to offset sarcopenia. </w:t>
      </w:r>
      <w:proofErr w:type="spellStart"/>
      <w:r>
        <w:rPr>
          <w:i/>
          <w:iCs/>
          <w:sz w:val="20"/>
          <w:szCs w:val="20"/>
          <w:highlight w:val="white"/>
        </w:rPr>
        <w:t>Biofactors</w:t>
      </w:r>
      <w:proofErr w:type="spellEnd"/>
      <w:r>
        <w:rPr>
          <w:sz w:val="20"/>
          <w:szCs w:val="20"/>
          <w:highlight w:val="white"/>
        </w:rPr>
        <w:t xml:space="preserve">, </w:t>
      </w:r>
      <w:r>
        <w:rPr>
          <w:i/>
          <w:iCs/>
          <w:sz w:val="20"/>
          <w:szCs w:val="20"/>
          <w:highlight w:val="white"/>
        </w:rPr>
        <w:t>40</w:t>
      </w:r>
      <w:r>
        <w:rPr>
          <w:sz w:val="20"/>
          <w:szCs w:val="20"/>
          <w:highlight w:val="white"/>
        </w:rPr>
        <w:t xml:space="preserve">(2), 199-205. </w:t>
      </w:r>
      <w:hyperlink r:id="rId41">
        <w:r w:rsidR="002D2CBF">
          <w:rPr>
            <w:color w:val="1155CC"/>
            <w:sz w:val="20"/>
            <w:szCs w:val="20"/>
            <w:highlight w:val="white"/>
            <w:u w:val="single"/>
          </w:rPr>
          <w:t>https://doi.org/10.1002/biof.1138</w:t>
        </w:r>
      </w:hyperlink>
      <w:r>
        <w:rPr>
          <w:color w:val="1155CC"/>
          <w:sz w:val="20"/>
          <w:szCs w:val="20"/>
          <w:highlight w:val="white"/>
          <w:u w:val="single"/>
        </w:rPr>
        <w:t xml:space="preserve"> </w:t>
      </w:r>
    </w:p>
    <w:p w14:paraId="00000071" w14:textId="77777777" w:rsidR="002D2CBF" w:rsidRDefault="002D2CBF">
      <w:pPr>
        <w:pBdr>
          <w:top w:val="nil"/>
          <w:left w:val="nil"/>
          <w:bottom w:val="nil"/>
          <w:right w:val="nil"/>
          <w:between w:val="nil"/>
        </w:pBdr>
        <w:jc w:val="both"/>
        <w:rPr>
          <w:sz w:val="20"/>
          <w:szCs w:val="20"/>
          <w:highlight w:val="white"/>
          <w:u w:val="single"/>
        </w:rPr>
      </w:pPr>
    </w:p>
    <w:p w14:paraId="00000072" w14:textId="77777777" w:rsidR="002D2CBF" w:rsidRDefault="00125BFF">
      <w:pPr>
        <w:numPr>
          <w:ilvl w:val="0"/>
          <w:numId w:val="2"/>
        </w:numPr>
        <w:pBdr>
          <w:top w:val="nil"/>
          <w:left w:val="nil"/>
          <w:bottom w:val="nil"/>
          <w:right w:val="nil"/>
          <w:between w:val="nil"/>
        </w:pBdr>
        <w:jc w:val="both"/>
        <w:rPr>
          <w:sz w:val="20"/>
          <w:szCs w:val="20"/>
          <w:highlight w:val="white"/>
        </w:rPr>
      </w:pPr>
      <w:r>
        <w:rPr>
          <w:sz w:val="20"/>
          <w:szCs w:val="20"/>
          <w:highlight w:val="white"/>
        </w:rPr>
        <w:t xml:space="preserve">Chang, K. V., Wu, W. T., Huang, K. C., &amp; Han, D. S. (2021). Effectiveness of early versus delayed exercise and nutritional intervention on segmental body composition of sarcopenic elders-A randomized controlled trial. </w:t>
      </w:r>
      <w:r>
        <w:rPr>
          <w:i/>
          <w:iCs/>
          <w:sz w:val="20"/>
          <w:szCs w:val="20"/>
          <w:highlight w:val="white"/>
        </w:rPr>
        <w:t>Clinical Nutrition</w:t>
      </w:r>
      <w:r>
        <w:rPr>
          <w:sz w:val="20"/>
          <w:szCs w:val="20"/>
          <w:highlight w:val="white"/>
        </w:rPr>
        <w:t xml:space="preserve">, </w:t>
      </w:r>
      <w:r>
        <w:rPr>
          <w:i/>
          <w:iCs/>
          <w:sz w:val="20"/>
          <w:szCs w:val="20"/>
          <w:highlight w:val="white"/>
        </w:rPr>
        <w:t>40</w:t>
      </w:r>
      <w:r>
        <w:rPr>
          <w:sz w:val="20"/>
          <w:szCs w:val="20"/>
          <w:highlight w:val="white"/>
        </w:rPr>
        <w:t xml:space="preserve">(3), 1052-1059. </w:t>
      </w:r>
      <w:hyperlink r:id="rId42">
        <w:r w:rsidR="002D2CBF">
          <w:rPr>
            <w:color w:val="1155CC"/>
            <w:sz w:val="20"/>
            <w:szCs w:val="20"/>
            <w:highlight w:val="white"/>
            <w:u w:val="single"/>
          </w:rPr>
          <w:t>https://doi.org/10.1016/j.clnu.2020.06.037</w:t>
        </w:r>
      </w:hyperlink>
      <w:r>
        <w:rPr>
          <w:color w:val="1155CC"/>
          <w:sz w:val="20"/>
          <w:szCs w:val="20"/>
          <w:highlight w:val="white"/>
          <w:u w:val="single"/>
        </w:rPr>
        <w:t xml:space="preserve"> </w:t>
      </w:r>
      <w:r>
        <w:rPr>
          <w:sz w:val="20"/>
          <w:szCs w:val="20"/>
          <w:highlight w:val="white"/>
          <w:u w:val="single"/>
        </w:rPr>
        <w:t xml:space="preserve"> </w:t>
      </w:r>
    </w:p>
    <w:p w14:paraId="00000073" w14:textId="77777777" w:rsidR="002D2CBF" w:rsidRDefault="002D2CBF">
      <w:pPr>
        <w:pBdr>
          <w:top w:val="nil"/>
          <w:left w:val="nil"/>
          <w:bottom w:val="nil"/>
          <w:right w:val="nil"/>
          <w:between w:val="nil"/>
        </w:pBdr>
        <w:jc w:val="both"/>
        <w:rPr>
          <w:sz w:val="20"/>
          <w:szCs w:val="20"/>
          <w:highlight w:val="white"/>
          <w:u w:val="single"/>
        </w:rPr>
      </w:pPr>
    </w:p>
    <w:sectPr w:rsidR="002D2CBF" w:rsidSect="00E5424C">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E0F9A" w14:textId="77777777" w:rsidR="0023074B" w:rsidRDefault="0023074B">
      <w:pPr>
        <w:spacing w:line="240" w:lineRule="auto"/>
      </w:pPr>
      <w:r>
        <w:separator/>
      </w:r>
    </w:p>
  </w:endnote>
  <w:endnote w:type="continuationSeparator" w:id="0">
    <w:p w14:paraId="49E97ECA" w14:textId="77777777" w:rsidR="0023074B" w:rsidRDefault="00230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D68871-2C51-468C-BBDF-445537A30329}"/>
  </w:font>
  <w:font w:name="Mangal">
    <w:panose1 w:val="00000400000000000000"/>
    <w:charset w:val="00"/>
    <w:family w:val="roman"/>
    <w:pitch w:val="variable"/>
    <w:sig w:usb0="00008003" w:usb1="00000000" w:usb2="00000000" w:usb3="00000000" w:csb0="00000001" w:csb1="00000000"/>
    <w:embedRegular r:id="rId2" w:fontKey="{72DF138C-45C3-41D3-A7E6-62B4D9069B58}"/>
  </w:font>
  <w:font w:name="Cambria">
    <w:panose1 w:val="02040503050406030204"/>
    <w:charset w:val="00"/>
    <w:family w:val="roman"/>
    <w:pitch w:val="variable"/>
    <w:sig w:usb0="E00006FF" w:usb1="420024FF" w:usb2="02000000" w:usb3="00000000" w:csb0="0000019F" w:csb1="00000000"/>
    <w:embedRegular r:id="rId3" w:fontKey="{83EA1D89-667A-43D5-AAB8-714ED4EDE6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04934" w14:textId="77777777" w:rsidR="00DA26C0" w:rsidRDefault="00DA26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F3D4F" w14:textId="77777777" w:rsidR="00DA26C0" w:rsidRDefault="00DA26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FD2A7" w14:textId="77777777" w:rsidR="00DA26C0" w:rsidRDefault="00DA2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89054" w14:textId="77777777" w:rsidR="0023074B" w:rsidRDefault="0023074B">
      <w:pPr>
        <w:spacing w:line="240" w:lineRule="auto"/>
      </w:pPr>
      <w:r>
        <w:separator/>
      </w:r>
    </w:p>
  </w:footnote>
  <w:footnote w:type="continuationSeparator" w:id="0">
    <w:p w14:paraId="0819AD2A" w14:textId="77777777" w:rsidR="0023074B" w:rsidRDefault="002307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6A33C" w14:textId="6D69B085" w:rsidR="00DA26C0" w:rsidRDefault="00DA26C0">
    <w:pPr>
      <w:pStyle w:val="Header"/>
    </w:pPr>
    <w:r>
      <w:rPr>
        <w:noProof/>
      </w:rPr>
      <w:pict w14:anchorId="13458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69617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4DE9A" w14:textId="5987368C" w:rsidR="00DA26C0" w:rsidRDefault="00DA26C0">
    <w:pPr>
      <w:pStyle w:val="Header"/>
    </w:pPr>
    <w:r>
      <w:rPr>
        <w:noProof/>
      </w:rPr>
      <w:pict w14:anchorId="1DE79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69617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A117F" w14:textId="165DD9EA" w:rsidR="00DA26C0" w:rsidRDefault="00DA26C0">
    <w:pPr>
      <w:pStyle w:val="Header"/>
    </w:pPr>
    <w:r>
      <w:rPr>
        <w:noProof/>
      </w:rPr>
      <w:pict w14:anchorId="19636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69617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46D7B"/>
    <w:multiLevelType w:val="multilevel"/>
    <w:tmpl w:val="90CA3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51655E"/>
    <w:multiLevelType w:val="multilevel"/>
    <w:tmpl w:val="34F89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F72ACC"/>
    <w:multiLevelType w:val="multilevel"/>
    <w:tmpl w:val="0ACC9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CBF"/>
    <w:rsid w:val="00087563"/>
    <w:rsid w:val="00101D4A"/>
    <w:rsid w:val="00125BFF"/>
    <w:rsid w:val="00133A59"/>
    <w:rsid w:val="001429D9"/>
    <w:rsid w:val="0018079D"/>
    <w:rsid w:val="00206F9D"/>
    <w:rsid w:val="0023074B"/>
    <w:rsid w:val="002D2CBF"/>
    <w:rsid w:val="006A0481"/>
    <w:rsid w:val="006E62AC"/>
    <w:rsid w:val="00911819"/>
    <w:rsid w:val="009C2168"/>
    <w:rsid w:val="00AA7192"/>
    <w:rsid w:val="00B0733E"/>
    <w:rsid w:val="00C033A2"/>
    <w:rsid w:val="00CC0FC6"/>
    <w:rsid w:val="00CE4045"/>
    <w:rsid w:val="00DA26C0"/>
    <w:rsid w:val="00E30F98"/>
    <w:rsid w:val="00E5424C"/>
    <w:rsid w:val="00EC13E6"/>
    <w:rsid w:val="00EE4167"/>
    <w:rsid w:val="00F257FC"/>
    <w:rsid w:val="00F84701"/>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75BD72"/>
  <w15:docId w15:val="{3B882AD7-C75B-4A83-832C-7A33ACB59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mr-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table" w:customStyle="1" w:styleId="TableNormal1">
    <w:name w:val="TableNormal"/>
    <w:rsid w:val="006242A7"/>
    <w:tblPr>
      <w:tblCellMar>
        <w:top w:w="100" w:type="dxa"/>
        <w:left w:w="100" w:type="dxa"/>
        <w:bottom w:w="100" w:type="dxa"/>
        <w:right w:w="100" w:type="dxa"/>
      </w:tblCellMar>
    </w:tblPr>
  </w:style>
  <w:style w:type="paragraph" w:customStyle="1" w:styleId="Normal1">
    <w:name w:val="Normal1"/>
    <w:rsid w:val="006242A7"/>
  </w:style>
  <w:style w:type="character" w:styleId="LineNumber">
    <w:name w:val="line number"/>
    <w:basedOn w:val="DefaultParagraphFont"/>
    <w:uiPriority w:val="99"/>
    <w:semiHidden/>
    <w:unhideWhenUsed/>
    <w:rsid w:val="00F368D3"/>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Header">
    <w:name w:val="header"/>
    <w:basedOn w:val="Normal"/>
    <w:link w:val="HeaderChar"/>
    <w:uiPriority w:val="99"/>
    <w:unhideWhenUsed/>
    <w:rsid w:val="00206F9D"/>
    <w:pPr>
      <w:tabs>
        <w:tab w:val="center" w:pos="4680"/>
        <w:tab w:val="right" w:pos="9360"/>
      </w:tabs>
      <w:spacing w:line="240" w:lineRule="auto"/>
    </w:pPr>
    <w:rPr>
      <w:szCs w:val="20"/>
    </w:rPr>
  </w:style>
  <w:style w:type="character" w:customStyle="1" w:styleId="HeaderChar">
    <w:name w:val="Header Char"/>
    <w:basedOn w:val="DefaultParagraphFont"/>
    <w:link w:val="Header"/>
    <w:uiPriority w:val="99"/>
    <w:rsid w:val="00206F9D"/>
    <w:rPr>
      <w:szCs w:val="20"/>
    </w:rPr>
  </w:style>
  <w:style w:type="paragraph" w:styleId="Footer">
    <w:name w:val="footer"/>
    <w:basedOn w:val="Normal"/>
    <w:link w:val="FooterChar"/>
    <w:uiPriority w:val="99"/>
    <w:unhideWhenUsed/>
    <w:rsid w:val="00206F9D"/>
    <w:pPr>
      <w:tabs>
        <w:tab w:val="center" w:pos="4680"/>
        <w:tab w:val="right" w:pos="9360"/>
      </w:tabs>
      <w:spacing w:line="240" w:lineRule="auto"/>
    </w:pPr>
    <w:rPr>
      <w:szCs w:val="20"/>
    </w:rPr>
  </w:style>
  <w:style w:type="character" w:customStyle="1" w:styleId="FooterChar">
    <w:name w:val="Footer Char"/>
    <w:basedOn w:val="DefaultParagraphFont"/>
    <w:link w:val="Footer"/>
    <w:uiPriority w:val="99"/>
    <w:rsid w:val="00206F9D"/>
    <w:rPr>
      <w:szCs w:val="20"/>
    </w:rPr>
  </w:style>
  <w:style w:type="character" w:styleId="Hyperlink">
    <w:name w:val="Hyperlink"/>
    <w:basedOn w:val="DefaultParagraphFont"/>
    <w:uiPriority w:val="99"/>
    <w:unhideWhenUsed/>
    <w:rsid w:val="00E30F98"/>
    <w:rPr>
      <w:color w:val="0000FF" w:themeColor="hyperlink"/>
      <w:u w:val="single"/>
    </w:rPr>
  </w:style>
  <w:style w:type="character" w:customStyle="1" w:styleId="UnresolvedMention1">
    <w:name w:val="Unresolved Mention1"/>
    <w:basedOn w:val="DefaultParagraphFont"/>
    <w:uiPriority w:val="99"/>
    <w:semiHidden/>
    <w:unhideWhenUsed/>
    <w:rsid w:val="00E30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86/s12970-017-0177-8" TargetMode="External"/><Relationship Id="rId18" Type="http://schemas.openxmlformats.org/officeDocument/2006/relationships/hyperlink" Target="https://doi.org/10.3390/nu8060359" TargetMode="External"/><Relationship Id="rId26" Type="http://schemas.openxmlformats.org/officeDocument/2006/relationships/hyperlink" Target="https://doi.org/10.1016/j.jamda.2019.09.006" TargetMode="External"/><Relationship Id="rId39" Type="http://schemas.openxmlformats.org/officeDocument/2006/relationships/hyperlink" Target="https://doi.org/10.2174/1389203717666161227144349" TargetMode="External"/><Relationship Id="rId21" Type="http://schemas.openxmlformats.org/officeDocument/2006/relationships/hyperlink" Target="https://doi.org/10.3803/EnM.2020.405" TargetMode="External"/><Relationship Id="rId34" Type="http://schemas.openxmlformats.org/officeDocument/2006/relationships/hyperlink" Target="https://doi.org/10.1016/j.freeradbiomed.2018.08.035" TargetMode="External"/><Relationship Id="rId42" Type="http://schemas.openxmlformats.org/officeDocument/2006/relationships/hyperlink" Target="https://doi.org/10.1016/j.clnu.2020.06.037"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3945/ajcn.114.084061" TargetMode="External"/><Relationship Id="rId29" Type="http://schemas.openxmlformats.org/officeDocument/2006/relationships/hyperlink" Target="https://doi.org/10.3390/clinpract14040117" TargetMode="External"/><Relationship Id="rId11" Type="http://schemas.openxmlformats.org/officeDocument/2006/relationships/hyperlink" Target="https://doi.org/10.1007/s11547-022-01450-3" TargetMode="External"/><Relationship Id="rId24" Type="http://schemas.openxmlformats.org/officeDocument/2006/relationships/hyperlink" Target="https://doi.org/10.1016/j.metabol.2023.155533" TargetMode="External"/><Relationship Id="rId32" Type="http://schemas.openxmlformats.org/officeDocument/2006/relationships/hyperlink" Target="https://doi.org/10.1016/j.jocd.2015.04.011" TargetMode="External"/><Relationship Id="rId37" Type="http://schemas.openxmlformats.org/officeDocument/2006/relationships/hyperlink" Target="https://doi.org/10.3390/nu14010052" TargetMode="External"/><Relationship Id="rId40" Type="http://schemas.openxmlformats.org/officeDocument/2006/relationships/hyperlink" Target="https://doi.org/10.3390/nu12082285"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007/s40279-014-0156-z" TargetMode="External"/><Relationship Id="rId23" Type="http://schemas.openxmlformats.org/officeDocument/2006/relationships/hyperlink" Target="https://doi.org/10.1016/j.jamda.2017.09.014" TargetMode="External"/><Relationship Id="rId28" Type="http://schemas.openxmlformats.org/officeDocument/2006/relationships/hyperlink" Target="https://doi.org/10.1016/j.nutres.2017.01.001" TargetMode="External"/><Relationship Id="rId36" Type="http://schemas.openxmlformats.org/officeDocument/2006/relationships/hyperlink" Target="https://doi.org/10.14336/AD.2019.1012" TargetMode="External"/><Relationship Id="rId49" Type="http://schemas.openxmlformats.org/officeDocument/2006/relationships/fontTable" Target="fontTable.xml"/><Relationship Id="rId10" Type="http://schemas.openxmlformats.org/officeDocument/2006/relationships/hyperlink" Target="https://doi.org/10.1016/S0140-6736(19)31138-9" TargetMode="External"/><Relationship Id="rId19" Type="http://schemas.openxmlformats.org/officeDocument/2006/relationships/hyperlink" Target="https://doi.org/10.1016/j.ajcnut.2023.11.010" TargetMode="External"/><Relationship Id="rId31" Type="http://schemas.openxmlformats.org/officeDocument/2006/relationships/hyperlink" Target="https://doi.org/10.1186/s12877-021-02212-y"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doi.org/10.1016/S0140-6736(19)31138-9" TargetMode="External"/><Relationship Id="rId14" Type="http://schemas.openxmlformats.org/officeDocument/2006/relationships/hyperlink" Target="https://doi.org/10.3390/nu12082422" TargetMode="External"/><Relationship Id="rId22" Type="http://schemas.openxmlformats.org/officeDocument/2006/relationships/hyperlink" Target="https://doi.org/10.1007/s42978-020-00065-2" TargetMode="External"/><Relationship Id="rId27" Type="http://schemas.openxmlformats.org/officeDocument/2006/relationships/hyperlink" Target="https://doi.org/10.3390/ijerph19148718" TargetMode="External"/><Relationship Id="rId30" Type="http://schemas.openxmlformats.org/officeDocument/2006/relationships/hyperlink" Target="https://doi.org/10.1186/s12877-021-02212-y" TargetMode="External"/><Relationship Id="rId35" Type="http://schemas.openxmlformats.org/officeDocument/2006/relationships/hyperlink" Target="https://doi.org/10.1002/jcsm.13225"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doi.org/10.1007/s11547-022-01450-3" TargetMode="External"/><Relationship Id="rId17" Type="http://schemas.openxmlformats.org/officeDocument/2006/relationships/hyperlink" Target="https://doi.org/10.3945/ajcn.114.084061" TargetMode="External"/><Relationship Id="rId25" Type="http://schemas.openxmlformats.org/officeDocument/2006/relationships/hyperlink" Target="https://doi.org/10.1016/j.metabol.2023.155533" TargetMode="External"/><Relationship Id="rId33" Type="http://schemas.openxmlformats.org/officeDocument/2006/relationships/hyperlink" Target="https://doi.org/10.1111/ajag.12521" TargetMode="External"/><Relationship Id="rId38" Type="http://schemas.openxmlformats.org/officeDocument/2006/relationships/hyperlink" Target="https://doi.org/10.1017/S002966511500422X" TargetMode="External"/><Relationship Id="rId46" Type="http://schemas.openxmlformats.org/officeDocument/2006/relationships/footer" Target="footer2.xml"/><Relationship Id="rId20" Type="http://schemas.openxmlformats.org/officeDocument/2006/relationships/hyperlink" Target="https://doi.org/10.1007/s13668-023-00473-0" TargetMode="External"/><Relationship Id="rId41" Type="http://schemas.openxmlformats.org/officeDocument/2006/relationships/hyperlink" Target="https://doi.org/10.1002/biof.1138"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nOZSvutk+iLOsheLcLvGTr/5gA==">CgMxLjAyDWgudzUxYzVveHowcTgyDmgubngzMXNicWtyajU2OAByITFYbTlKNkNVUktkMzhpZ1NnM1VxUVNjMGVTcjg3U2NWYg==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DD4569-AEEA-4256-A6AC-9BB42895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5757</Words>
  <Characters>32818</Characters>
  <Application>Microsoft Office Word</Application>
  <DocSecurity>0</DocSecurity>
  <Lines>273</Lines>
  <Paragraphs>76</Paragraphs>
  <ScaleCrop>false</ScaleCrop>
  <Company/>
  <LinksUpToDate>false</LinksUpToDate>
  <CharactersWithSpaces>38499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Gayatri Patil</dc:creator>
  <cp:lastModifiedBy>SDI 1084</cp:lastModifiedBy>
  <cp:revision>16</cp:revision>
  <dcterms:created xsi:type="dcterms:W3CDTF">2025-11-15T18:25:00Z</dcterms:created>
  <dcterms:modified xsi:type="dcterms:W3CDTF">2025-12-11T06:29:00Z</dcterms:modified>
</cp:coreProperties>
</file>