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AC390" w14:textId="77777777" w:rsidR="001972BC" w:rsidRPr="001972BC" w:rsidRDefault="001972BC" w:rsidP="00322179">
      <w:pPr>
        <w:spacing w:line="240" w:lineRule="auto"/>
        <w:rPr>
          <w:rFonts w:ascii="Times New Roman" w:hAnsi="Times New Roman" w:cs="Times New Roman"/>
          <w:b/>
          <w:bCs/>
          <w:sz w:val="36"/>
          <w:szCs w:val="36"/>
          <w:vertAlign w:val="superscript"/>
        </w:rPr>
      </w:pPr>
      <w:bookmarkStart w:id="0" w:name="_Hlk220024520"/>
      <w:r w:rsidRPr="001972BC">
        <w:rPr>
          <w:rFonts w:ascii="Times New Roman" w:hAnsi="Times New Roman" w:cs="Times New Roman"/>
          <w:b/>
          <w:bCs/>
          <w:sz w:val="36"/>
          <w:szCs w:val="36"/>
          <w:vertAlign w:val="superscript"/>
        </w:rPr>
        <w:t>COMPARISON OF OOCYTE YIELD IN NATURAL AND PROGRAMMED MENSTRUAL CYCLES PRIOR TO OVARIAN STIMULATION IN A NIGERIAN TERTIARY CENTRE: A RANDOMIZED CLINICAL TRIAL</w:t>
      </w:r>
    </w:p>
    <w:p w14:paraId="3995B5AB" w14:textId="77777777" w:rsidR="001972BC" w:rsidRDefault="001972BC" w:rsidP="00322179">
      <w:pPr>
        <w:spacing w:line="240" w:lineRule="auto"/>
        <w:rPr>
          <w:rFonts w:ascii="Times New Roman" w:hAnsi="Times New Roman" w:cs="Times New Roman"/>
          <w:b/>
          <w:bCs/>
          <w:vertAlign w:val="superscript"/>
        </w:rPr>
      </w:pPr>
    </w:p>
    <w:bookmarkEnd w:id="0"/>
    <w:p w14:paraId="3D051961" w14:textId="77777777" w:rsidR="00770698" w:rsidRPr="00322179" w:rsidRDefault="00770698" w:rsidP="00322179">
      <w:pPr>
        <w:spacing w:line="240" w:lineRule="auto"/>
        <w:jc w:val="both"/>
        <w:rPr>
          <w:rFonts w:ascii="Times New Roman" w:hAnsi="Times New Roman" w:cs="Times New Roman"/>
          <w:b/>
          <w:bCs/>
          <w:color w:val="0D0D0D"/>
        </w:rPr>
      </w:pPr>
    </w:p>
    <w:p w14:paraId="63FF0E8E" w14:textId="77777777" w:rsidR="00A06DDD" w:rsidRPr="00A06DDD" w:rsidRDefault="00A06DDD" w:rsidP="00322179">
      <w:pPr>
        <w:spacing w:line="240" w:lineRule="auto"/>
        <w:rPr>
          <w:rFonts w:ascii="Times New Roman" w:hAnsi="Times New Roman" w:cs="Times New Roman"/>
          <w:b/>
          <w:bCs/>
        </w:rPr>
      </w:pPr>
      <w:r w:rsidRPr="00A06DDD">
        <w:rPr>
          <w:rFonts w:ascii="Times New Roman" w:hAnsi="Times New Roman" w:cs="Times New Roman"/>
          <w:b/>
          <w:bCs/>
        </w:rPr>
        <w:t>ABSTRACT</w:t>
      </w:r>
    </w:p>
    <w:p w14:paraId="4ADE45D0" w14:textId="0534BD62" w:rsidR="00A06DDD" w:rsidRPr="00A06DDD" w:rsidRDefault="00A06DDD" w:rsidP="00322179">
      <w:pPr>
        <w:spacing w:line="240" w:lineRule="auto"/>
        <w:rPr>
          <w:rFonts w:ascii="Times New Roman" w:hAnsi="Times New Roman" w:cs="Times New Roman"/>
        </w:rPr>
      </w:pPr>
      <w:r w:rsidRPr="00A06DDD">
        <w:rPr>
          <w:rFonts w:ascii="Times New Roman" w:hAnsi="Times New Roman" w:cs="Times New Roman"/>
          <w:b/>
          <w:bCs/>
        </w:rPr>
        <w:t>Background:</w:t>
      </w:r>
      <w:r w:rsidR="00634D1E" w:rsidRPr="00322179">
        <w:rPr>
          <w:rFonts w:ascii="Times New Roman" w:hAnsi="Times New Roman" w:cs="Times New Roman"/>
        </w:rPr>
        <w:t xml:space="preserve"> </w:t>
      </w:r>
      <w:r w:rsidRPr="00A06DDD">
        <w:rPr>
          <w:rFonts w:ascii="Times New Roman" w:hAnsi="Times New Roman" w:cs="Times New Roman"/>
        </w:rPr>
        <w:t>Controlled ovarian stimulation (COS) is a fundamental component of assisted reproductive technology, aimed at synchronizing follicular development to optimize oocyte retrieval for in-vitro fertilization (IVF) or intracytoplasmic sperm injection (ICSI). Cycle initiation for COS may occur spontaneously during the natural menstrual cycle or following cycle scheduling with combined oral contraceptive pills (OCPs), a strategy commonly employed to facilitate patient batching and clinic workflow. However, concerns persist regarding the potential impact of OCP pretreatment on ovarian responsiveness and reproductive outcomes, particularly in low- and middle-income settings.</w:t>
      </w:r>
    </w:p>
    <w:p w14:paraId="4C290970" w14:textId="0F3E5A94" w:rsidR="00A06DDD" w:rsidRPr="00A06DDD" w:rsidRDefault="00A06DDD" w:rsidP="00322179">
      <w:pPr>
        <w:spacing w:line="240" w:lineRule="auto"/>
        <w:rPr>
          <w:rFonts w:ascii="Times New Roman" w:hAnsi="Times New Roman" w:cs="Times New Roman"/>
        </w:rPr>
      </w:pPr>
      <w:r w:rsidRPr="00A06DDD">
        <w:rPr>
          <w:rFonts w:ascii="Times New Roman" w:hAnsi="Times New Roman" w:cs="Times New Roman"/>
          <w:b/>
          <w:bCs/>
        </w:rPr>
        <w:t>Aim:</w:t>
      </w:r>
      <w:r w:rsidR="00634D1E" w:rsidRPr="00322179">
        <w:rPr>
          <w:rFonts w:ascii="Times New Roman" w:hAnsi="Times New Roman" w:cs="Times New Roman"/>
        </w:rPr>
        <w:t xml:space="preserve"> </w:t>
      </w:r>
      <w:r w:rsidRPr="00A06DDD">
        <w:rPr>
          <w:rFonts w:ascii="Times New Roman" w:hAnsi="Times New Roman" w:cs="Times New Roman"/>
        </w:rPr>
        <w:t>To compare oocyte yield following controlled ovarian stimulation initiated in natural menstrual cycles versus cycles pretreated with combined oral contraceptive pills among women undergoing IVF at the Federal Medical Centre, Abuja, Nigeria.</w:t>
      </w:r>
    </w:p>
    <w:p w14:paraId="5D5BF576" w14:textId="490794C9" w:rsidR="00A06DDD" w:rsidRPr="00A06DDD" w:rsidRDefault="00A06DDD" w:rsidP="00322179">
      <w:pPr>
        <w:spacing w:line="240" w:lineRule="auto"/>
        <w:rPr>
          <w:rFonts w:ascii="Times New Roman" w:hAnsi="Times New Roman" w:cs="Times New Roman"/>
        </w:rPr>
      </w:pPr>
      <w:r w:rsidRPr="00A06DDD">
        <w:rPr>
          <w:rFonts w:ascii="Times New Roman" w:hAnsi="Times New Roman" w:cs="Times New Roman"/>
          <w:b/>
          <w:bCs/>
        </w:rPr>
        <w:t>Methodology:</w:t>
      </w:r>
      <w:r w:rsidR="00634D1E" w:rsidRPr="00322179">
        <w:rPr>
          <w:rFonts w:ascii="Times New Roman" w:hAnsi="Times New Roman" w:cs="Times New Roman"/>
        </w:rPr>
        <w:t xml:space="preserve"> </w:t>
      </w:r>
      <w:r w:rsidRPr="00A06DDD">
        <w:rPr>
          <w:rFonts w:ascii="Times New Roman" w:hAnsi="Times New Roman" w:cs="Times New Roman"/>
        </w:rPr>
        <w:t>This was a prospective, open-label randomized controlled trial conducted at the fertility clinic of the Federal Medical Centre, Abuja. A total of 86 eligible and consenting women undergoing IVF were recruited and randomly assigned to either natural cycle initiation or OCP-programmed cycle initiation prior to COS. Data on socio-demographic characteristics, gynecological history, and relevant clinical variables were collected using a structured interviewer-administered proforma. Ovarian stimulation was performed using standardized follicle-stimulating hormone (FSH) dosing protocols tailored to age, body mass index (BMI), and baseline serum FSH levels. The study was conducted over a four-month period from 1st July to 30th October 2022. Statistical analysis was performed using IBM SPSS version 23. Categorical variables were analyzed using the chi-square test, while continuous variables were expressed as mean ± standard deviation. Statistical significance was set at p ≤ 0.05 with a 95% confidence interval.</w:t>
      </w:r>
    </w:p>
    <w:p w14:paraId="2BE49FA9" w14:textId="659AFD8E" w:rsidR="00A06DDD" w:rsidRPr="00A06DDD" w:rsidRDefault="00A06DDD" w:rsidP="00322179">
      <w:pPr>
        <w:spacing w:line="240" w:lineRule="auto"/>
        <w:rPr>
          <w:rFonts w:ascii="Times New Roman" w:hAnsi="Times New Roman" w:cs="Times New Roman"/>
        </w:rPr>
      </w:pPr>
      <w:r w:rsidRPr="00A06DDD">
        <w:rPr>
          <w:rFonts w:ascii="Times New Roman" w:hAnsi="Times New Roman" w:cs="Times New Roman"/>
          <w:b/>
          <w:bCs/>
        </w:rPr>
        <w:t>Results:</w:t>
      </w:r>
      <w:r w:rsidR="00634D1E" w:rsidRPr="00322179">
        <w:rPr>
          <w:rFonts w:ascii="Times New Roman" w:hAnsi="Times New Roman" w:cs="Times New Roman"/>
        </w:rPr>
        <w:t xml:space="preserve"> </w:t>
      </w:r>
      <w:r w:rsidRPr="00A06DDD">
        <w:rPr>
          <w:rFonts w:ascii="Times New Roman" w:hAnsi="Times New Roman" w:cs="Times New Roman"/>
        </w:rPr>
        <w:t>The mean ages of participants in both groups were comparable (33.05 ± 3.65 years vs 33.05 ± 3.96 years). There was no statistically significant difference in mean oocyte yield between the two groups (p = 0.379). Pregnancy rates were also similar (p = 0.655), with no significant difference in the incidence of severe or critical ovarian hyperstimulation syndrome (OHSS) (p = 0.314). Notably, participants pretreated with OCPs required a significantly shorter duration of gonadotrophin administration (p = 0.016). Cleavage rates and blastocyst formation rates were comparable between groups (p = 0.438 and p = 0.122, respectively), as were overall patient satisfaction scores assessed using a Likert scale (p = 0.228).</w:t>
      </w:r>
    </w:p>
    <w:p w14:paraId="7CCDF088" w14:textId="2FBE85A5" w:rsidR="00A06DDD" w:rsidRPr="00A06DDD" w:rsidRDefault="00A06DDD" w:rsidP="00322179">
      <w:pPr>
        <w:spacing w:line="240" w:lineRule="auto"/>
        <w:rPr>
          <w:rFonts w:ascii="Times New Roman" w:hAnsi="Times New Roman" w:cs="Times New Roman"/>
        </w:rPr>
      </w:pPr>
      <w:r w:rsidRPr="00A06DDD">
        <w:rPr>
          <w:rFonts w:ascii="Times New Roman" w:hAnsi="Times New Roman" w:cs="Times New Roman"/>
          <w:b/>
          <w:bCs/>
        </w:rPr>
        <w:t>Conclusion:</w:t>
      </w:r>
      <w:r w:rsidRPr="00322179">
        <w:rPr>
          <w:rFonts w:ascii="Times New Roman" w:hAnsi="Times New Roman" w:cs="Times New Roman"/>
        </w:rPr>
        <w:t xml:space="preserve"> </w:t>
      </w:r>
      <w:r w:rsidRPr="00A06DDD">
        <w:rPr>
          <w:rFonts w:ascii="Times New Roman" w:hAnsi="Times New Roman" w:cs="Times New Roman"/>
        </w:rPr>
        <w:t xml:space="preserve">Pretreatment with combined oral contraceptive pills for cycle programming does not adversely affect oocyte yield, embryo development, pregnancy rates, or patient satisfaction when compared with natural cycle initiation for controlled ovarian stimulation. OCP use may </w:t>
      </w:r>
      <w:r w:rsidRPr="00A06DDD">
        <w:rPr>
          <w:rFonts w:ascii="Times New Roman" w:hAnsi="Times New Roman" w:cs="Times New Roman"/>
        </w:rPr>
        <w:lastRenderedPageBreak/>
        <w:t xml:space="preserve">offer logistical advantages by reducing stimulation duration without compromising IVF outcomes in this Nigerian tertiary </w:t>
      </w:r>
      <w:r w:rsidRPr="00322179">
        <w:rPr>
          <w:rFonts w:ascii="Times New Roman" w:hAnsi="Times New Roman" w:cs="Times New Roman"/>
        </w:rPr>
        <w:t>center</w:t>
      </w:r>
      <w:r w:rsidRPr="00A06DDD">
        <w:rPr>
          <w:rFonts w:ascii="Times New Roman" w:hAnsi="Times New Roman" w:cs="Times New Roman"/>
        </w:rPr>
        <w:t>.</w:t>
      </w:r>
    </w:p>
    <w:p w14:paraId="03917EF5" w14:textId="076D8609" w:rsidR="00A06DDD" w:rsidRPr="00A06DDD" w:rsidRDefault="00A06DDD" w:rsidP="00322179">
      <w:pPr>
        <w:spacing w:line="240" w:lineRule="auto"/>
        <w:rPr>
          <w:rFonts w:ascii="Times New Roman" w:hAnsi="Times New Roman" w:cs="Times New Roman"/>
        </w:rPr>
      </w:pPr>
      <w:r w:rsidRPr="00A06DDD">
        <w:rPr>
          <w:rFonts w:ascii="Times New Roman" w:hAnsi="Times New Roman" w:cs="Times New Roman"/>
          <w:b/>
          <w:bCs/>
        </w:rPr>
        <w:t>Keywords:</w:t>
      </w:r>
      <w:r w:rsidRPr="00322179">
        <w:rPr>
          <w:rFonts w:ascii="Times New Roman" w:hAnsi="Times New Roman" w:cs="Times New Roman"/>
        </w:rPr>
        <w:t xml:space="preserve"> </w:t>
      </w:r>
      <w:r w:rsidRPr="00A06DDD">
        <w:rPr>
          <w:rFonts w:ascii="Times New Roman" w:hAnsi="Times New Roman" w:cs="Times New Roman"/>
        </w:rPr>
        <w:t>In-vitro fertilization, oocyte yield, controlled ovarian stimulation, oral contraceptive pills, embryo cleavage, blastocyst formation, pregnancy outcomes</w:t>
      </w:r>
    </w:p>
    <w:p w14:paraId="77608F9E" w14:textId="77777777" w:rsidR="00634D1E" w:rsidRPr="00634D1E" w:rsidRDefault="00634D1E" w:rsidP="00322179">
      <w:pPr>
        <w:spacing w:line="240" w:lineRule="auto"/>
        <w:rPr>
          <w:rFonts w:ascii="Times New Roman" w:hAnsi="Times New Roman" w:cs="Times New Roman"/>
        </w:rPr>
      </w:pPr>
      <w:r w:rsidRPr="00634D1E">
        <w:rPr>
          <w:rFonts w:ascii="Times New Roman" w:hAnsi="Times New Roman" w:cs="Times New Roman"/>
          <w:b/>
          <w:bCs/>
        </w:rPr>
        <w:t>INTRODUCTION</w:t>
      </w:r>
    </w:p>
    <w:p w14:paraId="4E72A397" w14:textId="3C7D483F" w:rsidR="00634D1E" w:rsidRPr="00634D1E" w:rsidRDefault="00634D1E" w:rsidP="00322179">
      <w:pPr>
        <w:spacing w:line="240" w:lineRule="auto"/>
        <w:rPr>
          <w:rFonts w:ascii="Times New Roman" w:hAnsi="Times New Roman" w:cs="Times New Roman"/>
        </w:rPr>
      </w:pPr>
      <w:r w:rsidRPr="00634D1E">
        <w:rPr>
          <w:rFonts w:ascii="Times New Roman" w:hAnsi="Times New Roman" w:cs="Times New Roman"/>
        </w:rPr>
        <w:t xml:space="preserve">Infertility is classically defined as the failure of a couple to achieve pregnancy after at least 12 months of regular, unprotected sexual intercourse involving vaginal penetration and ejaculation. It is a global reproductive health challenge that transcends sociocultural and geographic boundaries, affecting approximately 10–15% of couples of reproductive </w:t>
      </w:r>
      <w:r w:rsidRPr="00322179">
        <w:rPr>
          <w:rFonts w:ascii="Times New Roman" w:hAnsi="Times New Roman" w:cs="Times New Roman"/>
        </w:rPr>
        <w:t>ages</w:t>
      </w:r>
      <w:r w:rsidRPr="00634D1E">
        <w:rPr>
          <w:rFonts w:ascii="Times New Roman" w:hAnsi="Times New Roman" w:cs="Times New Roman"/>
        </w:rPr>
        <w:t xml:space="preserve"> </w:t>
      </w:r>
      <w:r w:rsidRPr="00322179">
        <w:rPr>
          <w:rFonts w:ascii="Times New Roman" w:hAnsi="Times New Roman" w:cs="Times New Roman"/>
        </w:rPr>
        <w:t>worldwide. ¹</w:t>
      </w:r>
      <w:r w:rsidRPr="00634D1E">
        <w:rPr>
          <w:rFonts w:ascii="Times New Roman" w:hAnsi="Times New Roman" w:cs="Times New Roman"/>
        </w:rPr>
        <w:t xml:space="preserve"> Beyond its medical implications, infertility is associated with significant psychological distress, social stigma, and economic burden, particularly in low- and middle-income countries.</w:t>
      </w:r>
    </w:p>
    <w:p w14:paraId="1EFAA482" w14:textId="238DF660" w:rsidR="00634D1E" w:rsidRPr="00634D1E" w:rsidRDefault="00634D1E" w:rsidP="00322179">
      <w:pPr>
        <w:spacing w:line="240" w:lineRule="auto"/>
        <w:rPr>
          <w:rFonts w:ascii="Times New Roman" w:hAnsi="Times New Roman" w:cs="Times New Roman"/>
        </w:rPr>
      </w:pPr>
      <w:r w:rsidRPr="00634D1E">
        <w:rPr>
          <w:rFonts w:ascii="Times New Roman" w:hAnsi="Times New Roman" w:cs="Times New Roman"/>
        </w:rPr>
        <w:t xml:space="preserve">In many public and private health facilities, infertility accounts for over half of gynecological consultations, underscoring its importance as a major subspecialty concern in obstetrics and gynecology. This burden is especially pronounced in developing settings where tubal factor infertility, often resulting from pelvic inflammatory disease, unsafe abortions, or puerperal sepsis, remains highly prevalent. Assisted reproductive technologies (ART), particularly in-vitro fertilization (IVF), have therefore become central to infertility management since their introduction in the late 1970s. IVF relies heavily on controlled ovarian stimulation (COS) using exogenous follicle-stimulating hormone (FSH) to recruit multiple follicles and optimize oocyte </w:t>
      </w:r>
      <w:r w:rsidRPr="00322179">
        <w:rPr>
          <w:rFonts w:ascii="Times New Roman" w:hAnsi="Times New Roman" w:cs="Times New Roman"/>
        </w:rPr>
        <w:t>yield. ²</w:t>
      </w:r>
    </w:p>
    <w:p w14:paraId="1085E21A" w14:textId="68B55989" w:rsidR="00634D1E" w:rsidRPr="00634D1E" w:rsidRDefault="00634D1E" w:rsidP="00322179">
      <w:pPr>
        <w:spacing w:line="240" w:lineRule="auto"/>
        <w:rPr>
          <w:rFonts w:ascii="Times New Roman" w:hAnsi="Times New Roman" w:cs="Times New Roman"/>
        </w:rPr>
      </w:pPr>
      <w:r w:rsidRPr="00634D1E">
        <w:rPr>
          <w:rFonts w:ascii="Times New Roman" w:hAnsi="Times New Roman" w:cs="Times New Roman"/>
        </w:rPr>
        <w:t xml:space="preserve">The ovarian response to stimulation is multifactorial and influenced by several patient- and treatment-related variables, including maternal age, baseline ovarian reserve, body mass index (BMI), stimulation protocol, and the accuracy and consistency of drug administration. A suboptimal or poor ovarian response is typically characterized by the retrieval of a limited number of oocytes despite adequate stimulation, which is associated with reduced cumulative pregnancy and live birth </w:t>
      </w:r>
      <w:r w:rsidRPr="00322179">
        <w:rPr>
          <w:rFonts w:ascii="Times New Roman" w:hAnsi="Times New Roman" w:cs="Times New Roman"/>
        </w:rPr>
        <w:t>rates. ³</w:t>
      </w:r>
    </w:p>
    <w:p w14:paraId="7B3FAEDF" w14:textId="03C2C454" w:rsidR="00634D1E" w:rsidRPr="00634D1E" w:rsidRDefault="00634D1E" w:rsidP="00322179">
      <w:pPr>
        <w:spacing w:line="240" w:lineRule="auto"/>
        <w:rPr>
          <w:rFonts w:ascii="Times New Roman" w:hAnsi="Times New Roman" w:cs="Times New Roman"/>
        </w:rPr>
      </w:pPr>
      <w:r w:rsidRPr="00634D1E">
        <w:rPr>
          <w:rFonts w:ascii="Times New Roman" w:hAnsi="Times New Roman" w:cs="Times New Roman"/>
        </w:rPr>
        <w:t>To date, no single controlled ovarian hyperstimulation (COH) protocol has demonstrated universal superiority for all poor responders. Consequently, treatment is often individualized. Low-dose gonadotropin-releasing hormone agonist (</w:t>
      </w:r>
      <w:proofErr w:type="spellStart"/>
      <w:r w:rsidRPr="00634D1E">
        <w:rPr>
          <w:rFonts w:ascii="Times New Roman" w:hAnsi="Times New Roman" w:cs="Times New Roman"/>
        </w:rPr>
        <w:t>GnRHa</w:t>
      </w:r>
      <w:proofErr w:type="spellEnd"/>
      <w:r w:rsidRPr="00634D1E">
        <w:rPr>
          <w:rFonts w:ascii="Times New Roman" w:hAnsi="Times New Roman" w:cs="Times New Roman"/>
        </w:rPr>
        <w:t xml:space="preserve">) protocols are commonly employed, particularly in resource-limited environments where the high cost of gonadotropins and IVF procedures poses a significant challenge. Predicting ovarian response remains critical and is commonly guided by factors such as chronological age, previous stimulation outcomes, etiology of infertility, antral follicle count, baseline hormonal profile, drug quality, and patient adherence to </w:t>
      </w:r>
      <w:r w:rsidRPr="00322179">
        <w:rPr>
          <w:rFonts w:ascii="Times New Roman" w:hAnsi="Times New Roman" w:cs="Times New Roman"/>
        </w:rPr>
        <w:t>therapy. ⁴</w:t>
      </w:r>
    </w:p>
    <w:p w14:paraId="5524A064" w14:textId="652B5756" w:rsidR="00634D1E" w:rsidRPr="00634D1E" w:rsidRDefault="00634D1E" w:rsidP="00322179">
      <w:pPr>
        <w:spacing w:line="240" w:lineRule="auto"/>
        <w:rPr>
          <w:rFonts w:ascii="Times New Roman" w:hAnsi="Times New Roman" w:cs="Times New Roman"/>
        </w:rPr>
      </w:pPr>
      <w:r w:rsidRPr="00634D1E">
        <w:rPr>
          <w:rFonts w:ascii="Times New Roman" w:hAnsi="Times New Roman" w:cs="Times New Roman"/>
        </w:rPr>
        <w:t xml:space="preserve">The use of combined oral contraceptive pills (OCPs) for menstrual cycle programming prior to COS has been widely adopted to improve scheduling flexibility, facilitate batching of patients, and reduce follicular asynchrony. Such practice allows better logistical planning of IVF cycles and more efficient use of limited resources, particularly in settings affected by inconsistent power supply, manpower shortages, and delays in the procurement of IVF drugs and </w:t>
      </w:r>
      <w:r w:rsidRPr="00322179">
        <w:rPr>
          <w:rFonts w:ascii="Times New Roman" w:hAnsi="Times New Roman" w:cs="Times New Roman"/>
        </w:rPr>
        <w:t>consumables. ⁵</w:t>
      </w:r>
      <w:r w:rsidRPr="00634D1E">
        <w:rPr>
          <w:rFonts w:ascii="Times New Roman" w:hAnsi="Times New Roman" w:cs="Times New Roman"/>
        </w:rPr>
        <w:t xml:space="preserve"> Additionally, OCPs are sometimes used to support egg-sharing programs between oocyte donors and recipients. However, several studies and expert opinions have raised concerns </w:t>
      </w:r>
      <w:r w:rsidRPr="00634D1E">
        <w:rPr>
          <w:rFonts w:ascii="Times New Roman" w:hAnsi="Times New Roman" w:cs="Times New Roman"/>
        </w:rPr>
        <w:lastRenderedPageBreak/>
        <w:t xml:space="preserve">that pre-treatment with combined OCPs may negatively affect both the quantity and quality of oocytes retrieved, potentially due to excessive suppression of endogenous </w:t>
      </w:r>
      <w:r w:rsidRPr="00322179">
        <w:rPr>
          <w:rFonts w:ascii="Times New Roman" w:hAnsi="Times New Roman" w:cs="Times New Roman"/>
        </w:rPr>
        <w:t>gonadotropins. ⁵</w:t>
      </w:r>
    </w:p>
    <w:p w14:paraId="7929EE12" w14:textId="77777777" w:rsidR="00634D1E" w:rsidRPr="00634D1E" w:rsidRDefault="00634D1E" w:rsidP="00322179">
      <w:pPr>
        <w:spacing w:line="240" w:lineRule="auto"/>
        <w:rPr>
          <w:rFonts w:ascii="Times New Roman" w:hAnsi="Times New Roman" w:cs="Times New Roman"/>
        </w:rPr>
      </w:pPr>
      <w:r w:rsidRPr="00634D1E">
        <w:rPr>
          <w:rFonts w:ascii="Times New Roman" w:hAnsi="Times New Roman" w:cs="Times New Roman"/>
        </w:rPr>
        <w:t>Conversely, combined OCPs have also been utilized in women with anticipated poor ovarian response, with some reports suggesting acceptable or even improved outcomes when appropriately timed and tailored.⁶˒⁷ Furthermore, during IVF preparation, functional ovarian cysts are occasionally detected; combined oral contraceptives have been shown to reduce the incidence and persistence of such cysts by suppressing follicular development.⁸ Despite these theoretical advantages, evidence from a Cochrane systematic review demonstrated no significant difference in IVF outcomes between women who received OCP pre-treatment and those who did not.⁵</w:t>
      </w:r>
    </w:p>
    <w:p w14:paraId="6DE4E797" w14:textId="1FE79967" w:rsidR="00634D1E" w:rsidRPr="00322179" w:rsidRDefault="00634D1E" w:rsidP="00322179">
      <w:pPr>
        <w:spacing w:line="240" w:lineRule="auto"/>
        <w:rPr>
          <w:rFonts w:ascii="Times New Roman" w:hAnsi="Times New Roman" w:cs="Times New Roman"/>
        </w:rPr>
      </w:pPr>
      <w:r w:rsidRPr="00634D1E">
        <w:rPr>
          <w:rFonts w:ascii="Times New Roman" w:hAnsi="Times New Roman" w:cs="Times New Roman"/>
        </w:rPr>
        <w:t xml:space="preserve">The primary mechanism of action of combined oral contraceptives is suppression of pituitary gonadotropin secretion, leading to inhibition of follicular recruitment and overall ovarian </w:t>
      </w:r>
      <w:r w:rsidRPr="00322179">
        <w:rPr>
          <w:rFonts w:ascii="Times New Roman" w:hAnsi="Times New Roman" w:cs="Times New Roman"/>
        </w:rPr>
        <w:t>quiescence. ⁹</w:t>
      </w:r>
      <w:r w:rsidRPr="00634D1E">
        <w:rPr>
          <w:rFonts w:ascii="Times New Roman" w:hAnsi="Times New Roman" w:cs="Times New Roman"/>
        </w:rPr>
        <w:t xml:space="preserve"> While this effect is beneficial for cycle control, excessive suppression may impair follicular responsiveness during subsequent stimulation.</w:t>
      </w:r>
      <w:r w:rsidRPr="00322179">
        <w:rPr>
          <w:rFonts w:ascii="Times New Roman" w:hAnsi="Times New Roman" w:cs="Times New Roman"/>
        </w:rPr>
        <w:t xml:space="preserve"> </w:t>
      </w:r>
      <w:r w:rsidRPr="00634D1E">
        <w:rPr>
          <w:rFonts w:ascii="Times New Roman" w:hAnsi="Times New Roman" w:cs="Times New Roman"/>
        </w:rPr>
        <w:t>This study therefore aims to compare oocyte yield following controlled ovarian stimulation between women who underwent menstrual cycle programming with combined oral contraceptive pills and those who commenced stimulation in a natural menstrual cycle</w:t>
      </w:r>
      <w:r w:rsidRPr="00322179">
        <w:rPr>
          <w:rFonts w:ascii="Times New Roman" w:hAnsi="Times New Roman" w:cs="Times New Roman"/>
        </w:rPr>
        <w:t>.</w:t>
      </w:r>
    </w:p>
    <w:p w14:paraId="630BFB80" w14:textId="77777777" w:rsidR="00096059" w:rsidRPr="00634D1E" w:rsidRDefault="00096059" w:rsidP="00322179">
      <w:pPr>
        <w:spacing w:line="240" w:lineRule="auto"/>
        <w:rPr>
          <w:rFonts w:ascii="Times New Roman" w:hAnsi="Times New Roman" w:cs="Times New Roman"/>
        </w:rPr>
      </w:pPr>
    </w:p>
    <w:p w14:paraId="61425884" w14:textId="77777777" w:rsidR="00096059" w:rsidRPr="00096059" w:rsidRDefault="00096059" w:rsidP="00322179">
      <w:pPr>
        <w:spacing w:line="240" w:lineRule="auto"/>
        <w:rPr>
          <w:rFonts w:ascii="Times New Roman" w:hAnsi="Times New Roman" w:cs="Times New Roman"/>
        </w:rPr>
      </w:pPr>
      <w:r w:rsidRPr="00096059">
        <w:rPr>
          <w:rFonts w:ascii="Times New Roman" w:hAnsi="Times New Roman" w:cs="Times New Roman"/>
          <w:b/>
          <w:bCs/>
        </w:rPr>
        <w:t>MATERIALS AND METHODS</w:t>
      </w:r>
    </w:p>
    <w:p w14:paraId="494AB2D1" w14:textId="77777777" w:rsidR="00096059" w:rsidRPr="00096059" w:rsidRDefault="00096059" w:rsidP="00322179">
      <w:pPr>
        <w:spacing w:line="240" w:lineRule="auto"/>
        <w:rPr>
          <w:rFonts w:ascii="Times New Roman" w:hAnsi="Times New Roman" w:cs="Times New Roman"/>
        </w:rPr>
      </w:pPr>
      <w:r w:rsidRPr="00096059">
        <w:rPr>
          <w:rFonts w:ascii="Times New Roman" w:hAnsi="Times New Roman" w:cs="Times New Roman"/>
        </w:rPr>
        <w:t>This study was conducted as a single-</w:t>
      </w:r>
      <w:proofErr w:type="spellStart"/>
      <w:r w:rsidRPr="00096059">
        <w:rPr>
          <w:rFonts w:ascii="Times New Roman" w:hAnsi="Times New Roman" w:cs="Times New Roman"/>
        </w:rPr>
        <w:t>centre</w:t>
      </w:r>
      <w:proofErr w:type="spellEnd"/>
      <w:r w:rsidRPr="00096059">
        <w:rPr>
          <w:rFonts w:ascii="Times New Roman" w:hAnsi="Times New Roman" w:cs="Times New Roman"/>
        </w:rPr>
        <w:t>, open-label, randomized controlled trial designed to compare outcomes between two treatment arms. Eligible participants were randomly allocated in a 1:1 ratio into two equal groups using a simple randomization method. The study population consisted of women diagnosed with either primary or secondary infertility who attended the In-Vitro Fertilization (IVF) clinic of the Federal Medical Centre, Abuja, a tertiary referral facility providing assisted reproductive services.</w:t>
      </w:r>
    </w:p>
    <w:p w14:paraId="51BAE739" w14:textId="77777777" w:rsidR="00096059" w:rsidRPr="00096059" w:rsidRDefault="00096059" w:rsidP="00322179">
      <w:pPr>
        <w:spacing w:line="240" w:lineRule="auto"/>
        <w:rPr>
          <w:rFonts w:ascii="Times New Roman" w:hAnsi="Times New Roman" w:cs="Times New Roman"/>
        </w:rPr>
      </w:pPr>
      <w:r w:rsidRPr="00096059">
        <w:rPr>
          <w:rFonts w:ascii="Times New Roman" w:hAnsi="Times New Roman" w:cs="Times New Roman"/>
        </w:rPr>
        <w:t>The study was carried out in accordance with the ethical principles outlined in the 2013 revision of the Declaration of Helsinki governing research involving human subjects. Ethical approval for the study protocol was obtained from the Research and Ethics Committee of the Federal Medical Centre, Abuja. Written informed consent was obtained from all participants prior to enrollment, and confidentiality of patient information was strictly maintained throughout the study period.</w:t>
      </w:r>
    </w:p>
    <w:p w14:paraId="0A4553BF" w14:textId="77777777" w:rsidR="00096059" w:rsidRPr="00096059" w:rsidRDefault="00096059" w:rsidP="00322179">
      <w:pPr>
        <w:spacing w:line="240" w:lineRule="auto"/>
        <w:rPr>
          <w:rFonts w:ascii="Times New Roman" w:hAnsi="Times New Roman" w:cs="Times New Roman"/>
        </w:rPr>
      </w:pPr>
      <w:r w:rsidRPr="00096059">
        <w:rPr>
          <w:rFonts w:ascii="Times New Roman" w:hAnsi="Times New Roman" w:cs="Times New Roman"/>
        </w:rPr>
        <w:t>Women were excluded from the study if they had any contraindication to the use of combined oral contraceptive pills, including but not limited to thromboembolic disorders, hormone-dependent malignancies, or severe liver disease. Additional exclusion criteria included women aged 21–38 years with evidence of premature ovarian decline or ovarian failure, as indicated by clinical history or ovarian reserve testing, as well as those who declined or withdrew consent to participate in the study.</w:t>
      </w:r>
    </w:p>
    <w:p w14:paraId="27279A7B" w14:textId="77777777" w:rsidR="00064B1F" w:rsidRPr="00064B1F" w:rsidRDefault="00064B1F" w:rsidP="00322179">
      <w:pPr>
        <w:spacing w:line="240" w:lineRule="auto"/>
        <w:rPr>
          <w:rFonts w:ascii="Times New Roman" w:hAnsi="Times New Roman" w:cs="Times New Roman"/>
          <w:b/>
          <w:bCs/>
        </w:rPr>
      </w:pPr>
      <w:r w:rsidRPr="00064B1F">
        <w:rPr>
          <w:rFonts w:ascii="Times New Roman" w:hAnsi="Times New Roman" w:cs="Times New Roman"/>
          <w:b/>
          <w:bCs/>
        </w:rPr>
        <w:t>INTERVENTIONS</w:t>
      </w:r>
    </w:p>
    <w:p w14:paraId="355E2E3C" w14:textId="77777777" w:rsidR="00064B1F" w:rsidRPr="00064B1F" w:rsidRDefault="00064B1F" w:rsidP="00322179">
      <w:pPr>
        <w:spacing w:line="240" w:lineRule="auto"/>
        <w:rPr>
          <w:rFonts w:ascii="Times New Roman" w:hAnsi="Times New Roman" w:cs="Times New Roman"/>
        </w:rPr>
      </w:pPr>
      <w:r w:rsidRPr="00064B1F">
        <w:rPr>
          <w:rFonts w:ascii="Times New Roman" w:hAnsi="Times New Roman" w:cs="Times New Roman"/>
        </w:rPr>
        <w:t>Eligible participants were randomized in a 1:1 ratio into two study arms using a sealed opaque envelope method. Each envelope contained a unique identification number linked to a pre-generated randomization sequence, allocating participants to either Group A (control) or Group B (intervention).</w:t>
      </w:r>
    </w:p>
    <w:p w14:paraId="79208D8F" w14:textId="77777777" w:rsidR="00064B1F" w:rsidRPr="00064B1F" w:rsidRDefault="00064B1F" w:rsidP="00322179">
      <w:pPr>
        <w:spacing w:line="240" w:lineRule="auto"/>
        <w:rPr>
          <w:rFonts w:ascii="Times New Roman" w:hAnsi="Times New Roman" w:cs="Times New Roman"/>
          <w:b/>
          <w:bCs/>
        </w:rPr>
      </w:pPr>
      <w:r w:rsidRPr="00064B1F">
        <w:rPr>
          <w:rFonts w:ascii="Times New Roman" w:hAnsi="Times New Roman" w:cs="Times New Roman"/>
          <w:b/>
          <w:bCs/>
        </w:rPr>
        <w:lastRenderedPageBreak/>
        <w:t>Group A – Natural Cycle (Control)</w:t>
      </w:r>
    </w:p>
    <w:p w14:paraId="70E39803" w14:textId="77777777" w:rsidR="00064B1F" w:rsidRPr="00064B1F" w:rsidRDefault="00064B1F" w:rsidP="00322179">
      <w:pPr>
        <w:spacing w:line="240" w:lineRule="auto"/>
        <w:rPr>
          <w:rFonts w:ascii="Times New Roman" w:hAnsi="Times New Roman" w:cs="Times New Roman"/>
        </w:rPr>
      </w:pPr>
      <w:r w:rsidRPr="00064B1F">
        <w:rPr>
          <w:rFonts w:ascii="Times New Roman" w:hAnsi="Times New Roman" w:cs="Times New Roman"/>
        </w:rPr>
        <w:t xml:space="preserve">Participants in Group A underwent controlled ovarian stimulation (COS) using their natural menstrual cycle without prior hormonal pre-treatment. COS was initiated according to the short GnRH agonist protocol, irrespective of the cycle day. </w:t>
      </w:r>
      <w:proofErr w:type="spellStart"/>
      <w:r w:rsidRPr="00064B1F">
        <w:rPr>
          <w:rFonts w:ascii="Times New Roman" w:hAnsi="Times New Roman" w:cs="Times New Roman"/>
        </w:rPr>
        <w:t>Buserelin</w:t>
      </w:r>
      <w:proofErr w:type="spellEnd"/>
      <w:r w:rsidRPr="00064B1F">
        <w:rPr>
          <w:rFonts w:ascii="Times New Roman" w:hAnsi="Times New Roman" w:cs="Times New Roman"/>
        </w:rPr>
        <w:t xml:space="preserve"> acetate (</w:t>
      </w:r>
      <w:proofErr w:type="spellStart"/>
      <w:r w:rsidRPr="00064B1F">
        <w:rPr>
          <w:rFonts w:ascii="Times New Roman" w:hAnsi="Times New Roman" w:cs="Times New Roman"/>
        </w:rPr>
        <w:t>Suprefact</w:t>
      </w:r>
      <w:proofErr w:type="spellEnd"/>
      <w:r w:rsidRPr="00064B1F">
        <w:rPr>
          <w:rFonts w:ascii="Times New Roman" w:hAnsi="Times New Roman" w:cs="Times New Roman"/>
        </w:rPr>
        <w:t>® 1 mg/mL; Sanofi, France) was administered subcutaneously at 0.5 mL daily from cycle day 2. Recombinant or urinary FSH (</w:t>
      </w:r>
      <w:proofErr w:type="spellStart"/>
      <w:r w:rsidRPr="00064B1F">
        <w:rPr>
          <w:rFonts w:ascii="Times New Roman" w:hAnsi="Times New Roman" w:cs="Times New Roman"/>
        </w:rPr>
        <w:t>Humog</w:t>
      </w:r>
      <w:proofErr w:type="spellEnd"/>
      <w:r w:rsidRPr="00064B1F">
        <w:rPr>
          <w:rFonts w:ascii="Times New Roman" w:hAnsi="Times New Roman" w:cs="Times New Roman"/>
        </w:rPr>
        <w:t>®, Bharat Pharmaceuticals, India) was initiated on cycle day 2 or 3, with doses individualized based on age, body mass index (BMI), antral follicle count, and baseline serum FSH. FSH doses were adjusted according to BMI and ovarian response, including a 75 IU reduction for women with polycystic ovarian morphology and incremental increases of 75 IU per 5 kg/m² above standard dosing.</w:t>
      </w:r>
    </w:p>
    <w:p w14:paraId="664BAF09" w14:textId="77777777" w:rsidR="00064B1F" w:rsidRPr="00064B1F" w:rsidRDefault="00064B1F" w:rsidP="00322179">
      <w:pPr>
        <w:spacing w:line="240" w:lineRule="auto"/>
        <w:rPr>
          <w:rFonts w:ascii="Times New Roman" w:hAnsi="Times New Roman" w:cs="Times New Roman"/>
          <w:b/>
          <w:bCs/>
        </w:rPr>
      </w:pPr>
      <w:r w:rsidRPr="00064B1F">
        <w:rPr>
          <w:rFonts w:ascii="Times New Roman" w:hAnsi="Times New Roman" w:cs="Times New Roman"/>
          <w:b/>
          <w:bCs/>
        </w:rPr>
        <w:t>Group B – OCP-Programmed Cycle (Intervention)</w:t>
      </w:r>
    </w:p>
    <w:p w14:paraId="0086E788" w14:textId="77777777" w:rsidR="00064B1F" w:rsidRPr="00064B1F" w:rsidRDefault="00064B1F" w:rsidP="00322179">
      <w:pPr>
        <w:spacing w:line="240" w:lineRule="auto"/>
        <w:rPr>
          <w:rFonts w:ascii="Times New Roman" w:hAnsi="Times New Roman" w:cs="Times New Roman"/>
        </w:rPr>
      </w:pPr>
      <w:r w:rsidRPr="00064B1F">
        <w:rPr>
          <w:rFonts w:ascii="Times New Roman" w:hAnsi="Times New Roman" w:cs="Times New Roman"/>
        </w:rPr>
        <w:t xml:space="preserve">Participants in Group B received combined oral contraceptive pills (OCPs) for menstrual cycle programming prior to COS. </w:t>
      </w:r>
      <w:proofErr w:type="spellStart"/>
      <w:r w:rsidRPr="00064B1F">
        <w:rPr>
          <w:rFonts w:ascii="Times New Roman" w:hAnsi="Times New Roman" w:cs="Times New Roman"/>
        </w:rPr>
        <w:t>Microgynon</w:t>
      </w:r>
      <w:proofErr w:type="spellEnd"/>
      <w:r w:rsidRPr="00064B1F">
        <w:rPr>
          <w:rFonts w:ascii="Times New Roman" w:hAnsi="Times New Roman" w:cs="Times New Roman"/>
        </w:rPr>
        <w:t>® (150 µg levonorgestrel + 30 µg ethinyl estradiol; 28 tablets per pack, 21 active and 7 placebo) was administered orally, one active tablet daily at a fixed time, for at least two weeks. The OCP regimen commenced between day 10 and day 30 of the pre-IVF treatment month, ensuring that the last active dose coincided with the day before initiation of COS. Withdrawal bleeding was expected within the first week of the subsequent month. COS then commenced using the same short GnRH agonist protocol as Group A.</w:t>
      </w:r>
    </w:p>
    <w:p w14:paraId="526CF82A" w14:textId="77777777" w:rsidR="00064B1F" w:rsidRPr="00064B1F" w:rsidRDefault="00064B1F" w:rsidP="00322179">
      <w:pPr>
        <w:spacing w:line="240" w:lineRule="auto"/>
        <w:rPr>
          <w:rFonts w:ascii="Times New Roman" w:hAnsi="Times New Roman" w:cs="Times New Roman"/>
          <w:b/>
          <w:bCs/>
        </w:rPr>
      </w:pPr>
      <w:r w:rsidRPr="00064B1F">
        <w:rPr>
          <w:rFonts w:ascii="Times New Roman" w:hAnsi="Times New Roman" w:cs="Times New Roman"/>
          <w:b/>
          <w:bCs/>
        </w:rPr>
        <w:t>Ovarian Stimulation and Monitoring (Both Groups)</w:t>
      </w:r>
    </w:p>
    <w:p w14:paraId="39794019" w14:textId="77777777" w:rsidR="00064B1F" w:rsidRPr="00064B1F" w:rsidRDefault="00064B1F" w:rsidP="00322179">
      <w:pPr>
        <w:spacing w:line="240" w:lineRule="auto"/>
        <w:rPr>
          <w:rFonts w:ascii="Times New Roman" w:hAnsi="Times New Roman" w:cs="Times New Roman"/>
        </w:rPr>
      </w:pPr>
      <w:r w:rsidRPr="00064B1F">
        <w:rPr>
          <w:rFonts w:ascii="Times New Roman" w:hAnsi="Times New Roman" w:cs="Times New Roman"/>
        </w:rPr>
        <w:t xml:space="preserve">All participants underwent COS using a short GnRH agonist protocol. </w:t>
      </w:r>
      <w:proofErr w:type="spellStart"/>
      <w:r w:rsidRPr="00064B1F">
        <w:rPr>
          <w:rFonts w:ascii="Times New Roman" w:hAnsi="Times New Roman" w:cs="Times New Roman"/>
        </w:rPr>
        <w:t>Buserelin</w:t>
      </w:r>
      <w:proofErr w:type="spellEnd"/>
      <w:r w:rsidRPr="00064B1F">
        <w:rPr>
          <w:rFonts w:ascii="Times New Roman" w:hAnsi="Times New Roman" w:cs="Times New Roman"/>
        </w:rPr>
        <w:t xml:space="preserve"> acetate was administered at 0.5 mL subcutaneously daily from cycle day 2. FSH stimulation was initiated on cycle day 2 or 3 at individualized doses (</w:t>
      </w:r>
      <w:proofErr w:type="spellStart"/>
      <w:r w:rsidRPr="00064B1F">
        <w:rPr>
          <w:rFonts w:ascii="Times New Roman" w:hAnsi="Times New Roman" w:cs="Times New Roman"/>
        </w:rPr>
        <w:t>Humog</w:t>
      </w:r>
      <w:proofErr w:type="spellEnd"/>
      <w:r w:rsidRPr="00064B1F">
        <w:rPr>
          <w:rFonts w:ascii="Times New Roman" w:hAnsi="Times New Roman" w:cs="Times New Roman"/>
        </w:rPr>
        <w:t>®), adjusted for BMI, age, and ovarian reserve. Subcutaneous injections were administered peri-umbilically. Dose modifications were made based on follicular response assessed by serial transvaginal ultrasound scans and serum hormone measurements. Monitoring occurred every 48 hours starting day 7 of stimulation until the leading follicular cohort reached 18–21 mm and endometrial thickness measured 8–15 mm.</w:t>
      </w:r>
    </w:p>
    <w:p w14:paraId="7B9CC00B" w14:textId="77777777" w:rsidR="00064B1F" w:rsidRPr="00064B1F" w:rsidRDefault="00064B1F" w:rsidP="00322179">
      <w:pPr>
        <w:spacing w:line="240" w:lineRule="auto"/>
        <w:rPr>
          <w:rFonts w:ascii="Times New Roman" w:hAnsi="Times New Roman" w:cs="Times New Roman"/>
          <w:b/>
          <w:bCs/>
        </w:rPr>
      </w:pPr>
      <w:r w:rsidRPr="00064B1F">
        <w:rPr>
          <w:rFonts w:ascii="Times New Roman" w:hAnsi="Times New Roman" w:cs="Times New Roman"/>
          <w:b/>
          <w:bCs/>
        </w:rPr>
        <w:t>Ovulation Trigger and Oocyte Retrieval</w:t>
      </w:r>
    </w:p>
    <w:p w14:paraId="47805258" w14:textId="77777777" w:rsidR="00064B1F" w:rsidRPr="00064B1F" w:rsidRDefault="00064B1F" w:rsidP="00322179">
      <w:pPr>
        <w:spacing w:line="240" w:lineRule="auto"/>
        <w:rPr>
          <w:rFonts w:ascii="Times New Roman" w:hAnsi="Times New Roman" w:cs="Times New Roman"/>
        </w:rPr>
      </w:pPr>
      <w:r w:rsidRPr="00064B1F">
        <w:rPr>
          <w:rFonts w:ascii="Times New Roman" w:hAnsi="Times New Roman" w:cs="Times New Roman"/>
        </w:rPr>
        <w:t>COS was terminated when criteria for follicular maturation were met. Ovulation was triggered with human chorionic gonadotropin (HCG) (</w:t>
      </w:r>
      <w:proofErr w:type="spellStart"/>
      <w:r w:rsidRPr="00064B1F">
        <w:rPr>
          <w:rFonts w:ascii="Times New Roman" w:hAnsi="Times New Roman" w:cs="Times New Roman"/>
        </w:rPr>
        <w:t>Hucog</w:t>
      </w:r>
      <w:proofErr w:type="spellEnd"/>
      <w:r w:rsidRPr="00064B1F">
        <w:rPr>
          <w:rFonts w:ascii="Times New Roman" w:hAnsi="Times New Roman" w:cs="Times New Roman"/>
        </w:rPr>
        <w:t>®, 5,000 IU IM; Bharat Pharmaceuticals, India) administered 35–36 hours prior to oocyte retrieval. Oocyte retrieval was performed under transvaginal ultrasound guidance with conscious sedation (IV pethidine 100 mg and midazolam 5 mg). Follicular fluid was aspirated and immediately transferred to a pre-warmed incubator at 37 °C for identification and counting by the clinical embryologist.</w:t>
      </w:r>
    </w:p>
    <w:p w14:paraId="20E3C69F" w14:textId="77777777" w:rsidR="00064B1F" w:rsidRPr="00064B1F" w:rsidRDefault="00064B1F" w:rsidP="00322179">
      <w:pPr>
        <w:spacing w:line="240" w:lineRule="auto"/>
        <w:rPr>
          <w:rFonts w:ascii="Times New Roman" w:hAnsi="Times New Roman" w:cs="Times New Roman"/>
          <w:b/>
          <w:bCs/>
        </w:rPr>
      </w:pPr>
      <w:r w:rsidRPr="00064B1F">
        <w:rPr>
          <w:rFonts w:ascii="Times New Roman" w:hAnsi="Times New Roman" w:cs="Times New Roman"/>
          <w:b/>
          <w:bCs/>
        </w:rPr>
        <w:t>Fertilization, Embryo Culture, and Transfer</w:t>
      </w:r>
    </w:p>
    <w:p w14:paraId="5D4794A2" w14:textId="77777777" w:rsidR="00064B1F" w:rsidRPr="00064B1F" w:rsidRDefault="00064B1F" w:rsidP="00322179">
      <w:pPr>
        <w:spacing w:line="240" w:lineRule="auto"/>
        <w:rPr>
          <w:rFonts w:ascii="Times New Roman" w:hAnsi="Times New Roman" w:cs="Times New Roman"/>
        </w:rPr>
      </w:pPr>
      <w:r w:rsidRPr="00064B1F">
        <w:rPr>
          <w:rFonts w:ascii="Times New Roman" w:hAnsi="Times New Roman" w:cs="Times New Roman"/>
        </w:rPr>
        <w:t>Oocytes underwent conventional insemination or intracytoplasmic sperm injection (ICSI) depending on semen parameters. Embryos were cultured using a closed, one-step media system in a standard CO₂ incubator (6% CO₂, ambient O₂). Fertilization was assessed 16–18 hours post-insemination, and cleavage-stage embryos were graded on day 2 based on cell number, symmetry, and fragmentation (Grades 1–4). Blastocyst assessment was performed on day 5.</w:t>
      </w:r>
    </w:p>
    <w:p w14:paraId="1E1DE0A6" w14:textId="77777777" w:rsidR="00064B1F" w:rsidRPr="00064B1F" w:rsidRDefault="00064B1F" w:rsidP="00322179">
      <w:pPr>
        <w:spacing w:line="240" w:lineRule="auto"/>
        <w:rPr>
          <w:rFonts w:ascii="Times New Roman" w:hAnsi="Times New Roman" w:cs="Times New Roman"/>
        </w:rPr>
      </w:pPr>
      <w:r w:rsidRPr="00064B1F">
        <w:rPr>
          <w:rFonts w:ascii="Times New Roman" w:hAnsi="Times New Roman" w:cs="Times New Roman"/>
        </w:rPr>
        <w:t xml:space="preserve">Embryo transfer was performed under transabdominal ultrasound guidance using a Wallace® catheter, transferring up to three top-quality embryos 0.5–1 cm below the fundus. Participants </w:t>
      </w:r>
      <w:r w:rsidRPr="00064B1F">
        <w:rPr>
          <w:rFonts w:ascii="Times New Roman" w:hAnsi="Times New Roman" w:cs="Times New Roman"/>
        </w:rPr>
        <w:lastRenderedPageBreak/>
        <w:t>received luteal phase support consisting of vaginal progesterone (</w:t>
      </w:r>
      <w:proofErr w:type="spellStart"/>
      <w:r w:rsidRPr="00064B1F">
        <w:rPr>
          <w:rFonts w:ascii="Times New Roman" w:hAnsi="Times New Roman" w:cs="Times New Roman"/>
        </w:rPr>
        <w:t>Cyclogest</w:t>
      </w:r>
      <w:proofErr w:type="spellEnd"/>
      <w:r w:rsidRPr="00064B1F">
        <w:rPr>
          <w:rFonts w:ascii="Times New Roman" w:hAnsi="Times New Roman" w:cs="Times New Roman"/>
        </w:rPr>
        <w:t>® 400 mg twice daily), intramuscular progesterone (</w:t>
      </w:r>
      <w:proofErr w:type="spellStart"/>
      <w:r w:rsidRPr="00064B1F">
        <w:rPr>
          <w:rFonts w:ascii="Times New Roman" w:hAnsi="Times New Roman" w:cs="Times New Roman"/>
        </w:rPr>
        <w:t>Gestone</w:t>
      </w:r>
      <w:proofErr w:type="spellEnd"/>
      <w:r w:rsidRPr="00064B1F">
        <w:rPr>
          <w:rFonts w:ascii="Times New Roman" w:hAnsi="Times New Roman" w:cs="Times New Roman"/>
        </w:rPr>
        <w:t>® 100 mg every 48 hours), oral estradiol valerate (</w:t>
      </w:r>
      <w:proofErr w:type="spellStart"/>
      <w:r w:rsidRPr="00064B1F">
        <w:rPr>
          <w:rFonts w:ascii="Times New Roman" w:hAnsi="Times New Roman" w:cs="Times New Roman"/>
        </w:rPr>
        <w:t>Progynova</w:t>
      </w:r>
      <w:proofErr w:type="spellEnd"/>
      <w:r w:rsidRPr="00064B1F">
        <w:rPr>
          <w:rFonts w:ascii="Times New Roman" w:hAnsi="Times New Roman" w:cs="Times New Roman"/>
        </w:rPr>
        <w:t>® 4 mg three times daily), oral acetylsalicylic acid (</w:t>
      </w:r>
      <w:proofErr w:type="spellStart"/>
      <w:r w:rsidRPr="00064B1F">
        <w:rPr>
          <w:rFonts w:ascii="Times New Roman" w:hAnsi="Times New Roman" w:cs="Times New Roman"/>
        </w:rPr>
        <w:t>Vasoprim</w:t>
      </w:r>
      <w:proofErr w:type="spellEnd"/>
      <w:r w:rsidRPr="00064B1F">
        <w:rPr>
          <w:rFonts w:ascii="Times New Roman" w:hAnsi="Times New Roman" w:cs="Times New Roman"/>
        </w:rPr>
        <w:t>® 75 mg daily), and oral prednisolone (</w:t>
      </w:r>
      <w:proofErr w:type="spellStart"/>
      <w:r w:rsidRPr="00064B1F">
        <w:rPr>
          <w:rFonts w:ascii="Times New Roman" w:hAnsi="Times New Roman" w:cs="Times New Roman"/>
        </w:rPr>
        <w:t>Perilon</w:t>
      </w:r>
      <w:proofErr w:type="spellEnd"/>
      <w:r w:rsidRPr="00064B1F">
        <w:rPr>
          <w:rFonts w:ascii="Times New Roman" w:hAnsi="Times New Roman" w:cs="Times New Roman"/>
        </w:rPr>
        <w:t>® 5 mg twice daily).</w:t>
      </w:r>
    </w:p>
    <w:p w14:paraId="7B3FF2F4" w14:textId="77777777" w:rsidR="00064B1F" w:rsidRPr="00064B1F" w:rsidRDefault="00064B1F" w:rsidP="00322179">
      <w:pPr>
        <w:spacing w:line="240" w:lineRule="auto"/>
        <w:rPr>
          <w:rFonts w:ascii="Times New Roman" w:hAnsi="Times New Roman" w:cs="Times New Roman"/>
          <w:b/>
          <w:bCs/>
        </w:rPr>
      </w:pPr>
      <w:r w:rsidRPr="00064B1F">
        <w:rPr>
          <w:rFonts w:ascii="Times New Roman" w:hAnsi="Times New Roman" w:cs="Times New Roman"/>
          <w:b/>
          <w:bCs/>
        </w:rPr>
        <w:t>Pregnancy Assessment and Follow-Up</w:t>
      </w:r>
    </w:p>
    <w:p w14:paraId="5F5872C0" w14:textId="77777777" w:rsidR="00064B1F" w:rsidRPr="00064B1F" w:rsidRDefault="00064B1F" w:rsidP="00322179">
      <w:pPr>
        <w:spacing w:line="240" w:lineRule="auto"/>
        <w:rPr>
          <w:rFonts w:ascii="Times New Roman" w:hAnsi="Times New Roman" w:cs="Times New Roman"/>
        </w:rPr>
      </w:pPr>
      <w:r w:rsidRPr="00064B1F">
        <w:rPr>
          <w:rFonts w:ascii="Times New Roman" w:hAnsi="Times New Roman" w:cs="Times New Roman"/>
        </w:rPr>
        <w:t>Biochemical pregnancy was assessed 14 days post-transfer using serum β-HCG. Positive pregnancies were confirmed via transvaginal ultrasound for intrauterine fetal viability. Follow-up continued for six weeks post-confirmation, after which participants were referred to routine antenatal care. Participants with negative tests were counselled on subsequent treatment options, including repeat IVF cycles, alternative protocols, or donor gametes</w:t>
      </w:r>
    </w:p>
    <w:p w14:paraId="52C923A1" w14:textId="5E1CA5C4" w:rsidR="00064B1F" w:rsidRPr="00064B1F" w:rsidRDefault="00064B1F" w:rsidP="00322179">
      <w:pPr>
        <w:spacing w:line="240" w:lineRule="auto"/>
        <w:rPr>
          <w:rFonts w:ascii="Times New Roman" w:hAnsi="Times New Roman" w:cs="Times New Roman"/>
          <w:b/>
          <w:bCs/>
        </w:rPr>
      </w:pPr>
      <w:r w:rsidRPr="00064B1F">
        <w:rPr>
          <w:rFonts w:ascii="Times New Roman" w:hAnsi="Times New Roman" w:cs="Times New Roman"/>
          <w:b/>
          <w:bCs/>
        </w:rPr>
        <w:t>P</w:t>
      </w:r>
      <w:r w:rsidRPr="00322179">
        <w:rPr>
          <w:rFonts w:ascii="Times New Roman" w:hAnsi="Times New Roman" w:cs="Times New Roman"/>
          <w:b/>
          <w:bCs/>
        </w:rPr>
        <w:t>RIMARY OUTCOME MEASURES</w:t>
      </w:r>
    </w:p>
    <w:p w14:paraId="5C060403" w14:textId="5319A668" w:rsidR="00D23CFF" w:rsidRPr="00322179" w:rsidRDefault="00D23CFF" w:rsidP="00322179">
      <w:pPr>
        <w:spacing w:line="240" w:lineRule="auto"/>
        <w:jc w:val="both"/>
        <w:rPr>
          <w:rFonts w:ascii="Times New Roman" w:hAnsi="Times New Roman" w:cs="Times New Roman"/>
        </w:rPr>
      </w:pPr>
      <w:r w:rsidRPr="00322179">
        <w:rPr>
          <w:rFonts w:ascii="Times New Roman" w:hAnsi="Times New Roman" w:cs="Times New Roman"/>
        </w:rPr>
        <w:t>The primary outcome measure was oocyte yield, defined as the total number of oocytes retrieved following controlled ovarian stimulation. This outcome was assessed and compared between women who commenced ovarian stimulation following a natural menstrual cycle and those who underwent ovarian stimulation after combined oral contraceptive pill (OCP) pretreatment with withdrawal bleeding in an IVF treatment cycle.</w:t>
      </w:r>
    </w:p>
    <w:p w14:paraId="0AC445A4" w14:textId="58A5644F" w:rsidR="009C43F2" w:rsidRPr="00322179" w:rsidRDefault="009C43F2" w:rsidP="00322179">
      <w:pPr>
        <w:spacing w:line="240" w:lineRule="auto"/>
        <w:jc w:val="both"/>
        <w:rPr>
          <w:rFonts w:ascii="Times New Roman" w:hAnsi="Times New Roman" w:cs="Times New Roman"/>
          <w:b/>
        </w:rPr>
      </w:pPr>
      <w:r w:rsidRPr="00322179">
        <w:rPr>
          <w:rFonts w:ascii="Times New Roman" w:hAnsi="Times New Roman" w:cs="Times New Roman"/>
          <w:b/>
        </w:rPr>
        <w:t>SECONDARY OUTCOME MEASURES</w:t>
      </w:r>
    </w:p>
    <w:p w14:paraId="747732F9" w14:textId="77777777" w:rsidR="00D23CFF" w:rsidRPr="00322179" w:rsidRDefault="00D23CFF" w:rsidP="00322179">
      <w:pPr>
        <w:pStyle w:val="Heading2"/>
        <w:spacing w:line="240" w:lineRule="auto"/>
        <w:rPr>
          <w:rFonts w:ascii="Times New Roman" w:hAnsi="Times New Roman" w:cs="Times New Roman"/>
          <w:color w:val="auto"/>
          <w:sz w:val="24"/>
          <w:szCs w:val="24"/>
        </w:rPr>
      </w:pPr>
      <w:r w:rsidRPr="00322179">
        <w:rPr>
          <w:rFonts w:ascii="Times New Roman" w:hAnsi="Times New Roman" w:cs="Times New Roman"/>
          <w:color w:val="auto"/>
          <w:sz w:val="24"/>
          <w:szCs w:val="24"/>
        </w:rPr>
        <w:t>The secondary outcome measure was clinical pregnancy rate, defined as the presence of an intrauterine gestational sac on ultrasound following embryo transfer, and this was compared between women who received combined oral contraceptive pill (OCP) pretreatment and those who underwent ovarian stimulation in a natural cycle.</w:t>
      </w:r>
    </w:p>
    <w:p w14:paraId="7AD5E89D" w14:textId="2A435741" w:rsidR="009C43F2" w:rsidRPr="00322179" w:rsidRDefault="009C43F2" w:rsidP="00322179">
      <w:pPr>
        <w:pStyle w:val="Heading2"/>
        <w:spacing w:line="240" w:lineRule="auto"/>
        <w:rPr>
          <w:rFonts w:ascii="Times New Roman" w:hAnsi="Times New Roman" w:cs="Times New Roman"/>
          <w:b/>
          <w:bCs/>
          <w:color w:val="auto"/>
          <w:sz w:val="24"/>
          <w:szCs w:val="24"/>
        </w:rPr>
      </w:pPr>
      <w:r w:rsidRPr="00322179">
        <w:rPr>
          <w:rFonts w:ascii="Times New Roman" w:hAnsi="Times New Roman" w:cs="Times New Roman"/>
          <w:b/>
          <w:bCs/>
          <w:color w:val="auto"/>
          <w:sz w:val="24"/>
          <w:szCs w:val="24"/>
        </w:rPr>
        <w:t>SAMPLE SIZE ESTIMATION</w:t>
      </w:r>
    </w:p>
    <w:p w14:paraId="40EF9E67" w14:textId="77777777" w:rsidR="00E46F04" w:rsidRPr="00322179" w:rsidRDefault="00E46F04" w:rsidP="00322179">
      <w:pPr>
        <w:spacing w:line="240" w:lineRule="auto"/>
        <w:rPr>
          <w:rFonts w:ascii="Times New Roman" w:hAnsi="Times New Roman" w:cs="Times New Roman"/>
        </w:rPr>
      </w:pPr>
      <w:r w:rsidRPr="00322179">
        <w:rPr>
          <w:rFonts w:ascii="Times New Roman" w:hAnsi="Times New Roman" w:cs="Times New Roman"/>
        </w:rPr>
        <w:t>The sample size for this study was determined using a standard formula for comparative studies designed to detect a clinically meaningful difference between two independent groups. The calculation was based on the expected difference in mean outcomes between the groups, the estimated population variability, a two-sided significance level of 5% (α = 0.05), and a study power of 80% to detect the specified difference. To account for potential loss to follow-up and incomplete data, an attrition rate of 20% was included. Based on these assumptions, a total sample size of 86 participants was required, with 43 participants allocated to each study group.</w:t>
      </w:r>
    </w:p>
    <w:p w14:paraId="5CC55138" w14:textId="77777777" w:rsidR="009C43F2" w:rsidRPr="00322179" w:rsidRDefault="009C43F2" w:rsidP="00322179">
      <w:pPr>
        <w:spacing w:line="240" w:lineRule="auto"/>
        <w:jc w:val="both"/>
        <w:rPr>
          <w:rFonts w:ascii="Times New Roman" w:hAnsi="Times New Roman" w:cs="Times New Roman"/>
          <w:b/>
        </w:rPr>
      </w:pPr>
      <w:r w:rsidRPr="00322179">
        <w:rPr>
          <w:rFonts w:ascii="Times New Roman" w:hAnsi="Times New Roman" w:cs="Times New Roman"/>
          <w:b/>
        </w:rPr>
        <w:t>RECRUITMENT</w:t>
      </w:r>
    </w:p>
    <w:p w14:paraId="125090FE" w14:textId="6ADADC93" w:rsidR="009C43F2" w:rsidRPr="009C43F2" w:rsidRDefault="009C43F2" w:rsidP="00322179">
      <w:pPr>
        <w:spacing w:line="240" w:lineRule="auto"/>
        <w:rPr>
          <w:rFonts w:ascii="Times New Roman" w:hAnsi="Times New Roman" w:cs="Times New Roman"/>
        </w:rPr>
      </w:pPr>
      <w:r w:rsidRPr="009C43F2">
        <w:rPr>
          <w:rFonts w:ascii="Times New Roman" w:hAnsi="Times New Roman" w:cs="Times New Roman"/>
        </w:rPr>
        <w:t>Participants were sequentially enrolled from the eligible study population based on their appearance at the IVF clinic and willingness to participate. All women diagnosed with infertility and scheduled for ovarian stimulation for IVF were approached either by the principal investigator or a trained research assistant.</w:t>
      </w:r>
      <w:r w:rsidRPr="00322179">
        <w:rPr>
          <w:rFonts w:ascii="Times New Roman" w:hAnsi="Times New Roman" w:cs="Times New Roman"/>
        </w:rPr>
        <w:t xml:space="preserve"> </w:t>
      </w:r>
      <w:r w:rsidRPr="009C43F2">
        <w:rPr>
          <w:rFonts w:ascii="Times New Roman" w:hAnsi="Times New Roman" w:cs="Times New Roman"/>
        </w:rPr>
        <w:t>Eligibility and exclusion criteria were confirmed through review of medical records and direct patient interview. Women with contraindications to oral contraceptive use, evidence of premature ovarian decline or failure, or who declined participation were excluded.</w:t>
      </w:r>
      <w:r w:rsidRPr="00322179">
        <w:rPr>
          <w:rFonts w:ascii="Times New Roman" w:hAnsi="Times New Roman" w:cs="Times New Roman"/>
        </w:rPr>
        <w:t xml:space="preserve"> </w:t>
      </w:r>
      <w:r w:rsidRPr="009C43F2">
        <w:rPr>
          <w:rFonts w:ascii="Times New Roman" w:hAnsi="Times New Roman" w:cs="Times New Roman"/>
        </w:rPr>
        <w:t>Informed consent was obtained after the study objectives, procedures, potential benefits, and risks were explained in clear and simple language. Participants were assured of the confidentiality and safety of the procedures. Only women who demonstrated understanding of the study and expressed voluntary willingness were asked to provide written informed consent before enrollment.</w:t>
      </w:r>
    </w:p>
    <w:p w14:paraId="30947D15" w14:textId="77777777" w:rsidR="00462027" w:rsidRPr="00322179" w:rsidRDefault="00462027" w:rsidP="00322179">
      <w:pPr>
        <w:pStyle w:val="Default"/>
        <w:jc w:val="both"/>
        <w:rPr>
          <w:rFonts w:ascii="Times New Roman" w:hAnsi="Times New Roman" w:cs="Times New Roman"/>
          <w:b/>
          <w:bCs/>
        </w:rPr>
      </w:pPr>
      <w:r w:rsidRPr="00322179">
        <w:rPr>
          <w:rFonts w:ascii="Times New Roman" w:eastAsia="Calibri" w:hAnsi="Times New Roman" w:cs="Times New Roman"/>
          <w:b/>
        </w:rPr>
        <w:lastRenderedPageBreak/>
        <w:t>RANDOMIZATION AND ALLOCATION CONCEALMENT MECHANISM</w:t>
      </w:r>
    </w:p>
    <w:p w14:paraId="19067D68" w14:textId="77777777" w:rsidR="000172E5" w:rsidRPr="000172E5" w:rsidRDefault="000172E5" w:rsidP="00322179">
      <w:pPr>
        <w:spacing w:line="240" w:lineRule="auto"/>
        <w:rPr>
          <w:rFonts w:ascii="Times New Roman" w:hAnsi="Times New Roman" w:cs="Times New Roman"/>
          <w:b/>
          <w:bCs/>
        </w:rPr>
      </w:pPr>
      <w:r w:rsidRPr="000172E5">
        <w:rPr>
          <w:rFonts w:ascii="Times New Roman" w:hAnsi="Times New Roman" w:cs="Times New Roman"/>
          <w:b/>
          <w:bCs/>
        </w:rPr>
        <w:t>Allocation Sequence Generation</w:t>
      </w:r>
    </w:p>
    <w:p w14:paraId="2905CA29" w14:textId="77777777" w:rsidR="000172E5" w:rsidRPr="000172E5" w:rsidRDefault="000172E5" w:rsidP="00322179">
      <w:pPr>
        <w:spacing w:line="240" w:lineRule="auto"/>
        <w:rPr>
          <w:rFonts w:ascii="Times New Roman" w:hAnsi="Times New Roman" w:cs="Times New Roman"/>
        </w:rPr>
      </w:pPr>
      <w:r w:rsidRPr="000172E5">
        <w:rPr>
          <w:rFonts w:ascii="Times New Roman" w:hAnsi="Times New Roman" w:cs="Times New Roman"/>
        </w:rPr>
        <w:t>Randomization was conducted using WINPEPI software, generating a balanced allocation sequence assigning numbers 1 to 86 to either Group A (control) or Group B (intervention). Group A participants did not receive combined oral contraceptive pills (OCPs) prior to ovarian stimulation, whereas Group B participants received OCPs for cycle programming before commencing stimulation.</w:t>
      </w:r>
    </w:p>
    <w:p w14:paraId="5E295664" w14:textId="77777777" w:rsidR="000172E5" w:rsidRPr="000172E5" w:rsidRDefault="000172E5" w:rsidP="00322179">
      <w:pPr>
        <w:spacing w:line="240" w:lineRule="auto"/>
        <w:rPr>
          <w:rFonts w:ascii="Times New Roman" w:hAnsi="Times New Roman" w:cs="Times New Roman"/>
          <w:b/>
          <w:bCs/>
        </w:rPr>
      </w:pPr>
      <w:r w:rsidRPr="000172E5">
        <w:rPr>
          <w:rFonts w:ascii="Times New Roman" w:hAnsi="Times New Roman" w:cs="Times New Roman"/>
          <w:b/>
          <w:bCs/>
        </w:rPr>
        <w:t>Allocation Concealment</w:t>
      </w:r>
    </w:p>
    <w:p w14:paraId="72E42FD0" w14:textId="77777777" w:rsidR="000172E5" w:rsidRPr="000172E5" w:rsidRDefault="000172E5" w:rsidP="00322179">
      <w:pPr>
        <w:spacing w:line="240" w:lineRule="auto"/>
        <w:rPr>
          <w:rFonts w:ascii="Times New Roman" w:hAnsi="Times New Roman" w:cs="Times New Roman"/>
        </w:rPr>
      </w:pPr>
      <w:r w:rsidRPr="000172E5">
        <w:rPr>
          <w:rFonts w:ascii="Times New Roman" w:hAnsi="Times New Roman" w:cs="Times New Roman"/>
        </w:rPr>
        <w:t>To ensure allocation concealment, small opaque envelopes containing the sequentially numbered allocations (1–86) were prepared. Each envelope was stapled and placed in a secure plastic basket, preventing prior knowledge of group assignment.</w:t>
      </w:r>
    </w:p>
    <w:p w14:paraId="370B3793" w14:textId="77777777" w:rsidR="000172E5" w:rsidRPr="000172E5" w:rsidRDefault="000172E5" w:rsidP="00322179">
      <w:pPr>
        <w:spacing w:line="240" w:lineRule="auto"/>
        <w:rPr>
          <w:rFonts w:ascii="Times New Roman" w:hAnsi="Times New Roman" w:cs="Times New Roman"/>
          <w:b/>
          <w:bCs/>
        </w:rPr>
      </w:pPr>
      <w:r w:rsidRPr="000172E5">
        <w:rPr>
          <w:rFonts w:ascii="Times New Roman" w:hAnsi="Times New Roman" w:cs="Times New Roman"/>
          <w:b/>
          <w:bCs/>
        </w:rPr>
        <w:t>Implementation</w:t>
      </w:r>
    </w:p>
    <w:p w14:paraId="445FC35E" w14:textId="77777777" w:rsidR="000172E5" w:rsidRPr="000172E5" w:rsidRDefault="000172E5" w:rsidP="00322179">
      <w:pPr>
        <w:spacing w:line="240" w:lineRule="auto"/>
        <w:rPr>
          <w:rFonts w:ascii="Times New Roman" w:hAnsi="Times New Roman" w:cs="Times New Roman"/>
        </w:rPr>
      </w:pPr>
      <w:r w:rsidRPr="000172E5">
        <w:rPr>
          <w:rFonts w:ascii="Times New Roman" w:hAnsi="Times New Roman" w:cs="Times New Roman"/>
        </w:rPr>
        <w:t>Eligible participants selected one envelope at random. The number inside the envelope was traced on the randomization chart to determine whether the participant was assigned to Group A or B. The randomization process was conducted by the principal investigator or trained research assistant who was not involved in subsequent oocyte retrieval or embryology procedures, maintaining separation of allocation from outcome assessment.</w:t>
      </w:r>
    </w:p>
    <w:p w14:paraId="28D6B322" w14:textId="77777777" w:rsidR="000172E5" w:rsidRPr="000172E5" w:rsidRDefault="000172E5" w:rsidP="00322179">
      <w:pPr>
        <w:spacing w:line="240" w:lineRule="auto"/>
        <w:rPr>
          <w:rFonts w:ascii="Times New Roman" w:hAnsi="Times New Roman" w:cs="Times New Roman"/>
          <w:b/>
          <w:bCs/>
        </w:rPr>
      </w:pPr>
      <w:r w:rsidRPr="000172E5">
        <w:rPr>
          <w:rFonts w:ascii="Times New Roman" w:hAnsi="Times New Roman" w:cs="Times New Roman"/>
          <w:b/>
          <w:bCs/>
        </w:rPr>
        <w:t>Data Collection</w:t>
      </w:r>
    </w:p>
    <w:p w14:paraId="4FA2EBDA" w14:textId="77777777" w:rsidR="000172E5" w:rsidRPr="000172E5" w:rsidRDefault="000172E5" w:rsidP="00322179">
      <w:pPr>
        <w:spacing w:line="240" w:lineRule="auto"/>
        <w:rPr>
          <w:rFonts w:ascii="Times New Roman" w:hAnsi="Times New Roman" w:cs="Times New Roman"/>
        </w:rPr>
      </w:pPr>
      <w:r w:rsidRPr="000172E5">
        <w:rPr>
          <w:rFonts w:ascii="Times New Roman" w:hAnsi="Times New Roman" w:cs="Times New Roman"/>
        </w:rPr>
        <w:t>A purpose-designed proforma was used to collect participants’ socio-demographic characteristics, reproductive and gynecologic history, BMI, and other relevant clinical information. All data were collected by trained research assistants and cross-checked for completeness and accuracy.</w:t>
      </w:r>
    </w:p>
    <w:p w14:paraId="383EF57E" w14:textId="77777777" w:rsidR="000172E5" w:rsidRPr="000172E5" w:rsidRDefault="000172E5" w:rsidP="00322179">
      <w:pPr>
        <w:spacing w:line="240" w:lineRule="auto"/>
        <w:rPr>
          <w:rFonts w:ascii="Times New Roman" w:hAnsi="Times New Roman" w:cs="Times New Roman"/>
          <w:b/>
          <w:bCs/>
        </w:rPr>
      </w:pPr>
      <w:r w:rsidRPr="000172E5">
        <w:rPr>
          <w:rFonts w:ascii="Times New Roman" w:hAnsi="Times New Roman" w:cs="Times New Roman"/>
          <w:b/>
          <w:bCs/>
        </w:rPr>
        <w:t>Data Management</w:t>
      </w:r>
    </w:p>
    <w:p w14:paraId="625CC0CF" w14:textId="77777777" w:rsidR="000172E5" w:rsidRPr="000172E5" w:rsidRDefault="000172E5" w:rsidP="00322179">
      <w:pPr>
        <w:spacing w:line="240" w:lineRule="auto"/>
        <w:rPr>
          <w:rFonts w:ascii="Times New Roman" w:hAnsi="Times New Roman" w:cs="Times New Roman"/>
        </w:rPr>
      </w:pPr>
      <w:r w:rsidRPr="000172E5">
        <w:rPr>
          <w:rFonts w:ascii="Times New Roman" w:hAnsi="Times New Roman" w:cs="Times New Roman"/>
        </w:rPr>
        <w:t>Data from the paper proformas were entered into IBM SPSS Version 23. Double-entry verification was performed to minimize transcription errors, and all datasets were stored on a password-protected computer accessible only to the research team.</w:t>
      </w:r>
    </w:p>
    <w:p w14:paraId="1B5D9D78" w14:textId="77777777" w:rsidR="000172E5" w:rsidRPr="000172E5" w:rsidRDefault="000172E5" w:rsidP="00322179">
      <w:pPr>
        <w:spacing w:line="240" w:lineRule="auto"/>
        <w:rPr>
          <w:rFonts w:ascii="Times New Roman" w:hAnsi="Times New Roman" w:cs="Times New Roman"/>
          <w:b/>
          <w:bCs/>
        </w:rPr>
      </w:pPr>
      <w:r w:rsidRPr="000172E5">
        <w:rPr>
          <w:rFonts w:ascii="Times New Roman" w:hAnsi="Times New Roman" w:cs="Times New Roman"/>
          <w:b/>
          <w:bCs/>
        </w:rPr>
        <w:t>Data Monitoring</w:t>
      </w:r>
    </w:p>
    <w:p w14:paraId="716EB705" w14:textId="77777777" w:rsidR="000172E5" w:rsidRPr="000172E5" w:rsidRDefault="000172E5" w:rsidP="00322179">
      <w:pPr>
        <w:spacing w:line="240" w:lineRule="auto"/>
        <w:rPr>
          <w:rFonts w:ascii="Times New Roman" w:hAnsi="Times New Roman" w:cs="Times New Roman"/>
        </w:rPr>
      </w:pPr>
      <w:r w:rsidRPr="000172E5">
        <w:rPr>
          <w:rFonts w:ascii="Times New Roman" w:hAnsi="Times New Roman" w:cs="Times New Roman"/>
        </w:rPr>
        <w:t>Trial monitoring was conducted in accordance with the standard operating procedures of the study center, ensuring adherence to the protocol, accurate data collection, and participant safety. Compliance with study procedures was verified at regular intervals by the principal investigator.</w:t>
      </w:r>
    </w:p>
    <w:p w14:paraId="3F701E06" w14:textId="2E01647E" w:rsidR="000172E5" w:rsidRPr="000172E5" w:rsidRDefault="000172E5" w:rsidP="00322179">
      <w:pPr>
        <w:spacing w:before="240" w:line="240" w:lineRule="auto"/>
        <w:jc w:val="both"/>
        <w:rPr>
          <w:rFonts w:ascii="Times New Roman" w:hAnsi="Times New Roman" w:cs="Times New Roman"/>
          <w:b/>
        </w:rPr>
      </w:pPr>
      <w:r w:rsidRPr="00322179">
        <w:rPr>
          <w:rFonts w:ascii="Times New Roman" w:hAnsi="Times New Roman" w:cs="Times New Roman"/>
          <w:b/>
        </w:rPr>
        <w:t xml:space="preserve">DATA ANALYSIS </w:t>
      </w:r>
    </w:p>
    <w:p w14:paraId="4B3C9289" w14:textId="368D1DFC" w:rsidR="000172E5" w:rsidRPr="00322179" w:rsidRDefault="000172E5" w:rsidP="00322179">
      <w:pPr>
        <w:spacing w:line="240" w:lineRule="auto"/>
        <w:rPr>
          <w:rFonts w:ascii="Times New Roman" w:hAnsi="Times New Roman" w:cs="Times New Roman"/>
        </w:rPr>
      </w:pPr>
      <w:r w:rsidRPr="000172E5">
        <w:rPr>
          <w:rFonts w:ascii="Times New Roman" w:hAnsi="Times New Roman" w:cs="Times New Roman"/>
        </w:rPr>
        <w:t xml:space="preserve">An intention-to-treat (ITT) approach was employed for all analyses. Descriptive statistics were used to summarize participant characteristics: means and standard deviations for continuous variables and proportions or percentages for categorical variables. Comparisons between groups were conducted using the </w:t>
      </w:r>
      <w:r w:rsidRPr="00322179">
        <w:rPr>
          <w:rFonts w:ascii="Times New Roman" w:hAnsi="Times New Roman" w:cs="Times New Roman"/>
        </w:rPr>
        <w:t>student’s</w:t>
      </w:r>
      <w:r w:rsidRPr="000172E5">
        <w:rPr>
          <w:rFonts w:ascii="Times New Roman" w:hAnsi="Times New Roman" w:cs="Times New Roman"/>
        </w:rPr>
        <w:t xml:space="preserve"> t-test for continuous variables and Pearson’s chi-square test for categorical variables. Data were presented in tables and figures where appropriate. A two-sided p-value &lt; 0.05 was considered statistically significant.</w:t>
      </w:r>
    </w:p>
    <w:p w14:paraId="000CD63A" w14:textId="77777777" w:rsidR="000172E5" w:rsidRPr="00322179" w:rsidRDefault="000172E5" w:rsidP="00322179">
      <w:pPr>
        <w:spacing w:line="240" w:lineRule="auto"/>
        <w:jc w:val="both"/>
        <w:rPr>
          <w:rFonts w:ascii="Times New Roman" w:hAnsi="Times New Roman" w:cs="Times New Roman"/>
          <w:b/>
          <w:bCs/>
        </w:rPr>
      </w:pPr>
      <w:r w:rsidRPr="00322179">
        <w:rPr>
          <w:rFonts w:ascii="Times New Roman" w:hAnsi="Times New Roman" w:cs="Times New Roman"/>
          <w:b/>
          <w:bCs/>
        </w:rPr>
        <w:t>RESULTS</w:t>
      </w:r>
    </w:p>
    <w:p w14:paraId="6739DB85" w14:textId="77777777" w:rsidR="00322179" w:rsidRDefault="000172E5" w:rsidP="00322179">
      <w:pPr>
        <w:spacing w:line="240" w:lineRule="auto"/>
        <w:rPr>
          <w:rFonts w:ascii="Times New Roman" w:hAnsi="Times New Roman" w:cs="Times New Roman"/>
        </w:rPr>
      </w:pPr>
      <w:r w:rsidRPr="00322179">
        <w:rPr>
          <w:rFonts w:ascii="Times New Roman" w:hAnsi="Times New Roman" w:cs="Times New Roman"/>
        </w:rPr>
        <w:lastRenderedPageBreak/>
        <w:t>A total of 86 participants were randomized equally into the OCP (n = 43) and natural cycle (n = 43) groups. The mean age was 32.10 ± 3.96 years in the natural cycle group and 33.05 ± 3.65 years in the OCP group, with a statistically significant difference (p = 0.001). Significant differences were also observed in occupation and marital status distributions (p &lt; 0.05), while no significant differences were found in ethnicity (p = 0.418) or religion (p = 0.211). Most participants were married and identified as Christians.</w:t>
      </w:r>
    </w:p>
    <w:p w14:paraId="11B1DF34" w14:textId="77777777" w:rsidR="0011331A" w:rsidRDefault="0011331A" w:rsidP="00322179">
      <w:pPr>
        <w:spacing w:line="240" w:lineRule="auto"/>
        <w:rPr>
          <w:rFonts w:ascii="Times New Roman" w:hAnsi="Times New Roman" w:cs="Times New Roman"/>
        </w:rPr>
      </w:pPr>
    </w:p>
    <w:p w14:paraId="1315EA20" w14:textId="77777777" w:rsidR="0011331A" w:rsidRDefault="0011331A" w:rsidP="00322179">
      <w:pPr>
        <w:spacing w:line="240" w:lineRule="auto"/>
        <w:rPr>
          <w:rFonts w:ascii="Times New Roman" w:hAnsi="Times New Roman" w:cs="Times New Roman"/>
        </w:rPr>
      </w:pPr>
    </w:p>
    <w:p w14:paraId="4B8139FE" w14:textId="77777777" w:rsidR="0011331A" w:rsidRDefault="0011331A" w:rsidP="00322179">
      <w:pPr>
        <w:spacing w:line="240" w:lineRule="auto"/>
        <w:rPr>
          <w:rFonts w:ascii="Times New Roman" w:hAnsi="Times New Roman" w:cs="Times New Roman"/>
        </w:rPr>
      </w:pPr>
    </w:p>
    <w:p w14:paraId="43805A11" w14:textId="77777777" w:rsidR="0011331A" w:rsidRDefault="0011331A" w:rsidP="00322179">
      <w:pPr>
        <w:spacing w:line="240" w:lineRule="auto"/>
        <w:rPr>
          <w:rFonts w:ascii="Times New Roman" w:hAnsi="Times New Roman" w:cs="Times New Roman"/>
        </w:rPr>
      </w:pPr>
    </w:p>
    <w:p w14:paraId="21865D2E" w14:textId="77777777" w:rsidR="0011331A" w:rsidRDefault="0011331A" w:rsidP="00322179">
      <w:pPr>
        <w:spacing w:line="240" w:lineRule="auto"/>
        <w:rPr>
          <w:rFonts w:ascii="Times New Roman" w:hAnsi="Times New Roman" w:cs="Times New Roman"/>
        </w:rPr>
      </w:pPr>
    </w:p>
    <w:p w14:paraId="422F3D01" w14:textId="77777777" w:rsidR="0011331A" w:rsidRDefault="0011331A" w:rsidP="00322179">
      <w:pPr>
        <w:spacing w:line="240" w:lineRule="auto"/>
        <w:rPr>
          <w:rFonts w:ascii="Times New Roman" w:hAnsi="Times New Roman" w:cs="Times New Roman"/>
        </w:rPr>
      </w:pPr>
    </w:p>
    <w:p w14:paraId="39492668" w14:textId="77777777" w:rsidR="0011331A" w:rsidRDefault="0011331A" w:rsidP="00322179">
      <w:pPr>
        <w:spacing w:line="240" w:lineRule="auto"/>
        <w:rPr>
          <w:rFonts w:ascii="Times New Roman" w:hAnsi="Times New Roman" w:cs="Times New Roman"/>
        </w:rPr>
      </w:pPr>
    </w:p>
    <w:p w14:paraId="7F287431" w14:textId="77777777" w:rsidR="0011331A" w:rsidRDefault="0011331A" w:rsidP="00322179">
      <w:pPr>
        <w:spacing w:line="240" w:lineRule="auto"/>
        <w:rPr>
          <w:rFonts w:ascii="Times New Roman" w:hAnsi="Times New Roman" w:cs="Times New Roman"/>
        </w:rPr>
      </w:pPr>
    </w:p>
    <w:p w14:paraId="38F32C93" w14:textId="77777777" w:rsidR="0011331A" w:rsidRDefault="0011331A" w:rsidP="00322179">
      <w:pPr>
        <w:spacing w:line="240" w:lineRule="auto"/>
        <w:rPr>
          <w:rFonts w:ascii="Times New Roman" w:hAnsi="Times New Roman" w:cs="Times New Roman"/>
        </w:rPr>
      </w:pPr>
    </w:p>
    <w:p w14:paraId="3460DE6A" w14:textId="77777777" w:rsidR="0011331A" w:rsidRDefault="0011331A" w:rsidP="00322179">
      <w:pPr>
        <w:spacing w:line="240" w:lineRule="auto"/>
        <w:rPr>
          <w:rFonts w:ascii="Times New Roman" w:hAnsi="Times New Roman" w:cs="Times New Roman"/>
        </w:rPr>
      </w:pPr>
    </w:p>
    <w:p w14:paraId="7E07E645" w14:textId="77777777" w:rsidR="0011331A" w:rsidRDefault="0011331A" w:rsidP="00322179">
      <w:pPr>
        <w:spacing w:line="240" w:lineRule="auto"/>
        <w:rPr>
          <w:rFonts w:ascii="Times New Roman" w:hAnsi="Times New Roman" w:cs="Times New Roman"/>
        </w:rPr>
      </w:pPr>
    </w:p>
    <w:p w14:paraId="49CE6FBA" w14:textId="77777777" w:rsidR="0011331A" w:rsidRDefault="0011331A" w:rsidP="00322179">
      <w:pPr>
        <w:spacing w:line="240" w:lineRule="auto"/>
        <w:rPr>
          <w:rFonts w:ascii="Times New Roman" w:hAnsi="Times New Roman" w:cs="Times New Roman"/>
        </w:rPr>
      </w:pPr>
    </w:p>
    <w:p w14:paraId="2E2423D0" w14:textId="77777777" w:rsidR="0011331A" w:rsidRDefault="0011331A" w:rsidP="00322179">
      <w:pPr>
        <w:spacing w:line="240" w:lineRule="auto"/>
        <w:rPr>
          <w:rFonts w:ascii="Times New Roman" w:hAnsi="Times New Roman" w:cs="Times New Roman"/>
        </w:rPr>
      </w:pPr>
    </w:p>
    <w:p w14:paraId="05A488E6" w14:textId="77777777" w:rsidR="0011331A" w:rsidRDefault="0011331A" w:rsidP="00322179">
      <w:pPr>
        <w:spacing w:line="240" w:lineRule="auto"/>
        <w:rPr>
          <w:rFonts w:ascii="Times New Roman" w:hAnsi="Times New Roman" w:cs="Times New Roman"/>
        </w:rPr>
      </w:pPr>
    </w:p>
    <w:p w14:paraId="5AA50604" w14:textId="77777777" w:rsidR="0011331A" w:rsidRDefault="0011331A" w:rsidP="00322179">
      <w:pPr>
        <w:spacing w:line="240" w:lineRule="auto"/>
        <w:rPr>
          <w:rFonts w:ascii="Times New Roman" w:hAnsi="Times New Roman" w:cs="Times New Roman"/>
        </w:rPr>
      </w:pPr>
    </w:p>
    <w:p w14:paraId="6B2BD379" w14:textId="77777777" w:rsidR="0011331A" w:rsidRDefault="0011331A" w:rsidP="00322179">
      <w:pPr>
        <w:spacing w:line="240" w:lineRule="auto"/>
        <w:rPr>
          <w:rFonts w:ascii="Times New Roman" w:hAnsi="Times New Roman" w:cs="Times New Roman"/>
        </w:rPr>
      </w:pPr>
    </w:p>
    <w:p w14:paraId="7FCF3089" w14:textId="77777777" w:rsidR="0011331A" w:rsidRDefault="0011331A" w:rsidP="00322179">
      <w:pPr>
        <w:spacing w:line="240" w:lineRule="auto"/>
        <w:rPr>
          <w:rFonts w:ascii="Times New Roman" w:hAnsi="Times New Roman" w:cs="Times New Roman"/>
        </w:rPr>
      </w:pPr>
    </w:p>
    <w:p w14:paraId="0E7E94B1" w14:textId="77777777" w:rsidR="0011331A" w:rsidRDefault="0011331A" w:rsidP="00322179">
      <w:pPr>
        <w:spacing w:line="240" w:lineRule="auto"/>
        <w:rPr>
          <w:rFonts w:ascii="Times New Roman" w:hAnsi="Times New Roman" w:cs="Times New Roman"/>
        </w:rPr>
      </w:pPr>
    </w:p>
    <w:p w14:paraId="0A58BA8C" w14:textId="77777777" w:rsidR="0011331A" w:rsidRDefault="0011331A" w:rsidP="00322179">
      <w:pPr>
        <w:spacing w:line="240" w:lineRule="auto"/>
        <w:rPr>
          <w:rFonts w:ascii="Times New Roman" w:hAnsi="Times New Roman" w:cs="Times New Roman"/>
        </w:rPr>
      </w:pPr>
    </w:p>
    <w:p w14:paraId="5EAFC332" w14:textId="77777777" w:rsidR="0011331A" w:rsidRDefault="0011331A" w:rsidP="00322179">
      <w:pPr>
        <w:spacing w:line="240" w:lineRule="auto"/>
        <w:rPr>
          <w:rFonts w:ascii="Times New Roman" w:hAnsi="Times New Roman" w:cs="Times New Roman"/>
        </w:rPr>
      </w:pPr>
    </w:p>
    <w:p w14:paraId="4F62D92A" w14:textId="7EF06404" w:rsidR="00A65987" w:rsidRPr="00322179" w:rsidRDefault="00A65987" w:rsidP="00322179">
      <w:pPr>
        <w:spacing w:line="240" w:lineRule="auto"/>
        <w:rPr>
          <w:rFonts w:ascii="Times New Roman" w:hAnsi="Times New Roman" w:cs="Times New Roman"/>
        </w:rPr>
      </w:pPr>
      <w:r w:rsidRPr="00322179">
        <w:rPr>
          <w:rFonts w:ascii="Times New Roman" w:hAnsi="Times New Roman" w:cs="Times New Roman"/>
          <w:b/>
          <w:noProof/>
        </w:rPr>
        <mc:AlternateContent>
          <mc:Choice Requires="wps">
            <w:drawing>
              <wp:anchor distT="0" distB="0" distL="114300" distR="114300" simplePos="0" relativeHeight="251669504" behindDoc="0" locked="0" layoutInCell="1" allowOverlap="1" wp14:anchorId="73B15E69" wp14:editId="767FE7E3">
                <wp:simplePos x="0" y="0"/>
                <wp:positionH relativeFrom="column">
                  <wp:posOffset>2298065</wp:posOffset>
                </wp:positionH>
                <wp:positionV relativeFrom="paragraph">
                  <wp:posOffset>5307330</wp:posOffset>
                </wp:positionV>
                <wp:extent cx="1443990" cy="312420"/>
                <wp:effectExtent l="12065" t="12065" r="10795" b="8890"/>
                <wp:wrapNone/>
                <wp:docPr id="1031" name="Rectangle: Rounded Corner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312420"/>
                        </a:xfrm>
                        <a:prstGeom prst="roundRect">
                          <a:avLst>
                            <a:gd name="adj" fmla="val 16667"/>
                          </a:avLst>
                        </a:prstGeom>
                        <a:solidFill>
                          <a:srgbClr val="A9C7FD"/>
                        </a:solidFill>
                        <a:ln w="9525">
                          <a:solidFill>
                            <a:srgbClr val="000000"/>
                          </a:solidFill>
                          <a:round/>
                        </a:ln>
                      </wps:spPr>
                      <wps:txbx>
                        <w:txbxContent>
                          <w:p w14:paraId="065078F5" w14:textId="77777777" w:rsidR="00A65987" w:rsidRDefault="00A65987" w:rsidP="00A65987">
                            <w:pPr>
                              <w:pStyle w:val="Heading21"/>
                              <w:spacing w:before="0"/>
                              <w:jc w:val="center"/>
                              <w:rPr>
                                <w:rFonts w:ascii="Candara" w:hAnsi="Candara"/>
                              </w:rPr>
                            </w:pPr>
                            <w:r>
                              <w:rPr>
                                <w:rFonts w:ascii="Candara" w:hAnsi="Candara"/>
                              </w:rPr>
                              <w:t>Follow-Up</w:t>
                            </w:r>
                          </w:p>
                        </w:txbxContent>
                      </wps:txbx>
                      <wps:bodyPr rot="0" vert="horz" wrap="square" lIns="45720" tIns="45720" rIns="45720" bIns="45720" anchor="t" anchorCtr="0" upright="1">
                        <a:noAutofit/>
                      </wps:bodyPr>
                    </wps:wsp>
                  </a:graphicData>
                </a:graphic>
              </wp:anchor>
            </w:drawing>
          </mc:Choice>
          <mc:Fallback>
            <w:pict>
              <v:roundrect w14:anchorId="73B15E69" id="Rectangle: Rounded Corners 20" o:spid="_x0000_s1026" style="position:absolute;margin-left:180.95pt;margin-top:417.9pt;width:113.7pt;height:24.6pt;z-index:2516695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" fillcolor="#a9c7fd">
                <v:textbox inset="3.6pt,,3.6pt">
                  <w:txbxContent>
                    <w:p w14:paraId="065078F5" w14:textId="77777777" w:rsidR="00A65987" w:rsidRDefault="00A65987" w:rsidP="00A65987">
                      <w:pPr>
                        <w:pStyle w:val="Heading21"/>
                        <w:spacing w:before="0"/>
                        <w:jc w:val="center"/>
                        <w:rPr>
                          <w:rFonts w:ascii="Candara" w:hAnsi="Candara"/>
                        </w:rPr>
                      </w:pPr>
                      <w:r>
                        <w:rPr>
                          <w:rFonts w:ascii="Candara" w:hAnsi="Candara"/>
                        </w:rPr>
                        <w:t>Follow-Up</w:t>
                      </w:r>
                    </w:p>
                  </w:txbxContent>
                </v:textbox>
              </v:roundrect>
            </w:pict>
          </mc:Fallback>
        </mc:AlternateContent>
      </w:r>
      <w:r w:rsidRPr="00322179">
        <w:rPr>
          <w:rFonts w:ascii="Times New Roman" w:hAnsi="Times New Roman" w:cs="Times New Roman"/>
          <w:b/>
          <w:noProof/>
        </w:rPr>
        <mc:AlternateContent>
          <mc:Choice Requires="wps">
            <w:drawing>
              <wp:anchor distT="36195" distB="36195" distL="36195" distR="36195" simplePos="0" relativeHeight="251671552" behindDoc="0" locked="0" layoutInCell="1" allowOverlap="1" wp14:anchorId="23EFF883" wp14:editId="481D759B">
                <wp:simplePos x="0" y="0"/>
                <wp:positionH relativeFrom="column">
                  <wp:posOffset>5020945</wp:posOffset>
                </wp:positionH>
                <wp:positionV relativeFrom="paragraph">
                  <wp:posOffset>5123815</wp:posOffset>
                </wp:positionV>
                <wp:extent cx="635" cy="429260"/>
                <wp:effectExtent l="58420" t="9525" r="55245" b="18415"/>
                <wp:wrapNone/>
                <wp:docPr id="1032" name="Straight Arrow Connector 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9260"/>
                        </a:xfrm>
                        <a:prstGeom prst="straightConnector1">
                          <a:avLst/>
                        </a:prstGeom>
                        <a:noFill/>
                        <a:ln w="9525">
                          <a:solidFill>
                            <a:srgbClr val="000000"/>
                          </a:solidFill>
                          <a:round/>
                          <a:tailEnd type="triangle" w="med" len="me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1D62E1D" id="_x0000_t32" coordsize="21600,21600" o:spt="32" o:oned="t" path="m,l21600,21600e" filled="f">
                <v:path arrowok="t" fillok="f" o:connecttype="none"/>
                <o:lock v:ext="edit" shapetype="t"/>
              </v:shapetype>
              <v:shape id="Straight Arrow Connector 1032" o:spid="_x0000_s1026" type="#_x0000_t32" style="position:absolute;margin-left:395.35pt;margin-top:403.45pt;width:.05pt;height:33.8pt;z-index:251671552;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">
                <v:stroke endarrow="block"/>
              </v:shape>
            </w:pict>
          </mc:Fallback>
        </mc:AlternateContent>
      </w:r>
      <w:r w:rsidRPr="00322179">
        <w:rPr>
          <w:rFonts w:ascii="Times New Roman" w:hAnsi="Times New Roman" w:cs="Times New Roman"/>
          <w:b/>
          <w:noProof/>
        </w:rPr>
        <mc:AlternateContent>
          <mc:Choice Requires="wps">
            <w:drawing>
              <wp:anchor distT="0" distB="0" distL="114300" distR="114300" simplePos="0" relativeHeight="251666432" behindDoc="0" locked="0" layoutInCell="1" allowOverlap="1" wp14:anchorId="2D35A81B" wp14:editId="7E7EE3C1">
                <wp:simplePos x="0" y="0"/>
                <wp:positionH relativeFrom="column">
                  <wp:posOffset>3599815</wp:posOffset>
                </wp:positionH>
                <wp:positionV relativeFrom="paragraph">
                  <wp:posOffset>6766560</wp:posOffset>
                </wp:positionV>
                <wp:extent cx="2843530" cy="742950"/>
                <wp:effectExtent l="8890" t="13970" r="5080" b="5080"/>
                <wp:wrapNone/>
                <wp:docPr id="1033" name="Rectangle 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ln>
                      </wps:spPr>
                      <wps:txbx>
                        <w:txbxContent>
                          <w:p w14:paraId="37CB97E6" w14:textId="77777777" w:rsidR="00A65987" w:rsidRDefault="00A65987" w:rsidP="00A65987">
                            <w:pPr>
                              <w:rPr>
                                <w:rFonts w:cs="Calibri"/>
                              </w:rPr>
                            </w:pPr>
                            <w:r>
                              <w:rPr>
                                <w:rFonts w:ascii="Arial" w:hAnsi="Arial" w:cs="Arial"/>
                                <w:sz w:val="20"/>
                                <w:szCs w:val="20"/>
                                <w:lang w:val="en-CA"/>
                              </w:rPr>
                              <w:t>Analysed (n= 43)</w:t>
                            </w:r>
                            <w:r>
                              <w:rPr>
                                <w:rFonts w:ascii="Arial" w:hAnsi="Arial" w:cs="Arial"/>
                                <w:sz w:val="20"/>
                                <w:szCs w:val="20"/>
                                <w:lang w:val="en-CA"/>
                              </w:rPr>
                              <w:br/>
                            </w:r>
                            <w:r>
                              <w:rPr>
                                <w:rFonts w:ascii="Symbol" w:hAnsi="Symbol"/>
                                <w:sz w:val="16"/>
                                <w:szCs w:val="16"/>
                                <w:lang w:val="zh-CN"/>
                              </w:rPr>
                              <w:t></w:t>
                            </w:r>
                            <w:r>
                              <w:t> </w:t>
                            </w:r>
                            <w:r>
                              <w:rPr>
                                <w:rFonts w:ascii="Arial" w:hAnsi="Arial" w:cs="Arial"/>
                                <w:sz w:val="20"/>
                                <w:szCs w:val="20"/>
                                <w:lang w:val="en-CA"/>
                              </w:rPr>
                              <w:t>Excluded from analysis (n= 0)</w:t>
                            </w:r>
                          </w:p>
                          <w:p w14:paraId="188F2A60" w14:textId="77777777" w:rsidR="00A65987" w:rsidRDefault="00A65987" w:rsidP="00A65987">
                            <w:pPr>
                              <w:rPr>
                                <w:rFonts w:cs="Calibri"/>
                              </w:rPr>
                            </w:pPr>
                          </w:p>
                        </w:txbxContent>
                      </wps:txbx>
                      <wps:bodyPr rot="0" vert="horz" wrap="square" lIns="91440" tIns="91440" rIns="91440" bIns="91440" anchor="t" anchorCtr="0" upright="1">
                        <a:noAutofit/>
                      </wps:bodyPr>
                    </wps:wsp>
                  </a:graphicData>
                </a:graphic>
              </wp:anchor>
            </w:drawing>
          </mc:Choice>
          <mc:Fallback>
            <w:pict>
              <v:rect w14:anchorId="2D35A81B" id="Rectangle 1033" o:spid="_x0000_s1027" style="position:absolute;margin-left:283.45pt;margin-top:532.8pt;width:223.9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">
                <v:textbox inset=",7.2pt,,7.2pt">
                  <w:txbxContent>
                    <w:p w14:paraId="37CB97E6" w14:textId="77777777" w:rsidR="00A65987" w:rsidRDefault="00A65987" w:rsidP="00A65987">
                      <w:pPr>
                        <w:rPr>
                          <w:rFonts w:cs="Calibri"/>
                        </w:rPr>
                      </w:pPr>
                      <w:r>
                        <w:rPr>
                          <w:rFonts w:ascii="Arial" w:hAnsi="Arial" w:cs="Arial"/>
                          <w:sz w:val="20"/>
                          <w:szCs w:val="20"/>
                          <w:lang w:val="en-CA"/>
                        </w:rPr>
                        <w:t>Analysed (n= 43)</w:t>
                      </w:r>
                      <w:r>
                        <w:rPr>
                          <w:rFonts w:ascii="Arial" w:hAnsi="Arial" w:cs="Arial"/>
                          <w:sz w:val="20"/>
                          <w:szCs w:val="20"/>
                          <w:lang w:val="en-CA"/>
                        </w:rPr>
                        <w:br/>
                      </w:r>
                      <w:r>
                        <w:rPr>
                          <w:rFonts w:ascii="Symbol" w:hAnsi="Symbol"/>
                          <w:sz w:val="16"/>
                          <w:szCs w:val="16"/>
                          <w:lang w:val="zh-CN"/>
                        </w:rPr>
                        <w:t></w:t>
                      </w:r>
                      <w:r>
                        <w:t> </w:t>
                      </w:r>
                      <w:r>
                        <w:rPr>
                          <w:rFonts w:ascii="Arial" w:hAnsi="Arial" w:cs="Arial"/>
                          <w:sz w:val="20"/>
                          <w:szCs w:val="20"/>
                          <w:lang w:val="en-CA"/>
                        </w:rPr>
                        <w:t>Excluded from analysis (n= 0)</w:t>
                      </w:r>
                    </w:p>
                    <w:p w14:paraId="188F2A60" w14:textId="77777777" w:rsidR="00A65987" w:rsidRDefault="00A65987" w:rsidP="00A65987">
                      <w:pPr>
                        <w:rPr>
                          <w:rFonts w:cs="Calibri"/>
                        </w:rPr>
                      </w:pPr>
                    </w:p>
                  </w:txbxContent>
                </v:textbox>
              </v:rect>
            </w:pict>
          </mc:Fallback>
        </mc:AlternateContent>
      </w:r>
      <w:r w:rsidRPr="00322179">
        <w:rPr>
          <w:rFonts w:ascii="Times New Roman" w:hAnsi="Times New Roman" w:cs="Times New Roman"/>
          <w:b/>
          <w:noProof/>
        </w:rPr>
        <mc:AlternateContent>
          <mc:Choice Requires="wps">
            <w:drawing>
              <wp:anchor distT="36195" distB="36195" distL="36195" distR="36195" simplePos="0" relativeHeight="251673600" behindDoc="0" locked="0" layoutInCell="1" allowOverlap="1" wp14:anchorId="64F45C0C" wp14:editId="0D7C18CC">
                <wp:simplePos x="0" y="0"/>
                <wp:positionH relativeFrom="column">
                  <wp:posOffset>5047615</wp:posOffset>
                </wp:positionH>
                <wp:positionV relativeFrom="paragraph">
                  <wp:posOffset>6315075</wp:posOffset>
                </wp:positionV>
                <wp:extent cx="635" cy="461010"/>
                <wp:effectExtent l="56515" t="10160" r="57150" b="14605"/>
                <wp:wrapNone/>
                <wp:docPr id="1034" name="Straight Arrow Connector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tailEnd type="triangle" w="med" len="me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74A0E2" id="Straight Arrow Connector 1034" o:spid="_x0000_s1026" type="#_x0000_t32" style="position:absolute;margin-left:397.45pt;margin-top:497.25pt;width:.05pt;height:36.3pt;z-index:251673600;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">
                <v:stroke endarrow="block"/>
              </v:shape>
            </w:pict>
          </mc:Fallback>
        </mc:AlternateContent>
      </w:r>
      <w:r w:rsidRPr="00322179">
        <w:rPr>
          <w:rFonts w:ascii="Times New Roman" w:hAnsi="Times New Roman" w:cs="Times New Roman"/>
          <w:b/>
          <w:noProof/>
        </w:rPr>
        <mc:AlternateContent>
          <mc:Choice Requires="wps">
            <w:drawing>
              <wp:anchor distT="0" distB="0" distL="114300" distR="114300" simplePos="0" relativeHeight="251664384" behindDoc="0" locked="0" layoutInCell="1" allowOverlap="1" wp14:anchorId="6CCFF4D1" wp14:editId="00EFE44D">
                <wp:simplePos x="0" y="0"/>
                <wp:positionH relativeFrom="column">
                  <wp:posOffset>3599815</wp:posOffset>
                </wp:positionH>
                <wp:positionV relativeFrom="paragraph">
                  <wp:posOffset>5553075</wp:posOffset>
                </wp:positionV>
                <wp:extent cx="2843530" cy="742950"/>
                <wp:effectExtent l="8890" t="10160" r="5080" b="8890"/>
                <wp:wrapNone/>
                <wp:docPr id="1035" name="Rectangle 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ln>
                      </wps:spPr>
                      <wps:txbx>
                        <w:txbxContent>
                          <w:p w14:paraId="48F2CE20" w14:textId="77777777" w:rsidR="00A65987" w:rsidRDefault="00A65987" w:rsidP="00A65987">
                            <w:pPr>
                              <w:rPr>
                                <w:rFonts w:ascii="Arial" w:hAnsi="Arial" w:cs="Arial"/>
                                <w:sz w:val="20"/>
                                <w:szCs w:val="20"/>
                                <w:lang w:val="en-CA"/>
                              </w:rPr>
                            </w:pPr>
                            <w:r>
                              <w:rPr>
                                <w:rFonts w:ascii="Arial" w:hAnsi="Arial" w:cs="Arial"/>
                                <w:sz w:val="20"/>
                                <w:szCs w:val="20"/>
                                <w:lang w:val="en-CA"/>
                              </w:rPr>
                              <w:t>Lost to follow-up (give reasons) (n= 0)</w:t>
                            </w:r>
                          </w:p>
                          <w:p w14:paraId="25DA8C1A" w14:textId="77777777" w:rsidR="00A65987" w:rsidRDefault="00A65987" w:rsidP="00A65987">
                            <w:pPr>
                              <w:rPr>
                                <w:rFonts w:ascii="Arial" w:hAnsi="Arial" w:cs="Arial"/>
                                <w:sz w:val="20"/>
                                <w:szCs w:val="20"/>
                              </w:rPr>
                            </w:pPr>
                            <w:r>
                              <w:rPr>
                                <w:rFonts w:ascii="Arial" w:hAnsi="Arial" w:cs="Arial"/>
                                <w:sz w:val="20"/>
                                <w:szCs w:val="20"/>
                                <w:lang w:val="en-CA"/>
                              </w:rPr>
                              <w:t>Discontinued intervention (n= 0)</w:t>
                            </w:r>
                          </w:p>
                        </w:txbxContent>
                      </wps:txbx>
                      <wps:bodyPr rot="0" vert="horz" wrap="square" lIns="91440" tIns="91440" rIns="91440" bIns="91440" anchor="t" anchorCtr="0" upright="1">
                        <a:noAutofit/>
                      </wps:bodyPr>
                    </wps:wsp>
                  </a:graphicData>
                </a:graphic>
              </wp:anchor>
            </w:drawing>
          </mc:Choice>
          <mc:Fallback>
            <w:pict>
              <v:rect w14:anchorId="6CCFF4D1" id="Rectangle 1035" o:spid="_x0000_s1028" style="position:absolute;margin-left:283.45pt;margin-top:437.25pt;width:223.9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">
                <v:textbox inset=",7.2pt,,7.2pt">
                  <w:txbxContent>
                    <w:p w14:paraId="48F2CE20" w14:textId="77777777" w:rsidR="00A65987" w:rsidRDefault="00A65987" w:rsidP="00A65987">
                      <w:pPr>
                        <w:rPr>
                          <w:rFonts w:ascii="Arial" w:hAnsi="Arial" w:cs="Arial"/>
                          <w:sz w:val="20"/>
                          <w:szCs w:val="20"/>
                          <w:lang w:val="en-CA"/>
                        </w:rPr>
                      </w:pPr>
                      <w:r>
                        <w:rPr>
                          <w:rFonts w:ascii="Arial" w:hAnsi="Arial" w:cs="Arial"/>
                          <w:sz w:val="20"/>
                          <w:szCs w:val="20"/>
                          <w:lang w:val="en-CA"/>
                        </w:rPr>
                        <w:t>Lost to follow-up (give reasons) (n= 0)</w:t>
                      </w:r>
                    </w:p>
                    <w:p w14:paraId="25DA8C1A" w14:textId="77777777" w:rsidR="00A65987" w:rsidRDefault="00A65987" w:rsidP="00A65987">
                      <w:pPr>
                        <w:rPr>
                          <w:rFonts w:ascii="Arial" w:hAnsi="Arial" w:cs="Arial"/>
                          <w:sz w:val="20"/>
                          <w:szCs w:val="20"/>
                        </w:rPr>
                      </w:pPr>
                      <w:r>
                        <w:rPr>
                          <w:rFonts w:ascii="Arial" w:hAnsi="Arial" w:cs="Arial"/>
                          <w:sz w:val="20"/>
                          <w:szCs w:val="20"/>
                          <w:lang w:val="en-CA"/>
                        </w:rPr>
                        <w:t>Discontinued intervention (n= 0)</w:t>
                      </w:r>
                    </w:p>
                  </w:txbxContent>
                </v:textbox>
              </v:rect>
            </w:pict>
          </mc:Fallback>
        </mc:AlternateContent>
      </w:r>
      <w:r w:rsidRPr="00322179">
        <w:rPr>
          <w:rFonts w:ascii="Times New Roman" w:hAnsi="Times New Roman" w:cs="Times New Roman"/>
          <w:b/>
          <w:noProof/>
        </w:rPr>
        <mc:AlternateContent>
          <mc:Choice Requires="wps">
            <w:drawing>
              <wp:anchor distT="36195" distB="36195" distL="36195" distR="36195" simplePos="0" relativeHeight="251670528" behindDoc="0" locked="0" layoutInCell="1" allowOverlap="1" wp14:anchorId="0E160085" wp14:editId="7D1E97AD">
                <wp:simplePos x="0" y="0"/>
                <wp:positionH relativeFrom="column">
                  <wp:posOffset>1052195</wp:posOffset>
                </wp:positionH>
                <wp:positionV relativeFrom="paragraph">
                  <wp:posOffset>5114290</wp:posOffset>
                </wp:positionV>
                <wp:extent cx="635" cy="391160"/>
                <wp:effectExtent l="52070" t="9525" r="61595" b="18415"/>
                <wp:wrapNone/>
                <wp:docPr id="1036" name="Straight Arrow Connector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1160"/>
                        </a:xfrm>
                        <a:prstGeom prst="straightConnector1">
                          <a:avLst/>
                        </a:prstGeom>
                        <a:noFill/>
                        <a:ln w="9525">
                          <a:solidFill>
                            <a:srgbClr val="000000"/>
                          </a:solidFill>
                          <a:round/>
                          <a:tailEnd type="triangle" w="med" len="me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1EAAAB" id="Straight Arrow Connector 1036" o:spid="_x0000_s1026" type="#_x0000_t32" style="position:absolute;margin-left:82.85pt;margin-top:402.7pt;width:.05pt;height:30.8pt;z-index:251670528;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">
                <v:stroke endarrow="block"/>
              </v:shape>
            </w:pict>
          </mc:Fallback>
        </mc:AlternateContent>
      </w:r>
      <w:r w:rsidRPr="00322179">
        <w:rPr>
          <w:rFonts w:ascii="Times New Roman" w:hAnsi="Times New Roman" w:cs="Times New Roman"/>
          <w:b/>
          <w:noProof/>
        </w:rPr>
        <mc:AlternateContent>
          <mc:Choice Requires="wps">
            <w:drawing>
              <wp:anchor distT="0" distB="0" distL="114300" distR="114300" simplePos="0" relativeHeight="251662336" behindDoc="0" locked="0" layoutInCell="1" allowOverlap="1" wp14:anchorId="19ADB762" wp14:editId="3860D948">
                <wp:simplePos x="0" y="0"/>
                <wp:positionH relativeFrom="column">
                  <wp:posOffset>-387985</wp:posOffset>
                </wp:positionH>
                <wp:positionV relativeFrom="paragraph">
                  <wp:posOffset>5495925</wp:posOffset>
                </wp:positionV>
                <wp:extent cx="2847975" cy="828675"/>
                <wp:effectExtent l="12065" t="10160" r="6985" b="8890"/>
                <wp:wrapNone/>
                <wp:docPr id="1037" name="Rectangl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828675"/>
                        </a:xfrm>
                        <a:prstGeom prst="rect">
                          <a:avLst/>
                        </a:prstGeom>
                        <a:solidFill>
                          <a:srgbClr val="FFFFFF"/>
                        </a:solidFill>
                        <a:ln w="9525">
                          <a:solidFill>
                            <a:srgbClr val="000000"/>
                          </a:solidFill>
                          <a:miter lim="800000"/>
                        </a:ln>
                      </wps:spPr>
                      <wps:txbx>
                        <w:txbxContent>
                          <w:p w14:paraId="6D5F2C08" w14:textId="77777777" w:rsidR="00A65987" w:rsidRDefault="00A65987" w:rsidP="00A65987">
                            <w:pPr>
                              <w:rPr>
                                <w:rFonts w:ascii="Arial" w:hAnsi="Arial" w:cs="Arial"/>
                                <w:sz w:val="20"/>
                                <w:szCs w:val="20"/>
                                <w:lang w:val="en-CA"/>
                              </w:rPr>
                            </w:pPr>
                            <w:r>
                              <w:rPr>
                                <w:rFonts w:ascii="Arial" w:hAnsi="Arial" w:cs="Arial"/>
                                <w:sz w:val="20"/>
                                <w:szCs w:val="20"/>
                                <w:lang w:val="en-CA"/>
                              </w:rPr>
                              <w:t>Lost to follow-up (n= 0)</w:t>
                            </w:r>
                          </w:p>
                          <w:p w14:paraId="772929EF" w14:textId="77777777" w:rsidR="00A65987" w:rsidRDefault="00A65987" w:rsidP="00A65987">
                            <w:pPr>
                              <w:rPr>
                                <w:rFonts w:ascii="Arial" w:hAnsi="Arial" w:cs="Arial"/>
                                <w:sz w:val="20"/>
                                <w:szCs w:val="20"/>
                              </w:rPr>
                            </w:pPr>
                            <w:r>
                              <w:rPr>
                                <w:rFonts w:ascii="Arial" w:hAnsi="Arial" w:cs="Arial"/>
                                <w:sz w:val="20"/>
                                <w:szCs w:val="20"/>
                                <w:lang w:val="en-CA"/>
                              </w:rPr>
                              <w:t>Discontinued intervention (n= 0)</w:t>
                            </w:r>
                          </w:p>
                        </w:txbxContent>
                      </wps:txbx>
                      <wps:bodyPr rot="0" vert="horz" wrap="square" lIns="91440" tIns="91440" rIns="91440" bIns="91440" anchor="t" anchorCtr="0" upright="1">
                        <a:noAutofit/>
                      </wps:bodyPr>
                    </wps:wsp>
                  </a:graphicData>
                </a:graphic>
              </wp:anchor>
            </w:drawing>
          </mc:Choice>
          <mc:Fallback>
            <w:pict>
              <v:rect w14:anchorId="19ADB762" id="Rectangle 1037" o:spid="_x0000_s1029" style="position:absolute;margin-left:-30.55pt;margin-top:432.75pt;width:224.25pt;height:65.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">
                <v:textbox inset=",7.2pt,,7.2pt">
                  <w:txbxContent>
                    <w:p w14:paraId="6D5F2C08" w14:textId="77777777" w:rsidR="00A65987" w:rsidRDefault="00A65987" w:rsidP="00A65987">
                      <w:pPr>
                        <w:rPr>
                          <w:rFonts w:ascii="Arial" w:hAnsi="Arial" w:cs="Arial"/>
                          <w:sz w:val="20"/>
                          <w:szCs w:val="20"/>
                          <w:lang w:val="en-CA"/>
                        </w:rPr>
                      </w:pPr>
                      <w:r>
                        <w:rPr>
                          <w:rFonts w:ascii="Arial" w:hAnsi="Arial" w:cs="Arial"/>
                          <w:sz w:val="20"/>
                          <w:szCs w:val="20"/>
                          <w:lang w:val="en-CA"/>
                        </w:rPr>
                        <w:t>Lost to follow-up (n= 0)</w:t>
                      </w:r>
                    </w:p>
                    <w:p w14:paraId="772929EF" w14:textId="77777777" w:rsidR="00A65987" w:rsidRDefault="00A65987" w:rsidP="00A65987">
                      <w:pPr>
                        <w:rPr>
                          <w:rFonts w:ascii="Arial" w:hAnsi="Arial" w:cs="Arial"/>
                          <w:sz w:val="20"/>
                          <w:szCs w:val="20"/>
                        </w:rPr>
                      </w:pPr>
                      <w:r>
                        <w:rPr>
                          <w:rFonts w:ascii="Arial" w:hAnsi="Arial" w:cs="Arial"/>
                          <w:sz w:val="20"/>
                          <w:szCs w:val="20"/>
                          <w:lang w:val="en-CA"/>
                        </w:rPr>
                        <w:t>Discontinued intervention (n= 0)</w:t>
                      </w:r>
                    </w:p>
                  </w:txbxContent>
                </v:textbox>
              </v:rect>
            </w:pict>
          </mc:Fallback>
        </mc:AlternateContent>
      </w:r>
      <w:r w:rsidRPr="00322179">
        <w:rPr>
          <w:rFonts w:ascii="Times New Roman" w:hAnsi="Times New Roman" w:cs="Times New Roman"/>
          <w:b/>
          <w:noProof/>
        </w:rPr>
        <mc:AlternateContent>
          <mc:Choice Requires="wps">
            <w:drawing>
              <wp:anchor distT="36195" distB="36195" distL="36195" distR="36195" simplePos="0" relativeHeight="251672576" behindDoc="0" locked="0" layoutInCell="1" allowOverlap="1" wp14:anchorId="767C7F36" wp14:editId="21293594">
                <wp:simplePos x="0" y="0"/>
                <wp:positionH relativeFrom="column">
                  <wp:posOffset>1079500</wp:posOffset>
                </wp:positionH>
                <wp:positionV relativeFrom="paragraph">
                  <wp:posOffset>6334125</wp:posOffset>
                </wp:positionV>
                <wp:extent cx="0" cy="461010"/>
                <wp:effectExtent l="60325" t="10160" r="53975" b="14605"/>
                <wp:wrapNone/>
                <wp:docPr id="1038" name="Straight Arrow Connector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tailEnd type="triangle" w="med" len="me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9BDF20" id="Straight Arrow Connector 1038" o:spid="_x0000_s1026" type="#_x0000_t32" style="position:absolute;margin-left:85pt;margin-top:498.75pt;width:0;height:36.3pt;z-index:251672576;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">
                <v:stroke endarrow="block"/>
              </v:shape>
            </w:pict>
          </mc:Fallback>
        </mc:AlternateContent>
      </w:r>
      <w:r w:rsidRPr="00322179">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44F92517" wp14:editId="2510B148">
                <wp:simplePos x="0" y="0"/>
                <wp:positionH relativeFrom="column">
                  <wp:posOffset>-417830</wp:posOffset>
                </wp:positionH>
                <wp:positionV relativeFrom="paragraph">
                  <wp:posOffset>6785610</wp:posOffset>
                </wp:positionV>
                <wp:extent cx="2843530" cy="742950"/>
                <wp:effectExtent l="10795" t="13970" r="12700" b="5080"/>
                <wp:wrapNone/>
                <wp:docPr id="1039" name="Rectangle 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ln>
                      </wps:spPr>
                      <wps:txbx>
                        <w:txbxContent>
                          <w:p w14:paraId="45E16B38" w14:textId="77777777" w:rsidR="00A65987" w:rsidRDefault="00A65987" w:rsidP="00A65987">
                            <w:pPr>
                              <w:rPr>
                                <w:rFonts w:cs="Calibri"/>
                              </w:rPr>
                            </w:pPr>
                            <w:r>
                              <w:rPr>
                                <w:rFonts w:ascii="Arial" w:hAnsi="Arial" w:cs="Arial"/>
                                <w:sz w:val="20"/>
                                <w:szCs w:val="20"/>
                                <w:lang w:val="en-CA"/>
                              </w:rPr>
                              <w:t>Analysed (n= 43)</w:t>
                            </w:r>
                            <w:r>
                              <w:rPr>
                                <w:rFonts w:ascii="Arial" w:hAnsi="Arial" w:cs="Arial"/>
                                <w:sz w:val="20"/>
                                <w:szCs w:val="20"/>
                                <w:lang w:val="en-CA"/>
                              </w:rPr>
                              <w:br/>
                            </w:r>
                            <w:r>
                              <w:rPr>
                                <w:rFonts w:ascii="Symbol" w:hAnsi="Symbol"/>
                                <w:sz w:val="16"/>
                                <w:szCs w:val="16"/>
                                <w:lang w:val="zh-CN"/>
                              </w:rPr>
                              <w:t></w:t>
                            </w:r>
                            <w:r>
                              <w:t> </w:t>
                            </w:r>
                            <w:r>
                              <w:rPr>
                                <w:rFonts w:ascii="Arial" w:hAnsi="Arial" w:cs="Arial"/>
                                <w:sz w:val="20"/>
                                <w:szCs w:val="20"/>
                                <w:lang w:val="en-CA"/>
                              </w:rPr>
                              <w:t>Excluded from analysis (n= 0)</w:t>
                            </w:r>
                          </w:p>
                        </w:txbxContent>
                      </wps:txbx>
                      <wps:bodyPr rot="0" vert="horz" wrap="square" lIns="91440" tIns="91440" rIns="91440" bIns="91440" anchor="t" anchorCtr="0" upright="1">
                        <a:noAutofit/>
                      </wps:bodyPr>
                    </wps:wsp>
                  </a:graphicData>
                </a:graphic>
              </wp:anchor>
            </w:drawing>
          </mc:Choice>
          <mc:Fallback>
            <w:pict>
              <v:rect w14:anchorId="44F92517" id="Rectangle 1039" o:spid="_x0000_s1030" style="position:absolute;margin-left:-32.9pt;margin-top:534.3pt;width:223.9pt;height:5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">
                <v:textbox inset=",7.2pt,,7.2pt">
                  <w:txbxContent>
                    <w:p w14:paraId="45E16B38" w14:textId="77777777" w:rsidR="00A65987" w:rsidRDefault="00A65987" w:rsidP="00A65987">
                      <w:pPr>
                        <w:rPr>
                          <w:rFonts w:cs="Calibri"/>
                        </w:rPr>
                      </w:pPr>
                      <w:r>
                        <w:rPr>
                          <w:rFonts w:ascii="Arial" w:hAnsi="Arial" w:cs="Arial"/>
                          <w:sz w:val="20"/>
                          <w:szCs w:val="20"/>
                          <w:lang w:val="en-CA"/>
                        </w:rPr>
                        <w:t>Analysed (n= 43)</w:t>
                      </w:r>
                      <w:r>
                        <w:rPr>
                          <w:rFonts w:ascii="Arial" w:hAnsi="Arial" w:cs="Arial"/>
                          <w:sz w:val="20"/>
                          <w:szCs w:val="20"/>
                          <w:lang w:val="en-CA"/>
                        </w:rPr>
                        <w:br/>
                      </w:r>
                      <w:r>
                        <w:rPr>
                          <w:rFonts w:ascii="Symbol" w:hAnsi="Symbol"/>
                          <w:sz w:val="16"/>
                          <w:szCs w:val="16"/>
                          <w:lang w:val="zh-CN"/>
                        </w:rPr>
                        <w:t></w:t>
                      </w:r>
                      <w:r>
                        <w:t> </w:t>
                      </w:r>
                      <w:r>
                        <w:rPr>
                          <w:rFonts w:ascii="Arial" w:hAnsi="Arial" w:cs="Arial"/>
                          <w:sz w:val="20"/>
                          <w:szCs w:val="20"/>
                          <w:lang w:val="en-CA"/>
                        </w:rPr>
                        <w:t>Excluded from analysis (n= 0)</w:t>
                      </w:r>
                    </w:p>
                  </w:txbxContent>
                </v:textbox>
              </v:rect>
            </w:pict>
          </mc:Fallback>
        </mc:AlternateContent>
      </w:r>
      <w:r w:rsidRPr="00322179">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0C6DED67" wp14:editId="70393E83">
                <wp:simplePos x="0" y="0"/>
                <wp:positionH relativeFrom="column">
                  <wp:posOffset>3829050</wp:posOffset>
                </wp:positionH>
                <wp:positionV relativeFrom="paragraph">
                  <wp:posOffset>1466215</wp:posOffset>
                </wp:positionV>
                <wp:extent cx="2533650" cy="914400"/>
                <wp:effectExtent l="9525" t="9525" r="9525" b="9525"/>
                <wp:wrapNone/>
                <wp:docPr id="1040" name="Rectangle 1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914400"/>
                        </a:xfrm>
                        <a:prstGeom prst="rect">
                          <a:avLst/>
                        </a:prstGeom>
                        <a:solidFill>
                          <a:srgbClr val="FFFFFF"/>
                        </a:solidFill>
                        <a:ln w="9525">
                          <a:solidFill>
                            <a:srgbClr val="000000"/>
                          </a:solidFill>
                          <a:miter lim="800000"/>
                        </a:ln>
                      </wps:spPr>
                      <wps:txbx>
                        <w:txbxContent>
                          <w:p w14:paraId="37ED11DC" w14:textId="77777777" w:rsidR="00A65987" w:rsidRDefault="00A65987" w:rsidP="00A65987">
                            <w:pPr>
                              <w:spacing w:after="0"/>
                              <w:rPr>
                                <w:rFonts w:ascii="Arial" w:hAnsi="Arial" w:cs="Arial"/>
                                <w:sz w:val="20"/>
                                <w:szCs w:val="20"/>
                                <w:lang w:val="en-CA"/>
                              </w:rPr>
                            </w:pPr>
                            <w:r>
                              <w:rPr>
                                <w:rFonts w:ascii="Arial" w:hAnsi="Arial" w:cs="Arial"/>
                                <w:sz w:val="20"/>
                                <w:szCs w:val="20"/>
                                <w:lang w:val="en-CA"/>
                              </w:rPr>
                              <w:t>Excluded (n= 0)</w:t>
                            </w:r>
                          </w:p>
                          <w:p w14:paraId="1CD2E4B0" w14:textId="77777777" w:rsidR="00A65987" w:rsidRDefault="00A65987" w:rsidP="00A65987">
                            <w:pPr>
                              <w:spacing w:after="0"/>
                              <w:ind w:left="360" w:hanging="360"/>
                              <w:rPr>
                                <w:rFonts w:ascii="Arial" w:hAnsi="Arial" w:cs="Arial"/>
                                <w:sz w:val="20"/>
                                <w:szCs w:val="20"/>
                                <w:lang w:val="en-CA"/>
                              </w:rPr>
                            </w:pPr>
                            <w:r>
                              <w:rPr>
                                <w:rFonts w:ascii="Symbol" w:hAnsi="Symbol"/>
                                <w:sz w:val="16"/>
                                <w:szCs w:val="16"/>
                                <w:lang w:val="zh-CN"/>
                              </w:rPr>
                              <w:t></w:t>
                            </w:r>
                            <w:r>
                              <w:rPr>
                                <w:sz w:val="16"/>
                                <w:szCs w:val="16"/>
                              </w:rPr>
                              <w:t> </w:t>
                            </w:r>
                            <w:r>
                              <w:rPr>
                                <w:rFonts w:cs="Calibri"/>
                                <w:sz w:val="16"/>
                                <w:szCs w:val="16"/>
                                <w:lang w:val="en-CA"/>
                              </w:rPr>
                              <w:t xml:space="preserve">  </w:t>
                            </w:r>
                            <w:r>
                              <w:rPr>
                                <w:rFonts w:ascii="Arial" w:hAnsi="Arial" w:cs="Arial"/>
                                <w:sz w:val="20"/>
                                <w:szCs w:val="20"/>
                                <w:lang w:val="en-CA"/>
                              </w:rPr>
                              <w:t>Not meeting inclusion criteria (n= 0)</w:t>
                            </w:r>
                          </w:p>
                          <w:p w14:paraId="619BFD84" w14:textId="77777777" w:rsidR="00A65987" w:rsidRDefault="00A65987" w:rsidP="00A65987">
                            <w:pPr>
                              <w:spacing w:after="0"/>
                              <w:ind w:left="360" w:hanging="360"/>
                              <w:rPr>
                                <w:rFonts w:ascii="Arial" w:hAnsi="Arial" w:cs="Arial"/>
                                <w:sz w:val="20"/>
                                <w:szCs w:val="20"/>
                                <w:lang w:val="en-CA"/>
                              </w:rPr>
                            </w:pPr>
                            <w:r>
                              <w:rPr>
                                <w:rFonts w:ascii="Symbol" w:hAnsi="Symbol"/>
                                <w:sz w:val="16"/>
                                <w:szCs w:val="16"/>
                                <w:lang w:val="zh-CN"/>
                              </w:rPr>
                              <w:t></w:t>
                            </w:r>
                            <w:r>
                              <w:rPr>
                                <w:sz w:val="16"/>
                                <w:szCs w:val="16"/>
                              </w:rPr>
                              <w:t> </w:t>
                            </w:r>
                            <w:r>
                              <w:rPr>
                                <w:rFonts w:cs="Calibri"/>
                                <w:sz w:val="16"/>
                                <w:szCs w:val="16"/>
                                <w:lang w:val="en-CA"/>
                              </w:rPr>
                              <w:t xml:space="preserve">  </w:t>
                            </w:r>
                            <w:r>
                              <w:rPr>
                                <w:rFonts w:ascii="Arial" w:hAnsi="Arial" w:cs="Arial"/>
                                <w:sz w:val="20"/>
                                <w:szCs w:val="20"/>
                                <w:lang w:val="en-CA"/>
                              </w:rPr>
                              <w:t>Declined to participate (n= 0)</w:t>
                            </w:r>
                          </w:p>
                          <w:p w14:paraId="38599908" w14:textId="77777777" w:rsidR="00A65987" w:rsidRDefault="00A65987" w:rsidP="00A65987">
                            <w:pPr>
                              <w:spacing w:after="0"/>
                              <w:ind w:left="360" w:hanging="360"/>
                              <w:rPr>
                                <w:rFonts w:ascii="Arial" w:hAnsi="Arial" w:cs="Arial"/>
                                <w:sz w:val="20"/>
                                <w:szCs w:val="20"/>
                              </w:rPr>
                            </w:pPr>
                            <w:r>
                              <w:rPr>
                                <w:rFonts w:ascii="Symbol" w:hAnsi="Symbol"/>
                                <w:sz w:val="16"/>
                                <w:szCs w:val="16"/>
                                <w:lang w:val="zh-CN"/>
                              </w:rPr>
                              <w:t></w:t>
                            </w:r>
                            <w:r>
                              <w:rPr>
                                <w:sz w:val="16"/>
                                <w:szCs w:val="16"/>
                              </w:rPr>
                              <w:t> </w:t>
                            </w:r>
                            <w:r>
                              <w:rPr>
                                <w:rFonts w:cs="Calibri"/>
                                <w:sz w:val="16"/>
                                <w:szCs w:val="16"/>
                                <w:lang w:val="en-CA"/>
                              </w:rPr>
                              <w:t xml:space="preserve"> </w:t>
                            </w:r>
                            <w:r>
                              <w:rPr>
                                <w:rFonts w:cs="Calibri"/>
                                <w:sz w:val="20"/>
                                <w:szCs w:val="20"/>
                                <w:lang w:val="en-CA"/>
                              </w:rPr>
                              <w:t xml:space="preserve"> </w:t>
                            </w:r>
                            <w:r>
                              <w:rPr>
                                <w:rFonts w:ascii="Arial" w:hAnsi="Arial" w:cs="Arial"/>
                                <w:sz w:val="20"/>
                                <w:szCs w:val="20"/>
                                <w:lang w:val="en-CA"/>
                              </w:rPr>
                              <w:t xml:space="preserve">Other reasons (n= </w:t>
                            </w:r>
                            <w:r>
                              <w:rPr>
                                <w:rFonts w:ascii="Times New Roman" w:hAnsi="Times New Roman" w:cs="Times New Roman"/>
                                <w:bCs/>
                              </w:rPr>
                              <w:t>0</w:t>
                            </w:r>
                            <w:r>
                              <w:rPr>
                                <w:rFonts w:ascii="Arial" w:hAnsi="Arial" w:cs="Arial"/>
                                <w:sz w:val="20"/>
                                <w:szCs w:val="20"/>
                                <w:lang w:val="en-CA"/>
                              </w:rPr>
                              <w:t>)</w:t>
                            </w:r>
                          </w:p>
                        </w:txbxContent>
                      </wps:txbx>
                      <wps:bodyPr rot="0" vert="horz" wrap="square" lIns="91440" tIns="91440" rIns="91440" bIns="91440" anchor="t" anchorCtr="0" upright="1">
                        <a:noAutofit/>
                      </wps:bodyPr>
                    </wps:wsp>
                  </a:graphicData>
                </a:graphic>
              </wp:anchor>
            </w:drawing>
          </mc:Choice>
          <mc:Fallback>
            <w:pict>
              <v:rect w14:anchorId="0C6DED67" id="Rectangle 1040" o:spid="_x0000_s1031" style="position:absolute;margin-left:301.5pt;margin-top:115.45pt;width:199.5pt;height:1in;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">
                <v:textbox inset=",7.2pt,,7.2pt">
                  <w:txbxContent>
                    <w:p w14:paraId="37ED11DC" w14:textId="77777777" w:rsidR="00A65987" w:rsidRDefault="00A65987" w:rsidP="00A65987">
                      <w:pPr>
                        <w:spacing w:after="0"/>
                        <w:rPr>
                          <w:rFonts w:ascii="Arial" w:hAnsi="Arial" w:cs="Arial"/>
                          <w:sz w:val="20"/>
                          <w:szCs w:val="20"/>
                          <w:lang w:val="en-CA"/>
                        </w:rPr>
                      </w:pPr>
                      <w:r>
                        <w:rPr>
                          <w:rFonts w:ascii="Arial" w:hAnsi="Arial" w:cs="Arial"/>
                          <w:sz w:val="20"/>
                          <w:szCs w:val="20"/>
                          <w:lang w:val="en-CA"/>
                        </w:rPr>
                        <w:t>Excluded (n= 0)</w:t>
                      </w:r>
                    </w:p>
                    <w:p w14:paraId="1CD2E4B0" w14:textId="77777777" w:rsidR="00A65987" w:rsidRDefault="00A65987" w:rsidP="00A65987">
                      <w:pPr>
                        <w:spacing w:after="0"/>
                        <w:ind w:left="360" w:hanging="360"/>
                        <w:rPr>
                          <w:rFonts w:ascii="Arial" w:hAnsi="Arial" w:cs="Arial"/>
                          <w:sz w:val="20"/>
                          <w:szCs w:val="20"/>
                          <w:lang w:val="en-CA"/>
                        </w:rPr>
                      </w:pPr>
                      <w:r>
                        <w:rPr>
                          <w:rFonts w:ascii="Symbol" w:hAnsi="Symbol"/>
                          <w:sz w:val="16"/>
                          <w:szCs w:val="16"/>
                          <w:lang w:val="zh-CN"/>
                        </w:rPr>
                        <w:t></w:t>
                      </w:r>
                      <w:r>
                        <w:rPr>
                          <w:sz w:val="16"/>
                          <w:szCs w:val="16"/>
                        </w:rPr>
                        <w:t> </w:t>
                      </w:r>
                      <w:r>
                        <w:rPr>
                          <w:rFonts w:cs="Calibri"/>
                          <w:sz w:val="16"/>
                          <w:szCs w:val="16"/>
                          <w:lang w:val="en-CA"/>
                        </w:rPr>
                        <w:t xml:space="preserve">  </w:t>
                      </w:r>
                      <w:r>
                        <w:rPr>
                          <w:rFonts w:ascii="Arial" w:hAnsi="Arial" w:cs="Arial"/>
                          <w:sz w:val="20"/>
                          <w:szCs w:val="20"/>
                          <w:lang w:val="en-CA"/>
                        </w:rPr>
                        <w:t>Not meeting inclusion criteria (n= 0)</w:t>
                      </w:r>
                    </w:p>
                    <w:p w14:paraId="619BFD84" w14:textId="77777777" w:rsidR="00A65987" w:rsidRDefault="00A65987" w:rsidP="00A65987">
                      <w:pPr>
                        <w:spacing w:after="0"/>
                        <w:ind w:left="360" w:hanging="360"/>
                        <w:rPr>
                          <w:rFonts w:ascii="Arial" w:hAnsi="Arial" w:cs="Arial"/>
                          <w:sz w:val="20"/>
                          <w:szCs w:val="20"/>
                          <w:lang w:val="en-CA"/>
                        </w:rPr>
                      </w:pPr>
                      <w:r>
                        <w:rPr>
                          <w:rFonts w:ascii="Symbol" w:hAnsi="Symbol"/>
                          <w:sz w:val="16"/>
                          <w:szCs w:val="16"/>
                          <w:lang w:val="zh-CN"/>
                        </w:rPr>
                        <w:t></w:t>
                      </w:r>
                      <w:r>
                        <w:rPr>
                          <w:sz w:val="16"/>
                          <w:szCs w:val="16"/>
                        </w:rPr>
                        <w:t> </w:t>
                      </w:r>
                      <w:r>
                        <w:rPr>
                          <w:rFonts w:cs="Calibri"/>
                          <w:sz w:val="16"/>
                          <w:szCs w:val="16"/>
                          <w:lang w:val="en-CA"/>
                        </w:rPr>
                        <w:t xml:space="preserve">  </w:t>
                      </w:r>
                      <w:r>
                        <w:rPr>
                          <w:rFonts w:ascii="Arial" w:hAnsi="Arial" w:cs="Arial"/>
                          <w:sz w:val="20"/>
                          <w:szCs w:val="20"/>
                          <w:lang w:val="en-CA"/>
                        </w:rPr>
                        <w:t>Declined to participate (n= 0)</w:t>
                      </w:r>
                    </w:p>
                    <w:p w14:paraId="38599908" w14:textId="77777777" w:rsidR="00A65987" w:rsidRDefault="00A65987" w:rsidP="00A65987">
                      <w:pPr>
                        <w:spacing w:after="0"/>
                        <w:ind w:left="360" w:hanging="360"/>
                        <w:rPr>
                          <w:rFonts w:ascii="Arial" w:hAnsi="Arial" w:cs="Arial"/>
                          <w:sz w:val="20"/>
                          <w:szCs w:val="20"/>
                        </w:rPr>
                      </w:pPr>
                      <w:r>
                        <w:rPr>
                          <w:rFonts w:ascii="Symbol" w:hAnsi="Symbol"/>
                          <w:sz w:val="16"/>
                          <w:szCs w:val="16"/>
                          <w:lang w:val="zh-CN"/>
                        </w:rPr>
                        <w:t></w:t>
                      </w:r>
                      <w:r>
                        <w:rPr>
                          <w:sz w:val="16"/>
                          <w:szCs w:val="16"/>
                        </w:rPr>
                        <w:t> </w:t>
                      </w:r>
                      <w:r>
                        <w:rPr>
                          <w:rFonts w:cs="Calibri"/>
                          <w:sz w:val="16"/>
                          <w:szCs w:val="16"/>
                          <w:lang w:val="en-CA"/>
                        </w:rPr>
                        <w:t xml:space="preserve"> </w:t>
                      </w:r>
                      <w:r>
                        <w:rPr>
                          <w:rFonts w:cs="Calibri"/>
                          <w:sz w:val="20"/>
                          <w:szCs w:val="20"/>
                          <w:lang w:val="en-CA"/>
                        </w:rPr>
                        <w:t xml:space="preserve"> </w:t>
                      </w:r>
                      <w:r>
                        <w:rPr>
                          <w:rFonts w:ascii="Arial" w:hAnsi="Arial" w:cs="Arial"/>
                          <w:sz w:val="20"/>
                          <w:szCs w:val="20"/>
                          <w:lang w:val="en-CA"/>
                        </w:rPr>
                        <w:t xml:space="preserve">Other reasons (n= </w:t>
                      </w:r>
                      <w:r>
                        <w:rPr>
                          <w:rFonts w:ascii="Times New Roman" w:hAnsi="Times New Roman" w:cs="Times New Roman"/>
                          <w:bCs/>
                        </w:rPr>
                        <w:t>0</w:t>
                      </w:r>
                      <w:r>
                        <w:rPr>
                          <w:rFonts w:ascii="Arial" w:hAnsi="Arial" w:cs="Arial"/>
                          <w:sz w:val="20"/>
                          <w:szCs w:val="20"/>
                          <w:lang w:val="en-CA"/>
                        </w:rPr>
                        <w:t>)</w:t>
                      </w:r>
                    </w:p>
                  </w:txbxContent>
                </v:textbox>
              </v:rect>
            </w:pict>
          </mc:Fallback>
        </mc:AlternateContent>
      </w:r>
      <w:r w:rsidRPr="00322179">
        <w:rPr>
          <w:rFonts w:ascii="Times New Roman" w:hAnsi="Times New Roman" w:cs="Times New Roman"/>
          <w:b/>
          <w:noProof/>
        </w:rPr>
        <mc:AlternateContent>
          <mc:Choice Requires="wps">
            <w:drawing>
              <wp:anchor distT="0" distB="0" distL="114300" distR="114300" simplePos="0" relativeHeight="251679744" behindDoc="0" locked="0" layoutInCell="1" allowOverlap="1" wp14:anchorId="5F202D56" wp14:editId="70781EEC">
                <wp:simplePos x="0" y="0"/>
                <wp:positionH relativeFrom="column">
                  <wp:posOffset>-291465</wp:posOffset>
                </wp:positionH>
                <wp:positionV relativeFrom="paragraph">
                  <wp:posOffset>871220</wp:posOffset>
                </wp:positionV>
                <wp:extent cx="1547495" cy="323215"/>
                <wp:effectExtent l="13335" t="5080" r="10795" b="5080"/>
                <wp:wrapNone/>
                <wp:docPr id="1041"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23215"/>
                        </a:xfrm>
                        <a:prstGeom prst="roundRect">
                          <a:avLst>
                            <a:gd name="adj" fmla="val 16667"/>
                          </a:avLst>
                        </a:prstGeom>
                        <a:solidFill>
                          <a:srgbClr val="A9C7FD"/>
                        </a:solidFill>
                        <a:ln w="9525">
                          <a:solidFill>
                            <a:srgbClr val="000000"/>
                          </a:solidFill>
                          <a:round/>
                        </a:ln>
                      </wps:spPr>
                      <wps:txbx>
                        <w:txbxContent>
                          <w:p w14:paraId="0C51FC7D" w14:textId="77777777" w:rsidR="00A65987" w:rsidRDefault="00A65987" w:rsidP="00A65987">
                            <w:pPr>
                              <w:pStyle w:val="Heading21"/>
                              <w:spacing w:before="0"/>
                              <w:jc w:val="center"/>
                              <w:rPr>
                                <w:rFonts w:ascii="Candara" w:hAnsi="Candara"/>
                              </w:rPr>
                            </w:pPr>
                            <w:r>
                              <w:rPr>
                                <w:rFonts w:ascii="Candara" w:hAnsi="Candara"/>
                              </w:rPr>
                              <w:t>Enrollment</w:t>
                            </w:r>
                          </w:p>
                        </w:txbxContent>
                      </wps:txbx>
                      <wps:bodyPr rot="0" vert="horz" wrap="square" lIns="45720" tIns="45720" rIns="45720" bIns="45720" anchor="t" anchorCtr="0" upright="1">
                        <a:noAutofit/>
                      </wps:bodyPr>
                    </wps:wsp>
                  </a:graphicData>
                </a:graphic>
              </wp:anchor>
            </w:drawing>
          </mc:Choice>
          <mc:Fallback>
            <w:pict>
              <v:roundrect w14:anchorId="5F202D56" id="Rectangle: Rounded Corners 7" o:spid="_x0000_s1032" style="position:absolute;margin-left:-22.95pt;margin-top:68.6pt;width:121.85pt;height:25.45pt;z-index:2516797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" fillcolor="#a9c7fd">
                <v:textbox inset="3.6pt,,3.6pt">
                  <w:txbxContent>
                    <w:p w14:paraId="0C51FC7D" w14:textId="77777777" w:rsidR="00A65987" w:rsidRDefault="00A65987" w:rsidP="00A65987">
                      <w:pPr>
                        <w:pStyle w:val="Heading21"/>
                        <w:spacing w:before="0"/>
                        <w:jc w:val="center"/>
                        <w:rPr>
                          <w:rFonts w:ascii="Candara" w:hAnsi="Candara"/>
                        </w:rPr>
                      </w:pPr>
                      <w:r>
                        <w:rPr>
                          <w:rFonts w:ascii="Candara" w:hAnsi="Candara"/>
                        </w:rPr>
                        <w:t>Enrollment</w:t>
                      </w:r>
                    </w:p>
                  </w:txbxContent>
                </v:textbox>
              </v:roundrect>
            </w:pict>
          </mc:Fallback>
        </mc:AlternateContent>
      </w:r>
      <w:r w:rsidRPr="00322179">
        <w:rPr>
          <w:rFonts w:ascii="Times New Roman" w:hAnsi="Times New Roman" w:cs="Times New Roman"/>
          <w:b/>
          <w:noProof/>
        </w:rPr>
        <mc:AlternateContent>
          <mc:Choice Requires="wps">
            <w:drawing>
              <wp:anchor distT="36195" distB="36195" distL="36195" distR="36195" simplePos="0" relativeHeight="251674624" behindDoc="0" locked="0" layoutInCell="1" allowOverlap="1" wp14:anchorId="4B47260A" wp14:editId="038B3377">
                <wp:simplePos x="0" y="0"/>
                <wp:positionH relativeFrom="column">
                  <wp:posOffset>1052195</wp:posOffset>
                </wp:positionH>
                <wp:positionV relativeFrom="paragraph">
                  <wp:posOffset>3080385</wp:posOffset>
                </wp:positionV>
                <wp:extent cx="2331720" cy="400050"/>
                <wp:effectExtent l="61595" t="13970" r="6985" b="14605"/>
                <wp:wrapNone/>
                <wp:docPr id="1042" name="Connector: Elbow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31720" cy="400050"/>
                        </a:xfrm>
                        <a:prstGeom prst="bentConnector2">
                          <a:avLst/>
                        </a:prstGeom>
                        <a:noFill/>
                        <a:ln w="9525">
                          <a:solidFill>
                            <a:srgbClr val="000000"/>
                          </a:solidFill>
                          <a:miter lim="800000"/>
                          <a:tailEnd type="triangle" w="med" len="me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55E9F60" id="_x0000_t33" coordsize="21600,21600" o:spt="33" o:oned="t" path="m,l21600,r,21600e" filled="f">
                <v:stroke joinstyle="miter"/>
                <v:path arrowok="t" fillok="f" o:connecttype="none"/>
                <o:lock v:ext="edit" shapetype="t"/>
              </v:shapetype>
              <v:shape id="Connector: Elbow 6" o:spid="_x0000_s1026" type="#_x0000_t33" style="position:absolute;margin-left:82.85pt;margin-top:242.55pt;width:183.6pt;height:31.5pt;rotation:180;flip:y;z-index:251674624;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">
                <v:stroke endarrow="block"/>
              </v:shape>
            </w:pict>
          </mc:Fallback>
        </mc:AlternateContent>
      </w:r>
      <w:r w:rsidRPr="00322179">
        <w:rPr>
          <w:rFonts w:ascii="Times New Roman" w:hAnsi="Times New Roman" w:cs="Times New Roman"/>
          <w:b/>
          <w:noProof/>
        </w:rPr>
        <mc:AlternateContent>
          <mc:Choice Requires="wps">
            <w:drawing>
              <wp:anchor distT="36195" distB="36195" distL="36195" distR="36195" simplePos="0" relativeHeight="251678720" behindDoc="0" locked="0" layoutInCell="1" allowOverlap="1" wp14:anchorId="0E4209F1" wp14:editId="16840E63">
                <wp:simplePos x="0" y="0"/>
                <wp:positionH relativeFrom="column">
                  <wp:posOffset>3172460</wp:posOffset>
                </wp:positionH>
                <wp:positionV relativeFrom="paragraph">
                  <wp:posOffset>1923415</wp:posOffset>
                </wp:positionV>
                <wp:extent cx="656590" cy="635"/>
                <wp:effectExtent l="10160" t="57150" r="19050" b="56515"/>
                <wp:wrapNone/>
                <wp:docPr id="1043" name="Straight Arrow Connector 10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635"/>
                        </a:xfrm>
                        <a:prstGeom prst="straightConnector1">
                          <a:avLst/>
                        </a:prstGeom>
                        <a:noFill/>
                        <a:ln w="9525">
                          <a:solidFill>
                            <a:srgbClr val="000000"/>
                          </a:solidFill>
                          <a:round/>
                          <a:tailEnd type="triangle" w="med" len="me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E5AB73" id="Straight Arrow Connector 1043" o:spid="_x0000_s1026" type="#_x0000_t32" style="position:absolute;margin-left:249.8pt;margin-top:151.45pt;width:51.7pt;height:.05pt;z-index:251678720;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">
                <v:stroke endarrow="block"/>
              </v:shape>
            </w:pict>
          </mc:Fallback>
        </mc:AlternateContent>
      </w:r>
      <w:r w:rsidRPr="00322179">
        <w:rPr>
          <w:rFonts w:ascii="Times New Roman" w:hAnsi="Times New Roman" w:cs="Times New Roman"/>
          <w:b/>
          <w:noProof/>
        </w:rPr>
        <mc:AlternateContent>
          <mc:Choice Requires="wps">
            <w:drawing>
              <wp:anchor distT="36195" distB="36195" distL="36195" distR="36195" simplePos="0" relativeHeight="251676672" behindDoc="0" locked="0" layoutInCell="1" allowOverlap="1" wp14:anchorId="6328A967" wp14:editId="29F7D286">
                <wp:simplePos x="0" y="0"/>
                <wp:positionH relativeFrom="column">
                  <wp:posOffset>3171825</wp:posOffset>
                </wp:positionH>
                <wp:positionV relativeFrom="paragraph">
                  <wp:posOffset>1349375</wp:posOffset>
                </wp:positionV>
                <wp:extent cx="635" cy="1732915"/>
                <wp:effectExtent l="57150" t="6985" r="56515" b="22225"/>
                <wp:wrapNone/>
                <wp:docPr id="1044" name="Straight Arrow Connector 1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2915"/>
                        </a:xfrm>
                        <a:prstGeom prst="straightConnector1">
                          <a:avLst/>
                        </a:prstGeom>
                        <a:noFill/>
                        <a:ln w="9525">
                          <a:solidFill>
                            <a:srgbClr val="000000"/>
                          </a:solidFill>
                          <a:round/>
                          <a:tailEnd type="triangle" w="med" len="me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2931E5" id="Straight Arrow Connector 1044" o:spid="_x0000_s1026" type="#_x0000_t32" style="position:absolute;margin-left:249.75pt;margin-top:106.25pt;width:.05pt;height:136.45pt;z-index:251676672;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">
                <v:stroke endarrow="block"/>
              </v:shape>
            </w:pict>
          </mc:Fallback>
        </mc:AlternateContent>
      </w:r>
      <w:r w:rsidRPr="00322179">
        <w:rPr>
          <w:rFonts w:ascii="Times New Roman" w:hAnsi="Times New Roman" w:cs="Times New Roman"/>
          <w:b/>
          <w:noProof/>
        </w:rPr>
        <mc:AlternateContent>
          <mc:Choice Requires="wps">
            <w:drawing>
              <wp:anchor distT="0" distB="0" distL="114300" distR="114300" simplePos="0" relativeHeight="251677696" behindDoc="0" locked="0" layoutInCell="1" allowOverlap="1" wp14:anchorId="23542D0F" wp14:editId="6F514BC6">
                <wp:simplePos x="0" y="0"/>
                <wp:positionH relativeFrom="column">
                  <wp:posOffset>2400300</wp:posOffset>
                </wp:positionH>
                <wp:positionV relativeFrom="paragraph">
                  <wp:posOffset>2493645</wp:posOffset>
                </wp:positionV>
                <wp:extent cx="1611630" cy="342900"/>
                <wp:effectExtent l="9525" t="8255" r="7620" b="10795"/>
                <wp:wrapNone/>
                <wp:docPr id="104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342900"/>
                        </a:xfrm>
                        <a:prstGeom prst="rect">
                          <a:avLst/>
                        </a:prstGeom>
                        <a:solidFill>
                          <a:srgbClr val="FFFFFF"/>
                        </a:solidFill>
                        <a:ln w="9525">
                          <a:solidFill>
                            <a:srgbClr val="000000"/>
                          </a:solidFill>
                          <a:miter lim="800000"/>
                        </a:ln>
                      </wps:spPr>
                      <wps:txbx>
                        <w:txbxContent>
                          <w:p w14:paraId="5A862389" w14:textId="77777777" w:rsidR="00A65987" w:rsidRDefault="00A65987" w:rsidP="00A65987">
                            <w:pPr>
                              <w:widowControl w:val="0"/>
                              <w:jc w:val="center"/>
                              <w:rPr>
                                <w:rFonts w:ascii="Arial" w:hAnsi="Arial" w:cs="Arial"/>
                                <w:sz w:val="20"/>
                                <w:szCs w:val="20"/>
                              </w:rPr>
                            </w:pPr>
                            <w:r>
                              <w:rPr>
                                <w:rFonts w:ascii="Arial" w:hAnsi="Arial" w:cs="Arial"/>
                                <w:sz w:val="20"/>
                                <w:szCs w:val="20"/>
                                <w:lang w:val="en-CA"/>
                              </w:rPr>
                              <w:t>Randomized (n= 86)</w:t>
                            </w:r>
                          </w:p>
                        </w:txbxContent>
                      </wps:txbx>
                      <wps:bodyPr rot="0" vert="horz" wrap="square" lIns="91440" tIns="91440" rIns="91440" bIns="91440" anchor="t" anchorCtr="0" upright="1">
                        <a:noAutofit/>
                      </wps:bodyPr>
                    </wps:wsp>
                  </a:graphicData>
                </a:graphic>
              </wp:anchor>
            </w:drawing>
          </mc:Choice>
          <mc:Fallback>
            <w:pict>
              <v:rect w14:anchorId="23542D0F" id="Rectangle 1045" o:spid="_x0000_s1033" style="position:absolute;margin-left:189pt;margin-top:196.35pt;width:126.9pt;height:2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">
                <v:textbox inset=",7.2pt,,7.2pt">
                  <w:txbxContent>
                    <w:p w14:paraId="5A862389" w14:textId="77777777" w:rsidR="00A65987" w:rsidRDefault="00A65987" w:rsidP="00A65987">
                      <w:pPr>
                        <w:widowControl w:val="0"/>
                        <w:jc w:val="center"/>
                        <w:rPr>
                          <w:rFonts w:ascii="Arial" w:hAnsi="Arial" w:cs="Arial"/>
                          <w:sz w:val="20"/>
                          <w:szCs w:val="20"/>
                        </w:rPr>
                      </w:pPr>
                      <w:r>
                        <w:rPr>
                          <w:rFonts w:ascii="Arial" w:hAnsi="Arial" w:cs="Arial"/>
                          <w:sz w:val="20"/>
                          <w:szCs w:val="20"/>
                          <w:lang w:val="en-CA"/>
                        </w:rPr>
                        <w:t>Randomized (n= 86)</w:t>
                      </w:r>
                    </w:p>
                  </w:txbxContent>
                </v:textbox>
              </v:rect>
            </w:pict>
          </mc:Fallback>
        </mc:AlternateContent>
      </w:r>
      <w:r w:rsidRPr="00322179">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1CD4D508" wp14:editId="2BFD4F2D">
                <wp:simplePos x="0" y="0"/>
                <wp:positionH relativeFrom="column">
                  <wp:posOffset>2171700</wp:posOffset>
                </wp:positionH>
                <wp:positionV relativeFrom="paragraph">
                  <wp:posOffset>951865</wp:posOffset>
                </wp:positionV>
                <wp:extent cx="2000250" cy="397510"/>
                <wp:effectExtent l="9525" t="9525" r="9525" b="12065"/>
                <wp:wrapNone/>
                <wp:docPr id="1046" name="Rectangle 10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397510"/>
                        </a:xfrm>
                        <a:prstGeom prst="rect">
                          <a:avLst/>
                        </a:prstGeom>
                        <a:solidFill>
                          <a:srgbClr val="FFFFFF"/>
                        </a:solidFill>
                        <a:ln w="9525">
                          <a:solidFill>
                            <a:srgbClr val="000000"/>
                          </a:solidFill>
                          <a:miter lim="800000"/>
                        </a:ln>
                      </wps:spPr>
                      <wps:txbx>
                        <w:txbxContent>
                          <w:p w14:paraId="2634236B" w14:textId="77777777" w:rsidR="00A65987" w:rsidRDefault="00A65987" w:rsidP="00A65987">
                            <w:pPr>
                              <w:jc w:val="center"/>
                              <w:rPr>
                                <w:rFonts w:ascii="Arial" w:hAnsi="Arial" w:cs="Arial"/>
                                <w:sz w:val="20"/>
                                <w:szCs w:val="20"/>
                              </w:rPr>
                            </w:pPr>
                            <w:r>
                              <w:rPr>
                                <w:rFonts w:ascii="Arial" w:hAnsi="Arial" w:cs="Arial"/>
                                <w:sz w:val="20"/>
                                <w:szCs w:val="20"/>
                                <w:lang w:val="en-CA"/>
                              </w:rPr>
                              <w:t>Assessed for eligibility (n= 86)</w:t>
                            </w:r>
                          </w:p>
                        </w:txbxContent>
                      </wps:txbx>
                      <wps:bodyPr rot="0" vert="horz" wrap="square" lIns="91440" tIns="91440" rIns="91440" bIns="91440" anchor="t" anchorCtr="0" upright="1">
                        <a:noAutofit/>
                      </wps:bodyPr>
                    </wps:wsp>
                  </a:graphicData>
                </a:graphic>
              </wp:anchor>
            </w:drawing>
          </mc:Choice>
          <mc:Fallback>
            <w:pict>
              <v:rect w14:anchorId="1CD4D508" id="Rectangle 1046" o:spid="_x0000_s1034" style="position:absolute;margin-left:171pt;margin-top:74.95pt;width:157.5pt;height:31.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">
                <v:textbox inset=",7.2pt,,7.2pt">
                  <w:txbxContent>
                    <w:p w14:paraId="2634236B" w14:textId="77777777" w:rsidR="00A65987" w:rsidRDefault="00A65987" w:rsidP="00A65987">
                      <w:pPr>
                        <w:jc w:val="center"/>
                        <w:rPr>
                          <w:rFonts w:ascii="Arial" w:hAnsi="Arial" w:cs="Arial"/>
                          <w:sz w:val="20"/>
                          <w:szCs w:val="20"/>
                        </w:rPr>
                      </w:pPr>
                      <w:r>
                        <w:rPr>
                          <w:rFonts w:ascii="Arial" w:hAnsi="Arial" w:cs="Arial"/>
                          <w:sz w:val="20"/>
                          <w:szCs w:val="20"/>
                          <w:lang w:val="en-CA"/>
                        </w:rPr>
                        <w:t>Assessed for eligibility (n= 86)</w:t>
                      </w:r>
                    </w:p>
                  </w:txbxContent>
                </v:textbox>
              </v:rect>
            </w:pict>
          </mc:Fallback>
        </mc:AlternateContent>
      </w:r>
      <w:r w:rsidRPr="00322179">
        <w:rPr>
          <w:rFonts w:ascii="Times New Roman" w:hAnsi="Times New Roman" w:cs="Times New Roman"/>
          <w:b/>
          <w:noProof/>
        </w:rPr>
        <mc:AlternateContent>
          <mc:Choice Requires="wps">
            <w:drawing>
              <wp:anchor distT="36195" distB="36195" distL="36195" distR="36195" simplePos="0" relativeHeight="251675648" behindDoc="0" locked="0" layoutInCell="1" allowOverlap="1" wp14:anchorId="2FD33ED3" wp14:editId="561DF772">
                <wp:simplePos x="0" y="0"/>
                <wp:positionH relativeFrom="column">
                  <wp:posOffset>2689225</wp:posOffset>
                </wp:positionH>
                <wp:positionV relativeFrom="paragraph">
                  <wp:posOffset>3080385</wp:posOffset>
                </wp:positionV>
                <wp:extent cx="2331720" cy="400050"/>
                <wp:effectExtent l="12700" t="13970" r="55880" b="14605"/>
                <wp:wrapNone/>
                <wp:docPr id="1047" name="Connector: Elbow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400050"/>
                        </a:xfrm>
                        <a:prstGeom prst="bentConnector2">
                          <a:avLst/>
                        </a:prstGeom>
                        <a:noFill/>
                        <a:ln w="9525">
                          <a:solidFill>
                            <a:srgbClr val="000000"/>
                          </a:solidFill>
                          <a:miter lim="800000"/>
                          <a:tailEnd type="triangle" w="med" len="me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C2CAC1" id="Connector: Elbow 25" o:spid="_x0000_s1026" type="#_x0000_t33" style="position:absolute;margin-left:211.75pt;margin-top:242.55pt;width:183.6pt;height:31.5pt;z-index:251675648;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">
                <v:stroke endarrow="block"/>
              </v:shape>
            </w:pict>
          </mc:Fallback>
        </mc:AlternateContent>
      </w:r>
    </w:p>
    <w:p w14:paraId="1E3204E4" w14:textId="77777777" w:rsidR="00A65987" w:rsidRPr="00322179" w:rsidRDefault="00A65987" w:rsidP="00322179">
      <w:pPr>
        <w:spacing w:line="240" w:lineRule="auto"/>
        <w:jc w:val="center"/>
        <w:rPr>
          <w:rFonts w:ascii="Times New Roman" w:hAnsi="Times New Roman" w:cs="Times New Roman"/>
          <w:b/>
        </w:rPr>
      </w:pPr>
    </w:p>
    <w:p w14:paraId="7FF25021" w14:textId="77777777" w:rsidR="00A65987" w:rsidRPr="00322179" w:rsidRDefault="00A65987" w:rsidP="00322179">
      <w:pPr>
        <w:spacing w:line="240" w:lineRule="auto"/>
        <w:jc w:val="center"/>
        <w:rPr>
          <w:rFonts w:ascii="Times New Roman" w:hAnsi="Times New Roman" w:cs="Times New Roman"/>
          <w:b/>
        </w:rPr>
      </w:pPr>
    </w:p>
    <w:p w14:paraId="0DF8EFC3" w14:textId="77777777" w:rsidR="00A65987" w:rsidRPr="00322179" w:rsidRDefault="00A65987" w:rsidP="00322179">
      <w:pPr>
        <w:spacing w:line="240" w:lineRule="auto"/>
        <w:jc w:val="center"/>
        <w:rPr>
          <w:rFonts w:ascii="Times New Roman" w:hAnsi="Times New Roman" w:cs="Times New Roman"/>
          <w:b/>
        </w:rPr>
      </w:pPr>
    </w:p>
    <w:p w14:paraId="2212C35D" w14:textId="77777777" w:rsidR="00A65987" w:rsidRPr="00322179" w:rsidRDefault="00A65987" w:rsidP="00322179">
      <w:pPr>
        <w:spacing w:line="240" w:lineRule="auto"/>
        <w:jc w:val="center"/>
        <w:rPr>
          <w:rFonts w:ascii="Times New Roman" w:hAnsi="Times New Roman" w:cs="Times New Roman"/>
          <w:b/>
        </w:rPr>
      </w:pPr>
    </w:p>
    <w:p w14:paraId="44DD911D" w14:textId="77777777" w:rsidR="00A65987" w:rsidRPr="00322179" w:rsidRDefault="00A65987" w:rsidP="00322179">
      <w:pPr>
        <w:spacing w:line="240" w:lineRule="auto"/>
        <w:jc w:val="center"/>
        <w:rPr>
          <w:rFonts w:ascii="Times New Roman" w:hAnsi="Times New Roman" w:cs="Times New Roman"/>
          <w:b/>
        </w:rPr>
      </w:pPr>
    </w:p>
    <w:p w14:paraId="0314E692" w14:textId="77777777" w:rsidR="00A65987" w:rsidRPr="00322179" w:rsidRDefault="00A65987" w:rsidP="00322179">
      <w:pPr>
        <w:spacing w:line="240" w:lineRule="auto"/>
        <w:jc w:val="center"/>
        <w:rPr>
          <w:rFonts w:ascii="Times New Roman" w:hAnsi="Times New Roman" w:cs="Times New Roman"/>
          <w:b/>
        </w:rPr>
      </w:pPr>
    </w:p>
    <w:p w14:paraId="53DE2B21" w14:textId="77777777" w:rsidR="00A65987" w:rsidRPr="00322179" w:rsidRDefault="00A65987" w:rsidP="00322179">
      <w:pPr>
        <w:spacing w:line="240" w:lineRule="auto"/>
        <w:jc w:val="center"/>
        <w:rPr>
          <w:rFonts w:ascii="Times New Roman" w:hAnsi="Times New Roman" w:cs="Times New Roman"/>
          <w:b/>
        </w:rPr>
      </w:pPr>
    </w:p>
    <w:p w14:paraId="0D2984C2" w14:textId="77777777" w:rsidR="00A65987" w:rsidRPr="00322179" w:rsidRDefault="00A65987" w:rsidP="00322179">
      <w:pPr>
        <w:spacing w:line="240" w:lineRule="auto"/>
        <w:jc w:val="center"/>
        <w:rPr>
          <w:rFonts w:ascii="Times New Roman" w:hAnsi="Times New Roman" w:cs="Times New Roman"/>
          <w:b/>
        </w:rPr>
      </w:pPr>
    </w:p>
    <w:p w14:paraId="78AAF7DB" w14:textId="77777777" w:rsidR="00A65987" w:rsidRPr="00322179" w:rsidRDefault="00A65987" w:rsidP="00322179">
      <w:pPr>
        <w:spacing w:line="240" w:lineRule="auto"/>
        <w:jc w:val="center"/>
        <w:rPr>
          <w:rFonts w:ascii="Times New Roman" w:hAnsi="Times New Roman" w:cs="Times New Roman"/>
          <w:b/>
        </w:rPr>
      </w:pPr>
    </w:p>
    <w:p w14:paraId="0635748F" w14:textId="77777777" w:rsidR="00A65987" w:rsidRPr="00322179" w:rsidRDefault="00A65987" w:rsidP="00322179">
      <w:pPr>
        <w:spacing w:line="240" w:lineRule="auto"/>
        <w:jc w:val="center"/>
        <w:rPr>
          <w:rFonts w:ascii="Times New Roman" w:hAnsi="Times New Roman" w:cs="Times New Roman"/>
          <w:b/>
        </w:rPr>
      </w:pPr>
    </w:p>
    <w:p w14:paraId="0CD6C2F2" w14:textId="77777777" w:rsidR="00A65987" w:rsidRPr="00322179" w:rsidRDefault="00A65987" w:rsidP="00322179">
      <w:pPr>
        <w:spacing w:line="240" w:lineRule="auto"/>
        <w:rPr>
          <w:rFonts w:ascii="Times New Roman" w:hAnsi="Times New Roman" w:cs="Times New Roman"/>
          <w:b/>
        </w:rPr>
      </w:pPr>
    </w:p>
    <w:p w14:paraId="260187CC" w14:textId="77777777" w:rsidR="00A65987" w:rsidRPr="00322179" w:rsidRDefault="00A65987" w:rsidP="00322179">
      <w:pPr>
        <w:spacing w:line="240" w:lineRule="auto"/>
        <w:jc w:val="center"/>
        <w:rPr>
          <w:rFonts w:ascii="Times New Roman" w:hAnsi="Times New Roman" w:cs="Times New Roman"/>
          <w:b/>
        </w:rPr>
      </w:pPr>
      <w:r w:rsidRPr="00322179">
        <w:rPr>
          <w:rFonts w:ascii="Times New Roman" w:hAnsi="Times New Roman" w:cs="Times New Roman"/>
          <w:b/>
          <w:noProof/>
        </w:rPr>
        <mc:AlternateContent>
          <mc:Choice Requires="wps">
            <w:drawing>
              <wp:anchor distT="0" distB="0" distL="114300" distR="114300" simplePos="0" relativeHeight="251667456" behindDoc="0" locked="0" layoutInCell="1" allowOverlap="1" wp14:anchorId="56AAC59A" wp14:editId="706B8214">
                <wp:simplePos x="0" y="0"/>
                <wp:positionH relativeFrom="column">
                  <wp:posOffset>2232660</wp:posOffset>
                </wp:positionH>
                <wp:positionV relativeFrom="paragraph">
                  <wp:posOffset>27940</wp:posOffset>
                </wp:positionV>
                <wp:extent cx="1433830" cy="293370"/>
                <wp:effectExtent l="0" t="0" r="13970" b="11430"/>
                <wp:wrapNone/>
                <wp:docPr id="1074"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293370"/>
                        </a:xfrm>
                        <a:prstGeom prst="roundRect">
                          <a:avLst>
                            <a:gd name="adj" fmla="val 16667"/>
                          </a:avLst>
                        </a:prstGeom>
                        <a:solidFill>
                          <a:srgbClr val="A9C7FD"/>
                        </a:solidFill>
                        <a:ln w="9525">
                          <a:solidFill>
                            <a:srgbClr val="000000"/>
                          </a:solidFill>
                          <a:round/>
                        </a:ln>
                      </wps:spPr>
                      <wps:txbx>
                        <w:txbxContent>
                          <w:p w14:paraId="55FBE3AE" w14:textId="77777777" w:rsidR="00A65987" w:rsidRDefault="00A65987" w:rsidP="00A65987">
                            <w:pPr>
                              <w:pStyle w:val="Heading21"/>
                              <w:spacing w:before="0"/>
                              <w:jc w:val="center"/>
                              <w:rPr>
                                <w:rFonts w:ascii="Candara" w:hAnsi="Candara"/>
                              </w:rPr>
                            </w:pPr>
                            <w:r>
                              <w:rPr>
                                <w:rFonts w:ascii="Candara" w:hAnsi="Candara"/>
                              </w:rPr>
                              <w:t>Allocation</w:t>
                            </w:r>
                          </w:p>
                        </w:txbxContent>
                      </wps:txbx>
                      <wps:bodyPr rot="0" vert="horz" wrap="square" lIns="45720" tIns="45720" rIns="45720" bIns="45720" anchor="t" anchorCtr="0" upright="1">
                        <a:noAutofit/>
                      </wps:bodyPr>
                    </wps:wsp>
                  </a:graphicData>
                </a:graphic>
              </wp:anchor>
            </w:drawing>
          </mc:Choice>
          <mc:Fallback>
            <w:pict>
              <v:roundrect w14:anchorId="56AAC59A" id="Rectangle: Rounded Corners 21" o:spid="_x0000_s1035" style="position:absolute;left:0;text-align:left;margin-left:175.8pt;margin-top:2.2pt;width:112.9pt;height:23.1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" fillcolor="#a9c7fd">
                <v:textbox inset="3.6pt,,3.6pt">
                  <w:txbxContent>
                    <w:p w14:paraId="55FBE3AE" w14:textId="77777777" w:rsidR="00A65987" w:rsidRDefault="00A65987" w:rsidP="00A65987">
                      <w:pPr>
                        <w:pStyle w:val="Heading21"/>
                        <w:spacing w:before="0"/>
                        <w:jc w:val="center"/>
                        <w:rPr>
                          <w:rFonts w:ascii="Candara" w:hAnsi="Candara"/>
                        </w:rPr>
                      </w:pPr>
                      <w:r>
                        <w:rPr>
                          <w:rFonts w:ascii="Candara" w:hAnsi="Candara"/>
                        </w:rPr>
                        <w:t>Allocation</w:t>
                      </w:r>
                    </w:p>
                  </w:txbxContent>
                </v:textbox>
              </v:roundrect>
            </w:pict>
          </mc:Fallback>
        </mc:AlternateContent>
      </w:r>
      <w:r w:rsidRPr="00322179">
        <w:rPr>
          <w:rFonts w:ascii="Times New Roman" w:hAnsi="Times New Roman" w:cs="Times New Roman"/>
          <w:b/>
          <w:noProof/>
        </w:rPr>
        <mc:AlternateContent>
          <mc:Choice Requires="wps">
            <w:drawing>
              <wp:anchor distT="0" distB="0" distL="114300" distR="114300" simplePos="0" relativeHeight="251663360" behindDoc="0" locked="0" layoutInCell="1" allowOverlap="1" wp14:anchorId="676A3100" wp14:editId="6FE6B107">
                <wp:simplePos x="0" y="0"/>
                <wp:positionH relativeFrom="column">
                  <wp:posOffset>-619125</wp:posOffset>
                </wp:positionH>
                <wp:positionV relativeFrom="paragraph">
                  <wp:posOffset>234315</wp:posOffset>
                </wp:positionV>
                <wp:extent cx="3355340" cy="1633855"/>
                <wp:effectExtent l="0" t="0" r="16510" b="23495"/>
                <wp:wrapNone/>
                <wp:docPr id="1075" name="Rectangle 10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340" cy="1633855"/>
                        </a:xfrm>
                        <a:prstGeom prst="rect">
                          <a:avLst/>
                        </a:prstGeom>
                        <a:solidFill>
                          <a:srgbClr val="FFFFFF"/>
                        </a:solidFill>
                        <a:ln w="9525">
                          <a:solidFill>
                            <a:srgbClr val="000000"/>
                          </a:solidFill>
                          <a:miter lim="800000"/>
                        </a:ln>
                      </wps:spPr>
                      <wps:txbx>
                        <w:txbxContent>
                          <w:p w14:paraId="15BFF845" w14:textId="77777777" w:rsidR="00A65987" w:rsidRDefault="00A65987" w:rsidP="00A65987">
                            <w:pPr>
                              <w:spacing w:after="0"/>
                              <w:rPr>
                                <w:rFonts w:ascii="Arial" w:hAnsi="Arial" w:cs="Arial"/>
                                <w:sz w:val="20"/>
                                <w:szCs w:val="20"/>
                                <w:lang w:val="en-CA"/>
                              </w:rPr>
                            </w:pPr>
                            <w:r>
                              <w:rPr>
                                <w:rFonts w:ascii="Arial" w:hAnsi="Arial" w:cs="Arial"/>
                                <w:sz w:val="20"/>
                                <w:szCs w:val="20"/>
                                <w:lang w:val="en-CA"/>
                              </w:rPr>
                              <w:t xml:space="preserve">Allocated to intervention arm </w:t>
                            </w:r>
                            <w:r>
                              <w:rPr>
                                <w:rFonts w:ascii="Arial" w:hAnsi="Arial" w:cs="Arial"/>
                                <w:b/>
                                <w:bCs/>
                                <w:sz w:val="20"/>
                                <w:szCs w:val="20"/>
                                <w:lang w:val="en-CA"/>
                              </w:rPr>
                              <w:t xml:space="preserve">A </w:t>
                            </w:r>
                            <w:r>
                              <w:rPr>
                                <w:rFonts w:ascii="Arial" w:hAnsi="Arial" w:cs="Arial"/>
                                <w:sz w:val="20"/>
                                <w:szCs w:val="20"/>
                                <w:lang w:val="en-CA"/>
                              </w:rPr>
                              <w:t>(n= 43)</w:t>
                            </w:r>
                          </w:p>
                          <w:p w14:paraId="00A41DFA" w14:textId="77777777" w:rsidR="00A65987" w:rsidRDefault="00A65987" w:rsidP="00A65987">
                            <w:pPr>
                              <w:spacing w:after="0"/>
                              <w:ind w:left="360" w:hanging="360"/>
                              <w:rPr>
                                <w:rFonts w:cs="Calibri"/>
                                <w:lang w:val="en-CA"/>
                              </w:rPr>
                            </w:pPr>
                            <w:bookmarkStart w:id="1" w:name="_Hlk68180301"/>
                            <w:r>
                              <w:rPr>
                                <w:rFonts w:ascii="Symbol" w:hAnsi="Symbol"/>
                                <w:sz w:val="16"/>
                                <w:szCs w:val="16"/>
                                <w:lang w:val="zh-CN"/>
                              </w:rPr>
                              <w:t></w:t>
                            </w:r>
                            <w:r>
                              <w:t> </w:t>
                            </w:r>
                            <w:r>
                              <w:rPr>
                                <w:rFonts w:ascii="Arial" w:hAnsi="Arial" w:cs="Arial"/>
                                <w:sz w:val="20"/>
                                <w:szCs w:val="20"/>
                                <w:lang w:val="en-CA"/>
                              </w:rPr>
                              <w:t>Received allocated intervention (n= 43)</w:t>
                            </w:r>
                          </w:p>
                          <w:p w14:paraId="331EA80F" w14:textId="77777777" w:rsidR="00A65987" w:rsidRDefault="00A65987" w:rsidP="00A65987">
                            <w:pPr>
                              <w:spacing w:after="0"/>
                              <w:ind w:left="360" w:hanging="360"/>
                              <w:rPr>
                                <w:rFonts w:ascii="Arial" w:hAnsi="Arial" w:cs="Arial"/>
                                <w:sz w:val="20"/>
                                <w:szCs w:val="20"/>
                                <w:lang w:val="en-CA"/>
                              </w:rPr>
                            </w:pPr>
                            <w:bookmarkStart w:id="2" w:name="_Hlk68179781"/>
                            <w:bookmarkEnd w:id="1"/>
                            <w:r>
                              <w:rPr>
                                <w:rFonts w:ascii="Symbol" w:hAnsi="Symbol"/>
                                <w:sz w:val="16"/>
                                <w:szCs w:val="16"/>
                                <w:lang w:val="zh-CN"/>
                              </w:rPr>
                              <w:t></w:t>
                            </w:r>
                            <w:bookmarkEnd w:id="2"/>
                            <w:r>
                              <w:t> </w:t>
                            </w:r>
                            <w:r>
                              <w:rPr>
                                <w:rFonts w:ascii="Arial" w:hAnsi="Arial" w:cs="Arial"/>
                                <w:sz w:val="20"/>
                                <w:szCs w:val="20"/>
                                <w:lang w:val="en-CA"/>
                              </w:rPr>
                              <w:t>Did not receive allocated intervention (n= 0)</w:t>
                            </w:r>
                          </w:p>
                          <w:p w14:paraId="3A220FAF" w14:textId="77777777" w:rsidR="00A65987" w:rsidRDefault="00A65987" w:rsidP="00A65987">
                            <w:pPr>
                              <w:spacing w:after="0"/>
                              <w:ind w:left="360" w:hanging="360"/>
                              <w:rPr>
                                <w:rFonts w:cs="Calibri"/>
                                <w:lang w:val="en-CA"/>
                              </w:rPr>
                            </w:pPr>
                            <w:r>
                              <w:rPr>
                                <w:rFonts w:ascii="Symbol" w:hAnsi="Symbol"/>
                                <w:sz w:val="16"/>
                                <w:szCs w:val="16"/>
                                <w:lang w:val="zh-CN"/>
                              </w:rPr>
                              <w:t></w:t>
                            </w:r>
                            <w:r>
                              <w:t> </w:t>
                            </w:r>
                            <w:bookmarkStart w:id="3" w:name="_Hlk68180535"/>
                            <w:bookmarkStart w:id="4" w:name="_Hlk68180534"/>
                            <w:r>
                              <w:rPr>
                                <w:rFonts w:ascii="Arial" w:hAnsi="Arial" w:cs="Arial"/>
                                <w:sz w:val="20"/>
                                <w:szCs w:val="20"/>
                                <w:lang w:val="en-CA"/>
                              </w:rPr>
                              <w:t>Received allocated intervention per protocol (n= 0)</w:t>
                            </w:r>
                          </w:p>
                          <w:p w14:paraId="47C06F73" w14:textId="77777777" w:rsidR="00A65987" w:rsidRDefault="00A65987" w:rsidP="00A65987">
                            <w:pPr>
                              <w:spacing w:after="0"/>
                              <w:ind w:left="360" w:hanging="360"/>
                              <w:rPr>
                                <w:rFonts w:ascii="Arial" w:hAnsi="Arial" w:cs="Arial"/>
                                <w:sz w:val="20"/>
                                <w:szCs w:val="20"/>
                              </w:rPr>
                            </w:pPr>
                            <w:r>
                              <w:rPr>
                                <w:rFonts w:ascii="Symbol" w:hAnsi="Symbol"/>
                                <w:sz w:val="16"/>
                                <w:szCs w:val="16"/>
                                <w:lang w:val="zh-CN"/>
                              </w:rPr>
                              <w:t></w:t>
                            </w:r>
                            <w:r>
                              <w:rPr>
                                <w:rFonts w:ascii="Symbol" w:hAnsi="Symbol"/>
                                <w:sz w:val="16"/>
                                <w:szCs w:val="16"/>
                              </w:rPr>
                              <w:t></w:t>
                            </w:r>
                            <w:r>
                              <w:rPr>
                                <w:rFonts w:ascii="Arial" w:hAnsi="Arial" w:cs="Arial"/>
                                <w:sz w:val="20"/>
                                <w:szCs w:val="20"/>
                              </w:rPr>
                              <w:t>Did not receive allocated intervention per protocol (n =0)</w:t>
                            </w:r>
                            <w:bookmarkEnd w:id="3"/>
                            <w:bookmarkEnd w:id="4"/>
                          </w:p>
                        </w:txbxContent>
                      </wps:txbx>
                      <wps:bodyPr rot="0" vert="horz" wrap="square" lIns="91440" tIns="91440" rIns="91440" bIns="91440" anchor="t" anchorCtr="0" upright="1">
                        <a:noAutofit/>
                      </wps:bodyPr>
                    </wps:wsp>
                  </a:graphicData>
                </a:graphic>
              </wp:anchor>
            </w:drawing>
          </mc:Choice>
          <mc:Fallback>
            <w:pict>
              <v:rect w14:anchorId="676A3100" id="Rectangle 1075" o:spid="_x0000_s1036" style="position:absolute;left:0;text-align:left;margin-left:-48.75pt;margin-top:18.45pt;width:264.2pt;height:128.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">
                <v:textbox inset=",7.2pt,,7.2pt">
                  <w:txbxContent>
                    <w:p w14:paraId="15BFF845" w14:textId="77777777" w:rsidR="00A65987" w:rsidRDefault="00A65987" w:rsidP="00A65987">
                      <w:pPr>
                        <w:spacing w:after="0"/>
                        <w:rPr>
                          <w:rFonts w:ascii="Arial" w:hAnsi="Arial" w:cs="Arial"/>
                          <w:sz w:val="20"/>
                          <w:szCs w:val="20"/>
                          <w:lang w:val="en-CA"/>
                        </w:rPr>
                      </w:pPr>
                      <w:r>
                        <w:rPr>
                          <w:rFonts w:ascii="Arial" w:hAnsi="Arial" w:cs="Arial"/>
                          <w:sz w:val="20"/>
                          <w:szCs w:val="20"/>
                          <w:lang w:val="en-CA"/>
                        </w:rPr>
                        <w:t xml:space="preserve">Allocated to intervention arm </w:t>
                      </w:r>
                      <w:r>
                        <w:rPr>
                          <w:rFonts w:ascii="Arial" w:hAnsi="Arial" w:cs="Arial"/>
                          <w:b/>
                          <w:bCs/>
                          <w:sz w:val="20"/>
                          <w:szCs w:val="20"/>
                          <w:lang w:val="en-CA"/>
                        </w:rPr>
                        <w:t xml:space="preserve">A </w:t>
                      </w:r>
                      <w:r>
                        <w:rPr>
                          <w:rFonts w:ascii="Arial" w:hAnsi="Arial" w:cs="Arial"/>
                          <w:sz w:val="20"/>
                          <w:szCs w:val="20"/>
                          <w:lang w:val="en-CA"/>
                        </w:rPr>
                        <w:t>(n= 43)</w:t>
                      </w:r>
                    </w:p>
                    <w:p w14:paraId="00A41DFA" w14:textId="77777777" w:rsidR="00A65987" w:rsidRDefault="00A65987" w:rsidP="00A65987">
                      <w:pPr>
                        <w:spacing w:after="0"/>
                        <w:ind w:left="360" w:hanging="360"/>
                        <w:rPr>
                          <w:rFonts w:cs="Calibri"/>
                          <w:lang w:val="en-CA"/>
                        </w:rPr>
                      </w:pPr>
                      <w:bookmarkStart w:id="5" w:name="_Hlk68180301"/>
                      <w:r>
                        <w:rPr>
                          <w:rFonts w:ascii="Symbol" w:hAnsi="Symbol"/>
                          <w:sz w:val="16"/>
                          <w:szCs w:val="16"/>
                          <w:lang w:val="zh-CN"/>
                        </w:rPr>
                        <w:t></w:t>
                      </w:r>
                      <w:r>
                        <w:t> </w:t>
                      </w:r>
                      <w:r>
                        <w:rPr>
                          <w:rFonts w:ascii="Arial" w:hAnsi="Arial" w:cs="Arial"/>
                          <w:sz w:val="20"/>
                          <w:szCs w:val="20"/>
                          <w:lang w:val="en-CA"/>
                        </w:rPr>
                        <w:t>Received allocated intervention (n= 43)</w:t>
                      </w:r>
                    </w:p>
                    <w:p w14:paraId="331EA80F" w14:textId="77777777" w:rsidR="00A65987" w:rsidRDefault="00A65987" w:rsidP="00A65987">
                      <w:pPr>
                        <w:spacing w:after="0"/>
                        <w:ind w:left="360" w:hanging="360"/>
                        <w:rPr>
                          <w:rFonts w:ascii="Arial" w:hAnsi="Arial" w:cs="Arial"/>
                          <w:sz w:val="20"/>
                          <w:szCs w:val="20"/>
                          <w:lang w:val="en-CA"/>
                        </w:rPr>
                      </w:pPr>
                      <w:bookmarkStart w:id="6" w:name="_Hlk68179781"/>
                      <w:bookmarkEnd w:id="5"/>
                      <w:r>
                        <w:rPr>
                          <w:rFonts w:ascii="Symbol" w:hAnsi="Symbol"/>
                          <w:sz w:val="16"/>
                          <w:szCs w:val="16"/>
                          <w:lang w:val="zh-CN"/>
                        </w:rPr>
                        <w:t></w:t>
                      </w:r>
                      <w:bookmarkEnd w:id="6"/>
                      <w:r>
                        <w:t> </w:t>
                      </w:r>
                      <w:r>
                        <w:rPr>
                          <w:rFonts w:ascii="Arial" w:hAnsi="Arial" w:cs="Arial"/>
                          <w:sz w:val="20"/>
                          <w:szCs w:val="20"/>
                          <w:lang w:val="en-CA"/>
                        </w:rPr>
                        <w:t>Did not receive allocated intervention (n= 0)</w:t>
                      </w:r>
                    </w:p>
                    <w:p w14:paraId="3A220FAF" w14:textId="77777777" w:rsidR="00A65987" w:rsidRDefault="00A65987" w:rsidP="00A65987">
                      <w:pPr>
                        <w:spacing w:after="0"/>
                        <w:ind w:left="360" w:hanging="360"/>
                        <w:rPr>
                          <w:rFonts w:cs="Calibri"/>
                          <w:lang w:val="en-CA"/>
                        </w:rPr>
                      </w:pPr>
                      <w:r>
                        <w:rPr>
                          <w:rFonts w:ascii="Symbol" w:hAnsi="Symbol"/>
                          <w:sz w:val="16"/>
                          <w:szCs w:val="16"/>
                          <w:lang w:val="zh-CN"/>
                        </w:rPr>
                        <w:t></w:t>
                      </w:r>
                      <w:r>
                        <w:t> </w:t>
                      </w:r>
                      <w:bookmarkStart w:id="7" w:name="_Hlk68180535"/>
                      <w:bookmarkStart w:id="8" w:name="_Hlk68180534"/>
                      <w:r>
                        <w:rPr>
                          <w:rFonts w:ascii="Arial" w:hAnsi="Arial" w:cs="Arial"/>
                          <w:sz w:val="20"/>
                          <w:szCs w:val="20"/>
                          <w:lang w:val="en-CA"/>
                        </w:rPr>
                        <w:t>Received allocated intervention per protocol (n= 0)</w:t>
                      </w:r>
                    </w:p>
                    <w:p w14:paraId="47C06F73" w14:textId="77777777" w:rsidR="00A65987" w:rsidRDefault="00A65987" w:rsidP="00A65987">
                      <w:pPr>
                        <w:spacing w:after="0"/>
                        <w:ind w:left="360" w:hanging="360"/>
                        <w:rPr>
                          <w:rFonts w:ascii="Arial" w:hAnsi="Arial" w:cs="Arial"/>
                          <w:sz w:val="20"/>
                          <w:szCs w:val="20"/>
                        </w:rPr>
                      </w:pPr>
                      <w:r>
                        <w:rPr>
                          <w:rFonts w:ascii="Symbol" w:hAnsi="Symbol"/>
                          <w:sz w:val="16"/>
                          <w:szCs w:val="16"/>
                          <w:lang w:val="zh-CN"/>
                        </w:rPr>
                        <w:t></w:t>
                      </w:r>
                      <w:r>
                        <w:rPr>
                          <w:rFonts w:ascii="Symbol" w:hAnsi="Symbol"/>
                          <w:sz w:val="16"/>
                          <w:szCs w:val="16"/>
                        </w:rPr>
                        <w:t></w:t>
                      </w:r>
                      <w:r>
                        <w:rPr>
                          <w:rFonts w:ascii="Arial" w:hAnsi="Arial" w:cs="Arial"/>
                          <w:sz w:val="20"/>
                          <w:szCs w:val="20"/>
                        </w:rPr>
                        <w:t>Did not receive allocated intervention per protocol (n =0)</w:t>
                      </w:r>
                      <w:bookmarkEnd w:id="7"/>
                      <w:bookmarkEnd w:id="8"/>
                    </w:p>
                  </w:txbxContent>
                </v:textbox>
              </v:rect>
            </w:pict>
          </mc:Fallback>
        </mc:AlternateContent>
      </w:r>
      <w:r w:rsidRPr="00322179">
        <w:rPr>
          <w:rFonts w:ascii="Times New Roman" w:hAnsi="Times New Roman" w:cs="Times New Roman"/>
          <w:b/>
          <w:noProof/>
        </w:rPr>
        <mc:AlternateContent>
          <mc:Choice Requires="wps">
            <w:drawing>
              <wp:anchor distT="0" distB="0" distL="114300" distR="114300" simplePos="0" relativeHeight="251665408" behindDoc="0" locked="0" layoutInCell="1" allowOverlap="1" wp14:anchorId="00224631" wp14:editId="3DEB87F7">
                <wp:simplePos x="0" y="0"/>
                <wp:positionH relativeFrom="column">
                  <wp:posOffset>2854960</wp:posOffset>
                </wp:positionH>
                <wp:positionV relativeFrom="paragraph">
                  <wp:posOffset>252730</wp:posOffset>
                </wp:positionV>
                <wp:extent cx="3413125" cy="1628775"/>
                <wp:effectExtent l="0" t="0" r="16510" b="28575"/>
                <wp:wrapNone/>
                <wp:docPr id="1076" name="Rectangle 10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3050" cy="1628775"/>
                        </a:xfrm>
                        <a:prstGeom prst="rect">
                          <a:avLst/>
                        </a:prstGeom>
                        <a:solidFill>
                          <a:srgbClr val="FFFFFF"/>
                        </a:solidFill>
                        <a:ln w="9525">
                          <a:solidFill>
                            <a:srgbClr val="000000"/>
                          </a:solidFill>
                          <a:miter lim="800000"/>
                        </a:ln>
                      </wps:spPr>
                      <wps:txbx>
                        <w:txbxContent>
                          <w:p w14:paraId="2304008D" w14:textId="77777777" w:rsidR="00A65987" w:rsidRDefault="00A65987" w:rsidP="00A65987">
                            <w:pPr>
                              <w:spacing w:after="0"/>
                              <w:rPr>
                                <w:rFonts w:ascii="Arial" w:hAnsi="Arial" w:cs="Arial"/>
                                <w:sz w:val="20"/>
                                <w:szCs w:val="20"/>
                                <w:lang w:val="en-CA"/>
                              </w:rPr>
                            </w:pPr>
                            <w:r>
                              <w:rPr>
                                <w:rFonts w:ascii="Arial" w:hAnsi="Arial" w:cs="Arial"/>
                                <w:sz w:val="20"/>
                                <w:szCs w:val="20"/>
                                <w:lang w:val="en-CA"/>
                              </w:rPr>
                              <w:t xml:space="preserve">Allocated to intervention arm </w:t>
                            </w:r>
                            <w:r>
                              <w:rPr>
                                <w:rFonts w:ascii="Arial" w:hAnsi="Arial" w:cs="Arial"/>
                                <w:b/>
                                <w:bCs/>
                                <w:sz w:val="20"/>
                                <w:szCs w:val="20"/>
                                <w:lang w:val="en-CA"/>
                              </w:rPr>
                              <w:t>B</w:t>
                            </w:r>
                            <w:r>
                              <w:rPr>
                                <w:rFonts w:ascii="Arial" w:hAnsi="Arial" w:cs="Arial"/>
                                <w:sz w:val="20"/>
                                <w:szCs w:val="20"/>
                                <w:lang w:val="en-CA"/>
                              </w:rPr>
                              <w:t xml:space="preserve"> (n= 43)</w:t>
                            </w:r>
                          </w:p>
                          <w:p w14:paraId="6B95DA77" w14:textId="77777777" w:rsidR="00A65987" w:rsidRDefault="00A65987" w:rsidP="00A65987">
                            <w:pPr>
                              <w:spacing w:after="0"/>
                              <w:ind w:left="360" w:hanging="360"/>
                              <w:rPr>
                                <w:rFonts w:cs="Calibri"/>
                                <w:lang w:val="en-CA"/>
                              </w:rPr>
                            </w:pPr>
                            <w:r>
                              <w:rPr>
                                <w:rFonts w:ascii="Symbol" w:hAnsi="Symbol"/>
                                <w:sz w:val="16"/>
                                <w:szCs w:val="16"/>
                                <w:lang w:val="zh-CN"/>
                              </w:rPr>
                              <w:t></w:t>
                            </w:r>
                            <w:r>
                              <w:t> </w:t>
                            </w:r>
                            <w:r>
                              <w:rPr>
                                <w:rFonts w:ascii="Arial" w:hAnsi="Arial" w:cs="Arial"/>
                                <w:sz w:val="20"/>
                                <w:szCs w:val="20"/>
                                <w:lang w:val="en-CA"/>
                              </w:rPr>
                              <w:t>Received allocated intervention (n= 43)</w:t>
                            </w:r>
                          </w:p>
                          <w:p w14:paraId="6EEAFEBD" w14:textId="77777777" w:rsidR="00A65987" w:rsidRDefault="00A65987" w:rsidP="00A65987">
                            <w:pPr>
                              <w:spacing w:after="0"/>
                              <w:ind w:left="360" w:hanging="360"/>
                              <w:rPr>
                                <w:rFonts w:ascii="Arial" w:hAnsi="Arial" w:cs="Arial"/>
                                <w:sz w:val="20"/>
                                <w:szCs w:val="20"/>
                                <w:lang w:val="en-CA"/>
                              </w:rPr>
                            </w:pPr>
                            <w:r>
                              <w:rPr>
                                <w:rFonts w:ascii="Symbol" w:hAnsi="Symbol"/>
                                <w:sz w:val="16"/>
                                <w:szCs w:val="16"/>
                                <w:lang w:val="zh-CN"/>
                              </w:rPr>
                              <w:t></w:t>
                            </w:r>
                            <w:r>
                              <w:t> </w:t>
                            </w:r>
                            <w:r>
                              <w:rPr>
                                <w:rFonts w:ascii="Arial" w:hAnsi="Arial" w:cs="Arial"/>
                                <w:sz w:val="20"/>
                                <w:szCs w:val="20"/>
                                <w:lang w:val="en-CA"/>
                              </w:rPr>
                              <w:t>Did not receive allocated intervention (n= 0)</w:t>
                            </w:r>
                          </w:p>
                          <w:p w14:paraId="483B8E13" w14:textId="77777777" w:rsidR="00A65987" w:rsidRDefault="00A65987" w:rsidP="00A65987">
                            <w:pPr>
                              <w:spacing w:after="0"/>
                              <w:ind w:left="360" w:hanging="360"/>
                              <w:rPr>
                                <w:rFonts w:cs="Calibri"/>
                                <w:lang w:val="en-CA"/>
                              </w:rPr>
                            </w:pPr>
                            <w:r>
                              <w:rPr>
                                <w:rFonts w:ascii="Symbol" w:hAnsi="Symbol"/>
                                <w:sz w:val="16"/>
                                <w:szCs w:val="16"/>
                                <w:lang w:val="zh-CN"/>
                              </w:rPr>
                              <w:t></w:t>
                            </w:r>
                            <w:r>
                              <w:rPr>
                                <w:rFonts w:ascii="Symbol" w:hAnsi="Symbol"/>
                                <w:sz w:val="16"/>
                                <w:szCs w:val="16"/>
                              </w:rPr>
                              <w:t></w:t>
                            </w:r>
                            <w:r>
                              <w:rPr>
                                <w:rFonts w:ascii="Arial" w:hAnsi="Arial" w:cs="Arial"/>
                                <w:sz w:val="20"/>
                                <w:szCs w:val="20"/>
                                <w:lang w:val="en-CA"/>
                              </w:rPr>
                              <w:t>Received allocated intervention per protocol (n= 0)</w:t>
                            </w:r>
                          </w:p>
                          <w:p w14:paraId="2FC63AA8" w14:textId="77777777" w:rsidR="00A65987" w:rsidRDefault="00A65987" w:rsidP="00A65987">
                            <w:pPr>
                              <w:spacing w:after="0"/>
                              <w:ind w:left="360" w:hanging="360"/>
                              <w:rPr>
                                <w:rFonts w:ascii="Arial" w:hAnsi="Arial" w:cs="Arial"/>
                                <w:sz w:val="20"/>
                                <w:szCs w:val="20"/>
                              </w:rPr>
                            </w:pPr>
                            <w:bookmarkStart w:id="9" w:name="_Hlk68180552"/>
                            <w:r>
                              <w:rPr>
                                <w:rFonts w:ascii="Symbol" w:hAnsi="Symbol"/>
                                <w:sz w:val="16"/>
                                <w:szCs w:val="16"/>
                                <w:lang w:val="zh-CN"/>
                              </w:rPr>
                              <w:t></w:t>
                            </w:r>
                            <w:bookmarkEnd w:id="9"/>
                            <w:r>
                              <w:rPr>
                                <w:rFonts w:ascii="Symbol" w:hAnsi="Symbol"/>
                                <w:sz w:val="16"/>
                                <w:szCs w:val="16"/>
                              </w:rPr>
                              <w:t></w:t>
                            </w:r>
                            <w:r>
                              <w:rPr>
                                <w:rFonts w:ascii="Arial" w:hAnsi="Arial" w:cs="Arial"/>
                                <w:sz w:val="20"/>
                                <w:szCs w:val="20"/>
                              </w:rPr>
                              <w:t>Did not receive allocated intervention per protocol (n =0)</w:t>
                            </w:r>
                          </w:p>
                          <w:p w14:paraId="62C50B02" w14:textId="77777777" w:rsidR="00A65987" w:rsidRDefault="00A65987" w:rsidP="00A65987">
                            <w:pPr>
                              <w:spacing w:after="0"/>
                              <w:ind w:left="360" w:hanging="360"/>
                              <w:rPr>
                                <w:rFonts w:cs="Calibri"/>
                              </w:rPr>
                            </w:pPr>
                          </w:p>
                        </w:txbxContent>
                      </wps:txbx>
                      <wps:bodyPr rot="0" vert="horz" wrap="square" lIns="91440" tIns="91440" rIns="91440" bIns="91440" anchor="t" anchorCtr="0" upright="1">
                        <a:noAutofit/>
                      </wps:bodyPr>
                    </wps:wsp>
                  </a:graphicData>
                </a:graphic>
              </wp:anchor>
            </w:drawing>
          </mc:Choice>
          <mc:Fallback>
            <w:pict>
              <v:rect w14:anchorId="00224631" id="Rectangle 1076" o:spid="_x0000_s1037" style="position:absolute;left:0;text-align:left;margin-left:224.8pt;margin-top:19.9pt;width:268.75pt;height:128.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">
                <v:textbox inset=",7.2pt,,7.2pt">
                  <w:txbxContent>
                    <w:p w14:paraId="2304008D" w14:textId="77777777" w:rsidR="00A65987" w:rsidRDefault="00A65987" w:rsidP="00A65987">
                      <w:pPr>
                        <w:spacing w:after="0"/>
                        <w:rPr>
                          <w:rFonts w:ascii="Arial" w:hAnsi="Arial" w:cs="Arial"/>
                          <w:sz w:val="20"/>
                          <w:szCs w:val="20"/>
                          <w:lang w:val="en-CA"/>
                        </w:rPr>
                      </w:pPr>
                      <w:r>
                        <w:rPr>
                          <w:rFonts w:ascii="Arial" w:hAnsi="Arial" w:cs="Arial"/>
                          <w:sz w:val="20"/>
                          <w:szCs w:val="20"/>
                          <w:lang w:val="en-CA"/>
                        </w:rPr>
                        <w:t xml:space="preserve">Allocated to intervention arm </w:t>
                      </w:r>
                      <w:r>
                        <w:rPr>
                          <w:rFonts w:ascii="Arial" w:hAnsi="Arial" w:cs="Arial"/>
                          <w:b/>
                          <w:bCs/>
                          <w:sz w:val="20"/>
                          <w:szCs w:val="20"/>
                          <w:lang w:val="en-CA"/>
                        </w:rPr>
                        <w:t>B</w:t>
                      </w:r>
                      <w:r>
                        <w:rPr>
                          <w:rFonts w:ascii="Arial" w:hAnsi="Arial" w:cs="Arial"/>
                          <w:sz w:val="20"/>
                          <w:szCs w:val="20"/>
                          <w:lang w:val="en-CA"/>
                        </w:rPr>
                        <w:t xml:space="preserve"> (n= 43)</w:t>
                      </w:r>
                    </w:p>
                    <w:p w14:paraId="6B95DA77" w14:textId="77777777" w:rsidR="00A65987" w:rsidRDefault="00A65987" w:rsidP="00A65987">
                      <w:pPr>
                        <w:spacing w:after="0"/>
                        <w:ind w:left="360" w:hanging="360"/>
                        <w:rPr>
                          <w:rFonts w:cs="Calibri"/>
                          <w:lang w:val="en-CA"/>
                        </w:rPr>
                      </w:pPr>
                      <w:r>
                        <w:rPr>
                          <w:rFonts w:ascii="Symbol" w:hAnsi="Symbol"/>
                          <w:sz w:val="16"/>
                          <w:szCs w:val="16"/>
                          <w:lang w:val="zh-CN"/>
                        </w:rPr>
                        <w:t></w:t>
                      </w:r>
                      <w:r>
                        <w:t> </w:t>
                      </w:r>
                      <w:r>
                        <w:rPr>
                          <w:rFonts w:ascii="Arial" w:hAnsi="Arial" w:cs="Arial"/>
                          <w:sz w:val="20"/>
                          <w:szCs w:val="20"/>
                          <w:lang w:val="en-CA"/>
                        </w:rPr>
                        <w:t>Received allocated intervention (n= 43)</w:t>
                      </w:r>
                    </w:p>
                    <w:p w14:paraId="6EEAFEBD" w14:textId="77777777" w:rsidR="00A65987" w:rsidRDefault="00A65987" w:rsidP="00A65987">
                      <w:pPr>
                        <w:spacing w:after="0"/>
                        <w:ind w:left="360" w:hanging="360"/>
                        <w:rPr>
                          <w:rFonts w:ascii="Arial" w:hAnsi="Arial" w:cs="Arial"/>
                          <w:sz w:val="20"/>
                          <w:szCs w:val="20"/>
                          <w:lang w:val="en-CA"/>
                        </w:rPr>
                      </w:pPr>
                      <w:r>
                        <w:rPr>
                          <w:rFonts w:ascii="Symbol" w:hAnsi="Symbol"/>
                          <w:sz w:val="16"/>
                          <w:szCs w:val="16"/>
                          <w:lang w:val="zh-CN"/>
                        </w:rPr>
                        <w:t></w:t>
                      </w:r>
                      <w:r>
                        <w:t> </w:t>
                      </w:r>
                      <w:r>
                        <w:rPr>
                          <w:rFonts w:ascii="Arial" w:hAnsi="Arial" w:cs="Arial"/>
                          <w:sz w:val="20"/>
                          <w:szCs w:val="20"/>
                          <w:lang w:val="en-CA"/>
                        </w:rPr>
                        <w:t>Did not receive allocated intervention (n= 0)</w:t>
                      </w:r>
                    </w:p>
                    <w:p w14:paraId="483B8E13" w14:textId="77777777" w:rsidR="00A65987" w:rsidRDefault="00A65987" w:rsidP="00A65987">
                      <w:pPr>
                        <w:spacing w:after="0"/>
                        <w:ind w:left="360" w:hanging="360"/>
                        <w:rPr>
                          <w:rFonts w:cs="Calibri"/>
                          <w:lang w:val="en-CA"/>
                        </w:rPr>
                      </w:pPr>
                      <w:r>
                        <w:rPr>
                          <w:rFonts w:ascii="Symbol" w:hAnsi="Symbol"/>
                          <w:sz w:val="16"/>
                          <w:szCs w:val="16"/>
                          <w:lang w:val="zh-CN"/>
                        </w:rPr>
                        <w:t></w:t>
                      </w:r>
                      <w:r>
                        <w:rPr>
                          <w:rFonts w:ascii="Symbol" w:hAnsi="Symbol"/>
                          <w:sz w:val="16"/>
                          <w:szCs w:val="16"/>
                        </w:rPr>
                        <w:t></w:t>
                      </w:r>
                      <w:r>
                        <w:rPr>
                          <w:rFonts w:ascii="Arial" w:hAnsi="Arial" w:cs="Arial"/>
                          <w:sz w:val="20"/>
                          <w:szCs w:val="20"/>
                          <w:lang w:val="en-CA"/>
                        </w:rPr>
                        <w:t>Received allocated intervention per protocol (n= 0)</w:t>
                      </w:r>
                    </w:p>
                    <w:p w14:paraId="2FC63AA8" w14:textId="77777777" w:rsidR="00A65987" w:rsidRDefault="00A65987" w:rsidP="00A65987">
                      <w:pPr>
                        <w:spacing w:after="0"/>
                        <w:ind w:left="360" w:hanging="360"/>
                        <w:rPr>
                          <w:rFonts w:ascii="Arial" w:hAnsi="Arial" w:cs="Arial"/>
                          <w:sz w:val="20"/>
                          <w:szCs w:val="20"/>
                        </w:rPr>
                      </w:pPr>
                      <w:bookmarkStart w:id="10" w:name="_Hlk68180552"/>
                      <w:r>
                        <w:rPr>
                          <w:rFonts w:ascii="Symbol" w:hAnsi="Symbol"/>
                          <w:sz w:val="16"/>
                          <w:szCs w:val="16"/>
                          <w:lang w:val="zh-CN"/>
                        </w:rPr>
                        <w:t></w:t>
                      </w:r>
                      <w:bookmarkEnd w:id="10"/>
                      <w:r>
                        <w:rPr>
                          <w:rFonts w:ascii="Symbol" w:hAnsi="Symbol"/>
                          <w:sz w:val="16"/>
                          <w:szCs w:val="16"/>
                        </w:rPr>
                        <w:t></w:t>
                      </w:r>
                      <w:r>
                        <w:rPr>
                          <w:rFonts w:ascii="Arial" w:hAnsi="Arial" w:cs="Arial"/>
                          <w:sz w:val="20"/>
                          <w:szCs w:val="20"/>
                        </w:rPr>
                        <w:t>Did not receive allocated intervention per protocol (n =0)</w:t>
                      </w:r>
                    </w:p>
                    <w:p w14:paraId="62C50B02" w14:textId="77777777" w:rsidR="00A65987" w:rsidRDefault="00A65987" w:rsidP="00A65987">
                      <w:pPr>
                        <w:spacing w:after="0"/>
                        <w:ind w:left="360" w:hanging="360"/>
                        <w:rPr>
                          <w:rFonts w:cs="Calibri"/>
                        </w:rPr>
                      </w:pPr>
                    </w:p>
                  </w:txbxContent>
                </v:textbox>
              </v:rect>
            </w:pict>
          </mc:Fallback>
        </mc:AlternateContent>
      </w:r>
    </w:p>
    <w:p w14:paraId="23C35455" w14:textId="77777777" w:rsidR="00A65987" w:rsidRPr="00322179" w:rsidRDefault="00A65987" w:rsidP="00322179">
      <w:pPr>
        <w:tabs>
          <w:tab w:val="left" w:pos="2089"/>
        </w:tabs>
        <w:spacing w:line="240" w:lineRule="auto"/>
        <w:rPr>
          <w:rFonts w:ascii="Times New Roman" w:hAnsi="Times New Roman" w:cs="Times New Roman"/>
          <w:b/>
        </w:rPr>
      </w:pPr>
    </w:p>
    <w:p w14:paraId="178715B3" w14:textId="77777777" w:rsidR="00A65987" w:rsidRPr="00322179" w:rsidRDefault="00A65987" w:rsidP="00322179">
      <w:pPr>
        <w:spacing w:line="240" w:lineRule="auto"/>
        <w:jc w:val="center"/>
        <w:rPr>
          <w:rFonts w:ascii="Times New Roman" w:hAnsi="Times New Roman" w:cs="Times New Roman"/>
          <w:b/>
        </w:rPr>
      </w:pPr>
    </w:p>
    <w:p w14:paraId="34583F2E" w14:textId="77777777" w:rsidR="00A65987" w:rsidRPr="00322179" w:rsidRDefault="00A65987" w:rsidP="00322179">
      <w:pPr>
        <w:spacing w:after="0" w:line="240" w:lineRule="auto"/>
        <w:rPr>
          <w:rFonts w:ascii="Times New Roman" w:hAnsi="Times New Roman" w:cs="Times New Roman"/>
          <w:b/>
        </w:rPr>
      </w:pPr>
    </w:p>
    <w:p w14:paraId="387CA8AB" w14:textId="77777777" w:rsidR="00A65987" w:rsidRPr="00322179" w:rsidRDefault="00A65987" w:rsidP="00322179">
      <w:pPr>
        <w:spacing w:after="0" w:line="240" w:lineRule="auto"/>
        <w:rPr>
          <w:rFonts w:ascii="Times New Roman" w:hAnsi="Times New Roman" w:cs="Times New Roman"/>
          <w:b/>
        </w:rPr>
      </w:pPr>
    </w:p>
    <w:p w14:paraId="215F839C" w14:textId="77777777" w:rsidR="00A65987" w:rsidRPr="00322179" w:rsidRDefault="00A65987" w:rsidP="00322179">
      <w:pPr>
        <w:spacing w:after="0" w:line="240" w:lineRule="auto"/>
        <w:rPr>
          <w:rFonts w:ascii="Times New Roman" w:hAnsi="Times New Roman" w:cs="Times New Roman"/>
          <w:b/>
        </w:rPr>
      </w:pPr>
    </w:p>
    <w:p w14:paraId="6848C931" w14:textId="77777777" w:rsidR="00A65987" w:rsidRPr="00322179" w:rsidRDefault="00A65987" w:rsidP="00322179">
      <w:pPr>
        <w:spacing w:after="0" w:line="240" w:lineRule="auto"/>
        <w:rPr>
          <w:rFonts w:ascii="Times New Roman" w:hAnsi="Times New Roman" w:cs="Times New Roman"/>
          <w:b/>
        </w:rPr>
      </w:pPr>
    </w:p>
    <w:p w14:paraId="4B5B4E9E" w14:textId="77777777" w:rsidR="00A65987" w:rsidRPr="00322179" w:rsidRDefault="00A65987" w:rsidP="00322179">
      <w:pPr>
        <w:spacing w:after="0" w:line="240" w:lineRule="auto"/>
        <w:rPr>
          <w:rFonts w:ascii="Times New Roman" w:hAnsi="Times New Roman" w:cs="Times New Roman"/>
          <w:b/>
        </w:rPr>
      </w:pPr>
    </w:p>
    <w:p w14:paraId="08E3D9DF" w14:textId="77777777" w:rsidR="00A65987" w:rsidRPr="00322179" w:rsidRDefault="00A65987" w:rsidP="00322179">
      <w:pPr>
        <w:spacing w:after="0" w:line="240" w:lineRule="auto"/>
        <w:rPr>
          <w:rFonts w:ascii="Times New Roman" w:hAnsi="Times New Roman" w:cs="Times New Roman"/>
          <w:b/>
        </w:rPr>
      </w:pPr>
    </w:p>
    <w:p w14:paraId="2829E4A7" w14:textId="77777777" w:rsidR="00A65987" w:rsidRPr="00322179" w:rsidRDefault="00A65987" w:rsidP="00322179">
      <w:pPr>
        <w:spacing w:after="0" w:line="240" w:lineRule="auto"/>
        <w:jc w:val="center"/>
        <w:rPr>
          <w:rFonts w:ascii="Times New Roman" w:hAnsi="Times New Roman" w:cs="Times New Roman"/>
          <w:b/>
        </w:rPr>
      </w:pPr>
    </w:p>
    <w:p w14:paraId="6A35ADB0" w14:textId="77777777" w:rsidR="00A65987" w:rsidRPr="00322179" w:rsidRDefault="00A65987" w:rsidP="00322179">
      <w:pPr>
        <w:spacing w:after="0" w:line="240" w:lineRule="auto"/>
        <w:jc w:val="center"/>
        <w:rPr>
          <w:rFonts w:ascii="Times New Roman" w:hAnsi="Times New Roman" w:cs="Times New Roman"/>
          <w:b/>
        </w:rPr>
      </w:pPr>
    </w:p>
    <w:p w14:paraId="28551CAB" w14:textId="77777777" w:rsidR="00A65987" w:rsidRPr="00322179" w:rsidRDefault="00A65987" w:rsidP="00322179">
      <w:pPr>
        <w:spacing w:after="0" w:line="240" w:lineRule="auto"/>
        <w:jc w:val="center"/>
        <w:rPr>
          <w:rFonts w:ascii="Times New Roman" w:hAnsi="Times New Roman" w:cs="Times New Roman"/>
          <w:b/>
        </w:rPr>
      </w:pPr>
    </w:p>
    <w:p w14:paraId="64399CE4" w14:textId="77777777" w:rsidR="00A65987" w:rsidRPr="00322179" w:rsidRDefault="00A65987" w:rsidP="00322179">
      <w:pPr>
        <w:spacing w:after="0" w:line="240" w:lineRule="auto"/>
        <w:jc w:val="center"/>
        <w:rPr>
          <w:rFonts w:ascii="Times New Roman" w:hAnsi="Times New Roman" w:cs="Times New Roman"/>
          <w:b/>
        </w:rPr>
      </w:pPr>
    </w:p>
    <w:p w14:paraId="1144CFB1" w14:textId="77777777" w:rsidR="00A65987" w:rsidRPr="00322179" w:rsidRDefault="00A65987" w:rsidP="00322179">
      <w:pPr>
        <w:spacing w:after="0" w:line="240" w:lineRule="auto"/>
        <w:jc w:val="center"/>
        <w:rPr>
          <w:rFonts w:ascii="Times New Roman" w:hAnsi="Times New Roman" w:cs="Times New Roman"/>
          <w:b/>
        </w:rPr>
      </w:pPr>
    </w:p>
    <w:p w14:paraId="17E06C41" w14:textId="77777777" w:rsidR="00A65987" w:rsidRPr="00322179" w:rsidRDefault="00A65987" w:rsidP="00322179">
      <w:pPr>
        <w:spacing w:after="0" w:line="240" w:lineRule="auto"/>
        <w:jc w:val="center"/>
        <w:rPr>
          <w:rFonts w:ascii="Times New Roman" w:hAnsi="Times New Roman" w:cs="Times New Roman"/>
          <w:b/>
        </w:rPr>
      </w:pPr>
    </w:p>
    <w:p w14:paraId="17A5C0DF" w14:textId="77777777" w:rsidR="00A65987" w:rsidRPr="00322179" w:rsidRDefault="00A65987" w:rsidP="00322179">
      <w:pPr>
        <w:spacing w:after="0" w:line="240" w:lineRule="auto"/>
        <w:jc w:val="center"/>
        <w:rPr>
          <w:rFonts w:ascii="Times New Roman" w:hAnsi="Times New Roman" w:cs="Times New Roman"/>
          <w:b/>
        </w:rPr>
      </w:pPr>
    </w:p>
    <w:p w14:paraId="4CE4FAE3" w14:textId="77777777" w:rsidR="00A65987" w:rsidRPr="00322179" w:rsidRDefault="00A65987" w:rsidP="00322179">
      <w:pPr>
        <w:spacing w:after="0" w:line="240" w:lineRule="auto"/>
        <w:rPr>
          <w:rFonts w:ascii="Times New Roman" w:hAnsi="Times New Roman" w:cs="Times New Roman"/>
          <w:b/>
        </w:rPr>
      </w:pPr>
    </w:p>
    <w:p w14:paraId="0779A212" w14:textId="77777777" w:rsidR="00A65987" w:rsidRPr="00322179" w:rsidRDefault="00A65987" w:rsidP="00322179">
      <w:pPr>
        <w:spacing w:after="0" w:line="240" w:lineRule="auto"/>
        <w:jc w:val="center"/>
        <w:rPr>
          <w:rFonts w:ascii="Times New Roman" w:hAnsi="Times New Roman" w:cs="Times New Roman"/>
          <w:b/>
        </w:rPr>
      </w:pPr>
    </w:p>
    <w:p w14:paraId="604B4A94" w14:textId="77777777" w:rsidR="00A65987" w:rsidRPr="00322179" w:rsidRDefault="00A65987" w:rsidP="00322179">
      <w:pPr>
        <w:spacing w:after="0" w:line="240" w:lineRule="auto"/>
        <w:jc w:val="center"/>
        <w:rPr>
          <w:rFonts w:ascii="Times New Roman" w:hAnsi="Times New Roman" w:cs="Times New Roman"/>
          <w:b/>
        </w:rPr>
      </w:pPr>
      <w:r w:rsidRPr="00322179">
        <w:rPr>
          <w:rFonts w:ascii="Times New Roman" w:hAnsi="Times New Roman" w:cs="Times New Roman"/>
          <w:b/>
          <w:noProof/>
        </w:rPr>
        <mc:AlternateContent>
          <mc:Choice Requires="wps">
            <w:drawing>
              <wp:anchor distT="0" distB="0" distL="114300" distR="114300" simplePos="0" relativeHeight="251668480" behindDoc="0" locked="0" layoutInCell="1" allowOverlap="1" wp14:anchorId="0FCBD11F" wp14:editId="19225194">
                <wp:simplePos x="0" y="0"/>
                <wp:positionH relativeFrom="column">
                  <wp:posOffset>2325370</wp:posOffset>
                </wp:positionH>
                <wp:positionV relativeFrom="paragraph">
                  <wp:posOffset>93345</wp:posOffset>
                </wp:positionV>
                <wp:extent cx="1426845" cy="297180"/>
                <wp:effectExtent l="0" t="0" r="20955" b="26670"/>
                <wp:wrapNone/>
                <wp:docPr id="1077"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297180"/>
                        </a:xfrm>
                        <a:prstGeom prst="roundRect">
                          <a:avLst>
                            <a:gd name="adj" fmla="val 16667"/>
                          </a:avLst>
                        </a:prstGeom>
                        <a:solidFill>
                          <a:srgbClr val="A9C7FD"/>
                        </a:solidFill>
                        <a:ln w="9525">
                          <a:solidFill>
                            <a:srgbClr val="000000"/>
                          </a:solidFill>
                          <a:round/>
                        </a:ln>
                      </wps:spPr>
                      <wps:txbx>
                        <w:txbxContent>
                          <w:p w14:paraId="1E703132" w14:textId="77777777" w:rsidR="00A65987" w:rsidRDefault="00A65987" w:rsidP="00A65987">
                            <w:pPr>
                              <w:pStyle w:val="Heading21"/>
                              <w:spacing w:before="0"/>
                              <w:jc w:val="center"/>
                              <w:rPr>
                                <w:rFonts w:ascii="Candara" w:hAnsi="Candara"/>
                              </w:rPr>
                            </w:pPr>
                            <w:r>
                              <w:rPr>
                                <w:rFonts w:ascii="Candara" w:hAnsi="Candara"/>
                              </w:rPr>
                              <w:t>Analysis</w:t>
                            </w:r>
                          </w:p>
                        </w:txbxContent>
                      </wps:txbx>
                      <wps:bodyPr rot="0" vert="horz" wrap="square" lIns="45720" tIns="45720" rIns="45720" bIns="45720" anchor="t" anchorCtr="0" upright="1">
                        <a:noAutofit/>
                      </wps:bodyPr>
                    </wps:wsp>
                  </a:graphicData>
                </a:graphic>
              </wp:anchor>
            </w:drawing>
          </mc:Choice>
          <mc:Fallback>
            <w:pict>
              <v:roundrect w14:anchorId="0FCBD11F" id="Rectangle: Rounded Corners 19" o:spid="_x0000_s1038" style="position:absolute;left:0;text-align:left;margin-left:183.1pt;margin-top:7.35pt;width:112.35pt;height:23.4pt;z-index:2516684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" fillcolor="#a9c7fd">
                <v:textbox inset="3.6pt,,3.6pt">
                  <w:txbxContent>
                    <w:p w14:paraId="1E703132" w14:textId="77777777" w:rsidR="00A65987" w:rsidRDefault="00A65987" w:rsidP="00A65987">
                      <w:pPr>
                        <w:pStyle w:val="Heading21"/>
                        <w:spacing w:before="0"/>
                        <w:jc w:val="center"/>
                        <w:rPr>
                          <w:rFonts w:ascii="Candara" w:hAnsi="Candara"/>
                        </w:rPr>
                      </w:pPr>
                      <w:r>
                        <w:rPr>
                          <w:rFonts w:ascii="Candara" w:hAnsi="Candara"/>
                        </w:rPr>
                        <w:t>Analysis</w:t>
                      </w:r>
                    </w:p>
                  </w:txbxContent>
                </v:textbox>
              </v:roundrect>
            </w:pict>
          </mc:Fallback>
        </mc:AlternateContent>
      </w:r>
    </w:p>
    <w:p w14:paraId="4378F8E4" w14:textId="77777777" w:rsidR="00A65987" w:rsidRPr="00322179" w:rsidRDefault="00A65987" w:rsidP="00322179">
      <w:pPr>
        <w:spacing w:after="0" w:line="240" w:lineRule="auto"/>
        <w:rPr>
          <w:rFonts w:ascii="Times New Roman" w:hAnsi="Times New Roman" w:cs="Times New Roman"/>
          <w:b/>
        </w:rPr>
      </w:pPr>
    </w:p>
    <w:p w14:paraId="12F1169A" w14:textId="77777777" w:rsidR="00A65987" w:rsidRPr="00322179" w:rsidRDefault="00A65987" w:rsidP="00322179">
      <w:pPr>
        <w:spacing w:after="0" w:line="240" w:lineRule="auto"/>
        <w:jc w:val="right"/>
        <w:rPr>
          <w:rFonts w:ascii="Times New Roman" w:hAnsi="Times New Roman" w:cs="Times New Roman"/>
          <w:b/>
        </w:rPr>
      </w:pPr>
    </w:p>
    <w:p w14:paraId="45FCC845" w14:textId="77777777" w:rsidR="00A65987" w:rsidRPr="00322179" w:rsidRDefault="00A65987" w:rsidP="00322179">
      <w:pPr>
        <w:spacing w:after="0" w:line="240" w:lineRule="auto"/>
        <w:jc w:val="right"/>
        <w:rPr>
          <w:rFonts w:ascii="Times New Roman" w:hAnsi="Times New Roman" w:cs="Times New Roman"/>
          <w:b/>
        </w:rPr>
      </w:pPr>
    </w:p>
    <w:p w14:paraId="0D9BCCFF" w14:textId="77777777" w:rsidR="00A65987" w:rsidRPr="00322179" w:rsidRDefault="00A65987" w:rsidP="00322179">
      <w:pPr>
        <w:spacing w:after="0" w:line="240" w:lineRule="auto"/>
        <w:jc w:val="right"/>
        <w:rPr>
          <w:rFonts w:ascii="Times New Roman" w:hAnsi="Times New Roman" w:cs="Times New Roman"/>
          <w:b/>
        </w:rPr>
      </w:pPr>
    </w:p>
    <w:p w14:paraId="2D140284" w14:textId="77777777" w:rsidR="00A65987" w:rsidRPr="00322179" w:rsidRDefault="00A65987" w:rsidP="00322179">
      <w:pPr>
        <w:spacing w:line="240" w:lineRule="auto"/>
        <w:rPr>
          <w:rFonts w:ascii="Times New Roman" w:hAnsi="Times New Roman" w:cs="Times New Roman"/>
          <w:b/>
        </w:rPr>
      </w:pPr>
      <w:r w:rsidRPr="00322179">
        <w:rPr>
          <w:rFonts w:ascii="Times New Roman" w:hAnsi="Times New Roman" w:cs="Times New Roman"/>
          <w:b/>
        </w:rPr>
        <w:t xml:space="preserve">                                                      Figure 1: Study Flow Diagram</w:t>
      </w:r>
    </w:p>
    <w:p w14:paraId="41E72BD1" w14:textId="77777777" w:rsidR="00A65987" w:rsidRPr="000172E5" w:rsidRDefault="00A65987" w:rsidP="00322179">
      <w:pPr>
        <w:spacing w:line="240" w:lineRule="auto"/>
        <w:rPr>
          <w:rFonts w:ascii="Times New Roman" w:hAnsi="Times New Roman" w:cs="Times New Roman"/>
        </w:rPr>
      </w:pPr>
    </w:p>
    <w:p w14:paraId="48D7A052" w14:textId="77777777" w:rsidR="00A65987" w:rsidRPr="00322179" w:rsidRDefault="00A65987" w:rsidP="00322179">
      <w:pPr>
        <w:spacing w:line="240" w:lineRule="auto"/>
        <w:rPr>
          <w:rFonts w:ascii="Times New Roman" w:hAnsi="Times New Roman" w:cs="Times New Roman"/>
          <w:b/>
        </w:rPr>
      </w:pPr>
      <w:r w:rsidRPr="00322179">
        <w:rPr>
          <w:rFonts w:ascii="Times New Roman" w:hAnsi="Times New Roman" w:cs="Times New Roman"/>
          <w:b/>
          <w:bCs/>
        </w:rPr>
        <w:t>Table 1: Socio-demographic characteristics of study population</w:t>
      </w:r>
    </w:p>
    <w:p w14:paraId="132E3386" w14:textId="77777777" w:rsidR="00A65987" w:rsidRPr="00322179" w:rsidRDefault="00A65987" w:rsidP="00322179">
      <w:pPr>
        <w:pStyle w:val="Heading2"/>
        <w:spacing w:line="240" w:lineRule="auto"/>
        <w:rPr>
          <w:rFonts w:ascii="Times New Roman" w:hAnsi="Times New Roman" w:cs="Times New Roman"/>
          <w:b/>
          <w:bCs/>
          <w:color w:val="auto"/>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A65987" w:rsidRPr="00322179" w14:paraId="391AB22B" w14:textId="77777777" w:rsidTr="006771AC">
        <w:tc>
          <w:tcPr>
            <w:tcW w:w="2337" w:type="dxa"/>
          </w:tcPr>
          <w:p w14:paraId="6E7B44F6" w14:textId="77777777" w:rsidR="00A65987" w:rsidRPr="00322179" w:rsidRDefault="00A65987" w:rsidP="00322179">
            <w:pPr>
              <w:pStyle w:val="Heading2"/>
              <w:jc w:val="center"/>
              <w:outlineLvl w:val="1"/>
              <w:rPr>
                <w:rFonts w:ascii="Times New Roman" w:hAnsi="Times New Roman" w:cs="Times New Roman"/>
                <w:b/>
                <w:bCs/>
                <w:color w:val="000000" w:themeColor="text1"/>
                <w:sz w:val="24"/>
                <w:szCs w:val="24"/>
              </w:rPr>
            </w:pPr>
            <w:r w:rsidRPr="00322179">
              <w:rPr>
                <w:rFonts w:ascii="Times New Roman" w:hAnsi="Times New Roman" w:cs="Times New Roman"/>
                <w:b/>
                <w:color w:val="000000" w:themeColor="text1"/>
                <w:sz w:val="24"/>
                <w:szCs w:val="24"/>
              </w:rPr>
              <w:t>Parameters</w:t>
            </w:r>
          </w:p>
        </w:tc>
        <w:tc>
          <w:tcPr>
            <w:tcW w:w="2337" w:type="dxa"/>
          </w:tcPr>
          <w:p w14:paraId="0A1194CC" w14:textId="77777777" w:rsidR="00A65987" w:rsidRPr="00322179" w:rsidRDefault="00A65987" w:rsidP="00322179">
            <w:pPr>
              <w:pStyle w:val="Heading2"/>
              <w:jc w:val="center"/>
              <w:outlineLvl w:val="1"/>
              <w:rPr>
                <w:rFonts w:ascii="Times New Roman" w:hAnsi="Times New Roman" w:cs="Times New Roman"/>
                <w:b/>
                <w:color w:val="000000" w:themeColor="text1"/>
                <w:sz w:val="24"/>
                <w:szCs w:val="24"/>
              </w:rPr>
            </w:pPr>
            <w:r w:rsidRPr="00322179">
              <w:rPr>
                <w:rFonts w:ascii="Times New Roman" w:hAnsi="Times New Roman" w:cs="Times New Roman"/>
                <w:b/>
                <w:color w:val="000000" w:themeColor="text1"/>
                <w:sz w:val="24"/>
                <w:szCs w:val="24"/>
              </w:rPr>
              <w:t>OCP Group</w:t>
            </w:r>
          </w:p>
          <w:p w14:paraId="5F85FA4C" w14:textId="77777777" w:rsidR="00A65987" w:rsidRPr="00322179" w:rsidRDefault="00A65987" w:rsidP="00322179">
            <w:pPr>
              <w:pStyle w:val="Heading2"/>
              <w:jc w:val="center"/>
              <w:outlineLvl w:val="1"/>
              <w:rPr>
                <w:rFonts w:ascii="Times New Roman" w:hAnsi="Times New Roman" w:cs="Times New Roman"/>
                <w:b/>
                <w:bCs/>
                <w:color w:val="000000" w:themeColor="text1"/>
                <w:sz w:val="24"/>
                <w:szCs w:val="24"/>
              </w:rPr>
            </w:pPr>
            <w:r w:rsidRPr="00322179">
              <w:rPr>
                <w:rFonts w:ascii="Times New Roman" w:hAnsi="Times New Roman" w:cs="Times New Roman"/>
                <w:b/>
                <w:color w:val="000000" w:themeColor="text1"/>
                <w:sz w:val="24"/>
                <w:szCs w:val="24"/>
              </w:rPr>
              <w:t>(n=43)</w:t>
            </w:r>
          </w:p>
        </w:tc>
        <w:tc>
          <w:tcPr>
            <w:tcW w:w="2338" w:type="dxa"/>
          </w:tcPr>
          <w:p w14:paraId="31E02B8C" w14:textId="77777777" w:rsidR="00A65987" w:rsidRPr="00322179" w:rsidRDefault="00A65987" w:rsidP="00322179">
            <w:pPr>
              <w:pStyle w:val="Heading2"/>
              <w:jc w:val="center"/>
              <w:outlineLvl w:val="1"/>
              <w:rPr>
                <w:rFonts w:ascii="Times New Roman" w:hAnsi="Times New Roman" w:cs="Times New Roman"/>
                <w:b/>
                <w:bCs/>
                <w:color w:val="000000" w:themeColor="text1"/>
                <w:sz w:val="24"/>
                <w:szCs w:val="24"/>
              </w:rPr>
            </w:pPr>
            <w:r w:rsidRPr="00322179">
              <w:rPr>
                <w:rFonts w:ascii="Times New Roman" w:hAnsi="Times New Roman" w:cs="Times New Roman"/>
                <w:b/>
                <w:color w:val="000000" w:themeColor="text1"/>
                <w:sz w:val="24"/>
                <w:szCs w:val="24"/>
              </w:rPr>
              <w:t>Natural cycle Group (n=43)</w:t>
            </w:r>
          </w:p>
        </w:tc>
        <w:tc>
          <w:tcPr>
            <w:tcW w:w="2338" w:type="dxa"/>
          </w:tcPr>
          <w:p w14:paraId="7FF36FF3" w14:textId="77777777" w:rsidR="00A65987" w:rsidRPr="00322179" w:rsidRDefault="00A65987" w:rsidP="00322179">
            <w:pPr>
              <w:pStyle w:val="Heading2"/>
              <w:jc w:val="center"/>
              <w:outlineLvl w:val="1"/>
              <w:rPr>
                <w:rFonts w:ascii="Times New Roman" w:hAnsi="Times New Roman" w:cs="Times New Roman"/>
                <w:b/>
                <w:bCs/>
                <w:color w:val="000000" w:themeColor="text1"/>
                <w:sz w:val="24"/>
                <w:szCs w:val="24"/>
              </w:rPr>
            </w:pPr>
            <w:r w:rsidRPr="00322179">
              <w:rPr>
                <w:rFonts w:ascii="Times New Roman" w:hAnsi="Times New Roman" w:cs="Times New Roman"/>
                <w:b/>
                <w:i/>
                <w:color w:val="000000" w:themeColor="text1"/>
                <w:sz w:val="24"/>
                <w:szCs w:val="24"/>
              </w:rPr>
              <w:t>Chi square value</w:t>
            </w:r>
          </w:p>
        </w:tc>
      </w:tr>
      <w:tr w:rsidR="00A65987" w:rsidRPr="00322179" w14:paraId="2E8C3D01" w14:textId="77777777" w:rsidTr="006771AC">
        <w:tc>
          <w:tcPr>
            <w:tcW w:w="2337" w:type="dxa"/>
          </w:tcPr>
          <w:p w14:paraId="5031DCE2" w14:textId="77777777" w:rsidR="00A65987" w:rsidRPr="00322179" w:rsidRDefault="00A65987" w:rsidP="00322179">
            <w:pPr>
              <w:pStyle w:val="Heading2"/>
              <w:jc w:val="center"/>
              <w:outlineLvl w:val="1"/>
              <w:rPr>
                <w:rFonts w:ascii="Times New Roman" w:hAnsi="Times New Roman" w:cs="Times New Roman"/>
                <w:color w:val="000000" w:themeColor="text1"/>
                <w:sz w:val="24"/>
                <w:szCs w:val="24"/>
              </w:rPr>
            </w:pPr>
          </w:p>
        </w:tc>
        <w:tc>
          <w:tcPr>
            <w:tcW w:w="2337" w:type="dxa"/>
          </w:tcPr>
          <w:p w14:paraId="23F3ABF6" w14:textId="77777777" w:rsidR="00A65987" w:rsidRPr="00322179" w:rsidRDefault="00A65987" w:rsidP="00322179">
            <w:pPr>
              <w:pStyle w:val="Heading2"/>
              <w:jc w:val="center"/>
              <w:outlineLvl w:val="1"/>
              <w:rPr>
                <w:rFonts w:ascii="Times New Roman" w:hAnsi="Times New Roman" w:cs="Times New Roman"/>
                <w:color w:val="000000" w:themeColor="text1"/>
                <w:sz w:val="24"/>
                <w:szCs w:val="24"/>
              </w:rPr>
            </w:pPr>
            <w:r w:rsidRPr="00322179">
              <w:rPr>
                <w:rFonts w:ascii="Times New Roman" w:hAnsi="Times New Roman" w:cs="Times New Roman"/>
                <w:color w:val="000000" w:themeColor="text1"/>
                <w:sz w:val="24"/>
                <w:szCs w:val="24"/>
              </w:rPr>
              <w:t xml:space="preserve">Mean </w:t>
            </w:r>
            <w:r w:rsidRPr="00322179">
              <w:rPr>
                <w:rFonts w:ascii="Times New Roman" w:hAnsi="Times New Roman" w:cs="Times New Roman"/>
                <w:color w:val="000000" w:themeColor="text1"/>
                <w:sz w:val="24"/>
                <w:szCs w:val="24"/>
                <w:shd w:val="clear" w:color="auto" w:fill="FCFCFC"/>
              </w:rPr>
              <w:t>±</w:t>
            </w:r>
            <w:r w:rsidRPr="00322179">
              <w:rPr>
                <w:rFonts w:ascii="Times New Roman" w:hAnsi="Times New Roman" w:cs="Times New Roman"/>
                <w:i/>
                <w:color w:val="000000" w:themeColor="text1"/>
                <w:sz w:val="24"/>
                <w:szCs w:val="24"/>
                <w:shd w:val="clear" w:color="auto" w:fill="FCFCFC"/>
              </w:rPr>
              <w:t>SD</w:t>
            </w:r>
            <w:r w:rsidRPr="00322179">
              <w:rPr>
                <w:rFonts w:ascii="Times New Roman" w:hAnsi="Times New Roman" w:cs="Times New Roman"/>
                <w:color w:val="000000" w:themeColor="text1"/>
                <w:sz w:val="24"/>
                <w:szCs w:val="24"/>
                <w:shd w:val="clear" w:color="auto" w:fill="FCFCFC"/>
              </w:rPr>
              <w:t>/n (%)</w:t>
            </w:r>
          </w:p>
        </w:tc>
        <w:tc>
          <w:tcPr>
            <w:tcW w:w="2338" w:type="dxa"/>
          </w:tcPr>
          <w:p w14:paraId="5618B862" w14:textId="77777777" w:rsidR="00A65987" w:rsidRPr="00322179" w:rsidRDefault="00A65987" w:rsidP="00322179">
            <w:pPr>
              <w:pStyle w:val="Heading2"/>
              <w:jc w:val="center"/>
              <w:outlineLvl w:val="1"/>
              <w:rPr>
                <w:rFonts w:ascii="Times New Roman" w:hAnsi="Times New Roman" w:cs="Times New Roman"/>
                <w:color w:val="000000" w:themeColor="text1"/>
                <w:sz w:val="24"/>
                <w:szCs w:val="24"/>
              </w:rPr>
            </w:pPr>
            <w:r w:rsidRPr="00322179">
              <w:rPr>
                <w:rFonts w:ascii="Times New Roman" w:hAnsi="Times New Roman" w:cs="Times New Roman"/>
                <w:color w:val="000000" w:themeColor="text1"/>
                <w:sz w:val="24"/>
                <w:szCs w:val="24"/>
              </w:rPr>
              <w:t xml:space="preserve">Mean </w:t>
            </w:r>
            <w:r w:rsidRPr="00322179">
              <w:rPr>
                <w:rFonts w:ascii="Times New Roman" w:hAnsi="Times New Roman" w:cs="Times New Roman"/>
                <w:color w:val="000000" w:themeColor="text1"/>
                <w:sz w:val="24"/>
                <w:szCs w:val="24"/>
                <w:shd w:val="clear" w:color="auto" w:fill="FCFCFC"/>
              </w:rPr>
              <w:t>±</w:t>
            </w:r>
            <w:r w:rsidRPr="00322179">
              <w:rPr>
                <w:rFonts w:ascii="Times New Roman" w:hAnsi="Times New Roman" w:cs="Times New Roman"/>
                <w:i/>
                <w:color w:val="000000" w:themeColor="text1"/>
                <w:sz w:val="24"/>
                <w:szCs w:val="24"/>
                <w:shd w:val="clear" w:color="auto" w:fill="FCFCFC"/>
              </w:rPr>
              <w:t>SD</w:t>
            </w:r>
            <w:r w:rsidRPr="00322179">
              <w:rPr>
                <w:rFonts w:ascii="Times New Roman" w:hAnsi="Times New Roman" w:cs="Times New Roman"/>
                <w:color w:val="000000" w:themeColor="text1"/>
                <w:sz w:val="24"/>
                <w:szCs w:val="24"/>
                <w:shd w:val="clear" w:color="auto" w:fill="FCFCFC"/>
              </w:rPr>
              <w:t>/n (%)</w:t>
            </w:r>
          </w:p>
        </w:tc>
        <w:tc>
          <w:tcPr>
            <w:tcW w:w="2338" w:type="dxa"/>
          </w:tcPr>
          <w:p w14:paraId="0D667467" w14:textId="77777777" w:rsidR="00A65987" w:rsidRPr="00322179" w:rsidRDefault="00A65987" w:rsidP="00322179">
            <w:pPr>
              <w:pStyle w:val="Heading2"/>
              <w:jc w:val="center"/>
              <w:outlineLvl w:val="1"/>
              <w:rPr>
                <w:rFonts w:ascii="Times New Roman" w:hAnsi="Times New Roman" w:cs="Times New Roman"/>
                <w:i/>
                <w:color w:val="000000" w:themeColor="text1"/>
                <w:sz w:val="24"/>
                <w:szCs w:val="24"/>
              </w:rPr>
            </w:pPr>
          </w:p>
        </w:tc>
      </w:tr>
      <w:tr w:rsidR="00A65987" w:rsidRPr="00322179" w14:paraId="7935435B" w14:textId="77777777" w:rsidTr="006771AC">
        <w:tc>
          <w:tcPr>
            <w:tcW w:w="2337" w:type="dxa"/>
          </w:tcPr>
          <w:p w14:paraId="550D21EF"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color w:val="000000" w:themeColor="text1"/>
                <w:sz w:val="24"/>
                <w:szCs w:val="24"/>
              </w:rPr>
              <w:t>Mean age (year)</w:t>
            </w:r>
          </w:p>
        </w:tc>
        <w:tc>
          <w:tcPr>
            <w:tcW w:w="2337" w:type="dxa"/>
          </w:tcPr>
          <w:p w14:paraId="73DBAE1B"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color w:val="000000" w:themeColor="text1"/>
                <w:sz w:val="24"/>
                <w:szCs w:val="24"/>
                <w:shd w:val="clear" w:color="auto" w:fill="FCFCFC"/>
              </w:rPr>
              <w:t>±SD</w:t>
            </w:r>
            <w:r w:rsidRPr="00322179">
              <w:rPr>
                <w:rFonts w:ascii="Times New Roman" w:hAnsi="Times New Roman" w:cs="Times New Roman"/>
                <w:color w:val="000000" w:themeColor="text1"/>
                <w:sz w:val="24"/>
                <w:szCs w:val="24"/>
                <w:shd w:val="clear" w:color="auto" w:fill="FCFCFC"/>
              </w:rPr>
              <w:tab/>
              <w:t>33.05±3.65</w:t>
            </w:r>
          </w:p>
        </w:tc>
        <w:tc>
          <w:tcPr>
            <w:tcW w:w="2338" w:type="dxa"/>
          </w:tcPr>
          <w:p w14:paraId="4DB32B4F"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color w:val="000000" w:themeColor="text1"/>
                <w:sz w:val="24"/>
                <w:szCs w:val="24"/>
                <w:shd w:val="clear" w:color="auto" w:fill="FCFCFC"/>
              </w:rPr>
              <w:t>33.05±3.96</w:t>
            </w:r>
          </w:p>
        </w:tc>
        <w:tc>
          <w:tcPr>
            <w:tcW w:w="2338" w:type="dxa"/>
          </w:tcPr>
          <w:p w14:paraId="6D9145F2"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4083D7E5" w14:textId="77777777" w:rsidTr="006771AC">
        <w:tc>
          <w:tcPr>
            <w:tcW w:w="2337" w:type="dxa"/>
          </w:tcPr>
          <w:p w14:paraId="0B65F060" w14:textId="77777777" w:rsidR="00A65987" w:rsidRPr="00322179" w:rsidRDefault="00A65987" w:rsidP="00322179">
            <w:pPr>
              <w:rPr>
                <w:rFonts w:ascii="Times New Roman" w:hAnsi="Times New Roman" w:cs="Times New Roman"/>
                <w:color w:val="000000" w:themeColor="text1"/>
                <w:sz w:val="24"/>
                <w:szCs w:val="24"/>
                <w:shd w:val="clear" w:color="auto" w:fill="FCFCFC"/>
              </w:rPr>
            </w:pPr>
            <w:r w:rsidRPr="00322179">
              <w:rPr>
                <w:rFonts w:ascii="Times New Roman" w:hAnsi="Times New Roman" w:cs="Times New Roman"/>
                <w:color w:val="000000" w:themeColor="text1"/>
                <w:sz w:val="24"/>
                <w:szCs w:val="24"/>
                <w:shd w:val="clear" w:color="auto" w:fill="FCFCFC"/>
              </w:rPr>
              <w:t>Age grouping (years)</w:t>
            </w:r>
          </w:p>
        </w:tc>
        <w:tc>
          <w:tcPr>
            <w:tcW w:w="2337" w:type="dxa"/>
          </w:tcPr>
          <w:p w14:paraId="60C33F28"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8" w:type="dxa"/>
          </w:tcPr>
          <w:p w14:paraId="3D5AC8C8"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8" w:type="dxa"/>
          </w:tcPr>
          <w:p w14:paraId="5ED58608"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44A9C66F" w14:textId="77777777" w:rsidTr="006771AC">
        <w:tc>
          <w:tcPr>
            <w:tcW w:w="2337" w:type="dxa"/>
          </w:tcPr>
          <w:p w14:paraId="1CFE30C1"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lastRenderedPageBreak/>
              <w:t>21- 25</w:t>
            </w:r>
          </w:p>
        </w:tc>
        <w:tc>
          <w:tcPr>
            <w:tcW w:w="2337" w:type="dxa"/>
          </w:tcPr>
          <w:p w14:paraId="5EA1174E"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color w:val="000000" w:themeColor="text1"/>
                <w:sz w:val="24"/>
                <w:szCs w:val="24"/>
                <w:shd w:val="clear" w:color="auto" w:fill="FCFCFC"/>
              </w:rPr>
              <w:t xml:space="preserve">    1(50%)</w:t>
            </w:r>
          </w:p>
        </w:tc>
        <w:tc>
          <w:tcPr>
            <w:tcW w:w="2338" w:type="dxa"/>
          </w:tcPr>
          <w:p w14:paraId="6507F834"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color w:val="000000" w:themeColor="text1"/>
                <w:sz w:val="24"/>
                <w:szCs w:val="24"/>
                <w:shd w:val="clear" w:color="auto" w:fill="FCFCFC"/>
              </w:rPr>
              <w:t xml:space="preserve">    1(50%)</w:t>
            </w:r>
          </w:p>
        </w:tc>
        <w:tc>
          <w:tcPr>
            <w:tcW w:w="2338" w:type="dxa"/>
          </w:tcPr>
          <w:p w14:paraId="7DC9E02B"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5EFD46EF" w14:textId="77777777" w:rsidTr="006771AC">
        <w:tc>
          <w:tcPr>
            <w:tcW w:w="2337" w:type="dxa"/>
          </w:tcPr>
          <w:p w14:paraId="402E710F"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26 -30</w:t>
            </w:r>
          </w:p>
        </w:tc>
        <w:tc>
          <w:tcPr>
            <w:tcW w:w="2337" w:type="dxa"/>
          </w:tcPr>
          <w:p w14:paraId="50B41308"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10(41.7%)</w:t>
            </w:r>
          </w:p>
        </w:tc>
        <w:tc>
          <w:tcPr>
            <w:tcW w:w="2338" w:type="dxa"/>
          </w:tcPr>
          <w:p w14:paraId="274AF7CB"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14(58.3%)</w:t>
            </w:r>
          </w:p>
        </w:tc>
        <w:tc>
          <w:tcPr>
            <w:tcW w:w="2338" w:type="dxa"/>
          </w:tcPr>
          <w:p w14:paraId="0210F114"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74A0DC2C" w14:textId="77777777" w:rsidTr="006771AC">
        <w:tc>
          <w:tcPr>
            <w:tcW w:w="2337" w:type="dxa"/>
          </w:tcPr>
          <w:p w14:paraId="35972149"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31 -35</w:t>
            </w:r>
          </w:p>
        </w:tc>
        <w:tc>
          <w:tcPr>
            <w:tcW w:w="2337" w:type="dxa"/>
          </w:tcPr>
          <w:p w14:paraId="01E4AB90"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20(64.5%)</w:t>
            </w:r>
          </w:p>
        </w:tc>
        <w:tc>
          <w:tcPr>
            <w:tcW w:w="2338" w:type="dxa"/>
          </w:tcPr>
          <w:p w14:paraId="3C967613"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11(35.5%)</w:t>
            </w:r>
          </w:p>
        </w:tc>
        <w:tc>
          <w:tcPr>
            <w:tcW w:w="2338" w:type="dxa"/>
          </w:tcPr>
          <w:p w14:paraId="733C8AAC"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0.247</w:t>
            </w:r>
          </w:p>
        </w:tc>
      </w:tr>
      <w:tr w:rsidR="00A65987" w:rsidRPr="00322179" w14:paraId="216B4AC6" w14:textId="77777777" w:rsidTr="006771AC">
        <w:tc>
          <w:tcPr>
            <w:tcW w:w="2337" w:type="dxa"/>
          </w:tcPr>
          <w:p w14:paraId="5A2B6F35"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36 -40</w:t>
            </w:r>
          </w:p>
        </w:tc>
        <w:tc>
          <w:tcPr>
            <w:tcW w:w="2337" w:type="dxa"/>
          </w:tcPr>
          <w:p w14:paraId="4F561B65"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12(41.4%)</w:t>
            </w:r>
          </w:p>
        </w:tc>
        <w:tc>
          <w:tcPr>
            <w:tcW w:w="2338" w:type="dxa"/>
          </w:tcPr>
          <w:p w14:paraId="3565D50C"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17(58.6%)</w:t>
            </w:r>
          </w:p>
        </w:tc>
        <w:tc>
          <w:tcPr>
            <w:tcW w:w="2338" w:type="dxa"/>
          </w:tcPr>
          <w:p w14:paraId="1EAB01A8"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6DE280AA" w14:textId="77777777" w:rsidTr="006771AC">
        <w:tc>
          <w:tcPr>
            <w:tcW w:w="2337" w:type="dxa"/>
          </w:tcPr>
          <w:p w14:paraId="2C203F02"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7" w:type="dxa"/>
          </w:tcPr>
          <w:p w14:paraId="6C1E0897"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8" w:type="dxa"/>
          </w:tcPr>
          <w:p w14:paraId="573C7307"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8" w:type="dxa"/>
          </w:tcPr>
          <w:p w14:paraId="4515BC38"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691385AD" w14:textId="77777777" w:rsidTr="006771AC">
        <w:tc>
          <w:tcPr>
            <w:tcW w:w="2337" w:type="dxa"/>
          </w:tcPr>
          <w:p w14:paraId="256EEF2C"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Ethnicity</w:t>
            </w:r>
          </w:p>
        </w:tc>
        <w:tc>
          <w:tcPr>
            <w:tcW w:w="2337" w:type="dxa"/>
          </w:tcPr>
          <w:p w14:paraId="2BDA36BD"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8" w:type="dxa"/>
          </w:tcPr>
          <w:p w14:paraId="6D72BCA3"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8" w:type="dxa"/>
          </w:tcPr>
          <w:p w14:paraId="65BB9A18"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0AEA960B" w14:textId="77777777" w:rsidTr="006771AC">
        <w:tc>
          <w:tcPr>
            <w:tcW w:w="2337" w:type="dxa"/>
          </w:tcPr>
          <w:p w14:paraId="2CFC1A76"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Hausa</w:t>
            </w:r>
          </w:p>
        </w:tc>
        <w:tc>
          <w:tcPr>
            <w:tcW w:w="2337" w:type="dxa"/>
          </w:tcPr>
          <w:p w14:paraId="5E8FE7D3"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5(31.3%)</w:t>
            </w:r>
          </w:p>
        </w:tc>
        <w:tc>
          <w:tcPr>
            <w:tcW w:w="2338" w:type="dxa"/>
          </w:tcPr>
          <w:p w14:paraId="51BD6404"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11(68.8%)</w:t>
            </w:r>
          </w:p>
        </w:tc>
        <w:tc>
          <w:tcPr>
            <w:tcW w:w="2338" w:type="dxa"/>
          </w:tcPr>
          <w:p w14:paraId="69B2C98A"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7A9AF333" w14:textId="77777777" w:rsidTr="006771AC">
        <w:tc>
          <w:tcPr>
            <w:tcW w:w="2337" w:type="dxa"/>
          </w:tcPr>
          <w:p w14:paraId="648ACE7B"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Yoruba</w:t>
            </w:r>
          </w:p>
        </w:tc>
        <w:tc>
          <w:tcPr>
            <w:tcW w:w="2337" w:type="dxa"/>
          </w:tcPr>
          <w:p w14:paraId="3C201E26"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9(52.9%)</w:t>
            </w:r>
          </w:p>
        </w:tc>
        <w:tc>
          <w:tcPr>
            <w:tcW w:w="2338" w:type="dxa"/>
          </w:tcPr>
          <w:p w14:paraId="37316D00"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8(47.1%)</w:t>
            </w:r>
          </w:p>
        </w:tc>
        <w:tc>
          <w:tcPr>
            <w:tcW w:w="2338" w:type="dxa"/>
          </w:tcPr>
          <w:p w14:paraId="7E2F60A1"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0.418</w:t>
            </w:r>
          </w:p>
        </w:tc>
      </w:tr>
      <w:tr w:rsidR="00A65987" w:rsidRPr="00322179" w14:paraId="3EB77106" w14:textId="77777777" w:rsidTr="006771AC">
        <w:tc>
          <w:tcPr>
            <w:tcW w:w="2337" w:type="dxa"/>
          </w:tcPr>
          <w:p w14:paraId="2570EF54"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Igbo</w:t>
            </w:r>
          </w:p>
        </w:tc>
        <w:tc>
          <w:tcPr>
            <w:tcW w:w="2337" w:type="dxa"/>
          </w:tcPr>
          <w:p w14:paraId="789A3078"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16(53.3%)</w:t>
            </w:r>
          </w:p>
        </w:tc>
        <w:tc>
          <w:tcPr>
            <w:tcW w:w="2338" w:type="dxa"/>
          </w:tcPr>
          <w:p w14:paraId="4E426C52"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14(46.7%)</w:t>
            </w:r>
          </w:p>
        </w:tc>
        <w:tc>
          <w:tcPr>
            <w:tcW w:w="2338" w:type="dxa"/>
          </w:tcPr>
          <w:p w14:paraId="65426206"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5A4113C8" w14:textId="77777777" w:rsidTr="006771AC">
        <w:tc>
          <w:tcPr>
            <w:tcW w:w="2337" w:type="dxa"/>
          </w:tcPr>
          <w:p w14:paraId="1E77BBCA"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Others</w:t>
            </w:r>
          </w:p>
        </w:tc>
        <w:tc>
          <w:tcPr>
            <w:tcW w:w="2337" w:type="dxa"/>
          </w:tcPr>
          <w:p w14:paraId="726BE83B"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13(56.5%)</w:t>
            </w:r>
          </w:p>
        </w:tc>
        <w:tc>
          <w:tcPr>
            <w:tcW w:w="2338" w:type="dxa"/>
          </w:tcPr>
          <w:p w14:paraId="30B913F3"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10(43.5%)</w:t>
            </w:r>
          </w:p>
        </w:tc>
        <w:tc>
          <w:tcPr>
            <w:tcW w:w="2338" w:type="dxa"/>
          </w:tcPr>
          <w:p w14:paraId="473F1623"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23EA72EE" w14:textId="77777777" w:rsidTr="006771AC">
        <w:tc>
          <w:tcPr>
            <w:tcW w:w="2337" w:type="dxa"/>
          </w:tcPr>
          <w:p w14:paraId="0DA0BC0C"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7" w:type="dxa"/>
          </w:tcPr>
          <w:p w14:paraId="6A5ACA69"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8" w:type="dxa"/>
          </w:tcPr>
          <w:p w14:paraId="381404DF"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8" w:type="dxa"/>
          </w:tcPr>
          <w:p w14:paraId="730BB9F9"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6C436639" w14:textId="77777777" w:rsidTr="006771AC">
        <w:tc>
          <w:tcPr>
            <w:tcW w:w="2337" w:type="dxa"/>
          </w:tcPr>
          <w:p w14:paraId="7447D678"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Occupation</w:t>
            </w:r>
          </w:p>
        </w:tc>
        <w:tc>
          <w:tcPr>
            <w:tcW w:w="2337" w:type="dxa"/>
          </w:tcPr>
          <w:p w14:paraId="02FBBAC6"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8" w:type="dxa"/>
          </w:tcPr>
          <w:p w14:paraId="0E38F71A"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8" w:type="dxa"/>
          </w:tcPr>
          <w:p w14:paraId="3A6C6AA1"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7FFA3F55" w14:textId="77777777" w:rsidTr="006771AC">
        <w:tc>
          <w:tcPr>
            <w:tcW w:w="2337" w:type="dxa"/>
          </w:tcPr>
          <w:p w14:paraId="70B57A56"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Employed</w:t>
            </w:r>
          </w:p>
        </w:tc>
        <w:tc>
          <w:tcPr>
            <w:tcW w:w="2337" w:type="dxa"/>
          </w:tcPr>
          <w:p w14:paraId="7D232927"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31(64.6%)</w:t>
            </w:r>
          </w:p>
        </w:tc>
        <w:tc>
          <w:tcPr>
            <w:tcW w:w="2338" w:type="dxa"/>
          </w:tcPr>
          <w:p w14:paraId="48EEBD5F"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17(35.4%)</w:t>
            </w:r>
          </w:p>
        </w:tc>
        <w:tc>
          <w:tcPr>
            <w:tcW w:w="2338" w:type="dxa"/>
          </w:tcPr>
          <w:p w14:paraId="09E3B743"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0.006</w:t>
            </w:r>
          </w:p>
        </w:tc>
      </w:tr>
      <w:tr w:rsidR="00A65987" w:rsidRPr="00322179" w14:paraId="66D725EC" w14:textId="77777777" w:rsidTr="006771AC">
        <w:tc>
          <w:tcPr>
            <w:tcW w:w="2337" w:type="dxa"/>
          </w:tcPr>
          <w:p w14:paraId="3E5C9059"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Unemployed</w:t>
            </w:r>
          </w:p>
        </w:tc>
        <w:tc>
          <w:tcPr>
            <w:tcW w:w="2337" w:type="dxa"/>
          </w:tcPr>
          <w:p w14:paraId="001A728A"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9(35.3%)</w:t>
            </w:r>
          </w:p>
        </w:tc>
        <w:tc>
          <w:tcPr>
            <w:tcW w:w="2338" w:type="dxa"/>
          </w:tcPr>
          <w:p w14:paraId="11A8C132"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23(64.7%)</w:t>
            </w:r>
          </w:p>
        </w:tc>
        <w:tc>
          <w:tcPr>
            <w:tcW w:w="2338" w:type="dxa"/>
          </w:tcPr>
          <w:p w14:paraId="12086353"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0786D241" w14:textId="77777777" w:rsidTr="006771AC">
        <w:tc>
          <w:tcPr>
            <w:tcW w:w="2337" w:type="dxa"/>
          </w:tcPr>
          <w:p w14:paraId="66D6B8AA"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Student</w:t>
            </w:r>
          </w:p>
        </w:tc>
        <w:tc>
          <w:tcPr>
            <w:tcW w:w="2337" w:type="dxa"/>
          </w:tcPr>
          <w:p w14:paraId="56772D52"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3(50.0%)</w:t>
            </w:r>
          </w:p>
        </w:tc>
        <w:tc>
          <w:tcPr>
            <w:tcW w:w="2338" w:type="dxa"/>
          </w:tcPr>
          <w:p w14:paraId="35127B48"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3(50.0%)</w:t>
            </w:r>
          </w:p>
        </w:tc>
        <w:tc>
          <w:tcPr>
            <w:tcW w:w="2338" w:type="dxa"/>
          </w:tcPr>
          <w:p w14:paraId="2110407D"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3B4FECFF" w14:textId="77777777" w:rsidTr="006771AC">
        <w:tc>
          <w:tcPr>
            <w:tcW w:w="2337" w:type="dxa"/>
          </w:tcPr>
          <w:p w14:paraId="5A3CCF18"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7" w:type="dxa"/>
          </w:tcPr>
          <w:p w14:paraId="69E1B07F"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8" w:type="dxa"/>
          </w:tcPr>
          <w:p w14:paraId="123CDDBE"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8" w:type="dxa"/>
          </w:tcPr>
          <w:p w14:paraId="44138130"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2D5699D8" w14:textId="77777777" w:rsidTr="006771AC">
        <w:tc>
          <w:tcPr>
            <w:tcW w:w="2337" w:type="dxa"/>
          </w:tcPr>
          <w:p w14:paraId="0443D552"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Marital Status</w:t>
            </w:r>
          </w:p>
        </w:tc>
        <w:tc>
          <w:tcPr>
            <w:tcW w:w="2337" w:type="dxa"/>
          </w:tcPr>
          <w:p w14:paraId="395B66BC"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8" w:type="dxa"/>
          </w:tcPr>
          <w:p w14:paraId="0280F9C4"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8" w:type="dxa"/>
          </w:tcPr>
          <w:p w14:paraId="28FA81E9"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2A1EF669" w14:textId="77777777" w:rsidTr="006771AC">
        <w:tc>
          <w:tcPr>
            <w:tcW w:w="2337" w:type="dxa"/>
          </w:tcPr>
          <w:p w14:paraId="6E58C7E9"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Married</w:t>
            </w:r>
          </w:p>
        </w:tc>
        <w:tc>
          <w:tcPr>
            <w:tcW w:w="2337" w:type="dxa"/>
          </w:tcPr>
          <w:p w14:paraId="5EFA2AAE"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38(63.3%)</w:t>
            </w:r>
          </w:p>
        </w:tc>
        <w:tc>
          <w:tcPr>
            <w:tcW w:w="2338" w:type="dxa"/>
          </w:tcPr>
          <w:p w14:paraId="3E444AEC"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22(36.7%)</w:t>
            </w:r>
          </w:p>
        </w:tc>
        <w:tc>
          <w:tcPr>
            <w:tcW w:w="2338" w:type="dxa"/>
          </w:tcPr>
          <w:p w14:paraId="5CFB2749"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300D9004" w14:textId="77777777" w:rsidTr="006771AC">
        <w:tc>
          <w:tcPr>
            <w:tcW w:w="2337" w:type="dxa"/>
          </w:tcPr>
          <w:p w14:paraId="00DFDA4A"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 xml:space="preserve">Single </w:t>
            </w:r>
          </w:p>
        </w:tc>
        <w:tc>
          <w:tcPr>
            <w:tcW w:w="2337" w:type="dxa"/>
          </w:tcPr>
          <w:p w14:paraId="26C5E894"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2(10.5%)</w:t>
            </w:r>
          </w:p>
        </w:tc>
        <w:tc>
          <w:tcPr>
            <w:tcW w:w="2338" w:type="dxa"/>
          </w:tcPr>
          <w:p w14:paraId="1178493D"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17(89.5%)</w:t>
            </w:r>
          </w:p>
        </w:tc>
        <w:tc>
          <w:tcPr>
            <w:tcW w:w="2338" w:type="dxa"/>
          </w:tcPr>
          <w:p w14:paraId="4E9E7579"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0.001</w:t>
            </w:r>
          </w:p>
        </w:tc>
      </w:tr>
      <w:tr w:rsidR="00A65987" w:rsidRPr="00322179" w14:paraId="674BEBAE" w14:textId="77777777" w:rsidTr="006771AC">
        <w:tc>
          <w:tcPr>
            <w:tcW w:w="2337" w:type="dxa"/>
          </w:tcPr>
          <w:p w14:paraId="135ABE93"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 xml:space="preserve">Divorced </w:t>
            </w:r>
          </w:p>
        </w:tc>
        <w:tc>
          <w:tcPr>
            <w:tcW w:w="2337" w:type="dxa"/>
          </w:tcPr>
          <w:p w14:paraId="1B4DCE11"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3(42.9%)</w:t>
            </w:r>
          </w:p>
        </w:tc>
        <w:tc>
          <w:tcPr>
            <w:tcW w:w="2338" w:type="dxa"/>
          </w:tcPr>
          <w:p w14:paraId="12E732A7"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4(57.1%)</w:t>
            </w:r>
          </w:p>
        </w:tc>
        <w:tc>
          <w:tcPr>
            <w:tcW w:w="2338" w:type="dxa"/>
          </w:tcPr>
          <w:p w14:paraId="4A8EE74A"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41C5E659" w14:textId="77777777" w:rsidTr="006771AC">
        <w:tc>
          <w:tcPr>
            <w:tcW w:w="2337" w:type="dxa"/>
          </w:tcPr>
          <w:p w14:paraId="669D5E55"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Widow</w:t>
            </w:r>
          </w:p>
        </w:tc>
        <w:tc>
          <w:tcPr>
            <w:tcW w:w="2337" w:type="dxa"/>
          </w:tcPr>
          <w:p w14:paraId="3E38C0D7"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0(0%)</w:t>
            </w:r>
          </w:p>
        </w:tc>
        <w:tc>
          <w:tcPr>
            <w:tcW w:w="2338" w:type="dxa"/>
          </w:tcPr>
          <w:p w14:paraId="224AC968"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0(0%)</w:t>
            </w:r>
          </w:p>
        </w:tc>
        <w:tc>
          <w:tcPr>
            <w:tcW w:w="2338" w:type="dxa"/>
          </w:tcPr>
          <w:p w14:paraId="2A1D5155"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0EE2131A" w14:textId="77777777" w:rsidTr="006771AC">
        <w:tc>
          <w:tcPr>
            <w:tcW w:w="2337" w:type="dxa"/>
          </w:tcPr>
          <w:p w14:paraId="6022AE36"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7" w:type="dxa"/>
          </w:tcPr>
          <w:p w14:paraId="2D822B34"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8" w:type="dxa"/>
          </w:tcPr>
          <w:p w14:paraId="75C03EB5"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8" w:type="dxa"/>
          </w:tcPr>
          <w:p w14:paraId="6B329745"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5209492C" w14:textId="77777777" w:rsidTr="006771AC">
        <w:tc>
          <w:tcPr>
            <w:tcW w:w="2337" w:type="dxa"/>
          </w:tcPr>
          <w:p w14:paraId="1203889E"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Religion</w:t>
            </w:r>
          </w:p>
        </w:tc>
        <w:tc>
          <w:tcPr>
            <w:tcW w:w="2337" w:type="dxa"/>
          </w:tcPr>
          <w:p w14:paraId="2C9CC368"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8" w:type="dxa"/>
          </w:tcPr>
          <w:p w14:paraId="1501347E"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c>
          <w:tcPr>
            <w:tcW w:w="2338" w:type="dxa"/>
          </w:tcPr>
          <w:p w14:paraId="6A4772BA"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4984920F" w14:textId="77777777" w:rsidTr="006771AC">
        <w:tc>
          <w:tcPr>
            <w:tcW w:w="2337" w:type="dxa"/>
          </w:tcPr>
          <w:p w14:paraId="494903A3"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Christianity</w:t>
            </w:r>
          </w:p>
        </w:tc>
        <w:tc>
          <w:tcPr>
            <w:tcW w:w="2337" w:type="dxa"/>
          </w:tcPr>
          <w:p w14:paraId="111D5836"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35(55.6%)</w:t>
            </w:r>
          </w:p>
        </w:tc>
        <w:tc>
          <w:tcPr>
            <w:tcW w:w="2338" w:type="dxa"/>
          </w:tcPr>
          <w:p w14:paraId="2DCDDAD9"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28(44.4%)</w:t>
            </w:r>
          </w:p>
        </w:tc>
        <w:tc>
          <w:tcPr>
            <w:tcW w:w="2338" w:type="dxa"/>
          </w:tcPr>
          <w:p w14:paraId="4D517865"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r w:rsidR="00A65987" w:rsidRPr="00322179" w14:paraId="716EB6FF" w14:textId="77777777" w:rsidTr="006771AC">
        <w:tc>
          <w:tcPr>
            <w:tcW w:w="2337" w:type="dxa"/>
          </w:tcPr>
          <w:p w14:paraId="7DE41B58"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lastRenderedPageBreak/>
              <w:t>Islam</w:t>
            </w:r>
          </w:p>
        </w:tc>
        <w:tc>
          <w:tcPr>
            <w:tcW w:w="2337" w:type="dxa"/>
          </w:tcPr>
          <w:p w14:paraId="32F9ED44"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7(33.3%)</w:t>
            </w:r>
          </w:p>
        </w:tc>
        <w:tc>
          <w:tcPr>
            <w:tcW w:w="2338" w:type="dxa"/>
          </w:tcPr>
          <w:p w14:paraId="39100B91"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14(66.7%)</w:t>
            </w:r>
          </w:p>
        </w:tc>
        <w:tc>
          <w:tcPr>
            <w:tcW w:w="2338" w:type="dxa"/>
          </w:tcPr>
          <w:p w14:paraId="3798868E"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0.211</w:t>
            </w:r>
          </w:p>
        </w:tc>
      </w:tr>
      <w:tr w:rsidR="00A65987" w:rsidRPr="00322179" w14:paraId="3822D57E" w14:textId="77777777" w:rsidTr="006771AC">
        <w:tc>
          <w:tcPr>
            <w:tcW w:w="2337" w:type="dxa"/>
          </w:tcPr>
          <w:p w14:paraId="3F6F446E"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Others</w:t>
            </w:r>
          </w:p>
        </w:tc>
        <w:tc>
          <w:tcPr>
            <w:tcW w:w="2337" w:type="dxa"/>
          </w:tcPr>
          <w:p w14:paraId="2AA10A1A"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1(50%)</w:t>
            </w:r>
          </w:p>
        </w:tc>
        <w:tc>
          <w:tcPr>
            <w:tcW w:w="2338" w:type="dxa"/>
          </w:tcPr>
          <w:p w14:paraId="7F0D4EA0"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r w:rsidRPr="00322179">
              <w:rPr>
                <w:rFonts w:ascii="Times New Roman" w:hAnsi="Times New Roman" w:cs="Times New Roman"/>
                <w:b/>
                <w:bCs/>
                <w:color w:val="000000" w:themeColor="text1"/>
                <w:sz w:val="24"/>
                <w:szCs w:val="24"/>
              </w:rPr>
              <w:t>1(50%)</w:t>
            </w:r>
          </w:p>
        </w:tc>
        <w:tc>
          <w:tcPr>
            <w:tcW w:w="2338" w:type="dxa"/>
          </w:tcPr>
          <w:p w14:paraId="3C8E3F65" w14:textId="77777777" w:rsidR="00A65987" w:rsidRPr="00322179" w:rsidRDefault="00A65987" w:rsidP="00322179">
            <w:pPr>
              <w:pStyle w:val="Heading2"/>
              <w:outlineLvl w:val="1"/>
              <w:rPr>
                <w:rFonts w:ascii="Times New Roman" w:hAnsi="Times New Roman" w:cs="Times New Roman"/>
                <w:b/>
                <w:bCs/>
                <w:color w:val="000000" w:themeColor="text1"/>
                <w:sz w:val="24"/>
                <w:szCs w:val="24"/>
              </w:rPr>
            </w:pPr>
          </w:p>
        </w:tc>
      </w:tr>
    </w:tbl>
    <w:p w14:paraId="2B650769" w14:textId="5C3F3A9B" w:rsidR="00A65987" w:rsidRPr="00322179" w:rsidRDefault="00A65987" w:rsidP="00322179">
      <w:pPr>
        <w:pStyle w:val="Heading2"/>
        <w:spacing w:line="240" w:lineRule="auto"/>
        <w:rPr>
          <w:rFonts w:ascii="Times New Roman" w:hAnsi="Times New Roman" w:cs="Times New Roman"/>
          <w:sz w:val="24"/>
          <w:szCs w:val="24"/>
        </w:rPr>
      </w:pPr>
      <w:r w:rsidRPr="00322179">
        <w:rPr>
          <w:rFonts w:ascii="Times New Roman" w:hAnsi="Times New Roman" w:cs="Times New Roman"/>
          <w:b/>
          <w:bCs/>
          <w:sz w:val="24"/>
          <w:szCs w:val="24"/>
        </w:rPr>
        <w:t xml:space="preserve"> </w:t>
      </w:r>
      <w:r w:rsidR="00985F3B" w:rsidRPr="00322179">
        <w:rPr>
          <w:rFonts w:ascii="Times New Roman" w:hAnsi="Times New Roman" w:cs="Times New Roman"/>
          <w:color w:val="auto"/>
          <w:sz w:val="24"/>
          <w:szCs w:val="24"/>
        </w:rPr>
        <w:t>The OCP and natural cycle groups were similar in mean age (33.05 ± 3.65 vs. 33.05 ± 3.96 years), ethnicity, and religion (p &gt; 0.05). Significant differences were observed in occupation and marital status, with more employed and married participants in the OCP group (p = 0.006 and p = 0.001, respectively). Age group distribution did not differ significantly between groups (p = 0.247).</w:t>
      </w:r>
    </w:p>
    <w:p w14:paraId="5DDA094E" w14:textId="77777777" w:rsidR="00A65987" w:rsidRPr="00322179" w:rsidRDefault="00A65987" w:rsidP="00322179">
      <w:pPr>
        <w:pStyle w:val="Heading2"/>
        <w:spacing w:line="240" w:lineRule="auto"/>
        <w:rPr>
          <w:rFonts w:ascii="Times New Roman" w:hAnsi="Times New Roman" w:cs="Times New Roman"/>
          <w:b/>
          <w:bCs/>
          <w:i/>
          <w:color w:val="auto"/>
          <w:sz w:val="24"/>
          <w:szCs w:val="24"/>
        </w:rPr>
      </w:pPr>
      <w:bookmarkStart w:id="11" w:name="_Toc145558303"/>
      <w:r w:rsidRPr="00322179">
        <w:rPr>
          <w:rFonts w:ascii="Times New Roman" w:hAnsi="Times New Roman" w:cs="Times New Roman"/>
          <w:b/>
          <w:bCs/>
          <w:color w:val="auto"/>
          <w:sz w:val="24"/>
          <w:szCs w:val="24"/>
        </w:rPr>
        <w:t>Table 2:     Egg-yield between participants that used natural cycle bleeds to start ovarian stimulation in IVF treatment cycle</w:t>
      </w:r>
      <w:bookmarkEnd w:id="11"/>
      <w:r w:rsidRPr="00322179">
        <w:rPr>
          <w:rFonts w:ascii="Times New Roman" w:hAnsi="Times New Roman" w:cs="Times New Roman"/>
          <w:b/>
          <w:bCs/>
          <w:i/>
          <w:color w:val="auto"/>
          <w:sz w:val="24"/>
          <w:szCs w:val="24"/>
        </w:rPr>
        <w:t xml:space="preserve"> </w:t>
      </w:r>
    </w:p>
    <w:tbl>
      <w:tblPr>
        <w:tblStyle w:val="TableGrid"/>
        <w:tblW w:w="0" w:type="auto"/>
        <w:tblLook w:val="04A0" w:firstRow="1" w:lastRow="0" w:firstColumn="1" w:lastColumn="0" w:noHBand="0" w:noVBand="1"/>
      </w:tblPr>
      <w:tblGrid>
        <w:gridCol w:w="4675"/>
        <w:gridCol w:w="4675"/>
      </w:tblGrid>
      <w:tr w:rsidR="00A65987" w:rsidRPr="00322179" w14:paraId="11A4C7D5" w14:textId="77777777" w:rsidTr="006771AC">
        <w:tc>
          <w:tcPr>
            <w:tcW w:w="4675" w:type="dxa"/>
          </w:tcPr>
          <w:p w14:paraId="10A3DE17" w14:textId="77777777" w:rsidR="00A65987" w:rsidRPr="00322179" w:rsidRDefault="00A65987" w:rsidP="00322179">
            <w:pPr>
              <w:rPr>
                <w:rFonts w:ascii="Times New Roman" w:hAnsi="Times New Roman" w:cs="Times New Roman"/>
                <w:b/>
                <w:i/>
                <w:sz w:val="24"/>
                <w:szCs w:val="24"/>
              </w:rPr>
            </w:pPr>
            <w:r w:rsidRPr="00322179">
              <w:rPr>
                <w:rFonts w:ascii="Times New Roman" w:hAnsi="Times New Roman" w:cs="Times New Roman"/>
                <w:b/>
                <w:i/>
                <w:sz w:val="24"/>
                <w:szCs w:val="24"/>
              </w:rPr>
              <w:t>Participants (natural cycle)</w:t>
            </w:r>
          </w:p>
          <w:p w14:paraId="798BC948" w14:textId="77777777" w:rsidR="00A65987" w:rsidRPr="00322179" w:rsidRDefault="00A65987" w:rsidP="00322179">
            <w:pPr>
              <w:rPr>
                <w:rFonts w:ascii="Times New Roman" w:hAnsi="Times New Roman" w:cs="Times New Roman"/>
                <w:b/>
                <w:i/>
                <w:sz w:val="24"/>
                <w:szCs w:val="24"/>
              </w:rPr>
            </w:pPr>
            <w:r w:rsidRPr="00322179">
              <w:rPr>
                <w:rFonts w:ascii="Times New Roman" w:hAnsi="Times New Roman" w:cs="Times New Roman"/>
                <w:b/>
                <w:i/>
                <w:sz w:val="24"/>
                <w:szCs w:val="24"/>
              </w:rPr>
              <w:t xml:space="preserve">(N) 43 </w:t>
            </w:r>
          </w:p>
        </w:tc>
        <w:tc>
          <w:tcPr>
            <w:tcW w:w="4675" w:type="dxa"/>
          </w:tcPr>
          <w:p w14:paraId="02B5C074" w14:textId="77777777" w:rsidR="00A65987" w:rsidRPr="00322179" w:rsidRDefault="00A65987" w:rsidP="00322179">
            <w:pPr>
              <w:rPr>
                <w:rFonts w:ascii="Times New Roman" w:hAnsi="Times New Roman" w:cs="Times New Roman"/>
                <w:i/>
                <w:sz w:val="24"/>
                <w:szCs w:val="24"/>
              </w:rPr>
            </w:pPr>
          </w:p>
        </w:tc>
      </w:tr>
      <w:tr w:rsidR="00A65987" w:rsidRPr="00322179" w14:paraId="131BAAAD" w14:textId="77777777" w:rsidTr="006771AC">
        <w:tc>
          <w:tcPr>
            <w:tcW w:w="4675" w:type="dxa"/>
          </w:tcPr>
          <w:p w14:paraId="7992F7DE" w14:textId="77777777" w:rsidR="00A65987" w:rsidRPr="00322179" w:rsidRDefault="00A65987" w:rsidP="00322179">
            <w:pPr>
              <w:rPr>
                <w:rFonts w:ascii="Times New Roman" w:hAnsi="Times New Roman" w:cs="Times New Roman"/>
                <w:i/>
                <w:sz w:val="24"/>
                <w:szCs w:val="24"/>
              </w:rPr>
            </w:pPr>
            <w:r w:rsidRPr="00322179">
              <w:rPr>
                <w:rFonts w:ascii="Times New Roman" w:hAnsi="Times New Roman" w:cs="Times New Roman"/>
                <w:i/>
                <w:sz w:val="24"/>
                <w:szCs w:val="24"/>
              </w:rPr>
              <w:t>Mean</w:t>
            </w:r>
          </w:p>
        </w:tc>
        <w:tc>
          <w:tcPr>
            <w:tcW w:w="4675" w:type="dxa"/>
          </w:tcPr>
          <w:p w14:paraId="163BE70D" w14:textId="77777777" w:rsidR="00A65987" w:rsidRPr="00322179" w:rsidRDefault="00A65987" w:rsidP="00322179">
            <w:pPr>
              <w:rPr>
                <w:rFonts w:ascii="Times New Roman" w:hAnsi="Times New Roman" w:cs="Times New Roman"/>
                <w:sz w:val="24"/>
                <w:szCs w:val="24"/>
              </w:rPr>
            </w:pPr>
            <w:r w:rsidRPr="00322179">
              <w:rPr>
                <w:rFonts w:ascii="Times New Roman" w:hAnsi="Times New Roman" w:cs="Times New Roman"/>
                <w:i/>
                <w:sz w:val="24"/>
                <w:szCs w:val="24"/>
              </w:rPr>
              <w:t xml:space="preserve">                                                        </w:t>
            </w:r>
            <w:r w:rsidRPr="00322179">
              <w:rPr>
                <w:rFonts w:ascii="Times New Roman" w:hAnsi="Times New Roman" w:cs="Times New Roman"/>
                <w:sz w:val="24"/>
                <w:szCs w:val="24"/>
              </w:rPr>
              <w:t>11.09</w:t>
            </w:r>
          </w:p>
        </w:tc>
      </w:tr>
      <w:tr w:rsidR="00A65987" w:rsidRPr="00322179" w14:paraId="318A6E8A" w14:textId="77777777" w:rsidTr="006771AC">
        <w:tc>
          <w:tcPr>
            <w:tcW w:w="4675" w:type="dxa"/>
          </w:tcPr>
          <w:p w14:paraId="276F773B" w14:textId="77777777" w:rsidR="00A65987" w:rsidRPr="00322179" w:rsidRDefault="00A65987" w:rsidP="00322179">
            <w:pPr>
              <w:rPr>
                <w:rFonts w:ascii="Times New Roman" w:hAnsi="Times New Roman" w:cs="Times New Roman"/>
                <w:i/>
                <w:sz w:val="24"/>
                <w:szCs w:val="24"/>
              </w:rPr>
            </w:pPr>
            <w:r w:rsidRPr="00322179">
              <w:rPr>
                <w:rFonts w:ascii="Times New Roman" w:hAnsi="Times New Roman" w:cs="Times New Roman"/>
                <w:i/>
                <w:sz w:val="24"/>
                <w:szCs w:val="24"/>
              </w:rPr>
              <w:t>SD</w:t>
            </w:r>
          </w:p>
        </w:tc>
        <w:tc>
          <w:tcPr>
            <w:tcW w:w="4675" w:type="dxa"/>
          </w:tcPr>
          <w:p w14:paraId="7A3DD7BD" w14:textId="77777777" w:rsidR="00A65987" w:rsidRPr="00322179" w:rsidRDefault="00A65987" w:rsidP="00322179">
            <w:pPr>
              <w:rPr>
                <w:rFonts w:ascii="Times New Roman" w:hAnsi="Times New Roman" w:cs="Times New Roman"/>
                <w:sz w:val="24"/>
                <w:szCs w:val="24"/>
              </w:rPr>
            </w:pPr>
            <w:r w:rsidRPr="00322179">
              <w:rPr>
                <w:rFonts w:ascii="Times New Roman" w:hAnsi="Times New Roman" w:cs="Times New Roman"/>
                <w:i/>
                <w:sz w:val="24"/>
                <w:szCs w:val="24"/>
              </w:rPr>
              <w:t xml:space="preserve">                                                        </w:t>
            </w:r>
            <w:r w:rsidRPr="00322179">
              <w:rPr>
                <w:rFonts w:ascii="Times New Roman" w:hAnsi="Times New Roman" w:cs="Times New Roman"/>
                <w:sz w:val="24"/>
                <w:szCs w:val="24"/>
              </w:rPr>
              <w:t>2.86</w:t>
            </w:r>
          </w:p>
        </w:tc>
      </w:tr>
    </w:tbl>
    <w:p w14:paraId="26BF67CC" w14:textId="77777777" w:rsidR="00A65987" w:rsidRPr="00322179" w:rsidRDefault="00A65987" w:rsidP="00322179">
      <w:pPr>
        <w:tabs>
          <w:tab w:val="left" w:pos="3300"/>
        </w:tabs>
        <w:spacing w:line="240" w:lineRule="auto"/>
        <w:rPr>
          <w:rFonts w:ascii="Times New Roman" w:hAnsi="Times New Roman" w:cs="Times New Roman"/>
        </w:rPr>
      </w:pPr>
      <w:r w:rsidRPr="00322179">
        <w:rPr>
          <w:rFonts w:ascii="Times New Roman" w:hAnsi="Times New Roman" w:cs="Times New Roman"/>
        </w:rPr>
        <w:t>The average egg-yield between participants that used natural cycle bleed to start ovarian stimulation IVF treatment cycle was 11.09(</w:t>
      </w:r>
      <w:r w:rsidRPr="00322179">
        <w:rPr>
          <w:rFonts w:ascii="Times New Roman" w:hAnsi="Times New Roman" w:cs="Times New Roman"/>
          <w:i/>
        </w:rPr>
        <w:t>SD</w:t>
      </w:r>
      <w:r w:rsidRPr="00322179">
        <w:rPr>
          <w:rFonts w:ascii="Times New Roman" w:hAnsi="Times New Roman" w:cs="Times New Roman"/>
        </w:rPr>
        <w:t>=2.86).</w:t>
      </w:r>
      <w:r w:rsidRPr="00322179">
        <w:rPr>
          <w:rFonts w:ascii="Times New Roman" w:hAnsi="Times New Roman" w:cs="Times New Roman"/>
        </w:rPr>
        <w:tab/>
      </w:r>
      <w:r w:rsidRPr="00322179">
        <w:rPr>
          <w:rFonts w:ascii="Times New Roman" w:hAnsi="Times New Roman" w:cs="Times New Roman"/>
        </w:rPr>
        <w:tab/>
      </w:r>
      <w:r w:rsidRPr="00322179">
        <w:rPr>
          <w:rFonts w:ascii="Times New Roman" w:hAnsi="Times New Roman" w:cs="Times New Roman"/>
        </w:rPr>
        <w:tab/>
      </w:r>
      <w:r w:rsidRPr="00322179">
        <w:rPr>
          <w:rFonts w:ascii="Times New Roman" w:hAnsi="Times New Roman" w:cs="Times New Roman"/>
        </w:rPr>
        <w:tab/>
      </w:r>
      <w:r w:rsidRPr="00322179">
        <w:rPr>
          <w:rFonts w:ascii="Times New Roman" w:hAnsi="Times New Roman" w:cs="Times New Roman"/>
        </w:rPr>
        <w:tab/>
      </w:r>
    </w:p>
    <w:p w14:paraId="17FDB169" w14:textId="77777777" w:rsidR="00A65987" w:rsidRPr="00322179" w:rsidRDefault="00A65987" w:rsidP="00322179">
      <w:pPr>
        <w:pStyle w:val="Heading2"/>
        <w:spacing w:line="240" w:lineRule="auto"/>
        <w:rPr>
          <w:rFonts w:ascii="Times New Roman" w:hAnsi="Times New Roman" w:cs="Times New Roman"/>
          <w:b/>
          <w:noProof/>
          <w:color w:val="auto"/>
          <w:sz w:val="24"/>
          <w:szCs w:val="24"/>
          <w:lang w:eastAsia="en-GB"/>
        </w:rPr>
      </w:pPr>
      <w:bookmarkStart w:id="12" w:name="_Toc145558304"/>
      <w:r w:rsidRPr="00322179">
        <w:rPr>
          <w:rFonts w:ascii="Times New Roman" w:hAnsi="Times New Roman" w:cs="Times New Roman"/>
          <w:b/>
          <w:color w:val="auto"/>
          <w:sz w:val="24"/>
          <w:szCs w:val="24"/>
        </w:rPr>
        <w:t>Table 3     Egg-yield between participants that used OCPs prior to withdrawal bleeds before commencing ovarian stimulation in an IVF treatment cycle</w:t>
      </w:r>
      <w:bookmarkEnd w:id="12"/>
      <w:r w:rsidRPr="00322179">
        <w:rPr>
          <w:rFonts w:ascii="Times New Roman" w:hAnsi="Times New Roman" w:cs="Times New Roman"/>
          <w:b/>
          <w:noProof/>
          <w:color w:val="auto"/>
          <w:sz w:val="24"/>
          <w:szCs w:val="24"/>
          <w:lang w:eastAsia="en-GB"/>
        </w:rPr>
        <w:t xml:space="preserve"> </w:t>
      </w:r>
    </w:p>
    <w:tbl>
      <w:tblPr>
        <w:tblStyle w:val="TableGrid"/>
        <w:tblW w:w="0" w:type="auto"/>
        <w:tblLook w:val="04A0" w:firstRow="1" w:lastRow="0" w:firstColumn="1" w:lastColumn="0" w:noHBand="0" w:noVBand="1"/>
      </w:tblPr>
      <w:tblGrid>
        <w:gridCol w:w="4675"/>
        <w:gridCol w:w="4675"/>
      </w:tblGrid>
      <w:tr w:rsidR="00A65987" w:rsidRPr="00322179" w14:paraId="7F271437" w14:textId="77777777" w:rsidTr="006771AC">
        <w:tc>
          <w:tcPr>
            <w:tcW w:w="4675" w:type="dxa"/>
          </w:tcPr>
          <w:p w14:paraId="7A8BDABD" w14:textId="77777777" w:rsidR="00A65987" w:rsidRPr="00322179" w:rsidRDefault="00A65987" w:rsidP="00322179">
            <w:pPr>
              <w:rPr>
                <w:rFonts w:ascii="Times New Roman" w:hAnsi="Times New Roman" w:cs="Times New Roman"/>
                <w:b/>
                <w:i/>
                <w:sz w:val="24"/>
                <w:szCs w:val="24"/>
              </w:rPr>
            </w:pPr>
            <w:r w:rsidRPr="00322179">
              <w:rPr>
                <w:rFonts w:ascii="Times New Roman" w:hAnsi="Times New Roman" w:cs="Times New Roman"/>
                <w:b/>
                <w:i/>
                <w:sz w:val="24"/>
                <w:szCs w:val="24"/>
              </w:rPr>
              <w:t>Participants (OCPs)</w:t>
            </w:r>
          </w:p>
          <w:p w14:paraId="62537D71" w14:textId="77777777" w:rsidR="00A65987" w:rsidRPr="00322179" w:rsidRDefault="00A65987" w:rsidP="00322179">
            <w:pPr>
              <w:rPr>
                <w:rFonts w:ascii="Times New Roman" w:hAnsi="Times New Roman" w:cs="Times New Roman"/>
                <w:b/>
                <w:i/>
                <w:sz w:val="24"/>
                <w:szCs w:val="24"/>
              </w:rPr>
            </w:pPr>
            <w:r w:rsidRPr="00322179">
              <w:rPr>
                <w:rFonts w:ascii="Times New Roman" w:hAnsi="Times New Roman" w:cs="Times New Roman"/>
                <w:b/>
                <w:i/>
                <w:sz w:val="24"/>
                <w:szCs w:val="24"/>
              </w:rPr>
              <w:t xml:space="preserve">(N) 43 </w:t>
            </w:r>
          </w:p>
        </w:tc>
        <w:tc>
          <w:tcPr>
            <w:tcW w:w="4675" w:type="dxa"/>
          </w:tcPr>
          <w:p w14:paraId="380050C3" w14:textId="77777777" w:rsidR="00A65987" w:rsidRPr="00322179" w:rsidRDefault="00A65987" w:rsidP="00322179">
            <w:pPr>
              <w:rPr>
                <w:rFonts w:ascii="Times New Roman" w:hAnsi="Times New Roman" w:cs="Times New Roman"/>
                <w:i/>
                <w:sz w:val="24"/>
                <w:szCs w:val="24"/>
              </w:rPr>
            </w:pPr>
          </w:p>
        </w:tc>
      </w:tr>
      <w:tr w:rsidR="00A65987" w:rsidRPr="00322179" w14:paraId="25ED41BD" w14:textId="77777777" w:rsidTr="006771AC">
        <w:tc>
          <w:tcPr>
            <w:tcW w:w="4675" w:type="dxa"/>
          </w:tcPr>
          <w:p w14:paraId="193F77D8" w14:textId="77777777" w:rsidR="00A65987" w:rsidRPr="00322179" w:rsidRDefault="00A65987" w:rsidP="00322179">
            <w:pPr>
              <w:rPr>
                <w:rFonts w:ascii="Times New Roman" w:hAnsi="Times New Roman" w:cs="Times New Roman"/>
                <w:i/>
                <w:sz w:val="24"/>
                <w:szCs w:val="24"/>
              </w:rPr>
            </w:pPr>
            <w:r w:rsidRPr="00322179">
              <w:rPr>
                <w:rFonts w:ascii="Times New Roman" w:hAnsi="Times New Roman" w:cs="Times New Roman"/>
                <w:i/>
                <w:sz w:val="24"/>
                <w:szCs w:val="24"/>
              </w:rPr>
              <w:t>Mean</w:t>
            </w:r>
          </w:p>
        </w:tc>
        <w:tc>
          <w:tcPr>
            <w:tcW w:w="4675" w:type="dxa"/>
          </w:tcPr>
          <w:p w14:paraId="32E568AB" w14:textId="77777777" w:rsidR="00A65987" w:rsidRPr="00322179" w:rsidRDefault="00A65987" w:rsidP="00322179">
            <w:pPr>
              <w:rPr>
                <w:rFonts w:ascii="Times New Roman" w:hAnsi="Times New Roman" w:cs="Times New Roman"/>
                <w:sz w:val="24"/>
                <w:szCs w:val="24"/>
              </w:rPr>
            </w:pPr>
            <w:r w:rsidRPr="00322179">
              <w:rPr>
                <w:rFonts w:ascii="Times New Roman" w:hAnsi="Times New Roman" w:cs="Times New Roman"/>
                <w:i/>
                <w:sz w:val="24"/>
                <w:szCs w:val="24"/>
              </w:rPr>
              <w:t xml:space="preserve">                                                        </w:t>
            </w:r>
            <w:r w:rsidRPr="00322179">
              <w:rPr>
                <w:rFonts w:ascii="Times New Roman" w:hAnsi="Times New Roman" w:cs="Times New Roman"/>
                <w:sz w:val="24"/>
                <w:szCs w:val="24"/>
              </w:rPr>
              <w:t>11.51</w:t>
            </w:r>
          </w:p>
        </w:tc>
      </w:tr>
      <w:tr w:rsidR="00A65987" w:rsidRPr="00322179" w14:paraId="4B34C4CC" w14:textId="77777777" w:rsidTr="006771AC">
        <w:tc>
          <w:tcPr>
            <w:tcW w:w="4675" w:type="dxa"/>
          </w:tcPr>
          <w:p w14:paraId="19FFAC6E" w14:textId="77777777" w:rsidR="00A65987" w:rsidRPr="00322179" w:rsidRDefault="00A65987" w:rsidP="00322179">
            <w:pPr>
              <w:rPr>
                <w:rFonts w:ascii="Times New Roman" w:hAnsi="Times New Roman" w:cs="Times New Roman"/>
                <w:i/>
                <w:sz w:val="24"/>
                <w:szCs w:val="24"/>
              </w:rPr>
            </w:pPr>
            <w:r w:rsidRPr="00322179">
              <w:rPr>
                <w:rFonts w:ascii="Times New Roman" w:hAnsi="Times New Roman" w:cs="Times New Roman"/>
                <w:i/>
                <w:sz w:val="24"/>
                <w:szCs w:val="24"/>
              </w:rPr>
              <w:t>SD</w:t>
            </w:r>
          </w:p>
        </w:tc>
        <w:tc>
          <w:tcPr>
            <w:tcW w:w="4675" w:type="dxa"/>
          </w:tcPr>
          <w:p w14:paraId="0086B75B" w14:textId="77777777" w:rsidR="00A65987" w:rsidRPr="00322179" w:rsidRDefault="00A65987" w:rsidP="00322179">
            <w:pPr>
              <w:rPr>
                <w:rFonts w:ascii="Times New Roman" w:hAnsi="Times New Roman" w:cs="Times New Roman"/>
                <w:sz w:val="24"/>
                <w:szCs w:val="24"/>
              </w:rPr>
            </w:pPr>
            <w:r w:rsidRPr="00322179">
              <w:rPr>
                <w:rFonts w:ascii="Times New Roman" w:hAnsi="Times New Roman" w:cs="Times New Roman"/>
                <w:i/>
                <w:sz w:val="24"/>
                <w:szCs w:val="24"/>
              </w:rPr>
              <w:t xml:space="preserve">                                                        </w:t>
            </w:r>
            <w:r w:rsidRPr="00322179">
              <w:rPr>
                <w:rFonts w:ascii="Times New Roman" w:hAnsi="Times New Roman" w:cs="Times New Roman"/>
                <w:sz w:val="24"/>
                <w:szCs w:val="24"/>
              </w:rPr>
              <w:t>1.62</w:t>
            </w:r>
          </w:p>
        </w:tc>
      </w:tr>
    </w:tbl>
    <w:p w14:paraId="426E9C6E" w14:textId="77777777" w:rsidR="00A65987" w:rsidRPr="00322179" w:rsidRDefault="00A65987" w:rsidP="00322179">
      <w:pPr>
        <w:tabs>
          <w:tab w:val="left" w:pos="3300"/>
        </w:tabs>
        <w:spacing w:line="240" w:lineRule="auto"/>
        <w:rPr>
          <w:rFonts w:ascii="Times New Roman" w:hAnsi="Times New Roman" w:cs="Times New Roman"/>
        </w:rPr>
      </w:pPr>
    </w:p>
    <w:p w14:paraId="2873F07E" w14:textId="77777777" w:rsidR="00A65987" w:rsidRPr="00322179" w:rsidRDefault="00A65987" w:rsidP="00322179">
      <w:pPr>
        <w:tabs>
          <w:tab w:val="left" w:pos="3300"/>
        </w:tabs>
        <w:spacing w:line="240" w:lineRule="auto"/>
        <w:rPr>
          <w:rFonts w:ascii="Times New Roman" w:hAnsi="Times New Roman" w:cs="Times New Roman"/>
        </w:rPr>
      </w:pPr>
      <w:r w:rsidRPr="00322179">
        <w:rPr>
          <w:rFonts w:ascii="Times New Roman" w:hAnsi="Times New Roman" w:cs="Times New Roman"/>
        </w:rPr>
        <w:t xml:space="preserve">The average egg-yield between participants that </w:t>
      </w:r>
      <w:r w:rsidRPr="00322179">
        <w:rPr>
          <w:rFonts w:ascii="Times New Roman" w:hAnsi="Times New Roman" w:cs="Times New Roman"/>
          <w:color w:val="000000"/>
        </w:rPr>
        <w:t>used OCPs prior to withdrawal bleeds before commencing ovarian stimulation in an IVF treatment cycle</w:t>
      </w:r>
      <w:r w:rsidRPr="00322179">
        <w:rPr>
          <w:rFonts w:ascii="Times New Roman" w:hAnsi="Times New Roman" w:cs="Times New Roman"/>
        </w:rPr>
        <w:t xml:space="preserve"> was 11.51(</w:t>
      </w:r>
      <w:r w:rsidRPr="00322179">
        <w:rPr>
          <w:rFonts w:ascii="Times New Roman" w:hAnsi="Times New Roman" w:cs="Times New Roman"/>
          <w:i/>
        </w:rPr>
        <w:t>SD</w:t>
      </w:r>
      <w:r w:rsidRPr="00322179">
        <w:rPr>
          <w:rFonts w:ascii="Times New Roman" w:hAnsi="Times New Roman" w:cs="Times New Roman"/>
        </w:rPr>
        <w:t>=1.62).</w:t>
      </w:r>
    </w:p>
    <w:p w14:paraId="15A7C317" w14:textId="77777777" w:rsidR="00A65987" w:rsidRPr="00322179" w:rsidRDefault="00A65987" w:rsidP="00322179">
      <w:pPr>
        <w:tabs>
          <w:tab w:val="left" w:pos="3300"/>
        </w:tabs>
        <w:spacing w:line="240" w:lineRule="auto"/>
        <w:rPr>
          <w:rFonts w:ascii="Times New Roman" w:hAnsi="Times New Roman" w:cs="Times New Roman"/>
        </w:rPr>
      </w:pPr>
    </w:p>
    <w:p w14:paraId="5FF40DC4" w14:textId="77777777" w:rsidR="00A65987" w:rsidRPr="00322179" w:rsidRDefault="00A65987" w:rsidP="00322179">
      <w:pPr>
        <w:pStyle w:val="Heading2"/>
        <w:spacing w:line="240" w:lineRule="auto"/>
        <w:rPr>
          <w:rFonts w:ascii="Times New Roman" w:hAnsi="Times New Roman" w:cs="Times New Roman"/>
          <w:b/>
          <w:color w:val="auto"/>
          <w:sz w:val="24"/>
          <w:szCs w:val="24"/>
        </w:rPr>
      </w:pPr>
      <w:bookmarkStart w:id="13" w:name="_Toc145558305"/>
      <w:r w:rsidRPr="00322179">
        <w:rPr>
          <w:rFonts w:ascii="Times New Roman" w:hAnsi="Times New Roman" w:cs="Times New Roman"/>
          <w:b/>
          <w:color w:val="auto"/>
          <w:sz w:val="24"/>
          <w:szCs w:val="24"/>
        </w:rPr>
        <w:t>Table 4: Comparison of egg-yield between participants with OCPs and natural cycle</w:t>
      </w:r>
      <w:bookmarkEnd w:id="13"/>
    </w:p>
    <w:tbl>
      <w:tblPr>
        <w:tblStyle w:val="TableGrid"/>
        <w:tblW w:w="0" w:type="auto"/>
        <w:tblLook w:val="04A0" w:firstRow="1" w:lastRow="0" w:firstColumn="1" w:lastColumn="0" w:noHBand="0" w:noVBand="1"/>
      </w:tblPr>
      <w:tblGrid>
        <w:gridCol w:w="2337"/>
        <w:gridCol w:w="2337"/>
        <w:gridCol w:w="2338"/>
        <w:gridCol w:w="2338"/>
      </w:tblGrid>
      <w:tr w:rsidR="00A65987" w:rsidRPr="00322179" w14:paraId="2ADBA935" w14:textId="77777777" w:rsidTr="006771AC">
        <w:tc>
          <w:tcPr>
            <w:tcW w:w="2337" w:type="dxa"/>
          </w:tcPr>
          <w:p w14:paraId="30C102D4" w14:textId="77777777" w:rsidR="00A65987" w:rsidRPr="00322179" w:rsidRDefault="00A65987" w:rsidP="00322179">
            <w:pPr>
              <w:pStyle w:val="Heading2"/>
              <w:jc w:val="center"/>
              <w:outlineLvl w:val="1"/>
              <w:rPr>
                <w:rFonts w:ascii="Times New Roman" w:hAnsi="Times New Roman" w:cs="Times New Roman"/>
                <w:b/>
                <w:bCs/>
                <w:color w:val="000000" w:themeColor="text1"/>
                <w:sz w:val="24"/>
                <w:szCs w:val="24"/>
              </w:rPr>
            </w:pPr>
            <w:r w:rsidRPr="00322179">
              <w:rPr>
                <w:rFonts w:ascii="Times New Roman" w:hAnsi="Times New Roman" w:cs="Times New Roman"/>
                <w:b/>
                <w:color w:val="000000" w:themeColor="text1"/>
                <w:sz w:val="24"/>
                <w:szCs w:val="24"/>
              </w:rPr>
              <w:t>Parameters</w:t>
            </w:r>
          </w:p>
        </w:tc>
        <w:tc>
          <w:tcPr>
            <w:tcW w:w="2337" w:type="dxa"/>
          </w:tcPr>
          <w:p w14:paraId="779644B2" w14:textId="77777777" w:rsidR="00A65987" w:rsidRPr="00322179" w:rsidRDefault="00A65987" w:rsidP="00322179">
            <w:pPr>
              <w:pStyle w:val="Heading2"/>
              <w:jc w:val="center"/>
              <w:outlineLvl w:val="1"/>
              <w:rPr>
                <w:rFonts w:ascii="Times New Roman" w:hAnsi="Times New Roman" w:cs="Times New Roman"/>
                <w:b/>
                <w:bCs/>
                <w:color w:val="000000" w:themeColor="text1"/>
                <w:sz w:val="24"/>
                <w:szCs w:val="24"/>
              </w:rPr>
            </w:pPr>
            <w:r w:rsidRPr="00322179">
              <w:rPr>
                <w:rFonts w:ascii="Times New Roman" w:hAnsi="Times New Roman" w:cs="Times New Roman"/>
                <w:b/>
                <w:i/>
                <w:color w:val="000000" w:themeColor="text1"/>
                <w:sz w:val="24"/>
                <w:szCs w:val="24"/>
              </w:rPr>
              <w:t xml:space="preserve">Mean </w:t>
            </w:r>
            <w:r w:rsidRPr="00322179">
              <w:rPr>
                <w:rFonts w:ascii="Times New Roman" w:hAnsi="Times New Roman" w:cs="Times New Roman"/>
                <w:b/>
                <w:i/>
                <w:color w:val="000000" w:themeColor="text1"/>
                <w:sz w:val="24"/>
                <w:szCs w:val="24"/>
                <w:shd w:val="clear" w:color="auto" w:fill="FCFCFC"/>
              </w:rPr>
              <w:t>±SD/n (%)</w:t>
            </w:r>
          </w:p>
        </w:tc>
        <w:tc>
          <w:tcPr>
            <w:tcW w:w="2338" w:type="dxa"/>
          </w:tcPr>
          <w:p w14:paraId="5AD65E05" w14:textId="77777777" w:rsidR="00A65987" w:rsidRPr="00322179" w:rsidRDefault="00A65987" w:rsidP="00322179">
            <w:pPr>
              <w:pStyle w:val="Heading2"/>
              <w:jc w:val="center"/>
              <w:outlineLvl w:val="1"/>
              <w:rPr>
                <w:rFonts w:ascii="Times New Roman" w:hAnsi="Times New Roman" w:cs="Times New Roman"/>
                <w:b/>
                <w:bCs/>
                <w:i/>
                <w:color w:val="000000" w:themeColor="text1"/>
                <w:sz w:val="24"/>
                <w:szCs w:val="24"/>
              </w:rPr>
            </w:pPr>
            <w:r w:rsidRPr="00322179">
              <w:rPr>
                <w:rFonts w:ascii="Times New Roman" w:hAnsi="Times New Roman" w:cs="Times New Roman"/>
                <w:b/>
                <w:i/>
                <w:color w:val="000000" w:themeColor="text1"/>
                <w:sz w:val="24"/>
                <w:szCs w:val="24"/>
              </w:rPr>
              <w:t>T</w:t>
            </w:r>
          </w:p>
        </w:tc>
        <w:tc>
          <w:tcPr>
            <w:tcW w:w="2338" w:type="dxa"/>
          </w:tcPr>
          <w:p w14:paraId="6CE1BB4F" w14:textId="77777777" w:rsidR="00A65987" w:rsidRPr="00322179" w:rsidRDefault="00A65987" w:rsidP="00322179">
            <w:pPr>
              <w:pStyle w:val="Heading2"/>
              <w:jc w:val="center"/>
              <w:outlineLvl w:val="1"/>
              <w:rPr>
                <w:rFonts w:ascii="Times New Roman" w:hAnsi="Times New Roman" w:cs="Times New Roman"/>
                <w:b/>
                <w:bCs/>
                <w:color w:val="000000" w:themeColor="text1"/>
                <w:sz w:val="24"/>
                <w:szCs w:val="24"/>
              </w:rPr>
            </w:pPr>
            <w:r w:rsidRPr="00322179">
              <w:rPr>
                <w:rFonts w:ascii="Times New Roman" w:hAnsi="Times New Roman" w:cs="Times New Roman"/>
                <w:b/>
                <w:i/>
                <w:color w:val="000000" w:themeColor="text1"/>
                <w:sz w:val="24"/>
                <w:szCs w:val="24"/>
              </w:rPr>
              <w:t>Sig</w:t>
            </w:r>
          </w:p>
        </w:tc>
      </w:tr>
      <w:tr w:rsidR="00A65987" w:rsidRPr="00322179" w14:paraId="492E9690" w14:textId="77777777" w:rsidTr="006771AC">
        <w:tc>
          <w:tcPr>
            <w:tcW w:w="2337" w:type="dxa"/>
          </w:tcPr>
          <w:p w14:paraId="47F7121F" w14:textId="77777777" w:rsidR="00A65987" w:rsidRPr="00322179" w:rsidRDefault="00A65987" w:rsidP="00322179">
            <w:pPr>
              <w:pStyle w:val="Heading2"/>
              <w:jc w:val="center"/>
              <w:outlineLvl w:val="1"/>
              <w:rPr>
                <w:rFonts w:ascii="Times New Roman" w:hAnsi="Times New Roman" w:cs="Times New Roman"/>
                <w:color w:val="000000" w:themeColor="text1"/>
                <w:sz w:val="24"/>
                <w:szCs w:val="24"/>
              </w:rPr>
            </w:pPr>
            <w:r w:rsidRPr="00322179">
              <w:rPr>
                <w:rFonts w:ascii="Times New Roman" w:hAnsi="Times New Roman" w:cs="Times New Roman"/>
                <w:color w:val="000000" w:themeColor="text1"/>
                <w:sz w:val="24"/>
                <w:szCs w:val="24"/>
              </w:rPr>
              <w:t>Took OCP (n=46)</w:t>
            </w:r>
          </w:p>
        </w:tc>
        <w:tc>
          <w:tcPr>
            <w:tcW w:w="2337" w:type="dxa"/>
          </w:tcPr>
          <w:p w14:paraId="6C7F0E1E" w14:textId="77777777" w:rsidR="00A65987" w:rsidRPr="00322179" w:rsidRDefault="00A65987" w:rsidP="00322179">
            <w:pPr>
              <w:pStyle w:val="Heading2"/>
              <w:jc w:val="center"/>
              <w:outlineLvl w:val="1"/>
              <w:rPr>
                <w:rFonts w:ascii="Times New Roman" w:hAnsi="Times New Roman" w:cs="Times New Roman"/>
                <w:color w:val="000000" w:themeColor="text1"/>
                <w:sz w:val="24"/>
                <w:szCs w:val="24"/>
              </w:rPr>
            </w:pPr>
            <w:r w:rsidRPr="00322179">
              <w:rPr>
                <w:rFonts w:ascii="Times New Roman" w:hAnsi="Times New Roman" w:cs="Times New Roman"/>
                <w:color w:val="000000" w:themeColor="text1"/>
                <w:sz w:val="24"/>
                <w:szCs w:val="24"/>
              </w:rPr>
              <w:t xml:space="preserve">10.47 </w:t>
            </w:r>
            <w:r w:rsidRPr="00322179">
              <w:rPr>
                <w:rFonts w:ascii="Times New Roman" w:hAnsi="Times New Roman" w:cs="Times New Roman"/>
                <w:color w:val="000000" w:themeColor="text1"/>
                <w:sz w:val="24"/>
                <w:szCs w:val="24"/>
                <w:shd w:val="clear" w:color="auto" w:fill="FCFCFC"/>
              </w:rPr>
              <w:t>±</w:t>
            </w:r>
            <w:r w:rsidRPr="00322179">
              <w:rPr>
                <w:rFonts w:ascii="Times New Roman" w:hAnsi="Times New Roman" w:cs="Times New Roman"/>
                <w:color w:val="000000" w:themeColor="text1"/>
                <w:sz w:val="24"/>
                <w:szCs w:val="24"/>
              </w:rPr>
              <w:t>4.68</w:t>
            </w:r>
          </w:p>
        </w:tc>
        <w:tc>
          <w:tcPr>
            <w:tcW w:w="2338" w:type="dxa"/>
          </w:tcPr>
          <w:p w14:paraId="614D9373" w14:textId="77777777" w:rsidR="00A65987" w:rsidRPr="00322179" w:rsidRDefault="00A65987" w:rsidP="00322179">
            <w:pPr>
              <w:pStyle w:val="Heading2"/>
              <w:jc w:val="center"/>
              <w:outlineLvl w:val="1"/>
              <w:rPr>
                <w:rFonts w:ascii="Times New Roman" w:hAnsi="Times New Roman" w:cs="Times New Roman"/>
                <w:color w:val="000000" w:themeColor="text1"/>
                <w:sz w:val="24"/>
                <w:szCs w:val="24"/>
              </w:rPr>
            </w:pPr>
            <w:r w:rsidRPr="00322179">
              <w:rPr>
                <w:rFonts w:ascii="Times New Roman" w:hAnsi="Times New Roman" w:cs="Times New Roman"/>
                <w:color w:val="000000" w:themeColor="text1"/>
                <w:sz w:val="24"/>
                <w:szCs w:val="24"/>
              </w:rPr>
              <w:t>-1.293</w:t>
            </w:r>
          </w:p>
        </w:tc>
        <w:tc>
          <w:tcPr>
            <w:tcW w:w="2338" w:type="dxa"/>
          </w:tcPr>
          <w:p w14:paraId="781E9B09" w14:textId="77777777" w:rsidR="00A65987" w:rsidRPr="00322179" w:rsidRDefault="00A65987" w:rsidP="00322179">
            <w:pPr>
              <w:pStyle w:val="Heading2"/>
              <w:jc w:val="center"/>
              <w:outlineLvl w:val="1"/>
              <w:rPr>
                <w:rFonts w:ascii="Times New Roman" w:hAnsi="Times New Roman" w:cs="Times New Roman"/>
                <w:i/>
                <w:color w:val="000000" w:themeColor="text1"/>
                <w:sz w:val="24"/>
                <w:szCs w:val="24"/>
              </w:rPr>
            </w:pPr>
          </w:p>
        </w:tc>
      </w:tr>
      <w:tr w:rsidR="00A65987" w:rsidRPr="00322179" w14:paraId="050C5264" w14:textId="77777777" w:rsidTr="006771AC">
        <w:tc>
          <w:tcPr>
            <w:tcW w:w="2337" w:type="dxa"/>
          </w:tcPr>
          <w:p w14:paraId="1B52FA8A" w14:textId="77777777" w:rsidR="00A65987" w:rsidRPr="00322179" w:rsidRDefault="00A65987" w:rsidP="00322179">
            <w:pPr>
              <w:pStyle w:val="Heading2"/>
              <w:jc w:val="center"/>
              <w:outlineLvl w:val="1"/>
              <w:rPr>
                <w:rFonts w:ascii="Times New Roman" w:hAnsi="Times New Roman" w:cs="Times New Roman"/>
                <w:b/>
                <w:bCs/>
                <w:color w:val="000000" w:themeColor="text1"/>
                <w:sz w:val="24"/>
                <w:szCs w:val="24"/>
              </w:rPr>
            </w:pPr>
            <w:r w:rsidRPr="00322179">
              <w:rPr>
                <w:rFonts w:ascii="Times New Roman" w:hAnsi="Times New Roman" w:cs="Times New Roman"/>
                <w:color w:val="000000" w:themeColor="text1"/>
                <w:sz w:val="24"/>
                <w:szCs w:val="24"/>
              </w:rPr>
              <w:t>Natural cycle (n=46)</w:t>
            </w:r>
          </w:p>
        </w:tc>
        <w:tc>
          <w:tcPr>
            <w:tcW w:w="2337" w:type="dxa"/>
          </w:tcPr>
          <w:p w14:paraId="59624D02" w14:textId="77777777" w:rsidR="00A65987" w:rsidRPr="00322179" w:rsidRDefault="00A65987" w:rsidP="00322179">
            <w:pPr>
              <w:pStyle w:val="Heading2"/>
              <w:jc w:val="center"/>
              <w:outlineLvl w:val="1"/>
              <w:rPr>
                <w:rFonts w:ascii="Times New Roman" w:hAnsi="Times New Roman" w:cs="Times New Roman"/>
                <w:b/>
                <w:bCs/>
                <w:color w:val="000000" w:themeColor="text1"/>
                <w:sz w:val="24"/>
                <w:szCs w:val="24"/>
              </w:rPr>
            </w:pPr>
            <w:r w:rsidRPr="00322179">
              <w:rPr>
                <w:rFonts w:ascii="Times New Roman" w:hAnsi="Times New Roman" w:cs="Times New Roman"/>
                <w:color w:val="000000" w:themeColor="text1"/>
                <w:sz w:val="24"/>
                <w:szCs w:val="24"/>
              </w:rPr>
              <w:t xml:space="preserve">11.86 </w:t>
            </w:r>
            <w:r w:rsidRPr="00322179">
              <w:rPr>
                <w:rFonts w:ascii="Times New Roman" w:hAnsi="Times New Roman" w:cs="Times New Roman"/>
                <w:color w:val="000000" w:themeColor="text1"/>
                <w:sz w:val="24"/>
                <w:szCs w:val="24"/>
                <w:shd w:val="clear" w:color="auto" w:fill="FCFCFC"/>
              </w:rPr>
              <w:t>±</w:t>
            </w:r>
            <w:r w:rsidRPr="00322179">
              <w:rPr>
                <w:rFonts w:ascii="Times New Roman" w:hAnsi="Times New Roman" w:cs="Times New Roman"/>
                <w:color w:val="000000" w:themeColor="text1"/>
                <w:sz w:val="24"/>
                <w:szCs w:val="24"/>
              </w:rPr>
              <w:t>5.31</w:t>
            </w:r>
          </w:p>
        </w:tc>
        <w:tc>
          <w:tcPr>
            <w:tcW w:w="2338" w:type="dxa"/>
          </w:tcPr>
          <w:p w14:paraId="2B312D81" w14:textId="77777777" w:rsidR="00A65987" w:rsidRPr="00322179" w:rsidRDefault="00A65987" w:rsidP="00322179">
            <w:pPr>
              <w:pStyle w:val="Heading2"/>
              <w:jc w:val="center"/>
              <w:outlineLvl w:val="1"/>
              <w:rPr>
                <w:rFonts w:ascii="Times New Roman" w:hAnsi="Times New Roman" w:cs="Times New Roman"/>
                <w:b/>
                <w:bCs/>
                <w:color w:val="000000" w:themeColor="text1"/>
                <w:sz w:val="24"/>
                <w:szCs w:val="24"/>
              </w:rPr>
            </w:pPr>
          </w:p>
        </w:tc>
        <w:tc>
          <w:tcPr>
            <w:tcW w:w="2338" w:type="dxa"/>
          </w:tcPr>
          <w:p w14:paraId="18AB774C" w14:textId="77777777" w:rsidR="00A65987" w:rsidRPr="00322179" w:rsidRDefault="00A65987" w:rsidP="00322179">
            <w:pPr>
              <w:pStyle w:val="Heading2"/>
              <w:jc w:val="center"/>
              <w:outlineLvl w:val="1"/>
              <w:rPr>
                <w:rFonts w:ascii="Times New Roman" w:hAnsi="Times New Roman" w:cs="Times New Roman"/>
                <w:b/>
                <w:bCs/>
                <w:color w:val="000000" w:themeColor="text1"/>
                <w:sz w:val="24"/>
                <w:szCs w:val="24"/>
              </w:rPr>
            </w:pPr>
            <w:r w:rsidRPr="00322179">
              <w:rPr>
                <w:rFonts w:ascii="Times New Roman" w:hAnsi="Times New Roman" w:cs="Times New Roman"/>
                <w:color w:val="000000" w:themeColor="text1"/>
                <w:sz w:val="24"/>
                <w:szCs w:val="24"/>
              </w:rPr>
              <w:t>0.379</w:t>
            </w:r>
          </w:p>
        </w:tc>
      </w:tr>
    </w:tbl>
    <w:p w14:paraId="44C16726" w14:textId="77777777" w:rsidR="00A65987" w:rsidRPr="00322179" w:rsidRDefault="00A65987" w:rsidP="00322179">
      <w:pPr>
        <w:spacing w:line="240" w:lineRule="auto"/>
        <w:rPr>
          <w:rFonts w:ascii="Times New Roman" w:hAnsi="Times New Roman" w:cs="Times New Roman"/>
          <w:b/>
          <w:i/>
          <w:color w:val="000000"/>
          <w:shd w:val="clear" w:color="auto" w:fill="FCFCFC"/>
        </w:rPr>
      </w:pPr>
      <w:r w:rsidRPr="00322179">
        <w:rPr>
          <w:rFonts w:ascii="Times New Roman" w:hAnsi="Times New Roman" w:cs="Times New Roman"/>
          <w:b/>
          <w:i/>
        </w:rPr>
        <w:tab/>
      </w:r>
      <w:r w:rsidRPr="00322179">
        <w:rPr>
          <w:rFonts w:ascii="Times New Roman" w:hAnsi="Times New Roman" w:cs="Times New Roman"/>
          <w:b/>
          <w:i/>
        </w:rPr>
        <w:tab/>
      </w:r>
      <w:r w:rsidRPr="00322179">
        <w:rPr>
          <w:rFonts w:ascii="Times New Roman" w:hAnsi="Times New Roman" w:cs="Times New Roman"/>
          <w:b/>
          <w:i/>
        </w:rPr>
        <w:tab/>
      </w:r>
      <w:r w:rsidRPr="00322179">
        <w:rPr>
          <w:rFonts w:ascii="Times New Roman" w:hAnsi="Times New Roman" w:cs="Times New Roman"/>
          <w:b/>
          <w:i/>
        </w:rPr>
        <w:tab/>
      </w:r>
      <w:r w:rsidRPr="00322179">
        <w:rPr>
          <w:rFonts w:ascii="Times New Roman" w:hAnsi="Times New Roman" w:cs="Times New Roman"/>
          <w:b/>
          <w:i/>
        </w:rPr>
        <w:tab/>
      </w:r>
      <w:r w:rsidRPr="00322179">
        <w:rPr>
          <w:rFonts w:ascii="Times New Roman" w:hAnsi="Times New Roman" w:cs="Times New Roman"/>
          <w:b/>
          <w:i/>
        </w:rPr>
        <w:tab/>
        <w:t xml:space="preserve"> </w:t>
      </w:r>
      <w:r w:rsidRPr="00322179">
        <w:rPr>
          <w:rFonts w:ascii="Times New Roman" w:hAnsi="Times New Roman" w:cs="Times New Roman"/>
          <w:b/>
          <w:i/>
        </w:rPr>
        <w:tab/>
      </w:r>
      <w:r w:rsidRPr="00322179">
        <w:rPr>
          <w:rFonts w:ascii="Times New Roman" w:hAnsi="Times New Roman" w:cs="Times New Roman"/>
          <w:b/>
          <w:i/>
        </w:rPr>
        <w:tab/>
        <w:t xml:space="preserve">   </w:t>
      </w:r>
      <w:r w:rsidRPr="00322179">
        <w:rPr>
          <w:rFonts w:ascii="Times New Roman" w:hAnsi="Times New Roman" w:cs="Times New Roman"/>
          <w:b/>
          <w:i/>
        </w:rPr>
        <w:tab/>
      </w:r>
      <w:r w:rsidRPr="00322179">
        <w:rPr>
          <w:rFonts w:ascii="Times New Roman" w:hAnsi="Times New Roman" w:cs="Times New Roman"/>
          <w:b/>
          <w:i/>
        </w:rPr>
        <w:tab/>
      </w:r>
      <w:r w:rsidRPr="00322179">
        <w:rPr>
          <w:rFonts w:ascii="Times New Roman" w:hAnsi="Times New Roman" w:cs="Times New Roman"/>
          <w:b/>
          <w:i/>
          <w:color w:val="000000"/>
          <w:shd w:val="clear" w:color="auto" w:fill="FCFCFC"/>
        </w:rPr>
        <w:tab/>
        <w:t xml:space="preserve">                     </w:t>
      </w:r>
    </w:p>
    <w:p w14:paraId="4A9EE5B6" w14:textId="77777777" w:rsidR="00A65987" w:rsidRPr="00322179" w:rsidRDefault="00A65987" w:rsidP="00322179">
      <w:pPr>
        <w:spacing w:line="240" w:lineRule="auto"/>
        <w:rPr>
          <w:rFonts w:ascii="Times New Roman" w:hAnsi="Times New Roman" w:cs="Times New Roman"/>
          <w:b/>
          <w:i/>
        </w:rPr>
      </w:pPr>
      <w:r w:rsidRPr="00322179">
        <w:rPr>
          <w:rFonts w:ascii="Times New Roman" w:hAnsi="Times New Roman" w:cs="Times New Roman"/>
        </w:rPr>
        <w:t>There was no statistically significant difference in egg-yield among OCPs participants (</w:t>
      </w:r>
      <w:r w:rsidRPr="00322179">
        <w:rPr>
          <w:rFonts w:ascii="Times New Roman" w:hAnsi="Times New Roman" w:cs="Times New Roman"/>
          <w:i/>
        </w:rPr>
        <w:t>M</w:t>
      </w:r>
      <w:r w:rsidRPr="00322179">
        <w:rPr>
          <w:rFonts w:ascii="Times New Roman" w:hAnsi="Times New Roman" w:cs="Times New Roman"/>
        </w:rPr>
        <w:t xml:space="preserve">=10.47, </w:t>
      </w:r>
      <w:r w:rsidRPr="00322179">
        <w:rPr>
          <w:rFonts w:ascii="Times New Roman" w:hAnsi="Times New Roman" w:cs="Times New Roman"/>
          <w:i/>
        </w:rPr>
        <w:t>SD</w:t>
      </w:r>
      <w:r w:rsidRPr="00322179">
        <w:rPr>
          <w:rFonts w:ascii="Times New Roman" w:hAnsi="Times New Roman" w:cs="Times New Roman"/>
        </w:rPr>
        <w:t>=4.68) and participants with natural cycle (</w:t>
      </w:r>
      <w:r w:rsidRPr="00322179">
        <w:rPr>
          <w:rFonts w:ascii="Times New Roman" w:hAnsi="Times New Roman" w:cs="Times New Roman"/>
          <w:i/>
        </w:rPr>
        <w:t>M</w:t>
      </w:r>
      <w:r w:rsidRPr="00322179">
        <w:rPr>
          <w:rFonts w:ascii="Times New Roman" w:hAnsi="Times New Roman" w:cs="Times New Roman"/>
        </w:rPr>
        <w:t xml:space="preserve">=11.86, </w:t>
      </w:r>
      <w:r w:rsidRPr="00322179">
        <w:rPr>
          <w:rFonts w:ascii="Times New Roman" w:hAnsi="Times New Roman" w:cs="Times New Roman"/>
          <w:i/>
        </w:rPr>
        <w:t xml:space="preserve">SD </w:t>
      </w:r>
      <w:r w:rsidRPr="00322179">
        <w:rPr>
          <w:rFonts w:ascii="Times New Roman" w:hAnsi="Times New Roman" w:cs="Times New Roman"/>
        </w:rPr>
        <w:t xml:space="preserve">=5.31); </w:t>
      </w:r>
      <w:proofErr w:type="gramStart"/>
      <w:r w:rsidRPr="00322179">
        <w:rPr>
          <w:rFonts w:ascii="Times New Roman" w:hAnsi="Times New Roman" w:cs="Times New Roman"/>
          <w:i/>
        </w:rPr>
        <w:t>t</w:t>
      </w:r>
      <w:r w:rsidRPr="00322179">
        <w:rPr>
          <w:rFonts w:ascii="Times New Roman" w:hAnsi="Times New Roman" w:cs="Times New Roman"/>
        </w:rPr>
        <w:t>(</w:t>
      </w:r>
      <w:proofErr w:type="gramEnd"/>
      <w:r w:rsidRPr="00322179">
        <w:rPr>
          <w:rFonts w:ascii="Times New Roman" w:hAnsi="Times New Roman" w:cs="Times New Roman"/>
        </w:rPr>
        <w:t xml:space="preserve">84)= -1.293, </w:t>
      </w:r>
      <w:r w:rsidRPr="00322179">
        <w:rPr>
          <w:rFonts w:ascii="Times New Roman" w:hAnsi="Times New Roman" w:cs="Times New Roman"/>
          <w:i/>
        </w:rPr>
        <w:t>p</w:t>
      </w:r>
      <w:r w:rsidRPr="00322179">
        <w:rPr>
          <w:rFonts w:ascii="Times New Roman" w:hAnsi="Times New Roman" w:cs="Times New Roman"/>
        </w:rPr>
        <w:t>=0.379.</w:t>
      </w:r>
    </w:p>
    <w:p w14:paraId="4CDF46D7" w14:textId="77777777" w:rsidR="00A65987" w:rsidRPr="00322179" w:rsidRDefault="00A65987" w:rsidP="00322179">
      <w:pPr>
        <w:pStyle w:val="Heading2"/>
        <w:spacing w:line="240" w:lineRule="auto"/>
        <w:rPr>
          <w:rFonts w:ascii="Times New Roman" w:hAnsi="Times New Roman" w:cs="Times New Roman"/>
          <w:b/>
          <w:color w:val="auto"/>
          <w:sz w:val="24"/>
          <w:szCs w:val="24"/>
        </w:rPr>
      </w:pPr>
      <w:bookmarkStart w:id="14" w:name="_Toc145558306"/>
      <w:r w:rsidRPr="00322179">
        <w:rPr>
          <w:rFonts w:ascii="Times New Roman" w:hAnsi="Times New Roman" w:cs="Times New Roman"/>
          <w:b/>
          <w:color w:val="auto"/>
          <w:sz w:val="24"/>
          <w:szCs w:val="24"/>
        </w:rPr>
        <w:t>Table 5: Comparison between pregnancy rates among the two groups</w:t>
      </w:r>
      <w:bookmarkEnd w:id="14"/>
    </w:p>
    <w:tbl>
      <w:tblPr>
        <w:tblStyle w:val="TableGrid"/>
        <w:tblW w:w="0" w:type="auto"/>
        <w:jc w:val="center"/>
        <w:tblLook w:val="04A0" w:firstRow="1" w:lastRow="0" w:firstColumn="1" w:lastColumn="0" w:noHBand="0" w:noVBand="1"/>
      </w:tblPr>
      <w:tblGrid>
        <w:gridCol w:w="1870"/>
        <w:gridCol w:w="1870"/>
        <w:gridCol w:w="1870"/>
        <w:gridCol w:w="1870"/>
        <w:gridCol w:w="1870"/>
      </w:tblGrid>
      <w:tr w:rsidR="00A65987" w:rsidRPr="00322179" w14:paraId="02C0AB53" w14:textId="77777777" w:rsidTr="006771AC">
        <w:trPr>
          <w:jc w:val="center"/>
        </w:trPr>
        <w:tc>
          <w:tcPr>
            <w:tcW w:w="1870" w:type="dxa"/>
          </w:tcPr>
          <w:p w14:paraId="2CAD8A23" w14:textId="77777777" w:rsidR="00A65987" w:rsidRPr="00322179" w:rsidRDefault="00A65987" w:rsidP="00322179">
            <w:pPr>
              <w:rPr>
                <w:rFonts w:ascii="Times New Roman" w:hAnsi="Times New Roman" w:cs="Times New Roman"/>
                <w:color w:val="000000" w:themeColor="text1"/>
                <w:sz w:val="24"/>
                <w:szCs w:val="24"/>
              </w:rPr>
            </w:pPr>
            <w:r w:rsidRPr="00322179">
              <w:rPr>
                <w:rFonts w:ascii="Times New Roman" w:hAnsi="Times New Roman" w:cs="Times New Roman"/>
                <w:color w:val="000000" w:themeColor="text1"/>
                <w:sz w:val="24"/>
                <w:szCs w:val="24"/>
              </w:rPr>
              <w:t>Parameter</w:t>
            </w:r>
          </w:p>
        </w:tc>
        <w:tc>
          <w:tcPr>
            <w:tcW w:w="1870" w:type="dxa"/>
          </w:tcPr>
          <w:p w14:paraId="18992700" w14:textId="77777777" w:rsidR="00A65987" w:rsidRPr="00322179" w:rsidRDefault="00A65987" w:rsidP="00322179">
            <w:pPr>
              <w:rPr>
                <w:rFonts w:ascii="Times New Roman" w:hAnsi="Times New Roman" w:cs="Times New Roman"/>
                <w:color w:val="000000" w:themeColor="text1"/>
                <w:sz w:val="24"/>
                <w:szCs w:val="24"/>
              </w:rPr>
            </w:pPr>
            <w:r w:rsidRPr="00322179">
              <w:rPr>
                <w:rFonts w:ascii="Times New Roman" w:hAnsi="Times New Roman" w:cs="Times New Roman"/>
                <w:color w:val="000000" w:themeColor="text1"/>
                <w:sz w:val="24"/>
                <w:szCs w:val="24"/>
              </w:rPr>
              <w:t xml:space="preserve">Took OCPs (n=43)  </w:t>
            </w:r>
          </w:p>
        </w:tc>
        <w:tc>
          <w:tcPr>
            <w:tcW w:w="1870" w:type="dxa"/>
          </w:tcPr>
          <w:p w14:paraId="4679ED03" w14:textId="77777777" w:rsidR="00A65987" w:rsidRPr="00322179" w:rsidRDefault="00A65987" w:rsidP="00322179">
            <w:pPr>
              <w:rPr>
                <w:rFonts w:ascii="Times New Roman" w:hAnsi="Times New Roman" w:cs="Times New Roman"/>
                <w:color w:val="000000" w:themeColor="text1"/>
                <w:sz w:val="24"/>
                <w:szCs w:val="24"/>
              </w:rPr>
            </w:pPr>
            <w:r w:rsidRPr="00322179">
              <w:rPr>
                <w:rFonts w:ascii="Times New Roman" w:hAnsi="Times New Roman" w:cs="Times New Roman"/>
                <w:color w:val="000000" w:themeColor="text1"/>
                <w:sz w:val="24"/>
                <w:szCs w:val="24"/>
              </w:rPr>
              <w:t xml:space="preserve">Natural cycle (n=43)    </w:t>
            </w:r>
          </w:p>
        </w:tc>
        <w:tc>
          <w:tcPr>
            <w:tcW w:w="1870" w:type="dxa"/>
          </w:tcPr>
          <w:p w14:paraId="4E8666E7" w14:textId="77777777" w:rsidR="00A65987" w:rsidRPr="00322179" w:rsidRDefault="00A65987" w:rsidP="00322179">
            <w:pPr>
              <w:rPr>
                <w:rFonts w:ascii="Times New Roman" w:hAnsi="Times New Roman" w:cs="Times New Roman"/>
                <w:color w:val="000000" w:themeColor="text1"/>
                <w:sz w:val="24"/>
                <w:szCs w:val="24"/>
              </w:rPr>
            </w:pPr>
            <w:r w:rsidRPr="00322179">
              <w:rPr>
                <w:rFonts w:ascii="Times New Roman" w:hAnsi="Times New Roman" w:cs="Times New Roman"/>
                <w:i/>
                <w:color w:val="000000" w:themeColor="text1"/>
                <w:sz w:val="24"/>
                <w:szCs w:val="24"/>
              </w:rPr>
              <w:t xml:space="preserve">value   </w:t>
            </w:r>
          </w:p>
        </w:tc>
        <w:tc>
          <w:tcPr>
            <w:tcW w:w="1870" w:type="dxa"/>
          </w:tcPr>
          <w:p w14:paraId="15268B74" w14:textId="77777777" w:rsidR="00A65987" w:rsidRPr="00322179" w:rsidRDefault="00A65987" w:rsidP="00322179">
            <w:pPr>
              <w:rPr>
                <w:rFonts w:ascii="Times New Roman" w:hAnsi="Times New Roman" w:cs="Times New Roman"/>
                <w:color w:val="000000" w:themeColor="text1"/>
                <w:sz w:val="24"/>
                <w:szCs w:val="24"/>
              </w:rPr>
            </w:pPr>
            <w:r w:rsidRPr="00322179">
              <w:rPr>
                <w:rFonts w:ascii="Times New Roman" w:hAnsi="Times New Roman" w:cs="Times New Roman"/>
                <w:i/>
                <w:color w:val="000000" w:themeColor="text1"/>
                <w:sz w:val="24"/>
                <w:szCs w:val="24"/>
              </w:rPr>
              <w:t xml:space="preserve">     Chi square</w:t>
            </w:r>
          </w:p>
        </w:tc>
      </w:tr>
      <w:tr w:rsidR="00A65987" w:rsidRPr="00322179" w14:paraId="298B88BA" w14:textId="77777777" w:rsidTr="006771AC">
        <w:trPr>
          <w:jc w:val="center"/>
        </w:trPr>
        <w:tc>
          <w:tcPr>
            <w:tcW w:w="1870" w:type="dxa"/>
          </w:tcPr>
          <w:p w14:paraId="34793BE3" w14:textId="77777777" w:rsidR="00A65987" w:rsidRPr="00322179" w:rsidRDefault="00A65987" w:rsidP="00322179">
            <w:pPr>
              <w:rPr>
                <w:rFonts w:ascii="Times New Roman" w:hAnsi="Times New Roman" w:cs="Times New Roman"/>
                <w:color w:val="000000" w:themeColor="text1"/>
                <w:sz w:val="24"/>
                <w:szCs w:val="24"/>
              </w:rPr>
            </w:pPr>
          </w:p>
        </w:tc>
        <w:tc>
          <w:tcPr>
            <w:tcW w:w="1870" w:type="dxa"/>
          </w:tcPr>
          <w:p w14:paraId="29FB37CE" w14:textId="77777777" w:rsidR="00A65987" w:rsidRPr="00322179" w:rsidRDefault="00A65987" w:rsidP="00322179">
            <w:pPr>
              <w:rPr>
                <w:rFonts w:ascii="Times New Roman" w:hAnsi="Times New Roman" w:cs="Times New Roman"/>
                <w:color w:val="000000" w:themeColor="text1"/>
                <w:sz w:val="24"/>
                <w:szCs w:val="24"/>
              </w:rPr>
            </w:pPr>
          </w:p>
        </w:tc>
        <w:tc>
          <w:tcPr>
            <w:tcW w:w="1870" w:type="dxa"/>
          </w:tcPr>
          <w:p w14:paraId="25989721" w14:textId="77777777" w:rsidR="00A65987" w:rsidRPr="00322179" w:rsidRDefault="00A65987" w:rsidP="00322179">
            <w:pPr>
              <w:rPr>
                <w:rFonts w:ascii="Times New Roman" w:hAnsi="Times New Roman" w:cs="Times New Roman"/>
                <w:color w:val="000000" w:themeColor="text1"/>
                <w:sz w:val="24"/>
                <w:szCs w:val="24"/>
              </w:rPr>
            </w:pPr>
          </w:p>
        </w:tc>
        <w:tc>
          <w:tcPr>
            <w:tcW w:w="1870" w:type="dxa"/>
          </w:tcPr>
          <w:p w14:paraId="69EA96CA" w14:textId="77777777" w:rsidR="00A65987" w:rsidRPr="00322179" w:rsidRDefault="00A65987" w:rsidP="00322179">
            <w:pPr>
              <w:rPr>
                <w:rFonts w:ascii="Times New Roman" w:hAnsi="Times New Roman" w:cs="Times New Roman"/>
                <w:i/>
                <w:color w:val="000000" w:themeColor="text1"/>
                <w:sz w:val="24"/>
                <w:szCs w:val="24"/>
              </w:rPr>
            </w:pPr>
          </w:p>
        </w:tc>
        <w:tc>
          <w:tcPr>
            <w:tcW w:w="1870" w:type="dxa"/>
          </w:tcPr>
          <w:p w14:paraId="67A7C05C" w14:textId="77777777" w:rsidR="00A65987" w:rsidRPr="00322179" w:rsidRDefault="00A65987" w:rsidP="00322179">
            <w:pPr>
              <w:rPr>
                <w:rFonts w:ascii="Times New Roman" w:hAnsi="Times New Roman" w:cs="Times New Roman"/>
                <w:i/>
                <w:color w:val="000000" w:themeColor="text1"/>
                <w:sz w:val="24"/>
                <w:szCs w:val="24"/>
              </w:rPr>
            </w:pPr>
          </w:p>
        </w:tc>
      </w:tr>
      <w:tr w:rsidR="00A65987" w:rsidRPr="00322179" w14:paraId="556F56E3" w14:textId="77777777" w:rsidTr="006771AC">
        <w:trPr>
          <w:jc w:val="center"/>
        </w:trPr>
        <w:tc>
          <w:tcPr>
            <w:tcW w:w="1870" w:type="dxa"/>
          </w:tcPr>
          <w:p w14:paraId="69091259" w14:textId="77777777" w:rsidR="00A65987" w:rsidRPr="00322179" w:rsidRDefault="00A65987" w:rsidP="00322179">
            <w:pPr>
              <w:rPr>
                <w:rFonts w:ascii="Times New Roman" w:hAnsi="Times New Roman" w:cs="Times New Roman"/>
                <w:color w:val="000000" w:themeColor="text1"/>
                <w:sz w:val="24"/>
                <w:szCs w:val="24"/>
              </w:rPr>
            </w:pPr>
            <w:r w:rsidRPr="00322179">
              <w:rPr>
                <w:rFonts w:ascii="Times New Roman" w:hAnsi="Times New Roman" w:cs="Times New Roman"/>
                <w:i/>
                <w:color w:val="000000" w:themeColor="text1"/>
                <w:sz w:val="24"/>
                <w:szCs w:val="24"/>
              </w:rPr>
              <w:lastRenderedPageBreak/>
              <w:t>Pregnancy Test</w:t>
            </w:r>
          </w:p>
        </w:tc>
        <w:tc>
          <w:tcPr>
            <w:tcW w:w="1870" w:type="dxa"/>
          </w:tcPr>
          <w:p w14:paraId="1C11C4D0" w14:textId="77777777" w:rsidR="00A65987" w:rsidRPr="00322179" w:rsidRDefault="00A65987" w:rsidP="00322179">
            <w:pPr>
              <w:rPr>
                <w:rFonts w:ascii="Times New Roman" w:hAnsi="Times New Roman" w:cs="Times New Roman"/>
                <w:color w:val="000000" w:themeColor="text1"/>
                <w:sz w:val="24"/>
                <w:szCs w:val="24"/>
              </w:rPr>
            </w:pPr>
          </w:p>
        </w:tc>
        <w:tc>
          <w:tcPr>
            <w:tcW w:w="1870" w:type="dxa"/>
          </w:tcPr>
          <w:p w14:paraId="70B8294A" w14:textId="77777777" w:rsidR="00A65987" w:rsidRPr="00322179" w:rsidRDefault="00A65987" w:rsidP="00322179">
            <w:pPr>
              <w:rPr>
                <w:rFonts w:ascii="Times New Roman" w:hAnsi="Times New Roman" w:cs="Times New Roman"/>
                <w:color w:val="000000" w:themeColor="text1"/>
                <w:sz w:val="24"/>
                <w:szCs w:val="24"/>
              </w:rPr>
            </w:pPr>
          </w:p>
        </w:tc>
        <w:tc>
          <w:tcPr>
            <w:tcW w:w="1870" w:type="dxa"/>
          </w:tcPr>
          <w:p w14:paraId="6414F1E5" w14:textId="77777777" w:rsidR="00A65987" w:rsidRPr="00322179" w:rsidRDefault="00A65987" w:rsidP="00322179">
            <w:pPr>
              <w:rPr>
                <w:rFonts w:ascii="Times New Roman" w:hAnsi="Times New Roman" w:cs="Times New Roman"/>
                <w:color w:val="000000" w:themeColor="text1"/>
                <w:sz w:val="24"/>
                <w:szCs w:val="24"/>
              </w:rPr>
            </w:pPr>
            <w:r w:rsidRPr="00322179">
              <w:rPr>
                <w:rFonts w:ascii="Times New Roman" w:hAnsi="Times New Roman" w:cs="Times New Roman"/>
                <w:color w:val="000000" w:themeColor="text1"/>
                <w:sz w:val="24"/>
                <w:szCs w:val="24"/>
              </w:rPr>
              <w:t xml:space="preserve">    </w:t>
            </w:r>
          </w:p>
        </w:tc>
        <w:tc>
          <w:tcPr>
            <w:tcW w:w="1870" w:type="dxa"/>
          </w:tcPr>
          <w:p w14:paraId="1290BB55" w14:textId="77777777" w:rsidR="00A65987" w:rsidRPr="00322179" w:rsidRDefault="00A65987" w:rsidP="00322179">
            <w:pPr>
              <w:rPr>
                <w:rFonts w:ascii="Times New Roman" w:hAnsi="Times New Roman" w:cs="Times New Roman"/>
                <w:color w:val="000000" w:themeColor="text1"/>
                <w:sz w:val="24"/>
                <w:szCs w:val="24"/>
              </w:rPr>
            </w:pPr>
          </w:p>
        </w:tc>
      </w:tr>
      <w:tr w:rsidR="00A65987" w:rsidRPr="00322179" w14:paraId="3B51366C" w14:textId="77777777" w:rsidTr="006771AC">
        <w:trPr>
          <w:jc w:val="center"/>
        </w:trPr>
        <w:tc>
          <w:tcPr>
            <w:tcW w:w="1870" w:type="dxa"/>
          </w:tcPr>
          <w:p w14:paraId="2B652659" w14:textId="77777777" w:rsidR="00A65987" w:rsidRPr="00322179" w:rsidRDefault="00A65987" w:rsidP="00322179">
            <w:pPr>
              <w:rPr>
                <w:rFonts w:ascii="Times New Roman" w:hAnsi="Times New Roman" w:cs="Times New Roman"/>
                <w:color w:val="000000" w:themeColor="text1"/>
                <w:sz w:val="24"/>
                <w:szCs w:val="24"/>
              </w:rPr>
            </w:pPr>
            <w:r w:rsidRPr="00322179">
              <w:rPr>
                <w:rFonts w:ascii="Times New Roman" w:hAnsi="Times New Roman" w:cs="Times New Roman"/>
                <w:i/>
                <w:color w:val="000000" w:themeColor="text1"/>
                <w:sz w:val="24"/>
                <w:szCs w:val="24"/>
              </w:rPr>
              <w:t>Positive</w:t>
            </w:r>
          </w:p>
        </w:tc>
        <w:tc>
          <w:tcPr>
            <w:tcW w:w="1870" w:type="dxa"/>
          </w:tcPr>
          <w:p w14:paraId="627CDCAD" w14:textId="77777777" w:rsidR="00A65987" w:rsidRPr="00322179" w:rsidRDefault="00A65987" w:rsidP="00322179">
            <w:pPr>
              <w:rPr>
                <w:rFonts w:ascii="Times New Roman" w:hAnsi="Times New Roman" w:cs="Times New Roman"/>
                <w:color w:val="000000" w:themeColor="text1"/>
                <w:sz w:val="24"/>
                <w:szCs w:val="24"/>
              </w:rPr>
            </w:pPr>
            <w:r w:rsidRPr="00322179">
              <w:rPr>
                <w:rFonts w:ascii="Times New Roman" w:hAnsi="Times New Roman" w:cs="Times New Roman"/>
                <w:color w:val="000000" w:themeColor="text1"/>
                <w:sz w:val="24"/>
                <w:szCs w:val="24"/>
              </w:rPr>
              <w:t xml:space="preserve">     25(58.1%)</w:t>
            </w:r>
          </w:p>
        </w:tc>
        <w:tc>
          <w:tcPr>
            <w:tcW w:w="1870" w:type="dxa"/>
          </w:tcPr>
          <w:p w14:paraId="6B2AC976" w14:textId="77777777" w:rsidR="00A65987" w:rsidRPr="00322179" w:rsidRDefault="00A65987" w:rsidP="00322179">
            <w:pPr>
              <w:rPr>
                <w:rFonts w:ascii="Times New Roman" w:hAnsi="Times New Roman" w:cs="Times New Roman"/>
                <w:color w:val="000000" w:themeColor="text1"/>
                <w:sz w:val="24"/>
                <w:szCs w:val="24"/>
              </w:rPr>
            </w:pPr>
            <w:r w:rsidRPr="00322179">
              <w:rPr>
                <w:rFonts w:ascii="Times New Roman" w:hAnsi="Times New Roman" w:cs="Times New Roman"/>
                <w:color w:val="000000" w:themeColor="text1"/>
                <w:sz w:val="24"/>
                <w:szCs w:val="24"/>
              </w:rPr>
              <w:t>27(62.8%)</w:t>
            </w:r>
          </w:p>
        </w:tc>
        <w:tc>
          <w:tcPr>
            <w:tcW w:w="1870" w:type="dxa"/>
          </w:tcPr>
          <w:p w14:paraId="637FB44B" w14:textId="77777777" w:rsidR="00A65987" w:rsidRPr="00322179" w:rsidRDefault="00A65987" w:rsidP="00322179">
            <w:pPr>
              <w:jc w:val="center"/>
              <w:rPr>
                <w:rFonts w:ascii="Times New Roman" w:hAnsi="Times New Roman" w:cs="Times New Roman"/>
                <w:color w:val="000000" w:themeColor="text1"/>
                <w:sz w:val="24"/>
                <w:szCs w:val="24"/>
              </w:rPr>
            </w:pPr>
            <w:r w:rsidRPr="00322179">
              <w:rPr>
                <w:rFonts w:ascii="Times New Roman" w:hAnsi="Times New Roman" w:cs="Times New Roman"/>
                <w:color w:val="000000" w:themeColor="text1"/>
                <w:sz w:val="24"/>
                <w:szCs w:val="24"/>
              </w:rPr>
              <w:t>0.195</w:t>
            </w:r>
          </w:p>
        </w:tc>
        <w:tc>
          <w:tcPr>
            <w:tcW w:w="1870" w:type="dxa"/>
          </w:tcPr>
          <w:p w14:paraId="353487F9" w14:textId="77777777" w:rsidR="00A65987" w:rsidRPr="00322179" w:rsidRDefault="00A65987" w:rsidP="00322179">
            <w:pPr>
              <w:rPr>
                <w:rFonts w:ascii="Times New Roman" w:hAnsi="Times New Roman" w:cs="Times New Roman"/>
                <w:color w:val="000000" w:themeColor="text1"/>
                <w:sz w:val="24"/>
                <w:szCs w:val="24"/>
              </w:rPr>
            </w:pPr>
            <w:r w:rsidRPr="00322179">
              <w:rPr>
                <w:rFonts w:ascii="Times New Roman" w:hAnsi="Times New Roman" w:cs="Times New Roman"/>
                <w:color w:val="000000" w:themeColor="text1"/>
                <w:sz w:val="24"/>
                <w:szCs w:val="24"/>
              </w:rPr>
              <w:t>0.659</w:t>
            </w:r>
          </w:p>
        </w:tc>
      </w:tr>
      <w:tr w:rsidR="00A65987" w:rsidRPr="00322179" w14:paraId="68C23EFB" w14:textId="77777777" w:rsidTr="006771AC">
        <w:trPr>
          <w:jc w:val="center"/>
        </w:trPr>
        <w:tc>
          <w:tcPr>
            <w:tcW w:w="1870" w:type="dxa"/>
          </w:tcPr>
          <w:p w14:paraId="35A19458" w14:textId="77777777" w:rsidR="00A65987" w:rsidRPr="00322179" w:rsidRDefault="00A65987" w:rsidP="00322179">
            <w:pPr>
              <w:rPr>
                <w:rFonts w:ascii="Times New Roman" w:hAnsi="Times New Roman" w:cs="Times New Roman"/>
                <w:color w:val="000000" w:themeColor="text1"/>
                <w:sz w:val="24"/>
                <w:szCs w:val="24"/>
              </w:rPr>
            </w:pPr>
            <w:r w:rsidRPr="00322179">
              <w:rPr>
                <w:rFonts w:ascii="Times New Roman" w:hAnsi="Times New Roman" w:cs="Times New Roman"/>
                <w:i/>
                <w:color w:val="000000" w:themeColor="text1"/>
                <w:sz w:val="24"/>
                <w:szCs w:val="24"/>
              </w:rPr>
              <w:t>Negative</w:t>
            </w:r>
          </w:p>
        </w:tc>
        <w:tc>
          <w:tcPr>
            <w:tcW w:w="1870" w:type="dxa"/>
          </w:tcPr>
          <w:p w14:paraId="12C4B5E9" w14:textId="77777777" w:rsidR="00A65987" w:rsidRPr="00322179" w:rsidRDefault="00A65987" w:rsidP="00322179">
            <w:pPr>
              <w:jc w:val="center"/>
              <w:rPr>
                <w:rFonts w:ascii="Times New Roman" w:hAnsi="Times New Roman" w:cs="Times New Roman"/>
                <w:color w:val="000000" w:themeColor="text1"/>
                <w:sz w:val="24"/>
                <w:szCs w:val="24"/>
              </w:rPr>
            </w:pPr>
            <w:r w:rsidRPr="00322179">
              <w:rPr>
                <w:rFonts w:ascii="Times New Roman" w:hAnsi="Times New Roman" w:cs="Times New Roman"/>
                <w:color w:val="000000" w:themeColor="text1"/>
                <w:sz w:val="24"/>
                <w:szCs w:val="24"/>
              </w:rPr>
              <w:t>18(41.9%)</w:t>
            </w:r>
          </w:p>
        </w:tc>
        <w:tc>
          <w:tcPr>
            <w:tcW w:w="1870" w:type="dxa"/>
          </w:tcPr>
          <w:p w14:paraId="1F835921" w14:textId="77777777" w:rsidR="00A65987" w:rsidRPr="00322179" w:rsidRDefault="00A65987" w:rsidP="00322179">
            <w:pPr>
              <w:rPr>
                <w:rFonts w:ascii="Times New Roman" w:hAnsi="Times New Roman" w:cs="Times New Roman"/>
                <w:color w:val="000000" w:themeColor="text1"/>
                <w:sz w:val="24"/>
                <w:szCs w:val="24"/>
              </w:rPr>
            </w:pPr>
            <w:r w:rsidRPr="00322179">
              <w:rPr>
                <w:rFonts w:ascii="Times New Roman" w:hAnsi="Times New Roman" w:cs="Times New Roman"/>
                <w:color w:val="000000" w:themeColor="text1"/>
                <w:sz w:val="24"/>
                <w:szCs w:val="24"/>
              </w:rPr>
              <w:t>16(37.2%)</w:t>
            </w:r>
          </w:p>
        </w:tc>
        <w:tc>
          <w:tcPr>
            <w:tcW w:w="1870" w:type="dxa"/>
          </w:tcPr>
          <w:p w14:paraId="0CFF0448" w14:textId="77777777" w:rsidR="00A65987" w:rsidRPr="00322179" w:rsidRDefault="00A65987" w:rsidP="00322179">
            <w:pPr>
              <w:rPr>
                <w:rFonts w:ascii="Times New Roman" w:hAnsi="Times New Roman" w:cs="Times New Roman"/>
                <w:color w:val="000000" w:themeColor="text1"/>
                <w:sz w:val="24"/>
                <w:szCs w:val="24"/>
              </w:rPr>
            </w:pPr>
          </w:p>
        </w:tc>
        <w:tc>
          <w:tcPr>
            <w:tcW w:w="1870" w:type="dxa"/>
          </w:tcPr>
          <w:p w14:paraId="2E5407F6" w14:textId="77777777" w:rsidR="00A65987" w:rsidRPr="00322179" w:rsidRDefault="00A65987" w:rsidP="00322179">
            <w:pPr>
              <w:rPr>
                <w:rFonts w:ascii="Times New Roman" w:hAnsi="Times New Roman" w:cs="Times New Roman"/>
                <w:color w:val="000000" w:themeColor="text1"/>
                <w:sz w:val="24"/>
                <w:szCs w:val="24"/>
              </w:rPr>
            </w:pPr>
          </w:p>
        </w:tc>
      </w:tr>
    </w:tbl>
    <w:p w14:paraId="7EF7227C" w14:textId="77777777" w:rsidR="00A65987" w:rsidRPr="00322179" w:rsidRDefault="00A65987" w:rsidP="00322179">
      <w:pPr>
        <w:spacing w:line="240" w:lineRule="auto"/>
        <w:rPr>
          <w:rFonts w:ascii="Times New Roman" w:hAnsi="Times New Roman" w:cs="Times New Roman"/>
          <w:i/>
        </w:rPr>
      </w:pPr>
    </w:p>
    <w:p w14:paraId="69F2E030" w14:textId="77777777" w:rsidR="00A65987" w:rsidRPr="00322179" w:rsidRDefault="00A65987" w:rsidP="00322179">
      <w:pPr>
        <w:spacing w:line="240" w:lineRule="auto"/>
        <w:rPr>
          <w:rFonts w:ascii="Times New Roman" w:hAnsi="Times New Roman" w:cs="Times New Roman"/>
        </w:rPr>
      </w:pPr>
      <w:r w:rsidRPr="00322179">
        <w:rPr>
          <w:rFonts w:ascii="Times New Roman" w:hAnsi="Times New Roman" w:cs="Times New Roman"/>
        </w:rPr>
        <w:t xml:space="preserve">There was a statistically significant difference in pregnancy rates between the two groups (participants programmed with OCPs versus those with natural cycle). </w:t>
      </w:r>
      <w:proofErr w:type="gramStart"/>
      <w:r w:rsidRPr="00322179">
        <w:rPr>
          <w:rFonts w:ascii="Times New Roman" w:hAnsi="Times New Roman" w:cs="Times New Roman"/>
          <w:i/>
        </w:rPr>
        <w:t>X</w:t>
      </w:r>
      <w:r w:rsidRPr="00322179">
        <w:rPr>
          <w:rFonts w:ascii="Times New Roman" w:hAnsi="Times New Roman" w:cs="Times New Roman"/>
          <w:i/>
          <w:vertAlign w:val="superscript"/>
        </w:rPr>
        <w:t>(</w:t>
      </w:r>
      <w:proofErr w:type="gramEnd"/>
      <w:r w:rsidRPr="00322179">
        <w:rPr>
          <w:rFonts w:ascii="Times New Roman" w:hAnsi="Times New Roman" w:cs="Times New Roman"/>
          <w:i/>
          <w:vertAlign w:val="superscript"/>
        </w:rPr>
        <w:t>1)</w:t>
      </w:r>
      <w:r w:rsidRPr="00322179">
        <w:rPr>
          <w:rFonts w:ascii="Times New Roman" w:hAnsi="Times New Roman" w:cs="Times New Roman"/>
        </w:rPr>
        <w:t xml:space="preserve"> =0.195, </w:t>
      </w:r>
      <w:r w:rsidRPr="00322179">
        <w:rPr>
          <w:rFonts w:ascii="Times New Roman" w:hAnsi="Times New Roman" w:cs="Times New Roman"/>
          <w:i/>
        </w:rPr>
        <w:t>p</w:t>
      </w:r>
      <w:r w:rsidRPr="00322179">
        <w:rPr>
          <w:rFonts w:ascii="Times New Roman" w:hAnsi="Times New Roman" w:cs="Times New Roman"/>
        </w:rPr>
        <w:t xml:space="preserve"> =0.659 which showed no statistically significant difference in pregnancy rates. </w:t>
      </w:r>
    </w:p>
    <w:p w14:paraId="452AB88F" w14:textId="77777777" w:rsidR="00985F3B" w:rsidRPr="00322179" w:rsidRDefault="00985F3B" w:rsidP="00322179">
      <w:pPr>
        <w:spacing w:before="240" w:line="240" w:lineRule="auto"/>
        <w:rPr>
          <w:rFonts w:ascii="Times New Roman" w:hAnsi="Times New Roman" w:cs="Times New Roman"/>
          <w:b/>
          <w:bCs/>
        </w:rPr>
      </w:pPr>
      <w:r w:rsidRPr="00322179">
        <w:rPr>
          <w:rFonts w:ascii="Times New Roman" w:hAnsi="Times New Roman" w:cs="Times New Roman"/>
          <w:b/>
          <w:bCs/>
        </w:rPr>
        <w:t>DISCUSSION</w:t>
      </w:r>
    </w:p>
    <w:p w14:paraId="476C8FDF" w14:textId="524FA34C" w:rsidR="007246F5" w:rsidRPr="007246F5" w:rsidRDefault="007246F5" w:rsidP="00322179">
      <w:pPr>
        <w:spacing w:before="240" w:line="240" w:lineRule="auto"/>
        <w:rPr>
          <w:rFonts w:ascii="Times New Roman" w:hAnsi="Times New Roman" w:cs="Times New Roman"/>
        </w:rPr>
      </w:pPr>
      <w:r w:rsidRPr="007246F5">
        <w:rPr>
          <w:rFonts w:ascii="Times New Roman" w:hAnsi="Times New Roman" w:cs="Times New Roman"/>
        </w:rPr>
        <w:t xml:space="preserve">This </w:t>
      </w:r>
      <w:r w:rsidRPr="00322179">
        <w:rPr>
          <w:rFonts w:ascii="Times New Roman" w:hAnsi="Times New Roman" w:cs="Times New Roman"/>
        </w:rPr>
        <w:t>study</w:t>
      </w:r>
      <w:r w:rsidRPr="007246F5">
        <w:rPr>
          <w:rFonts w:ascii="Times New Roman" w:hAnsi="Times New Roman" w:cs="Times New Roman"/>
        </w:rPr>
        <w:t xml:space="preserve"> evaluated the impact of combined oral contraceptive pill (OCP) pretreatment compared with natural menstrual cycles on oocyte yield and reproductive outcomes prior to controlled ovarian stimulation (COS) in an IVF setting. In this study population, OCP pretreatment did not result in a statistically significant reduction in the number of oocytes retrieved, indicating that cycle programming with OCPs does not adversely affect ovarian responsiveness in women undergoing IVF at this Nigerian tertiary </w:t>
      </w:r>
      <w:proofErr w:type="spellStart"/>
      <w:r w:rsidRPr="007246F5">
        <w:rPr>
          <w:rFonts w:ascii="Times New Roman" w:hAnsi="Times New Roman" w:cs="Times New Roman"/>
        </w:rPr>
        <w:t>centre</w:t>
      </w:r>
      <w:proofErr w:type="spellEnd"/>
      <w:r w:rsidRPr="007246F5">
        <w:rPr>
          <w:rFonts w:ascii="Times New Roman" w:hAnsi="Times New Roman" w:cs="Times New Roman"/>
        </w:rPr>
        <w:t>.</w:t>
      </w:r>
    </w:p>
    <w:p w14:paraId="2AD829B1" w14:textId="7F890ACC" w:rsidR="007246F5" w:rsidRPr="007246F5" w:rsidRDefault="007246F5" w:rsidP="00322179">
      <w:pPr>
        <w:spacing w:before="240" w:line="240" w:lineRule="auto"/>
        <w:rPr>
          <w:rFonts w:ascii="Times New Roman" w:hAnsi="Times New Roman" w:cs="Times New Roman"/>
        </w:rPr>
      </w:pPr>
      <w:r w:rsidRPr="00322179">
        <w:rPr>
          <w:rFonts w:ascii="Times New Roman" w:hAnsi="Times New Roman" w:cs="Times New Roman"/>
        </w:rPr>
        <w:t>T</w:t>
      </w:r>
      <w:r w:rsidRPr="007246F5">
        <w:rPr>
          <w:rFonts w:ascii="Times New Roman" w:hAnsi="Times New Roman" w:cs="Times New Roman"/>
        </w:rPr>
        <w:t xml:space="preserve">he lack of a significant difference in oocyte yield between the programmed and natural cycle groups (p = 0.379) suggests that short-term OCP exposure before COS does not compromise follicular recruitment or oocyte retrieval. This finding supports the premise that OCPs can be used safely for cycle scheduling without negatively influencing ovarian response, particularly in populations with presumably normal or mildly reduced ovarian reserve. The result is clinically relevant in low-resource or high-volume IVF </w:t>
      </w:r>
      <w:proofErr w:type="spellStart"/>
      <w:r w:rsidRPr="007246F5">
        <w:rPr>
          <w:rFonts w:ascii="Times New Roman" w:hAnsi="Times New Roman" w:cs="Times New Roman"/>
        </w:rPr>
        <w:t>centres</w:t>
      </w:r>
      <w:proofErr w:type="spellEnd"/>
      <w:r w:rsidRPr="007246F5">
        <w:rPr>
          <w:rFonts w:ascii="Times New Roman" w:hAnsi="Times New Roman" w:cs="Times New Roman"/>
        </w:rPr>
        <w:t xml:space="preserve"> where cycle planning and laboratory logistics are important considerations.</w:t>
      </w:r>
    </w:p>
    <w:p w14:paraId="41C4304F" w14:textId="77777777" w:rsidR="007246F5" w:rsidRPr="007246F5" w:rsidRDefault="007246F5" w:rsidP="00322179">
      <w:pPr>
        <w:spacing w:before="240" w:line="240" w:lineRule="auto"/>
        <w:rPr>
          <w:rFonts w:ascii="Times New Roman" w:hAnsi="Times New Roman" w:cs="Times New Roman"/>
        </w:rPr>
      </w:pPr>
      <w:r w:rsidRPr="007246F5">
        <w:rPr>
          <w:rFonts w:ascii="Times New Roman" w:hAnsi="Times New Roman" w:cs="Times New Roman"/>
        </w:rPr>
        <w:t>These findings, however, contrast with the report by Barad et al¹⁰, who documented a reduction in both the number and quality of oocytes following OCP-based cycle batching. Several factors may explain this discrepancy. Barad et al¹⁰ studied a smaller cohort and included patients with varied ovarian reserve profiles, which may have amplified the suppressive effects of OCPs on follicular dynamics. Additionally, differences in stimulation protocols, including the type and dose of gonadotropins used, as well as variations in the duration and hormonal composition of OCP pretreatment, could contribute to the heterogeneous outcomes reported across studies. Prolonged pituitary suppression or inadequate washout periods following OCP use have been suggested as potential mechanisms for reduced follicular responsiveness in some populations.</w:t>
      </w:r>
    </w:p>
    <w:p w14:paraId="1E7E2BB4" w14:textId="77777777" w:rsidR="007246F5" w:rsidRPr="007246F5" w:rsidRDefault="007246F5" w:rsidP="00322179">
      <w:pPr>
        <w:spacing w:before="240" w:line="240" w:lineRule="auto"/>
        <w:rPr>
          <w:rFonts w:ascii="Times New Roman" w:hAnsi="Times New Roman" w:cs="Times New Roman"/>
        </w:rPr>
      </w:pPr>
      <w:r w:rsidRPr="007246F5">
        <w:rPr>
          <w:rFonts w:ascii="Times New Roman" w:hAnsi="Times New Roman" w:cs="Times New Roman"/>
        </w:rPr>
        <w:t>Importantly, the present study reflects outcomes within a Nigerian IVF population, where patient characteristics, baseline endocrine profiles, and treatment protocols may differ from those reported in Western settings. Genetic, environmental, and nutritional factors, as well as differences in access to individualized stimulation strategies, may influence ovarian response and could partly account for the absence of a negative effect of OCP pretreatment observed in this cohort.</w:t>
      </w:r>
    </w:p>
    <w:p w14:paraId="695F6C88" w14:textId="63F620BD" w:rsidR="007246F5" w:rsidRPr="007246F5" w:rsidRDefault="007246F5" w:rsidP="00322179">
      <w:pPr>
        <w:spacing w:before="240" w:line="240" w:lineRule="auto"/>
        <w:rPr>
          <w:rFonts w:ascii="Times New Roman" w:hAnsi="Times New Roman" w:cs="Times New Roman"/>
        </w:rPr>
      </w:pPr>
      <w:r w:rsidRPr="00322179">
        <w:rPr>
          <w:rFonts w:ascii="Times New Roman" w:hAnsi="Times New Roman" w:cs="Times New Roman"/>
        </w:rPr>
        <w:t>C</w:t>
      </w:r>
      <w:r w:rsidRPr="007246F5">
        <w:rPr>
          <w:rFonts w:ascii="Times New Roman" w:hAnsi="Times New Roman" w:cs="Times New Roman"/>
        </w:rPr>
        <w:t xml:space="preserve">linical pregnancy rates were comparable between the OCP pretreatment and natural cycle groups (p = 0.659). This finding aligns with higher-level evidence from the systematic review and meta-analysis by Griesinger et al¹¹, which included 847 participants and demonstrated no significant difference in pregnancy rates between IVF cycles conducted with or without OCP pretreatment. Similarly, </w:t>
      </w:r>
      <w:proofErr w:type="spellStart"/>
      <w:r w:rsidRPr="007246F5">
        <w:rPr>
          <w:rFonts w:ascii="Times New Roman" w:hAnsi="Times New Roman" w:cs="Times New Roman"/>
        </w:rPr>
        <w:t>Kolibianakis</w:t>
      </w:r>
      <w:proofErr w:type="spellEnd"/>
      <w:r w:rsidRPr="007246F5">
        <w:rPr>
          <w:rFonts w:ascii="Times New Roman" w:hAnsi="Times New Roman" w:cs="Times New Roman"/>
        </w:rPr>
        <w:t xml:space="preserve"> et al¹², in a randomized trial involving 425 women, </w:t>
      </w:r>
      <w:r w:rsidRPr="007246F5">
        <w:rPr>
          <w:rFonts w:ascii="Times New Roman" w:hAnsi="Times New Roman" w:cs="Times New Roman"/>
        </w:rPr>
        <w:lastRenderedPageBreak/>
        <w:t>reported no adverse effect of OCP pretreatment on pregnancy rates, although an increased risk of early pregnancy loss was observed.</w:t>
      </w:r>
    </w:p>
    <w:p w14:paraId="0CD39CF0" w14:textId="77777777" w:rsidR="007246F5" w:rsidRPr="007246F5" w:rsidRDefault="007246F5" w:rsidP="00322179">
      <w:pPr>
        <w:spacing w:before="240" w:line="240" w:lineRule="auto"/>
        <w:rPr>
          <w:rFonts w:ascii="Times New Roman" w:hAnsi="Times New Roman" w:cs="Times New Roman"/>
        </w:rPr>
      </w:pPr>
      <w:r w:rsidRPr="007246F5">
        <w:rPr>
          <w:rFonts w:ascii="Times New Roman" w:hAnsi="Times New Roman" w:cs="Times New Roman"/>
        </w:rPr>
        <w:t>Collectively, these findings suggest that while OCP pretreatment does not appear to reduce the likelihood of achieving pregnancy, subtle effects on early implantation, luteal phase dynamics, or endometrial receptivity cannot be completely excluded. The observed association with early pregnancy loss in some studies may reflect transient hormonal alterations affecting endometrial maturation or embryo–endometrial synchrony. However, such effects were not evident in the present study, possibly due to differences in study design, patient selection, or sample size.</w:t>
      </w:r>
    </w:p>
    <w:p w14:paraId="2D385C82" w14:textId="77777777" w:rsidR="007246F5" w:rsidRPr="007246F5" w:rsidRDefault="007246F5" w:rsidP="00322179">
      <w:pPr>
        <w:spacing w:before="240" w:line="240" w:lineRule="auto"/>
        <w:rPr>
          <w:rFonts w:ascii="Times New Roman" w:hAnsi="Times New Roman" w:cs="Times New Roman"/>
        </w:rPr>
      </w:pPr>
      <w:r w:rsidRPr="007246F5">
        <w:rPr>
          <w:rFonts w:ascii="Times New Roman" w:hAnsi="Times New Roman" w:cs="Times New Roman"/>
        </w:rPr>
        <w:t xml:space="preserve">Overall, the findings from this randomized trial indicate that OCP pretreatment before ovarian stimulation is a viable and safe option for cycle scheduling in IVF without compromising oocyte yield or pregnancy outcomes. This has important practical implications for IVF practice in Nigerian tertiary </w:t>
      </w:r>
      <w:proofErr w:type="spellStart"/>
      <w:r w:rsidRPr="007246F5">
        <w:rPr>
          <w:rFonts w:ascii="Times New Roman" w:hAnsi="Times New Roman" w:cs="Times New Roman"/>
        </w:rPr>
        <w:t>centres</w:t>
      </w:r>
      <w:proofErr w:type="spellEnd"/>
      <w:r w:rsidRPr="007246F5">
        <w:rPr>
          <w:rFonts w:ascii="Times New Roman" w:hAnsi="Times New Roman" w:cs="Times New Roman"/>
        </w:rPr>
        <w:t xml:space="preserve">, where efficient cycle coordination may improve service delivery without adversely affecting clinical success. Further large-scale, </w:t>
      </w:r>
      <w:proofErr w:type="spellStart"/>
      <w:r w:rsidRPr="007246F5">
        <w:rPr>
          <w:rFonts w:ascii="Times New Roman" w:hAnsi="Times New Roman" w:cs="Times New Roman"/>
        </w:rPr>
        <w:t>multicentre</w:t>
      </w:r>
      <w:proofErr w:type="spellEnd"/>
      <w:r w:rsidRPr="007246F5">
        <w:rPr>
          <w:rFonts w:ascii="Times New Roman" w:hAnsi="Times New Roman" w:cs="Times New Roman"/>
        </w:rPr>
        <w:t xml:space="preserve"> studies incorporating live birth rates and detailed endometrial assessment are warranted to better define the long-term reproductive implications of OCP-based cycle programming in diverse populations.</w:t>
      </w:r>
    </w:p>
    <w:p w14:paraId="19B43F25" w14:textId="77777777" w:rsidR="00974B47" w:rsidRPr="00322179" w:rsidRDefault="00974B47" w:rsidP="00322179">
      <w:pPr>
        <w:spacing w:line="240" w:lineRule="auto"/>
        <w:rPr>
          <w:rFonts w:ascii="Times New Roman" w:hAnsi="Times New Roman" w:cs="Times New Roman"/>
          <w:b/>
        </w:rPr>
      </w:pPr>
      <w:bookmarkStart w:id="15" w:name="_Hlk219756336"/>
      <w:r w:rsidRPr="00322179">
        <w:rPr>
          <w:rFonts w:ascii="Times New Roman" w:hAnsi="Times New Roman" w:cs="Times New Roman"/>
          <w:b/>
        </w:rPr>
        <w:t>CONCLUSION</w:t>
      </w:r>
    </w:p>
    <w:bookmarkEnd w:id="15"/>
    <w:p w14:paraId="2F7795A2" w14:textId="589EACE0" w:rsidR="00974B47" w:rsidRDefault="00974B47" w:rsidP="00322179">
      <w:pPr>
        <w:spacing w:line="240" w:lineRule="auto"/>
        <w:rPr>
          <w:rFonts w:ascii="Times New Roman" w:hAnsi="Times New Roman" w:cs="Times New Roman"/>
        </w:rPr>
      </w:pPr>
      <w:r w:rsidRPr="00322179">
        <w:rPr>
          <w:rFonts w:ascii="Times New Roman" w:hAnsi="Times New Roman" w:cs="Times New Roman"/>
        </w:rPr>
        <w:t>Pretreatment with combined oral contraceptive pills does not significantly affect oocyte yield or pregnancy rates compared with natural cycle stimulation in women undergoing in vitro fertilization. These findings support the safe use of OCPs for cycle programming and scheduling without compromising key IVF outcomes, particularly in resource-limited settings.</w:t>
      </w:r>
    </w:p>
    <w:p w14:paraId="7892D303" w14:textId="77777777" w:rsidR="0011331A" w:rsidRPr="00322179" w:rsidRDefault="0011331A" w:rsidP="0011331A">
      <w:pPr>
        <w:spacing w:line="240" w:lineRule="auto"/>
        <w:rPr>
          <w:rFonts w:ascii="Times New Roman" w:hAnsi="Times New Roman" w:cs="Times New Roman"/>
          <w:b/>
          <w:bCs/>
        </w:rPr>
      </w:pPr>
      <w:bookmarkStart w:id="16" w:name="_Hlk219756089"/>
      <w:r w:rsidRPr="00322179">
        <w:rPr>
          <w:rFonts w:ascii="Times New Roman" w:hAnsi="Times New Roman" w:cs="Times New Roman"/>
          <w:b/>
          <w:bCs/>
        </w:rPr>
        <w:t xml:space="preserve">STRENGTHS AND </w:t>
      </w:r>
      <w:r w:rsidRPr="00322179">
        <w:rPr>
          <w:rFonts w:ascii="Times New Roman" w:hAnsi="Times New Roman" w:cs="Times New Roman"/>
          <w:b/>
        </w:rPr>
        <w:t>LIMITATIONS</w:t>
      </w:r>
    </w:p>
    <w:bookmarkEnd w:id="16"/>
    <w:p w14:paraId="33B609BC" w14:textId="77777777" w:rsidR="0011331A" w:rsidRPr="00322179" w:rsidRDefault="0011331A" w:rsidP="0011331A">
      <w:pPr>
        <w:spacing w:line="240" w:lineRule="auto"/>
        <w:rPr>
          <w:rFonts w:ascii="Times New Roman" w:hAnsi="Times New Roman" w:cs="Times New Roman"/>
        </w:rPr>
      </w:pPr>
      <w:r w:rsidRPr="00322179">
        <w:rPr>
          <w:rFonts w:ascii="Times New Roman" w:hAnsi="Times New Roman" w:cs="Times New Roman"/>
        </w:rPr>
        <w:t xml:space="preserve">In terms of generalizability, the findings are particularly relevant to IVF programs in low- and middle-income countries, where logistical efficiency and cost containment are critical considerations. Overall, this study suggests that the use of combined oral contraceptive pills for cycle programming does not significantly affect egg yield or pregnancy rates compared with natural cycle stimulation among women undergoing IVF. These results support the continued use of OCP pretreatment for scheduling and operational convenience without compromising key treatment outcomes, while highlighting the need for adequately powered, </w:t>
      </w:r>
      <w:proofErr w:type="spellStart"/>
      <w:r w:rsidRPr="00322179">
        <w:rPr>
          <w:rFonts w:ascii="Times New Roman" w:hAnsi="Times New Roman" w:cs="Times New Roman"/>
        </w:rPr>
        <w:t>multicentre</w:t>
      </w:r>
      <w:proofErr w:type="spellEnd"/>
      <w:r w:rsidRPr="00322179">
        <w:rPr>
          <w:rFonts w:ascii="Times New Roman" w:hAnsi="Times New Roman" w:cs="Times New Roman"/>
        </w:rPr>
        <w:t xml:space="preserve"> trials to further evaluate long-term reproductive endpoints.</w:t>
      </w:r>
    </w:p>
    <w:p w14:paraId="69A03DA6" w14:textId="77777777" w:rsidR="0011331A" w:rsidRPr="00322179" w:rsidRDefault="0011331A" w:rsidP="0011331A">
      <w:pPr>
        <w:spacing w:line="240" w:lineRule="auto"/>
        <w:rPr>
          <w:rFonts w:ascii="Times New Roman" w:hAnsi="Times New Roman" w:cs="Times New Roman"/>
        </w:rPr>
      </w:pPr>
      <w:r w:rsidRPr="00322179">
        <w:rPr>
          <w:rFonts w:ascii="Times New Roman" w:hAnsi="Times New Roman" w:cs="Times New Roman"/>
        </w:rPr>
        <w:t>The modest sample size may limit the power to detect small but clinically meaningful differences in outcomes. Baseline imbalances in age and sociodemographic variables raise the possibility of residual confounding despite randomization. This was a single-</w:t>
      </w:r>
      <w:proofErr w:type="spellStart"/>
      <w:r w:rsidRPr="00322179">
        <w:rPr>
          <w:rFonts w:ascii="Times New Roman" w:hAnsi="Times New Roman" w:cs="Times New Roman"/>
        </w:rPr>
        <w:t>centre</w:t>
      </w:r>
      <w:proofErr w:type="spellEnd"/>
      <w:r w:rsidRPr="00322179">
        <w:rPr>
          <w:rFonts w:ascii="Times New Roman" w:hAnsi="Times New Roman" w:cs="Times New Roman"/>
        </w:rPr>
        <w:t xml:space="preserve"> study, which may limit the generalizability of the findings to other populations, stimulation protocols, or healthcare settings. Outcomes such as live birth rate and early pregnancy loss were not the primary endpoints and should be explored in future trials.</w:t>
      </w:r>
    </w:p>
    <w:p w14:paraId="1DA088EE" w14:textId="77777777" w:rsidR="0011331A" w:rsidRPr="00322179" w:rsidRDefault="0011331A" w:rsidP="00322179">
      <w:pPr>
        <w:spacing w:line="240" w:lineRule="auto"/>
        <w:rPr>
          <w:rFonts w:ascii="Times New Roman" w:hAnsi="Times New Roman" w:cs="Times New Roman"/>
        </w:rPr>
      </w:pPr>
    </w:p>
    <w:p w14:paraId="72EA89BC" w14:textId="77777777" w:rsidR="0042640E" w:rsidRPr="00322179" w:rsidRDefault="0042640E" w:rsidP="00322179">
      <w:pPr>
        <w:spacing w:line="240" w:lineRule="auto"/>
        <w:rPr>
          <w:rFonts w:ascii="Times New Roman" w:hAnsi="Times New Roman" w:cs="Times New Roman"/>
          <w:b/>
        </w:rPr>
      </w:pPr>
    </w:p>
    <w:p w14:paraId="55F3C539" w14:textId="387EC8CF" w:rsidR="00AD1C5F" w:rsidRPr="00322179" w:rsidRDefault="00AD1C5F" w:rsidP="00322179">
      <w:pPr>
        <w:spacing w:line="240" w:lineRule="auto"/>
        <w:rPr>
          <w:rFonts w:ascii="Times New Roman" w:hAnsi="Times New Roman" w:cs="Times New Roman"/>
          <w:b/>
        </w:rPr>
      </w:pPr>
      <w:r w:rsidRPr="00322179">
        <w:rPr>
          <w:rFonts w:ascii="Times New Roman" w:hAnsi="Times New Roman" w:cs="Times New Roman"/>
          <w:b/>
        </w:rPr>
        <w:t>RECOMMENDATIONS</w:t>
      </w:r>
    </w:p>
    <w:p w14:paraId="35F68EF4" w14:textId="77777777" w:rsidR="0042640E" w:rsidRPr="0042640E" w:rsidRDefault="0042640E" w:rsidP="00322179">
      <w:pPr>
        <w:spacing w:line="240" w:lineRule="auto"/>
        <w:rPr>
          <w:rFonts w:ascii="Times New Roman" w:hAnsi="Times New Roman" w:cs="Times New Roman"/>
        </w:rPr>
      </w:pPr>
      <w:r w:rsidRPr="0042640E">
        <w:rPr>
          <w:rFonts w:ascii="Times New Roman" w:hAnsi="Times New Roman" w:cs="Times New Roman"/>
        </w:rPr>
        <w:lastRenderedPageBreak/>
        <w:t>Based on the findings of this randomized clinical trial, combined oral contraceptive (OCP) pretreatment prior to controlled ovarian stimulation can be safely used for cycle scheduling without negatively impacting oocyte yield or pregnancy outcomes in women undergoing IVF. Clinics, particularly in high-volume or resource-limited settings, may adopt OCP-based cycle programming to optimize laboratory workflow and patient convenience.</w:t>
      </w:r>
    </w:p>
    <w:p w14:paraId="4B429FA8" w14:textId="3CA5CF88" w:rsidR="00AD1C5F" w:rsidRPr="00322179" w:rsidRDefault="0042640E" w:rsidP="00322179">
      <w:pPr>
        <w:spacing w:line="240" w:lineRule="auto"/>
        <w:rPr>
          <w:rFonts w:ascii="Times New Roman" w:hAnsi="Times New Roman" w:cs="Times New Roman"/>
        </w:rPr>
      </w:pPr>
      <w:r w:rsidRPr="0042640E">
        <w:rPr>
          <w:rFonts w:ascii="Times New Roman" w:hAnsi="Times New Roman" w:cs="Times New Roman"/>
        </w:rPr>
        <w:t xml:space="preserve">However, given the limited sample size and absence of live birth data, it is recommended that larger, </w:t>
      </w:r>
      <w:proofErr w:type="spellStart"/>
      <w:r w:rsidRPr="0042640E">
        <w:rPr>
          <w:rFonts w:ascii="Times New Roman" w:hAnsi="Times New Roman" w:cs="Times New Roman"/>
        </w:rPr>
        <w:t>multicentre</w:t>
      </w:r>
      <w:proofErr w:type="spellEnd"/>
      <w:r w:rsidRPr="0042640E">
        <w:rPr>
          <w:rFonts w:ascii="Times New Roman" w:hAnsi="Times New Roman" w:cs="Times New Roman"/>
        </w:rPr>
        <w:t xml:space="preserve"> studies be conducted to evaluate the long-term reproductive outcomes, including live birth rates and early implantation dynamics. Additionally, future research should investigate the potential effects of OCP pretreatment on women with varying ovarian reserve profiles to provide individualized cycle planning guidance.</w:t>
      </w:r>
    </w:p>
    <w:p w14:paraId="070C3461" w14:textId="77777777" w:rsidR="00706935" w:rsidRDefault="00706935" w:rsidP="00322179">
      <w:pPr>
        <w:pStyle w:val="BodyText"/>
        <w:spacing w:before="72"/>
        <w:ind w:right="382"/>
        <w:rPr>
          <w:b/>
        </w:rPr>
      </w:pPr>
      <w:bookmarkStart w:id="17" w:name="_Hlk219757064"/>
    </w:p>
    <w:p w14:paraId="5625DB8A" w14:textId="4DD532D7" w:rsidR="00974B47" w:rsidRPr="00322179" w:rsidRDefault="00974B47" w:rsidP="00322179">
      <w:pPr>
        <w:pStyle w:val="BodyText"/>
        <w:spacing w:before="72"/>
        <w:ind w:right="382"/>
        <w:rPr>
          <w:b/>
        </w:rPr>
      </w:pPr>
      <w:bookmarkStart w:id="18" w:name="_GoBack"/>
      <w:bookmarkEnd w:id="18"/>
      <w:r w:rsidRPr="00322179">
        <w:rPr>
          <w:b/>
        </w:rPr>
        <w:t>ETHICAL APPROVAL</w:t>
      </w:r>
    </w:p>
    <w:p w14:paraId="05641B82" w14:textId="06961ADA" w:rsidR="00974B47" w:rsidRDefault="00974B47" w:rsidP="00322179">
      <w:pPr>
        <w:pStyle w:val="BodyText"/>
        <w:spacing w:before="72"/>
        <w:ind w:right="382"/>
        <w:rPr>
          <w:color w:val="0E101A"/>
        </w:rPr>
      </w:pPr>
      <w:r w:rsidRPr="00322179">
        <w:t xml:space="preserve">Ethical approval was obtained </w:t>
      </w:r>
      <w:r w:rsidRPr="00322179">
        <w:rPr>
          <w:color w:val="0E101A"/>
        </w:rPr>
        <w:t xml:space="preserve">from the ethical committee of the Federal Medical Centre, </w:t>
      </w:r>
      <w:r w:rsidR="00E5522E">
        <w:rPr>
          <w:color w:val="0E101A"/>
        </w:rPr>
        <w:t>Abuja</w:t>
      </w:r>
      <w:r w:rsidRPr="00322179">
        <w:rPr>
          <w:color w:val="0E101A"/>
        </w:rPr>
        <w:t>.</w:t>
      </w:r>
    </w:p>
    <w:p w14:paraId="6B026500" w14:textId="77777777" w:rsidR="0011331A" w:rsidRDefault="0011331A" w:rsidP="00322179">
      <w:pPr>
        <w:pStyle w:val="BodyText"/>
        <w:spacing w:before="72"/>
        <w:ind w:right="382"/>
        <w:rPr>
          <w:color w:val="0E101A"/>
        </w:rPr>
      </w:pPr>
    </w:p>
    <w:p w14:paraId="55001300" w14:textId="77777777" w:rsidR="0011331A" w:rsidRPr="0011331A" w:rsidRDefault="0011331A" w:rsidP="0011331A">
      <w:pPr>
        <w:pStyle w:val="BodyText"/>
        <w:spacing w:before="72"/>
        <w:ind w:right="382"/>
        <w:rPr>
          <w:color w:val="0E101A"/>
        </w:rPr>
      </w:pPr>
      <w:r w:rsidRPr="0011331A">
        <w:rPr>
          <w:color w:val="0E101A"/>
        </w:rPr>
        <w:t>COMPETING INTERESTS DISCLAIMER:</w:t>
      </w:r>
    </w:p>
    <w:p w14:paraId="01B5C444" w14:textId="7EE5CAE0" w:rsidR="0011331A" w:rsidRDefault="0011331A" w:rsidP="0011331A">
      <w:pPr>
        <w:pStyle w:val="BodyText"/>
        <w:spacing w:before="72"/>
        <w:ind w:right="382"/>
        <w:rPr>
          <w:color w:val="0E101A"/>
        </w:rPr>
      </w:pPr>
      <w:r w:rsidRPr="0011331A">
        <w:rPr>
          <w:color w:val="0E101A"/>
        </w:rPr>
        <w:t>Authors have declared that they have no known competing financial interests OR non-financial interests OR personal relationships that could have appeared to influence the work reported in this paper.</w:t>
      </w:r>
    </w:p>
    <w:p w14:paraId="63DC1E08" w14:textId="77777777" w:rsidR="0011331A" w:rsidRPr="00322179" w:rsidRDefault="0011331A" w:rsidP="0011331A">
      <w:pPr>
        <w:pStyle w:val="BodyText"/>
        <w:spacing w:before="72"/>
        <w:ind w:right="382"/>
        <w:rPr>
          <w:color w:val="0E101A"/>
        </w:rPr>
      </w:pPr>
    </w:p>
    <w:p w14:paraId="6C800844" w14:textId="77777777" w:rsidR="00974B47" w:rsidRPr="00322179" w:rsidRDefault="00974B47" w:rsidP="00322179">
      <w:pPr>
        <w:spacing w:line="240" w:lineRule="auto"/>
        <w:rPr>
          <w:rFonts w:ascii="Times New Roman" w:hAnsi="Times New Roman" w:cs="Times New Roman"/>
          <w:b/>
          <w:bCs/>
        </w:rPr>
      </w:pPr>
      <w:r w:rsidRPr="00322179">
        <w:rPr>
          <w:rFonts w:ascii="Times New Roman" w:hAnsi="Times New Roman" w:cs="Times New Roman"/>
          <w:b/>
          <w:bCs/>
        </w:rPr>
        <w:t>REFERENCES</w:t>
      </w:r>
    </w:p>
    <w:bookmarkEnd w:id="17"/>
    <w:p w14:paraId="06CA01D5" w14:textId="77777777" w:rsidR="00974B47" w:rsidRPr="00322179" w:rsidRDefault="00974B47" w:rsidP="00322179">
      <w:pPr>
        <w:pStyle w:val="ListParagraph"/>
        <w:numPr>
          <w:ilvl w:val="0"/>
          <w:numId w:val="2"/>
        </w:numPr>
        <w:autoSpaceDE w:val="0"/>
        <w:autoSpaceDN w:val="0"/>
        <w:spacing w:line="240" w:lineRule="auto"/>
        <w:rPr>
          <w:rFonts w:ascii="Times New Roman" w:eastAsia="Times New Roman" w:hAnsi="Times New Roman" w:cs="Times New Roman"/>
        </w:rPr>
      </w:pPr>
      <w:r w:rsidRPr="00322179">
        <w:rPr>
          <w:rFonts w:ascii="Times New Roman" w:eastAsia="Times New Roman" w:hAnsi="Times New Roman" w:cs="Times New Roman"/>
        </w:rPr>
        <w:t>Vander-</w:t>
      </w:r>
      <w:proofErr w:type="spellStart"/>
      <w:r w:rsidRPr="00322179">
        <w:rPr>
          <w:rFonts w:ascii="Times New Roman" w:eastAsia="Times New Roman" w:hAnsi="Times New Roman" w:cs="Times New Roman"/>
        </w:rPr>
        <w:t>Borght</w:t>
      </w:r>
      <w:proofErr w:type="spellEnd"/>
      <w:r w:rsidRPr="00322179">
        <w:rPr>
          <w:rFonts w:ascii="Times New Roman" w:eastAsia="Times New Roman" w:hAnsi="Times New Roman" w:cs="Times New Roman"/>
        </w:rPr>
        <w:t xml:space="preserve"> M, </w:t>
      </w:r>
      <w:proofErr w:type="spellStart"/>
      <w:r w:rsidRPr="00322179">
        <w:rPr>
          <w:rFonts w:ascii="Times New Roman" w:eastAsia="Times New Roman" w:hAnsi="Times New Roman" w:cs="Times New Roman"/>
        </w:rPr>
        <w:t>Wyns</w:t>
      </w:r>
      <w:proofErr w:type="spellEnd"/>
      <w:r w:rsidRPr="00322179">
        <w:rPr>
          <w:rFonts w:ascii="Times New Roman" w:eastAsia="Times New Roman" w:hAnsi="Times New Roman" w:cs="Times New Roman"/>
        </w:rPr>
        <w:t xml:space="preserve"> C. Fertility and infertility: Definition and epidemiology. Clin </w:t>
      </w:r>
      <w:proofErr w:type="spellStart"/>
      <w:r w:rsidRPr="00322179">
        <w:rPr>
          <w:rFonts w:ascii="Times New Roman" w:eastAsia="Times New Roman" w:hAnsi="Times New Roman" w:cs="Times New Roman"/>
        </w:rPr>
        <w:t>Biochem</w:t>
      </w:r>
      <w:proofErr w:type="spellEnd"/>
      <w:r w:rsidRPr="00322179">
        <w:rPr>
          <w:rFonts w:ascii="Times New Roman" w:eastAsia="Times New Roman" w:hAnsi="Times New Roman" w:cs="Times New Roman"/>
        </w:rPr>
        <w:t xml:space="preserve">. </w:t>
      </w:r>
      <w:proofErr w:type="gramStart"/>
      <w:r w:rsidRPr="00322179">
        <w:rPr>
          <w:rFonts w:ascii="Times New Roman" w:eastAsia="Times New Roman" w:hAnsi="Times New Roman" w:cs="Times New Roman"/>
        </w:rPr>
        <w:t>2018;62:2</w:t>
      </w:r>
      <w:proofErr w:type="gramEnd"/>
      <w:r w:rsidRPr="00322179">
        <w:rPr>
          <w:rFonts w:ascii="Times New Roman" w:eastAsia="Times New Roman" w:hAnsi="Times New Roman" w:cs="Times New Roman"/>
        </w:rPr>
        <w:t xml:space="preserve">–10. </w:t>
      </w:r>
    </w:p>
    <w:p w14:paraId="0EB4F5DD" w14:textId="77777777" w:rsidR="00974B47" w:rsidRPr="00322179" w:rsidRDefault="00974B47" w:rsidP="00322179">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322179">
        <w:rPr>
          <w:rFonts w:ascii="Times New Roman" w:eastAsia="Times New Roman" w:hAnsi="Times New Roman" w:cs="Times New Roman"/>
        </w:rPr>
        <w:t>Orhue</w:t>
      </w:r>
      <w:proofErr w:type="spellEnd"/>
      <w:r w:rsidRPr="00322179">
        <w:rPr>
          <w:rFonts w:ascii="Times New Roman" w:eastAsia="Times New Roman" w:hAnsi="Times New Roman" w:cs="Times New Roman"/>
        </w:rPr>
        <w:t xml:space="preserve"> A, </w:t>
      </w:r>
      <w:proofErr w:type="spellStart"/>
      <w:r w:rsidRPr="00322179">
        <w:rPr>
          <w:rFonts w:ascii="Times New Roman" w:eastAsia="Times New Roman" w:hAnsi="Times New Roman" w:cs="Times New Roman"/>
        </w:rPr>
        <w:t>Aziken</w:t>
      </w:r>
      <w:proofErr w:type="spellEnd"/>
      <w:r w:rsidRPr="00322179">
        <w:rPr>
          <w:rFonts w:ascii="Times New Roman" w:eastAsia="Times New Roman" w:hAnsi="Times New Roman" w:cs="Times New Roman"/>
        </w:rPr>
        <w:t xml:space="preserve"> M. Experience with a comprehensive university hospital-based infertility program in Nigeria.</w:t>
      </w:r>
      <w:r w:rsidRPr="00322179">
        <w:rPr>
          <w:rFonts w:ascii="Times New Roman" w:hAnsi="Times New Roman" w:cs="Times New Roman"/>
        </w:rPr>
        <w:t xml:space="preserve"> </w:t>
      </w:r>
      <w:r w:rsidRPr="00322179">
        <w:rPr>
          <w:rFonts w:ascii="Times New Roman" w:eastAsia="Times New Roman" w:hAnsi="Times New Roman" w:cs="Times New Roman"/>
        </w:rPr>
        <w:t xml:space="preserve">Int J </w:t>
      </w:r>
      <w:proofErr w:type="spellStart"/>
      <w:r w:rsidRPr="00322179">
        <w:rPr>
          <w:rFonts w:ascii="Times New Roman" w:eastAsia="Times New Roman" w:hAnsi="Times New Roman" w:cs="Times New Roman"/>
        </w:rPr>
        <w:t>Gynaecol</w:t>
      </w:r>
      <w:proofErr w:type="spellEnd"/>
      <w:r w:rsidRPr="00322179">
        <w:rPr>
          <w:rFonts w:ascii="Times New Roman" w:eastAsia="Times New Roman" w:hAnsi="Times New Roman" w:cs="Times New Roman"/>
        </w:rPr>
        <w:t xml:space="preserve"> Obstet. 2008;101(1):11–5. </w:t>
      </w:r>
    </w:p>
    <w:p w14:paraId="4F48DC93" w14:textId="77777777" w:rsidR="00974B47" w:rsidRPr="00322179" w:rsidRDefault="00974B47" w:rsidP="00322179">
      <w:pPr>
        <w:pStyle w:val="ListParagraph"/>
        <w:numPr>
          <w:ilvl w:val="0"/>
          <w:numId w:val="2"/>
        </w:numPr>
        <w:autoSpaceDE w:val="0"/>
        <w:autoSpaceDN w:val="0"/>
        <w:spacing w:line="240" w:lineRule="auto"/>
        <w:rPr>
          <w:rFonts w:ascii="Times New Roman" w:eastAsia="Times New Roman" w:hAnsi="Times New Roman" w:cs="Times New Roman"/>
        </w:rPr>
      </w:pPr>
      <w:r w:rsidRPr="00322179">
        <w:rPr>
          <w:rFonts w:ascii="Times New Roman" w:eastAsia="Times New Roman" w:hAnsi="Times New Roman" w:cs="Times New Roman"/>
        </w:rPr>
        <w:t xml:space="preserve">Tegg O, Bosch E, Broer S, </w:t>
      </w:r>
      <w:proofErr w:type="spellStart"/>
      <w:r w:rsidRPr="00322179">
        <w:rPr>
          <w:rFonts w:ascii="Times New Roman" w:eastAsia="Times New Roman" w:hAnsi="Times New Roman" w:cs="Times New Roman"/>
        </w:rPr>
        <w:t>Griesinger</w:t>
      </w:r>
      <w:proofErr w:type="spellEnd"/>
      <w:r w:rsidRPr="00322179">
        <w:rPr>
          <w:rFonts w:ascii="Times New Roman" w:eastAsia="Times New Roman" w:hAnsi="Times New Roman" w:cs="Times New Roman"/>
        </w:rPr>
        <w:t xml:space="preserve"> G, </w:t>
      </w:r>
      <w:proofErr w:type="spellStart"/>
      <w:r w:rsidRPr="00322179">
        <w:rPr>
          <w:rFonts w:ascii="Times New Roman" w:eastAsia="Times New Roman" w:hAnsi="Times New Roman" w:cs="Times New Roman"/>
        </w:rPr>
        <w:t>Grynberg</w:t>
      </w:r>
      <w:proofErr w:type="spellEnd"/>
      <w:r w:rsidRPr="00322179">
        <w:rPr>
          <w:rFonts w:ascii="Times New Roman" w:eastAsia="Times New Roman" w:hAnsi="Times New Roman" w:cs="Times New Roman"/>
        </w:rPr>
        <w:t xml:space="preserve"> M, </w:t>
      </w:r>
      <w:proofErr w:type="spellStart"/>
      <w:r w:rsidRPr="00322179">
        <w:rPr>
          <w:rFonts w:ascii="Times New Roman" w:eastAsia="Times New Roman" w:hAnsi="Times New Roman" w:cs="Times New Roman"/>
        </w:rPr>
        <w:t>Humaidan</w:t>
      </w:r>
      <w:proofErr w:type="spellEnd"/>
      <w:r w:rsidRPr="00322179">
        <w:rPr>
          <w:rFonts w:ascii="Times New Roman" w:eastAsia="Times New Roman" w:hAnsi="Times New Roman" w:cs="Times New Roman"/>
        </w:rPr>
        <w:t xml:space="preserve"> P, et al. ESHRE guideline: ovarian stimulation for IVF/ICSI†. Hum </w:t>
      </w:r>
      <w:proofErr w:type="spellStart"/>
      <w:r w:rsidRPr="00322179">
        <w:rPr>
          <w:rFonts w:ascii="Times New Roman" w:eastAsia="Times New Roman" w:hAnsi="Times New Roman" w:cs="Times New Roman"/>
        </w:rPr>
        <w:t>Reprod</w:t>
      </w:r>
      <w:proofErr w:type="spellEnd"/>
      <w:r w:rsidRPr="00322179">
        <w:rPr>
          <w:rFonts w:ascii="Times New Roman" w:eastAsia="Times New Roman" w:hAnsi="Times New Roman" w:cs="Times New Roman"/>
        </w:rPr>
        <w:t xml:space="preserve"> Open [Internet]. 2020;(2):1–13.</w:t>
      </w:r>
    </w:p>
    <w:p w14:paraId="3942E392" w14:textId="77777777" w:rsidR="00974B47" w:rsidRPr="00322179" w:rsidRDefault="00974B47" w:rsidP="00322179">
      <w:pPr>
        <w:pStyle w:val="ListParagraph"/>
        <w:numPr>
          <w:ilvl w:val="0"/>
          <w:numId w:val="2"/>
        </w:numPr>
        <w:autoSpaceDE w:val="0"/>
        <w:autoSpaceDN w:val="0"/>
        <w:spacing w:line="240" w:lineRule="auto"/>
        <w:rPr>
          <w:rFonts w:ascii="Times New Roman" w:eastAsia="Times New Roman" w:hAnsi="Times New Roman" w:cs="Times New Roman"/>
        </w:rPr>
      </w:pPr>
      <w:r w:rsidRPr="00322179">
        <w:rPr>
          <w:rFonts w:ascii="Times New Roman" w:eastAsia="Times New Roman" w:hAnsi="Times New Roman" w:cs="Times New Roman"/>
        </w:rPr>
        <w:t xml:space="preserve">Surrey ES. Management of the poor responder: The role of GnRH agonists and antagonists. J Assist </w:t>
      </w:r>
      <w:proofErr w:type="spellStart"/>
      <w:r w:rsidRPr="00322179">
        <w:rPr>
          <w:rFonts w:ascii="Times New Roman" w:eastAsia="Times New Roman" w:hAnsi="Times New Roman" w:cs="Times New Roman"/>
        </w:rPr>
        <w:t>Reprod</w:t>
      </w:r>
      <w:proofErr w:type="spellEnd"/>
      <w:r w:rsidRPr="00322179">
        <w:rPr>
          <w:rFonts w:ascii="Times New Roman" w:eastAsia="Times New Roman" w:hAnsi="Times New Roman" w:cs="Times New Roman"/>
        </w:rPr>
        <w:t xml:space="preserve"> Genet [Internet]. 2007;24(12):613–9. </w:t>
      </w:r>
    </w:p>
    <w:p w14:paraId="56212EA8" w14:textId="77777777" w:rsidR="00974B47" w:rsidRPr="00322179" w:rsidRDefault="00974B47" w:rsidP="00322179">
      <w:pPr>
        <w:pStyle w:val="ListParagraph"/>
        <w:numPr>
          <w:ilvl w:val="0"/>
          <w:numId w:val="2"/>
        </w:numPr>
        <w:autoSpaceDE w:val="0"/>
        <w:autoSpaceDN w:val="0"/>
        <w:spacing w:line="240" w:lineRule="auto"/>
        <w:rPr>
          <w:rFonts w:ascii="Times New Roman" w:eastAsia="Times New Roman" w:hAnsi="Times New Roman" w:cs="Times New Roman"/>
        </w:rPr>
      </w:pPr>
      <w:r w:rsidRPr="00322179">
        <w:rPr>
          <w:rFonts w:ascii="Times New Roman" w:eastAsia="Times New Roman" w:hAnsi="Times New Roman" w:cs="Times New Roman"/>
        </w:rPr>
        <w:t xml:space="preserve">Griesinger G, Venetis CA, Marx T, Diedrich K, </w:t>
      </w:r>
      <w:proofErr w:type="spellStart"/>
      <w:r w:rsidRPr="00322179">
        <w:rPr>
          <w:rFonts w:ascii="Times New Roman" w:eastAsia="Times New Roman" w:hAnsi="Times New Roman" w:cs="Times New Roman"/>
        </w:rPr>
        <w:t>Tarlatzis</w:t>
      </w:r>
      <w:proofErr w:type="spellEnd"/>
      <w:r w:rsidRPr="00322179">
        <w:rPr>
          <w:rFonts w:ascii="Times New Roman" w:eastAsia="Times New Roman" w:hAnsi="Times New Roman" w:cs="Times New Roman"/>
        </w:rPr>
        <w:t xml:space="preserve"> BC, </w:t>
      </w:r>
      <w:proofErr w:type="spellStart"/>
      <w:r w:rsidRPr="00322179">
        <w:rPr>
          <w:rFonts w:ascii="Times New Roman" w:eastAsia="Times New Roman" w:hAnsi="Times New Roman" w:cs="Times New Roman"/>
        </w:rPr>
        <w:t>Kolibianakis</w:t>
      </w:r>
      <w:proofErr w:type="spellEnd"/>
      <w:r w:rsidRPr="00322179">
        <w:rPr>
          <w:rFonts w:ascii="Times New Roman" w:eastAsia="Times New Roman" w:hAnsi="Times New Roman" w:cs="Times New Roman"/>
        </w:rPr>
        <w:t xml:space="preserve"> EM. Oral contraceptive pill pretreatment in ovarian stimulation with GnRH antagonists for IVF: a systematic review and meta-analysis. Fertil Steril. 2008;90(4):1055–63. </w:t>
      </w:r>
    </w:p>
    <w:p w14:paraId="5207BBF8" w14:textId="77777777" w:rsidR="00974B47" w:rsidRPr="00322179" w:rsidRDefault="00974B47" w:rsidP="00322179">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322179">
        <w:rPr>
          <w:rFonts w:ascii="Times New Roman" w:eastAsia="Times New Roman" w:hAnsi="Times New Roman" w:cs="Times New Roman"/>
        </w:rPr>
        <w:t>Merviel</w:t>
      </w:r>
      <w:proofErr w:type="spellEnd"/>
      <w:r w:rsidRPr="00322179">
        <w:rPr>
          <w:rFonts w:ascii="Times New Roman" w:eastAsia="Times New Roman" w:hAnsi="Times New Roman" w:cs="Times New Roman"/>
        </w:rPr>
        <w:t xml:space="preserve"> P, </w:t>
      </w:r>
      <w:proofErr w:type="spellStart"/>
      <w:r w:rsidRPr="00322179">
        <w:rPr>
          <w:rFonts w:ascii="Times New Roman" w:eastAsia="Times New Roman" w:hAnsi="Times New Roman" w:cs="Times New Roman"/>
        </w:rPr>
        <w:t>Cabry-Goubet</w:t>
      </w:r>
      <w:proofErr w:type="spellEnd"/>
      <w:r w:rsidRPr="00322179">
        <w:rPr>
          <w:rFonts w:ascii="Times New Roman" w:eastAsia="Times New Roman" w:hAnsi="Times New Roman" w:cs="Times New Roman"/>
        </w:rPr>
        <w:t xml:space="preserve"> R, </w:t>
      </w:r>
      <w:proofErr w:type="spellStart"/>
      <w:r w:rsidRPr="00322179">
        <w:rPr>
          <w:rFonts w:ascii="Times New Roman" w:eastAsia="Times New Roman" w:hAnsi="Times New Roman" w:cs="Times New Roman"/>
        </w:rPr>
        <w:t>Lourdel</w:t>
      </w:r>
      <w:proofErr w:type="spellEnd"/>
      <w:r w:rsidRPr="00322179">
        <w:rPr>
          <w:rFonts w:ascii="Times New Roman" w:eastAsia="Times New Roman" w:hAnsi="Times New Roman" w:cs="Times New Roman"/>
        </w:rPr>
        <w:t xml:space="preserve"> E, </w:t>
      </w:r>
      <w:proofErr w:type="spellStart"/>
      <w:r w:rsidRPr="00322179">
        <w:rPr>
          <w:rFonts w:ascii="Times New Roman" w:eastAsia="Times New Roman" w:hAnsi="Times New Roman" w:cs="Times New Roman"/>
        </w:rPr>
        <w:t>Devaux</w:t>
      </w:r>
      <w:proofErr w:type="spellEnd"/>
      <w:r w:rsidRPr="00322179">
        <w:rPr>
          <w:rFonts w:ascii="Times New Roman" w:eastAsia="Times New Roman" w:hAnsi="Times New Roman" w:cs="Times New Roman"/>
        </w:rPr>
        <w:t xml:space="preserve"> A, </w:t>
      </w:r>
      <w:proofErr w:type="spellStart"/>
      <w:r w:rsidRPr="00322179">
        <w:rPr>
          <w:rFonts w:ascii="Times New Roman" w:eastAsia="Times New Roman" w:hAnsi="Times New Roman" w:cs="Times New Roman"/>
        </w:rPr>
        <w:t>Belhadri</w:t>
      </w:r>
      <w:proofErr w:type="spellEnd"/>
      <w:r w:rsidRPr="00322179">
        <w:rPr>
          <w:rFonts w:ascii="Times New Roman" w:eastAsia="Times New Roman" w:hAnsi="Times New Roman" w:cs="Times New Roman"/>
        </w:rPr>
        <w:t xml:space="preserve">-Mansouri N, </w:t>
      </w:r>
      <w:proofErr w:type="spellStart"/>
      <w:r w:rsidRPr="00322179">
        <w:rPr>
          <w:rFonts w:ascii="Times New Roman" w:eastAsia="Times New Roman" w:hAnsi="Times New Roman" w:cs="Times New Roman"/>
        </w:rPr>
        <w:t>Copin</w:t>
      </w:r>
      <w:proofErr w:type="spellEnd"/>
      <w:r w:rsidRPr="00322179">
        <w:rPr>
          <w:rFonts w:ascii="Times New Roman" w:eastAsia="Times New Roman" w:hAnsi="Times New Roman" w:cs="Times New Roman"/>
        </w:rPr>
        <w:t xml:space="preserve"> H, et al. Comparative prospective study of 2 ovarian stimulation protocols in poor responders: Effect on implantation rate and ongoing pregnancy. </w:t>
      </w:r>
      <w:proofErr w:type="spellStart"/>
      <w:r w:rsidRPr="00322179">
        <w:rPr>
          <w:rFonts w:ascii="Times New Roman" w:eastAsia="Times New Roman" w:hAnsi="Times New Roman" w:cs="Times New Roman"/>
        </w:rPr>
        <w:t>Reprod</w:t>
      </w:r>
      <w:proofErr w:type="spellEnd"/>
      <w:r w:rsidRPr="00322179">
        <w:rPr>
          <w:rFonts w:ascii="Times New Roman" w:eastAsia="Times New Roman" w:hAnsi="Times New Roman" w:cs="Times New Roman"/>
        </w:rPr>
        <w:t xml:space="preserve"> Health [Internet]. 2015;12(1):1–7.</w:t>
      </w:r>
    </w:p>
    <w:p w14:paraId="0DC30A3D" w14:textId="77777777" w:rsidR="00974B47" w:rsidRPr="00322179" w:rsidRDefault="00974B47" w:rsidP="00322179">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322179">
        <w:rPr>
          <w:rFonts w:ascii="Times New Roman" w:eastAsia="Times New Roman" w:hAnsi="Times New Roman" w:cs="Times New Roman"/>
        </w:rPr>
        <w:t>Lindheim</w:t>
      </w:r>
      <w:proofErr w:type="spellEnd"/>
      <w:r w:rsidRPr="00322179">
        <w:rPr>
          <w:rFonts w:ascii="Times New Roman" w:eastAsia="Times New Roman" w:hAnsi="Times New Roman" w:cs="Times New Roman"/>
        </w:rPr>
        <w:t xml:space="preserve"> SR. Short-term gonadotropin suppression with oral contraceptives benefits poor responders prior to controlled ovarian hyperstimulation. J Assist </w:t>
      </w:r>
      <w:proofErr w:type="spellStart"/>
      <w:r w:rsidRPr="00322179">
        <w:rPr>
          <w:rFonts w:ascii="Times New Roman" w:eastAsia="Times New Roman" w:hAnsi="Times New Roman" w:cs="Times New Roman"/>
        </w:rPr>
        <w:t>Reprod</w:t>
      </w:r>
      <w:proofErr w:type="spellEnd"/>
      <w:r w:rsidRPr="00322179">
        <w:rPr>
          <w:rFonts w:ascii="Times New Roman" w:eastAsia="Times New Roman" w:hAnsi="Times New Roman" w:cs="Times New Roman"/>
        </w:rPr>
        <w:t xml:space="preserve"> Genet [Internet]. 1996;13(9):745–7.</w:t>
      </w:r>
    </w:p>
    <w:p w14:paraId="0E6C8447" w14:textId="77777777" w:rsidR="00974B47" w:rsidRPr="00322179" w:rsidRDefault="00974B47" w:rsidP="00322179">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322179">
        <w:rPr>
          <w:rFonts w:ascii="Times New Roman" w:eastAsia="Times New Roman" w:hAnsi="Times New Roman" w:cs="Times New Roman"/>
        </w:rPr>
        <w:t>Biljan</w:t>
      </w:r>
      <w:proofErr w:type="spellEnd"/>
      <w:r w:rsidRPr="00322179">
        <w:rPr>
          <w:rFonts w:ascii="Times New Roman" w:eastAsia="Times New Roman" w:hAnsi="Times New Roman" w:cs="Times New Roman"/>
        </w:rPr>
        <w:t xml:space="preserve"> MM, </w:t>
      </w:r>
      <w:proofErr w:type="spellStart"/>
      <w:r w:rsidRPr="00322179">
        <w:rPr>
          <w:rFonts w:ascii="Times New Roman" w:eastAsia="Times New Roman" w:hAnsi="Times New Roman" w:cs="Times New Roman"/>
        </w:rPr>
        <w:t>Mahutte</w:t>
      </w:r>
      <w:proofErr w:type="spellEnd"/>
      <w:r w:rsidRPr="00322179">
        <w:rPr>
          <w:rFonts w:ascii="Times New Roman" w:eastAsia="Times New Roman" w:hAnsi="Times New Roman" w:cs="Times New Roman"/>
        </w:rPr>
        <w:t xml:space="preserve"> NG, Dean N, Hemmings R, Bissonnette F, Tan SL. Pretreatment with an oral contraceptive is effective in reducing the incidence of functional ovarian cyst </w:t>
      </w:r>
      <w:r w:rsidRPr="00322179">
        <w:rPr>
          <w:rFonts w:ascii="Times New Roman" w:eastAsia="Times New Roman" w:hAnsi="Times New Roman" w:cs="Times New Roman"/>
        </w:rPr>
        <w:lastRenderedPageBreak/>
        <w:t xml:space="preserve">formation during pituitary suppression by gonadotropin-releasing hormone analogues. J Assist </w:t>
      </w:r>
      <w:proofErr w:type="spellStart"/>
      <w:r w:rsidRPr="00322179">
        <w:rPr>
          <w:rFonts w:ascii="Times New Roman" w:eastAsia="Times New Roman" w:hAnsi="Times New Roman" w:cs="Times New Roman"/>
        </w:rPr>
        <w:t>Reprod</w:t>
      </w:r>
      <w:proofErr w:type="spellEnd"/>
      <w:r w:rsidRPr="00322179">
        <w:rPr>
          <w:rFonts w:ascii="Times New Roman" w:eastAsia="Times New Roman" w:hAnsi="Times New Roman" w:cs="Times New Roman"/>
        </w:rPr>
        <w:t xml:space="preserve"> Genet [Internet]. 1998;15(10):599–604.</w:t>
      </w:r>
    </w:p>
    <w:p w14:paraId="741B6185" w14:textId="77777777" w:rsidR="00974B47" w:rsidRPr="00322179" w:rsidRDefault="00974B47" w:rsidP="00322179">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322179">
        <w:rPr>
          <w:rFonts w:ascii="Times New Roman" w:eastAsia="Times New Roman" w:hAnsi="Times New Roman" w:cs="Times New Roman"/>
        </w:rPr>
        <w:t>Dericks</w:t>
      </w:r>
      <w:proofErr w:type="spellEnd"/>
      <w:r w:rsidRPr="00322179">
        <w:rPr>
          <w:rFonts w:ascii="Times New Roman" w:eastAsia="Times New Roman" w:hAnsi="Times New Roman" w:cs="Times New Roman"/>
        </w:rPr>
        <w:t xml:space="preserve">-Tan JSE, </w:t>
      </w:r>
      <w:proofErr w:type="spellStart"/>
      <w:r w:rsidRPr="00322179">
        <w:rPr>
          <w:rFonts w:ascii="Times New Roman" w:eastAsia="Times New Roman" w:hAnsi="Times New Roman" w:cs="Times New Roman"/>
        </w:rPr>
        <w:t>Gudacker</w:t>
      </w:r>
      <w:proofErr w:type="spellEnd"/>
      <w:r w:rsidRPr="00322179">
        <w:rPr>
          <w:rFonts w:ascii="Times New Roman" w:eastAsia="Times New Roman" w:hAnsi="Times New Roman" w:cs="Times New Roman"/>
        </w:rPr>
        <w:t xml:space="preserve"> V, </w:t>
      </w:r>
      <w:proofErr w:type="spellStart"/>
      <w:r w:rsidRPr="00322179">
        <w:rPr>
          <w:rFonts w:ascii="Times New Roman" w:eastAsia="Times New Roman" w:hAnsi="Times New Roman" w:cs="Times New Roman"/>
        </w:rPr>
        <w:t>Taubert</w:t>
      </w:r>
      <w:proofErr w:type="spellEnd"/>
      <w:r w:rsidRPr="00322179">
        <w:rPr>
          <w:rFonts w:ascii="Times New Roman" w:eastAsia="Times New Roman" w:hAnsi="Times New Roman" w:cs="Times New Roman"/>
        </w:rPr>
        <w:t xml:space="preserve"> HD. Influence of oral contraceptives on integrated secretion of gonadotropins. Contraception. 1992;46(4):369–77. </w:t>
      </w:r>
    </w:p>
    <w:p w14:paraId="170070A8" w14:textId="77777777" w:rsidR="00974B47" w:rsidRPr="00322179" w:rsidRDefault="00974B47" w:rsidP="00322179">
      <w:pPr>
        <w:pStyle w:val="ListParagraph"/>
        <w:numPr>
          <w:ilvl w:val="0"/>
          <w:numId w:val="2"/>
        </w:numPr>
        <w:autoSpaceDE w:val="0"/>
        <w:autoSpaceDN w:val="0"/>
        <w:spacing w:line="240" w:lineRule="auto"/>
        <w:rPr>
          <w:rFonts w:ascii="Times New Roman" w:eastAsia="Times New Roman" w:hAnsi="Times New Roman" w:cs="Times New Roman"/>
        </w:rPr>
      </w:pPr>
      <w:r w:rsidRPr="00322179">
        <w:rPr>
          <w:rFonts w:ascii="Times New Roman" w:eastAsia="Times New Roman" w:hAnsi="Times New Roman" w:cs="Times New Roman"/>
        </w:rPr>
        <w:t xml:space="preserve">Barad DH, Kim A, </w:t>
      </w:r>
      <w:proofErr w:type="spellStart"/>
      <w:r w:rsidRPr="00322179">
        <w:rPr>
          <w:rFonts w:ascii="Times New Roman" w:eastAsia="Times New Roman" w:hAnsi="Times New Roman" w:cs="Times New Roman"/>
        </w:rPr>
        <w:t>Kubba</w:t>
      </w:r>
      <w:proofErr w:type="spellEnd"/>
      <w:r w:rsidRPr="00322179">
        <w:rPr>
          <w:rFonts w:ascii="Times New Roman" w:eastAsia="Times New Roman" w:hAnsi="Times New Roman" w:cs="Times New Roman"/>
        </w:rPr>
        <w:t xml:space="preserve"> H, </w:t>
      </w:r>
      <w:proofErr w:type="spellStart"/>
      <w:r w:rsidRPr="00322179">
        <w:rPr>
          <w:rFonts w:ascii="Times New Roman" w:eastAsia="Times New Roman" w:hAnsi="Times New Roman" w:cs="Times New Roman"/>
        </w:rPr>
        <w:t>Weghofer</w:t>
      </w:r>
      <w:proofErr w:type="spellEnd"/>
      <w:r w:rsidRPr="00322179">
        <w:rPr>
          <w:rFonts w:ascii="Times New Roman" w:eastAsia="Times New Roman" w:hAnsi="Times New Roman" w:cs="Times New Roman"/>
        </w:rPr>
        <w:t xml:space="preserve"> A, Gleicher N. Does hormonal contraception prior to in vitro fertilization (IVF) negatively affect oocyte yields? - A pilot study. Reproductive Biology and Endocrinology [Internet]. 2013;11(1):1–6.</w:t>
      </w:r>
    </w:p>
    <w:p w14:paraId="06EE880B" w14:textId="77777777" w:rsidR="00974B47" w:rsidRPr="00322179" w:rsidRDefault="00974B47" w:rsidP="00322179">
      <w:pPr>
        <w:pStyle w:val="ListParagraph"/>
        <w:numPr>
          <w:ilvl w:val="0"/>
          <w:numId w:val="2"/>
        </w:numPr>
        <w:autoSpaceDE w:val="0"/>
        <w:autoSpaceDN w:val="0"/>
        <w:spacing w:line="240" w:lineRule="auto"/>
        <w:rPr>
          <w:rFonts w:ascii="Times New Roman" w:eastAsia="Times New Roman" w:hAnsi="Times New Roman" w:cs="Times New Roman"/>
        </w:rPr>
      </w:pPr>
      <w:r w:rsidRPr="00322179">
        <w:rPr>
          <w:rFonts w:ascii="Times New Roman" w:eastAsia="Times New Roman" w:hAnsi="Times New Roman" w:cs="Times New Roman"/>
        </w:rPr>
        <w:t xml:space="preserve">Griesinger G, Venetis CA, Marx T, Diedrich K, </w:t>
      </w:r>
      <w:proofErr w:type="spellStart"/>
      <w:r w:rsidRPr="00322179">
        <w:rPr>
          <w:rFonts w:ascii="Times New Roman" w:eastAsia="Times New Roman" w:hAnsi="Times New Roman" w:cs="Times New Roman"/>
        </w:rPr>
        <w:t>Tarlatzis</w:t>
      </w:r>
      <w:proofErr w:type="spellEnd"/>
      <w:r w:rsidRPr="00322179">
        <w:rPr>
          <w:rFonts w:ascii="Times New Roman" w:eastAsia="Times New Roman" w:hAnsi="Times New Roman" w:cs="Times New Roman"/>
        </w:rPr>
        <w:t xml:space="preserve"> BC, </w:t>
      </w:r>
      <w:proofErr w:type="spellStart"/>
      <w:r w:rsidRPr="00322179">
        <w:rPr>
          <w:rFonts w:ascii="Times New Roman" w:eastAsia="Times New Roman" w:hAnsi="Times New Roman" w:cs="Times New Roman"/>
        </w:rPr>
        <w:t>Kolibianakis</w:t>
      </w:r>
      <w:proofErr w:type="spellEnd"/>
      <w:r w:rsidRPr="00322179">
        <w:rPr>
          <w:rFonts w:ascii="Times New Roman" w:eastAsia="Times New Roman" w:hAnsi="Times New Roman" w:cs="Times New Roman"/>
        </w:rPr>
        <w:t xml:space="preserve"> EM. Oral contraceptive pill pretreatment in ovarian stimulation with GnRH antagonists for IVF: a systematic review and meta-analysis. Fertil Steril. 2008;90(4):1055–63.</w:t>
      </w:r>
    </w:p>
    <w:p w14:paraId="07E5CB84" w14:textId="77777777" w:rsidR="00974B47" w:rsidRPr="00322179" w:rsidRDefault="00974B47" w:rsidP="00322179">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322179">
        <w:rPr>
          <w:rFonts w:ascii="Times New Roman" w:eastAsia="Times New Roman" w:hAnsi="Times New Roman" w:cs="Times New Roman"/>
        </w:rPr>
        <w:t>Kolibianakis</w:t>
      </w:r>
      <w:proofErr w:type="spellEnd"/>
      <w:r w:rsidRPr="00322179">
        <w:rPr>
          <w:rFonts w:ascii="Times New Roman" w:eastAsia="Times New Roman" w:hAnsi="Times New Roman" w:cs="Times New Roman"/>
        </w:rPr>
        <w:t xml:space="preserve"> EM, </w:t>
      </w:r>
      <w:proofErr w:type="spellStart"/>
      <w:r w:rsidRPr="00322179">
        <w:rPr>
          <w:rFonts w:ascii="Times New Roman" w:eastAsia="Times New Roman" w:hAnsi="Times New Roman" w:cs="Times New Roman"/>
        </w:rPr>
        <w:t>Papanikolaou</w:t>
      </w:r>
      <w:proofErr w:type="spellEnd"/>
      <w:r w:rsidRPr="00322179">
        <w:rPr>
          <w:rFonts w:ascii="Times New Roman" w:eastAsia="Times New Roman" w:hAnsi="Times New Roman" w:cs="Times New Roman"/>
        </w:rPr>
        <w:t xml:space="preserve"> EG, Camus M, </w:t>
      </w:r>
      <w:proofErr w:type="spellStart"/>
      <w:r w:rsidRPr="00322179">
        <w:rPr>
          <w:rFonts w:ascii="Times New Roman" w:eastAsia="Times New Roman" w:hAnsi="Times New Roman" w:cs="Times New Roman"/>
        </w:rPr>
        <w:t>Tournaye</w:t>
      </w:r>
      <w:proofErr w:type="spellEnd"/>
      <w:r w:rsidRPr="00322179">
        <w:rPr>
          <w:rFonts w:ascii="Times New Roman" w:eastAsia="Times New Roman" w:hAnsi="Times New Roman" w:cs="Times New Roman"/>
        </w:rPr>
        <w:t xml:space="preserve"> H, Van </w:t>
      </w:r>
      <w:proofErr w:type="spellStart"/>
      <w:r w:rsidRPr="00322179">
        <w:rPr>
          <w:rFonts w:ascii="Times New Roman" w:eastAsia="Times New Roman" w:hAnsi="Times New Roman" w:cs="Times New Roman"/>
        </w:rPr>
        <w:t>Steirteghem</w:t>
      </w:r>
      <w:proofErr w:type="spellEnd"/>
      <w:r w:rsidRPr="00322179">
        <w:rPr>
          <w:rFonts w:ascii="Times New Roman" w:eastAsia="Times New Roman" w:hAnsi="Times New Roman" w:cs="Times New Roman"/>
        </w:rPr>
        <w:t xml:space="preserve"> AC, </w:t>
      </w:r>
      <w:proofErr w:type="spellStart"/>
      <w:r w:rsidRPr="00322179">
        <w:rPr>
          <w:rFonts w:ascii="Times New Roman" w:eastAsia="Times New Roman" w:hAnsi="Times New Roman" w:cs="Times New Roman"/>
        </w:rPr>
        <w:t>Devroey</w:t>
      </w:r>
      <w:proofErr w:type="spellEnd"/>
      <w:r w:rsidRPr="00322179">
        <w:rPr>
          <w:rFonts w:ascii="Times New Roman" w:eastAsia="Times New Roman" w:hAnsi="Times New Roman" w:cs="Times New Roman"/>
        </w:rPr>
        <w:t xml:space="preserve"> P. Effect of oral contraceptive pill pretreatment on ongoing pregnancy rates in patients stimulated with GnRH antagonists and recombinant FSH for IVF. A randomized controlled trial. Hum </w:t>
      </w:r>
      <w:proofErr w:type="spellStart"/>
      <w:r w:rsidRPr="00322179">
        <w:rPr>
          <w:rFonts w:ascii="Times New Roman" w:eastAsia="Times New Roman" w:hAnsi="Times New Roman" w:cs="Times New Roman"/>
        </w:rPr>
        <w:t>Reprod</w:t>
      </w:r>
      <w:proofErr w:type="spellEnd"/>
      <w:r w:rsidRPr="00322179">
        <w:rPr>
          <w:rFonts w:ascii="Times New Roman" w:eastAsia="Times New Roman" w:hAnsi="Times New Roman" w:cs="Times New Roman"/>
        </w:rPr>
        <w:t xml:space="preserve"> [Internet]. 2006;21(2):352–7.</w:t>
      </w:r>
    </w:p>
    <w:p w14:paraId="582C69AF" w14:textId="77777777" w:rsidR="00974B47" w:rsidRPr="00322179" w:rsidRDefault="00974B47" w:rsidP="00322179">
      <w:pPr>
        <w:spacing w:line="240" w:lineRule="auto"/>
        <w:rPr>
          <w:rFonts w:ascii="Times New Roman" w:hAnsi="Times New Roman" w:cs="Times New Roman"/>
        </w:rPr>
      </w:pPr>
    </w:p>
    <w:sectPr w:rsidR="00974B47" w:rsidRPr="003221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EE8C4" w14:textId="77777777" w:rsidR="00DB6ECB" w:rsidRDefault="00DB6ECB" w:rsidP="00706935">
      <w:pPr>
        <w:spacing w:after="0" w:line="240" w:lineRule="auto"/>
      </w:pPr>
      <w:r>
        <w:separator/>
      </w:r>
    </w:p>
  </w:endnote>
  <w:endnote w:type="continuationSeparator" w:id="0">
    <w:p w14:paraId="59C0241D" w14:textId="77777777" w:rsidR="00DB6ECB" w:rsidRDefault="00DB6ECB" w:rsidP="0070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F4CEC" w14:textId="77777777" w:rsidR="00706935" w:rsidRDefault="00706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695BE" w14:textId="77777777" w:rsidR="00706935" w:rsidRDefault="00706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25DA" w14:textId="77777777" w:rsidR="00706935" w:rsidRDefault="00706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600B8" w14:textId="77777777" w:rsidR="00DB6ECB" w:rsidRDefault="00DB6ECB" w:rsidP="00706935">
      <w:pPr>
        <w:spacing w:after="0" w:line="240" w:lineRule="auto"/>
      </w:pPr>
      <w:r>
        <w:separator/>
      </w:r>
    </w:p>
  </w:footnote>
  <w:footnote w:type="continuationSeparator" w:id="0">
    <w:p w14:paraId="0DA20B04" w14:textId="77777777" w:rsidR="00DB6ECB" w:rsidRDefault="00DB6ECB" w:rsidP="00706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D5291" w14:textId="29F64803" w:rsidR="00706935" w:rsidRDefault="00706935">
    <w:pPr>
      <w:pStyle w:val="Header"/>
    </w:pPr>
    <w:r>
      <w:rPr>
        <w:noProof/>
      </w:rPr>
      <w:pict w14:anchorId="1C37F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C2997" w14:textId="34525C75" w:rsidR="00706935" w:rsidRDefault="00706935">
    <w:pPr>
      <w:pStyle w:val="Header"/>
    </w:pPr>
    <w:r>
      <w:rPr>
        <w:noProof/>
      </w:rPr>
      <w:pict w14:anchorId="50324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3178" w14:textId="4991266D" w:rsidR="00706935" w:rsidRDefault="00706935">
    <w:pPr>
      <w:pStyle w:val="Header"/>
    </w:pPr>
    <w:r>
      <w:rPr>
        <w:noProof/>
      </w:rPr>
      <w:pict w14:anchorId="0EA42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3A1E"/>
    <w:multiLevelType w:val="multilevel"/>
    <w:tmpl w:val="AF6A1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FD73E6"/>
    <w:multiLevelType w:val="hybridMultilevel"/>
    <w:tmpl w:val="90187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DD"/>
    <w:rsid w:val="000172E5"/>
    <w:rsid w:val="00064B1F"/>
    <w:rsid w:val="00096059"/>
    <w:rsid w:val="000A27CB"/>
    <w:rsid w:val="000A7CD6"/>
    <w:rsid w:val="0011331A"/>
    <w:rsid w:val="00192A1E"/>
    <w:rsid w:val="001972BC"/>
    <w:rsid w:val="00204EC6"/>
    <w:rsid w:val="00243DD6"/>
    <w:rsid w:val="00322179"/>
    <w:rsid w:val="00350D85"/>
    <w:rsid w:val="0042640E"/>
    <w:rsid w:val="00460196"/>
    <w:rsid w:val="00462027"/>
    <w:rsid w:val="00634D1E"/>
    <w:rsid w:val="00706935"/>
    <w:rsid w:val="007246F5"/>
    <w:rsid w:val="00770698"/>
    <w:rsid w:val="00894735"/>
    <w:rsid w:val="008A5F3B"/>
    <w:rsid w:val="008D0BC4"/>
    <w:rsid w:val="00974B47"/>
    <w:rsid w:val="00985F3B"/>
    <w:rsid w:val="009C43F2"/>
    <w:rsid w:val="00A06DDD"/>
    <w:rsid w:val="00A65987"/>
    <w:rsid w:val="00A96558"/>
    <w:rsid w:val="00AD1C5F"/>
    <w:rsid w:val="00B31D06"/>
    <w:rsid w:val="00B47AFA"/>
    <w:rsid w:val="00B6589F"/>
    <w:rsid w:val="00CB095B"/>
    <w:rsid w:val="00D23CFF"/>
    <w:rsid w:val="00DB6ECB"/>
    <w:rsid w:val="00E46F04"/>
    <w:rsid w:val="00E5522E"/>
    <w:rsid w:val="00ED7DD3"/>
    <w:rsid w:val="00F03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E6EEB3"/>
  <w15:chartTrackingRefBased/>
  <w15:docId w15:val="{7B81E0F2-0CD4-46C0-B3F4-3F444BE4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06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6D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6D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6D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6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D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06D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6D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6D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6D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6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DDD"/>
    <w:rPr>
      <w:rFonts w:eastAsiaTheme="majorEastAsia" w:cstheme="majorBidi"/>
      <w:color w:val="272727" w:themeColor="text1" w:themeTint="D8"/>
    </w:rPr>
  </w:style>
  <w:style w:type="paragraph" w:styleId="Title">
    <w:name w:val="Title"/>
    <w:basedOn w:val="Normal"/>
    <w:next w:val="Normal"/>
    <w:link w:val="TitleChar"/>
    <w:uiPriority w:val="10"/>
    <w:qFormat/>
    <w:rsid w:val="00A06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DDD"/>
    <w:pPr>
      <w:spacing w:before="160"/>
      <w:jc w:val="center"/>
    </w:pPr>
    <w:rPr>
      <w:i/>
      <w:iCs/>
      <w:color w:val="404040" w:themeColor="text1" w:themeTint="BF"/>
    </w:rPr>
  </w:style>
  <w:style w:type="character" w:customStyle="1" w:styleId="QuoteChar">
    <w:name w:val="Quote Char"/>
    <w:basedOn w:val="DefaultParagraphFont"/>
    <w:link w:val="Quote"/>
    <w:uiPriority w:val="29"/>
    <w:rsid w:val="00A06DDD"/>
    <w:rPr>
      <w:i/>
      <w:iCs/>
      <w:color w:val="404040" w:themeColor="text1" w:themeTint="BF"/>
    </w:rPr>
  </w:style>
  <w:style w:type="paragraph" w:styleId="ListParagraph">
    <w:name w:val="List Paragraph"/>
    <w:basedOn w:val="Normal"/>
    <w:uiPriority w:val="34"/>
    <w:qFormat/>
    <w:rsid w:val="00A06DDD"/>
    <w:pPr>
      <w:ind w:left="720"/>
      <w:contextualSpacing/>
    </w:pPr>
  </w:style>
  <w:style w:type="character" w:styleId="IntenseEmphasis">
    <w:name w:val="Intense Emphasis"/>
    <w:basedOn w:val="DefaultParagraphFont"/>
    <w:uiPriority w:val="21"/>
    <w:qFormat/>
    <w:rsid w:val="00A06DDD"/>
    <w:rPr>
      <w:i/>
      <w:iCs/>
      <w:color w:val="2F5496" w:themeColor="accent1" w:themeShade="BF"/>
    </w:rPr>
  </w:style>
  <w:style w:type="paragraph" w:styleId="IntenseQuote">
    <w:name w:val="Intense Quote"/>
    <w:basedOn w:val="Normal"/>
    <w:next w:val="Normal"/>
    <w:link w:val="IntenseQuoteChar"/>
    <w:uiPriority w:val="30"/>
    <w:qFormat/>
    <w:rsid w:val="00A06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6DDD"/>
    <w:rPr>
      <w:i/>
      <w:iCs/>
      <w:color w:val="2F5496" w:themeColor="accent1" w:themeShade="BF"/>
    </w:rPr>
  </w:style>
  <w:style w:type="character" w:styleId="IntenseReference">
    <w:name w:val="Intense Reference"/>
    <w:basedOn w:val="DefaultParagraphFont"/>
    <w:uiPriority w:val="32"/>
    <w:qFormat/>
    <w:rsid w:val="00A06DDD"/>
    <w:rPr>
      <w:b/>
      <w:bCs/>
      <w:smallCaps/>
      <w:color w:val="2F5496" w:themeColor="accent1" w:themeShade="BF"/>
      <w:spacing w:val="5"/>
    </w:rPr>
  </w:style>
  <w:style w:type="paragraph" w:customStyle="1" w:styleId="Default">
    <w:name w:val="Default"/>
    <w:rsid w:val="009C43F2"/>
    <w:pPr>
      <w:autoSpaceDE w:val="0"/>
      <w:autoSpaceDN w:val="0"/>
      <w:adjustRightInd w:val="0"/>
      <w:spacing w:after="0" w:line="240" w:lineRule="auto"/>
    </w:pPr>
    <w:rPr>
      <w:rFonts w:ascii="Tahoma" w:eastAsiaTheme="minorEastAsia" w:hAnsi="Tahoma" w:cs="Tahoma"/>
      <w:color w:val="000000"/>
      <w:kern w:val="0"/>
      <w14:ligatures w14:val="none"/>
    </w:rPr>
  </w:style>
  <w:style w:type="paragraph" w:customStyle="1" w:styleId="Heading21">
    <w:name w:val="Heading 21"/>
    <w:basedOn w:val="Normal"/>
    <w:next w:val="Normal"/>
    <w:uiPriority w:val="9"/>
    <w:qFormat/>
    <w:rsid w:val="00A65987"/>
    <w:pPr>
      <w:keepNext/>
      <w:keepLines/>
      <w:spacing w:before="40" w:after="0" w:line="259" w:lineRule="auto"/>
      <w:outlineLvl w:val="1"/>
    </w:pPr>
    <w:rPr>
      <w:rFonts w:ascii="Calibri Light" w:eastAsia="Times New Roman" w:hAnsi="Calibri Light" w:cs="Times New Roman"/>
      <w:color w:val="2F5496"/>
      <w:kern w:val="0"/>
      <w:sz w:val="26"/>
      <w:szCs w:val="26"/>
      <w14:ligatures w14:val="none"/>
    </w:rPr>
  </w:style>
  <w:style w:type="table" w:styleId="TableGrid">
    <w:name w:val="Table Grid"/>
    <w:basedOn w:val="TableNormal"/>
    <w:uiPriority w:val="59"/>
    <w:rsid w:val="00A65987"/>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rsid w:val="00974B47"/>
    <w:pPr>
      <w:spacing w:before="100" w:beforeAutospacing="1" w:after="0" w:line="240" w:lineRule="auto"/>
    </w:pPr>
    <w:rPr>
      <w:rFonts w:ascii="Calibri" w:eastAsia="Times New Roman" w:hAnsi="Calibri" w:cs="SimSun"/>
      <w:kern w:val="0"/>
      <w:sz w:val="22"/>
      <w:szCs w:val="22"/>
      <w14:ligatures w14:val="none"/>
    </w:rPr>
  </w:style>
  <w:style w:type="character" w:customStyle="1" w:styleId="HeaderChar">
    <w:name w:val="Header Char"/>
    <w:basedOn w:val="DefaultParagraphFont"/>
    <w:link w:val="Header"/>
    <w:uiPriority w:val="99"/>
    <w:qFormat/>
    <w:rsid w:val="00974B47"/>
    <w:rPr>
      <w:rFonts w:ascii="Calibri" w:eastAsia="Times New Roman" w:hAnsi="Calibri" w:cs="SimSun"/>
      <w:kern w:val="0"/>
      <w:sz w:val="22"/>
      <w:szCs w:val="22"/>
      <w14:ligatures w14:val="none"/>
    </w:rPr>
  </w:style>
  <w:style w:type="paragraph" w:styleId="BodyText">
    <w:name w:val="Body Text"/>
    <w:basedOn w:val="Normal"/>
    <w:link w:val="BodyTextChar"/>
    <w:uiPriority w:val="1"/>
    <w:qFormat/>
    <w:rsid w:val="00974B4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974B47"/>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70698"/>
    <w:rPr>
      <w:color w:val="0563C1" w:themeColor="hyperlink"/>
      <w:u w:val="single"/>
    </w:rPr>
  </w:style>
  <w:style w:type="character" w:styleId="UnresolvedMention">
    <w:name w:val="Unresolved Mention"/>
    <w:basedOn w:val="DefaultParagraphFont"/>
    <w:uiPriority w:val="99"/>
    <w:semiHidden/>
    <w:unhideWhenUsed/>
    <w:rsid w:val="00770698"/>
    <w:rPr>
      <w:color w:val="605E5C"/>
      <w:shd w:val="clear" w:color="auto" w:fill="E1DFDD"/>
    </w:rPr>
  </w:style>
  <w:style w:type="paragraph" w:styleId="Footer">
    <w:name w:val="footer"/>
    <w:basedOn w:val="Normal"/>
    <w:link w:val="FooterChar"/>
    <w:uiPriority w:val="99"/>
    <w:unhideWhenUsed/>
    <w:rsid w:val="00706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15</Pages>
  <Words>4854</Words>
  <Characters>27669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SDI 1084</cp:lastModifiedBy>
  <cp:revision>18</cp:revision>
  <dcterms:created xsi:type="dcterms:W3CDTF">2026-01-18T23:58:00Z</dcterms:created>
  <dcterms:modified xsi:type="dcterms:W3CDTF">2026-02-02T07:48:00Z</dcterms:modified>
</cp:coreProperties>
</file>