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7664A" w14:textId="77777777" w:rsidR="0014035D" w:rsidRDefault="0014035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03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Case Study </w:t>
      </w:r>
    </w:p>
    <w:p w14:paraId="207DFC73" w14:textId="77777777" w:rsidR="0014035D" w:rsidRDefault="0014035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E95FD0" w14:textId="1D8C0A90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Intrauterine Death Secondary to HELLP Syndrome with Placental Calcification in a Patient with Chronic Hypertension superimposed Preeclampsia and Gestational Thrombocytopenia</w:t>
      </w:r>
    </w:p>
    <w:p w14:paraId="500BDB34" w14:textId="77777777" w:rsidR="00232E7E" w:rsidRDefault="00232E7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211DF" w14:textId="77777777" w:rsidR="00232E7E" w:rsidRDefault="00232E7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DA0C0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238AEF24">
          <v:rect id="_x0000_i1025" style="width:0;height:1.5pt" o:hralign="center" o:hrstd="t" o:hr="t" fillcolor="#a0a0a0" stroked="f"/>
        </w:pict>
      </w:r>
    </w:p>
    <w:p w14:paraId="6DDCDF0E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14:paraId="4D661F36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case highlights the complex clinical course of a 37-year-old woman G3P1+1, at 31 weeks and 3 days gestation who experienced intrauterine death secondary to HELLP syndrome and placental calcification, with the background of chronic hypertension with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perimposed preeclampsia, and gestational thrombocytopenia. The patient had a history of several obstetric and medical issues, including obesity, previous preeclampsia, and gestational diabetes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mellitus  managed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through diet, along with two previous miscarr</w:t>
      </w:r>
      <w:r>
        <w:rPr>
          <w:rFonts w:ascii="Times New Roman" w:eastAsia="Times New Roman" w:hAnsi="Times New Roman" w:cs="Times New Roman"/>
          <w:sz w:val="24"/>
          <w:szCs w:val="24"/>
        </w:rPr>
        <w:t>iages. This case underscores the diagnostic and management challenges associated with hypertensive disorders during pregnancy, highlighting the critical need for early detection and a coordinated approach among healthcare professionals in high-risk cases.</w:t>
      </w:r>
      <w:r>
        <w:pict w14:anchorId="24050E9F">
          <v:rect id="_x0000_i1026" style="width:0;height:1.5pt" o:hralign="center" o:hrstd="t" o:hr="t" fillcolor="#a0a0a0" stroked="f"/>
        </w:pict>
      </w:r>
    </w:p>
    <w:p w14:paraId="61C82FA9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14:paraId="57D94674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Hypertensive disorders affect about 5–10% of pregnancies and are among the top causes of complications for both mothers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babies[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1].  HELLP syndrome, which stands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elevated liver enzymes, and low platelets, is a severe and pot</w:t>
      </w:r>
      <w:r>
        <w:rPr>
          <w:rFonts w:ascii="Times New Roman" w:eastAsia="Times New Roman" w:hAnsi="Times New Roman" w:cs="Times New Roman"/>
          <w:sz w:val="24"/>
          <w:szCs w:val="24"/>
        </w:rPr>
        <w:t>entially life-threatening form of preeclampsia. It can develop quietly but escalate quickly. In cases of preeclampsia, chronic placental hypoperfusion and endothelial dysfunction can accelerate placental aging, leading to increased calcification, villous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ibrosis, and impaired nutrient exchange, which contribute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growth restriction and intrauterine demise. This case illustrates the challenges faced by a high-risk pregnant woman with chronic hypertension with superimposed preeclampsia who ultimately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suffered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loss in the setting of HELLP syndrome.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pict w14:anchorId="710EBBBB">
          <v:rect id="_x0000_i1027" style="width:0;height:1.5pt" o:hralign="center" o:hrstd="t" o:hr="t" fillcolor="#a0a0a0" stroked="f"/>
        </w:pict>
      </w:r>
    </w:p>
    <w:p w14:paraId="4570A4BC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 Summary</w:t>
      </w:r>
    </w:p>
    <w:p w14:paraId="0D6C9CE9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patient is a known case of chronic hypertension complicated by preeclampsia, which was first detected at 24 weeks of pregnancy during a hypertensive crisis accompanied by proteinuria </w:t>
      </w:r>
      <w:r>
        <w:rPr>
          <w:rFonts w:ascii="Times New Roman" w:eastAsia="Times New Roman" w:hAnsi="Times New Roman" w:cs="Times New Roman"/>
          <w:sz w:val="24"/>
          <w:szCs w:val="24"/>
        </w:rPr>
        <w:t>(UPCI 0.03). Her initial preeclampsia profile showed no significant issues, aside from thrombocytopenia. Throughout her pregnancy, her blood pressure fluctuated between 122–187/61–104 mmHg, while home readings were more stable, ranging from 101–130/60–86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mHg. She had multiple admission throughout pregnancy for blood pressure stabilisation and was last discharged on tablet Methyldopa 750 mg TDS and along with preeclampsia prophylaxis (tablet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Cardiprin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mg OD and tablet calcium carbonate 500 mg TDS).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Addi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tionally, she was diagnosed with asymptomatic gestational thrombocytopenia, with her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platelet counts dropping from 101 × 10⁹/L at 14 weeks to 53 × 10⁹/L at her most recent discharge. Tests showed negative ANA results, normal complement levels, and a negati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infective screening.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recommended avoiding steroid treatment unless her platelet count drop further below 50 × 10⁹/L or if she was close to delivery with low counts. Her obstetric history includes a previous emergency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cesarean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section at 28 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eks due to severe preeclampsia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distress. Other risk factors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include  gestational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diabetes mellitus on diet control and maternal obesity.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However, at 30 weeks of gestation, she presented with a one-day history of reduced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movements and irregu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lar contractions. Her blood pressure at the general practitioner clinic was recorded at 160/78 mmHg; she took her methyldopa on her way to the hospital. An ultrasound showed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heart activity, with measurements indicating a gestational age of 28–30 w</w:t>
      </w:r>
      <w:r>
        <w:rPr>
          <w:rFonts w:ascii="Times New Roman" w:eastAsia="Times New Roman" w:hAnsi="Times New Roman" w:cs="Times New Roman"/>
          <w:sz w:val="24"/>
          <w:szCs w:val="24"/>
        </w:rPr>
        <w:t>eeks. Her blood parameters upon admission as follows: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Upon admission, initial blood investigations showed: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White cell count 10/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Hemoglobin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10.7/ Platelet 25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Urea 5.1/ Sodium 135/ Potassium 4.1/ Creatinine 72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Magnesium 0.84/ Calcium 2.2/ Phosphate 1.15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Pro</w:t>
      </w:r>
      <w:r>
        <w:rPr>
          <w:rFonts w:ascii="Times New Roman" w:eastAsia="Times New Roman" w:hAnsi="Times New Roman" w:cs="Times New Roman"/>
          <w:sz w:val="24"/>
          <w:szCs w:val="24"/>
        </w:rPr>
        <w:t>thrombin time 9.8/ INR 0.92/ Activated partial thromboplastin time  23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Total protein 74/ Albumin 26/ Alkaline phosphatase 437/ Alanine aminotransferase 90/ Aspartate aminotransferase 35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Total bilirubin 7.8/ Direct bilirubin 5.3/ Indirect bilirubin 2.5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Lact</w:t>
      </w:r>
      <w:r>
        <w:rPr>
          <w:rFonts w:ascii="Times New Roman" w:eastAsia="Times New Roman" w:hAnsi="Times New Roman" w:cs="Times New Roman"/>
          <w:sz w:val="24"/>
          <w:szCs w:val="24"/>
        </w:rPr>
        <w:t>ate Dehydrogenase 34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Uric acid 405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Reticulocyte percentage 2.53%</w:t>
      </w:r>
    </w:p>
    <w:p w14:paraId="1ACC5D9B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Diagnosis of HELLP syndrome was made and an emergency lower segment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cesarean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section was performed, during which she received intraoperative platelet transfusion, subsequently delivered a female stillbirth weighing 1.29 kg.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appeared generally normal with no visible external defects, but the placenta looked unhealthy, sho</w:t>
      </w:r>
      <w:r>
        <w:rPr>
          <w:rFonts w:ascii="Times New Roman" w:eastAsia="Times New Roman" w:hAnsi="Times New Roman" w:cs="Times New Roman"/>
          <w:sz w:val="24"/>
          <w:szCs w:val="24"/>
        </w:rPr>
        <w:t>wing multiple areas of calcification (Image 1).</w:t>
      </w:r>
    </w:p>
    <w:p w14:paraId="2D2FB74F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D44EA32" wp14:editId="37D96458">
            <wp:extent cx="1709738" cy="2263367"/>
            <wp:effectExtent l="0" t="0" r="0" b="0"/>
            <wp:docPr id="5167975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2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82DCA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Image 1: unhealthy placenta with multiple areas of calcification</w:t>
      </w:r>
    </w:p>
    <w:p w14:paraId="5B215AEC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29EB5831">
          <v:rect id="_x0000_i1028" style="width:0;height:1.5pt" o:hralign="center" o:hrstd="t" o:hr="t" fillcolor="#a0a0a0" stroked="f"/>
        </w:pict>
      </w:r>
    </w:p>
    <w:p w14:paraId="29AA06F2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Discussion</w:t>
      </w:r>
    </w:p>
    <w:p w14:paraId="7AD94B60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This patient's case presents a complex interplay of risk factors including chronic hypertension with superimposed preeclampsia,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obesity (with a BMI &gt; 34), gestational diabetes mellitus, gestational thrombocytopenia and multiple pregnancy losses.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At the molecular level, dysfunctional and calcified placenta leads to hypoxia and oxidative stress, which in turn triggers the release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anti-angiogenic factors like soluble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-like tyrosine kinase-1 (sFlt-1). This factor neutralizes placental growth factor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PlGF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and contributes to systemic endothelial dysfunction [2]. The sFlt-1/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PlGF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ratio is particularly useful for predictions: in the </w:t>
      </w:r>
      <w:r>
        <w:rPr>
          <w:rFonts w:ascii="Times New Roman" w:eastAsia="Times New Roman" w:hAnsi="Times New Roman" w:cs="Times New Roman"/>
          <w:sz w:val="24"/>
          <w:szCs w:val="24"/>
        </w:rPr>
        <w:t>PROGNOSIS study, a ratio of above 38 indicated a likelihood of onset of preeclampsia within four weeks, with a 36.7% positive predictive value (PPV) and 66.2% sensitivity, along with 83.1% specificity [3].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Preeclampsia is a major contributor to placental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nsufficiency, primarily due to abnormal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remodeling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spiral arteries. When maternal spiral arteries aren't properly converted, it leads to high-resistance, low-flow circulation, which can cause intervillous thrombosis and fibrinoid necrosis [1]. 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microvascular pathology diminishes uteroplacental perfusion, resulting in chronic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hypoxia. If this hypoperfusion continues, it can lead to intrauterine growth restriction and, in severe cases, intrauterine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demise [4]. A study involving 51 preec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lamptic placentas reported that 66.4% exhibited pathological features, including villous necrosis, increased syncytial knots, and thrombosis. These findings are associated with impaired placental perfusion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growth restriction [5]. Premature placen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calcification (PPC), is observed in preeclampsia. The prevalence of PPC varies across studies, ranging from 3.8% to 23.7%. PPC is associated with adverse maternal and neonatal outcomes, including preeclampsia,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growth restriction, low birth weight</w:t>
      </w:r>
      <w:r>
        <w:rPr>
          <w:rFonts w:ascii="Times New Roman" w:eastAsia="Times New Roman" w:hAnsi="Times New Roman" w:cs="Times New Roman"/>
          <w:sz w:val="24"/>
          <w:szCs w:val="24"/>
        </w:rPr>
        <w:t>, low Apgar scores, and abnormal Doppler parameters [6].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Histopathological studies show that up to 65% of placentas from preeclamptic pregnancies exhibit thrombotic lesions, infarctions, or both, highlighting the link between maternal endothelial dysfuncti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compromise [7].</w:t>
      </w:r>
    </w:p>
    <w:p w14:paraId="7D2D9D6E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Maternal complications associated with HELLP syndrome include disseminated intravascular coagulation (DIVC), hepatic rupture, renal failure, and pulmonary oedema. Maternal mortality following HELLP syndrome 2.9%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18.%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stillb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irth [8]. Another study conducted in Pakistan shows a 7% risk of intrauterine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demise in case of HELLP syndrome [9].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The long-term effects are quite concerning: a study from Sweden involving over 2 million women found that those who experienced hypert</w:t>
      </w:r>
      <w:r>
        <w:rPr>
          <w:rFonts w:ascii="Times New Roman" w:eastAsia="Times New Roman" w:hAnsi="Times New Roman" w:cs="Times New Roman"/>
          <w:sz w:val="24"/>
          <w:szCs w:val="24"/>
        </w:rPr>
        <w:t>ensive disorders during pregnancy had double the risk of developing ischemic heart disease later on [10]. This elevated cardiovascular risk can persist for decades, highlighting how complications during pregnancy can serve as important indicators of future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heart health.</w:t>
      </w:r>
    </w:p>
    <w:p w14:paraId="59FD7308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44A30992">
          <v:rect id="_x0000_i1029" style="width:0;height:1.5pt" o:hralign="center" o:hrstd="t" o:hr="t" fillcolor="#a0a0a0" stroked="f"/>
        </w:pict>
      </w:r>
    </w:p>
    <w:p w14:paraId="6B32CD4D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 &amp; Recommendations</w:t>
      </w:r>
    </w:p>
    <w:p w14:paraId="16FAE32F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case really highlights the importance of close observation and active management of high-risk pregnancies, especially when there are overlapping issues like hypertension, thrombocytopenia, and a history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poor obstetric outcomes. </w:t>
      </w:r>
    </w:p>
    <w:p w14:paraId="31EA3E3E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Here are some key recommendations to consider:</w:t>
      </w:r>
    </w:p>
    <w:p w14:paraId="0262A4E6" w14:textId="77777777" w:rsidR="00502277" w:rsidRDefault="002C15B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Early multidisciplinary care: Involve obstetricians, maternal-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medicine specialists,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hematologists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and neonatologists from the outset.</w:t>
      </w:r>
    </w:p>
    <w:p w14:paraId="1D5CACE6" w14:textId="77777777" w:rsidR="00502277" w:rsidRDefault="002C15B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Strict maternal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monitoring: Reg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ularly track blood pressure, platelet counts,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well-being during pregnancy.</w:t>
      </w:r>
    </w:p>
    <w:p w14:paraId="0761C6E2" w14:textId="77777777" w:rsidR="00502277" w:rsidRDefault="002C15B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Postpartum planning and patient education: Focus on postpartum follow-up, preparation for future pregnancies, long-term cardiovascular risk management, and empowering the </w:t>
      </w:r>
      <w:r>
        <w:rPr>
          <w:rFonts w:ascii="Times New Roman" w:eastAsia="Times New Roman" w:hAnsi="Times New Roman" w:cs="Times New Roman"/>
          <w:sz w:val="24"/>
          <w:szCs w:val="24"/>
        </w:rPr>
        <w:t>patient to recognize warning signs.</w:t>
      </w:r>
    </w:p>
    <w:p w14:paraId="0E2BD716" w14:textId="77777777" w:rsidR="00C60729" w:rsidRDefault="00C60729" w:rsidP="00C607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E34107" w14:textId="77777777" w:rsidR="00C60729" w:rsidRPr="00C60729" w:rsidRDefault="00C60729" w:rsidP="00C60729">
      <w:pPr>
        <w:spacing w:before="240" w:after="240" w:line="276" w:lineRule="auto"/>
        <w:rPr>
          <w:rFonts w:ascii="Arial" w:eastAsia="Arial" w:hAnsi="Arial" w:cs="Arial"/>
          <w:u w:val="single"/>
          <w:lang w:val="en"/>
        </w:rPr>
      </w:pPr>
      <w:bookmarkStart w:id="0" w:name="_GoBack"/>
      <w:bookmarkEnd w:id="0"/>
      <w:r w:rsidRPr="00C60729">
        <w:rPr>
          <w:rFonts w:ascii="Arial" w:eastAsia="Arial" w:hAnsi="Arial" w:cs="Arial"/>
          <w:u w:val="single"/>
          <w:lang w:val="en"/>
        </w:rPr>
        <w:t>Conflict of interest</w:t>
      </w:r>
    </w:p>
    <w:p w14:paraId="16429332" w14:textId="77777777" w:rsidR="00C60729" w:rsidRPr="00C60729" w:rsidRDefault="00C6072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C60729">
        <w:rPr>
          <w:rFonts w:ascii="Arial" w:eastAsia="Arial" w:hAnsi="Arial" w:cs="Arial"/>
          <w:lang w:val="en"/>
        </w:rPr>
        <w:t>The authors declare that there are no conflicts of interest related to this manuscript.</w:t>
      </w:r>
    </w:p>
    <w:p w14:paraId="13159CFD" w14:textId="77777777" w:rsidR="00C60729" w:rsidRPr="00C60729" w:rsidRDefault="00C60729" w:rsidP="00C60729">
      <w:pPr>
        <w:spacing w:before="240" w:after="240" w:line="276" w:lineRule="auto"/>
        <w:rPr>
          <w:rFonts w:ascii="Arial" w:eastAsia="Arial" w:hAnsi="Arial" w:cs="Arial"/>
          <w:u w:val="single"/>
          <w:lang w:val="en"/>
        </w:rPr>
      </w:pPr>
      <w:r w:rsidRPr="00C60729">
        <w:rPr>
          <w:rFonts w:ascii="Arial" w:eastAsia="Arial" w:hAnsi="Arial" w:cs="Arial"/>
          <w:u w:val="single"/>
          <w:lang w:val="en"/>
        </w:rPr>
        <w:t>Informed consent</w:t>
      </w:r>
    </w:p>
    <w:p w14:paraId="3F3455C0" w14:textId="77777777" w:rsidR="00C60729" w:rsidRPr="00C60729" w:rsidRDefault="00C6072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C60729">
        <w:rPr>
          <w:rFonts w:ascii="Arial" w:eastAsia="Arial" w:hAnsi="Arial" w:cs="Arial"/>
          <w:lang w:val="en"/>
        </w:rPr>
        <w:t>Both written and verbal informed consent was obtained from the patient (</w:t>
      </w:r>
      <w:proofErr w:type="spellStart"/>
      <w:r w:rsidRPr="00C60729">
        <w:rPr>
          <w:rFonts w:ascii="Arial" w:eastAsia="Arial" w:hAnsi="Arial" w:cs="Arial"/>
          <w:lang w:val="en"/>
        </w:rPr>
        <w:t>Mdm</w:t>
      </w:r>
      <w:proofErr w:type="spellEnd"/>
      <w:r w:rsidRPr="00C60729">
        <w:rPr>
          <w:rFonts w:ascii="Arial" w:eastAsia="Arial" w:hAnsi="Arial" w:cs="Arial"/>
          <w:lang w:val="en"/>
        </w:rPr>
        <w:t xml:space="preserve"> N) for publication of this report and any accompanying images.</w:t>
      </w:r>
    </w:p>
    <w:p w14:paraId="2F15DD68" w14:textId="77777777" w:rsidR="00C60729" w:rsidRPr="00C60729" w:rsidRDefault="00C6072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C60729">
        <w:rPr>
          <w:rFonts w:ascii="Arial" w:eastAsia="Arial" w:hAnsi="Arial" w:cs="Arial"/>
          <w:u w:val="single"/>
          <w:lang w:val="en"/>
        </w:rPr>
        <w:t>Data Availability</w:t>
      </w:r>
      <w:r w:rsidRPr="00C60729">
        <w:rPr>
          <w:rFonts w:ascii="Arial" w:eastAsia="Arial" w:hAnsi="Arial" w:cs="Arial"/>
          <w:lang w:val="en"/>
        </w:rPr>
        <w:t xml:space="preserve"> </w:t>
      </w:r>
    </w:p>
    <w:p w14:paraId="74DBB938" w14:textId="77777777" w:rsidR="00C60729" w:rsidRDefault="00C6072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C60729">
        <w:rPr>
          <w:rFonts w:ascii="Arial" w:eastAsia="Arial" w:hAnsi="Arial" w:cs="Arial"/>
          <w:lang w:val="en"/>
        </w:rPr>
        <w:t>The data supporting the findings of this study are available within the article.</w:t>
      </w:r>
    </w:p>
    <w:p w14:paraId="6B852083" w14:textId="77777777" w:rsidR="006936E9" w:rsidRDefault="006936E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</w:p>
    <w:p w14:paraId="48E4F8CC" w14:textId="77777777" w:rsidR="006936E9" w:rsidRPr="006936E9" w:rsidRDefault="006936E9" w:rsidP="006936E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6936E9">
        <w:rPr>
          <w:rFonts w:ascii="Arial" w:eastAsia="Arial" w:hAnsi="Arial" w:cs="Arial"/>
          <w:lang w:val="en"/>
        </w:rPr>
        <w:t>COMPETING INTERESTS DISCLAIMER:</w:t>
      </w:r>
    </w:p>
    <w:p w14:paraId="13299915" w14:textId="77777777" w:rsidR="006936E9" w:rsidRPr="006936E9" w:rsidRDefault="006936E9" w:rsidP="006936E9">
      <w:pPr>
        <w:spacing w:before="240" w:after="240" w:line="276" w:lineRule="auto"/>
        <w:rPr>
          <w:rFonts w:ascii="Arial" w:eastAsia="Arial" w:hAnsi="Arial" w:cs="Arial"/>
          <w:lang w:val="en"/>
        </w:rPr>
      </w:pPr>
      <w:r w:rsidRPr="006936E9">
        <w:rPr>
          <w:rFonts w:ascii="Arial" w:eastAsia="Arial" w:hAnsi="Arial" w:cs="Arial"/>
          <w:lang w:val="e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3DE26E7B" w14:textId="77777777" w:rsidR="006936E9" w:rsidRPr="006936E9" w:rsidRDefault="006936E9" w:rsidP="006936E9">
      <w:pPr>
        <w:spacing w:before="240" w:after="240" w:line="276" w:lineRule="auto"/>
        <w:rPr>
          <w:rFonts w:ascii="Arial" w:eastAsia="Arial" w:hAnsi="Arial" w:cs="Arial"/>
          <w:lang w:val="en"/>
        </w:rPr>
      </w:pPr>
    </w:p>
    <w:p w14:paraId="5EA801CE" w14:textId="77777777" w:rsidR="006936E9" w:rsidRPr="00C60729" w:rsidRDefault="006936E9" w:rsidP="00C60729">
      <w:pPr>
        <w:spacing w:before="240" w:after="240" w:line="276" w:lineRule="auto"/>
        <w:rPr>
          <w:rFonts w:ascii="Arial" w:eastAsia="Arial" w:hAnsi="Arial" w:cs="Arial"/>
          <w:lang w:val="en"/>
        </w:rPr>
      </w:pPr>
    </w:p>
    <w:p w14:paraId="35B02D9F" w14:textId="77777777" w:rsidR="00C60729" w:rsidRDefault="00C60729" w:rsidP="00C607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176F9E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3DB3019A">
          <v:rect id="_x0000_i1030" style="width:0;height:1.5pt" o:hralign="center" o:hrstd="t" o:hr="t" fillcolor="#a0a0a0" stroked="f"/>
        </w:pict>
      </w:r>
    </w:p>
    <w:p w14:paraId="1721DDFD" w14:textId="77777777" w:rsidR="00502277" w:rsidRDefault="005022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4DE15F" w14:textId="77777777" w:rsidR="00502277" w:rsidRDefault="002C15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14:paraId="0BCB9E4E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1/ Roberts, J. M., &amp; Escudero, C. (2012). The placenta in preeclampsia. Pregnancy Hypertension: An </w:t>
      </w:r>
      <w:r>
        <w:rPr>
          <w:rFonts w:ascii="Times New Roman" w:eastAsia="Times New Roman" w:hAnsi="Times New Roman" w:cs="Times New Roman"/>
          <w:sz w:val="24"/>
          <w:szCs w:val="24"/>
        </w:rPr>
        <w:t>International Journal of Women's Cardiovascular Health, 2(2), 72-83.</w:t>
      </w:r>
    </w:p>
    <w:p w14:paraId="1D84D0EF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2/ Yung, H. W., &amp; Charnock-Jones, D. S. (2008). Anti-angiogenic factors in preeclampsia: sFlt-1 and soluble endoglin. Placenta, 29(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A), S51–S56. https://doi.org/10.1016/j.placenta.20</w:t>
      </w:r>
      <w:r>
        <w:rPr>
          <w:rFonts w:ascii="Times New Roman" w:eastAsia="Times New Roman" w:hAnsi="Times New Roman" w:cs="Times New Roman"/>
          <w:sz w:val="24"/>
          <w:szCs w:val="24"/>
        </w:rPr>
        <w:t>07.11.008</w:t>
      </w:r>
    </w:p>
    <w:p w14:paraId="0B5015F4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3/ Levine, R. J., et al. (2016). Soluble endoglin and other circulating antiangiogenic factors in preeclampsia. New England Journal of Medicine, 355(10), 992–1005.</w:t>
      </w:r>
    </w:p>
    <w:p w14:paraId="1A66DCCD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Brosens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Pijnenborg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R., Vercruysse, L., &amp; Romero, R. (2011). The “Great 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stetrical Syndromes” are associated with disorders of deep placentation. American Journal of Obstetrics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Gynecology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204(3), 193–201.</w:t>
      </w:r>
    </w:p>
    <w:p w14:paraId="77316FEC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5/ Nurdin, R., Rina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Nelwan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Djumadi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Achmad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S. Lawrence,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Mardiati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&amp; Andi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Alfian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Zainuddin. (2022)</w:t>
      </w:r>
      <w:r>
        <w:rPr>
          <w:rFonts w:ascii="Times New Roman" w:eastAsia="Times New Roman" w:hAnsi="Times New Roman" w:cs="Times New Roman"/>
          <w:sz w:val="24"/>
          <w:szCs w:val="24"/>
        </w:rPr>
        <w:t>. Histopathological Findings in Placentas from Pregnancies Complicated with Preeclampsia. International Journal of Sciences: Basic and Applied Research (IJSBAR), 65(1), 31-37. make the bracket</w:t>
      </w:r>
    </w:p>
    <w:p w14:paraId="3E9FAD91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6/ Dash, S., Das, B., Panda, S. R., Rajguru, M., Jena, P., Mish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ra, A., &amp; Rath, S. K. (2021). Perinatal outcomes in premature placental calcification and the association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doppler study: report from a tertiary care hospital in eastern India. Clinics and Practice, 11(4), 841-849.</w:t>
      </w:r>
    </w:p>
    <w:p w14:paraId="0ED25ED5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7/ Redline, R. W. (2008). Place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pathology: A guide for clinicians. Pathology, 40(2), 115–126. </w:t>
      </w:r>
    </w:p>
    <w:p w14:paraId="378CCBF9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8/ Kali,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Zercan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Cagiran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Fatma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Kirici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Pinar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Meydanli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Mehmet. (2022). Incidence, Characteristics, Maternal and Perinatal Outcomes of HELLP Syndrome.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Gynecology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Reproductive Health</w:t>
      </w:r>
      <w:r>
        <w:rPr>
          <w:rFonts w:ascii="Times New Roman" w:eastAsia="Times New Roman" w:hAnsi="Times New Roman" w:cs="Times New Roman"/>
          <w:sz w:val="24"/>
          <w:szCs w:val="24"/>
        </w:rPr>
        <w:t>. 6. 10.33425/2639-9342.1190.</w:t>
      </w:r>
    </w:p>
    <w:p w14:paraId="2F79EAF2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9/ Wali S, Qazi KF, Begum A, Ara J, Rekha, Bibi N. (2024). Adverse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fetomaternal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outcomes in women with HELLP syndrome. Journal of Population Therapeutics and Clinical Pharmacology, 31(4), 2274–2281.</w:t>
      </w:r>
    </w:p>
    <w:p w14:paraId="7337176F" w14:textId="77777777" w:rsidR="00502277" w:rsidRDefault="002C15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10/ Crump, C., Sundquist, 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&amp; Sundquist, K. (2023). Hypertensive disorders of pregnancy and long-term risk of ischemic heart disease in mothers: National cohort study. BMJ, 380, e072155. </w:t>
      </w:r>
    </w:p>
    <w:sectPr w:rsidR="005022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17F4F" w14:textId="77777777" w:rsidR="002C15B0" w:rsidRDefault="002C15B0" w:rsidP="00F30906">
      <w:pPr>
        <w:spacing w:after="0" w:line="240" w:lineRule="auto"/>
      </w:pPr>
      <w:r>
        <w:separator/>
      </w:r>
    </w:p>
  </w:endnote>
  <w:endnote w:type="continuationSeparator" w:id="0">
    <w:p w14:paraId="0000FF9F" w14:textId="77777777" w:rsidR="002C15B0" w:rsidRDefault="002C15B0" w:rsidP="00F3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07F11-D633-493F-AE4C-5A1B4A30B9EF}"/>
    <w:embedItalic r:id="rId2" w:fontKey="{E3E1EF33-DC3D-40D9-9DCB-55A92556C0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F2FB244-2740-4809-9B47-B4D393FF58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0D0E" w14:textId="77777777" w:rsidR="00F30906" w:rsidRDefault="00F309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318A2" w14:textId="77777777" w:rsidR="00F30906" w:rsidRDefault="00F309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F92DB" w14:textId="77777777" w:rsidR="00F30906" w:rsidRDefault="00F309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2457A" w14:textId="77777777" w:rsidR="002C15B0" w:rsidRDefault="002C15B0" w:rsidP="00F30906">
      <w:pPr>
        <w:spacing w:after="0" w:line="240" w:lineRule="auto"/>
      </w:pPr>
      <w:r>
        <w:separator/>
      </w:r>
    </w:p>
  </w:footnote>
  <w:footnote w:type="continuationSeparator" w:id="0">
    <w:p w14:paraId="5BD7D496" w14:textId="77777777" w:rsidR="002C15B0" w:rsidRDefault="002C15B0" w:rsidP="00F3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58E9F" w14:textId="00ECB7A3" w:rsidR="00F30906" w:rsidRDefault="00F30906">
    <w:pPr>
      <w:pStyle w:val="Header"/>
    </w:pPr>
    <w:r>
      <w:rPr>
        <w:noProof/>
      </w:rPr>
      <w:pict w14:anchorId="64F0B2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304485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D9819" w14:textId="719671D3" w:rsidR="00F30906" w:rsidRDefault="00F30906">
    <w:pPr>
      <w:pStyle w:val="Header"/>
    </w:pPr>
    <w:r>
      <w:rPr>
        <w:noProof/>
      </w:rPr>
      <w:pict w14:anchorId="135CFE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304486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06D83" w14:textId="0CD4B33D" w:rsidR="00F30906" w:rsidRDefault="00F30906">
    <w:pPr>
      <w:pStyle w:val="Header"/>
    </w:pPr>
    <w:r>
      <w:rPr>
        <w:noProof/>
      </w:rPr>
      <w:pict w14:anchorId="4C845C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304484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746EB"/>
    <w:multiLevelType w:val="multilevel"/>
    <w:tmpl w:val="BC2C7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277"/>
    <w:rsid w:val="0014035D"/>
    <w:rsid w:val="00232E7E"/>
    <w:rsid w:val="002C15B0"/>
    <w:rsid w:val="00502277"/>
    <w:rsid w:val="006936E9"/>
    <w:rsid w:val="00C60729"/>
    <w:rsid w:val="00CD3A4A"/>
    <w:rsid w:val="00E52E1F"/>
    <w:rsid w:val="00F3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7E15E1"/>
  <w15:docId w15:val="{4F19D406-446F-4D6B-8A4D-24F9A8EF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MY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16F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F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F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F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F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FD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1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16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F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F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F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FD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44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43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30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906"/>
  </w:style>
  <w:style w:type="paragraph" w:styleId="Footer">
    <w:name w:val="footer"/>
    <w:basedOn w:val="Normal"/>
    <w:link w:val="FooterChar"/>
    <w:uiPriority w:val="99"/>
    <w:unhideWhenUsed/>
    <w:rsid w:val="00F30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ZFMuyITT76VIUknPJqAEhJpZXw==">CgMxLjA4AHIhMTZHYU9fWFFrck8ybjZkQ29rZGlNSG5nemhvUy11WG9N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1639</Words>
  <Characters>9344</Characters>
  <Application>Microsoft Office Word</Application>
  <DocSecurity>0</DocSecurity>
  <Lines>77</Lines>
  <Paragraphs>21</Paragraphs>
  <ScaleCrop>false</ScaleCrop>
  <Company/>
  <LinksUpToDate>false</LinksUpToDate>
  <CharactersWithSpaces>10962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Ignatius</dc:creator>
  <cp:lastModifiedBy>SDI 1084</cp:lastModifiedBy>
  <cp:revision>7</cp:revision>
  <dcterms:created xsi:type="dcterms:W3CDTF">2025-08-09T12:23:00Z</dcterms:created>
  <dcterms:modified xsi:type="dcterms:W3CDTF">2026-01-24T12:47:00Z</dcterms:modified>
</cp:coreProperties>
</file>