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E52DC" w14:textId="211264DD" w:rsidR="002F5E49" w:rsidRPr="002F5E49" w:rsidRDefault="002F5E49">
      <w:pPr>
        <w:rPr>
          <w:rFonts w:ascii="Times New Roman" w:eastAsia="Times New Roman" w:hAnsi="Times New Roman" w:cs="Times New Roman"/>
          <w:b/>
          <w:bCs/>
          <w:sz w:val="24"/>
          <w:szCs w:val="24"/>
          <w:u w:val="single"/>
        </w:rPr>
      </w:pPr>
      <w:r w:rsidRPr="002F5E49">
        <w:rPr>
          <w:rFonts w:ascii="Times New Roman" w:eastAsia="Times New Roman" w:hAnsi="Times New Roman" w:cs="Times New Roman"/>
          <w:b/>
          <w:bCs/>
          <w:sz w:val="24"/>
          <w:szCs w:val="24"/>
          <w:u w:val="single"/>
        </w:rPr>
        <w:t>Case Study</w:t>
      </w:r>
    </w:p>
    <w:p w14:paraId="2D26BA1B" w14:textId="31AECAFE" w:rsidR="00F8057E" w:rsidRDefault="0001568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Navigating the Grey Area: A Case of </w:t>
      </w:r>
      <w:proofErr w:type="spellStart"/>
      <w:r>
        <w:rPr>
          <w:rFonts w:ascii="Times New Roman" w:eastAsia="Times New Roman" w:hAnsi="Times New Roman" w:cs="Times New Roman"/>
          <w:b/>
          <w:bCs/>
          <w:sz w:val="24"/>
          <w:szCs w:val="24"/>
        </w:rPr>
        <w:t>Periviable</w:t>
      </w:r>
      <w:proofErr w:type="spellEnd"/>
      <w:r>
        <w:rPr>
          <w:rFonts w:ascii="Times New Roman" w:eastAsia="Times New Roman" w:hAnsi="Times New Roman" w:cs="Times New Roman"/>
          <w:b/>
          <w:bCs/>
          <w:sz w:val="24"/>
          <w:szCs w:val="24"/>
        </w:rPr>
        <w:t xml:space="preserve"> Preterm Prelabour Rupture of Membranes Complicated by Subclinical Chorioamnionitis</w:t>
      </w:r>
    </w:p>
    <w:p w14:paraId="34B534FB" w14:textId="77777777" w:rsidR="002F5E49" w:rsidRDefault="002F5E49">
      <w:pPr>
        <w:rPr>
          <w:rFonts w:ascii="Times New Roman" w:eastAsia="Times New Roman" w:hAnsi="Times New Roman" w:cs="Times New Roman"/>
          <w:b/>
          <w:bCs/>
          <w:sz w:val="24"/>
          <w:szCs w:val="24"/>
        </w:rPr>
      </w:pPr>
    </w:p>
    <w:p w14:paraId="41BE5E06" w14:textId="77777777" w:rsidR="00F8057E" w:rsidRDefault="0001568A">
      <w:pPr>
        <w:rPr>
          <w:rFonts w:ascii="Times New Roman" w:eastAsia="Times New Roman" w:hAnsi="Times New Roman" w:cs="Times New Roman"/>
          <w:sz w:val="24"/>
          <w:szCs w:val="24"/>
        </w:rPr>
      </w:pPr>
      <w:r>
        <w:pict w14:anchorId="470D4915">
          <v:rect id="_x0000_i1025" style="width:0;height:1.5pt" o:hralign="center" o:hrstd="t" o:hr="t" fillcolor="#a0a0a0" stroked="f"/>
        </w:pict>
      </w:r>
    </w:p>
    <w:p w14:paraId="3F29D935" w14:textId="77777777" w:rsidR="00F8057E" w:rsidRDefault="0001568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437E959A"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case highlights the complex clinical course of a 31-year-old woman G1P0 at 25 weeks and 2 days gestational diagnosed with subclinical chorioamnionitis complicating </w:t>
      </w:r>
      <w:proofErr w:type="spellStart"/>
      <w:r>
        <w:rPr>
          <w:rFonts w:ascii="Times New Roman" w:eastAsia="Times New Roman" w:hAnsi="Times New Roman" w:cs="Times New Roman"/>
          <w:sz w:val="24"/>
          <w:szCs w:val="24"/>
        </w:rPr>
        <w:t>periviable</w:t>
      </w:r>
      <w:proofErr w:type="spellEnd"/>
      <w:r>
        <w:rPr>
          <w:rFonts w:ascii="Times New Roman" w:eastAsia="Times New Roman" w:hAnsi="Times New Roman" w:cs="Times New Roman"/>
          <w:sz w:val="24"/>
          <w:szCs w:val="24"/>
        </w:rPr>
        <w:t xml:space="preserve"> preterm prelabour ruptu</w:t>
      </w:r>
      <w:r>
        <w:rPr>
          <w:rFonts w:ascii="Times New Roman" w:eastAsia="Times New Roman" w:hAnsi="Times New Roman" w:cs="Times New Roman"/>
          <w:sz w:val="24"/>
          <w:szCs w:val="24"/>
        </w:rPr>
        <w:t xml:space="preserve">re of membrane (PPROM) with severe oligohydramnios, resulting in adverse </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outcome despite initial conservative management. This case underscores the importance of close monitoring, timely identification of infection, and sensitive counselling to balan</w:t>
      </w:r>
      <w:r>
        <w:rPr>
          <w:rFonts w:ascii="Times New Roman" w:eastAsia="Times New Roman" w:hAnsi="Times New Roman" w:cs="Times New Roman"/>
          <w:sz w:val="24"/>
          <w:szCs w:val="24"/>
        </w:rPr>
        <w:t xml:space="preserve">ce maternal safety with </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prognosis.</w:t>
      </w:r>
    </w:p>
    <w:p w14:paraId="6A3E1C7E" w14:textId="77777777" w:rsidR="00F8057E" w:rsidRDefault="0001568A">
      <w:pPr>
        <w:rPr>
          <w:rFonts w:ascii="Times New Roman" w:eastAsia="Times New Roman" w:hAnsi="Times New Roman" w:cs="Times New Roman"/>
          <w:sz w:val="24"/>
          <w:szCs w:val="24"/>
        </w:rPr>
      </w:pPr>
      <w:r>
        <w:pict w14:anchorId="63B99061">
          <v:rect id="_x0000_i1026" style="width:0;height:1.5pt" o:hralign="center" o:hrstd="t" o:hr="t" fillcolor="#a0a0a0" stroked="f"/>
        </w:pict>
      </w:r>
    </w:p>
    <w:p w14:paraId="6BD80F06" w14:textId="77777777" w:rsidR="00F8057E" w:rsidRDefault="0001568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5AC53FAE" w14:textId="77777777" w:rsidR="00F8057E" w:rsidRDefault="0001568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Periviable</w:t>
      </w:r>
      <w:proofErr w:type="spellEnd"/>
      <w:r>
        <w:rPr>
          <w:rFonts w:ascii="Times New Roman" w:eastAsia="Times New Roman" w:hAnsi="Times New Roman" w:cs="Times New Roman"/>
          <w:sz w:val="24"/>
          <w:szCs w:val="24"/>
        </w:rPr>
        <w:t xml:space="preserve"> PPROM is defined as rupture of membranes occurring between 20 0/7 and 25 6/7 weeks of gestation, before the onset of labour, in the gestational window where neonatal survival is possible bu</w:t>
      </w:r>
      <w:r>
        <w:rPr>
          <w:rFonts w:ascii="Times New Roman" w:eastAsia="Times New Roman" w:hAnsi="Times New Roman" w:cs="Times New Roman"/>
          <w:sz w:val="24"/>
          <w:szCs w:val="24"/>
        </w:rPr>
        <w:t>t highly uncertain [3,11]. This condition is a rare but serious obstetric complication associated with high perinatal mortality and significant maternal morbidity. When stratified by gestational age, population-based data from China show that leaking occur</w:t>
      </w:r>
      <w:r>
        <w:rPr>
          <w:rFonts w:ascii="Times New Roman" w:eastAsia="Times New Roman" w:hAnsi="Times New Roman" w:cs="Times New Roman"/>
          <w:sz w:val="24"/>
          <w:szCs w:val="24"/>
        </w:rPr>
        <w:t>ring between 24 and 27 + 6 weeks made up 25.8% to 51.6% of all PPROM cases over several study years [2].</w:t>
      </w:r>
    </w:p>
    <w:p w14:paraId="5C28E2A1"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A prospective study of 178 singleton pregnancies with PPROM between 20–25 weeks reported neonatal survival of only 6.7% when delivery occurred before 2</w:t>
      </w:r>
      <w:r>
        <w:rPr>
          <w:rFonts w:ascii="Times New Roman" w:eastAsia="Times New Roman" w:hAnsi="Times New Roman" w:cs="Times New Roman"/>
          <w:sz w:val="24"/>
          <w:szCs w:val="24"/>
        </w:rPr>
        <w:t>5 weeks, compared to 89.4% when delivery occurred between 26 and 34 weeks [2].</w:t>
      </w:r>
      <w:r>
        <w:rPr>
          <w:rFonts w:ascii="Times New Roman" w:eastAsia="Times New Roman" w:hAnsi="Times New Roman" w:cs="Times New Roman"/>
          <w:sz w:val="24"/>
          <w:szCs w:val="24"/>
        </w:rPr>
        <w:br/>
        <w:t>One of the most important risks in such cases is chorioamnionitis, which may occur in the absence of overt clinical signs, a condition referred to as subclinical chorioamnioniti</w:t>
      </w:r>
      <w:r>
        <w:rPr>
          <w:rFonts w:ascii="Times New Roman" w:eastAsia="Times New Roman" w:hAnsi="Times New Roman" w:cs="Times New Roman"/>
          <w:sz w:val="24"/>
          <w:szCs w:val="24"/>
        </w:rPr>
        <w:t>s. This entity poses a diagnostic challenge, as decisions must be made based on laboratory parameters, imaging findings, and overall clinical risk rather than classical symptoms.</w:t>
      </w:r>
    </w:p>
    <w:p w14:paraId="278B3453" w14:textId="77777777" w:rsidR="00F8057E" w:rsidRDefault="0001568A">
      <w:pPr>
        <w:rPr>
          <w:rFonts w:ascii="Times New Roman" w:eastAsia="Times New Roman" w:hAnsi="Times New Roman" w:cs="Times New Roman"/>
          <w:sz w:val="24"/>
          <w:szCs w:val="24"/>
        </w:rPr>
      </w:pPr>
      <w:r>
        <w:pict w14:anchorId="60E4CCB3">
          <v:rect id="_x0000_i1027" style="width:0;height:1.5pt" o:hralign="center" o:hrstd="t" o:hr="t" fillcolor="#a0a0a0" stroked="f"/>
        </w:pict>
      </w:r>
    </w:p>
    <w:p w14:paraId="226314F8" w14:textId="53DD922D" w:rsidR="00F8057E" w:rsidRDefault="0001568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Case </w:t>
      </w:r>
      <w:r w:rsidR="0098622C">
        <w:rPr>
          <w:rFonts w:ascii="Times New Roman" w:eastAsia="Times New Roman" w:hAnsi="Times New Roman" w:cs="Times New Roman"/>
          <w:b/>
          <w:bCs/>
          <w:sz w:val="24"/>
          <w:szCs w:val="24"/>
        </w:rPr>
        <w:t>Presentation</w:t>
      </w:r>
    </w:p>
    <w:p w14:paraId="4E282624" w14:textId="763DA0AF"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patient, a 31-year-old primigravida at 25 + 2 weeks POA who presented with leaking liquor. On admission, per speculum examination revealed clear amniotic fluid with the cervical </w:t>
      </w:r>
      <w:proofErr w:type="spellStart"/>
      <w:r>
        <w:rPr>
          <w:rFonts w:ascii="Times New Roman" w:eastAsia="Times New Roman" w:hAnsi="Times New Roman" w:cs="Times New Roman"/>
          <w:sz w:val="24"/>
          <w:szCs w:val="24"/>
        </w:rPr>
        <w:t>os</w:t>
      </w:r>
      <w:proofErr w:type="spellEnd"/>
      <w:r>
        <w:rPr>
          <w:rFonts w:ascii="Times New Roman" w:eastAsia="Times New Roman" w:hAnsi="Times New Roman" w:cs="Times New Roman"/>
          <w:sz w:val="24"/>
          <w:szCs w:val="24"/>
        </w:rPr>
        <w:t xml:space="preserve"> opening to the tip of a finger. Ultrasound confirmed oligohydramnios w</w:t>
      </w:r>
      <w:r>
        <w:rPr>
          <w:rFonts w:ascii="Times New Roman" w:eastAsia="Times New Roman" w:hAnsi="Times New Roman" w:cs="Times New Roman"/>
          <w:sz w:val="24"/>
          <w:szCs w:val="24"/>
        </w:rPr>
        <w:t xml:space="preserve">ith an amniotic fluid index (AFI) of 6.8 cm and estimated </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weight of 612 g, with normal umbilical artery Doppler waveform. She was managed as PPROM with oligohydramnios with T Erythromycin </w:t>
      </w:r>
      <w:proofErr w:type="spellStart"/>
      <w:r>
        <w:rPr>
          <w:rFonts w:ascii="Times New Roman" w:eastAsia="Times New Roman" w:hAnsi="Times New Roman" w:cs="Times New Roman"/>
          <w:sz w:val="24"/>
          <w:szCs w:val="24"/>
        </w:rPr>
        <w:t>Ethylsuccinate</w:t>
      </w:r>
      <w:proofErr w:type="spellEnd"/>
      <w:r>
        <w:rPr>
          <w:rFonts w:ascii="Times New Roman" w:eastAsia="Times New Roman" w:hAnsi="Times New Roman" w:cs="Times New Roman"/>
          <w:sz w:val="24"/>
          <w:szCs w:val="24"/>
        </w:rPr>
        <w:t xml:space="preserve"> 400mg BD and completed antenatal corticosteroid</w:t>
      </w:r>
      <w:r>
        <w:rPr>
          <w:rFonts w:ascii="Times New Roman" w:eastAsia="Times New Roman" w:hAnsi="Times New Roman" w:cs="Times New Roman"/>
          <w:sz w:val="24"/>
          <w:szCs w:val="24"/>
        </w:rPr>
        <w:t xml:space="preserve">s. During admission, septic parameters demonstrated an upward trend, with white blood cell count increasing from 12.6 × 10⁹/L to 32.65 × 10⁹/L, and C-reactive protein rising from 7.22 mg/L to 13.10 mg/L. A repeat ultrasound at 26 + 4 weeks revealed </w:t>
      </w:r>
      <w:proofErr w:type="spellStart"/>
      <w:r>
        <w:rPr>
          <w:rFonts w:ascii="Times New Roman" w:eastAsia="Times New Roman" w:hAnsi="Times New Roman" w:cs="Times New Roman"/>
          <w:sz w:val="24"/>
          <w:szCs w:val="24"/>
        </w:rPr>
        <w:t>anhydra</w:t>
      </w:r>
      <w:r>
        <w:rPr>
          <w:rFonts w:ascii="Times New Roman" w:eastAsia="Times New Roman" w:hAnsi="Times New Roman" w:cs="Times New Roman"/>
          <w:sz w:val="24"/>
          <w:szCs w:val="24"/>
        </w:rPr>
        <w:t>mnios</w:t>
      </w:r>
      <w:proofErr w:type="spellEnd"/>
      <w:r>
        <w:rPr>
          <w:rFonts w:ascii="Times New Roman" w:eastAsia="Times New Roman" w:hAnsi="Times New Roman" w:cs="Times New Roman"/>
          <w:sz w:val="24"/>
          <w:szCs w:val="24"/>
        </w:rPr>
        <w:t xml:space="preserve">, lung hypoplasia, and abnormal umbilical artery Doppler with intermittent absent end-diastolic </w:t>
      </w:r>
      <w:r>
        <w:rPr>
          <w:rFonts w:ascii="Times New Roman" w:eastAsia="Times New Roman" w:hAnsi="Times New Roman" w:cs="Times New Roman"/>
          <w:sz w:val="24"/>
          <w:szCs w:val="24"/>
        </w:rPr>
        <w:lastRenderedPageBreak/>
        <w:t xml:space="preserve">flow. A diagnosis of subclinical chorioamnionitis was made. After detailed counselling regarding poor </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prognosis and risks to maternal health, termina</w:t>
      </w:r>
      <w:r>
        <w:rPr>
          <w:rFonts w:ascii="Times New Roman" w:eastAsia="Times New Roman" w:hAnsi="Times New Roman" w:cs="Times New Roman"/>
          <w:sz w:val="24"/>
          <w:szCs w:val="24"/>
        </w:rPr>
        <w:t>tion of pregnancy was performed. She delivered a fresh stillborn male infant weighing 790 g, no obvious gross abnormalities seen (Image 1). Placental histopathology confirmed acute chorioamnionitis, and culture grew Streptococcus agalactiae.</w:t>
      </w:r>
    </w:p>
    <w:p w14:paraId="754C07D2" w14:textId="3B1CDE3E"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48DEBB5" wp14:editId="13986230">
            <wp:extent cx="1728788" cy="2216752"/>
            <wp:effectExtent l="0" t="0" r="0" b="0"/>
            <wp:docPr id="5167975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28788" cy="2216752"/>
                    </a:xfrm>
                    <a:prstGeom prst="rect">
                      <a:avLst/>
                    </a:prstGeom>
                    <a:ln/>
                  </pic:spPr>
                </pic:pic>
              </a:graphicData>
            </a:graphic>
          </wp:inline>
        </w:drawing>
      </w:r>
      <w:r>
        <w:rPr>
          <w:rFonts w:ascii="Times New Roman" w:eastAsia="Times New Roman" w:hAnsi="Times New Roman" w:cs="Times New Roman"/>
          <w:sz w:val="24"/>
          <w:szCs w:val="24"/>
        </w:rPr>
        <w:br/>
      </w:r>
      <w:r w:rsidR="00DA57DB">
        <w:rPr>
          <w:rFonts w:ascii="Times New Roman" w:eastAsia="Times New Roman" w:hAnsi="Times New Roman" w:cs="Times New Roman"/>
          <w:sz w:val="24"/>
          <w:szCs w:val="24"/>
        </w:rPr>
        <w:t>Fig</w:t>
      </w:r>
      <w:r>
        <w:rPr>
          <w:rFonts w:ascii="Times New Roman" w:eastAsia="Times New Roman" w:hAnsi="Times New Roman" w:cs="Times New Roman"/>
          <w:sz w:val="24"/>
          <w:szCs w:val="24"/>
        </w:rPr>
        <w:t xml:space="preserve"> 1: male </w:t>
      </w:r>
      <w:r>
        <w:rPr>
          <w:rFonts w:ascii="Times New Roman" w:eastAsia="Times New Roman" w:hAnsi="Times New Roman" w:cs="Times New Roman"/>
          <w:sz w:val="24"/>
          <w:szCs w:val="24"/>
        </w:rPr>
        <w:t>fresh stillbirth</w:t>
      </w:r>
    </w:p>
    <w:p w14:paraId="00D4EDD7" w14:textId="77777777" w:rsidR="00F8057E" w:rsidRDefault="0001568A">
      <w:pPr>
        <w:rPr>
          <w:rFonts w:ascii="Times New Roman" w:eastAsia="Times New Roman" w:hAnsi="Times New Roman" w:cs="Times New Roman"/>
          <w:sz w:val="24"/>
          <w:szCs w:val="24"/>
        </w:rPr>
      </w:pPr>
      <w:r>
        <w:pict w14:anchorId="57FB8056">
          <v:rect id="_x0000_i1028" style="width:0;height:1.5pt" o:hralign="center" o:hrstd="t" o:hr="t" fillcolor="#a0a0a0" stroked="f"/>
        </w:pict>
      </w:r>
    </w:p>
    <w:p w14:paraId="03B50FF9" w14:textId="77777777" w:rsidR="00F8057E" w:rsidRDefault="0001568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54328625"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Recognising infection in </w:t>
      </w:r>
      <w:proofErr w:type="spellStart"/>
      <w:r>
        <w:rPr>
          <w:rFonts w:ascii="Times New Roman" w:eastAsia="Times New Roman" w:hAnsi="Times New Roman" w:cs="Times New Roman"/>
          <w:sz w:val="24"/>
          <w:szCs w:val="24"/>
        </w:rPr>
        <w:t>periviable</w:t>
      </w:r>
      <w:proofErr w:type="spellEnd"/>
      <w:r>
        <w:rPr>
          <w:rFonts w:ascii="Times New Roman" w:eastAsia="Times New Roman" w:hAnsi="Times New Roman" w:cs="Times New Roman"/>
          <w:sz w:val="24"/>
          <w:szCs w:val="24"/>
        </w:rPr>
        <w:t xml:space="preserve"> PPROM remains critically challenging. Subclinical chorioamnionitis often lacks the classical clinical signs such as maternal fever, uterine tenderness, abnormal </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heart patterns, or overt </w:t>
      </w:r>
      <w:proofErr w:type="spellStart"/>
      <w:r>
        <w:rPr>
          <w:rFonts w:ascii="Times New Roman" w:eastAsia="Times New Roman" w:hAnsi="Times New Roman" w:cs="Times New Roman"/>
          <w:sz w:val="24"/>
          <w:szCs w:val="24"/>
        </w:rPr>
        <w:t>leukocytosis</w:t>
      </w:r>
      <w:proofErr w:type="spellEnd"/>
      <w:r>
        <w:rPr>
          <w:rFonts w:ascii="Times New Roman" w:eastAsia="Times New Roman" w:hAnsi="Times New Roman" w:cs="Times New Roman"/>
          <w:sz w:val="24"/>
          <w:szCs w:val="24"/>
        </w:rPr>
        <w:t>. Yet its presence is frequently confirmed histologically post-delivery, underscoring the risk of delayed identification. Guidance from the Society for Maternal-</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Medicine emphasizes the vital importance of individ</w:t>
      </w:r>
      <w:r>
        <w:rPr>
          <w:rFonts w:ascii="Times New Roman" w:eastAsia="Times New Roman" w:hAnsi="Times New Roman" w:cs="Times New Roman"/>
          <w:sz w:val="24"/>
          <w:szCs w:val="24"/>
        </w:rPr>
        <w:t xml:space="preserve">ualized </w:t>
      </w:r>
      <w:proofErr w:type="spellStart"/>
      <w:r>
        <w:rPr>
          <w:rFonts w:ascii="Times New Roman" w:eastAsia="Times New Roman" w:hAnsi="Times New Roman" w:cs="Times New Roman"/>
          <w:sz w:val="24"/>
          <w:szCs w:val="24"/>
        </w:rPr>
        <w:t>counseling</w:t>
      </w:r>
      <w:proofErr w:type="spellEnd"/>
      <w:r>
        <w:rPr>
          <w:rFonts w:ascii="Times New Roman" w:eastAsia="Times New Roman" w:hAnsi="Times New Roman" w:cs="Times New Roman"/>
          <w:sz w:val="24"/>
          <w:szCs w:val="24"/>
        </w:rPr>
        <w:t xml:space="preserve"> due to risks of severe maternal morbidity and mortality, advocating for expectant management only when appropriate and with vigilant monitoring—including the cautious use of antibiotics for latency, weighed against gestational age thresh</w:t>
      </w:r>
      <w:r>
        <w:rPr>
          <w:rFonts w:ascii="Times New Roman" w:eastAsia="Times New Roman" w:hAnsi="Times New Roman" w:cs="Times New Roman"/>
          <w:sz w:val="24"/>
          <w:szCs w:val="24"/>
        </w:rPr>
        <w:t>olds [3, 11]. The Royal College of Obstetricians and Gynaecologists similarly warns of significant maternal and neonatal consequences following PPROM before 24 weeks, stressing that infection—even subclinical—can necessitate termination for medical reasons</w:t>
      </w:r>
      <w:r>
        <w:rPr>
          <w:rFonts w:ascii="Times New Roman" w:eastAsia="Times New Roman" w:hAnsi="Times New Roman" w:cs="Times New Roman"/>
          <w:sz w:val="24"/>
          <w:szCs w:val="24"/>
        </w:rPr>
        <w:t xml:space="preserve"> in the interest of maternal health [4].</w:t>
      </w:r>
    </w:p>
    <w:p w14:paraId="315111BE"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Empirical data from retrospective cohorts highlight that over half of expectantly managed </w:t>
      </w:r>
      <w:proofErr w:type="spellStart"/>
      <w:r>
        <w:rPr>
          <w:rFonts w:ascii="Times New Roman" w:eastAsia="Times New Roman" w:hAnsi="Times New Roman" w:cs="Times New Roman"/>
          <w:sz w:val="24"/>
          <w:szCs w:val="24"/>
        </w:rPr>
        <w:t>periviable</w:t>
      </w:r>
      <w:proofErr w:type="spellEnd"/>
      <w:r>
        <w:rPr>
          <w:rFonts w:ascii="Times New Roman" w:eastAsia="Times New Roman" w:hAnsi="Times New Roman" w:cs="Times New Roman"/>
          <w:sz w:val="24"/>
          <w:szCs w:val="24"/>
        </w:rPr>
        <w:t xml:space="preserve"> PPROM cases show histological chorioamnionitis, and while maternal sepsis remains uncommon, the progression from s</w:t>
      </w:r>
      <w:r>
        <w:rPr>
          <w:rFonts w:ascii="Times New Roman" w:eastAsia="Times New Roman" w:hAnsi="Times New Roman" w:cs="Times New Roman"/>
          <w:sz w:val="24"/>
          <w:szCs w:val="24"/>
        </w:rPr>
        <w:t xml:space="preserve">ubclinical to overt infection is unpredictable [5]. </w:t>
      </w:r>
      <w:r>
        <w:rPr>
          <w:rFonts w:ascii="Times New Roman" w:eastAsia="Times New Roman" w:hAnsi="Times New Roman" w:cs="Times New Roman"/>
          <w:sz w:val="24"/>
          <w:szCs w:val="24"/>
        </w:rPr>
        <w:br/>
        <w:t>Moreover, compared to termination of pregnancy, expectant management carries substantially higher maternal morbidity—up to 60% versus 33%—emphasizing the importance of recognizing evolving infection even</w:t>
      </w:r>
      <w:r>
        <w:rPr>
          <w:rFonts w:ascii="Times New Roman" w:eastAsia="Times New Roman" w:hAnsi="Times New Roman" w:cs="Times New Roman"/>
          <w:sz w:val="24"/>
          <w:szCs w:val="24"/>
        </w:rPr>
        <w:t xml:space="preserve"> in the absence of overt signs [6]. The recent ACOG practice advisory echoes this concern, termination of pregnancy must be offered, while noting that elevated maternal risks with expectant management require it to be part of any informed </w:t>
      </w:r>
      <w:proofErr w:type="gramStart"/>
      <w:r>
        <w:rPr>
          <w:rFonts w:ascii="Times New Roman" w:eastAsia="Times New Roman" w:hAnsi="Times New Roman" w:cs="Times New Roman"/>
          <w:sz w:val="24"/>
          <w:szCs w:val="24"/>
        </w:rPr>
        <w:t>discussion[</w:t>
      </w:r>
      <w:proofErr w:type="gramEnd"/>
      <w:r>
        <w:rPr>
          <w:rFonts w:ascii="Times New Roman" w:eastAsia="Times New Roman" w:hAnsi="Times New Roman" w:cs="Times New Roman"/>
          <w:sz w:val="24"/>
          <w:szCs w:val="24"/>
        </w:rPr>
        <w:t>7].</w:t>
      </w:r>
      <w:r>
        <w:rPr>
          <w:rFonts w:ascii="Times New Roman" w:eastAsia="Times New Roman" w:hAnsi="Times New Roman" w:cs="Times New Roman"/>
          <w:sz w:val="24"/>
          <w:szCs w:val="24"/>
        </w:rPr>
        <w:br/>
      </w:r>
    </w:p>
    <w:p w14:paraId="0E226784"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w:t>
      </w:r>
      <w:r>
        <w:rPr>
          <w:rFonts w:ascii="Times New Roman" w:eastAsia="Times New Roman" w:hAnsi="Times New Roman" w:cs="Times New Roman"/>
          <w:sz w:val="24"/>
          <w:szCs w:val="24"/>
        </w:rPr>
        <w:t xml:space="preserve"> retrospective study found that the best predictors of PPROM with chorioamnionitis were the combination of CRP and WBC count (AUC ~ 0.702; sensitivity ~ 60%, specificity ~ 76%). Including IL-6 and neutrophil count gave similar predictive value [8]. </w:t>
      </w:r>
      <w:proofErr w:type="gramStart"/>
      <w:r>
        <w:rPr>
          <w:rFonts w:ascii="Times New Roman" w:eastAsia="Times New Roman" w:hAnsi="Times New Roman" w:cs="Times New Roman"/>
          <w:sz w:val="24"/>
          <w:szCs w:val="24"/>
        </w:rPr>
        <w:t>Another</w:t>
      </w:r>
      <w:proofErr w:type="gramEnd"/>
      <w:r>
        <w:rPr>
          <w:rFonts w:ascii="Times New Roman" w:eastAsia="Times New Roman" w:hAnsi="Times New Roman" w:cs="Times New Roman"/>
          <w:sz w:val="24"/>
          <w:szCs w:val="24"/>
        </w:rPr>
        <w:t xml:space="preserve"> studies also showed </w:t>
      </w:r>
      <w:proofErr w:type="spellStart"/>
      <w:r>
        <w:rPr>
          <w:rFonts w:ascii="Times New Roman" w:eastAsia="Times New Roman" w:hAnsi="Times New Roman" w:cs="Times New Roman"/>
          <w:sz w:val="24"/>
          <w:szCs w:val="24"/>
        </w:rPr>
        <w:t>prepepsin</w:t>
      </w:r>
      <w:proofErr w:type="spellEnd"/>
      <w:r>
        <w:rPr>
          <w:rFonts w:ascii="Times New Roman" w:eastAsia="Times New Roman" w:hAnsi="Times New Roman" w:cs="Times New Roman"/>
          <w:sz w:val="24"/>
          <w:szCs w:val="24"/>
        </w:rPr>
        <w:t xml:space="preserve"> as a parameter in diagnosing chorioamnionitis in </w:t>
      </w:r>
      <w:proofErr w:type="spellStart"/>
      <w:r>
        <w:rPr>
          <w:rFonts w:ascii="Times New Roman" w:eastAsia="Times New Roman" w:hAnsi="Times New Roman" w:cs="Times New Roman"/>
          <w:sz w:val="24"/>
          <w:szCs w:val="24"/>
        </w:rPr>
        <w:t>periviable</w:t>
      </w:r>
      <w:proofErr w:type="spellEnd"/>
      <w:r>
        <w:rPr>
          <w:rFonts w:ascii="Times New Roman" w:eastAsia="Times New Roman" w:hAnsi="Times New Roman" w:cs="Times New Roman"/>
          <w:sz w:val="24"/>
          <w:szCs w:val="24"/>
        </w:rPr>
        <w:t xml:space="preserve"> leaking, however the striking fluctuations in </w:t>
      </w:r>
      <w:proofErr w:type="spellStart"/>
      <w:r>
        <w:rPr>
          <w:rFonts w:ascii="Times New Roman" w:eastAsia="Times New Roman" w:hAnsi="Times New Roman" w:cs="Times New Roman"/>
          <w:sz w:val="24"/>
          <w:szCs w:val="24"/>
        </w:rPr>
        <w:t>presepsin</w:t>
      </w:r>
      <w:proofErr w:type="spellEnd"/>
      <w:r>
        <w:rPr>
          <w:rFonts w:ascii="Times New Roman" w:eastAsia="Times New Roman" w:hAnsi="Times New Roman" w:cs="Times New Roman"/>
          <w:sz w:val="24"/>
          <w:szCs w:val="24"/>
        </w:rPr>
        <w:t xml:space="preserve"> level after the diagnosis of PPROM can be used to predict subclinical chorioamnionitis and determine the opti</w:t>
      </w:r>
      <w:r>
        <w:rPr>
          <w:rFonts w:ascii="Times New Roman" w:eastAsia="Times New Roman" w:hAnsi="Times New Roman" w:cs="Times New Roman"/>
          <w:sz w:val="24"/>
          <w:szCs w:val="24"/>
        </w:rPr>
        <w:t xml:space="preserve">mal timing of delivery before the clinical signs of chorioamnionitis are established. </w:t>
      </w:r>
      <w:proofErr w:type="spellStart"/>
      <w:r>
        <w:rPr>
          <w:rFonts w:ascii="Times New Roman" w:eastAsia="Times New Roman" w:hAnsi="Times New Roman" w:cs="Times New Roman"/>
          <w:sz w:val="24"/>
          <w:szCs w:val="24"/>
        </w:rPr>
        <w:t>Presepsin</w:t>
      </w:r>
      <w:proofErr w:type="spellEnd"/>
      <w:r>
        <w:rPr>
          <w:rFonts w:ascii="Times New Roman" w:eastAsia="Times New Roman" w:hAnsi="Times New Roman" w:cs="Times New Roman"/>
          <w:sz w:val="24"/>
          <w:szCs w:val="24"/>
        </w:rPr>
        <w:t xml:space="preserve"> level itself was neither diagnostic nor prognostic for neonatal sepsis. [9]. </w:t>
      </w:r>
    </w:p>
    <w:p w14:paraId="58E9DCFD"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Streptococcus agalactiae (Group B Streptococcus) commonly colonizes the maternal g</w:t>
      </w:r>
      <w:r>
        <w:rPr>
          <w:rFonts w:ascii="Times New Roman" w:eastAsia="Times New Roman" w:hAnsi="Times New Roman" w:cs="Times New Roman"/>
          <w:sz w:val="24"/>
          <w:szCs w:val="24"/>
        </w:rPr>
        <w:t xml:space="preserve">enital tract which results in ascending </w:t>
      </w:r>
      <w:proofErr w:type="gramStart"/>
      <w:r>
        <w:rPr>
          <w:rFonts w:ascii="Times New Roman" w:eastAsia="Times New Roman" w:hAnsi="Times New Roman" w:cs="Times New Roman"/>
          <w:sz w:val="24"/>
          <w:szCs w:val="24"/>
        </w:rPr>
        <w:t>infection  that</w:t>
      </w:r>
      <w:proofErr w:type="gramEnd"/>
      <w:r>
        <w:rPr>
          <w:rFonts w:ascii="Times New Roman" w:eastAsia="Times New Roman" w:hAnsi="Times New Roman" w:cs="Times New Roman"/>
          <w:sz w:val="24"/>
          <w:szCs w:val="24"/>
        </w:rPr>
        <w:t xml:space="preserve"> triggers response to weaken structural integrity and predisposes the </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membranes to rupture, particularly in the </w:t>
      </w:r>
      <w:proofErr w:type="spellStart"/>
      <w:r>
        <w:rPr>
          <w:rFonts w:ascii="Times New Roman" w:eastAsia="Times New Roman" w:hAnsi="Times New Roman" w:cs="Times New Roman"/>
          <w:sz w:val="24"/>
          <w:szCs w:val="24"/>
        </w:rPr>
        <w:t>periviable</w:t>
      </w:r>
      <w:proofErr w:type="spellEnd"/>
      <w:r>
        <w:rPr>
          <w:rFonts w:ascii="Times New Roman" w:eastAsia="Times New Roman" w:hAnsi="Times New Roman" w:cs="Times New Roman"/>
          <w:sz w:val="24"/>
          <w:szCs w:val="24"/>
        </w:rPr>
        <w:t xml:space="preserve"> period. Such infection often begins as subclinical chorioamnionitis. In </w:t>
      </w:r>
      <w:r>
        <w:rPr>
          <w:rFonts w:ascii="Times New Roman" w:eastAsia="Times New Roman" w:hAnsi="Times New Roman" w:cs="Times New Roman"/>
          <w:sz w:val="24"/>
          <w:szCs w:val="24"/>
        </w:rPr>
        <w:t>fact, colonization with S. agalactiae has been significantly correlated with histologic chorioamnionitis and premature rupture of membranes, alongside raised inflammatory markers like interleukin-8 and TNF-α in the umbilical cord blood [10].</w:t>
      </w:r>
    </w:p>
    <w:p w14:paraId="1ECFABEE"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infection</w:t>
      </w:r>
      <w:r>
        <w:rPr>
          <w:rFonts w:ascii="Times New Roman" w:eastAsia="Times New Roman" w:hAnsi="Times New Roman" w:cs="Times New Roman"/>
          <w:sz w:val="24"/>
          <w:szCs w:val="24"/>
        </w:rPr>
        <w:t xml:space="preserve"> becomes overt or maternal condition deteriorates, maternal safety unequivocally takes precedence over continuation. This case exemplifies the fragility of the </w:t>
      </w:r>
      <w:proofErr w:type="spellStart"/>
      <w:r>
        <w:rPr>
          <w:rFonts w:ascii="Times New Roman" w:eastAsia="Times New Roman" w:hAnsi="Times New Roman" w:cs="Times New Roman"/>
          <w:sz w:val="24"/>
          <w:szCs w:val="24"/>
        </w:rPr>
        <w:t>periviable</w:t>
      </w:r>
      <w:proofErr w:type="spellEnd"/>
      <w:r>
        <w:rPr>
          <w:rFonts w:ascii="Times New Roman" w:eastAsia="Times New Roman" w:hAnsi="Times New Roman" w:cs="Times New Roman"/>
          <w:sz w:val="24"/>
          <w:szCs w:val="24"/>
        </w:rPr>
        <w:t xml:space="preserve"> window and reinforces that proactive, evidence-based monitoring and shared decision-m</w:t>
      </w:r>
      <w:r>
        <w:rPr>
          <w:rFonts w:ascii="Times New Roman" w:eastAsia="Times New Roman" w:hAnsi="Times New Roman" w:cs="Times New Roman"/>
          <w:sz w:val="24"/>
          <w:szCs w:val="24"/>
        </w:rPr>
        <w:t xml:space="preserve">aking is vital to optimize outcomes for both mother and </w:t>
      </w:r>
      <w:proofErr w:type="spellStart"/>
      <w:r>
        <w:rPr>
          <w:rFonts w:ascii="Times New Roman" w:eastAsia="Times New Roman" w:hAnsi="Times New Roman" w:cs="Times New Roman"/>
          <w:sz w:val="24"/>
          <w:szCs w:val="24"/>
        </w:rPr>
        <w:t>fetus</w:t>
      </w:r>
      <w:proofErr w:type="spellEnd"/>
      <w:r>
        <w:rPr>
          <w:rFonts w:ascii="Times New Roman" w:eastAsia="Times New Roman" w:hAnsi="Times New Roman" w:cs="Times New Roman"/>
          <w:sz w:val="24"/>
          <w:szCs w:val="24"/>
        </w:rPr>
        <w:t>.</w:t>
      </w:r>
    </w:p>
    <w:p w14:paraId="20039105" w14:textId="77777777" w:rsidR="00F8057E" w:rsidRDefault="0001568A">
      <w:pPr>
        <w:rPr>
          <w:rFonts w:ascii="Times New Roman" w:eastAsia="Times New Roman" w:hAnsi="Times New Roman" w:cs="Times New Roman"/>
          <w:sz w:val="24"/>
          <w:szCs w:val="24"/>
        </w:rPr>
      </w:pPr>
      <w:r>
        <w:pict w14:anchorId="66774638">
          <v:rect id="_x0000_i1029" style="width:0;height:1.5pt" o:hralign="center" o:hrstd="t" o:hr="t" fillcolor="#a0a0a0" stroked="f"/>
        </w:pict>
      </w:r>
    </w:p>
    <w:p w14:paraId="43DF3233" w14:textId="77777777" w:rsidR="00F8057E" w:rsidRDefault="0001568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 &amp; Recommendations</w:t>
      </w:r>
    </w:p>
    <w:p w14:paraId="6495B002" w14:textId="77777777" w:rsidR="00F8057E" w:rsidRDefault="0001568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Periviable</w:t>
      </w:r>
      <w:proofErr w:type="spellEnd"/>
      <w:r>
        <w:rPr>
          <w:rFonts w:ascii="Times New Roman" w:eastAsia="Times New Roman" w:hAnsi="Times New Roman" w:cs="Times New Roman"/>
          <w:sz w:val="24"/>
          <w:szCs w:val="24"/>
        </w:rPr>
        <w:t xml:space="preserve"> PPROM complicated by subclinical chorioamnionitis illustrates the difficult balance between prolonging pregnancy to improve neonatal survival and minim</w:t>
      </w:r>
      <w:r>
        <w:rPr>
          <w:rFonts w:ascii="Times New Roman" w:eastAsia="Times New Roman" w:hAnsi="Times New Roman" w:cs="Times New Roman"/>
          <w:sz w:val="24"/>
          <w:szCs w:val="24"/>
        </w:rPr>
        <w:t>izing maternal–</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risks of infection. The silent nature of subclinical infection highlights the need for vigilance and individualized care in such cases.</w:t>
      </w:r>
    </w:p>
    <w:p w14:paraId="5D8E22A1" w14:textId="77777777" w:rsidR="00F8057E" w:rsidRDefault="0001568A">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 high suspicion for subclinical infection in </w:t>
      </w:r>
      <w:proofErr w:type="spellStart"/>
      <w:r>
        <w:rPr>
          <w:rFonts w:ascii="Times New Roman" w:eastAsia="Times New Roman" w:hAnsi="Times New Roman" w:cs="Times New Roman"/>
          <w:sz w:val="24"/>
          <w:szCs w:val="24"/>
        </w:rPr>
        <w:t>periviable</w:t>
      </w:r>
      <w:proofErr w:type="spellEnd"/>
      <w:r>
        <w:rPr>
          <w:rFonts w:ascii="Times New Roman" w:eastAsia="Times New Roman" w:hAnsi="Times New Roman" w:cs="Times New Roman"/>
          <w:sz w:val="24"/>
          <w:szCs w:val="24"/>
        </w:rPr>
        <w:t xml:space="preserve"> PPROM, using close maternal–</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onitoring and laboratory markers to guide timely intervention.</w:t>
      </w:r>
    </w:p>
    <w:p w14:paraId="30D35587" w14:textId="77777777" w:rsidR="00F8057E" w:rsidRDefault="0001568A">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Adopt individualized, multidisciplinary decision-making, incorporating maternal wishes, gestational age, and neonatal prognosis in </w:t>
      </w:r>
      <w:proofErr w:type="spellStart"/>
      <w:r>
        <w:rPr>
          <w:rFonts w:ascii="Times New Roman" w:eastAsia="Times New Roman" w:hAnsi="Times New Roman" w:cs="Times New Roman"/>
          <w:sz w:val="24"/>
          <w:szCs w:val="24"/>
        </w:rPr>
        <w:t>counseling</w:t>
      </w:r>
      <w:proofErr w:type="spellEnd"/>
      <w:r>
        <w:rPr>
          <w:rFonts w:ascii="Times New Roman" w:eastAsia="Times New Roman" w:hAnsi="Times New Roman" w:cs="Times New Roman"/>
          <w:sz w:val="24"/>
          <w:szCs w:val="24"/>
        </w:rPr>
        <w:t xml:space="preserve"> and management.</w:t>
      </w:r>
    </w:p>
    <w:p w14:paraId="3684EA1F" w14:textId="77777777" w:rsidR="00F8057E" w:rsidRDefault="0001568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Initiate appropriate antibiotic the</w:t>
      </w:r>
      <w:r>
        <w:rPr>
          <w:rFonts w:ascii="Times New Roman" w:eastAsia="Times New Roman" w:hAnsi="Times New Roman" w:cs="Times New Roman"/>
          <w:sz w:val="24"/>
          <w:szCs w:val="24"/>
        </w:rPr>
        <w:t>rapy early, including latency regimens and GBS prophylaxis, while monitoring for signs of progression to overt infection.</w:t>
      </w:r>
    </w:p>
    <w:p w14:paraId="24166514" w14:textId="77777777" w:rsidR="00F8057E" w:rsidRDefault="0001568A">
      <w:pPr>
        <w:rPr>
          <w:rFonts w:ascii="Times New Roman" w:eastAsia="Times New Roman" w:hAnsi="Times New Roman" w:cs="Times New Roman"/>
          <w:sz w:val="24"/>
          <w:szCs w:val="24"/>
        </w:rPr>
      </w:pPr>
      <w:r>
        <w:pict w14:anchorId="08CDD087">
          <v:rect id="_x0000_i1030" style="width:0;height:1.5pt" o:hralign="center" o:hrstd="t" o:hr="t" fillcolor="#a0a0a0" stroked="f"/>
        </w:pict>
      </w:r>
    </w:p>
    <w:p w14:paraId="01460EE7" w14:textId="77777777" w:rsidR="0098622C" w:rsidRDefault="0098622C">
      <w:pPr>
        <w:rPr>
          <w:rFonts w:ascii="Times New Roman" w:eastAsia="Times New Roman" w:hAnsi="Times New Roman" w:cs="Times New Roman"/>
          <w:b/>
          <w:bCs/>
          <w:sz w:val="24"/>
          <w:szCs w:val="24"/>
        </w:rPr>
      </w:pPr>
    </w:p>
    <w:p w14:paraId="11EA0BE7" w14:textId="77777777" w:rsidR="00F47C63" w:rsidRPr="00F47C63" w:rsidRDefault="00F47C63" w:rsidP="00F47C63">
      <w:pPr>
        <w:spacing w:before="240" w:after="240" w:line="276" w:lineRule="auto"/>
        <w:rPr>
          <w:rFonts w:ascii="Arial" w:eastAsia="Arial" w:hAnsi="Arial" w:cs="Arial"/>
          <w:u w:val="single"/>
          <w:lang w:val="en"/>
        </w:rPr>
      </w:pPr>
      <w:bookmarkStart w:id="0" w:name="_GoBack"/>
      <w:bookmarkEnd w:id="0"/>
      <w:r w:rsidRPr="00F47C63">
        <w:rPr>
          <w:rFonts w:ascii="Arial" w:eastAsia="Arial" w:hAnsi="Arial" w:cs="Arial"/>
          <w:u w:val="single"/>
          <w:lang w:val="en"/>
        </w:rPr>
        <w:t>Conflict of interest</w:t>
      </w:r>
    </w:p>
    <w:p w14:paraId="5AD746CD" w14:textId="77777777" w:rsidR="00F47C63" w:rsidRPr="00F47C63" w:rsidRDefault="00F47C63" w:rsidP="00F47C63">
      <w:pPr>
        <w:spacing w:before="240" w:after="240" w:line="276" w:lineRule="auto"/>
        <w:rPr>
          <w:rFonts w:ascii="Arial" w:eastAsia="Arial" w:hAnsi="Arial" w:cs="Arial"/>
          <w:lang w:val="en"/>
        </w:rPr>
      </w:pPr>
      <w:r w:rsidRPr="00F47C63">
        <w:rPr>
          <w:rFonts w:ascii="Arial" w:eastAsia="Arial" w:hAnsi="Arial" w:cs="Arial"/>
          <w:lang w:val="en"/>
        </w:rPr>
        <w:t>The authors declare that there are no conflicts of interest related to this manuscript.</w:t>
      </w:r>
    </w:p>
    <w:p w14:paraId="0FC414EC" w14:textId="77777777" w:rsidR="00F47C63" w:rsidRPr="00F47C63" w:rsidRDefault="00F47C63" w:rsidP="00F47C63">
      <w:pPr>
        <w:spacing w:before="240" w:after="240" w:line="276" w:lineRule="auto"/>
        <w:rPr>
          <w:rFonts w:ascii="Arial" w:eastAsia="Arial" w:hAnsi="Arial" w:cs="Arial"/>
          <w:u w:val="single"/>
          <w:lang w:val="en"/>
        </w:rPr>
      </w:pPr>
      <w:r w:rsidRPr="00F47C63">
        <w:rPr>
          <w:rFonts w:ascii="Arial" w:eastAsia="Arial" w:hAnsi="Arial" w:cs="Arial"/>
          <w:u w:val="single"/>
          <w:lang w:val="en"/>
        </w:rPr>
        <w:t>Informed consent</w:t>
      </w:r>
    </w:p>
    <w:p w14:paraId="70634B2B" w14:textId="77777777" w:rsidR="00F47C63" w:rsidRPr="00F47C63" w:rsidRDefault="00F47C63" w:rsidP="00F47C63">
      <w:pPr>
        <w:spacing w:before="240" w:after="240" w:line="276" w:lineRule="auto"/>
        <w:rPr>
          <w:rFonts w:ascii="Arial" w:eastAsia="Arial" w:hAnsi="Arial" w:cs="Arial"/>
          <w:lang w:val="en"/>
        </w:rPr>
      </w:pPr>
      <w:r w:rsidRPr="00F47C63">
        <w:rPr>
          <w:rFonts w:ascii="Arial" w:eastAsia="Arial" w:hAnsi="Arial" w:cs="Arial"/>
          <w:lang w:val="en"/>
        </w:rPr>
        <w:t>Both written and verbal informed consent was obtained from the patient (</w:t>
      </w:r>
      <w:proofErr w:type="spellStart"/>
      <w:r w:rsidRPr="00F47C63">
        <w:rPr>
          <w:rFonts w:ascii="Arial" w:eastAsia="Arial" w:hAnsi="Arial" w:cs="Arial"/>
          <w:lang w:val="en"/>
        </w:rPr>
        <w:t>Mdm</w:t>
      </w:r>
      <w:proofErr w:type="spellEnd"/>
      <w:r w:rsidRPr="00F47C63">
        <w:rPr>
          <w:rFonts w:ascii="Arial" w:eastAsia="Arial" w:hAnsi="Arial" w:cs="Arial"/>
          <w:lang w:val="en"/>
        </w:rPr>
        <w:t xml:space="preserve"> P) for publication of this report and any accompanying images.</w:t>
      </w:r>
    </w:p>
    <w:p w14:paraId="3244DE57" w14:textId="77777777" w:rsidR="00F47C63" w:rsidRPr="00F47C63" w:rsidRDefault="00F47C63" w:rsidP="00F47C63">
      <w:pPr>
        <w:spacing w:before="240" w:after="240" w:line="276" w:lineRule="auto"/>
        <w:rPr>
          <w:rFonts w:ascii="Arial" w:eastAsia="Arial" w:hAnsi="Arial" w:cs="Arial"/>
          <w:lang w:val="en"/>
        </w:rPr>
      </w:pPr>
      <w:r w:rsidRPr="00F47C63">
        <w:rPr>
          <w:rFonts w:ascii="Arial" w:eastAsia="Arial" w:hAnsi="Arial" w:cs="Arial"/>
          <w:u w:val="single"/>
          <w:lang w:val="en"/>
        </w:rPr>
        <w:lastRenderedPageBreak/>
        <w:t>Data Availability</w:t>
      </w:r>
      <w:r w:rsidRPr="00F47C63">
        <w:rPr>
          <w:rFonts w:ascii="Arial" w:eastAsia="Arial" w:hAnsi="Arial" w:cs="Arial"/>
          <w:lang w:val="en"/>
        </w:rPr>
        <w:t xml:space="preserve"> </w:t>
      </w:r>
    </w:p>
    <w:p w14:paraId="17127A89" w14:textId="77777777" w:rsidR="00F47C63" w:rsidRPr="00F47C63" w:rsidRDefault="00F47C63" w:rsidP="00F47C63">
      <w:pPr>
        <w:spacing w:before="240" w:after="240" w:line="276" w:lineRule="auto"/>
        <w:rPr>
          <w:rFonts w:ascii="Arial" w:eastAsia="Arial" w:hAnsi="Arial" w:cs="Arial"/>
          <w:lang w:val="en"/>
        </w:rPr>
      </w:pPr>
      <w:r w:rsidRPr="00F47C63">
        <w:rPr>
          <w:rFonts w:ascii="Arial" w:eastAsia="Arial" w:hAnsi="Arial" w:cs="Arial"/>
          <w:lang w:val="en"/>
        </w:rPr>
        <w:t>The data supporting the findings of this study are available within the article.</w:t>
      </w:r>
    </w:p>
    <w:p w14:paraId="3DE6599F" w14:textId="77777777" w:rsidR="00F47C63" w:rsidRDefault="00F47C63">
      <w:pPr>
        <w:rPr>
          <w:rFonts w:ascii="Times New Roman" w:eastAsia="Times New Roman" w:hAnsi="Times New Roman" w:cs="Times New Roman"/>
          <w:b/>
          <w:bCs/>
          <w:sz w:val="24"/>
          <w:szCs w:val="24"/>
        </w:rPr>
      </w:pPr>
    </w:p>
    <w:p w14:paraId="2813D652" w14:textId="77777777" w:rsidR="0098622C" w:rsidRPr="0098622C" w:rsidRDefault="0098622C" w:rsidP="0098622C">
      <w:pPr>
        <w:spacing w:after="200" w:line="276" w:lineRule="auto"/>
        <w:rPr>
          <w:rFonts w:ascii="Arial" w:eastAsia="Times New Roman" w:hAnsi="Arial" w:cs="Arial"/>
          <w:b/>
          <w:bCs/>
          <w:lang w:val="en-GB" w:eastAsia="en-GB"/>
        </w:rPr>
      </w:pPr>
      <w:r w:rsidRPr="0098622C">
        <w:rPr>
          <w:rFonts w:ascii="Arial" w:eastAsia="Times New Roman" w:hAnsi="Arial" w:cs="Arial"/>
          <w:b/>
          <w:bCs/>
          <w:lang w:val="en-GB" w:eastAsia="en-GB"/>
        </w:rPr>
        <w:t>COMPETING INTERESTS DISCLAIMER:</w:t>
      </w:r>
    </w:p>
    <w:p w14:paraId="1C11C741" w14:textId="77777777" w:rsidR="0098622C" w:rsidRPr="0098622C" w:rsidRDefault="0098622C" w:rsidP="0098622C">
      <w:pPr>
        <w:spacing w:after="200" w:line="276" w:lineRule="auto"/>
        <w:rPr>
          <w:rFonts w:eastAsia="Times New Roman" w:cs="Times New Roman"/>
          <w:lang w:val="en-GB" w:eastAsia="en-GB"/>
        </w:rPr>
      </w:pPr>
      <w:r w:rsidRPr="0098622C">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2AE3084A" w14:textId="77777777" w:rsidR="0098622C" w:rsidRDefault="0098622C">
      <w:pPr>
        <w:rPr>
          <w:rFonts w:ascii="Times New Roman" w:eastAsia="Times New Roman" w:hAnsi="Times New Roman" w:cs="Times New Roman"/>
          <w:b/>
          <w:bCs/>
          <w:sz w:val="24"/>
          <w:szCs w:val="24"/>
        </w:rPr>
      </w:pPr>
    </w:p>
    <w:p w14:paraId="3FEF1689" w14:textId="77777777" w:rsidR="0098622C" w:rsidRDefault="0098622C">
      <w:pPr>
        <w:rPr>
          <w:rFonts w:ascii="Times New Roman" w:eastAsia="Times New Roman" w:hAnsi="Times New Roman" w:cs="Times New Roman"/>
          <w:b/>
          <w:bCs/>
          <w:sz w:val="24"/>
          <w:szCs w:val="24"/>
        </w:rPr>
      </w:pPr>
    </w:p>
    <w:p w14:paraId="0C726065" w14:textId="77777777" w:rsidR="0098622C" w:rsidRDefault="0098622C">
      <w:pPr>
        <w:rPr>
          <w:rFonts w:ascii="Times New Roman" w:eastAsia="Times New Roman" w:hAnsi="Times New Roman" w:cs="Times New Roman"/>
          <w:b/>
          <w:bCs/>
          <w:sz w:val="24"/>
          <w:szCs w:val="24"/>
        </w:rPr>
      </w:pPr>
    </w:p>
    <w:p w14:paraId="0A30847D" w14:textId="52406BBF" w:rsidR="00F8057E" w:rsidRDefault="0001568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257692F"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Battarbee</w:t>
      </w:r>
      <w:proofErr w:type="spellEnd"/>
      <w:r>
        <w:rPr>
          <w:rFonts w:ascii="Times New Roman" w:eastAsia="Times New Roman" w:hAnsi="Times New Roman" w:cs="Times New Roman"/>
          <w:sz w:val="24"/>
          <w:szCs w:val="24"/>
        </w:rPr>
        <w:t xml:space="preserve"> AN, </w:t>
      </w:r>
      <w:proofErr w:type="spellStart"/>
      <w:r>
        <w:rPr>
          <w:rFonts w:ascii="Times New Roman" w:eastAsia="Times New Roman" w:hAnsi="Times New Roman" w:cs="Times New Roman"/>
          <w:sz w:val="24"/>
          <w:szCs w:val="24"/>
        </w:rPr>
        <w:t>Tita</w:t>
      </w:r>
      <w:proofErr w:type="spellEnd"/>
      <w:r>
        <w:rPr>
          <w:rFonts w:ascii="Times New Roman" w:eastAsia="Times New Roman" w:hAnsi="Times New Roman" w:cs="Times New Roman"/>
          <w:sz w:val="24"/>
          <w:szCs w:val="24"/>
        </w:rPr>
        <w:t xml:space="preserve"> AT, Clark EA, et al. Society for Maternal-</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Medicine Consult Series #71: Management of </w:t>
      </w:r>
      <w:proofErr w:type="spellStart"/>
      <w:r>
        <w:rPr>
          <w:rFonts w:ascii="Times New Roman" w:eastAsia="Times New Roman" w:hAnsi="Times New Roman" w:cs="Times New Roman"/>
          <w:sz w:val="24"/>
          <w:szCs w:val="24"/>
        </w:rPr>
        <w:t>previable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periviable</w:t>
      </w:r>
      <w:proofErr w:type="spellEnd"/>
      <w:r>
        <w:rPr>
          <w:rFonts w:ascii="Times New Roman" w:eastAsia="Times New Roman" w:hAnsi="Times New Roman" w:cs="Times New Roman"/>
          <w:sz w:val="24"/>
          <w:szCs w:val="24"/>
        </w:rPr>
        <w:t xml:space="preserve"> preterm </w:t>
      </w:r>
      <w:proofErr w:type="spellStart"/>
      <w:r>
        <w:rPr>
          <w:rFonts w:ascii="Times New Roman" w:eastAsia="Times New Roman" w:hAnsi="Times New Roman" w:cs="Times New Roman"/>
          <w:sz w:val="24"/>
          <w:szCs w:val="24"/>
        </w:rPr>
        <w:t>prelabor</w:t>
      </w:r>
      <w:proofErr w:type="spellEnd"/>
      <w:r>
        <w:rPr>
          <w:rFonts w:ascii="Times New Roman" w:eastAsia="Times New Roman" w:hAnsi="Times New Roman" w:cs="Times New Roman"/>
          <w:sz w:val="24"/>
          <w:szCs w:val="24"/>
        </w:rPr>
        <w:t xml:space="preserve"> rupture of membranes. Am J </w:t>
      </w:r>
      <w:proofErr w:type="spellStart"/>
      <w:r>
        <w:rPr>
          <w:rFonts w:ascii="Times New Roman" w:eastAsia="Times New Roman" w:hAnsi="Times New Roman" w:cs="Times New Roman"/>
          <w:sz w:val="24"/>
          <w:szCs w:val="24"/>
        </w:rPr>
        <w:t>Obstet</w:t>
      </w:r>
      <w:proofErr w:type="spellEnd"/>
      <w:r>
        <w:rPr>
          <w:rFonts w:ascii="Times New Roman" w:eastAsia="Times New Roman" w:hAnsi="Times New Roman" w:cs="Times New Roman"/>
          <w:sz w:val="24"/>
          <w:szCs w:val="24"/>
        </w:rPr>
        <w:t xml:space="preserve"> Gynecol. 2024;231(2</w:t>
      </w:r>
      <w:proofErr w:type="gramStart"/>
      <w:r>
        <w:rPr>
          <w:rFonts w:ascii="Times New Roman" w:eastAsia="Times New Roman" w:hAnsi="Times New Roman" w:cs="Times New Roman"/>
          <w:sz w:val="24"/>
          <w:szCs w:val="24"/>
        </w:rPr>
        <w:t>):B</w:t>
      </w:r>
      <w:proofErr w:type="gramEnd"/>
      <w:r>
        <w:rPr>
          <w:rFonts w:ascii="Times New Roman" w:eastAsia="Times New Roman" w:hAnsi="Times New Roman" w:cs="Times New Roman"/>
          <w:sz w:val="24"/>
          <w:szCs w:val="24"/>
        </w:rPr>
        <w:t>2-B14.</w:t>
      </w:r>
    </w:p>
    <w:p w14:paraId="6E6AE545"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Battarbee</w:t>
      </w:r>
      <w:proofErr w:type="spellEnd"/>
      <w:r>
        <w:rPr>
          <w:rFonts w:ascii="Times New Roman" w:eastAsia="Times New Roman" w:hAnsi="Times New Roman" w:cs="Times New Roman"/>
          <w:sz w:val="24"/>
          <w:szCs w:val="24"/>
        </w:rPr>
        <w:t>, A. N., Osmundson, S. S., McCarthy, A. M., Louis, J. M., Society for Maternal-</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Medicine (</w:t>
      </w:r>
      <w:r>
        <w:rPr>
          <w:rFonts w:ascii="Times New Roman" w:eastAsia="Times New Roman" w:hAnsi="Times New Roman" w:cs="Times New Roman"/>
          <w:sz w:val="24"/>
          <w:szCs w:val="24"/>
        </w:rPr>
        <w:t>SMFM, &amp; SMFM Publications Committee. (2024). Society for Maternal-</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Medicine Consult Series# 71: Management of </w:t>
      </w:r>
      <w:proofErr w:type="spellStart"/>
      <w:r>
        <w:rPr>
          <w:rFonts w:ascii="Times New Roman" w:eastAsia="Times New Roman" w:hAnsi="Times New Roman" w:cs="Times New Roman"/>
          <w:sz w:val="24"/>
          <w:szCs w:val="24"/>
        </w:rPr>
        <w:t>previable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periviable</w:t>
      </w:r>
      <w:proofErr w:type="spellEnd"/>
      <w:r>
        <w:rPr>
          <w:rFonts w:ascii="Times New Roman" w:eastAsia="Times New Roman" w:hAnsi="Times New Roman" w:cs="Times New Roman"/>
          <w:sz w:val="24"/>
          <w:szCs w:val="24"/>
        </w:rPr>
        <w:t xml:space="preserve"> preterm </w:t>
      </w:r>
      <w:proofErr w:type="spellStart"/>
      <w:r>
        <w:rPr>
          <w:rFonts w:ascii="Times New Roman" w:eastAsia="Times New Roman" w:hAnsi="Times New Roman" w:cs="Times New Roman"/>
          <w:sz w:val="24"/>
          <w:szCs w:val="24"/>
        </w:rPr>
        <w:t>prelabor</w:t>
      </w:r>
      <w:proofErr w:type="spellEnd"/>
      <w:r>
        <w:rPr>
          <w:rFonts w:ascii="Times New Roman" w:eastAsia="Times New Roman" w:hAnsi="Times New Roman" w:cs="Times New Roman"/>
          <w:sz w:val="24"/>
          <w:szCs w:val="24"/>
        </w:rPr>
        <w:t xml:space="preserve"> rupture of membranes. American Journal of Obstetrics and </w:t>
      </w:r>
      <w:proofErr w:type="spellStart"/>
      <w:r>
        <w:rPr>
          <w:rFonts w:ascii="Times New Roman" w:eastAsia="Times New Roman" w:hAnsi="Times New Roman" w:cs="Times New Roman"/>
          <w:sz w:val="24"/>
          <w:szCs w:val="24"/>
        </w:rPr>
        <w:t>Gynecology</w:t>
      </w:r>
      <w:proofErr w:type="spellEnd"/>
      <w:r>
        <w:rPr>
          <w:rFonts w:ascii="Times New Roman" w:eastAsia="Times New Roman" w:hAnsi="Times New Roman" w:cs="Times New Roman"/>
          <w:sz w:val="24"/>
          <w:szCs w:val="24"/>
        </w:rPr>
        <w:t>, 231(4), B2-B15.</w:t>
      </w:r>
    </w:p>
    <w:p w14:paraId="15EA86ED"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3/ Li Y, et al</w:t>
      </w:r>
      <w:r>
        <w:rPr>
          <w:rFonts w:ascii="Times New Roman" w:eastAsia="Times New Roman" w:hAnsi="Times New Roman" w:cs="Times New Roman"/>
          <w:sz w:val="24"/>
          <w:szCs w:val="24"/>
        </w:rPr>
        <w:t xml:space="preserve">. Incidence and perinatal outcomes of preterm premature rupture of membranes: A </w:t>
      </w:r>
      <w:proofErr w:type="spellStart"/>
      <w:r>
        <w:rPr>
          <w:rFonts w:ascii="Times New Roman" w:eastAsia="Times New Roman" w:hAnsi="Times New Roman" w:cs="Times New Roman"/>
          <w:sz w:val="24"/>
          <w:szCs w:val="24"/>
        </w:rPr>
        <w:t>multicenter</w:t>
      </w:r>
      <w:proofErr w:type="spellEnd"/>
      <w:r>
        <w:rPr>
          <w:rFonts w:ascii="Times New Roman" w:eastAsia="Times New Roman" w:hAnsi="Times New Roman" w:cs="Times New Roman"/>
          <w:sz w:val="24"/>
          <w:szCs w:val="24"/>
        </w:rPr>
        <w:t xml:space="preserve"> study in China. BMC Pregnancy Childbirth. </w:t>
      </w:r>
      <w:proofErr w:type="gramStart"/>
      <w:r>
        <w:rPr>
          <w:rFonts w:ascii="Times New Roman" w:eastAsia="Times New Roman" w:hAnsi="Times New Roman" w:cs="Times New Roman"/>
          <w:sz w:val="24"/>
          <w:szCs w:val="24"/>
        </w:rPr>
        <w:t>2021;21:377</w:t>
      </w:r>
      <w:proofErr w:type="gramEnd"/>
      <w:r>
        <w:rPr>
          <w:rFonts w:ascii="Times New Roman" w:eastAsia="Times New Roman" w:hAnsi="Times New Roman" w:cs="Times New Roman"/>
          <w:sz w:val="24"/>
          <w:szCs w:val="24"/>
        </w:rPr>
        <w:t>. [PMCID: PMC8107868]</w:t>
      </w:r>
    </w:p>
    <w:p w14:paraId="6146EA11"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4/ Kilbride HW, et al. Survival and morbidity after premature rupture of membranes betwee</w:t>
      </w:r>
      <w:r>
        <w:rPr>
          <w:rFonts w:ascii="Times New Roman" w:eastAsia="Times New Roman" w:hAnsi="Times New Roman" w:cs="Times New Roman"/>
          <w:sz w:val="24"/>
          <w:szCs w:val="24"/>
        </w:rPr>
        <w:t xml:space="preserve">n 20 and 25 weeks’ gestation. Am J </w:t>
      </w:r>
      <w:proofErr w:type="spellStart"/>
      <w:r>
        <w:rPr>
          <w:rFonts w:ascii="Times New Roman" w:eastAsia="Times New Roman" w:hAnsi="Times New Roman" w:cs="Times New Roman"/>
          <w:sz w:val="24"/>
          <w:szCs w:val="24"/>
        </w:rPr>
        <w:t>Obstet</w:t>
      </w:r>
      <w:proofErr w:type="spellEnd"/>
      <w:r>
        <w:rPr>
          <w:rFonts w:ascii="Times New Roman" w:eastAsia="Times New Roman" w:hAnsi="Times New Roman" w:cs="Times New Roman"/>
          <w:sz w:val="24"/>
          <w:szCs w:val="24"/>
        </w:rPr>
        <w:t xml:space="preserve"> Gynecol. 1993;168(1 Pt 1):46–52.</w:t>
      </w:r>
    </w:p>
    <w:p w14:paraId="788E8250"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5/ Care of Women with Preterm Prelabour Rupture of the Membranes Prior to 24+0 Weeks of Gestation. Scientific Impact Paper No. 76. London: RCOG; 2024.</w:t>
      </w:r>
    </w:p>
    <w:p w14:paraId="0E2A25BC"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roofErr w:type="spellStart"/>
      <w:r>
        <w:rPr>
          <w:rFonts w:ascii="Times New Roman" w:eastAsia="Times New Roman" w:hAnsi="Times New Roman" w:cs="Times New Roman"/>
          <w:sz w:val="24"/>
          <w:szCs w:val="24"/>
        </w:rPr>
        <w:t>Pylypjuk</w:t>
      </w:r>
      <w:proofErr w:type="spellEnd"/>
      <w:r>
        <w:rPr>
          <w:rFonts w:ascii="Times New Roman" w:eastAsia="Times New Roman" w:hAnsi="Times New Roman" w:cs="Times New Roman"/>
          <w:sz w:val="24"/>
          <w:szCs w:val="24"/>
        </w:rPr>
        <w:t>, C., &amp; Majeau, L. (</w:t>
      </w:r>
      <w:r>
        <w:rPr>
          <w:rFonts w:ascii="Times New Roman" w:eastAsia="Times New Roman" w:hAnsi="Times New Roman" w:cs="Times New Roman"/>
          <w:sz w:val="24"/>
          <w:szCs w:val="24"/>
        </w:rPr>
        <w:t xml:space="preserve">2021). Perinatal outcomes and influence of amniotic fluid volume following </w:t>
      </w:r>
      <w:proofErr w:type="spellStart"/>
      <w:r>
        <w:rPr>
          <w:rFonts w:ascii="Times New Roman" w:eastAsia="Times New Roman" w:hAnsi="Times New Roman" w:cs="Times New Roman"/>
          <w:sz w:val="24"/>
          <w:szCs w:val="24"/>
        </w:rPr>
        <w:t>previable</w:t>
      </w:r>
      <w:proofErr w:type="spellEnd"/>
      <w:r>
        <w:rPr>
          <w:rFonts w:ascii="Times New Roman" w:eastAsia="Times New Roman" w:hAnsi="Times New Roman" w:cs="Times New Roman"/>
          <w:sz w:val="24"/>
          <w:szCs w:val="24"/>
        </w:rPr>
        <w:t xml:space="preserve">, preterm </w:t>
      </w:r>
      <w:proofErr w:type="spellStart"/>
      <w:r>
        <w:rPr>
          <w:rFonts w:ascii="Times New Roman" w:eastAsia="Times New Roman" w:hAnsi="Times New Roman" w:cs="Times New Roman"/>
          <w:sz w:val="24"/>
          <w:szCs w:val="24"/>
        </w:rPr>
        <w:t>prelabor</w:t>
      </w:r>
      <w:proofErr w:type="spellEnd"/>
      <w:r>
        <w:rPr>
          <w:rFonts w:ascii="Times New Roman" w:eastAsia="Times New Roman" w:hAnsi="Times New Roman" w:cs="Times New Roman"/>
          <w:sz w:val="24"/>
          <w:szCs w:val="24"/>
        </w:rPr>
        <w:t xml:space="preserve"> rupture of membranes (</w:t>
      </w:r>
      <w:proofErr w:type="spellStart"/>
      <w:r>
        <w:rPr>
          <w:rFonts w:ascii="Times New Roman" w:eastAsia="Times New Roman" w:hAnsi="Times New Roman" w:cs="Times New Roman"/>
          <w:sz w:val="24"/>
          <w:szCs w:val="24"/>
        </w:rPr>
        <w:t>pPPROM</w:t>
      </w:r>
      <w:proofErr w:type="spellEnd"/>
      <w:r>
        <w:rPr>
          <w:rFonts w:ascii="Times New Roman" w:eastAsia="Times New Roman" w:hAnsi="Times New Roman" w:cs="Times New Roman"/>
          <w:sz w:val="24"/>
          <w:szCs w:val="24"/>
        </w:rPr>
        <w:t>): a historical cohort study. International journal of women's health, 627-637.</w:t>
      </w:r>
    </w:p>
    <w:p w14:paraId="01F65BB7"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7/ Dayal, S., Jenkins, S. M., &amp; Hong, P. L. (</w:t>
      </w:r>
      <w:r>
        <w:rPr>
          <w:rFonts w:ascii="Times New Roman" w:eastAsia="Times New Roman" w:hAnsi="Times New Roman" w:cs="Times New Roman"/>
          <w:sz w:val="24"/>
          <w:szCs w:val="24"/>
        </w:rPr>
        <w:t xml:space="preserve">2024). Preterm and term </w:t>
      </w:r>
      <w:proofErr w:type="spellStart"/>
      <w:r>
        <w:rPr>
          <w:rFonts w:ascii="Times New Roman" w:eastAsia="Times New Roman" w:hAnsi="Times New Roman" w:cs="Times New Roman"/>
          <w:sz w:val="24"/>
          <w:szCs w:val="24"/>
        </w:rPr>
        <w:t>prelabor</w:t>
      </w:r>
      <w:proofErr w:type="spellEnd"/>
      <w:r>
        <w:rPr>
          <w:rFonts w:ascii="Times New Roman" w:eastAsia="Times New Roman" w:hAnsi="Times New Roman" w:cs="Times New Roman"/>
          <w:sz w:val="24"/>
          <w:szCs w:val="24"/>
        </w:rPr>
        <w:t xml:space="preserve"> rupture of membranes (PPROM and PROM).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p>
    <w:p w14:paraId="63293AB8"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American College of Obstetricians and </w:t>
      </w:r>
      <w:proofErr w:type="spellStart"/>
      <w:r>
        <w:rPr>
          <w:rFonts w:ascii="Times New Roman" w:eastAsia="Times New Roman" w:hAnsi="Times New Roman" w:cs="Times New Roman"/>
          <w:sz w:val="24"/>
          <w:szCs w:val="24"/>
        </w:rPr>
        <w:t>Gynecologists</w:t>
      </w:r>
      <w:proofErr w:type="spellEnd"/>
      <w:r>
        <w:rPr>
          <w:rFonts w:ascii="Times New Roman" w:eastAsia="Times New Roman" w:hAnsi="Times New Roman" w:cs="Times New Roman"/>
          <w:sz w:val="24"/>
          <w:szCs w:val="24"/>
        </w:rPr>
        <w:t xml:space="preserve">. Practice Advisory: Preterm </w:t>
      </w:r>
      <w:proofErr w:type="spellStart"/>
      <w:r>
        <w:rPr>
          <w:rFonts w:ascii="Times New Roman" w:eastAsia="Times New Roman" w:hAnsi="Times New Roman" w:cs="Times New Roman"/>
          <w:sz w:val="24"/>
          <w:szCs w:val="24"/>
        </w:rPr>
        <w:t>Prelabor</w:t>
      </w:r>
      <w:proofErr w:type="spellEnd"/>
      <w:r>
        <w:rPr>
          <w:rFonts w:ascii="Times New Roman" w:eastAsia="Times New Roman" w:hAnsi="Times New Roman" w:cs="Times New Roman"/>
          <w:sz w:val="24"/>
          <w:szCs w:val="24"/>
        </w:rPr>
        <w:t xml:space="preserve"> Rupture of Membranes. Washington, DC: ACOG;</w:t>
      </w:r>
      <w:r>
        <w:rPr>
          <w:rFonts w:ascii="Times New Roman" w:eastAsia="Times New Roman" w:hAnsi="Times New Roman" w:cs="Times New Roman"/>
          <w:sz w:val="24"/>
          <w:szCs w:val="24"/>
        </w:rPr>
        <w:t xml:space="preserve"> June 2025.</w:t>
      </w:r>
    </w:p>
    <w:p w14:paraId="3FBE8A60"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Kong, X., Jiang, L., Zhang, B., Sun, L., &amp; Liu, K. (2023). Predicting chorioamnionitis in patients with preterm premature rupture of membranes using inflammatory indexes: a retrospective study. Taiwanese Journal of Obstetrics and </w:t>
      </w:r>
      <w:proofErr w:type="spellStart"/>
      <w:r>
        <w:rPr>
          <w:rFonts w:ascii="Times New Roman" w:eastAsia="Times New Roman" w:hAnsi="Times New Roman" w:cs="Times New Roman"/>
          <w:sz w:val="24"/>
          <w:szCs w:val="24"/>
        </w:rPr>
        <w:t>Gynecology</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62(1), 112-118.</w:t>
      </w:r>
    </w:p>
    <w:p w14:paraId="0BCF5414"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 Çakar, E., Çakar, Ş. E., </w:t>
      </w:r>
      <w:proofErr w:type="spellStart"/>
      <w:r>
        <w:rPr>
          <w:rFonts w:ascii="Times New Roman" w:eastAsia="Times New Roman" w:hAnsi="Times New Roman" w:cs="Times New Roman"/>
          <w:sz w:val="24"/>
          <w:szCs w:val="24"/>
        </w:rPr>
        <w:t>Taşan</w:t>
      </w:r>
      <w:proofErr w:type="spellEnd"/>
      <w:r>
        <w:rPr>
          <w:rFonts w:ascii="Times New Roman" w:eastAsia="Times New Roman" w:hAnsi="Times New Roman" w:cs="Times New Roman"/>
          <w:sz w:val="24"/>
          <w:szCs w:val="24"/>
        </w:rPr>
        <w:t xml:space="preserve">, H. A., </w:t>
      </w:r>
      <w:proofErr w:type="spellStart"/>
      <w:r>
        <w:rPr>
          <w:rFonts w:ascii="Times New Roman" w:eastAsia="Times New Roman" w:hAnsi="Times New Roman" w:cs="Times New Roman"/>
          <w:sz w:val="24"/>
          <w:szCs w:val="24"/>
        </w:rPr>
        <w:t>Karçaaltıncaba</w:t>
      </w:r>
      <w:proofErr w:type="spellEnd"/>
      <w:r>
        <w:rPr>
          <w:rFonts w:ascii="Times New Roman" w:eastAsia="Times New Roman" w:hAnsi="Times New Roman" w:cs="Times New Roman"/>
          <w:sz w:val="24"/>
          <w:szCs w:val="24"/>
        </w:rPr>
        <w:t xml:space="preserve">, D., Şentürk, M. B., Koç, N., &amp; Uluhan, R. (2016). Diagnostic and prognostic value of </w:t>
      </w:r>
      <w:proofErr w:type="spellStart"/>
      <w:r>
        <w:rPr>
          <w:rFonts w:ascii="Times New Roman" w:eastAsia="Times New Roman" w:hAnsi="Times New Roman" w:cs="Times New Roman"/>
          <w:sz w:val="24"/>
          <w:szCs w:val="24"/>
        </w:rPr>
        <w:t>presepsin</w:t>
      </w:r>
      <w:proofErr w:type="spellEnd"/>
      <w:r>
        <w:rPr>
          <w:rFonts w:ascii="Times New Roman" w:eastAsia="Times New Roman" w:hAnsi="Times New Roman" w:cs="Times New Roman"/>
          <w:sz w:val="24"/>
          <w:szCs w:val="24"/>
        </w:rPr>
        <w:t xml:space="preserve"> for subclinical chorioamnionitis in pregnancies between 23-28 week with preterm prema</w:t>
      </w:r>
      <w:r>
        <w:rPr>
          <w:rFonts w:ascii="Times New Roman" w:eastAsia="Times New Roman" w:hAnsi="Times New Roman" w:cs="Times New Roman"/>
          <w:sz w:val="24"/>
          <w:szCs w:val="24"/>
        </w:rPr>
        <w:t>ture rupture of the membranes. Balkan medical journal, 33(6), 668-674.</w:t>
      </w:r>
    </w:p>
    <w:p w14:paraId="2BD93685" w14:textId="77777777" w:rsidR="00F8057E" w:rsidRDefault="000156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Patras, K. A., &amp; </w:t>
      </w:r>
      <w:proofErr w:type="spellStart"/>
      <w:r>
        <w:rPr>
          <w:rFonts w:ascii="Times New Roman" w:eastAsia="Times New Roman" w:hAnsi="Times New Roman" w:cs="Times New Roman"/>
          <w:sz w:val="24"/>
          <w:szCs w:val="24"/>
        </w:rPr>
        <w:t>Nizet</w:t>
      </w:r>
      <w:proofErr w:type="spellEnd"/>
      <w:r>
        <w:rPr>
          <w:rFonts w:ascii="Times New Roman" w:eastAsia="Times New Roman" w:hAnsi="Times New Roman" w:cs="Times New Roman"/>
          <w:sz w:val="24"/>
          <w:szCs w:val="24"/>
        </w:rPr>
        <w:t xml:space="preserve">, V. (2018). Group B streptococcal maternal colonization and neonatal disease: molecular mechanisms and preventative approaches. Frontiers in </w:t>
      </w:r>
      <w:proofErr w:type="spellStart"/>
      <w:r>
        <w:rPr>
          <w:rFonts w:ascii="Times New Roman" w:eastAsia="Times New Roman" w:hAnsi="Times New Roman" w:cs="Times New Roman"/>
          <w:sz w:val="24"/>
          <w:szCs w:val="24"/>
        </w:rPr>
        <w:t>pediatrics</w:t>
      </w:r>
      <w:proofErr w:type="spellEnd"/>
      <w:r>
        <w:rPr>
          <w:rFonts w:ascii="Times New Roman" w:eastAsia="Times New Roman" w:hAnsi="Times New Roman" w:cs="Times New Roman"/>
          <w:sz w:val="24"/>
          <w:szCs w:val="24"/>
        </w:rPr>
        <w:t>, 6, 27</w:t>
      </w:r>
      <w:r>
        <w:rPr>
          <w:rFonts w:ascii="Times New Roman" w:eastAsia="Times New Roman" w:hAnsi="Times New Roman" w:cs="Times New Roman"/>
          <w:sz w:val="24"/>
          <w:szCs w:val="24"/>
        </w:rPr>
        <w:t>.</w:t>
      </w:r>
    </w:p>
    <w:sectPr w:rsidR="00F8057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62803" w14:textId="77777777" w:rsidR="0001568A" w:rsidRDefault="0001568A" w:rsidP="00A60F5C">
      <w:pPr>
        <w:spacing w:after="0" w:line="240" w:lineRule="auto"/>
      </w:pPr>
      <w:r>
        <w:separator/>
      </w:r>
    </w:p>
  </w:endnote>
  <w:endnote w:type="continuationSeparator" w:id="0">
    <w:p w14:paraId="707F5BEB" w14:textId="77777777" w:rsidR="0001568A" w:rsidRDefault="0001568A" w:rsidP="00A60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4016B87-2D46-4811-803C-539E5DFA665B}"/>
    <w:embedItalic r:id="rId2" w:fontKey="{167F1CD8-3C69-4B92-81D8-5AA11EDE9E83}"/>
  </w:font>
  <w:font w:name="Calibri Light">
    <w:panose1 w:val="020F0302020204030204"/>
    <w:charset w:val="00"/>
    <w:family w:val="swiss"/>
    <w:pitch w:val="variable"/>
    <w:sig w:usb0="E4002EFF" w:usb1="C000247B" w:usb2="00000009" w:usb3="00000000" w:csb0="000001FF" w:csb1="00000000"/>
    <w:embedRegular r:id="rId3" w:fontKey="{CFB18975-B0ED-42E6-A8B9-098E2D33FA5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F653C" w14:textId="77777777" w:rsidR="00A60F5C" w:rsidRDefault="00A60F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2FCEE" w14:textId="77777777" w:rsidR="00A60F5C" w:rsidRDefault="00A60F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D47B5" w14:textId="77777777" w:rsidR="00A60F5C" w:rsidRDefault="00A60F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CEE5E" w14:textId="77777777" w:rsidR="0001568A" w:rsidRDefault="0001568A" w:rsidP="00A60F5C">
      <w:pPr>
        <w:spacing w:after="0" w:line="240" w:lineRule="auto"/>
      </w:pPr>
      <w:r>
        <w:separator/>
      </w:r>
    </w:p>
  </w:footnote>
  <w:footnote w:type="continuationSeparator" w:id="0">
    <w:p w14:paraId="027B52AA" w14:textId="77777777" w:rsidR="0001568A" w:rsidRDefault="0001568A" w:rsidP="00A60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3AE3" w14:textId="74E625DD" w:rsidR="00A60F5C" w:rsidRDefault="00A60F5C">
    <w:pPr>
      <w:pStyle w:val="Header"/>
    </w:pPr>
    <w:r>
      <w:rPr>
        <w:noProof/>
      </w:rPr>
      <w:pict w14:anchorId="78371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125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B55B3" w14:textId="4DBDAEB3" w:rsidR="00A60F5C" w:rsidRDefault="00A60F5C">
    <w:pPr>
      <w:pStyle w:val="Header"/>
    </w:pPr>
    <w:r>
      <w:rPr>
        <w:noProof/>
      </w:rPr>
      <w:pict w14:anchorId="38812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125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35E67" w14:textId="3404DD4A" w:rsidR="00A60F5C" w:rsidRDefault="00A60F5C">
    <w:pPr>
      <w:pStyle w:val="Header"/>
    </w:pPr>
    <w:r>
      <w:rPr>
        <w:noProof/>
      </w:rPr>
      <w:pict w14:anchorId="054B4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125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202CD"/>
    <w:multiLevelType w:val="multilevel"/>
    <w:tmpl w:val="31760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57E"/>
    <w:rsid w:val="0001568A"/>
    <w:rsid w:val="000824D4"/>
    <w:rsid w:val="002F5E49"/>
    <w:rsid w:val="007430F9"/>
    <w:rsid w:val="0098622C"/>
    <w:rsid w:val="00A60F5C"/>
    <w:rsid w:val="00DA57DB"/>
    <w:rsid w:val="00F47C63"/>
    <w:rsid w:val="00F80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9CD009"/>
  <w15:docId w15:val="{8CE92447-DFC4-4C52-A9C6-D615EA299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16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6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6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416F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6F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6F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6F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6F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6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6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6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6FD9"/>
    <w:rPr>
      <w:rFonts w:eastAsiaTheme="majorEastAsia" w:cstheme="majorBidi"/>
      <w:color w:val="272727" w:themeColor="text1" w:themeTint="D8"/>
    </w:rPr>
  </w:style>
  <w:style w:type="character" w:customStyle="1" w:styleId="TitleChar">
    <w:name w:val="Title Char"/>
    <w:basedOn w:val="DefaultParagraphFont"/>
    <w:link w:val="Title"/>
    <w:uiPriority w:val="10"/>
    <w:rsid w:val="00416FD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16F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6FD9"/>
    <w:pPr>
      <w:spacing w:before="160"/>
      <w:jc w:val="center"/>
    </w:pPr>
    <w:rPr>
      <w:i/>
      <w:iCs/>
      <w:color w:val="404040" w:themeColor="text1" w:themeTint="BF"/>
    </w:rPr>
  </w:style>
  <w:style w:type="character" w:customStyle="1" w:styleId="QuoteChar">
    <w:name w:val="Quote Char"/>
    <w:basedOn w:val="DefaultParagraphFont"/>
    <w:link w:val="Quote"/>
    <w:uiPriority w:val="29"/>
    <w:rsid w:val="00416FD9"/>
    <w:rPr>
      <w:i/>
      <w:iCs/>
      <w:color w:val="404040" w:themeColor="text1" w:themeTint="BF"/>
    </w:rPr>
  </w:style>
  <w:style w:type="paragraph" w:styleId="ListParagraph">
    <w:name w:val="List Paragraph"/>
    <w:basedOn w:val="Normal"/>
    <w:uiPriority w:val="34"/>
    <w:qFormat/>
    <w:rsid w:val="00416FD9"/>
    <w:pPr>
      <w:ind w:left="720"/>
      <w:contextualSpacing/>
    </w:pPr>
  </w:style>
  <w:style w:type="character" w:styleId="IntenseEmphasis">
    <w:name w:val="Intense Emphasis"/>
    <w:basedOn w:val="DefaultParagraphFont"/>
    <w:uiPriority w:val="21"/>
    <w:qFormat/>
    <w:rsid w:val="00416FD9"/>
    <w:rPr>
      <w:i/>
      <w:iCs/>
      <w:color w:val="2F5496" w:themeColor="accent1" w:themeShade="BF"/>
    </w:rPr>
  </w:style>
  <w:style w:type="paragraph" w:styleId="IntenseQuote">
    <w:name w:val="Intense Quote"/>
    <w:basedOn w:val="Normal"/>
    <w:next w:val="Normal"/>
    <w:link w:val="IntenseQuoteChar"/>
    <w:uiPriority w:val="30"/>
    <w:qFormat/>
    <w:rsid w:val="00416F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6FD9"/>
    <w:rPr>
      <w:i/>
      <w:iCs/>
      <w:color w:val="2F5496" w:themeColor="accent1" w:themeShade="BF"/>
    </w:rPr>
  </w:style>
  <w:style w:type="character" w:styleId="IntenseReference">
    <w:name w:val="Intense Reference"/>
    <w:basedOn w:val="DefaultParagraphFont"/>
    <w:uiPriority w:val="32"/>
    <w:qFormat/>
    <w:rsid w:val="00416FD9"/>
    <w:rPr>
      <w:b/>
      <w:bCs/>
      <w:smallCaps/>
      <w:color w:val="2F5496" w:themeColor="accent1" w:themeShade="BF"/>
      <w:spacing w:val="5"/>
    </w:rPr>
  </w:style>
  <w:style w:type="character" w:styleId="Hyperlink">
    <w:name w:val="Hyperlink"/>
    <w:basedOn w:val="DefaultParagraphFont"/>
    <w:uiPriority w:val="99"/>
    <w:unhideWhenUsed/>
    <w:rsid w:val="00FB4433"/>
    <w:rPr>
      <w:color w:val="0563C1" w:themeColor="hyperlink"/>
      <w:u w:val="single"/>
    </w:rPr>
  </w:style>
  <w:style w:type="character" w:styleId="UnresolvedMention">
    <w:name w:val="Unresolved Mention"/>
    <w:basedOn w:val="DefaultParagraphFont"/>
    <w:uiPriority w:val="99"/>
    <w:semiHidden/>
    <w:unhideWhenUsed/>
    <w:rsid w:val="00FB4433"/>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A60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F5C"/>
  </w:style>
  <w:style w:type="paragraph" w:styleId="Footer">
    <w:name w:val="footer"/>
    <w:basedOn w:val="Normal"/>
    <w:link w:val="FooterChar"/>
    <w:uiPriority w:val="99"/>
    <w:unhideWhenUsed/>
    <w:rsid w:val="00A60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CkZ2CLzFsF/GXYH64sgdc0GoTQ==">CgMxLjA4AGomChRzdWdnZXN0Lmk5cG05Nm1jZ2tlYxIOQWFyb24gSWduYXRpdXNqJgoUc3VnZ2VzdC5wZnVxZnZxMXRnZjQSDkFhcm9uIElnbmF0aXVzaiYKFHN1Z2dlc3QubXBkMXh3Y3ExaGc3Eg5BYXJvbiBJZ25hdGl1c3IhMWZZbVYyOEdqTUQ4M2R4akdjWklBc2tQbVBqNklEX0h6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1537</Words>
  <Characters>8762</Characters>
  <Application>Microsoft Office Word</Application>
  <DocSecurity>0</DocSecurity>
  <Lines>73</Lines>
  <Paragraphs>20</Paragraphs>
  <ScaleCrop>false</ScaleCrop>
  <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Ignatius</dc:creator>
  <cp:lastModifiedBy>SDI 1084</cp:lastModifiedBy>
  <cp:revision>9</cp:revision>
  <dcterms:created xsi:type="dcterms:W3CDTF">2025-08-09T12:23:00Z</dcterms:created>
  <dcterms:modified xsi:type="dcterms:W3CDTF">2026-01-24T12:44:00Z</dcterms:modified>
</cp:coreProperties>
</file>