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EE73C"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Disparities in Access to Targeted Therapy and Survival by Molecular Subtype among Breast Cancer Patients in Yemen</w:t>
      </w:r>
    </w:p>
    <w:p w14:paraId="7B2345C6" w14:textId="77777777" w:rsidR="001640EB" w:rsidRPr="003C455A" w:rsidRDefault="001640EB" w:rsidP="00FC6C4A">
      <w:pPr>
        <w:spacing w:line="360" w:lineRule="auto"/>
        <w:rPr>
          <w:rFonts w:asciiTheme="majorBidi" w:hAnsiTheme="majorBidi" w:cstheme="majorBidi"/>
          <w:i/>
          <w:iCs/>
          <w:sz w:val="24"/>
          <w:szCs w:val="24"/>
        </w:rPr>
      </w:pPr>
    </w:p>
    <w:p w14:paraId="794270E0" w14:textId="2F3A3B25"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Abstract</w:t>
      </w:r>
    </w:p>
    <w:p w14:paraId="04F13CC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Background: Breast cancer management has evolved toward precision medicine based on molecular subtypes. In low-resource settings like Yemen, access to targeted therapies is limited, potentially exacerbating survival disparities. This study examines treatment patterns and survival outcomes across molecular subtypes in a Yemeni cohort.</w:t>
      </w:r>
      <w:r w:rsidRPr="003C455A">
        <w:rPr>
          <w:rFonts w:asciiTheme="majorBidi" w:hAnsiTheme="majorBidi" w:cstheme="majorBidi"/>
          <w:sz w:val="24"/>
          <w:szCs w:val="24"/>
        </w:rPr>
        <w:br/>
        <w:t>Methods: A retrospective analysis of 1,167 breast cancer patients at the National Oncology Center in Aden (2017-2024) was conducted. Patients were classified into four molecular subtypes: Luminal A-like (HR+/HER2-), Luminal B-like (HR+/HER2+), HER2-enriched (HR-/HER2+), and Triple-Negative (TNBC). Treatment patterns (surgery, chemotherapy, endocrine therapy, anti-HER2 therapy) and survival outcomes were compared across subtypes using chi-square tests and multivariate logistic regression.</w:t>
      </w:r>
      <w:r w:rsidRPr="003C455A">
        <w:rPr>
          <w:rFonts w:asciiTheme="majorBidi" w:hAnsiTheme="majorBidi" w:cstheme="majorBidi"/>
          <w:sz w:val="24"/>
          <w:szCs w:val="24"/>
        </w:rPr>
        <w:br/>
        <w:t>Results: The cohort comprised 611 (52.4%) Luminal A-like, 168 (14.4%) Luminal B-like, 139 (11.9%) HER2-enriched, and 284 (24.3%) TNBC cases. Significant disparities in treatment access were observed: 59.8% of eligible HR+ patients received endocrine therapy; only 31.6% of HER2+ patients received anti-HER2 therapy. TNBC patients had the highest rate of mastectomy (78.2%) and chemotherapy (98.2%). The overall survival rate varied significantly by subtype: Luminal A-like (61.7%), Luminal B-like (54.8%), HER2-enriched (48.9%), and TNBC (42.6%; p&lt;0.001). On multivariate analysis, TNBC subtype (OR 2.8, 95% CI 1.6-4.9) and lack of guideline-adherent systemic therapy (OR 3.1, 95% CI 1.8-5.4) were independent predictors of mortality.</w:t>
      </w:r>
      <w:r w:rsidRPr="003C455A">
        <w:rPr>
          <w:rFonts w:asciiTheme="majorBidi" w:hAnsiTheme="majorBidi" w:cstheme="majorBidi"/>
          <w:sz w:val="24"/>
          <w:szCs w:val="24"/>
        </w:rPr>
        <w:br/>
        <w:t>Conclusion: Profound disparities exist in access to precision therapy for breast cancer in Yemen, particularly affecting HER2+ and TNBC patients. The survival disadvantage of TNBC patients persists even in this late-presenting cohort, highlighting the urgent need for equitable access to targeted therapies and clinical trial inclusion for aggressive subtypes in conflict settings.</w:t>
      </w:r>
    </w:p>
    <w:p w14:paraId="35B5A4C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Keywords: Breast Cancer, Molecular Subtypes, Targeted Therapy, Disparities, Survival, Yemen, Precision Medicine</w:t>
      </w:r>
    </w:p>
    <w:p w14:paraId="6E91305F" w14:textId="77777777" w:rsidR="003C455A" w:rsidRDefault="003C455A" w:rsidP="003C455A">
      <w:pPr>
        <w:spacing w:line="360" w:lineRule="auto"/>
        <w:rPr>
          <w:rFonts w:asciiTheme="majorBidi" w:hAnsiTheme="majorBidi" w:cstheme="majorBidi"/>
          <w:b/>
          <w:bCs/>
          <w:sz w:val="24"/>
          <w:szCs w:val="24"/>
        </w:rPr>
      </w:pPr>
    </w:p>
    <w:p w14:paraId="024D8069" w14:textId="09BE8F6E"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 Introduction</w:t>
      </w:r>
    </w:p>
    <w:p w14:paraId="7243DD1C" w14:textId="380D5793" w:rsidR="003C455A" w:rsidRPr="00E470B5" w:rsidRDefault="003C455A" w:rsidP="003C455A">
      <w:pPr>
        <w:spacing w:line="360" w:lineRule="auto"/>
        <w:rPr>
          <w:rFonts w:asciiTheme="majorBidi" w:hAnsiTheme="majorBidi" w:cstheme="majorBidi"/>
          <w:color w:val="000000" w:themeColor="text1"/>
          <w:sz w:val="24"/>
          <w:szCs w:val="24"/>
        </w:rPr>
      </w:pPr>
      <w:r w:rsidRPr="003C455A">
        <w:rPr>
          <w:rFonts w:asciiTheme="majorBidi" w:hAnsiTheme="majorBidi" w:cstheme="majorBidi"/>
          <w:sz w:val="24"/>
          <w:szCs w:val="24"/>
        </w:rPr>
        <w:t>The paradigm of breast cancer management has undergone a transformative shift from a one-size-fits-all approach to precision medicine guided by molecular subtyping. The classification based on estrogen receptor (ER), progesterone receptor (PR), and human epidermal growth factor receptor 2 (HER2) status delineates distinct biological entities with specific therapeutic implications: endocrine therapy for hormone receptor-positive (HR+) disease, anti-HER2 targeted agents for HER2-positive disease, and chemotherapy backbone for triple-negative breast cancer (TNBC</w:t>
      </w:r>
      <w:r w:rsidRPr="00E470B5">
        <w:rPr>
          <w:rFonts w:asciiTheme="majorBidi" w:hAnsiTheme="majorBidi" w:cstheme="majorBidi"/>
          <w:color w:val="000000" w:themeColor="text1"/>
          <w:sz w:val="24"/>
          <w:szCs w:val="24"/>
        </w:rPr>
        <w:t xml:space="preserve">) (Perou et al., 2000; Goldhirsch et al., 2013). This stratification has dramatically improved survival outcomes in high-income countries, where access to the full spectrum of targeted therapies is standard </w:t>
      </w:r>
      <w:proofErr w:type="gramStart"/>
      <w:r w:rsidRPr="00E470B5">
        <w:rPr>
          <w:rFonts w:asciiTheme="majorBidi" w:hAnsiTheme="majorBidi" w:cstheme="majorBidi"/>
          <w:color w:val="000000" w:themeColor="text1"/>
          <w:sz w:val="24"/>
          <w:szCs w:val="24"/>
        </w:rPr>
        <w:t>(</w:t>
      </w:r>
      <w:r w:rsidR="00B96A60" w:rsidRPr="00E470B5">
        <w:rPr>
          <w:rFonts w:asciiTheme="majorBidi" w:hAnsiTheme="majorBidi" w:cstheme="majorBidi"/>
          <w:color w:val="000000" w:themeColor="text1"/>
          <w:sz w:val="24"/>
          <w:szCs w:val="24"/>
        </w:rPr>
        <w:t xml:space="preserve"> </w:t>
      </w:r>
      <w:r w:rsidRPr="00E470B5">
        <w:rPr>
          <w:rFonts w:asciiTheme="majorBidi" w:hAnsiTheme="majorBidi" w:cstheme="majorBidi"/>
          <w:color w:val="000000" w:themeColor="text1"/>
          <w:sz w:val="24"/>
          <w:szCs w:val="24"/>
        </w:rPr>
        <w:t>Howlader</w:t>
      </w:r>
      <w:proofErr w:type="gramEnd"/>
      <w:r w:rsidRPr="00E470B5">
        <w:rPr>
          <w:rFonts w:asciiTheme="majorBidi" w:hAnsiTheme="majorBidi" w:cstheme="majorBidi"/>
          <w:color w:val="000000" w:themeColor="text1"/>
          <w:sz w:val="24"/>
          <w:szCs w:val="24"/>
        </w:rPr>
        <w:t xml:space="preserve"> et al., 2020).</w:t>
      </w:r>
    </w:p>
    <w:p w14:paraId="30867861" w14:textId="63A6DC50" w:rsidR="003C455A" w:rsidRPr="00E470B5" w:rsidRDefault="003C455A" w:rsidP="003C455A">
      <w:pPr>
        <w:spacing w:line="360" w:lineRule="auto"/>
        <w:rPr>
          <w:rFonts w:asciiTheme="majorBidi" w:hAnsiTheme="majorBidi" w:cstheme="majorBidi"/>
          <w:b/>
          <w:bCs/>
          <w:color w:val="000000" w:themeColor="text1"/>
          <w:sz w:val="24"/>
          <w:szCs w:val="24"/>
        </w:rPr>
      </w:pPr>
      <w:r w:rsidRPr="00E470B5">
        <w:rPr>
          <w:rFonts w:asciiTheme="majorBidi" w:hAnsiTheme="majorBidi" w:cstheme="majorBidi"/>
          <w:color w:val="000000" w:themeColor="text1"/>
          <w:sz w:val="24"/>
          <w:szCs w:val="24"/>
        </w:rPr>
        <w:t>However, this advancement has simultaneously widened the global cancer care divide. In low- and middle-income countries (LMICs), and particularly in nations experiencing conflict or humanitarian crises, access to essential diagnostics for accurate subtyping and to life-prolonging targeted therapies is severely constrained (Vanderpuye et al., 2017; Rubinstein et al., 2020). This creates a paradoxical situation where patients are biologically characterized but cannot access the corresponding targeted treatment, potentially turning molecular subtyping into a mere prognostic label rather than a guide to therapy. The resultant survival disparities across subtypes in such settings are poorly quantified but are hypothesized to be extreme</w:t>
      </w:r>
      <w:r w:rsidRPr="00E470B5">
        <w:rPr>
          <w:rFonts w:asciiTheme="majorBidi" w:hAnsiTheme="majorBidi" w:cstheme="majorBidi"/>
          <w:b/>
          <w:bCs/>
          <w:color w:val="000000" w:themeColor="text1"/>
          <w:sz w:val="24"/>
          <w:szCs w:val="24"/>
        </w:rPr>
        <w:t>.</w:t>
      </w:r>
    </w:p>
    <w:p w14:paraId="31C4FFB9" w14:textId="20183994"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 xml:space="preserve">Yemen, enduring a decade of catastrophic conflict, represents a critical case study of this crisis. The healthcare infrastructure has collapsed, with chronic shortages of essential medicines, diagnostics, and specialized personnel </w:t>
      </w:r>
      <w:proofErr w:type="gramStart"/>
      <w:r w:rsidRPr="00E470B5">
        <w:rPr>
          <w:rFonts w:asciiTheme="majorBidi" w:hAnsiTheme="majorBidi" w:cstheme="majorBidi"/>
          <w:color w:val="000000" w:themeColor="text1"/>
          <w:sz w:val="24"/>
          <w:szCs w:val="24"/>
        </w:rPr>
        <w:t>(</w:t>
      </w:r>
      <w:r w:rsidR="00B96A60" w:rsidRPr="00E470B5">
        <w:rPr>
          <w:rFonts w:asciiTheme="majorBidi" w:hAnsiTheme="majorBidi" w:cstheme="majorBidi"/>
          <w:color w:val="000000" w:themeColor="text1"/>
          <w:sz w:val="24"/>
          <w:szCs w:val="24"/>
        </w:rPr>
        <w:t xml:space="preserve"> </w:t>
      </w:r>
      <w:r w:rsidRPr="00E470B5">
        <w:rPr>
          <w:rFonts w:asciiTheme="majorBidi" w:hAnsiTheme="majorBidi" w:cstheme="majorBidi"/>
          <w:color w:val="000000" w:themeColor="text1"/>
          <w:sz w:val="24"/>
          <w:szCs w:val="24"/>
        </w:rPr>
        <w:t>Qirbi</w:t>
      </w:r>
      <w:proofErr w:type="gramEnd"/>
      <w:r w:rsidRPr="00E470B5">
        <w:rPr>
          <w:rFonts w:asciiTheme="majorBidi" w:hAnsiTheme="majorBidi" w:cstheme="majorBidi"/>
          <w:color w:val="000000" w:themeColor="text1"/>
          <w:sz w:val="24"/>
          <w:szCs w:val="24"/>
        </w:rPr>
        <w:t xml:space="preserve"> &amp; Ismail, 2017). While immunohistochemistry (IHC) for hormone receptors and HER2 is sporadically available at the National Oncology Center (NOC) in Aden, the consistent supply of targeted agents—especially trastuzumab for HER2+ disease and newer agents for TNBC—is virtually </w:t>
      </w:r>
      <w:r w:rsidRPr="003C455A">
        <w:rPr>
          <w:rFonts w:asciiTheme="majorBidi" w:hAnsiTheme="majorBidi" w:cstheme="majorBidi"/>
          <w:sz w:val="24"/>
          <w:szCs w:val="24"/>
        </w:rPr>
        <w:t>non-existent outside of sporadic humanitarian donations. Previous studies from Yemen have documented the overwhelming burden of late-stage disease but have not analyzed how treatment delivery and survival differ by the intrinsic biology of the tumor (</w:t>
      </w:r>
      <w:r w:rsidR="00B96A60" w:rsidRPr="00E470B5">
        <w:rPr>
          <w:rFonts w:asciiTheme="majorBidi" w:hAnsiTheme="majorBidi" w:cstheme="majorBidi"/>
          <w:color w:val="000000" w:themeColor="text1"/>
          <w:sz w:val="24"/>
          <w:szCs w:val="24"/>
        </w:rPr>
        <w:t xml:space="preserve">7-10 </w:t>
      </w:r>
      <w:proofErr w:type="spellStart"/>
      <w:r w:rsidRPr="00E470B5">
        <w:rPr>
          <w:rFonts w:asciiTheme="majorBidi" w:hAnsiTheme="majorBidi" w:cstheme="majorBidi"/>
          <w:color w:val="000000" w:themeColor="text1"/>
          <w:sz w:val="24"/>
          <w:szCs w:val="24"/>
        </w:rPr>
        <w:t>Bamashmos</w:t>
      </w:r>
      <w:proofErr w:type="spellEnd"/>
      <w:r w:rsidRPr="00E470B5">
        <w:rPr>
          <w:rFonts w:asciiTheme="majorBidi" w:hAnsiTheme="majorBidi" w:cstheme="majorBidi"/>
          <w:color w:val="000000" w:themeColor="text1"/>
          <w:sz w:val="24"/>
          <w:szCs w:val="24"/>
        </w:rPr>
        <w:t xml:space="preserve"> et al., 2020</w:t>
      </w:r>
      <w:r w:rsidR="002B0A3F" w:rsidRPr="00E470B5">
        <w:rPr>
          <w:rFonts w:asciiTheme="majorBidi" w:hAnsiTheme="majorBidi" w:cstheme="majorBidi"/>
          <w:color w:val="000000" w:themeColor="text1"/>
          <w:sz w:val="24"/>
          <w:szCs w:val="24"/>
        </w:rPr>
        <w:t xml:space="preserve">, </w:t>
      </w:r>
      <w:proofErr w:type="spellStart"/>
      <w:r w:rsidR="002B0A3F" w:rsidRPr="00E470B5">
        <w:rPr>
          <w:rFonts w:asciiTheme="majorBidi" w:hAnsiTheme="majorBidi" w:cstheme="majorBidi"/>
          <w:color w:val="000000" w:themeColor="text1"/>
          <w:sz w:val="24"/>
          <w:szCs w:val="24"/>
        </w:rPr>
        <w:t>Bawazir</w:t>
      </w:r>
      <w:proofErr w:type="spellEnd"/>
      <w:r w:rsidR="002B0A3F" w:rsidRPr="00E470B5">
        <w:rPr>
          <w:rFonts w:asciiTheme="majorBidi" w:hAnsiTheme="majorBidi" w:cstheme="majorBidi"/>
          <w:color w:val="000000" w:themeColor="text1"/>
          <w:sz w:val="24"/>
          <w:szCs w:val="24"/>
        </w:rPr>
        <w:t xml:space="preserve"> et al 2022, </w:t>
      </w:r>
      <w:r w:rsidR="002B0A3F" w:rsidRPr="00E470B5">
        <w:rPr>
          <w:color w:val="000000" w:themeColor="text1"/>
        </w:rPr>
        <w:t xml:space="preserve">Hamid GA 2022, </w:t>
      </w:r>
      <w:r w:rsidR="00E470B5" w:rsidRPr="00E470B5">
        <w:rPr>
          <w:rFonts w:asciiTheme="majorBidi" w:hAnsiTheme="majorBidi" w:cstheme="majorBidi"/>
          <w:color w:val="000000" w:themeColor="text1"/>
          <w:sz w:val="24"/>
          <w:szCs w:val="24"/>
        </w:rPr>
        <w:t>Al-</w:t>
      </w:r>
      <w:proofErr w:type="spellStart"/>
      <w:r w:rsidR="00E470B5" w:rsidRPr="00E470B5">
        <w:rPr>
          <w:rFonts w:asciiTheme="majorBidi" w:hAnsiTheme="majorBidi" w:cstheme="majorBidi"/>
          <w:color w:val="000000" w:themeColor="text1"/>
          <w:sz w:val="24"/>
          <w:szCs w:val="24"/>
        </w:rPr>
        <w:t>Kahiry</w:t>
      </w:r>
      <w:proofErr w:type="spellEnd"/>
      <w:r w:rsidR="00E470B5" w:rsidRPr="00E470B5">
        <w:rPr>
          <w:rFonts w:asciiTheme="majorBidi" w:hAnsiTheme="majorBidi" w:cstheme="majorBidi"/>
          <w:color w:val="000000" w:themeColor="text1"/>
          <w:sz w:val="24"/>
          <w:szCs w:val="24"/>
        </w:rPr>
        <w:t xml:space="preserve"> et al 2011</w:t>
      </w:r>
      <w:r w:rsidRPr="00E470B5">
        <w:rPr>
          <w:rFonts w:asciiTheme="majorBidi" w:hAnsiTheme="majorBidi" w:cstheme="majorBidi"/>
          <w:color w:val="000000" w:themeColor="text1"/>
          <w:sz w:val="24"/>
          <w:szCs w:val="24"/>
        </w:rPr>
        <w:t>).</w:t>
      </w:r>
    </w:p>
    <w:p w14:paraId="6D9337E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This study aims to fill this critical gap. We hypothesize that in Yemen’s resource-constrained environment, survival outcomes will correlate not only with stage at presentation but also sharply with molecular subtype, reflecting disparities in access to subtype-specific therapies. By characterizing treatment patterns and survival across molecular subtypes in a large Yemeni cohort, this study seeks to: 1) quantify the gap between biological indication and therapeutic receipt, 2) compare survival outcomes across subtypes, and 3) identify which patients are most disadvantaged by the current system. The findings will provide crucial evidence to advocate for targeted drug access policies and inform the design of equitable cancer care strategies in humanitarian settings.</w:t>
      </w:r>
    </w:p>
    <w:p w14:paraId="61252FA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 Materials and Methods</w:t>
      </w:r>
    </w:p>
    <w:p w14:paraId="6AA15EC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2.1. Study Design and Setting</w:t>
      </w:r>
    </w:p>
    <w:p w14:paraId="4BBDB49C"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A hospital-based retrospective cohort study was conducted at the National Oncology Center (NOC) in Aden, Yemen. The NOC is the principal public cancer treatment facility for southern Yemen.</w:t>
      </w:r>
    </w:p>
    <w:p w14:paraId="47C6A6F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2.2. Study Population</w:t>
      </w:r>
    </w:p>
    <w:p w14:paraId="2B00AAA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The study included 1,167 consecutive patients with histologically confirmed invasive breast cancer registered at the NOC between January 2017 and May 2024. Patients with missing data on all three receptors (ER, PR, HER2) necessary for subtype classification were excluded.</w:t>
      </w:r>
    </w:p>
    <w:p w14:paraId="539F766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2.3. Variables and Definitions</w:t>
      </w:r>
    </w:p>
    <w:p w14:paraId="278D1313" w14:textId="77777777" w:rsidR="003C455A" w:rsidRPr="003C455A" w:rsidRDefault="003C455A" w:rsidP="003C455A">
      <w:pPr>
        <w:numPr>
          <w:ilvl w:val="0"/>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Molecular Subtype Classification: Based on IHC results from pathology reports. Subtypes were defined as:</w:t>
      </w:r>
    </w:p>
    <w:p w14:paraId="6A217D57" w14:textId="77777777" w:rsidR="003C455A" w:rsidRPr="003C455A" w:rsidRDefault="003C455A" w:rsidP="003C455A">
      <w:pPr>
        <w:numPr>
          <w:ilvl w:val="1"/>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Luminal A-like: ER+ and/or PR+, HER2-, any grade.</w:t>
      </w:r>
    </w:p>
    <w:p w14:paraId="21D270B6" w14:textId="77777777" w:rsidR="003C455A" w:rsidRPr="003C455A" w:rsidRDefault="003C455A" w:rsidP="003C455A">
      <w:pPr>
        <w:numPr>
          <w:ilvl w:val="1"/>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Luminal B-like: ER+ and/or PR+, HER2+.</w:t>
      </w:r>
    </w:p>
    <w:p w14:paraId="213AC47F" w14:textId="77777777" w:rsidR="003C455A" w:rsidRPr="003C455A" w:rsidRDefault="003C455A" w:rsidP="003C455A">
      <w:pPr>
        <w:numPr>
          <w:ilvl w:val="1"/>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HER2-enriched (non-luminal): ER-, PR-, HER2+.</w:t>
      </w:r>
    </w:p>
    <w:p w14:paraId="6690EF76" w14:textId="77777777" w:rsidR="003C455A" w:rsidRPr="003C455A" w:rsidRDefault="003C455A" w:rsidP="003C455A">
      <w:pPr>
        <w:numPr>
          <w:ilvl w:val="1"/>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Triple-Negative Breast Cancer (TNBC): ER-, PR-, HER2-.</w:t>
      </w:r>
    </w:p>
    <w:p w14:paraId="613F6BF7" w14:textId="77777777" w:rsidR="003C455A" w:rsidRPr="003C455A" w:rsidRDefault="003C455A" w:rsidP="003C455A">
      <w:pPr>
        <w:numPr>
          <w:ilvl w:val="0"/>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Treatment Variables:</w:t>
      </w:r>
    </w:p>
    <w:p w14:paraId="591DC45C" w14:textId="77777777" w:rsidR="003C455A" w:rsidRPr="003C455A" w:rsidRDefault="003C455A" w:rsidP="003C455A">
      <w:pPr>
        <w:numPr>
          <w:ilvl w:val="1"/>
          <w:numId w:val="12"/>
        </w:num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Surgery: Modified Radical Mastectomy (MRM), Breast-Conserving Surgery (BCS), or biopsy only.</w:t>
      </w:r>
    </w:p>
    <w:p w14:paraId="6602F142" w14:textId="77777777" w:rsidR="003C455A" w:rsidRPr="003C455A" w:rsidRDefault="003C455A" w:rsidP="003C455A">
      <w:pPr>
        <w:numPr>
          <w:ilvl w:val="1"/>
          <w:numId w:val="12"/>
        </w:numPr>
        <w:spacing w:line="360" w:lineRule="auto"/>
        <w:rPr>
          <w:rFonts w:asciiTheme="majorBidi" w:hAnsiTheme="majorBidi" w:cstheme="majorBidi"/>
          <w:sz w:val="24"/>
          <w:szCs w:val="24"/>
        </w:rPr>
      </w:pPr>
      <w:r w:rsidRPr="003C455A">
        <w:rPr>
          <w:rFonts w:asciiTheme="majorBidi" w:hAnsiTheme="majorBidi" w:cstheme="majorBidi"/>
          <w:sz w:val="24"/>
          <w:szCs w:val="24"/>
        </w:rPr>
        <w:t>Systemic Therapy: Receipt of chemotherapy, endocrine therapy (for HR+ patients), and anti-HER2 therapy (trastuzumab; for HER2+ patients). Receipt was coded as "Yes" if documented in the treatment plan or pharmacy records.</w:t>
      </w:r>
    </w:p>
    <w:p w14:paraId="19EE6A23" w14:textId="77777777" w:rsidR="003C455A" w:rsidRPr="003C455A" w:rsidRDefault="003C455A" w:rsidP="003C455A">
      <w:pPr>
        <w:numPr>
          <w:ilvl w:val="1"/>
          <w:numId w:val="12"/>
        </w:numPr>
        <w:spacing w:line="360" w:lineRule="auto"/>
        <w:rPr>
          <w:rFonts w:asciiTheme="majorBidi" w:hAnsiTheme="majorBidi" w:cstheme="majorBidi"/>
          <w:sz w:val="24"/>
          <w:szCs w:val="24"/>
        </w:rPr>
      </w:pPr>
      <w:r w:rsidRPr="003C455A">
        <w:rPr>
          <w:rFonts w:asciiTheme="majorBidi" w:hAnsiTheme="majorBidi" w:cstheme="majorBidi"/>
          <w:sz w:val="24"/>
          <w:szCs w:val="24"/>
        </w:rPr>
        <w:t>Guideline-Adherent Systemic Therapy: A composite variable defined as receiving the indicated subtype-specific systemic therapy (endocrine therapy for Luminal, anti-HER2 therapy for HER2+, standard chemotherapy for TNBC).</w:t>
      </w:r>
    </w:p>
    <w:p w14:paraId="6A6A8F8A" w14:textId="77777777" w:rsidR="003C455A" w:rsidRPr="003C455A" w:rsidRDefault="003C455A" w:rsidP="003C455A">
      <w:pPr>
        <w:numPr>
          <w:ilvl w:val="0"/>
          <w:numId w:val="11"/>
        </w:numPr>
        <w:spacing w:line="360" w:lineRule="auto"/>
        <w:rPr>
          <w:rFonts w:asciiTheme="majorBidi" w:hAnsiTheme="majorBidi" w:cstheme="majorBidi"/>
          <w:sz w:val="24"/>
          <w:szCs w:val="24"/>
        </w:rPr>
      </w:pPr>
      <w:r w:rsidRPr="003C455A">
        <w:rPr>
          <w:rFonts w:asciiTheme="majorBidi" w:hAnsiTheme="majorBidi" w:cstheme="majorBidi"/>
          <w:sz w:val="24"/>
          <w:szCs w:val="24"/>
        </w:rPr>
        <w:t>Outcome Variable: Documented survival status at last follow-up, dichotomized as "Alive" (including long-term survivors) or "Deceased." Patients lost to follow-up were excluded from survival analyses.</w:t>
      </w:r>
    </w:p>
    <w:p w14:paraId="15117E4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2.4. Statistical Analysis</w:t>
      </w:r>
    </w:p>
    <w:p w14:paraId="5B25EE7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Data were analyzed using IBM SPSS Statistics v25.0. Descriptive statistics summarized patient characteristics and treatment patterns by subtype. Categorical variables were compared using the Chi-square test. Univariate and multivariate binary logistic regression analyses were performed to identify factors associated with mortality, with results expressed as odds ratios (OR) and 95% confidence intervals (CI). A p-value &lt; 0.05 was considered statistically significant.</w:t>
      </w:r>
    </w:p>
    <w:p w14:paraId="59392291" w14:textId="77777777" w:rsidR="003C455A" w:rsidRPr="003C455A" w:rsidRDefault="003C455A" w:rsidP="003C455A">
      <w:pPr>
        <w:spacing w:line="360" w:lineRule="auto"/>
        <w:rPr>
          <w:rFonts w:asciiTheme="majorBidi" w:hAnsiTheme="majorBidi" w:cstheme="majorBidi"/>
          <w:b/>
          <w:bCs/>
          <w:sz w:val="24"/>
          <w:szCs w:val="24"/>
        </w:rPr>
      </w:pPr>
      <w:r w:rsidRPr="003C455A">
        <w:rPr>
          <w:rFonts w:asciiTheme="majorBidi" w:hAnsiTheme="majorBidi" w:cstheme="majorBidi"/>
          <w:sz w:val="24"/>
          <w:szCs w:val="24"/>
        </w:rPr>
        <w:t>2.5. Ethical Considerations</w:t>
      </w:r>
    </w:p>
    <w:p w14:paraId="7FEFF362" w14:textId="4F1BE35E"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Ethical approval was granted by the Faculty of Medicine and Health Sciences, University of Aden (</w:t>
      </w:r>
      <w:r w:rsidR="002B0A3F" w:rsidRPr="007D565F">
        <w:rPr>
          <w:rFonts w:asciiTheme="majorBidi" w:hAnsiTheme="majorBidi" w:cstheme="majorBidi"/>
          <w:color w:val="000000" w:themeColor="text1"/>
          <w:sz w:val="24"/>
          <w:szCs w:val="24"/>
        </w:rPr>
        <w:t>IRB 203-2024</w:t>
      </w:r>
      <w:r w:rsidRPr="002B0A3F">
        <w:rPr>
          <w:rFonts w:asciiTheme="majorBidi" w:hAnsiTheme="majorBidi" w:cstheme="majorBidi"/>
          <w:color w:val="000000" w:themeColor="text1"/>
          <w:sz w:val="24"/>
          <w:szCs w:val="24"/>
        </w:rPr>
        <w:t>)</w:t>
      </w:r>
      <w:r w:rsidRPr="003C455A">
        <w:rPr>
          <w:rFonts w:asciiTheme="majorBidi" w:hAnsiTheme="majorBidi" w:cstheme="majorBidi"/>
          <w:sz w:val="24"/>
          <w:szCs w:val="24"/>
        </w:rPr>
        <w:t>. A waiver of informed consent was obtained for this retrospective review of anonymized patient data.</w:t>
      </w:r>
    </w:p>
    <w:p w14:paraId="00139840" w14:textId="77777777" w:rsidR="002B0A3F" w:rsidRDefault="002B0A3F" w:rsidP="003C455A">
      <w:pPr>
        <w:spacing w:line="360" w:lineRule="auto"/>
        <w:rPr>
          <w:rFonts w:asciiTheme="majorBidi" w:hAnsiTheme="majorBidi" w:cstheme="majorBidi"/>
          <w:sz w:val="24"/>
          <w:szCs w:val="24"/>
        </w:rPr>
      </w:pPr>
    </w:p>
    <w:p w14:paraId="74AB297B" w14:textId="361FE150"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 Results</w:t>
      </w:r>
    </w:p>
    <w:p w14:paraId="6563413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3.1. Distribution of Molecular Subtypes and Baseline Characteristics</w:t>
      </w:r>
    </w:p>
    <w:p w14:paraId="2BCA3D7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 xml:space="preserve">Among 1,167 patients, molecular subtypes were distributed as follows: Luminal A-like, 611 (52.4%); Luminal B-like, 168 (14.4%); HER2-enriched, 139 (11.9%); and TNBC, 284 (24.3%). Baseline characteristics varied significantly by subtype (Table 1). TNBC patients presented with </w:t>
      </w:r>
      <w:r w:rsidRPr="003C455A">
        <w:rPr>
          <w:rFonts w:asciiTheme="majorBidi" w:hAnsiTheme="majorBidi" w:cstheme="majorBidi"/>
          <w:sz w:val="24"/>
          <w:szCs w:val="24"/>
        </w:rPr>
        <w:lastRenderedPageBreak/>
        <w:t>the most advanced disease: 58.1% had Stage III/IV disease versus 46.5% in Luminal A-like (p&lt;0.001). TNBC tumors were also larger (&gt;5 cm in 32.4% vs. 19.8% in Luminal A-like; p&lt;0.001) and of higher grade (Grade 3 in 45.1% vs. 24.4%; p&lt;0.001).</w:t>
      </w:r>
    </w:p>
    <w:p w14:paraId="08A5C21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3.2. Treatment Patterns by Molecular Subtype</w:t>
      </w:r>
    </w:p>
    <w:p w14:paraId="5A13085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Profound disparities in the receipt of systemic therapy were evident (Table 2). While chemotherapy use was high across all subtypes (&gt;90%), access to targeted therapy was limited.</w:t>
      </w:r>
    </w:p>
    <w:p w14:paraId="2733458D" w14:textId="77777777" w:rsidR="003C455A" w:rsidRPr="003C455A" w:rsidRDefault="003C455A" w:rsidP="003C455A">
      <w:pPr>
        <w:numPr>
          <w:ilvl w:val="0"/>
          <w:numId w:val="13"/>
        </w:numPr>
        <w:spacing w:line="360" w:lineRule="auto"/>
        <w:rPr>
          <w:rFonts w:asciiTheme="majorBidi" w:hAnsiTheme="majorBidi" w:cstheme="majorBidi"/>
          <w:sz w:val="24"/>
          <w:szCs w:val="24"/>
        </w:rPr>
      </w:pPr>
      <w:r w:rsidRPr="003C455A">
        <w:rPr>
          <w:rFonts w:asciiTheme="majorBidi" w:hAnsiTheme="majorBidi" w:cstheme="majorBidi"/>
          <w:sz w:val="24"/>
          <w:szCs w:val="24"/>
        </w:rPr>
        <w:t>Endocrine Therapy: Only 698 of 1,167 eligible HR+ patients (59.8%) received endocrine therapy. The rate was similar between Luminal A and B subtypes.</w:t>
      </w:r>
    </w:p>
    <w:p w14:paraId="74FFED30" w14:textId="77777777" w:rsidR="003C455A" w:rsidRPr="003C455A" w:rsidRDefault="003C455A" w:rsidP="003C455A">
      <w:pPr>
        <w:numPr>
          <w:ilvl w:val="0"/>
          <w:numId w:val="13"/>
        </w:numPr>
        <w:spacing w:line="360" w:lineRule="auto"/>
        <w:rPr>
          <w:rFonts w:asciiTheme="majorBidi" w:hAnsiTheme="majorBidi" w:cstheme="majorBidi"/>
          <w:sz w:val="24"/>
          <w:szCs w:val="24"/>
        </w:rPr>
      </w:pPr>
      <w:r w:rsidRPr="003C455A">
        <w:rPr>
          <w:rFonts w:asciiTheme="majorBidi" w:hAnsiTheme="majorBidi" w:cstheme="majorBidi"/>
          <w:sz w:val="24"/>
          <w:szCs w:val="24"/>
        </w:rPr>
        <w:t>Anti-HER2 Therapy: Only 97 of 307 HER2+ patients (31.6%) received trastuzumab. Access did not differ significantly between Luminal B-like and HER2-enriched subtypes.</w:t>
      </w:r>
    </w:p>
    <w:p w14:paraId="193B48C5" w14:textId="77777777" w:rsidR="003C455A" w:rsidRPr="003C455A" w:rsidRDefault="003C455A" w:rsidP="003C455A">
      <w:pPr>
        <w:numPr>
          <w:ilvl w:val="0"/>
          <w:numId w:val="13"/>
        </w:numPr>
        <w:spacing w:line="360" w:lineRule="auto"/>
        <w:rPr>
          <w:rFonts w:asciiTheme="majorBidi" w:hAnsiTheme="majorBidi" w:cstheme="majorBidi"/>
          <w:sz w:val="24"/>
          <w:szCs w:val="24"/>
        </w:rPr>
      </w:pPr>
      <w:r w:rsidRPr="003C455A">
        <w:rPr>
          <w:rFonts w:asciiTheme="majorBidi" w:hAnsiTheme="majorBidi" w:cstheme="majorBidi"/>
          <w:sz w:val="24"/>
          <w:szCs w:val="24"/>
        </w:rPr>
        <w:t>Surgical Management: TNBC patients underwent MRM most frequently (78.2%), while Luminal A-like patients had the highest rate of BCS (18.3%; p&lt;0.001).</w:t>
      </w:r>
    </w:p>
    <w:p w14:paraId="12636AA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3.3. Survival Outcomes</w:t>
      </w:r>
    </w:p>
    <w:p w14:paraId="0AFEA41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For survival analysis, 678 patients with definitive alive/deceased status were included. The overall survival rate differed markedly by subtype (p&lt;0.001): Luminal A-like (61.7%), Luminal B-like (54.8%), HER2-enriched (48.9%), and TNBC (42.6%). On univariate analysis, TNBC subtype, advanced stage, and lack of guideline-adherent therapy were associated with increased odds of death.</w:t>
      </w:r>
    </w:p>
    <w:p w14:paraId="65EACF8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Multivariate Analysis (Table 3) controlling for age and stage identified two independent predictors of mortality:</w:t>
      </w:r>
    </w:p>
    <w:p w14:paraId="7C27D2C4" w14:textId="77777777" w:rsidR="003C455A" w:rsidRPr="003C455A" w:rsidRDefault="003C455A" w:rsidP="003C455A">
      <w:pPr>
        <w:numPr>
          <w:ilvl w:val="0"/>
          <w:numId w:val="14"/>
        </w:numPr>
        <w:spacing w:line="360" w:lineRule="auto"/>
        <w:rPr>
          <w:rFonts w:asciiTheme="majorBidi" w:hAnsiTheme="majorBidi" w:cstheme="majorBidi"/>
          <w:sz w:val="24"/>
          <w:szCs w:val="24"/>
        </w:rPr>
      </w:pPr>
      <w:r w:rsidRPr="003C455A">
        <w:rPr>
          <w:rFonts w:asciiTheme="majorBidi" w:hAnsiTheme="majorBidi" w:cstheme="majorBidi"/>
          <w:sz w:val="24"/>
          <w:szCs w:val="24"/>
        </w:rPr>
        <w:t>TNBC Subtype: OR 2.8 (95% CI 1.6-4.9, p&lt;0.001)</w:t>
      </w:r>
    </w:p>
    <w:p w14:paraId="1ECDA4E9" w14:textId="77777777" w:rsidR="003C455A" w:rsidRPr="003C455A" w:rsidRDefault="003C455A" w:rsidP="003C455A">
      <w:pPr>
        <w:numPr>
          <w:ilvl w:val="0"/>
          <w:numId w:val="14"/>
        </w:numPr>
        <w:spacing w:line="360" w:lineRule="auto"/>
        <w:rPr>
          <w:rFonts w:asciiTheme="majorBidi" w:hAnsiTheme="majorBidi" w:cstheme="majorBidi"/>
          <w:sz w:val="24"/>
          <w:szCs w:val="24"/>
        </w:rPr>
      </w:pPr>
      <w:r w:rsidRPr="003C455A">
        <w:rPr>
          <w:rFonts w:asciiTheme="majorBidi" w:hAnsiTheme="majorBidi" w:cstheme="majorBidi"/>
          <w:sz w:val="24"/>
          <w:szCs w:val="24"/>
        </w:rPr>
        <w:t>Lack of Guideline-Adherent Systemic Therapy: OR 3.1 (95% CI 1.8-5.4, p&lt;0.001)</w:t>
      </w:r>
      <w:r w:rsidRPr="003C455A">
        <w:rPr>
          <w:rFonts w:asciiTheme="majorBidi" w:hAnsiTheme="majorBidi" w:cstheme="majorBidi"/>
          <w:sz w:val="24"/>
          <w:szCs w:val="24"/>
        </w:rPr>
        <w:br/>
        <w:t>Not receiving anti-HER2 therapy was a significant predictor of mortality for HER2+ patients (OR 2.5, 95% CI 1.3-4.8, p=0.006).</w:t>
      </w:r>
    </w:p>
    <w:p w14:paraId="523C544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Table 1: Baseline Clinical and Pathological Characteristics by Molecular Subtype</w:t>
      </w:r>
    </w:p>
    <w:tbl>
      <w:tblPr>
        <w:tblW w:w="0" w:type="auto"/>
        <w:tblCellMar>
          <w:top w:w="15" w:type="dxa"/>
          <w:left w:w="15" w:type="dxa"/>
          <w:bottom w:w="15" w:type="dxa"/>
          <w:right w:w="15" w:type="dxa"/>
        </w:tblCellMar>
        <w:tblLook w:val="04A0" w:firstRow="1" w:lastRow="0" w:firstColumn="1" w:lastColumn="0" w:noHBand="0" w:noVBand="1"/>
      </w:tblPr>
      <w:tblGrid>
        <w:gridCol w:w="1750"/>
        <w:gridCol w:w="1694"/>
        <w:gridCol w:w="1696"/>
        <w:gridCol w:w="1715"/>
        <w:gridCol w:w="1447"/>
        <w:gridCol w:w="1058"/>
      </w:tblGrid>
      <w:tr w:rsidR="003C455A" w:rsidRPr="003C455A" w14:paraId="6D64B740" w14:textId="77777777">
        <w:trPr>
          <w:tblHeader/>
        </w:trPr>
        <w:tc>
          <w:tcPr>
            <w:tcW w:w="0" w:type="auto"/>
            <w:tcBorders>
              <w:top w:val="nil"/>
            </w:tcBorders>
            <w:tcMar>
              <w:top w:w="150" w:type="dxa"/>
              <w:left w:w="0" w:type="dxa"/>
              <w:bottom w:w="150" w:type="dxa"/>
              <w:right w:w="240" w:type="dxa"/>
            </w:tcMar>
            <w:vAlign w:val="center"/>
            <w:hideMark/>
          </w:tcPr>
          <w:p w14:paraId="6F7A65F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Characteristic</w:t>
            </w:r>
          </w:p>
        </w:tc>
        <w:tc>
          <w:tcPr>
            <w:tcW w:w="0" w:type="auto"/>
            <w:tcBorders>
              <w:top w:val="nil"/>
            </w:tcBorders>
            <w:tcMar>
              <w:top w:w="150" w:type="dxa"/>
              <w:left w:w="240" w:type="dxa"/>
              <w:bottom w:w="150" w:type="dxa"/>
              <w:right w:w="240" w:type="dxa"/>
            </w:tcMar>
            <w:vAlign w:val="center"/>
            <w:hideMark/>
          </w:tcPr>
          <w:p w14:paraId="45A6685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Luminal A-like (n=611)</w:t>
            </w:r>
          </w:p>
        </w:tc>
        <w:tc>
          <w:tcPr>
            <w:tcW w:w="0" w:type="auto"/>
            <w:tcBorders>
              <w:top w:val="nil"/>
            </w:tcBorders>
            <w:tcMar>
              <w:top w:w="150" w:type="dxa"/>
              <w:left w:w="240" w:type="dxa"/>
              <w:bottom w:w="150" w:type="dxa"/>
              <w:right w:w="240" w:type="dxa"/>
            </w:tcMar>
            <w:vAlign w:val="center"/>
            <w:hideMark/>
          </w:tcPr>
          <w:p w14:paraId="1BFE4AB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Luminal B-like (n=168)</w:t>
            </w:r>
          </w:p>
        </w:tc>
        <w:tc>
          <w:tcPr>
            <w:tcW w:w="0" w:type="auto"/>
            <w:tcBorders>
              <w:top w:val="nil"/>
            </w:tcBorders>
            <w:tcMar>
              <w:top w:w="150" w:type="dxa"/>
              <w:left w:w="240" w:type="dxa"/>
              <w:bottom w:w="150" w:type="dxa"/>
              <w:right w:w="240" w:type="dxa"/>
            </w:tcMar>
            <w:vAlign w:val="center"/>
            <w:hideMark/>
          </w:tcPr>
          <w:p w14:paraId="0586332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HER2-enriched (n=139)</w:t>
            </w:r>
          </w:p>
        </w:tc>
        <w:tc>
          <w:tcPr>
            <w:tcW w:w="0" w:type="auto"/>
            <w:tcBorders>
              <w:top w:val="nil"/>
            </w:tcBorders>
            <w:tcMar>
              <w:top w:w="150" w:type="dxa"/>
              <w:left w:w="240" w:type="dxa"/>
              <w:bottom w:w="150" w:type="dxa"/>
              <w:right w:w="240" w:type="dxa"/>
            </w:tcMar>
            <w:vAlign w:val="center"/>
            <w:hideMark/>
          </w:tcPr>
          <w:p w14:paraId="0864B6E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TNBC (n=284)</w:t>
            </w:r>
          </w:p>
        </w:tc>
        <w:tc>
          <w:tcPr>
            <w:tcW w:w="0" w:type="auto"/>
            <w:tcBorders>
              <w:top w:val="nil"/>
            </w:tcBorders>
            <w:tcMar>
              <w:top w:w="150" w:type="dxa"/>
              <w:left w:w="240" w:type="dxa"/>
              <w:bottom w:w="150" w:type="dxa"/>
              <w:right w:w="240" w:type="dxa"/>
            </w:tcMar>
            <w:vAlign w:val="center"/>
            <w:hideMark/>
          </w:tcPr>
          <w:p w14:paraId="1ACAB3E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P-value</w:t>
            </w:r>
          </w:p>
        </w:tc>
      </w:tr>
      <w:tr w:rsidR="003C455A" w:rsidRPr="003C455A" w14:paraId="5D77C157" w14:textId="77777777">
        <w:tc>
          <w:tcPr>
            <w:tcW w:w="0" w:type="auto"/>
            <w:tcMar>
              <w:top w:w="150" w:type="dxa"/>
              <w:left w:w="0" w:type="dxa"/>
              <w:bottom w:w="150" w:type="dxa"/>
              <w:right w:w="240" w:type="dxa"/>
            </w:tcMar>
            <w:vAlign w:val="center"/>
            <w:hideMark/>
          </w:tcPr>
          <w:p w14:paraId="4BD708A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Age, mean (SD)</w:t>
            </w:r>
          </w:p>
        </w:tc>
        <w:tc>
          <w:tcPr>
            <w:tcW w:w="0" w:type="auto"/>
            <w:tcMar>
              <w:top w:w="150" w:type="dxa"/>
              <w:left w:w="240" w:type="dxa"/>
              <w:bottom w:w="150" w:type="dxa"/>
              <w:right w:w="240" w:type="dxa"/>
            </w:tcMar>
            <w:vAlign w:val="center"/>
            <w:hideMark/>
          </w:tcPr>
          <w:p w14:paraId="13732EC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51.2 (11.8)</w:t>
            </w:r>
          </w:p>
        </w:tc>
        <w:tc>
          <w:tcPr>
            <w:tcW w:w="0" w:type="auto"/>
            <w:tcMar>
              <w:top w:w="150" w:type="dxa"/>
              <w:left w:w="240" w:type="dxa"/>
              <w:bottom w:w="150" w:type="dxa"/>
              <w:right w:w="240" w:type="dxa"/>
            </w:tcMar>
            <w:vAlign w:val="center"/>
            <w:hideMark/>
          </w:tcPr>
          <w:p w14:paraId="44D57E4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49.8 (10.9)</w:t>
            </w:r>
          </w:p>
        </w:tc>
        <w:tc>
          <w:tcPr>
            <w:tcW w:w="0" w:type="auto"/>
            <w:tcMar>
              <w:top w:w="150" w:type="dxa"/>
              <w:left w:w="240" w:type="dxa"/>
              <w:bottom w:w="150" w:type="dxa"/>
              <w:right w:w="240" w:type="dxa"/>
            </w:tcMar>
            <w:vAlign w:val="center"/>
            <w:hideMark/>
          </w:tcPr>
          <w:p w14:paraId="4D5A2D4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48.5 (11.2)</w:t>
            </w:r>
          </w:p>
        </w:tc>
        <w:tc>
          <w:tcPr>
            <w:tcW w:w="0" w:type="auto"/>
            <w:tcMar>
              <w:top w:w="150" w:type="dxa"/>
              <w:left w:w="240" w:type="dxa"/>
              <w:bottom w:w="150" w:type="dxa"/>
              <w:right w:w="240" w:type="dxa"/>
            </w:tcMar>
            <w:vAlign w:val="center"/>
            <w:hideMark/>
          </w:tcPr>
          <w:p w14:paraId="1788D611"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50.1 (11.5)</w:t>
            </w:r>
          </w:p>
        </w:tc>
        <w:tc>
          <w:tcPr>
            <w:tcW w:w="0" w:type="auto"/>
            <w:tcMar>
              <w:top w:w="150" w:type="dxa"/>
              <w:left w:w="240" w:type="dxa"/>
              <w:bottom w:w="150" w:type="dxa"/>
              <w:right w:w="0" w:type="dxa"/>
            </w:tcMar>
            <w:vAlign w:val="center"/>
            <w:hideMark/>
          </w:tcPr>
          <w:p w14:paraId="7788FDA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0.089</w:t>
            </w:r>
          </w:p>
        </w:tc>
      </w:tr>
      <w:tr w:rsidR="003C455A" w:rsidRPr="003C455A" w14:paraId="0F7292A2" w14:textId="77777777">
        <w:tc>
          <w:tcPr>
            <w:tcW w:w="0" w:type="auto"/>
            <w:tcMar>
              <w:top w:w="150" w:type="dxa"/>
              <w:left w:w="0" w:type="dxa"/>
              <w:bottom w:w="150" w:type="dxa"/>
              <w:right w:w="240" w:type="dxa"/>
            </w:tcMar>
            <w:vAlign w:val="center"/>
            <w:hideMark/>
          </w:tcPr>
          <w:p w14:paraId="5641002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Stage III/IV</w:t>
            </w:r>
          </w:p>
        </w:tc>
        <w:tc>
          <w:tcPr>
            <w:tcW w:w="0" w:type="auto"/>
            <w:tcMar>
              <w:top w:w="150" w:type="dxa"/>
              <w:left w:w="240" w:type="dxa"/>
              <w:bottom w:w="150" w:type="dxa"/>
              <w:right w:w="240" w:type="dxa"/>
            </w:tcMar>
            <w:vAlign w:val="center"/>
            <w:hideMark/>
          </w:tcPr>
          <w:p w14:paraId="16AF679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284 (46.5%)</w:t>
            </w:r>
          </w:p>
        </w:tc>
        <w:tc>
          <w:tcPr>
            <w:tcW w:w="0" w:type="auto"/>
            <w:tcMar>
              <w:top w:w="150" w:type="dxa"/>
              <w:left w:w="240" w:type="dxa"/>
              <w:bottom w:w="150" w:type="dxa"/>
              <w:right w:w="240" w:type="dxa"/>
            </w:tcMar>
            <w:vAlign w:val="center"/>
            <w:hideMark/>
          </w:tcPr>
          <w:p w14:paraId="622668D1"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84 (50.0%)</w:t>
            </w:r>
          </w:p>
        </w:tc>
        <w:tc>
          <w:tcPr>
            <w:tcW w:w="0" w:type="auto"/>
            <w:tcMar>
              <w:top w:w="150" w:type="dxa"/>
              <w:left w:w="240" w:type="dxa"/>
              <w:bottom w:w="150" w:type="dxa"/>
              <w:right w:w="240" w:type="dxa"/>
            </w:tcMar>
            <w:vAlign w:val="center"/>
            <w:hideMark/>
          </w:tcPr>
          <w:p w14:paraId="76900D0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71 (51.1%)</w:t>
            </w:r>
          </w:p>
        </w:tc>
        <w:tc>
          <w:tcPr>
            <w:tcW w:w="0" w:type="auto"/>
            <w:tcMar>
              <w:top w:w="150" w:type="dxa"/>
              <w:left w:w="240" w:type="dxa"/>
              <w:bottom w:w="150" w:type="dxa"/>
              <w:right w:w="240" w:type="dxa"/>
            </w:tcMar>
            <w:vAlign w:val="center"/>
            <w:hideMark/>
          </w:tcPr>
          <w:p w14:paraId="0F502C4C"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165 (58.1%)</w:t>
            </w:r>
          </w:p>
        </w:tc>
        <w:tc>
          <w:tcPr>
            <w:tcW w:w="0" w:type="auto"/>
            <w:tcMar>
              <w:top w:w="150" w:type="dxa"/>
              <w:left w:w="240" w:type="dxa"/>
              <w:bottom w:w="150" w:type="dxa"/>
              <w:right w:w="0" w:type="dxa"/>
            </w:tcMar>
            <w:vAlign w:val="center"/>
            <w:hideMark/>
          </w:tcPr>
          <w:p w14:paraId="11C00AF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2D666319" w14:textId="77777777">
        <w:tc>
          <w:tcPr>
            <w:tcW w:w="0" w:type="auto"/>
            <w:tcMar>
              <w:top w:w="150" w:type="dxa"/>
              <w:left w:w="0" w:type="dxa"/>
              <w:bottom w:w="150" w:type="dxa"/>
              <w:right w:w="240" w:type="dxa"/>
            </w:tcMar>
            <w:vAlign w:val="center"/>
            <w:hideMark/>
          </w:tcPr>
          <w:p w14:paraId="39701AF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Tumor &gt;5 cm</w:t>
            </w:r>
          </w:p>
        </w:tc>
        <w:tc>
          <w:tcPr>
            <w:tcW w:w="0" w:type="auto"/>
            <w:tcMar>
              <w:top w:w="150" w:type="dxa"/>
              <w:left w:w="240" w:type="dxa"/>
              <w:bottom w:w="150" w:type="dxa"/>
              <w:right w:w="240" w:type="dxa"/>
            </w:tcMar>
            <w:vAlign w:val="center"/>
            <w:hideMark/>
          </w:tcPr>
          <w:p w14:paraId="1CC6F52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121 (19.8%)</w:t>
            </w:r>
          </w:p>
        </w:tc>
        <w:tc>
          <w:tcPr>
            <w:tcW w:w="0" w:type="auto"/>
            <w:tcMar>
              <w:top w:w="150" w:type="dxa"/>
              <w:left w:w="240" w:type="dxa"/>
              <w:bottom w:w="150" w:type="dxa"/>
              <w:right w:w="240" w:type="dxa"/>
            </w:tcMar>
            <w:vAlign w:val="center"/>
            <w:hideMark/>
          </w:tcPr>
          <w:p w14:paraId="17B6E1C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41 (24.4%)</w:t>
            </w:r>
          </w:p>
        </w:tc>
        <w:tc>
          <w:tcPr>
            <w:tcW w:w="0" w:type="auto"/>
            <w:tcMar>
              <w:top w:w="150" w:type="dxa"/>
              <w:left w:w="240" w:type="dxa"/>
              <w:bottom w:w="150" w:type="dxa"/>
              <w:right w:w="240" w:type="dxa"/>
            </w:tcMar>
            <w:vAlign w:val="center"/>
            <w:hideMark/>
          </w:tcPr>
          <w:p w14:paraId="5E018E7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38 (27.3%)</w:t>
            </w:r>
          </w:p>
        </w:tc>
        <w:tc>
          <w:tcPr>
            <w:tcW w:w="0" w:type="auto"/>
            <w:tcMar>
              <w:top w:w="150" w:type="dxa"/>
              <w:left w:w="240" w:type="dxa"/>
              <w:bottom w:w="150" w:type="dxa"/>
              <w:right w:w="240" w:type="dxa"/>
            </w:tcMar>
            <w:vAlign w:val="center"/>
            <w:hideMark/>
          </w:tcPr>
          <w:p w14:paraId="7CC3B4B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92 (32.4%)</w:t>
            </w:r>
          </w:p>
        </w:tc>
        <w:tc>
          <w:tcPr>
            <w:tcW w:w="0" w:type="auto"/>
            <w:tcMar>
              <w:top w:w="150" w:type="dxa"/>
              <w:left w:w="240" w:type="dxa"/>
              <w:bottom w:w="150" w:type="dxa"/>
              <w:right w:w="0" w:type="dxa"/>
            </w:tcMar>
            <w:vAlign w:val="center"/>
            <w:hideMark/>
          </w:tcPr>
          <w:p w14:paraId="7AF8948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056CEB30" w14:textId="77777777">
        <w:tc>
          <w:tcPr>
            <w:tcW w:w="0" w:type="auto"/>
            <w:tcMar>
              <w:top w:w="150" w:type="dxa"/>
              <w:left w:w="0" w:type="dxa"/>
              <w:bottom w:w="150" w:type="dxa"/>
              <w:right w:w="240" w:type="dxa"/>
            </w:tcMar>
            <w:vAlign w:val="center"/>
            <w:hideMark/>
          </w:tcPr>
          <w:p w14:paraId="4BF4732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Grade 3</w:t>
            </w:r>
          </w:p>
        </w:tc>
        <w:tc>
          <w:tcPr>
            <w:tcW w:w="0" w:type="auto"/>
            <w:tcMar>
              <w:top w:w="150" w:type="dxa"/>
              <w:left w:w="240" w:type="dxa"/>
              <w:bottom w:w="150" w:type="dxa"/>
              <w:right w:w="240" w:type="dxa"/>
            </w:tcMar>
            <w:vAlign w:val="center"/>
            <w:hideMark/>
          </w:tcPr>
          <w:p w14:paraId="7BF2541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149 (24.4%)</w:t>
            </w:r>
          </w:p>
        </w:tc>
        <w:tc>
          <w:tcPr>
            <w:tcW w:w="0" w:type="auto"/>
            <w:tcMar>
              <w:top w:w="150" w:type="dxa"/>
              <w:left w:w="240" w:type="dxa"/>
              <w:bottom w:w="150" w:type="dxa"/>
              <w:right w:w="240" w:type="dxa"/>
            </w:tcMar>
            <w:vAlign w:val="center"/>
            <w:hideMark/>
          </w:tcPr>
          <w:p w14:paraId="1A8FF32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52 (31.0%)</w:t>
            </w:r>
          </w:p>
        </w:tc>
        <w:tc>
          <w:tcPr>
            <w:tcW w:w="0" w:type="auto"/>
            <w:tcMar>
              <w:top w:w="150" w:type="dxa"/>
              <w:left w:w="240" w:type="dxa"/>
              <w:bottom w:w="150" w:type="dxa"/>
              <w:right w:w="240" w:type="dxa"/>
            </w:tcMar>
            <w:vAlign w:val="center"/>
            <w:hideMark/>
          </w:tcPr>
          <w:p w14:paraId="1F701D6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51 (36.7%)</w:t>
            </w:r>
          </w:p>
        </w:tc>
        <w:tc>
          <w:tcPr>
            <w:tcW w:w="0" w:type="auto"/>
            <w:tcMar>
              <w:top w:w="150" w:type="dxa"/>
              <w:left w:w="240" w:type="dxa"/>
              <w:bottom w:w="150" w:type="dxa"/>
              <w:right w:w="240" w:type="dxa"/>
            </w:tcMar>
            <w:vAlign w:val="center"/>
            <w:hideMark/>
          </w:tcPr>
          <w:p w14:paraId="2B25948C"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128 (45.1%)</w:t>
            </w:r>
          </w:p>
        </w:tc>
        <w:tc>
          <w:tcPr>
            <w:tcW w:w="0" w:type="auto"/>
            <w:tcMar>
              <w:top w:w="150" w:type="dxa"/>
              <w:left w:w="240" w:type="dxa"/>
              <w:bottom w:w="150" w:type="dxa"/>
              <w:right w:w="0" w:type="dxa"/>
            </w:tcMar>
            <w:vAlign w:val="center"/>
            <w:hideMark/>
          </w:tcPr>
          <w:p w14:paraId="5BC0904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3D984BA4" w14:textId="77777777">
        <w:tc>
          <w:tcPr>
            <w:tcW w:w="0" w:type="auto"/>
            <w:tcMar>
              <w:top w:w="150" w:type="dxa"/>
              <w:left w:w="0" w:type="dxa"/>
              <w:bottom w:w="150" w:type="dxa"/>
              <w:right w:w="240" w:type="dxa"/>
            </w:tcMar>
            <w:vAlign w:val="center"/>
            <w:hideMark/>
          </w:tcPr>
          <w:p w14:paraId="3E8744A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Mastectomy (MRM)</w:t>
            </w:r>
          </w:p>
        </w:tc>
        <w:tc>
          <w:tcPr>
            <w:tcW w:w="0" w:type="auto"/>
            <w:tcMar>
              <w:top w:w="150" w:type="dxa"/>
              <w:left w:w="240" w:type="dxa"/>
              <w:bottom w:w="150" w:type="dxa"/>
              <w:right w:w="240" w:type="dxa"/>
            </w:tcMar>
            <w:vAlign w:val="center"/>
            <w:hideMark/>
          </w:tcPr>
          <w:p w14:paraId="6661F86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412 (67.4%)</w:t>
            </w:r>
          </w:p>
        </w:tc>
        <w:tc>
          <w:tcPr>
            <w:tcW w:w="0" w:type="auto"/>
            <w:tcMar>
              <w:top w:w="150" w:type="dxa"/>
              <w:left w:w="240" w:type="dxa"/>
              <w:bottom w:w="150" w:type="dxa"/>
              <w:right w:w="240" w:type="dxa"/>
            </w:tcMar>
            <w:vAlign w:val="center"/>
            <w:hideMark/>
          </w:tcPr>
          <w:p w14:paraId="5782C48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123 (73.2%)</w:t>
            </w:r>
          </w:p>
        </w:tc>
        <w:tc>
          <w:tcPr>
            <w:tcW w:w="0" w:type="auto"/>
            <w:tcMar>
              <w:top w:w="150" w:type="dxa"/>
              <w:left w:w="240" w:type="dxa"/>
              <w:bottom w:w="150" w:type="dxa"/>
              <w:right w:w="240" w:type="dxa"/>
            </w:tcMar>
            <w:vAlign w:val="center"/>
            <w:hideMark/>
          </w:tcPr>
          <w:p w14:paraId="4EB9813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105 (75.5%)</w:t>
            </w:r>
          </w:p>
        </w:tc>
        <w:tc>
          <w:tcPr>
            <w:tcW w:w="0" w:type="auto"/>
            <w:tcMar>
              <w:top w:w="150" w:type="dxa"/>
              <w:left w:w="240" w:type="dxa"/>
              <w:bottom w:w="150" w:type="dxa"/>
              <w:right w:w="240" w:type="dxa"/>
            </w:tcMar>
            <w:vAlign w:val="center"/>
            <w:hideMark/>
          </w:tcPr>
          <w:p w14:paraId="3D9E506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222 (78.2%)</w:t>
            </w:r>
          </w:p>
        </w:tc>
        <w:tc>
          <w:tcPr>
            <w:tcW w:w="0" w:type="auto"/>
            <w:tcMar>
              <w:top w:w="150" w:type="dxa"/>
              <w:left w:w="240" w:type="dxa"/>
              <w:bottom w:w="150" w:type="dxa"/>
              <w:right w:w="0" w:type="dxa"/>
            </w:tcMar>
            <w:vAlign w:val="center"/>
            <w:hideMark/>
          </w:tcPr>
          <w:p w14:paraId="7D8049B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0.003</w:t>
            </w:r>
          </w:p>
        </w:tc>
      </w:tr>
    </w:tbl>
    <w:p w14:paraId="169AB6E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Table 2: Treatment Patterns by Molecular Subtype</w:t>
      </w:r>
    </w:p>
    <w:tbl>
      <w:tblPr>
        <w:tblW w:w="0" w:type="auto"/>
        <w:tblCellMar>
          <w:top w:w="15" w:type="dxa"/>
          <w:left w:w="15" w:type="dxa"/>
          <w:bottom w:w="15" w:type="dxa"/>
          <w:right w:w="15" w:type="dxa"/>
        </w:tblCellMar>
        <w:tblLook w:val="04A0" w:firstRow="1" w:lastRow="0" w:firstColumn="1" w:lastColumn="0" w:noHBand="0" w:noVBand="1"/>
      </w:tblPr>
      <w:tblGrid>
        <w:gridCol w:w="1898"/>
        <w:gridCol w:w="1653"/>
        <w:gridCol w:w="1657"/>
        <w:gridCol w:w="1610"/>
        <w:gridCol w:w="1447"/>
        <w:gridCol w:w="1095"/>
      </w:tblGrid>
      <w:tr w:rsidR="003C455A" w:rsidRPr="003C455A" w14:paraId="54E7E86B" w14:textId="77777777">
        <w:trPr>
          <w:tblHeader/>
        </w:trPr>
        <w:tc>
          <w:tcPr>
            <w:tcW w:w="0" w:type="auto"/>
            <w:tcBorders>
              <w:top w:val="nil"/>
            </w:tcBorders>
            <w:tcMar>
              <w:top w:w="150" w:type="dxa"/>
              <w:left w:w="0" w:type="dxa"/>
              <w:bottom w:w="150" w:type="dxa"/>
              <w:right w:w="240" w:type="dxa"/>
            </w:tcMar>
            <w:vAlign w:val="center"/>
            <w:hideMark/>
          </w:tcPr>
          <w:p w14:paraId="4867C47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Treatment</w:t>
            </w:r>
          </w:p>
        </w:tc>
        <w:tc>
          <w:tcPr>
            <w:tcW w:w="0" w:type="auto"/>
            <w:tcBorders>
              <w:top w:val="nil"/>
            </w:tcBorders>
            <w:tcMar>
              <w:top w:w="150" w:type="dxa"/>
              <w:left w:w="240" w:type="dxa"/>
              <w:bottom w:w="150" w:type="dxa"/>
              <w:right w:w="240" w:type="dxa"/>
            </w:tcMar>
            <w:vAlign w:val="center"/>
            <w:hideMark/>
          </w:tcPr>
          <w:p w14:paraId="4FE7D494"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Luminal A-like</w:t>
            </w:r>
          </w:p>
        </w:tc>
        <w:tc>
          <w:tcPr>
            <w:tcW w:w="0" w:type="auto"/>
            <w:tcBorders>
              <w:top w:val="nil"/>
            </w:tcBorders>
            <w:tcMar>
              <w:top w:w="150" w:type="dxa"/>
              <w:left w:w="240" w:type="dxa"/>
              <w:bottom w:w="150" w:type="dxa"/>
              <w:right w:w="240" w:type="dxa"/>
            </w:tcMar>
            <w:vAlign w:val="center"/>
            <w:hideMark/>
          </w:tcPr>
          <w:p w14:paraId="0BD30E1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Luminal B-like</w:t>
            </w:r>
          </w:p>
        </w:tc>
        <w:tc>
          <w:tcPr>
            <w:tcW w:w="0" w:type="auto"/>
            <w:tcBorders>
              <w:top w:val="nil"/>
            </w:tcBorders>
            <w:tcMar>
              <w:top w:w="150" w:type="dxa"/>
              <w:left w:w="240" w:type="dxa"/>
              <w:bottom w:w="150" w:type="dxa"/>
              <w:right w:w="240" w:type="dxa"/>
            </w:tcMar>
            <w:vAlign w:val="center"/>
            <w:hideMark/>
          </w:tcPr>
          <w:p w14:paraId="3ACFE6B7"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HER2-enriched</w:t>
            </w:r>
          </w:p>
        </w:tc>
        <w:tc>
          <w:tcPr>
            <w:tcW w:w="0" w:type="auto"/>
            <w:tcBorders>
              <w:top w:val="nil"/>
            </w:tcBorders>
            <w:tcMar>
              <w:top w:w="150" w:type="dxa"/>
              <w:left w:w="240" w:type="dxa"/>
              <w:bottom w:w="150" w:type="dxa"/>
              <w:right w:w="240" w:type="dxa"/>
            </w:tcMar>
            <w:vAlign w:val="center"/>
            <w:hideMark/>
          </w:tcPr>
          <w:p w14:paraId="54D2BEF7"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TNBC</w:t>
            </w:r>
          </w:p>
        </w:tc>
        <w:tc>
          <w:tcPr>
            <w:tcW w:w="0" w:type="auto"/>
            <w:tcBorders>
              <w:top w:val="nil"/>
            </w:tcBorders>
            <w:tcMar>
              <w:top w:w="150" w:type="dxa"/>
              <w:left w:w="240" w:type="dxa"/>
              <w:bottom w:w="150" w:type="dxa"/>
              <w:right w:w="240" w:type="dxa"/>
            </w:tcMar>
            <w:vAlign w:val="center"/>
            <w:hideMark/>
          </w:tcPr>
          <w:p w14:paraId="33F4E45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P-value</w:t>
            </w:r>
          </w:p>
        </w:tc>
      </w:tr>
      <w:tr w:rsidR="003C455A" w:rsidRPr="003C455A" w14:paraId="7A740D38" w14:textId="77777777">
        <w:tc>
          <w:tcPr>
            <w:tcW w:w="0" w:type="auto"/>
            <w:tcMar>
              <w:top w:w="150" w:type="dxa"/>
              <w:left w:w="0" w:type="dxa"/>
              <w:bottom w:w="150" w:type="dxa"/>
              <w:right w:w="240" w:type="dxa"/>
            </w:tcMar>
            <w:vAlign w:val="center"/>
            <w:hideMark/>
          </w:tcPr>
          <w:p w14:paraId="5FCC276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Chemotherapy</w:t>
            </w:r>
          </w:p>
        </w:tc>
        <w:tc>
          <w:tcPr>
            <w:tcW w:w="0" w:type="auto"/>
            <w:tcMar>
              <w:top w:w="150" w:type="dxa"/>
              <w:left w:w="240" w:type="dxa"/>
              <w:bottom w:w="150" w:type="dxa"/>
              <w:right w:w="240" w:type="dxa"/>
            </w:tcMar>
            <w:vAlign w:val="center"/>
            <w:hideMark/>
          </w:tcPr>
          <w:p w14:paraId="3610DF7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572 (93.6%)</w:t>
            </w:r>
          </w:p>
        </w:tc>
        <w:tc>
          <w:tcPr>
            <w:tcW w:w="0" w:type="auto"/>
            <w:tcMar>
              <w:top w:w="150" w:type="dxa"/>
              <w:left w:w="240" w:type="dxa"/>
              <w:bottom w:w="150" w:type="dxa"/>
              <w:right w:w="240" w:type="dxa"/>
            </w:tcMar>
            <w:vAlign w:val="center"/>
            <w:hideMark/>
          </w:tcPr>
          <w:p w14:paraId="405A409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160 (95.2%)</w:t>
            </w:r>
          </w:p>
        </w:tc>
        <w:tc>
          <w:tcPr>
            <w:tcW w:w="0" w:type="auto"/>
            <w:tcMar>
              <w:top w:w="150" w:type="dxa"/>
              <w:left w:w="240" w:type="dxa"/>
              <w:bottom w:w="150" w:type="dxa"/>
              <w:right w:w="240" w:type="dxa"/>
            </w:tcMar>
            <w:vAlign w:val="center"/>
            <w:hideMark/>
          </w:tcPr>
          <w:p w14:paraId="616C783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133 (95.7%)</w:t>
            </w:r>
          </w:p>
        </w:tc>
        <w:tc>
          <w:tcPr>
            <w:tcW w:w="0" w:type="auto"/>
            <w:tcMar>
              <w:top w:w="150" w:type="dxa"/>
              <w:left w:w="240" w:type="dxa"/>
              <w:bottom w:w="150" w:type="dxa"/>
              <w:right w:w="240" w:type="dxa"/>
            </w:tcMar>
            <w:vAlign w:val="center"/>
            <w:hideMark/>
          </w:tcPr>
          <w:p w14:paraId="194D630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279 (98.2%)</w:t>
            </w:r>
          </w:p>
        </w:tc>
        <w:tc>
          <w:tcPr>
            <w:tcW w:w="0" w:type="auto"/>
            <w:tcMar>
              <w:top w:w="150" w:type="dxa"/>
              <w:left w:w="240" w:type="dxa"/>
              <w:bottom w:w="150" w:type="dxa"/>
              <w:right w:w="0" w:type="dxa"/>
            </w:tcMar>
            <w:vAlign w:val="center"/>
            <w:hideMark/>
          </w:tcPr>
          <w:p w14:paraId="48DDA79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0.012</w:t>
            </w:r>
          </w:p>
        </w:tc>
      </w:tr>
      <w:tr w:rsidR="003C455A" w:rsidRPr="003C455A" w14:paraId="4C396F79" w14:textId="77777777">
        <w:tc>
          <w:tcPr>
            <w:tcW w:w="0" w:type="auto"/>
            <w:tcMar>
              <w:top w:w="150" w:type="dxa"/>
              <w:left w:w="0" w:type="dxa"/>
              <w:bottom w:w="150" w:type="dxa"/>
              <w:right w:w="240" w:type="dxa"/>
            </w:tcMar>
            <w:vAlign w:val="center"/>
            <w:hideMark/>
          </w:tcPr>
          <w:p w14:paraId="512C1FB8"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Endocrine Therapy</w:t>
            </w:r>
          </w:p>
        </w:tc>
        <w:tc>
          <w:tcPr>
            <w:tcW w:w="0" w:type="auto"/>
            <w:tcMar>
              <w:top w:w="150" w:type="dxa"/>
              <w:left w:w="240" w:type="dxa"/>
              <w:bottom w:w="150" w:type="dxa"/>
              <w:right w:w="240" w:type="dxa"/>
            </w:tcMar>
            <w:vAlign w:val="center"/>
            <w:hideMark/>
          </w:tcPr>
          <w:p w14:paraId="24C9B1C8"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373/611 (61.0%)</w:t>
            </w:r>
          </w:p>
        </w:tc>
        <w:tc>
          <w:tcPr>
            <w:tcW w:w="0" w:type="auto"/>
            <w:tcMar>
              <w:top w:w="150" w:type="dxa"/>
              <w:left w:w="240" w:type="dxa"/>
              <w:bottom w:w="150" w:type="dxa"/>
              <w:right w:w="240" w:type="dxa"/>
            </w:tcMar>
            <w:vAlign w:val="center"/>
            <w:hideMark/>
          </w:tcPr>
          <w:p w14:paraId="68B61A9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101/168 (60.1%)</w:t>
            </w:r>
          </w:p>
        </w:tc>
        <w:tc>
          <w:tcPr>
            <w:tcW w:w="0" w:type="auto"/>
            <w:tcMar>
              <w:top w:w="150" w:type="dxa"/>
              <w:left w:w="240" w:type="dxa"/>
              <w:bottom w:w="150" w:type="dxa"/>
              <w:right w:w="240" w:type="dxa"/>
            </w:tcMar>
            <w:vAlign w:val="center"/>
            <w:hideMark/>
          </w:tcPr>
          <w:p w14:paraId="2D284537"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w:t>
            </w:r>
          </w:p>
        </w:tc>
        <w:tc>
          <w:tcPr>
            <w:tcW w:w="0" w:type="auto"/>
            <w:tcMar>
              <w:top w:w="150" w:type="dxa"/>
              <w:left w:w="240" w:type="dxa"/>
              <w:bottom w:w="150" w:type="dxa"/>
              <w:right w:w="240" w:type="dxa"/>
            </w:tcMar>
            <w:vAlign w:val="center"/>
            <w:hideMark/>
          </w:tcPr>
          <w:p w14:paraId="7CF427B1"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w:t>
            </w:r>
          </w:p>
        </w:tc>
        <w:tc>
          <w:tcPr>
            <w:tcW w:w="0" w:type="auto"/>
            <w:tcMar>
              <w:top w:w="150" w:type="dxa"/>
              <w:left w:w="240" w:type="dxa"/>
              <w:bottom w:w="150" w:type="dxa"/>
              <w:right w:w="0" w:type="dxa"/>
            </w:tcMar>
            <w:vAlign w:val="center"/>
            <w:hideMark/>
          </w:tcPr>
          <w:p w14:paraId="3DA3B3E7"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0.836</w:t>
            </w:r>
          </w:p>
        </w:tc>
      </w:tr>
      <w:tr w:rsidR="003C455A" w:rsidRPr="003C455A" w14:paraId="7B47A501" w14:textId="77777777">
        <w:tc>
          <w:tcPr>
            <w:tcW w:w="0" w:type="auto"/>
            <w:tcMar>
              <w:top w:w="150" w:type="dxa"/>
              <w:left w:w="0" w:type="dxa"/>
              <w:bottom w:w="150" w:type="dxa"/>
              <w:right w:w="240" w:type="dxa"/>
            </w:tcMar>
            <w:vAlign w:val="center"/>
            <w:hideMark/>
          </w:tcPr>
          <w:p w14:paraId="52764488"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Anti-HER2 Therapy</w:t>
            </w:r>
          </w:p>
        </w:tc>
        <w:tc>
          <w:tcPr>
            <w:tcW w:w="0" w:type="auto"/>
            <w:tcMar>
              <w:top w:w="150" w:type="dxa"/>
              <w:left w:w="240" w:type="dxa"/>
              <w:bottom w:w="150" w:type="dxa"/>
              <w:right w:w="240" w:type="dxa"/>
            </w:tcMar>
            <w:vAlign w:val="center"/>
            <w:hideMark/>
          </w:tcPr>
          <w:p w14:paraId="1E2FEB8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w:t>
            </w:r>
          </w:p>
        </w:tc>
        <w:tc>
          <w:tcPr>
            <w:tcW w:w="0" w:type="auto"/>
            <w:tcMar>
              <w:top w:w="150" w:type="dxa"/>
              <w:left w:w="240" w:type="dxa"/>
              <w:bottom w:w="150" w:type="dxa"/>
              <w:right w:w="240" w:type="dxa"/>
            </w:tcMar>
            <w:vAlign w:val="center"/>
            <w:hideMark/>
          </w:tcPr>
          <w:p w14:paraId="2F6A5C07"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51/168 (30.4%)</w:t>
            </w:r>
          </w:p>
        </w:tc>
        <w:tc>
          <w:tcPr>
            <w:tcW w:w="0" w:type="auto"/>
            <w:tcMar>
              <w:top w:w="150" w:type="dxa"/>
              <w:left w:w="240" w:type="dxa"/>
              <w:bottom w:w="150" w:type="dxa"/>
              <w:right w:w="240" w:type="dxa"/>
            </w:tcMar>
            <w:vAlign w:val="center"/>
            <w:hideMark/>
          </w:tcPr>
          <w:p w14:paraId="1E5939C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46/139 (33.1%)</w:t>
            </w:r>
          </w:p>
        </w:tc>
        <w:tc>
          <w:tcPr>
            <w:tcW w:w="0" w:type="auto"/>
            <w:tcMar>
              <w:top w:w="150" w:type="dxa"/>
              <w:left w:w="240" w:type="dxa"/>
              <w:bottom w:w="150" w:type="dxa"/>
              <w:right w:w="240" w:type="dxa"/>
            </w:tcMar>
            <w:vAlign w:val="center"/>
            <w:hideMark/>
          </w:tcPr>
          <w:p w14:paraId="600B75B1"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w:t>
            </w:r>
          </w:p>
        </w:tc>
        <w:tc>
          <w:tcPr>
            <w:tcW w:w="0" w:type="auto"/>
            <w:tcMar>
              <w:top w:w="150" w:type="dxa"/>
              <w:left w:w="240" w:type="dxa"/>
              <w:bottom w:w="150" w:type="dxa"/>
              <w:right w:w="0" w:type="dxa"/>
            </w:tcMar>
            <w:vAlign w:val="center"/>
            <w:hideMark/>
          </w:tcPr>
          <w:p w14:paraId="32AEE9A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0.601</w:t>
            </w:r>
          </w:p>
        </w:tc>
      </w:tr>
      <w:tr w:rsidR="003C455A" w:rsidRPr="003C455A" w14:paraId="1F4553ED" w14:textId="77777777">
        <w:tc>
          <w:tcPr>
            <w:tcW w:w="0" w:type="auto"/>
            <w:tcMar>
              <w:top w:w="150" w:type="dxa"/>
              <w:left w:w="0" w:type="dxa"/>
              <w:bottom w:w="150" w:type="dxa"/>
              <w:right w:w="240" w:type="dxa"/>
            </w:tcMar>
            <w:vAlign w:val="center"/>
            <w:hideMark/>
          </w:tcPr>
          <w:p w14:paraId="06920DA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BCS</w:t>
            </w:r>
          </w:p>
        </w:tc>
        <w:tc>
          <w:tcPr>
            <w:tcW w:w="0" w:type="auto"/>
            <w:tcMar>
              <w:top w:w="150" w:type="dxa"/>
              <w:left w:w="240" w:type="dxa"/>
              <w:bottom w:w="150" w:type="dxa"/>
              <w:right w:w="240" w:type="dxa"/>
            </w:tcMar>
            <w:vAlign w:val="center"/>
            <w:hideMark/>
          </w:tcPr>
          <w:p w14:paraId="2C23787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112 (18.3%)</w:t>
            </w:r>
          </w:p>
        </w:tc>
        <w:tc>
          <w:tcPr>
            <w:tcW w:w="0" w:type="auto"/>
            <w:tcMar>
              <w:top w:w="150" w:type="dxa"/>
              <w:left w:w="240" w:type="dxa"/>
              <w:bottom w:w="150" w:type="dxa"/>
              <w:right w:w="240" w:type="dxa"/>
            </w:tcMar>
            <w:vAlign w:val="center"/>
            <w:hideMark/>
          </w:tcPr>
          <w:p w14:paraId="67D2610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21 (12.5%)</w:t>
            </w:r>
          </w:p>
        </w:tc>
        <w:tc>
          <w:tcPr>
            <w:tcW w:w="0" w:type="auto"/>
            <w:tcMar>
              <w:top w:w="150" w:type="dxa"/>
              <w:left w:w="240" w:type="dxa"/>
              <w:bottom w:w="150" w:type="dxa"/>
              <w:right w:w="240" w:type="dxa"/>
            </w:tcMar>
            <w:vAlign w:val="center"/>
            <w:hideMark/>
          </w:tcPr>
          <w:p w14:paraId="0CE1089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15 (10.8%)</w:t>
            </w:r>
          </w:p>
        </w:tc>
        <w:tc>
          <w:tcPr>
            <w:tcW w:w="0" w:type="auto"/>
            <w:tcMar>
              <w:top w:w="150" w:type="dxa"/>
              <w:left w:w="240" w:type="dxa"/>
              <w:bottom w:w="150" w:type="dxa"/>
              <w:right w:w="240" w:type="dxa"/>
            </w:tcMar>
            <w:vAlign w:val="center"/>
            <w:hideMark/>
          </w:tcPr>
          <w:p w14:paraId="3012269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27 (9.5%)</w:t>
            </w:r>
          </w:p>
        </w:tc>
        <w:tc>
          <w:tcPr>
            <w:tcW w:w="0" w:type="auto"/>
            <w:tcMar>
              <w:top w:w="150" w:type="dxa"/>
              <w:left w:w="240" w:type="dxa"/>
              <w:bottom w:w="150" w:type="dxa"/>
              <w:right w:w="0" w:type="dxa"/>
            </w:tcMar>
            <w:vAlign w:val="center"/>
            <w:hideMark/>
          </w:tcPr>
          <w:p w14:paraId="435E99F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bl>
    <w:p w14:paraId="41B1719B"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Table 3: Multivariate Logistic Regression for Predictors of Mortality</w:t>
      </w:r>
    </w:p>
    <w:tbl>
      <w:tblPr>
        <w:tblW w:w="0" w:type="auto"/>
        <w:tblCellMar>
          <w:top w:w="15" w:type="dxa"/>
          <w:left w:w="15" w:type="dxa"/>
          <w:bottom w:w="15" w:type="dxa"/>
          <w:right w:w="15" w:type="dxa"/>
        </w:tblCellMar>
        <w:tblLook w:val="04A0" w:firstRow="1" w:lastRow="0" w:firstColumn="1" w:lastColumn="0" w:noHBand="0" w:noVBand="1"/>
      </w:tblPr>
      <w:tblGrid>
        <w:gridCol w:w="3935"/>
        <w:gridCol w:w="1740"/>
        <w:gridCol w:w="1520"/>
        <w:gridCol w:w="1214"/>
      </w:tblGrid>
      <w:tr w:rsidR="003C455A" w:rsidRPr="003C455A" w14:paraId="6064D954" w14:textId="77777777">
        <w:trPr>
          <w:tblHeader/>
        </w:trPr>
        <w:tc>
          <w:tcPr>
            <w:tcW w:w="0" w:type="auto"/>
            <w:tcBorders>
              <w:top w:val="nil"/>
            </w:tcBorders>
            <w:tcMar>
              <w:top w:w="150" w:type="dxa"/>
              <w:left w:w="0" w:type="dxa"/>
              <w:bottom w:w="150" w:type="dxa"/>
              <w:right w:w="240" w:type="dxa"/>
            </w:tcMar>
            <w:vAlign w:val="center"/>
            <w:hideMark/>
          </w:tcPr>
          <w:p w14:paraId="4F601E3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Predictor</w:t>
            </w:r>
          </w:p>
        </w:tc>
        <w:tc>
          <w:tcPr>
            <w:tcW w:w="0" w:type="auto"/>
            <w:tcBorders>
              <w:top w:val="nil"/>
            </w:tcBorders>
            <w:tcMar>
              <w:top w:w="150" w:type="dxa"/>
              <w:left w:w="240" w:type="dxa"/>
              <w:bottom w:w="150" w:type="dxa"/>
              <w:right w:w="240" w:type="dxa"/>
            </w:tcMar>
            <w:vAlign w:val="center"/>
            <w:hideMark/>
          </w:tcPr>
          <w:p w14:paraId="3574658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Adjusted OR</w:t>
            </w:r>
          </w:p>
        </w:tc>
        <w:tc>
          <w:tcPr>
            <w:tcW w:w="0" w:type="auto"/>
            <w:tcBorders>
              <w:top w:val="nil"/>
            </w:tcBorders>
            <w:tcMar>
              <w:top w:w="150" w:type="dxa"/>
              <w:left w:w="240" w:type="dxa"/>
              <w:bottom w:w="150" w:type="dxa"/>
              <w:right w:w="240" w:type="dxa"/>
            </w:tcMar>
            <w:vAlign w:val="center"/>
            <w:hideMark/>
          </w:tcPr>
          <w:p w14:paraId="4D677FF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95% CI</w:t>
            </w:r>
          </w:p>
        </w:tc>
        <w:tc>
          <w:tcPr>
            <w:tcW w:w="0" w:type="auto"/>
            <w:tcBorders>
              <w:top w:val="nil"/>
            </w:tcBorders>
            <w:tcMar>
              <w:top w:w="150" w:type="dxa"/>
              <w:left w:w="240" w:type="dxa"/>
              <w:bottom w:w="150" w:type="dxa"/>
              <w:right w:w="240" w:type="dxa"/>
            </w:tcMar>
            <w:vAlign w:val="center"/>
            <w:hideMark/>
          </w:tcPr>
          <w:p w14:paraId="16A5597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P-value</w:t>
            </w:r>
          </w:p>
        </w:tc>
      </w:tr>
      <w:tr w:rsidR="003C455A" w:rsidRPr="003C455A" w14:paraId="4C62EDB0" w14:textId="77777777">
        <w:tc>
          <w:tcPr>
            <w:tcW w:w="0" w:type="auto"/>
            <w:tcMar>
              <w:top w:w="150" w:type="dxa"/>
              <w:left w:w="0" w:type="dxa"/>
              <w:bottom w:w="150" w:type="dxa"/>
              <w:right w:w="240" w:type="dxa"/>
            </w:tcMar>
            <w:vAlign w:val="center"/>
            <w:hideMark/>
          </w:tcPr>
          <w:p w14:paraId="17F25BD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TNBC Subtype</w:t>
            </w:r>
          </w:p>
        </w:tc>
        <w:tc>
          <w:tcPr>
            <w:tcW w:w="0" w:type="auto"/>
            <w:tcMar>
              <w:top w:w="150" w:type="dxa"/>
              <w:left w:w="240" w:type="dxa"/>
              <w:bottom w:w="150" w:type="dxa"/>
              <w:right w:w="240" w:type="dxa"/>
            </w:tcMar>
            <w:vAlign w:val="center"/>
            <w:hideMark/>
          </w:tcPr>
          <w:p w14:paraId="47B9DEEF"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2.82</w:t>
            </w:r>
          </w:p>
        </w:tc>
        <w:tc>
          <w:tcPr>
            <w:tcW w:w="0" w:type="auto"/>
            <w:tcMar>
              <w:top w:w="150" w:type="dxa"/>
              <w:left w:w="240" w:type="dxa"/>
              <w:bottom w:w="150" w:type="dxa"/>
              <w:right w:w="240" w:type="dxa"/>
            </w:tcMar>
            <w:vAlign w:val="center"/>
            <w:hideMark/>
          </w:tcPr>
          <w:p w14:paraId="40AA4786"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1.64 - 4.85</w:t>
            </w:r>
          </w:p>
        </w:tc>
        <w:tc>
          <w:tcPr>
            <w:tcW w:w="0" w:type="auto"/>
            <w:tcMar>
              <w:top w:w="150" w:type="dxa"/>
              <w:left w:w="240" w:type="dxa"/>
              <w:bottom w:w="150" w:type="dxa"/>
              <w:right w:w="0" w:type="dxa"/>
            </w:tcMar>
            <w:vAlign w:val="center"/>
            <w:hideMark/>
          </w:tcPr>
          <w:p w14:paraId="5F86AB3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0054D8BD" w14:textId="77777777">
        <w:tc>
          <w:tcPr>
            <w:tcW w:w="0" w:type="auto"/>
            <w:tcMar>
              <w:top w:w="150" w:type="dxa"/>
              <w:left w:w="0" w:type="dxa"/>
              <w:bottom w:w="150" w:type="dxa"/>
              <w:right w:w="240" w:type="dxa"/>
            </w:tcMar>
            <w:vAlign w:val="center"/>
            <w:hideMark/>
          </w:tcPr>
          <w:p w14:paraId="0A45663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Lack of Guideline-Adherent Therapy*</w:t>
            </w:r>
          </w:p>
        </w:tc>
        <w:tc>
          <w:tcPr>
            <w:tcW w:w="0" w:type="auto"/>
            <w:tcMar>
              <w:top w:w="150" w:type="dxa"/>
              <w:left w:w="240" w:type="dxa"/>
              <w:bottom w:w="150" w:type="dxa"/>
              <w:right w:w="240" w:type="dxa"/>
            </w:tcMar>
            <w:vAlign w:val="center"/>
            <w:hideMark/>
          </w:tcPr>
          <w:p w14:paraId="236DEC79"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3.12</w:t>
            </w:r>
          </w:p>
        </w:tc>
        <w:tc>
          <w:tcPr>
            <w:tcW w:w="0" w:type="auto"/>
            <w:tcMar>
              <w:top w:w="150" w:type="dxa"/>
              <w:left w:w="240" w:type="dxa"/>
              <w:bottom w:w="150" w:type="dxa"/>
              <w:right w:w="240" w:type="dxa"/>
            </w:tcMar>
            <w:vAlign w:val="center"/>
            <w:hideMark/>
          </w:tcPr>
          <w:p w14:paraId="4B1597C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1.81 - 5.38</w:t>
            </w:r>
          </w:p>
        </w:tc>
        <w:tc>
          <w:tcPr>
            <w:tcW w:w="0" w:type="auto"/>
            <w:tcMar>
              <w:top w:w="150" w:type="dxa"/>
              <w:left w:w="240" w:type="dxa"/>
              <w:bottom w:w="150" w:type="dxa"/>
              <w:right w:w="0" w:type="dxa"/>
            </w:tcMar>
            <w:vAlign w:val="center"/>
            <w:hideMark/>
          </w:tcPr>
          <w:p w14:paraId="166D760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4A1A31FB" w14:textId="77777777">
        <w:tc>
          <w:tcPr>
            <w:tcW w:w="0" w:type="auto"/>
            <w:tcMar>
              <w:top w:w="150" w:type="dxa"/>
              <w:left w:w="0" w:type="dxa"/>
              <w:bottom w:w="150" w:type="dxa"/>
              <w:right w:w="240" w:type="dxa"/>
            </w:tcMar>
            <w:vAlign w:val="center"/>
            <w:hideMark/>
          </w:tcPr>
          <w:p w14:paraId="520B6C01"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Stage III/IV</w:t>
            </w:r>
          </w:p>
        </w:tc>
        <w:tc>
          <w:tcPr>
            <w:tcW w:w="0" w:type="auto"/>
            <w:tcMar>
              <w:top w:w="150" w:type="dxa"/>
              <w:left w:w="240" w:type="dxa"/>
              <w:bottom w:w="150" w:type="dxa"/>
              <w:right w:w="240" w:type="dxa"/>
            </w:tcMar>
            <w:vAlign w:val="center"/>
            <w:hideMark/>
          </w:tcPr>
          <w:p w14:paraId="1B3B35B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2.95</w:t>
            </w:r>
          </w:p>
        </w:tc>
        <w:tc>
          <w:tcPr>
            <w:tcW w:w="0" w:type="auto"/>
            <w:tcMar>
              <w:top w:w="150" w:type="dxa"/>
              <w:left w:w="240" w:type="dxa"/>
              <w:bottom w:w="150" w:type="dxa"/>
              <w:right w:w="240" w:type="dxa"/>
            </w:tcMar>
            <w:vAlign w:val="center"/>
            <w:hideMark/>
          </w:tcPr>
          <w:p w14:paraId="4987623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1.70 - 5.12</w:t>
            </w:r>
          </w:p>
        </w:tc>
        <w:tc>
          <w:tcPr>
            <w:tcW w:w="0" w:type="auto"/>
            <w:tcMar>
              <w:top w:w="150" w:type="dxa"/>
              <w:left w:w="240" w:type="dxa"/>
              <w:bottom w:w="150" w:type="dxa"/>
              <w:right w:w="0" w:type="dxa"/>
            </w:tcMar>
            <w:vAlign w:val="center"/>
            <w:hideMark/>
          </w:tcPr>
          <w:p w14:paraId="69CF2062"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&lt;0.001</w:t>
            </w:r>
          </w:p>
        </w:tc>
      </w:tr>
      <w:tr w:rsidR="003C455A" w:rsidRPr="003C455A" w14:paraId="475B19F4" w14:textId="77777777">
        <w:tc>
          <w:tcPr>
            <w:tcW w:w="0" w:type="auto"/>
            <w:tcMar>
              <w:top w:w="150" w:type="dxa"/>
              <w:left w:w="0" w:type="dxa"/>
              <w:bottom w:w="150" w:type="dxa"/>
              <w:right w:w="240" w:type="dxa"/>
            </w:tcMar>
            <w:vAlign w:val="center"/>
            <w:hideMark/>
          </w:tcPr>
          <w:p w14:paraId="69FC56FA"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Age &gt;50</w:t>
            </w:r>
          </w:p>
        </w:tc>
        <w:tc>
          <w:tcPr>
            <w:tcW w:w="0" w:type="auto"/>
            <w:tcMar>
              <w:top w:w="150" w:type="dxa"/>
              <w:left w:w="240" w:type="dxa"/>
              <w:bottom w:w="150" w:type="dxa"/>
              <w:right w:w="240" w:type="dxa"/>
            </w:tcMar>
            <w:vAlign w:val="center"/>
            <w:hideMark/>
          </w:tcPr>
          <w:p w14:paraId="10A1AB23"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1.42</w:t>
            </w:r>
          </w:p>
        </w:tc>
        <w:tc>
          <w:tcPr>
            <w:tcW w:w="0" w:type="auto"/>
            <w:tcMar>
              <w:top w:w="150" w:type="dxa"/>
              <w:left w:w="240" w:type="dxa"/>
              <w:bottom w:w="150" w:type="dxa"/>
              <w:right w:w="240" w:type="dxa"/>
            </w:tcMar>
            <w:vAlign w:val="center"/>
            <w:hideMark/>
          </w:tcPr>
          <w:p w14:paraId="252F09ED"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0.92 - 2.20</w:t>
            </w:r>
          </w:p>
        </w:tc>
        <w:tc>
          <w:tcPr>
            <w:tcW w:w="0" w:type="auto"/>
            <w:tcMar>
              <w:top w:w="150" w:type="dxa"/>
              <w:left w:w="240" w:type="dxa"/>
              <w:bottom w:w="150" w:type="dxa"/>
              <w:right w:w="0" w:type="dxa"/>
            </w:tcMar>
            <w:vAlign w:val="center"/>
            <w:hideMark/>
          </w:tcPr>
          <w:p w14:paraId="189C8305"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0.114</w:t>
            </w:r>
          </w:p>
        </w:tc>
      </w:tr>
    </w:tbl>
    <w:p w14:paraId="0CFF75E4"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*Composite variable: Did not receive endocrine therapy if HR+, or anti-HER2 therapy if HER2+, or chemotherapy if TNBC.</w:t>
      </w:r>
    </w:p>
    <w:p w14:paraId="2E4FF329" w14:textId="77777777" w:rsidR="003C455A" w:rsidRDefault="003C455A" w:rsidP="003C455A">
      <w:pPr>
        <w:spacing w:line="360" w:lineRule="auto"/>
        <w:rPr>
          <w:rFonts w:asciiTheme="majorBidi" w:hAnsiTheme="majorBidi" w:cstheme="majorBidi"/>
          <w:b/>
          <w:bCs/>
          <w:sz w:val="24"/>
          <w:szCs w:val="24"/>
        </w:rPr>
      </w:pPr>
    </w:p>
    <w:p w14:paraId="0C1D8172" w14:textId="08EE055A"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 Discussion</w:t>
      </w:r>
    </w:p>
    <w:p w14:paraId="62FBB70C"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This study provides a stark, quantitative assessment of how the promise of precision oncology falters in the face of systemic collapse, revealing profound and lethal disparities in breast cancer care in Yemen. Our findings demonstrate that molecular subtyping, while biologically informative, translates into a survival hierarchy dictated not by biology alone, but critically by the availability of corresponding targeted therapies.</w:t>
      </w:r>
    </w:p>
    <w:p w14:paraId="6DAA2FE2"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lastRenderedPageBreak/>
        <w:t>4.1. The Triple-Negative Burden: Aggressive Biology Meets Therapeutic Austerity</w:t>
      </w:r>
    </w:p>
    <w:p w14:paraId="34FBD9DA" w14:textId="549AC489"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 xml:space="preserve">TNBC constituted nearly a quarter (24.3%) of our cohort, a proportion exceeding rates in Western populations (10-15%) and even those in neighboring Saudi Arabia (10-15%) </w:t>
      </w:r>
      <w:proofErr w:type="gramStart"/>
      <w:r w:rsidRPr="00E470B5">
        <w:rPr>
          <w:rFonts w:asciiTheme="majorBidi" w:hAnsiTheme="majorBidi" w:cstheme="majorBidi"/>
          <w:color w:val="000000" w:themeColor="text1"/>
          <w:sz w:val="24"/>
          <w:szCs w:val="24"/>
        </w:rPr>
        <w:t>(</w:t>
      </w:r>
      <w:r w:rsidR="00B96A60" w:rsidRPr="00E470B5">
        <w:rPr>
          <w:rFonts w:asciiTheme="majorBidi" w:hAnsiTheme="majorBidi" w:cstheme="majorBidi"/>
          <w:color w:val="000000" w:themeColor="text1"/>
          <w:sz w:val="24"/>
          <w:szCs w:val="24"/>
        </w:rPr>
        <w:t xml:space="preserve">  </w:t>
      </w:r>
      <w:r w:rsidRPr="00E470B5">
        <w:rPr>
          <w:rFonts w:asciiTheme="majorBidi" w:hAnsiTheme="majorBidi" w:cstheme="majorBidi"/>
          <w:color w:val="000000" w:themeColor="text1"/>
          <w:sz w:val="24"/>
          <w:szCs w:val="24"/>
        </w:rPr>
        <w:t>Bianchini</w:t>
      </w:r>
      <w:proofErr w:type="gramEnd"/>
      <w:r w:rsidRPr="00E470B5">
        <w:rPr>
          <w:rFonts w:asciiTheme="majorBidi" w:hAnsiTheme="majorBidi" w:cstheme="majorBidi"/>
          <w:color w:val="000000" w:themeColor="text1"/>
          <w:sz w:val="24"/>
          <w:szCs w:val="24"/>
        </w:rPr>
        <w:t xml:space="preserve"> et al., 2016; Alnegheimish et al., 2022</w:t>
      </w:r>
      <w:r w:rsidR="002B0A3F" w:rsidRPr="00E470B5">
        <w:rPr>
          <w:rFonts w:asciiTheme="majorBidi" w:hAnsiTheme="majorBidi" w:cstheme="majorBidi"/>
          <w:color w:val="000000" w:themeColor="text1"/>
          <w:sz w:val="24"/>
          <w:szCs w:val="24"/>
        </w:rPr>
        <w:t xml:space="preserve">, Hamid GA et al 2015 </w:t>
      </w:r>
      <w:r w:rsidRPr="00E470B5">
        <w:rPr>
          <w:rFonts w:asciiTheme="majorBidi" w:hAnsiTheme="majorBidi" w:cstheme="majorBidi"/>
          <w:color w:val="000000" w:themeColor="text1"/>
          <w:sz w:val="24"/>
          <w:szCs w:val="24"/>
        </w:rPr>
        <w:t>). This elevated prevalence, also noted in other African cohorts, may reflect population genetics, environmental factors, or a diagnostic bias where faster-growing TNBC tumors are more likely to become symptomatic and reach advanced stages in the absence of screening (</w:t>
      </w:r>
      <w:r w:rsidR="00B77F2E" w:rsidRPr="00E470B5">
        <w:rPr>
          <w:rFonts w:asciiTheme="majorBidi" w:hAnsiTheme="majorBidi" w:cstheme="majorBidi"/>
          <w:color w:val="000000" w:themeColor="text1"/>
          <w:sz w:val="24"/>
          <w:szCs w:val="24"/>
        </w:rPr>
        <w:t xml:space="preserve">14 </w:t>
      </w:r>
      <w:r w:rsidRPr="00E470B5">
        <w:rPr>
          <w:rFonts w:asciiTheme="majorBidi" w:hAnsiTheme="majorBidi" w:cstheme="majorBidi"/>
          <w:color w:val="000000" w:themeColor="text1"/>
          <w:sz w:val="24"/>
          <w:szCs w:val="24"/>
        </w:rPr>
        <w:t>Joko-Fru et al., 2020). Our data confirm the aggressive nature of TNBC in this setting: these patients presented with significantly larger tumors, higher grade, and more advanced stage.</w:t>
      </w:r>
    </w:p>
    <w:p w14:paraId="3CE157A3" w14:textId="27C5D743"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The survival penalty for TNBC patients was severe and independent. Even after controlling for the adverse factor of late stage, TNBC subtype carried a nearly three-fold increased odds of death (OR 2.8). This underscores a critical therapeutic void. In high-income settings, the prognosis for TNBC has improved with the advent of platinum-based chemotherapy, PARP inhibitors for BRCA-mutated cancers, and immunotherapy (</w:t>
      </w:r>
      <w:r w:rsidR="00B77F2E" w:rsidRPr="00E470B5">
        <w:rPr>
          <w:rFonts w:asciiTheme="majorBidi" w:hAnsiTheme="majorBidi" w:cstheme="majorBidi"/>
          <w:color w:val="000000" w:themeColor="text1"/>
          <w:sz w:val="24"/>
          <w:szCs w:val="24"/>
        </w:rPr>
        <w:t xml:space="preserve">15 </w:t>
      </w:r>
      <w:r w:rsidRPr="00E470B5">
        <w:rPr>
          <w:rFonts w:asciiTheme="majorBidi" w:hAnsiTheme="majorBidi" w:cstheme="majorBidi"/>
          <w:color w:val="000000" w:themeColor="text1"/>
          <w:sz w:val="24"/>
          <w:szCs w:val="24"/>
        </w:rPr>
        <w:t>Schmid et al., 2020). In Yemen, these agents are inaccessible. TNBC management is thus reduced to generic anthracycline/taxane chemotherapy, which, while received by 98.2% of TNBC patients in our study, is insufficient against this aggressive biology without targeted adjuncts. The high mastectomy rate (78.2%) further reflects the locally advanced presentation, leaving these patients with both poor survival and high morbidity.</w:t>
      </w:r>
    </w:p>
    <w:p w14:paraId="2BEBE115"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4.2. The HER2+ Paradox: Characterized but Untreated</w:t>
      </w:r>
    </w:p>
    <w:p w14:paraId="1326A671" w14:textId="698D614A"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The situation for HER2+ breast cancer (26.3% of cohort) represents a particularly tragic disparity. The discovery of HER2 and the development of trastuzumab revolutionized outcomes, transforming HER2+ disease from one of the worst prognoses to among the best (</w:t>
      </w:r>
      <w:r w:rsidR="00B77F2E" w:rsidRPr="00E470B5">
        <w:rPr>
          <w:rFonts w:asciiTheme="majorBidi" w:hAnsiTheme="majorBidi" w:cstheme="majorBidi"/>
          <w:color w:val="000000" w:themeColor="text1"/>
          <w:sz w:val="24"/>
          <w:szCs w:val="24"/>
        </w:rPr>
        <w:t xml:space="preserve">16 </w:t>
      </w:r>
      <w:r w:rsidRPr="00E470B5">
        <w:rPr>
          <w:rFonts w:asciiTheme="majorBidi" w:hAnsiTheme="majorBidi" w:cstheme="majorBidi"/>
          <w:color w:val="000000" w:themeColor="text1"/>
          <w:sz w:val="24"/>
          <w:szCs w:val="24"/>
        </w:rPr>
        <w:t>Slamon et al., 2001). In Yemen, this transformation is largely absent. Only 31.6% of HER2+ patients received trastuzumab. This access rate is catastrophically low compared to near-universal access in high-income countries and even to rates in more stable LMICs, where efforts by initiatives like the Access to Oncology Medicines (ATOM) Coalition are improving access (</w:t>
      </w:r>
      <w:r w:rsidR="00B77F2E" w:rsidRPr="00E470B5">
        <w:rPr>
          <w:rFonts w:asciiTheme="majorBidi" w:hAnsiTheme="majorBidi" w:cstheme="majorBidi"/>
          <w:color w:val="000000" w:themeColor="text1"/>
          <w:sz w:val="24"/>
          <w:szCs w:val="24"/>
        </w:rPr>
        <w:t xml:space="preserve">5 </w:t>
      </w:r>
      <w:r w:rsidRPr="00E470B5">
        <w:rPr>
          <w:rFonts w:asciiTheme="majorBidi" w:hAnsiTheme="majorBidi" w:cstheme="majorBidi"/>
          <w:color w:val="000000" w:themeColor="text1"/>
          <w:sz w:val="24"/>
          <w:szCs w:val="24"/>
        </w:rPr>
        <w:t>Rubinstein et al., 2020).</w:t>
      </w:r>
    </w:p>
    <w:p w14:paraId="4CCBFF49"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lastRenderedPageBreak/>
        <w:t>The consequence is evident in our survival data: HER2-enriched patients had a survival rate (48.9%) only marginally better than TNBC and significantly worse than Luminal subtypes. For HER2+ patients, not receiving anti-HER2 therapy was a significant independent predictor of mortality (OR 2.5). This represents a profound failure of the global health system to ensure equitable access to a life-saving, globally essential medicine. The similar access rates between Luminal B-like and HER2-enriched subtypes suggest the barrier is systemic (cost, supply chain) rather than based on clinical selection.</w:t>
      </w:r>
    </w:p>
    <w:p w14:paraId="490D833D"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4.3. The Luminal Gap: Undertreatment of a "Favorable" Subtype</w:t>
      </w:r>
    </w:p>
    <w:p w14:paraId="26708E55" w14:textId="20014E1F"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 xml:space="preserve">Even for Luminal (HR+) breast cancer, the most common and typically most treatable subtype, a significant treatment gap exists. Nearly 40% of HR+ patients did not receive endocrine therapy. This is not a minor oversight; our analysis identifies lack of guideline-adherent therapy as the strongest independent predictor of mortality overall (OR 3.1). Endocrine therapy (tamoxifen, aromatase inhibitors) is highly effective, low-cost, orally administered, and requires minimal monitoring. That its provision fails at such a scale points to breakdowns in drug procurement, distribution, patient education, and follow-up systems. This gap is more severe than in countries like India or Ghana, where endocrine therapy access in public sectors, while challenging, is often above 70-80% due to inclusion in national essential medicine lists </w:t>
      </w:r>
      <w:proofErr w:type="gramStart"/>
      <w:r w:rsidRPr="00E470B5">
        <w:rPr>
          <w:rFonts w:asciiTheme="majorBidi" w:hAnsiTheme="majorBidi" w:cstheme="majorBidi"/>
          <w:color w:val="000000" w:themeColor="text1"/>
          <w:sz w:val="24"/>
          <w:szCs w:val="24"/>
        </w:rPr>
        <w:t>(</w:t>
      </w:r>
      <w:r w:rsidR="00B77F2E" w:rsidRPr="00E470B5">
        <w:rPr>
          <w:rFonts w:asciiTheme="majorBidi" w:hAnsiTheme="majorBidi" w:cstheme="majorBidi"/>
          <w:color w:val="000000" w:themeColor="text1"/>
          <w:sz w:val="24"/>
          <w:szCs w:val="24"/>
        </w:rPr>
        <w:t xml:space="preserve"> 17</w:t>
      </w:r>
      <w:proofErr w:type="gramEnd"/>
      <w:r w:rsidR="00B77F2E" w:rsidRPr="00E470B5">
        <w:rPr>
          <w:rFonts w:asciiTheme="majorBidi" w:hAnsiTheme="majorBidi" w:cstheme="majorBidi"/>
          <w:color w:val="000000" w:themeColor="text1"/>
          <w:sz w:val="24"/>
          <w:szCs w:val="24"/>
        </w:rPr>
        <w:t xml:space="preserve"> ,4 </w:t>
      </w:r>
      <w:proofErr w:type="spellStart"/>
      <w:r w:rsidRPr="00E470B5">
        <w:rPr>
          <w:rFonts w:asciiTheme="majorBidi" w:hAnsiTheme="majorBidi" w:cstheme="majorBidi"/>
          <w:color w:val="000000" w:themeColor="text1"/>
          <w:sz w:val="24"/>
          <w:szCs w:val="24"/>
        </w:rPr>
        <w:t>Malvia</w:t>
      </w:r>
      <w:proofErr w:type="spellEnd"/>
      <w:r w:rsidRPr="00E470B5">
        <w:rPr>
          <w:rFonts w:asciiTheme="majorBidi" w:hAnsiTheme="majorBidi" w:cstheme="majorBidi"/>
          <w:color w:val="000000" w:themeColor="text1"/>
          <w:sz w:val="24"/>
          <w:szCs w:val="24"/>
        </w:rPr>
        <w:t xml:space="preserve"> et al., 2017; Vanderpuye et al., 2017).</w:t>
      </w:r>
    </w:p>
    <w:p w14:paraId="47111E2F"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4.4. Comparative Analysis: Yemen in the Global Context</w:t>
      </w:r>
    </w:p>
    <w:p w14:paraId="76BFB99A"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Table 4: Comparative Access to Targeted Therapy and Survival by Subtype</w:t>
      </w:r>
    </w:p>
    <w:tbl>
      <w:tblPr>
        <w:tblW w:w="0" w:type="auto"/>
        <w:tblCellMar>
          <w:top w:w="15" w:type="dxa"/>
          <w:left w:w="15" w:type="dxa"/>
          <w:bottom w:w="15" w:type="dxa"/>
          <w:right w:w="15" w:type="dxa"/>
        </w:tblCellMar>
        <w:tblLook w:val="04A0" w:firstRow="1" w:lastRow="0" w:firstColumn="1" w:lastColumn="0" w:noHBand="0" w:noVBand="1"/>
      </w:tblPr>
      <w:tblGrid>
        <w:gridCol w:w="1563"/>
        <w:gridCol w:w="1947"/>
        <w:gridCol w:w="1905"/>
        <w:gridCol w:w="1859"/>
        <w:gridCol w:w="2086"/>
      </w:tblGrid>
      <w:tr w:rsidR="003C455A" w:rsidRPr="00E470B5" w14:paraId="73E56CC9" w14:textId="77777777">
        <w:trPr>
          <w:tblHeader/>
        </w:trPr>
        <w:tc>
          <w:tcPr>
            <w:tcW w:w="0" w:type="auto"/>
            <w:tcBorders>
              <w:top w:val="nil"/>
            </w:tcBorders>
            <w:tcMar>
              <w:top w:w="150" w:type="dxa"/>
              <w:left w:w="0" w:type="dxa"/>
              <w:bottom w:w="150" w:type="dxa"/>
              <w:right w:w="240" w:type="dxa"/>
            </w:tcMar>
            <w:vAlign w:val="center"/>
            <w:hideMark/>
          </w:tcPr>
          <w:p w14:paraId="3440428E"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Metric</w:t>
            </w:r>
          </w:p>
        </w:tc>
        <w:tc>
          <w:tcPr>
            <w:tcW w:w="0" w:type="auto"/>
            <w:tcBorders>
              <w:top w:val="nil"/>
            </w:tcBorders>
            <w:tcMar>
              <w:top w:w="150" w:type="dxa"/>
              <w:left w:w="240" w:type="dxa"/>
              <w:bottom w:w="150" w:type="dxa"/>
              <w:right w:w="240" w:type="dxa"/>
            </w:tcMar>
            <w:vAlign w:val="center"/>
            <w:hideMark/>
          </w:tcPr>
          <w:p w14:paraId="204613EF"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Yemen (Current Study)</w:t>
            </w:r>
          </w:p>
        </w:tc>
        <w:tc>
          <w:tcPr>
            <w:tcW w:w="0" w:type="auto"/>
            <w:tcBorders>
              <w:top w:val="nil"/>
            </w:tcBorders>
            <w:tcMar>
              <w:top w:w="150" w:type="dxa"/>
              <w:left w:w="240" w:type="dxa"/>
              <w:bottom w:w="150" w:type="dxa"/>
              <w:right w:w="240" w:type="dxa"/>
            </w:tcMar>
            <w:vAlign w:val="center"/>
            <w:hideMark/>
          </w:tcPr>
          <w:p w14:paraId="3B778334" w14:textId="3479DDE1" w:rsidR="003C455A" w:rsidRPr="00E470B5" w:rsidRDefault="003C455A" w:rsidP="003C455A">
            <w:pPr>
              <w:spacing w:line="360" w:lineRule="auto"/>
              <w:rPr>
                <w:rFonts w:asciiTheme="majorBidi" w:hAnsiTheme="majorBidi" w:cstheme="majorBidi"/>
                <w:color w:val="000000" w:themeColor="text1"/>
                <w:sz w:val="24"/>
                <w:szCs w:val="24"/>
                <w:vertAlign w:val="superscript"/>
              </w:rPr>
            </w:pPr>
            <w:r w:rsidRPr="00E470B5">
              <w:rPr>
                <w:rFonts w:asciiTheme="majorBidi" w:hAnsiTheme="majorBidi" w:cstheme="majorBidi"/>
                <w:color w:val="000000" w:themeColor="text1"/>
                <w:sz w:val="24"/>
                <w:szCs w:val="24"/>
              </w:rPr>
              <w:t>Saudi Arabia*</w:t>
            </w:r>
            <w:r w:rsidR="00B77F2E" w:rsidRPr="00E470B5">
              <w:rPr>
                <w:rFonts w:asciiTheme="majorBidi" w:hAnsiTheme="majorBidi" w:cstheme="majorBidi"/>
                <w:color w:val="000000" w:themeColor="text1"/>
                <w:sz w:val="24"/>
                <w:szCs w:val="24"/>
                <w:vertAlign w:val="superscript"/>
              </w:rPr>
              <w:t>12</w:t>
            </w:r>
          </w:p>
        </w:tc>
        <w:tc>
          <w:tcPr>
            <w:tcW w:w="0" w:type="auto"/>
            <w:tcBorders>
              <w:top w:val="nil"/>
            </w:tcBorders>
            <w:tcMar>
              <w:top w:w="150" w:type="dxa"/>
              <w:left w:w="240" w:type="dxa"/>
              <w:bottom w:w="150" w:type="dxa"/>
              <w:right w:w="240" w:type="dxa"/>
            </w:tcMar>
            <w:vAlign w:val="center"/>
            <w:hideMark/>
          </w:tcPr>
          <w:p w14:paraId="72F13163" w14:textId="60FF1494"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United States†</w:t>
            </w:r>
            <w:r w:rsidR="00DD2418" w:rsidRPr="00E470B5">
              <w:rPr>
                <w:rFonts w:asciiTheme="majorBidi" w:hAnsiTheme="majorBidi" w:cstheme="majorBidi"/>
                <w:color w:val="000000" w:themeColor="text1"/>
                <w:sz w:val="24"/>
                <w:szCs w:val="24"/>
                <w:vertAlign w:val="superscript"/>
              </w:rPr>
              <w:t>3</w:t>
            </w:r>
          </w:p>
        </w:tc>
        <w:tc>
          <w:tcPr>
            <w:tcW w:w="0" w:type="auto"/>
            <w:tcBorders>
              <w:top w:val="nil"/>
            </w:tcBorders>
            <w:tcMar>
              <w:top w:w="150" w:type="dxa"/>
              <w:left w:w="240" w:type="dxa"/>
              <w:bottom w:w="150" w:type="dxa"/>
              <w:right w:w="240" w:type="dxa"/>
            </w:tcMar>
            <w:vAlign w:val="center"/>
            <w:hideMark/>
          </w:tcPr>
          <w:p w14:paraId="2A009874" w14:textId="1B0D212F" w:rsidR="003C455A" w:rsidRPr="00E470B5" w:rsidRDefault="003C455A" w:rsidP="003C455A">
            <w:pPr>
              <w:spacing w:line="360" w:lineRule="auto"/>
              <w:rPr>
                <w:rFonts w:asciiTheme="majorBidi" w:hAnsiTheme="majorBidi" w:cstheme="majorBidi"/>
                <w:color w:val="000000" w:themeColor="text1"/>
                <w:sz w:val="24"/>
                <w:szCs w:val="24"/>
                <w:vertAlign w:val="superscript"/>
              </w:rPr>
            </w:pPr>
            <w:r w:rsidRPr="00E470B5">
              <w:rPr>
                <w:rFonts w:asciiTheme="majorBidi" w:hAnsiTheme="majorBidi" w:cstheme="majorBidi"/>
                <w:color w:val="000000" w:themeColor="text1"/>
                <w:sz w:val="24"/>
                <w:szCs w:val="24"/>
              </w:rPr>
              <w:t>Sub-Saharan Africa‡</w:t>
            </w:r>
            <w:r w:rsidR="00DD2418" w:rsidRPr="00E470B5">
              <w:rPr>
                <w:rFonts w:asciiTheme="majorBidi" w:hAnsiTheme="majorBidi" w:cstheme="majorBidi"/>
                <w:color w:val="000000" w:themeColor="text1"/>
                <w:sz w:val="24"/>
                <w:szCs w:val="24"/>
                <w:vertAlign w:val="superscript"/>
              </w:rPr>
              <w:t>14,18</w:t>
            </w:r>
          </w:p>
        </w:tc>
      </w:tr>
      <w:tr w:rsidR="003C455A" w:rsidRPr="00E470B5" w14:paraId="165ACB9E" w14:textId="77777777">
        <w:tc>
          <w:tcPr>
            <w:tcW w:w="0" w:type="auto"/>
            <w:tcMar>
              <w:top w:w="150" w:type="dxa"/>
              <w:left w:w="0" w:type="dxa"/>
              <w:bottom w:w="150" w:type="dxa"/>
              <w:right w:w="240" w:type="dxa"/>
            </w:tcMar>
            <w:vAlign w:val="center"/>
            <w:hideMark/>
          </w:tcPr>
          <w:p w14:paraId="438B4245"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TNBC Prevalence</w:t>
            </w:r>
          </w:p>
        </w:tc>
        <w:tc>
          <w:tcPr>
            <w:tcW w:w="0" w:type="auto"/>
            <w:tcMar>
              <w:top w:w="150" w:type="dxa"/>
              <w:left w:w="240" w:type="dxa"/>
              <w:bottom w:w="150" w:type="dxa"/>
              <w:right w:w="240" w:type="dxa"/>
            </w:tcMar>
            <w:vAlign w:val="center"/>
            <w:hideMark/>
          </w:tcPr>
          <w:p w14:paraId="507A3698"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24.3%</w:t>
            </w:r>
          </w:p>
        </w:tc>
        <w:tc>
          <w:tcPr>
            <w:tcW w:w="0" w:type="auto"/>
            <w:tcMar>
              <w:top w:w="150" w:type="dxa"/>
              <w:left w:w="240" w:type="dxa"/>
              <w:bottom w:w="150" w:type="dxa"/>
              <w:right w:w="240" w:type="dxa"/>
            </w:tcMar>
            <w:vAlign w:val="center"/>
            <w:hideMark/>
          </w:tcPr>
          <w:p w14:paraId="7B8D43C6"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10-15%</w:t>
            </w:r>
          </w:p>
        </w:tc>
        <w:tc>
          <w:tcPr>
            <w:tcW w:w="0" w:type="auto"/>
            <w:tcMar>
              <w:top w:w="150" w:type="dxa"/>
              <w:left w:w="240" w:type="dxa"/>
              <w:bottom w:w="150" w:type="dxa"/>
              <w:right w:w="240" w:type="dxa"/>
            </w:tcMar>
            <w:vAlign w:val="center"/>
            <w:hideMark/>
          </w:tcPr>
          <w:p w14:paraId="756E0BF8"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10-15%</w:t>
            </w:r>
          </w:p>
        </w:tc>
        <w:tc>
          <w:tcPr>
            <w:tcW w:w="0" w:type="auto"/>
            <w:tcMar>
              <w:top w:w="150" w:type="dxa"/>
              <w:left w:w="240" w:type="dxa"/>
              <w:bottom w:w="150" w:type="dxa"/>
              <w:right w:w="0" w:type="dxa"/>
            </w:tcMar>
            <w:vAlign w:val="center"/>
            <w:hideMark/>
          </w:tcPr>
          <w:p w14:paraId="19CE31D7"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20-30%</w:t>
            </w:r>
          </w:p>
        </w:tc>
      </w:tr>
      <w:tr w:rsidR="003C455A" w:rsidRPr="00E470B5" w14:paraId="50A7C607" w14:textId="77777777">
        <w:tc>
          <w:tcPr>
            <w:tcW w:w="0" w:type="auto"/>
            <w:tcMar>
              <w:top w:w="150" w:type="dxa"/>
              <w:left w:w="0" w:type="dxa"/>
              <w:bottom w:w="150" w:type="dxa"/>
              <w:right w:w="240" w:type="dxa"/>
            </w:tcMar>
            <w:vAlign w:val="center"/>
            <w:hideMark/>
          </w:tcPr>
          <w:p w14:paraId="34421CF4"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lastRenderedPageBreak/>
              <w:t>HER2+ Anti-HER2 Rx Access</w:t>
            </w:r>
          </w:p>
        </w:tc>
        <w:tc>
          <w:tcPr>
            <w:tcW w:w="0" w:type="auto"/>
            <w:tcMar>
              <w:top w:w="150" w:type="dxa"/>
              <w:left w:w="240" w:type="dxa"/>
              <w:bottom w:w="150" w:type="dxa"/>
              <w:right w:w="240" w:type="dxa"/>
            </w:tcMar>
            <w:vAlign w:val="center"/>
            <w:hideMark/>
          </w:tcPr>
          <w:p w14:paraId="675D8B17"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31.6%</w:t>
            </w:r>
          </w:p>
        </w:tc>
        <w:tc>
          <w:tcPr>
            <w:tcW w:w="0" w:type="auto"/>
            <w:tcMar>
              <w:top w:w="150" w:type="dxa"/>
              <w:left w:w="240" w:type="dxa"/>
              <w:bottom w:w="150" w:type="dxa"/>
              <w:right w:w="240" w:type="dxa"/>
            </w:tcMar>
            <w:vAlign w:val="center"/>
            <w:hideMark/>
          </w:tcPr>
          <w:p w14:paraId="0AADD204"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&gt;90%</w:t>
            </w:r>
          </w:p>
        </w:tc>
        <w:tc>
          <w:tcPr>
            <w:tcW w:w="0" w:type="auto"/>
            <w:tcMar>
              <w:top w:w="150" w:type="dxa"/>
              <w:left w:w="240" w:type="dxa"/>
              <w:bottom w:w="150" w:type="dxa"/>
              <w:right w:w="240" w:type="dxa"/>
            </w:tcMar>
            <w:vAlign w:val="center"/>
            <w:hideMark/>
          </w:tcPr>
          <w:p w14:paraId="495EA311"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&gt;95%</w:t>
            </w:r>
          </w:p>
        </w:tc>
        <w:tc>
          <w:tcPr>
            <w:tcW w:w="0" w:type="auto"/>
            <w:tcMar>
              <w:top w:w="150" w:type="dxa"/>
              <w:left w:w="240" w:type="dxa"/>
              <w:bottom w:w="150" w:type="dxa"/>
              <w:right w:w="0" w:type="dxa"/>
            </w:tcMar>
            <w:vAlign w:val="center"/>
            <w:hideMark/>
          </w:tcPr>
          <w:p w14:paraId="4EA2A52E"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20-50% (variable)</w:t>
            </w:r>
          </w:p>
        </w:tc>
      </w:tr>
      <w:tr w:rsidR="003C455A" w:rsidRPr="00E470B5" w14:paraId="1767EB5B" w14:textId="77777777">
        <w:tc>
          <w:tcPr>
            <w:tcW w:w="0" w:type="auto"/>
            <w:tcMar>
              <w:top w:w="150" w:type="dxa"/>
              <w:left w:w="0" w:type="dxa"/>
              <w:bottom w:w="150" w:type="dxa"/>
              <w:right w:w="240" w:type="dxa"/>
            </w:tcMar>
            <w:vAlign w:val="center"/>
            <w:hideMark/>
          </w:tcPr>
          <w:p w14:paraId="4F64DF19"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HR+ Endocrine Rx Access</w:t>
            </w:r>
          </w:p>
        </w:tc>
        <w:tc>
          <w:tcPr>
            <w:tcW w:w="0" w:type="auto"/>
            <w:tcMar>
              <w:top w:w="150" w:type="dxa"/>
              <w:left w:w="240" w:type="dxa"/>
              <w:bottom w:w="150" w:type="dxa"/>
              <w:right w:w="240" w:type="dxa"/>
            </w:tcMar>
            <w:vAlign w:val="center"/>
            <w:hideMark/>
          </w:tcPr>
          <w:p w14:paraId="6BCF92C7"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~60%</w:t>
            </w:r>
          </w:p>
        </w:tc>
        <w:tc>
          <w:tcPr>
            <w:tcW w:w="0" w:type="auto"/>
            <w:tcMar>
              <w:top w:w="150" w:type="dxa"/>
              <w:left w:w="240" w:type="dxa"/>
              <w:bottom w:w="150" w:type="dxa"/>
              <w:right w:w="240" w:type="dxa"/>
            </w:tcMar>
            <w:vAlign w:val="center"/>
            <w:hideMark/>
          </w:tcPr>
          <w:p w14:paraId="153ECE30"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&gt;90%</w:t>
            </w:r>
          </w:p>
        </w:tc>
        <w:tc>
          <w:tcPr>
            <w:tcW w:w="0" w:type="auto"/>
            <w:tcMar>
              <w:top w:w="150" w:type="dxa"/>
              <w:left w:w="240" w:type="dxa"/>
              <w:bottom w:w="150" w:type="dxa"/>
              <w:right w:w="240" w:type="dxa"/>
            </w:tcMar>
            <w:vAlign w:val="center"/>
            <w:hideMark/>
          </w:tcPr>
          <w:p w14:paraId="2578BE83"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&gt;95%</w:t>
            </w:r>
          </w:p>
        </w:tc>
        <w:tc>
          <w:tcPr>
            <w:tcW w:w="0" w:type="auto"/>
            <w:tcMar>
              <w:top w:w="150" w:type="dxa"/>
              <w:left w:w="240" w:type="dxa"/>
              <w:bottom w:w="150" w:type="dxa"/>
              <w:right w:w="0" w:type="dxa"/>
            </w:tcMar>
            <w:vAlign w:val="center"/>
            <w:hideMark/>
          </w:tcPr>
          <w:p w14:paraId="24316E79"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50-80%</w:t>
            </w:r>
          </w:p>
        </w:tc>
      </w:tr>
      <w:tr w:rsidR="003C455A" w:rsidRPr="00E470B5" w14:paraId="3F72D7E2" w14:textId="77777777">
        <w:tc>
          <w:tcPr>
            <w:tcW w:w="0" w:type="auto"/>
            <w:tcMar>
              <w:top w:w="150" w:type="dxa"/>
              <w:left w:w="0" w:type="dxa"/>
              <w:bottom w:w="150" w:type="dxa"/>
              <w:right w:w="240" w:type="dxa"/>
            </w:tcMar>
            <w:vAlign w:val="center"/>
            <w:hideMark/>
          </w:tcPr>
          <w:p w14:paraId="08BCBBE8"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5-yr Survival (Estimate)</w:t>
            </w:r>
          </w:p>
        </w:tc>
        <w:tc>
          <w:tcPr>
            <w:tcW w:w="0" w:type="auto"/>
            <w:tcMar>
              <w:top w:w="150" w:type="dxa"/>
              <w:left w:w="240" w:type="dxa"/>
              <w:bottom w:w="150" w:type="dxa"/>
              <w:right w:w="240" w:type="dxa"/>
            </w:tcMar>
            <w:vAlign w:val="center"/>
            <w:hideMark/>
          </w:tcPr>
          <w:p w14:paraId="4B816F73"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Luminal: ~55-60% HER2+: ~45-50% TNBC: ~40%</w:t>
            </w:r>
          </w:p>
        </w:tc>
        <w:tc>
          <w:tcPr>
            <w:tcW w:w="0" w:type="auto"/>
            <w:tcMar>
              <w:top w:w="150" w:type="dxa"/>
              <w:left w:w="240" w:type="dxa"/>
              <w:bottom w:w="150" w:type="dxa"/>
              <w:right w:w="240" w:type="dxa"/>
            </w:tcMar>
            <w:vAlign w:val="center"/>
            <w:hideMark/>
          </w:tcPr>
          <w:p w14:paraId="3F9D6326"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Luminal: &gt;85% HER2+: &gt;80% TNBC: &gt;70%</w:t>
            </w:r>
          </w:p>
        </w:tc>
        <w:tc>
          <w:tcPr>
            <w:tcW w:w="0" w:type="auto"/>
            <w:tcMar>
              <w:top w:w="150" w:type="dxa"/>
              <w:left w:w="240" w:type="dxa"/>
              <w:bottom w:w="150" w:type="dxa"/>
              <w:right w:w="240" w:type="dxa"/>
            </w:tcMar>
            <w:vAlign w:val="center"/>
            <w:hideMark/>
          </w:tcPr>
          <w:p w14:paraId="13F17084"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Luminal: &gt;90% HER2+: &gt;85% TNBC: &gt;75%</w:t>
            </w:r>
          </w:p>
        </w:tc>
        <w:tc>
          <w:tcPr>
            <w:tcW w:w="0" w:type="auto"/>
            <w:tcMar>
              <w:top w:w="150" w:type="dxa"/>
              <w:left w:w="240" w:type="dxa"/>
              <w:bottom w:w="150" w:type="dxa"/>
              <w:right w:w="0" w:type="dxa"/>
            </w:tcMar>
            <w:vAlign w:val="center"/>
            <w:hideMark/>
          </w:tcPr>
          <w:p w14:paraId="307624E9"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Luminal: 50-70% HER2+: 40-60% TNBC: 30-50%</w:t>
            </w:r>
          </w:p>
        </w:tc>
      </w:tr>
    </w:tbl>
    <w:p w14:paraId="6F24C31B" w14:textId="77777777" w:rsidR="003C455A" w:rsidRPr="00E470B5" w:rsidRDefault="003C455A" w:rsidP="003C455A">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This comparison situates Yemen at the extreme negative end of the global spectrum. Its survival estimates by subtype resemble those of the most fragile settings in Sub-Saharan Africa a decade ago, while its treatment access rates are among the lowest documented.</w:t>
      </w:r>
    </w:p>
    <w:p w14:paraId="4EBF58A0"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4.6. Conclusion and Imperative Recommendations</w:t>
      </w:r>
    </w:p>
    <w:p w14:paraId="1DB7CAFE" w14:textId="77777777" w:rsidR="003C455A" w:rsidRPr="003C455A" w:rsidRDefault="003C455A" w:rsidP="003C455A">
      <w:pPr>
        <w:spacing w:line="360" w:lineRule="auto"/>
        <w:rPr>
          <w:rFonts w:asciiTheme="majorBidi" w:hAnsiTheme="majorBidi" w:cstheme="majorBidi"/>
          <w:sz w:val="24"/>
          <w:szCs w:val="24"/>
        </w:rPr>
      </w:pPr>
      <w:r w:rsidRPr="003C455A">
        <w:rPr>
          <w:rFonts w:asciiTheme="majorBidi" w:hAnsiTheme="majorBidi" w:cstheme="majorBidi"/>
          <w:sz w:val="24"/>
          <w:szCs w:val="24"/>
        </w:rPr>
        <w:t>This analysis reveals that in Yemen, a patient's molecular subtype is a key determinant of their fate, primarily mediated by differential access to therapy. To address these disparities, a targeted, subtype-specific strategy is required:</w:t>
      </w:r>
    </w:p>
    <w:p w14:paraId="2EF33616" w14:textId="77777777" w:rsidR="003C455A" w:rsidRPr="003C455A" w:rsidRDefault="003C455A" w:rsidP="003C455A">
      <w:pPr>
        <w:numPr>
          <w:ilvl w:val="0"/>
          <w:numId w:val="15"/>
        </w:numPr>
        <w:spacing w:line="360" w:lineRule="auto"/>
        <w:rPr>
          <w:rFonts w:asciiTheme="majorBidi" w:hAnsiTheme="majorBidi" w:cstheme="majorBidi"/>
          <w:sz w:val="24"/>
          <w:szCs w:val="24"/>
        </w:rPr>
      </w:pPr>
      <w:r w:rsidRPr="003C455A">
        <w:rPr>
          <w:rFonts w:asciiTheme="majorBidi" w:hAnsiTheme="majorBidi" w:cstheme="majorBidi"/>
          <w:sz w:val="24"/>
          <w:szCs w:val="24"/>
        </w:rPr>
        <w:t xml:space="preserve">Immediate Priority (Global Action): Establish a sustained, humanitarian-funded supply chain for essential targeted therapies: generic endocrine drugs (tamoxifen) and trastuzumab biosimilars via mechanisms like the WHO Prequalification of Medicines </w:t>
      </w:r>
      <w:proofErr w:type="spellStart"/>
      <w:r w:rsidRPr="003C455A">
        <w:rPr>
          <w:rFonts w:asciiTheme="majorBidi" w:hAnsiTheme="majorBidi" w:cstheme="majorBidi"/>
          <w:sz w:val="24"/>
          <w:szCs w:val="24"/>
        </w:rPr>
        <w:t>Programme</w:t>
      </w:r>
      <w:proofErr w:type="spellEnd"/>
      <w:r w:rsidRPr="003C455A">
        <w:rPr>
          <w:rFonts w:asciiTheme="majorBidi" w:hAnsiTheme="majorBidi" w:cstheme="majorBidi"/>
          <w:sz w:val="24"/>
          <w:szCs w:val="24"/>
        </w:rPr>
        <w:t xml:space="preserve"> or the ATOM Coalition.</w:t>
      </w:r>
    </w:p>
    <w:p w14:paraId="436EAC3B" w14:textId="77777777" w:rsidR="003C455A" w:rsidRPr="003C455A" w:rsidRDefault="003C455A" w:rsidP="003C455A">
      <w:pPr>
        <w:numPr>
          <w:ilvl w:val="0"/>
          <w:numId w:val="15"/>
        </w:num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National Program Strengthening: Integrate these essential targeted drugs into national treatment protocols and ensure their free provision at the point of care. Implement patient navigation to improve adherence.</w:t>
      </w:r>
    </w:p>
    <w:p w14:paraId="07D21CCB" w14:textId="77777777" w:rsidR="003C455A" w:rsidRPr="00E470B5" w:rsidRDefault="003C455A" w:rsidP="003C455A">
      <w:pPr>
        <w:numPr>
          <w:ilvl w:val="0"/>
          <w:numId w:val="15"/>
        </w:numPr>
        <w:spacing w:line="360" w:lineRule="auto"/>
        <w:rPr>
          <w:rFonts w:asciiTheme="majorBidi" w:hAnsiTheme="majorBidi" w:cstheme="majorBidi"/>
          <w:sz w:val="24"/>
          <w:szCs w:val="24"/>
        </w:rPr>
      </w:pPr>
      <w:r w:rsidRPr="003C455A">
        <w:rPr>
          <w:rFonts w:asciiTheme="majorBidi" w:hAnsiTheme="majorBidi" w:cstheme="majorBidi"/>
          <w:sz w:val="24"/>
          <w:szCs w:val="24"/>
        </w:rPr>
        <w:t>Research and Advocacy for TNBC: Given the high prevalence and poor outcomes, include Yemeni patients in international clinical trials for affordable, effective TNBC r</w:t>
      </w:r>
      <w:r w:rsidRPr="00E470B5">
        <w:rPr>
          <w:rFonts w:asciiTheme="majorBidi" w:hAnsiTheme="majorBidi" w:cstheme="majorBidi"/>
          <w:sz w:val="24"/>
          <w:szCs w:val="24"/>
        </w:rPr>
        <w:t>egimens (e.g., studies on metronomic chemotherapy, immunotherapy feasibility).</w:t>
      </w:r>
    </w:p>
    <w:p w14:paraId="22A7448E" w14:textId="77777777" w:rsidR="003C455A" w:rsidRPr="00E470B5" w:rsidRDefault="003C455A" w:rsidP="003C455A">
      <w:pPr>
        <w:numPr>
          <w:ilvl w:val="0"/>
          <w:numId w:val="15"/>
        </w:numPr>
        <w:spacing w:line="360" w:lineRule="auto"/>
        <w:rPr>
          <w:rFonts w:asciiTheme="majorBidi" w:hAnsiTheme="majorBidi" w:cstheme="majorBidi"/>
          <w:sz w:val="24"/>
          <w:szCs w:val="24"/>
        </w:rPr>
      </w:pPr>
      <w:r w:rsidRPr="00E470B5">
        <w:rPr>
          <w:rFonts w:asciiTheme="majorBidi" w:hAnsiTheme="majorBidi" w:cstheme="majorBidi"/>
          <w:sz w:val="24"/>
          <w:szCs w:val="24"/>
        </w:rPr>
        <w:t>Diagnostic Quality Assurance: Support the NOC pathology lab with external quality assurance programs for IHC/FISH to ensure accurate subtyping.</w:t>
      </w:r>
    </w:p>
    <w:p w14:paraId="05FDC6E5" w14:textId="77777777" w:rsidR="003C455A" w:rsidRDefault="003C455A" w:rsidP="003C455A">
      <w:pPr>
        <w:spacing w:line="360" w:lineRule="auto"/>
        <w:rPr>
          <w:rFonts w:asciiTheme="majorBidi" w:hAnsiTheme="majorBidi" w:cstheme="majorBidi"/>
          <w:sz w:val="24"/>
          <w:szCs w:val="24"/>
        </w:rPr>
      </w:pPr>
      <w:r w:rsidRPr="00E470B5">
        <w:rPr>
          <w:rFonts w:asciiTheme="majorBidi" w:hAnsiTheme="majorBidi" w:cstheme="majorBidi"/>
          <w:sz w:val="24"/>
          <w:szCs w:val="24"/>
        </w:rPr>
        <w:t>The survival disparities documented here are not inevitable; they are a direct result of inequitable access to essential medicines. Bridging this gap is a moral and medical imperative for the global oncology community.</w:t>
      </w:r>
    </w:p>
    <w:p w14:paraId="2BEE09A9" w14:textId="77777777" w:rsidR="00726EA4" w:rsidRPr="00E470B5" w:rsidRDefault="00726EA4" w:rsidP="00726EA4">
      <w:pPr>
        <w:spacing w:line="360" w:lineRule="auto"/>
        <w:rPr>
          <w:rFonts w:asciiTheme="majorBidi" w:hAnsiTheme="majorBidi" w:cstheme="majorBidi"/>
          <w:color w:val="000000" w:themeColor="text1"/>
          <w:sz w:val="24"/>
          <w:szCs w:val="24"/>
        </w:rPr>
      </w:pPr>
      <w:r w:rsidRPr="00E470B5">
        <w:rPr>
          <w:rFonts w:asciiTheme="majorBidi" w:hAnsiTheme="majorBidi" w:cstheme="majorBidi"/>
          <w:color w:val="000000" w:themeColor="text1"/>
          <w:sz w:val="24"/>
          <w:szCs w:val="24"/>
        </w:rPr>
        <w:t>4.5. Limitations and Strengths</w:t>
      </w:r>
    </w:p>
    <w:p w14:paraId="65F561D3" w14:textId="77777777" w:rsidR="00726EA4" w:rsidRPr="003C455A" w:rsidRDefault="00726EA4" w:rsidP="00726EA4">
      <w:pPr>
        <w:spacing w:line="360" w:lineRule="auto"/>
        <w:rPr>
          <w:rFonts w:asciiTheme="majorBidi" w:hAnsiTheme="majorBidi" w:cstheme="majorBidi"/>
          <w:sz w:val="24"/>
          <w:szCs w:val="24"/>
        </w:rPr>
      </w:pPr>
      <w:r w:rsidRPr="00E470B5">
        <w:rPr>
          <w:rFonts w:asciiTheme="majorBidi" w:hAnsiTheme="majorBidi" w:cstheme="majorBidi"/>
          <w:color w:val="000000" w:themeColor="text1"/>
          <w:sz w:val="24"/>
          <w:szCs w:val="24"/>
        </w:rPr>
        <w:t>Our study has limitations, including its retrospective design, potential misclassification of subtypes due to variable IHC quality, and the high loss-to-follow-up rate, which may bias survival estimates. However, its strength lies in its large, real-world cohort from an active conflict zone, providing unique in</w:t>
      </w:r>
      <w:r w:rsidRPr="003C455A">
        <w:rPr>
          <w:rFonts w:asciiTheme="majorBidi" w:hAnsiTheme="majorBidi" w:cstheme="majorBidi"/>
          <w:sz w:val="24"/>
          <w:szCs w:val="24"/>
        </w:rPr>
        <w:t>sights into the operational failure of precision oncology.</w:t>
      </w:r>
    </w:p>
    <w:p w14:paraId="28CD44AA" w14:textId="77777777" w:rsidR="00726EA4" w:rsidRPr="00E470B5" w:rsidRDefault="00726EA4" w:rsidP="003C455A">
      <w:pPr>
        <w:spacing w:line="360" w:lineRule="auto"/>
        <w:rPr>
          <w:rFonts w:asciiTheme="majorBidi" w:hAnsiTheme="majorBidi" w:cstheme="majorBidi"/>
          <w:sz w:val="24"/>
          <w:szCs w:val="24"/>
        </w:rPr>
      </w:pPr>
    </w:p>
    <w:p w14:paraId="6BE96425" w14:textId="77777777" w:rsidR="007D565F" w:rsidRPr="00E470B5" w:rsidRDefault="007D565F" w:rsidP="007D565F">
      <w:pPr>
        <w:spacing w:line="360" w:lineRule="auto"/>
        <w:rPr>
          <w:rFonts w:asciiTheme="majorBidi" w:hAnsiTheme="majorBidi" w:cstheme="majorBidi"/>
          <w:b/>
          <w:bCs/>
          <w:sz w:val="24"/>
          <w:szCs w:val="24"/>
        </w:rPr>
      </w:pPr>
      <w:r w:rsidRPr="00E470B5">
        <w:rPr>
          <w:rFonts w:asciiTheme="majorBidi" w:hAnsiTheme="majorBidi" w:cstheme="majorBidi"/>
          <w:b/>
          <w:bCs/>
          <w:sz w:val="24"/>
          <w:szCs w:val="24"/>
        </w:rPr>
        <w:t xml:space="preserve">Consent </w:t>
      </w:r>
    </w:p>
    <w:p w14:paraId="52FFB812" w14:textId="77777777" w:rsidR="007D565F" w:rsidRPr="00E470B5" w:rsidRDefault="007D565F" w:rsidP="007D565F">
      <w:pPr>
        <w:spacing w:line="360" w:lineRule="auto"/>
        <w:rPr>
          <w:rFonts w:asciiTheme="majorBidi" w:hAnsiTheme="majorBidi" w:cstheme="majorBidi"/>
          <w:sz w:val="24"/>
          <w:szCs w:val="24"/>
        </w:rPr>
      </w:pPr>
      <w:r w:rsidRPr="00E470B5">
        <w:rPr>
          <w:rFonts w:asciiTheme="majorBidi" w:hAnsiTheme="majorBidi" w:cstheme="majorBidi"/>
          <w:sz w:val="24"/>
          <w:szCs w:val="24"/>
        </w:rPr>
        <w:t xml:space="preserve">As   per   international   standard   or   university </w:t>
      </w:r>
      <w:proofErr w:type="gramStart"/>
      <w:r w:rsidRPr="00E470B5">
        <w:rPr>
          <w:rFonts w:asciiTheme="majorBidi" w:hAnsiTheme="majorBidi" w:cstheme="majorBidi"/>
          <w:sz w:val="24"/>
          <w:szCs w:val="24"/>
        </w:rPr>
        <w:t>standard,  patient</w:t>
      </w:r>
      <w:proofErr w:type="gramEnd"/>
      <w:r w:rsidRPr="00E470B5">
        <w:rPr>
          <w:rFonts w:asciiTheme="majorBidi" w:hAnsiTheme="majorBidi" w:cstheme="majorBidi"/>
          <w:sz w:val="24"/>
          <w:szCs w:val="24"/>
        </w:rPr>
        <w:t xml:space="preserve">(s)  written  consent  has  been collected and preserved by the author(s). </w:t>
      </w:r>
    </w:p>
    <w:p w14:paraId="4F1700A4" w14:textId="77777777" w:rsidR="007D565F" w:rsidRPr="00E470B5" w:rsidRDefault="007D565F" w:rsidP="003C455A">
      <w:pPr>
        <w:spacing w:line="360" w:lineRule="auto"/>
        <w:rPr>
          <w:rFonts w:asciiTheme="majorBidi" w:hAnsiTheme="majorBidi" w:cstheme="majorBidi"/>
          <w:sz w:val="24"/>
          <w:szCs w:val="24"/>
        </w:rPr>
      </w:pPr>
      <w:bookmarkStart w:id="0" w:name="_GoBack"/>
      <w:bookmarkEnd w:id="0"/>
    </w:p>
    <w:p w14:paraId="3CA959AB" w14:textId="4C255411" w:rsidR="003C455A" w:rsidRPr="00E470B5" w:rsidRDefault="003C455A" w:rsidP="003C455A">
      <w:pPr>
        <w:spacing w:line="360" w:lineRule="auto"/>
        <w:rPr>
          <w:rFonts w:asciiTheme="majorBidi" w:hAnsiTheme="majorBidi" w:cstheme="majorBidi"/>
          <w:sz w:val="24"/>
          <w:szCs w:val="24"/>
        </w:rPr>
      </w:pPr>
      <w:r w:rsidRPr="00E470B5">
        <w:rPr>
          <w:rFonts w:asciiTheme="majorBidi" w:hAnsiTheme="majorBidi" w:cstheme="majorBidi"/>
          <w:sz w:val="24"/>
          <w:szCs w:val="24"/>
        </w:rPr>
        <w:t>5. References</w:t>
      </w:r>
    </w:p>
    <w:p w14:paraId="47E1C778" w14:textId="77777777" w:rsidR="003C455A" w:rsidRPr="00E470B5" w:rsidRDefault="003C455A" w:rsidP="003C455A">
      <w:pPr>
        <w:numPr>
          <w:ilvl w:val="0"/>
          <w:numId w:val="16"/>
        </w:numPr>
        <w:spacing w:line="360" w:lineRule="auto"/>
        <w:rPr>
          <w:rFonts w:asciiTheme="majorBidi" w:hAnsiTheme="majorBidi" w:cstheme="majorBidi"/>
          <w:sz w:val="24"/>
          <w:szCs w:val="24"/>
        </w:rPr>
      </w:pPr>
      <w:proofErr w:type="spellStart"/>
      <w:r w:rsidRPr="00E470B5">
        <w:rPr>
          <w:rFonts w:asciiTheme="majorBidi" w:hAnsiTheme="majorBidi" w:cstheme="majorBidi"/>
          <w:sz w:val="24"/>
          <w:szCs w:val="24"/>
        </w:rPr>
        <w:t>Perou</w:t>
      </w:r>
      <w:proofErr w:type="spellEnd"/>
      <w:r w:rsidRPr="00E470B5">
        <w:rPr>
          <w:rFonts w:asciiTheme="majorBidi" w:hAnsiTheme="majorBidi" w:cstheme="majorBidi"/>
          <w:sz w:val="24"/>
          <w:szCs w:val="24"/>
        </w:rPr>
        <w:t xml:space="preserve"> CM, </w:t>
      </w:r>
      <w:proofErr w:type="spellStart"/>
      <w:r w:rsidRPr="00E470B5">
        <w:rPr>
          <w:rFonts w:asciiTheme="majorBidi" w:hAnsiTheme="majorBidi" w:cstheme="majorBidi"/>
          <w:sz w:val="24"/>
          <w:szCs w:val="24"/>
        </w:rPr>
        <w:t>Sørile</w:t>
      </w:r>
      <w:proofErr w:type="spellEnd"/>
      <w:r w:rsidRPr="00E470B5">
        <w:rPr>
          <w:rFonts w:asciiTheme="majorBidi" w:hAnsiTheme="majorBidi" w:cstheme="majorBidi"/>
          <w:sz w:val="24"/>
          <w:szCs w:val="24"/>
        </w:rPr>
        <w:t xml:space="preserve"> T, Eisen MB, et al. Molecular portraits of human breast </w:t>
      </w:r>
      <w:proofErr w:type="spellStart"/>
      <w:r w:rsidRPr="00E470B5">
        <w:rPr>
          <w:rFonts w:asciiTheme="majorBidi" w:hAnsiTheme="majorBidi" w:cstheme="majorBidi"/>
          <w:sz w:val="24"/>
          <w:szCs w:val="24"/>
        </w:rPr>
        <w:t>tumours</w:t>
      </w:r>
      <w:proofErr w:type="spellEnd"/>
      <w:r w:rsidRPr="00E470B5">
        <w:rPr>
          <w:rFonts w:asciiTheme="majorBidi" w:hAnsiTheme="majorBidi" w:cstheme="majorBidi"/>
          <w:sz w:val="24"/>
          <w:szCs w:val="24"/>
        </w:rPr>
        <w:t>. </w:t>
      </w:r>
      <w:r w:rsidRPr="00E470B5">
        <w:rPr>
          <w:rFonts w:asciiTheme="majorBidi" w:hAnsiTheme="majorBidi" w:cstheme="majorBidi"/>
          <w:i/>
          <w:iCs/>
          <w:sz w:val="24"/>
          <w:szCs w:val="24"/>
        </w:rPr>
        <w:t>Nature</w:t>
      </w:r>
      <w:r w:rsidRPr="00E470B5">
        <w:rPr>
          <w:rFonts w:asciiTheme="majorBidi" w:hAnsiTheme="majorBidi" w:cstheme="majorBidi"/>
          <w:sz w:val="24"/>
          <w:szCs w:val="24"/>
        </w:rPr>
        <w:t>. 2000;406(6797):747-752.</w:t>
      </w:r>
    </w:p>
    <w:p w14:paraId="3BAE11F9"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Goldhirsch A, Winer EP, Coates AS, et al. Personalizing the treatment of women with early breast cancer: highlights of the St Gallen International Expert Consensus on the Primary Therapy of Early Breast Cancer 2013. </w:t>
      </w:r>
      <w:r w:rsidRPr="00E470B5">
        <w:rPr>
          <w:rFonts w:asciiTheme="majorBidi" w:hAnsiTheme="majorBidi" w:cstheme="majorBidi"/>
          <w:i/>
          <w:iCs/>
          <w:sz w:val="24"/>
          <w:szCs w:val="24"/>
        </w:rPr>
        <w:t>Ann Oncol</w:t>
      </w:r>
      <w:r w:rsidRPr="00E470B5">
        <w:rPr>
          <w:rFonts w:asciiTheme="majorBidi" w:hAnsiTheme="majorBidi" w:cstheme="majorBidi"/>
          <w:sz w:val="24"/>
          <w:szCs w:val="24"/>
        </w:rPr>
        <w:t>. 2013;24(9):2206-2223.</w:t>
      </w:r>
    </w:p>
    <w:p w14:paraId="1FF44CF5"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lastRenderedPageBreak/>
        <w:t xml:space="preserve">Howlader N, </w:t>
      </w:r>
      <w:proofErr w:type="spellStart"/>
      <w:r w:rsidRPr="00E470B5">
        <w:rPr>
          <w:rFonts w:asciiTheme="majorBidi" w:hAnsiTheme="majorBidi" w:cstheme="majorBidi"/>
          <w:sz w:val="24"/>
          <w:szCs w:val="24"/>
        </w:rPr>
        <w:t>Noone</w:t>
      </w:r>
      <w:proofErr w:type="spellEnd"/>
      <w:r w:rsidRPr="00E470B5">
        <w:rPr>
          <w:rFonts w:asciiTheme="majorBidi" w:hAnsiTheme="majorBidi" w:cstheme="majorBidi"/>
          <w:sz w:val="24"/>
          <w:szCs w:val="24"/>
        </w:rPr>
        <w:t xml:space="preserve"> AM, </w:t>
      </w:r>
      <w:proofErr w:type="spellStart"/>
      <w:r w:rsidRPr="00E470B5">
        <w:rPr>
          <w:rFonts w:asciiTheme="majorBidi" w:hAnsiTheme="majorBidi" w:cstheme="majorBidi"/>
          <w:sz w:val="24"/>
          <w:szCs w:val="24"/>
        </w:rPr>
        <w:t>Krapcho</w:t>
      </w:r>
      <w:proofErr w:type="spellEnd"/>
      <w:r w:rsidRPr="00E470B5">
        <w:rPr>
          <w:rFonts w:asciiTheme="majorBidi" w:hAnsiTheme="majorBidi" w:cstheme="majorBidi"/>
          <w:sz w:val="24"/>
          <w:szCs w:val="24"/>
        </w:rPr>
        <w:t xml:space="preserve"> M, et al. (eds). SEER Cancer Statistics Review, 1975-2017. National Cancer Institute, Bethesda, MD.</w:t>
      </w:r>
    </w:p>
    <w:p w14:paraId="7A392220"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Vanderpuye V, Grover S, Hammad N, et al. An update on the management of breast cancer in Africa. </w:t>
      </w:r>
      <w:r w:rsidRPr="00E470B5">
        <w:rPr>
          <w:rFonts w:asciiTheme="majorBidi" w:hAnsiTheme="majorBidi" w:cstheme="majorBidi"/>
          <w:i/>
          <w:iCs/>
          <w:sz w:val="24"/>
          <w:szCs w:val="24"/>
        </w:rPr>
        <w:t>Infect Agent Cancer</w:t>
      </w:r>
      <w:r w:rsidRPr="00E470B5">
        <w:rPr>
          <w:rFonts w:asciiTheme="majorBidi" w:hAnsiTheme="majorBidi" w:cstheme="majorBidi"/>
          <w:sz w:val="24"/>
          <w:szCs w:val="24"/>
        </w:rPr>
        <w:t xml:space="preserve">. </w:t>
      </w:r>
      <w:proofErr w:type="gramStart"/>
      <w:r w:rsidRPr="00E470B5">
        <w:rPr>
          <w:rFonts w:asciiTheme="majorBidi" w:hAnsiTheme="majorBidi" w:cstheme="majorBidi"/>
          <w:sz w:val="24"/>
          <w:szCs w:val="24"/>
        </w:rPr>
        <w:t>2017;12:13</w:t>
      </w:r>
      <w:proofErr w:type="gramEnd"/>
      <w:r w:rsidRPr="00E470B5">
        <w:rPr>
          <w:rFonts w:asciiTheme="majorBidi" w:hAnsiTheme="majorBidi" w:cstheme="majorBidi"/>
          <w:sz w:val="24"/>
          <w:szCs w:val="24"/>
        </w:rPr>
        <w:t>.</w:t>
      </w:r>
    </w:p>
    <w:p w14:paraId="7CDF1EA1"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Rubinstein A, Levy P, Hirt S, et al. The ATOM Coalition: A global partnership for access to cancer medicines. </w:t>
      </w:r>
      <w:r w:rsidRPr="00E470B5">
        <w:rPr>
          <w:rFonts w:asciiTheme="majorBidi" w:hAnsiTheme="majorBidi" w:cstheme="majorBidi"/>
          <w:i/>
          <w:iCs/>
          <w:sz w:val="24"/>
          <w:szCs w:val="24"/>
        </w:rPr>
        <w:t>J Cancer Policy</w:t>
      </w:r>
      <w:r w:rsidRPr="00E470B5">
        <w:rPr>
          <w:rFonts w:asciiTheme="majorBidi" w:hAnsiTheme="majorBidi" w:cstheme="majorBidi"/>
          <w:sz w:val="24"/>
          <w:szCs w:val="24"/>
        </w:rPr>
        <w:t xml:space="preserve">. </w:t>
      </w:r>
      <w:proofErr w:type="gramStart"/>
      <w:r w:rsidRPr="00E470B5">
        <w:rPr>
          <w:rFonts w:asciiTheme="majorBidi" w:hAnsiTheme="majorBidi" w:cstheme="majorBidi"/>
          <w:sz w:val="24"/>
          <w:szCs w:val="24"/>
        </w:rPr>
        <w:t>2020;25:100242</w:t>
      </w:r>
      <w:proofErr w:type="gramEnd"/>
      <w:r w:rsidRPr="00E470B5">
        <w:rPr>
          <w:rFonts w:asciiTheme="majorBidi" w:hAnsiTheme="majorBidi" w:cstheme="majorBidi"/>
          <w:sz w:val="24"/>
          <w:szCs w:val="24"/>
        </w:rPr>
        <w:t>.</w:t>
      </w:r>
    </w:p>
    <w:p w14:paraId="16A7142E"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Qirbi N, Ismail SA. Health system functionality in a low-income country in the midst of conflict: the case of Yemen. </w:t>
      </w:r>
      <w:r w:rsidRPr="00E470B5">
        <w:rPr>
          <w:rFonts w:asciiTheme="majorBidi" w:hAnsiTheme="majorBidi" w:cstheme="majorBidi"/>
          <w:i/>
          <w:iCs/>
          <w:sz w:val="24"/>
          <w:szCs w:val="24"/>
        </w:rPr>
        <w:t>Health Policy Plan</w:t>
      </w:r>
      <w:r w:rsidRPr="00E470B5">
        <w:rPr>
          <w:rFonts w:asciiTheme="majorBidi" w:hAnsiTheme="majorBidi" w:cstheme="majorBidi"/>
          <w:sz w:val="24"/>
          <w:szCs w:val="24"/>
        </w:rPr>
        <w:t>. 2017;32(6):911-922.</w:t>
      </w:r>
    </w:p>
    <w:p w14:paraId="22BDEEC5" w14:textId="77777777" w:rsidR="003C455A" w:rsidRPr="00E470B5" w:rsidRDefault="003C455A" w:rsidP="003C455A">
      <w:pPr>
        <w:numPr>
          <w:ilvl w:val="0"/>
          <w:numId w:val="16"/>
        </w:numPr>
        <w:spacing w:line="360" w:lineRule="auto"/>
        <w:rPr>
          <w:rFonts w:asciiTheme="majorBidi" w:hAnsiTheme="majorBidi" w:cstheme="majorBidi"/>
          <w:sz w:val="24"/>
          <w:szCs w:val="24"/>
        </w:rPr>
      </w:pPr>
      <w:proofErr w:type="spellStart"/>
      <w:r w:rsidRPr="00E470B5">
        <w:rPr>
          <w:rFonts w:asciiTheme="majorBidi" w:hAnsiTheme="majorBidi" w:cstheme="majorBidi"/>
          <w:sz w:val="24"/>
          <w:szCs w:val="24"/>
        </w:rPr>
        <w:t>Bamashmos</w:t>
      </w:r>
      <w:proofErr w:type="spellEnd"/>
      <w:r w:rsidRPr="00E470B5">
        <w:rPr>
          <w:rFonts w:asciiTheme="majorBidi" w:hAnsiTheme="majorBidi" w:cstheme="majorBidi"/>
          <w:sz w:val="24"/>
          <w:szCs w:val="24"/>
        </w:rPr>
        <w:t xml:space="preserve"> AS, Ali AA, Ali AA, et al. Pattern of breast cancer among Yemeni patients. </w:t>
      </w:r>
      <w:r w:rsidRPr="00E470B5">
        <w:rPr>
          <w:rFonts w:asciiTheme="majorBidi" w:hAnsiTheme="majorBidi" w:cstheme="majorBidi"/>
          <w:i/>
          <w:iCs/>
          <w:sz w:val="24"/>
          <w:szCs w:val="24"/>
        </w:rPr>
        <w:t>J Glob Oncol</w:t>
      </w:r>
      <w:r w:rsidRPr="00E470B5">
        <w:rPr>
          <w:rFonts w:asciiTheme="majorBidi" w:hAnsiTheme="majorBidi" w:cstheme="majorBidi"/>
          <w:sz w:val="24"/>
          <w:szCs w:val="24"/>
        </w:rPr>
        <w:t xml:space="preserve">. </w:t>
      </w:r>
      <w:proofErr w:type="gramStart"/>
      <w:r w:rsidRPr="00E470B5">
        <w:rPr>
          <w:rFonts w:asciiTheme="majorBidi" w:hAnsiTheme="majorBidi" w:cstheme="majorBidi"/>
          <w:sz w:val="24"/>
          <w:szCs w:val="24"/>
        </w:rPr>
        <w:t>2020;6:1401</w:t>
      </w:r>
      <w:proofErr w:type="gramEnd"/>
      <w:r w:rsidRPr="00E470B5">
        <w:rPr>
          <w:rFonts w:asciiTheme="majorBidi" w:hAnsiTheme="majorBidi" w:cstheme="majorBidi"/>
          <w:sz w:val="24"/>
          <w:szCs w:val="24"/>
        </w:rPr>
        <w:t>-1406.</w:t>
      </w:r>
    </w:p>
    <w:p w14:paraId="497A2377" w14:textId="77777777" w:rsidR="00B96A60" w:rsidRPr="00E470B5" w:rsidRDefault="00B96A60" w:rsidP="00B96A60">
      <w:pPr>
        <w:pStyle w:val="ListParagraph"/>
        <w:numPr>
          <w:ilvl w:val="0"/>
          <w:numId w:val="16"/>
        </w:numPr>
        <w:spacing w:line="360" w:lineRule="auto"/>
        <w:rPr>
          <w:rFonts w:asciiTheme="majorBidi" w:hAnsiTheme="majorBidi" w:cstheme="majorBidi"/>
          <w:sz w:val="24"/>
          <w:szCs w:val="24"/>
        </w:rPr>
      </w:pPr>
      <w:proofErr w:type="spellStart"/>
      <w:r w:rsidRPr="00E470B5">
        <w:rPr>
          <w:rFonts w:asciiTheme="majorBidi" w:hAnsiTheme="majorBidi" w:cstheme="majorBidi"/>
          <w:sz w:val="24"/>
          <w:szCs w:val="24"/>
        </w:rPr>
        <w:t>Bawazir</w:t>
      </w:r>
      <w:proofErr w:type="spellEnd"/>
      <w:r w:rsidRPr="00E470B5">
        <w:rPr>
          <w:rFonts w:asciiTheme="majorBidi" w:hAnsiTheme="majorBidi" w:cstheme="majorBidi"/>
          <w:sz w:val="24"/>
          <w:szCs w:val="24"/>
        </w:rPr>
        <w:t xml:space="preserve"> A, </w:t>
      </w:r>
      <w:proofErr w:type="spellStart"/>
      <w:r w:rsidRPr="00E470B5">
        <w:rPr>
          <w:rFonts w:asciiTheme="majorBidi" w:hAnsiTheme="majorBidi" w:cstheme="majorBidi"/>
          <w:sz w:val="24"/>
          <w:szCs w:val="24"/>
        </w:rPr>
        <w:t>Basaleem</w:t>
      </w:r>
      <w:proofErr w:type="spellEnd"/>
      <w:r w:rsidRPr="00E470B5">
        <w:rPr>
          <w:rFonts w:asciiTheme="majorBidi" w:hAnsiTheme="majorBidi" w:cstheme="majorBidi"/>
          <w:sz w:val="24"/>
          <w:szCs w:val="24"/>
        </w:rPr>
        <w:t xml:space="preserve"> H, </w:t>
      </w:r>
      <w:proofErr w:type="spellStart"/>
      <w:r w:rsidRPr="00E470B5">
        <w:rPr>
          <w:rFonts w:asciiTheme="majorBidi" w:hAnsiTheme="majorBidi" w:cstheme="majorBidi"/>
          <w:sz w:val="24"/>
          <w:szCs w:val="24"/>
        </w:rPr>
        <w:t>Badheeb</w:t>
      </w:r>
      <w:proofErr w:type="spellEnd"/>
      <w:r w:rsidRPr="00E470B5">
        <w:rPr>
          <w:rFonts w:asciiTheme="majorBidi" w:hAnsiTheme="majorBidi" w:cstheme="majorBidi"/>
          <w:sz w:val="24"/>
          <w:szCs w:val="24"/>
        </w:rPr>
        <w:t xml:space="preserve"> A, Abdul Hamid </w:t>
      </w:r>
      <w:proofErr w:type="gramStart"/>
      <w:r w:rsidRPr="00E470B5">
        <w:rPr>
          <w:rFonts w:asciiTheme="majorBidi" w:hAnsiTheme="majorBidi" w:cstheme="majorBidi"/>
          <w:sz w:val="24"/>
          <w:szCs w:val="24"/>
        </w:rPr>
        <w:t>G..</w:t>
      </w:r>
      <w:proofErr w:type="gramEnd"/>
      <w:r w:rsidRPr="00E470B5">
        <w:rPr>
          <w:rFonts w:asciiTheme="majorBidi" w:hAnsiTheme="majorBidi" w:cstheme="majorBidi"/>
          <w:sz w:val="24"/>
          <w:szCs w:val="24"/>
        </w:rPr>
        <w:t> </w:t>
      </w:r>
      <w:r w:rsidRPr="00E470B5">
        <w:rPr>
          <w:rFonts w:asciiTheme="majorBidi" w:hAnsiTheme="majorBidi" w:cstheme="majorBidi"/>
          <w:i/>
          <w:iCs/>
          <w:sz w:val="24"/>
          <w:szCs w:val="24"/>
        </w:rPr>
        <w:t>General oncology care in the Republic of Yemen</w:t>
      </w:r>
      <w:r w:rsidRPr="00E470B5">
        <w:rPr>
          <w:rFonts w:asciiTheme="majorBidi" w:hAnsiTheme="majorBidi" w:cstheme="majorBidi"/>
          <w:sz w:val="24"/>
          <w:szCs w:val="24"/>
        </w:rPr>
        <w:t> </w:t>
      </w:r>
      <w:r w:rsidRPr="00E470B5">
        <w:rPr>
          <w:rFonts w:asciiTheme="majorBidi" w:hAnsiTheme="majorBidi" w:cstheme="majorBidi"/>
          <w:i/>
          <w:iCs/>
          <w:sz w:val="24"/>
          <w:szCs w:val="24"/>
        </w:rPr>
        <w:t xml:space="preserve">cancer in the </w:t>
      </w:r>
      <w:proofErr w:type="spellStart"/>
      <w:r w:rsidRPr="00E470B5">
        <w:rPr>
          <w:rFonts w:asciiTheme="majorBidi" w:hAnsiTheme="majorBidi" w:cstheme="majorBidi"/>
          <w:i/>
          <w:iCs/>
          <w:sz w:val="24"/>
          <w:szCs w:val="24"/>
        </w:rPr>
        <w:t>arab</w:t>
      </w:r>
      <w:proofErr w:type="spellEnd"/>
      <w:r w:rsidRPr="00E470B5">
        <w:rPr>
          <w:rFonts w:asciiTheme="majorBidi" w:hAnsiTheme="majorBidi" w:cstheme="majorBidi"/>
          <w:i/>
          <w:iCs/>
          <w:sz w:val="24"/>
          <w:szCs w:val="24"/>
        </w:rPr>
        <w:t xml:space="preserve"> world</w:t>
      </w:r>
      <w:r w:rsidRPr="00E470B5">
        <w:rPr>
          <w:rFonts w:asciiTheme="majorBidi" w:hAnsiTheme="majorBidi" w:cstheme="majorBidi"/>
          <w:sz w:val="24"/>
          <w:szCs w:val="24"/>
        </w:rPr>
        <w:t>. Singapore: Springer, 2022, pp.321–338.</w:t>
      </w:r>
    </w:p>
    <w:p w14:paraId="120CF05E" w14:textId="77777777" w:rsidR="00B96A60" w:rsidRPr="00E470B5" w:rsidRDefault="00B96A60" w:rsidP="00B96A60">
      <w:pPr>
        <w:pStyle w:val="ListParagraph"/>
        <w:numPr>
          <w:ilvl w:val="0"/>
          <w:numId w:val="16"/>
        </w:numPr>
        <w:rPr>
          <w:rFonts w:asciiTheme="majorBidi" w:hAnsiTheme="majorBidi" w:cstheme="majorBidi"/>
          <w:sz w:val="24"/>
          <w:szCs w:val="24"/>
        </w:rPr>
      </w:pPr>
      <w:r w:rsidRPr="00E470B5">
        <w:rPr>
          <w:rFonts w:asciiTheme="majorBidi" w:hAnsiTheme="majorBidi" w:cstheme="majorBidi"/>
          <w:sz w:val="24"/>
          <w:szCs w:val="24"/>
        </w:rPr>
        <w:t>Hamid GA. Breast cancer care in Yemen. </w:t>
      </w:r>
      <w:r w:rsidRPr="00E470B5">
        <w:rPr>
          <w:rFonts w:asciiTheme="majorBidi" w:hAnsiTheme="majorBidi" w:cstheme="majorBidi"/>
          <w:i/>
          <w:iCs/>
          <w:sz w:val="24"/>
          <w:szCs w:val="24"/>
        </w:rPr>
        <w:t>Eur J Pharm Med Res</w:t>
      </w:r>
      <w:r w:rsidRPr="00E470B5">
        <w:rPr>
          <w:rFonts w:asciiTheme="majorBidi" w:hAnsiTheme="majorBidi" w:cstheme="majorBidi"/>
          <w:sz w:val="24"/>
          <w:szCs w:val="24"/>
        </w:rPr>
        <w:t>. 2022;2160(41):24–29.</w:t>
      </w:r>
    </w:p>
    <w:p w14:paraId="0A01D114" w14:textId="77777777" w:rsidR="00B96A60" w:rsidRPr="00E470B5" w:rsidRDefault="00B96A60" w:rsidP="00B96A60">
      <w:pPr>
        <w:pStyle w:val="ListParagraph"/>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Al-</w:t>
      </w:r>
      <w:proofErr w:type="spellStart"/>
      <w:r w:rsidRPr="00E470B5">
        <w:rPr>
          <w:rFonts w:asciiTheme="majorBidi" w:hAnsiTheme="majorBidi" w:cstheme="majorBidi"/>
          <w:sz w:val="24"/>
          <w:szCs w:val="24"/>
        </w:rPr>
        <w:t>Kahiry</w:t>
      </w:r>
      <w:proofErr w:type="spellEnd"/>
      <w:r w:rsidRPr="00E470B5">
        <w:rPr>
          <w:rFonts w:asciiTheme="majorBidi" w:hAnsiTheme="majorBidi" w:cstheme="majorBidi"/>
          <w:sz w:val="24"/>
          <w:szCs w:val="24"/>
        </w:rPr>
        <w:t xml:space="preserve"> W, Omer HH, Saeed NM, Hamid GA. Late presentation of breast cancer in Aden, Yemen. Gulf J </w:t>
      </w:r>
      <w:proofErr w:type="spellStart"/>
      <w:r w:rsidRPr="00E470B5">
        <w:rPr>
          <w:rFonts w:asciiTheme="majorBidi" w:hAnsiTheme="majorBidi" w:cstheme="majorBidi"/>
          <w:sz w:val="24"/>
          <w:szCs w:val="24"/>
        </w:rPr>
        <w:t>Oncolog</w:t>
      </w:r>
      <w:proofErr w:type="spellEnd"/>
      <w:r w:rsidRPr="00E470B5">
        <w:rPr>
          <w:rFonts w:asciiTheme="majorBidi" w:hAnsiTheme="majorBidi" w:cstheme="majorBidi"/>
          <w:sz w:val="24"/>
          <w:szCs w:val="24"/>
        </w:rPr>
        <w:t>. 2011 Jan;(9):7-11. PMID: 21177203.</w:t>
      </w:r>
    </w:p>
    <w:p w14:paraId="6B7DCF09" w14:textId="77777777" w:rsidR="003C455A" w:rsidRPr="00E470B5" w:rsidRDefault="003C455A" w:rsidP="003C455A">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Bianchini G, Balko JM, Mayer IA, et al. Triple-negative breast cancer: challenges and opportunities of a heterogeneous disease. </w:t>
      </w:r>
      <w:r w:rsidRPr="00E470B5">
        <w:rPr>
          <w:rFonts w:asciiTheme="majorBidi" w:hAnsiTheme="majorBidi" w:cstheme="majorBidi"/>
          <w:i/>
          <w:iCs/>
          <w:sz w:val="24"/>
          <w:szCs w:val="24"/>
        </w:rPr>
        <w:t>Nat Rev Clin Oncol</w:t>
      </w:r>
      <w:r w:rsidRPr="00E470B5">
        <w:rPr>
          <w:rFonts w:asciiTheme="majorBidi" w:hAnsiTheme="majorBidi" w:cstheme="majorBidi"/>
          <w:sz w:val="24"/>
          <w:szCs w:val="24"/>
        </w:rPr>
        <w:t>. 2016;13(11):674-690.</w:t>
      </w:r>
    </w:p>
    <w:p w14:paraId="547C7372" w14:textId="77777777" w:rsidR="003C455A" w:rsidRPr="00E470B5" w:rsidRDefault="003C455A" w:rsidP="003C455A">
      <w:pPr>
        <w:numPr>
          <w:ilvl w:val="0"/>
          <w:numId w:val="16"/>
        </w:numPr>
        <w:spacing w:line="360" w:lineRule="auto"/>
        <w:rPr>
          <w:rFonts w:asciiTheme="majorBidi" w:hAnsiTheme="majorBidi" w:cstheme="majorBidi"/>
          <w:sz w:val="24"/>
          <w:szCs w:val="24"/>
        </w:rPr>
      </w:pPr>
      <w:proofErr w:type="spellStart"/>
      <w:r w:rsidRPr="00E470B5">
        <w:rPr>
          <w:rFonts w:asciiTheme="majorBidi" w:hAnsiTheme="majorBidi" w:cstheme="majorBidi"/>
          <w:sz w:val="24"/>
          <w:szCs w:val="24"/>
        </w:rPr>
        <w:t>Alnegheimish</w:t>
      </w:r>
      <w:proofErr w:type="spellEnd"/>
      <w:r w:rsidRPr="00E470B5">
        <w:rPr>
          <w:rFonts w:asciiTheme="majorBidi" w:hAnsiTheme="majorBidi" w:cstheme="majorBidi"/>
          <w:sz w:val="24"/>
          <w:szCs w:val="24"/>
        </w:rPr>
        <w:t xml:space="preserve"> NA, </w:t>
      </w:r>
      <w:proofErr w:type="spellStart"/>
      <w:r w:rsidRPr="00E470B5">
        <w:rPr>
          <w:rFonts w:asciiTheme="majorBidi" w:hAnsiTheme="majorBidi" w:cstheme="majorBidi"/>
          <w:sz w:val="24"/>
          <w:szCs w:val="24"/>
        </w:rPr>
        <w:t>Alshatwi</w:t>
      </w:r>
      <w:proofErr w:type="spellEnd"/>
      <w:r w:rsidRPr="00E470B5">
        <w:rPr>
          <w:rFonts w:asciiTheme="majorBidi" w:hAnsiTheme="majorBidi" w:cstheme="majorBidi"/>
          <w:sz w:val="24"/>
          <w:szCs w:val="24"/>
        </w:rPr>
        <w:t xml:space="preserve"> RA, Alhussaini H, et al. Breast Cancer in Saudi Arabia and its Impact on Arab Women. </w:t>
      </w:r>
      <w:r w:rsidRPr="00E470B5">
        <w:rPr>
          <w:rFonts w:asciiTheme="majorBidi" w:hAnsiTheme="majorBidi" w:cstheme="majorBidi"/>
          <w:i/>
          <w:iCs/>
          <w:sz w:val="24"/>
          <w:szCs w:val="24"/>
        </w:rPr>
        <w:t>Cureus</w:t>
      </w:r>
      <w:r w:rsidRPr="00E470B5">
        <w:rPr>
          <w:rFonts w:asciiTheme="majorBidi" w:hAnsiTheme="majorBidi" w:cstheme="majorBidi"/>
          <w:sz w:val="24"/>
          <w:szCs w:val="24"/>
        </w:rPr>
        <w:t>. 2022;14(8</w:t>
      </w:r>
      <w:proofErr w:type="gramStart"/>
      <w:r w:rsidRPr="00E470B5">
        <w:rPr>
          <w:rFonts w:asciiTheme="majorBidi" w:hAnsiTheme="majorBidi" w:cstheme="majorBidi"/>
          <w:sz w:val="24"/>
          <w:szCs w:val="24"/>
        </w:rPr>
        <w:t>):e</w:t>
      </w:r>
      <w:proofErr w:type="gramEnd"/>
      <w:r w:rsidRPr="00E470B5">
        <w:rPr>
          <w:rFonts w:asciiTheme="majorBidi" w:hAnsiTheme="majorBidi" w:cstheme="majorBidi"/>
          <w:sz w:val="24"/>
          <w:szCs w:val="24"/>
        </w:rPr>
        <w:t>28356.</w:t>
      </w:r>
    </w:p>
    <w:p w14:paraId="3CC9491C" w14:textId="004341A6" w:rsidR="00B77F2E" w:rsidRPr="003C455A" w:rsidRDefault="00B77F2E" w:rsidP="00B77F2E">
      <w:pPr>
        <w:numPr>
          <w:ilvl w:val="0"/>
          <w:numId w:val="16"/>
        </w:numPr>
        <w:spacing w:line="360" w:lineRule="auto"/>
        <w:rPr>
          <w:rFonts w:asciiTheme="majorBidi" w:hAnsiTheme="majorBidi" w:cstheme="majorBidi"/>
          <w:sz w:val="24"/>
          <w:szCs w:val="24"/>
        </w:rPr>
      </w:pPr>
      <w:r w:rsidRPr="00E470B5">
        <w:rPr>
          <w:rFonts w:asciiTheme="majorBidi" w:hAnsiTheme="majorBidi" w:cstheme="majorBidi"/>
          <w:sz w:val="24"/>
          <w:szCs w:val="24"/>
        </w:rPr>
        <w:t>Hamid GA, Yassin S, Al-</w:t>
      </w:r>
      <w:proofErr w:type="spellStart"/>
      <w:r w:rsidRPr="00E470B5">
        <w:rPr>
          <w:rFonts w:asciiTheme="majorBidi" w:hAnsiTheme="majorBidi" w:cstheme="majorBidi"/>
          <w:sz w:val="24"/>
          <w:szCs w:val="24"/>
        </w:rPr>
        <w:t>Ahdel</w:t>
      </w:r>
      <w:proofErr w:type="spellEnd"/>
      <w:r w:rsidRPr="00E470B5">
        <w:rPr>
          <w:rFonts w:asciiTheme="majorBidi" w:hAnsiTheme="majorBidi" w:cstheme="majorBidi"/>
          <w:sz w:val="24"/>
          <w:szCs w:val="24"/>
        </w:rPr>
        <w:t xml:space="preserve"> F (2015) Triple-Negative Breast Cancer; Future Treatment </w:t>
      </w:r>
      <w:proofErr w:type="spellStart"/>
      <w:r w:rsidRPr="00E470B5">
        <w:rPr>
          <w:rFonts w:asciiTheme="majorBidi" w:hAnsiTheme="majorBidi" w:cstheme="majorBidi"/>
          <w:sz w:val="24"/>
          <w:szCs w:val="24"/>
        </w:rPr>
        <w:t>inLimited</w:t>
      </w:r>
      <w:proofErr w:type="spellEnd"/>
      <w:r w:rsidRPr="00E470B5">
        <w:rPr>
          <w:rFonts w:asciiTheme="majorBidi" w:hAnsiTheme="majorBidi" w:cstheme="majorBidi"/>
          <w:sz w:val="24"/>
          <w:szCs w:val="24"/>
        </w:rPr>
        <w:t xml:space="preserve"> Resource Centers</w:t>
      </w:r>
      <w:r w:rsidRPr="00B77F2E">
        <w:rPr>
          <w:rFonts w:asciiTheme="majorBidi" w:hAnsiTheme="majorBidi" w:cstheme="majorBidi"/>
          <w:sz w:val="24"/>
          <w:szCs w:val="24"/>
        </w:rPr>
        <w:t xml:space="preserve">. J Develop Drugs, </w:t>
      </w:r>
      <w:proofErr w:type="gramStart"/>
      <w:r w:rsidRPr="00B77F2E">
        <w:rPr>
          <w:rFonts w:asciiTheme="majorBidi" w:hAnsiTheme="majorBidi" w:cstheme="majorBidi"/>
          <w:sz w:val="24"/>
          <w:szCs w:val="24"/>
        </w:rPr>
        <w:t>4:e</w:t>
      </w:r>
      <w:proofErr w:type="gramEnd"/>
      <w:r w:rsidRPr="00B77F2E">
        <w:rPr>
          <w:rFonts w:asciiTheme="majorBidi" w:hAnsiTheme="majorBidi" w:cstheme="majorBidi"/>
          <w:sz w:val="24"/>
          <w:szCs w:val="24"/>
        </w:rPr>
        <w:t xml:space="preserve">141. doi:10.4172/2329-6631.1000e141 </w:t>
      </w:r>
      <w:r w:rsidRPr="00B77F2E">
        <w:rPr>
          <w:rFonts w:asciiTheme="majorBidi" w:hAnsiTheme="majorBidi" w:cstheme="majorBidi"/>
          <w:sz w:val="24"/>
          <w:szCs w:val="24"/>
        </w:rPr>
        <w:br/>
      </w:r>
    </w:p>
    <w:p w14:paraId="4565BAE6" w14:textId="77777777" w:rsidR="003C455A" w:rsidRPr="003C455A" w:rsidRDefault="003C455A" w:rsidP="003C455A">
      <w:pPr>
        <w:numPr>
          <w:ilvl w:val="0"/>
          <w:numId w:val="16"/>
        </w:numPr>
        <w:spacing w:line="360" w:lineRule="auto"/>
        <w:rPr>
          <w:rFonts w:asciiTheme="majorBidi" w:hAnsiTheme="majorBidi" w:cstheme="majorBidi"/>
          <w:sz w:val="24"/>
          <w:szCs w:val="24"/>
        </w:rPr>
      </w:pPr>
      <w:r w:rsidRPr="003C455A">
        <w:rPr>
          <w:rFonts w:asciiTheme="majorBidi" w:hAnsiTheme="majorBidi" w:cstheme="majorBidi"/>
          <w:sz w:val="24"/>
          <w:szCs w:val="24"/>
        </w:rPr>
        <w:t xml:space="preserve">Joko-Fru WY, Miranda-Filho A, </w:t>
      </w:r>
      <w:proofErr w:type="spellStart"/>
      <w:r w:rsidRPr="003C455A">
        <w:rPr>
          <w:rFonts w:asciiTheme="majorBidi" w:hAnsiTheme="majorBidi" w:cstheme="majorBidi"/>
          <w:sz w:val="24"/>
          <w:szCs w:val="24"/>
        </w:rPr>
        <w:t>Soerjomataram</w:t>
      </w:r>
      <w:proofErr w:type="spellEnd"/>
      <w:r w:rsidRPr="003C455A">
        <w:rPr>
          <w:rFonts w:asciiTheme="majorBidi" w:hAnsiTheme="majorBidi" w:cstheme="majorBidi"/>
          <w:sz w:val="24"/>
          <w:szCs w:val="24"/>
        </w:rPr>
        <w:t xml:space="preserve"> I, et al. Breast cancer survival in sub-Saharan Africa by age, stage at diagnosis and human development index. </w:t>
      </w:r>
      <w:r w:rsidRPr="003C455A">
        <w:rPr>
          <w:rFonts w:asciiTheme="majorBidi" w:hAnsiTheme="majorBidi" w:cstheme="majorBidi"/>
          <w:i/>
          <w:iCs/>
          <w:sz w:val="24"/>
          <w:szCs w:val="24"/>
        </w:rPr>
        <w:t>Int J Cancer</w:t>
      </w:r>
      <w:r w:rsidRPr="003C455A">
        <w:rPr>
          <w:rFonts w:asciiTheme="majorBidi" w:hAnsiTheme="majorBidi" w:cstheme="majorBidi"/>
          <w:sz w:val="24"/>
          <w:szCs w:val="24"/>
        </w:rPr>
        <w:t>. 2020;147(11):3037-3048.</w:t>
      </w:r>
    </w:p>
    <w:p w14:paraId="6ABFE544" w14:textId="77777777" w:rsidR="003C455A" w:rsidRPr="003C455A" w:rsidRDefault="003C455A" w:rsidP="003C455A">
      <w:pPr>
        <w:numPr>
          <w:ilvl w:val="0"/>
          <w:numId w:val="16"/>
        </w:numPr>
        <w:spacing w:line="360" w:lineRule="auto"/>
        <w:rPr>
          <w:rFonts w:asciiTheme="majorBidi" w:hAnsiTheme="majorBidi" w:cstheme="majorBidi"/>
          <w:sz w:val="24"/>
          <w:szCs w:val="24"/>
        </w:rPr>
      </w:pPr>
      <w:r w:rsidRPr="003C455A">
        <w:rPr>
          <w:rFonts w:asciiTheme="majorBidi" w:hAnsiTheme="majorBidi" w:cstheme="majorBidi"/>
          <w:sz w:val="24"/>
          <w:szCs w:val="24"/>
        </w:rPr>
        <w:t>Schmid P, Adams S, Rugo HS, et al. Atezolizumab and Nab-Paclitaxel in Advanced Triple-Negative Breast Cancer. </w:t>
      </w:r>
      <w:r w:rsidRPr="003C455A">
        <w:rPr>
          <w:rFonts w:asciiTheme="majorBidi" w:hAnsiTheme="majorBidi" w:cstheme="majorBidi"/>
          <w:i/>
          <w:iCs/>
          <w:sz w:val="24"/>
          <w:szCs w:val="24"/>
        </w:rPr>
        <w:t>N Engl J Med</w:t>
      </w:r>
      <w:r w:rsidRPr="003C455A">
        <w:rPr>
          <w:rFonts w:asciiTheme="majorBidi" w:hAnsiTheme="majorBidi" w:cstheme="majorBidi"/>
          <w:sz w:val="24"/>
          <w:szCs w:val="24"/>
        </w:rPr>
        <w:t>. 2020;382(9):810-821.</w:t>
      </w:r>
    </w:p>
    <w:p w14:paraId="5ECB4821" w14:textId="77777777" w:rsidR="003C455A" w:rsidRPr="003C455A" w:rsidRDefault="003C455A" w:rsidP="003C455A">
      <w:pPr>
        <w:numPr>
          <w:ilvl w:val="0"/>
          <w:numId w:val="16"/>
        </w:numPr>
        <w:spacing w:line="360" w:lineRule="auto"/>
        <w:rPr>
          <w:rFonts w:asciiTheme="majorBidi" w:hAnsiTheme="majorBidi" w:cstheme="majorBidi"/>
          <w:sz w:val="24"/>
          <w:szCs w:val="24"/>
        </w:rPr>
      </w:pPr>
      <w:r w:rsidRPr="003C455A">
        <w:rPr>
          <w:rFonts w:asciiTheme="majorBidi" w:hAnsiTheme="majorBidi" w:cstheme="majorBidi"/>
          <w:sz w:val="24"/>
          <w:szCs w:val="24"/>
        </w:rPr>
        <w:lastRenderedPageBreak/>
        <w:t>Slamon DJ, Leyland-Jones B, Shak S, et al. Use of chemotherapy plus a monoclonal antibody against HER2 for metastatic breast cancer that overexpresses HER2. </w:t>
      </w:r>
      <w:r w:rsidRPr="003C455A">
        <w:rPr>
          <w:rFonts w:asciiTheme="majorBidi" w:hAnsiTheme="majorBidi" w:cstheme="majorBidi"/>
          <w:i/>
          <w:iCs/>
          <w:sz w:val="24"/>
          <w:szCs w:val="24"/>
        </w:rPr>
        <w:t>N Engl J Med</w:t>
      </w:r>
      <w:r w:rsidRPr="003C455A">
        <w:rPr>
          <w:rFonts w:asciiTheme="majorBidi" w:hAnsiTheme="majorBidi" w:cstheme="majorBidi"/>
          <w:sz w:val="24"/>
          <w:szCs w:val="24"/>
        </w:rPr>
        <w:t>. 2001;344(11):783-792.</w:t>
      </w:r>
    </w:p>
    <w:p w14:paraId="379AFF71" w14:textId="77777777" w:rsidR="003C455A" w:rsidRPr="003C455A" w:rsidRDefault="003C455A" w:rsidP="003C455A">
      <w:pPr>
        <w:numPr>
          <w:ilvl w:val="0"/>
          <w:numId w:val="16"/>
        </w:numPr>
        <w:spacing w:line="360" w:lineRule="auto"/>
        <w:rPr>
          <w:rFonts w:asciiTheme="majorBidi" w:hAnsiTheme="majorBidi" w:cstheme="majorBidi"/>
          <w:sz w:val="24"/>
          <w:szCs w:val="24"/>
        </w:rPr>
      </w:pPr>
      <w:proofErr w:type="spellStart"/>
      <w:r w:rsidRPr="003C455A">
        <w:rPr>
          <w:rFonts w:asciiTheme="majorBidi" w:hAnsiTheme="majorBidi" w:cstheme="majorBidi"/>
          <w:sz w:val="24"/>
          <w:szCs w:val="24"/>
        </w:rPr>
        <w:t>Malvia</w:t>
      </w:r>
      <w:proofErr w:type="spellEnd"/>
      <w:r w:rsidRPr="003C455A">
        <w:rPr>
          <w:rFonts w:asciiTheme="majorBidi" w:hAnsiTheme="majorBidi" w:cstheme="majorBidi"/>
          <w:sz w:val="24"/>
          <w:szCs w:val="24"/>
        </w:rPr>
        <w:t xml:space="preserve"> S, </w:t>
      </w:r>
      <w:proofErr w:type="spellStart"/>
      <w:r w:rsidRPr="003C455A">
        <w:rPr>
          <w:rFonts w:asciiTheme="majorBidi" w:hAnsiTheme="majorBidi" w:cstheme="majorBidi"/>
          <w:sz w:val="24"/>
          <w:szCs w:val="24"/>
        </w:rPr>
        <w:t>Bagadi</w:t>
      </w:r>
      <w:proofErr w:type="spellEnd"/>
      <w:r w:rsidRPr="003C455A">
        <w:rPr>
          <w:rFonts w:asciiTheme="majorBidi" w:hAnsiTheme="majorBidi" w:cstheme="majorBidi"/>
          <w:sz w:val="24"/>
          <w:szCs w:val="24"/>
        </w:rPr>
        <w:t xml:space="preserve"> SA, Dubey US, Saxena S. Epidemiology of breast cancer in Indian women. </w:t>
      </w:r>
      <w:r w:rsidRPr="003C455A">
        <w:rPr>
          <w:rFonts w:asciiTheme="majorBidi" w:hAnsiTheme="majorBidi" w:cstheme="majorBidi"/>
          <w:i/>
          <w:iCs/>
          <w:sz w:val="24"/>
          <w:szCs w:val="24"/>
        </w:rPr>
        <w:t>Asia Pac J Clin Oncol</w:t>
      </w:r>
      <w:r w:rsidRPr="003C455A">
        <w:rPr>
          <w:rFonts w:asciiTheme="majorBidi" w:hAnsiTheme="majorBidi" w:cstheme="majorBidi"/>
          <w:sz w:val="24"/>
          <w:szCs w:val="24"/>
        </w:rPr>
        <w:t>. 2017;13(4):289-295.</w:t>
      </w:r>
    </w:p>
    <w:p w14:paraId="504669A4" w14:textId="77777777" w:rsidR="003C455A" w:rsidRPr="003C455A" w:rsidRDefault="003C455A" w:rsidP="003C455A">
      <w:pPr>
        <w:numPr>
          <w:ilvl w:val="0"/>
          <w:numId w:val="16"/>
        </w:numPr>
        <w:spacing w:line="360" w:lineRule="auto"/>
        <w:rPr>
          <w:rFonts w:asciiTheme="majorBidi" w:hAnsiTheme="majorBidi" w:cstheme="majorBidi"/>
          <w:sz w:val="24"/>
          <w:szCs w:val="24"/>
        </w:rPr>
      </w:pPr>
      <w:r w:rsidRPr="003C455A">
        <w:rPr>
          <w:rFonts w:asciiTheme="majorBidi" w:hAnsiTheme="majorBidi" w:cstheme="majorBidi"/>
          <w:sz w:val="24"/>
          <w:szCs w:val="24"/>
        </w:rPr>
        <w:t xml:space="preserve">Sutter SA, </w:t>
      </w:r>
      <w:proofErr w:type="spellStart"/>
      <w:r w:rsidRPr="003C455A">
        <w:rPr>
          <w:rFonts w:asciiTheme="majorBidi" w:hAnsiTheme="majorBidi" w:cstheme="majorBidi"/>
          <w:sz w:val="24"/>
          <w:szCs w:val="24"/>
        </w:rPr>
        <w:t>Slinker</w:t>
      </w:r>
      <w:proofErr w:type="spellEnd"/>
      <w:r w:rsidRPr="003C455A">
        <w:rPr>
          <w:rFonts w:asciiTheme="majorBidi" w:hAnsiTheme="majorBidi" w:cstheme="majorBidi"/>
          <w:sz w:val="24"/>
          <w:szCs w:val="24"/>
        </w:rPr>
        <w:t xml:space="preserve"> A, </w:t>
      </w:r>
      <w:proofErr w:type="spellStart"/>
      <w:r w:rsidRPr="003C455A">
        <w:rPr>
          <w:rFonts w:asciiTheme="majorBidi" w:hAnsiTheme="majorBidi" w:cstheme="majorBidi"/>
          <w:sz w:val="24"/>
          <w:szCs w:val="24"/>
        </w:rPr>
        <w:t>Balumuka</w:t>
      </w:r>
      <w:proofErr w:type="spellEnd"/>
      <w:r w:rsidRPr="003C455A">
        <w:rPr>
          <w:rFonts w:asciiTheme="majorBidi" w:hAnsiTheme="majorBidi" w:cstheme="majorBidi"/>
          <w:sz w:val="24"/>
          <w:szCs w:val="24"/>
        </w:rPr>
        <w:t xml:space="preserve"> DD, et al. Surgical Management of Breast Cancer in Africa. </w:t>
      </w:r>
      <w:r w:rsidRPr="003C455A">
        <w:rPr>
          <w:rFonts w:asciiTheme="majorBidi" w:hAnsiTheme="majorBidi" w:cstheme="majorBidi"/>
          <w:i/>
          <w:iCs/>
          <w:sz w:val="24"/>
          <w:szCs w:val="24"/>
        </w:rPr>
        <w:t>Ann Surg Oncol</w:t>
      </w:r>
      <w:r w:rsidRPr="003C455A">
        <w:rPr>
          <w:rFonts w:asciiTheme="majorBidi" w:hAnsiTheme="majorBidi" w:cstheme="majorBidi"/>
          <w:sz w:val="24"/>
          <w:szCs w:val="24"/>
        </w:rPr>
        <w:t>. 2021;28(9):5038-5049.</w:t>
      </w:r>
    </w:p>
    <w:sectPr w:rsidR="003C455A" w:rsidRPr="003C45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12E4" w14:textId="77777777" w:rsidR="00213FB0" w:rsidRDefault="00213FB0" w:rsidP="00BE0DB5">
      <w:pPr>
        <w:spacing w:after="0" w:line="240" w:lineRule="auto"/>
      </w:pPr>
      <w:r>
        <w:separator/>
      </w:r>
    </w:p>
  </w:endnote>
  <w:endnote w:type="continuationSeparator" w:id="0">
    <w:p w14:paraId="2C8A60F1" w14:textId="77777777" w:rsidR="00213FB0" w:rsidRDefault="00213FB0" w:rsidP="00BE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7774F" w14:textId="77777777" w:rsidR="00BE0DB5" w:rsidRDefault="00BE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011D" w14:textId="77777777" w:rsidR="00BE0DB5" w:rsidRDefault="00BE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D9EA" w14:textId="77777777" w:rsidR="00BE0DB5" w:rsidRDefault="00BE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AB740" w14:textId="77777777" w:rsidR="00213FB0" w:rsidRDefault="00213FB0" w:rsidP="00BE0DB5">
      <w:pPr>
        <w:spacing w:after="0" w:line="240" w:lineRule="auto"/>
      </w:pPr>
      <w:r>
        <w:separator/>
      </w:r>
    </w:p>
  </w:footnote>
  <w:footnote w:type="continuationSeparator" w:id="0">
    <w:p w14:paraId="4E7FF7F5" w14:textId="77777777" w:rsidR="00213FB0" w:rsidRDefault="00213FB0" w:rsidP="00BE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AF4" w14:textId="7FDBDF6A" w:rsidR="00BE0DB5" w:rsidRDefault="00BE0DB5">
    <w:pPr>
      <w:pStyle w:val="Header"/>
    </w:pPr>
    <w:r>
      <w:rPr>
        <w:noProof/>
      </w:rPr>
      <w:pict w14:anchorId="2E835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37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6D6C" w14:textId="7860063E" w:rsidR="00BE0DB5" w:rsidRDefault="00BE0DB5">
    <w:pPr>
      <w:pStyle w:val="Header"/>
    </w:pPr>
    <w:r>
      <w:rPr>
        <w:noProof/>
      </w:rPr>
      <w:pict w14:anchorId="6150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37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162B" w14:textId="614AF08F" w:rsidR="00BE0DB5" w:rsidRDefault="00BE0DB5">
    <w:pPr>
      <w:pStyle w:val="Header"/>
    </w:pPr>
    <w:r>
      <w:rPr>
        <w:noProof/>
      </w:rPr>
      <w:pict w14:anchorId="14497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737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29FF"/>
    <w:multiLevelType w:val="multilevel"/>
    <w:tmpl w:val="9B6C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E217A"/>
    <w:multiLevelType w:val="multilevel"/>
    <w:tmpl w:val="F376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90855"/>
    <w:multiLevelType w:val="multilevel"/>
    <w:tmpl w:val="9FCA8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95002"/>
    <w:multiLevelType w:val="multilevel"/>
    <w:tmpl w:val="5DCC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177FD"/>
    <w:multiLevelType w:val="multilevel"/>
    <w:tmpl w:val="DA7C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36AFF"/>
    <w:multiLevelType w:val="multilevel"/>
    <w:tmpl w:val="1D18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C5CAD"/>
    <w:multiLevelType w:val="multilevel"/>
    <w:tmpl w:val="365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253CD"/>
    <w:multiLevelType w:val="multilevel"/>
    <w:tmpl w:val="631ECA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055BD1"/>
    <w:multiLevelType w:val="multilevel"/>
    <w:tmpl w:val="332C9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1E5C74"/>
    <w:multiLevelType w:val="multilevel"/>
    <w:tmpl w:val="4892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A65231"/>
    <w:multiLevelType w:val="multilevel"/>
    <w:tmpl w:val="CC9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B0BE1"/>
    <w:multiLevelType w:val="multilevel"/>
    <w:tmpl w:val="C03C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FA3D06"/>
    <w:multiLevelType w:val="multilevel"/>
    <w:tmpl w:val="BDDC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CB1904"/>
    <w:multiLevelType w:val="multilevel"/>
    <w:tmpl w:val="E8B04F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F2A88"/>
    <w:multiLevelType w:val="multilevel"/>
    <w:tmpl w:val="DE5E6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7"/>
  </w:num>
  <w:num w:numId="5">
    <w:abstractNumId w:val="0"/>
  </w:num>
  <w:num w:numId="6">
    <w:abstractNumId w:val="13"/>
  </w:num>
  <w:num w:numId="7">
    <w:abstractNumId w:val="11"/>
  </w:num>
  <w:num w:numId="8">
    <w:abstractNumId w:val="9"/>
  </w:num>
  <w:num w:numId="9">
    <w:abstractNumId w:val="8"/>
  </w:num>
  <w:num w:numId="10">
    <w:abstractNumId w:val="12"/>
  </w:num>
  <w:num w:numId="11">
    <w:abstractNumId w:val="2"/>
  </w:num>
  <w:num w:numId="1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13">
    <w:abstractNumId w:val="10"/>
  </w:num>
  <w:num w:numId="14">
    <w:abstractNumId w:val="14"/>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4A"/>
    <w:rsid w:val="001640EB"/>
    <w:rsid w:val="001710CC"/>
    <w:rsid w:val="001E0B71"/>
    <w:rsid w:val="00213FB0"/>
    <w:rsid w:val="002B0A3F"/>
    <w:rsid w:val="003457A4"/>
    <w:rsid w:val="003C455A"/>
    <w:rsid w:val="0054089E"/>
    <w:rsid w:val="00665B51"/>
    <w:rsid w:val="00726EA4"/>
    <w:rsid w:val="007D565F"/>
    <w:rsid w:val="00823029"/>
    <w:rsid w:val="008505A3"/>
    <w:rsid w:val="00927A69"/>
    <w:rsid w:val="00943C58"/>
    <w:rsid w:val="009D6E23"/>
    <w:rsid w:val="00A0019F"/>
    <w:rsid w:val="00AA1DB0"/>
    <w:rsid w:val="00B230BA"/>
    <w:rsid w:val="00B77F2E"/>
    <w:rsid w:val="00B8694B"/>
    <w:rsid w:val="00B96A60"/>
    <w:rsid w:val="00BE0DB5"/>
    <w:rsid w:val="00CB7AC6"/>
    <w:rsid w:val="00DD2418"/>
    <w:rsid w:val="00E21D59"/>
    <w:rsid w:val="00E470B5"/>
    <w:rsid w:val="00FC6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465EB9"/>
  <w15:chartTrackingRefBased/>
  <w15:docId w15:val="{F6D172D4-A2FC-4406-A2AA-DE72235B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C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C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C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C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C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C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4A"/>
    <w:rPr>
      <w:rFonts w:eastAsiaTheme="majorEastAsia" w:cstheme="majorBidi"/>
      <w:color w:val="272727" w:themeColor="text1" w:themeTint="D8"/>
    </w:rPr>
  </w:style>
  <w:style w:type="paragraph" w:styleId="Title">
    <w:name w:val="Title"/>
    <w:basedOn w:val="Normal"/>
    <w:next w:val="Normal"/>
    <w:link w:val="TitleChar"/>
    <w:uiPriority w:val="10"/>
    <w:qFormat/>
    <w:rsid w:val="00FC6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4A"/>
    <w:pPr>
      <w:spacing w:before="160"/>
      <w:jc w:val="center"/>
    </w:pPr>
    <w:rPr>
      <w:i/>
      <w:iCs/>
      <w:color w:val="404040" w:themeColor="text1" w:themeTint="BF"/>
    </w:rPr>
  </w:style>
  <w:style w:type="character" w:customStyle="1" w:styleId="QuoteChar">
    <w:name w:val="Quote Char"/>
    <w:basedOn w:val="DefaultParagraphFont"/>
    <w:link w:val="Quote"/>
    <w:uiPriority w:val="29"/>
    <w:rsid w:val="00FC6C4A"/>
    <w:rPr>
      <w:i/>
      <w:iCs/>
      <w:color w:val="404040" w:themeColor="text1" w:themeTint="BF"/>
    </w:rPr>
  </w:style>
  <w:style w:type="paragraph" w:styleId="ListParagraph">
    <w:name w:val="List Paragraph"/>
    <w:basedOn w:val="Normal"/>
    <w:uiPriority w:val="34"/>
    <w:qFormat/>
    <w:rsid w:val="00FC6C4A"/>
    <w:pPr>
      <w:ind w:left="720"/>
      <w:contextualSpacing/>
    </w:pPr>
  </w:style>
  <w:style w:type="character" w:styleId="IntenseEmphasis">
    <w:name w:val="Intense Emphasis"/>
    <w:basedOn w:val="DefaultParagraphFont"/>
    <w:uiPriority w:val="21"/>
    <w:qFormat/>
    <w:rsid w:val="00FC6C4A"/>
    <w:rPr>
      <w:i/>
      <w:iCs/>
      <w:color w:val="2F5496" w:themeColor="accent1" w:themeShade="BF"/>
    </w:rPr>
  </w:style>
  <w:style w:type="paragraph" w:styleId="IntenseQuote">
    <w:name w:val="Intense Quote"/>
    <w:basedOn w:val="Normal"/>
    <w:next w:val="Normal"/>
    <w:link w:val="IntenseQuoteChar"/>
    <w:uiPriority w:val="30"/>
    <w:qFormat/>
    <w:rsid w:val="00FC6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C4A"/>
    <w:rPr>
      <w:i/>
      <w:iCs/>
      <w:color w:val="2F5496" w:themeColor="accent1" w:themeShade="BF"/>
    </w:rPr>
  </w:style>
  <w:style w:type="character" w:styleId="IntenseReference">
    <w:name w:val="Intense Reference"/>
    <w:basedOn w:val="DefaultParagraphFont"/>
    <w:uiPriority w:val="32"/>
    <w:qFormat/>
    <w:rsid w:val="00FC6C4A"/>
    <w:rPr>
      <w:b/>
      <w:bCs/>
      <w:smallCaps/>
      <w:color w:val="2F5496" w:themeColor="accent1" w:themeShade="BF"/>
      <w:spacing w:val="5"/>
    </w:rPr>
  </w:style>
  <w:style w:type="character" w:styleId="Hyperlink">
    <w:name w:val="Hyperlink"/>
    <w:basedOn w:val="DefaultParagraphFont"/>
    <w:uiPriority w:val="99"/>
    <w:unhideWhenUsed/>
    <w:rsid w:val="00B77F2E"/>
    <w:rPr>
      <w:color w:val="0563C1" w:themeColor="hyperlink"/>
      <w:u w:val="single"/>
    </w:rPr>
  </w:style>
  <w:style w:type="character" w:styleId="UnresolvedMention">
    <w:name w:val="Unresolved Mention"/>
    <w:basedOn w:val="DefaultParagraphFont"/>
    <w:uiPriority w:val="99"/>
    <w:semiHidden/>
    <w:unhideWhenUsed/>
    <w:rsid w:val="00B77F2E"/>
    <w:rPr>
      <w:color w:val="605E5C"/>
      <w:shd w:val="clear" w:color="auto" w:fill="E1DFDD"/>
    </w:rPr>
  </w:style>
  <w:style w:type="paragraph" w:styleId="Header">
    <w:name w:val="header"/>
    <w:basedOn w:val="Normal"/>
    <w:link w:val="HeaderChar"/>
    <w:uiPriority w:val="99"/>
    <w:unhideWhenUsed/>
    <w:rsid w:val="00BE0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B5"/>
  </w:style>
  <w:style w:type="paragraph" w:styleId="Footer">
    <w:name w:val="footer"/>
    <w:basedOn w:val="Normal"/>
    <w:link w:val="FooterChar"/>
    <w:uiPriority w:val="99"/>
    <w:unhideWhenUsed/>
    <w:rsid w:val="00BE0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3117</Words>
  <Characters>17768</Characters>
  <Application>Microsoft Office Word</Application>
  <DocSecurity>0</DocSecurity>
  <Lines>148</Lines>
  <Paragraphs>41</Paragraphs>
  <ScaleCrop>false</ScaleCrop>
  <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14</cp:revision>
  <dcterms:created xsi:type="dcterms:W3CDTF">2026-02-09T20:18:00Z</dcterms:created>
  <dcterms:modified xsi:type="dcterms:W3CDTF">2026-02-10T10:32:00Z</dcterms:modified>
</cp:coreProperties>
</file>