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27D9C" w14:textId="0E517C58" w:rsidR="00754C9A" w:rsidRPr="0044746E" w:rsidRDefault="00DE0D71" w:rsidP="00441B6F">
      <w:pPr>
        <w:pStyle w:val="Title"/>
        <w:spacing w:after="0"/>
        <w:jc w:val="both"/>
        <w:rPr>
          <w:rFonts w:ascii="Arial" w:hAnsi="Arial" w:cs="Arial"/>
        </w:rPr>
      </w:pPr>
      <w:r w:rsidRPr="00DE0D71">
        <w:rPr>
          <w:rFonts w:ascii="Arial" w:hAnsi="Arial" w:cs="Arial"/>
          <w:lang w:val="en-GB"/>
        </w:rPr>
        <w:t>Review article</w:t>
      </w:r>
    </w:p>
    <w:p w14:paraId="418C7285" w14:textId="1B9B1D81" w:rsidR="00B43D5D" w:rsidRDefault="00B43D5D" w:rsidP="00B43D5D">
      <w:pPr>
        <w:pStyle w:val="Author"/>
        <w:spacing w:line="240" w:lineRule="auto"/>
        <w:rPr>
          <w:rFonts w:ascii="Arial" w:hAnsi="Arial" w:cs="Arial"/>
          <w:bCs/>
          <w:iCs/>
          <w:kern w:val="28"/>
          <w:sz w:val="36"/>
        </w:rPr>
      </w:pPr>
      <w:bookmarkStart w:id="0" w:name="_Hlk219972046"/>
      <w:r w:rsidRPr="00B43D5D">
        <w:rPr>
          <w:rFonts w:ascii="Arial" w:hAnsi="Arial" w:cs="Arial"/>
          <w:bCs/>
          <w:iCs/>
          <w:kern w:val="28"/>
          <w:sz w:val="36"/>
        </w:rPr>
        <w:t>Epigenetic Modifiers as Therapeutic Targets in Infectious Diseases and Cancer Progression</w:t>
      </w:r>
      <w:bookmarkEnd w:id="0"/>
      <w:r w:rsidRPr="00B43D5D">
        <w:rPr>
          <w:rFonts w:ascii="Arial" w:hAnsi="Arial" w:cs="Arial"/>
          <w:bCs/>
          <w:iCs/>
          <w:kern w:val="28"/>
          <w:sz w:val="36"/>
        </w:rPr>
        <w:t>.</w:t>
      </w:r>
    </w:p>
    <w:p w14:paraId="43B8A9A9" w14:textId="77777777" w:rsidR="00B43D5D" w:rsidRPr="00B43D5D" w:rsidRDefault="00B43D5D" w:rsidP="00B43D5D">
      <w:pPr>
        <w:pStyle w:val="Author"/>
        <w:spacing w:line="240" w:lineRule="auto"/>
        <w:rPr>
          <w:rFonts w:ascii="Arial" w:hAnsi="Arial" w:cs="Arial"/>
          <w:bCs/>
          <w:iCs/>
          <w:kern w:val="28"/>
          <w:sz w:val="36"/>
        </w:rPr>
      </w:pPr>
    </w:p>
    <w:p w14:paraId="61A414C9" w14:textId="77777777" w:rsidR="001C3AB9" w:rsidRPr="0044746E" w:rsidRDefault="001C3AB9" w:rsidP="001C3AB9">
      <w:pPr>
        <w:spacing w:line="276" w:lineRule="auto"/>
        <w:ind w:left="360"/>
        <w:jc w:val="both"/>
        <w:rPr>
          <w:rFonts w:ascii="Arial" w:hAnsi="Arial" w:cs="Arial"/>
          <w:i/>
          <w:iCs/>
        </w:rPr>
      </w:pPr>
      <w:bookmarkStart w:id="1" w:name="_Hlk219883979"/>
    </w:p>
    <w:bookmarkEnd w:id="1"/>
    <w:p w14:paraId="7B41D442" w14:textId="77777777" w:rsidR="002C57D2" w:rsidRPr="0044746E" w:rsidRDefault="002C57D2" w:rsidP="00441B6F">
      <w:pPr>
        <w:pStyle w:val="Affiliation"/>
        <w:spacing w:after="0" w:line="240" w:lineRule="auto"/>
        <w:jc w:val="both"/>
        <w:rPr>
          <w:rFonts w:ascii="Arial" w:hAnsi="Arial" w:cs="Arial"/>
        </w:rPr>
      </w:pPr>
    </w:p>
    <w:p w14:paraId="2778E808" w14:textId="77777777" w:rsidR="00B01FCD" w:rsidRPr="0044746E" w:rsidRDefault="00BC402B" w:rsidP="00441B6F">
      <w:pPr>
        <w:pStyle w:val="Copyright"/>
        <w:spacing w:after="0" w:line="240" w:lineRule="auto"/>
        <w:jc w:val="both"/>
        <w:rPr>
          <w:rFonts w:ascii="Arial" w:hAnsi="Arial" w:cs="Arial"/>
        </w:rPr>
        <w:sectPr w:rsidR="00B01FCD" w:rsidRPr="0044746E" w:rsidSect="004A7F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9FB055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44746E">
        <w:rPr>
          <w:rFonts w:ascii="Arial" w:hAnsi="Arial" w:cs="Arial"/>
        </w:rPr>
        <w:t>.</w:t>
      </w:r>
    </w:p>
    <w:p w14:paraId="646A3EB7" w14:textId="10848422" w:rsidR="00B01FCD" w:rsidRPr="0044746E" w:rsidRDefault="00B01FCD" w:rsidP="00441B6F">
      <w:pPr>
        <w:pStyle w:val="AbstHead"/>
        <w:spacing w:after="0"/>
        <w:jc w:val="both"/>
        <w:rPr>
          <w:rFonts w:ascii="Arial" w:hAnsi="Arial" w:cs="Arial"/>
        </w:rPr>
      </w:pPr>
      <w:r w:rsidRPr="0044746E">
        <w:rPr>
          <w:rFonts w:ascii="Arial" w:hAnsi="Arial" w:cs="Arial"/>
        </w:rPr>
        <w:t>ABSTRACT</w:t>
      </w:r>
      <w:r w:rsidR="0066510A" w:rsidRPr="0044746E">
        <w:rPr>
          <w:rFonts w:ascii="Arial" w:hAnsi="Arial" w:cs="Arial"/>
        </w:rPr>
        <w:t xml:space="preserve"> </w:t>
      </w:r>
    </w:p>
    <w:p w14:paraId="5AF4DB14" w14:textId="77777777" w:rsidR="00790ADA" w:rsidRPr="0044746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4746E" w14:paraId="686D1460" w14:textId="77777777" w:rsidTr="001E44FE">
        <w:tc>
          <w:tcPr>
            <w:tcW w:w="9576" w:type="dxa"/>
            <w:shd w:val="clear" w:color="auto" w:fill="F2F2F2"/>
          </w:tcPr>
          <w:p w14:paraId="6358B0D4" w14:textId="77777777" w:rsidR="00B43D5D" w:rsidRDefault="0044746E" w:rsidP="0044746E">
            <w:pPr>
              <w:pStyle w:val="Body"/>
              <w:rPr>
                <w:rFonts w:ascii="Arial" w:eastAsia="Calibri" w:hAnsi="Arial" w:cs="Arial"/>
                <w:szCs w:val="22"/>
              </w:rPr>
            </w:pPr>
            <w:r w:rsidRPr="0044746E">
              <w:rPr>
                <w:rFonts w:ascii="Arial" w:eastAsia="Calibri" w:hAnsi="Arial" w:cs="Arial"/>
                <w:szCs w:val="22"/>
              </w:rPr>
              <w:t>Epigenetic regulation plays a central role in controlling gene expression programs that govern cellular identity, immune responses, and adaptation to environmental stress. Increasing evidence demonstrates that dysregulation of epigenetic mechanisms is a shared hallmark of both infectious diseases and cancer progression, enabling pathogen persistence, immune evasion, malignant transformation, and therapeutic resistance. Epigenetic modifiers—including DNA methyltransferases, histone-modifying enzymes, chromatin remodelers, and non-coding RNAs—mediate reversible yet stable transcriptional changes that bridge genetic predisposition and environmental influence.</w:t>
            </w:r>
            <w:r w:rsidR="00B43D5D">
              <w:rPr>
                <w:rFonts w:ascii="Arial" w:eastAsia="Calibri" w:hAnsi="Arial" w:cs="Arial"/>
                <w:szCs w:val="22"/>
              </w:rPr>
              <w:t xml:space="preserve"> </w:t>
            </w:r>
            <w:r w:rsidRPr="0044746E">
              <w:rPr>
                <w:rFonts w:ascii="Arial" w:eastAsia="Calibri" w:hAnsi="Arial" w:cs="Arial"/>
                <w:szCs w:val="22"/>
              </w:rPr>
              <w:t>In infectious diseases, pathogens actively exploit host epigenetic machinery to suppress antimicrobial responses and establish chronic or latent infections, while host-directed epigenetic reprogramming can shape immune memory and disease outcomes. In cancer, aberrant epigenetic landscapes drive silencing of tumor suppressor genes, maintenance of cancer stem cell plasticity, and resistance to cytotoxic and immune-based therapies. Importantly, the reversibility of epigenetic alterations has enabled the clinical development of epigenetic drugs, particularly in oncology, and has opened new avenues for therapeutic repurposing in infectious diseases.</w:t>
            </w:r>
          </w:p>
          <w:p w14:paraId="27119425" w14:textId="608EDA47" w:rsidR="00505F06" w:rsidRPr="0044746E" w:rsidRDefault="0044746E" w:rsidP="0044746E">
            <w:pPr>
              <w:pStyle w:val="Body"/>
              <w:rPr>
                <w:rFonts w:ascii="Arial" w:eastAsia="Calibri" w:hAnsi="Arial" w:cs="Arial"/>
                <w:szCs w:val="22"/>
              </w:rPr>
            </w:pPr>
            <w:r w:rsidRPr="0044746E">
              <w:rPr>
                <w:rFonts w:ascii="Arial" w:eastAsia="Calibri" w:hAnsi="Arial" w:cs="Arial"/>
                <w:szCs w:val="22"/>
              </w:rPr>
              <w:t xml:space="preserve">This review provides an integrative overview of epigenetic regulation in health and disease, examines the role of epigenetic modifiers in host–pathogen interactions and cancer progression, and highlights emerging translational strategies, including combination therapies and epigenome editing technologies. By bridging insights from infectious disease biology and cancer research, this work underscores the potential of epigenetic modifiers as unifying and versatile therapeutic targets in complex human diseases. </w:t>
            </w:r>
          </w:p>
        </w:tc>
      </w:tr>
    </w:tbl>
    <w:p w14:paraId="3BB384E9" w14:textId="77777777" w:rsidR="00636EB2" w:rsidRPr="0044746E" w:rsidRDefault="00636EB2" w:rsidP="00441B6F">
      <w:pPr>
        <w:pStyle w:val="Body"/>
        <w:spacing w:after="0"/>
        <w:rPr>
          <w:rFonts w:ascii="Arial" w:hAnsi="Arial" w:cs="Arial"/>
          <w:i/>
        </w:rPr>
      </w:pPr>
    </w:p>
    <w:p w14:paraId="6A1F0CDC" w14:textId="1D2ACF61" w:rsidR="0024282C" w:rsidRPr="00B43D5D" w:rsidRDefault="00A24E7E" w:rsidP="0044746E">
      <w:pPr>
        <w:pStyle w:val="Body"/>
        <w:rPr>
          <w:rFonts w:ascii="Arial" w:eastAsia="Calibri" w:hAnsi="Arial" w:cs="Arial"/>
          <w:i/>
          <w:szCs w:val="22"/>
        </w:rPr>
      </w:pPr>
      <w:r w:rsidRPr="00B43D5D">
        <w:rPr>
          <w:rFonts w:ascii="Arial" w:hAnsi="Arial" w:cs="Arial"/>
          <w:i/>
        </w:rPr>
        <w:t xml:space="preserve">Keywords: </w:t>
      </w:r>
      <w:r w:rsidR="0044746E" w:rsidRPr="00B43D5D">
        <w:rPr>
          <w:rFonts w:ascii="Arial" w:eastAsia="Calibri" w:hAnsi="Arial" w:cs="Arial"/>
          <w:i/>
          <w:szCs w:val="22"/>
        </w:rPr>
        <w:t>Epigenetic modifiers, DNA methylation, Histone modifications, Host–pathogen interactions, Cancer progression, Immune evasion, Epigenetic therapy.</w:t>
      </w:r>
    </w:p>
    <w:p w14:paraId="443D30AF" w14:textId="77777777" w:rsidR="00505F06" w:rsidRPr="0044746E" w:rsidRDefault="00505F06" w:rsidP="00441B6F">
      <w:pPr>
        <w:pStyle w:val="Body"/>
        <w:spacing w:after="0"/>
        <w:rPr>
          <w:rFonts w:ascii="Arial" w:hAnsi="Arial" w:cs="Arial"/>
          <w:i/>
        </w:rPr>
      </w:pPr>
    </w:p>
    <w:p w14:paraId="7A817E77" w14:textId="6878389F" w:rsidR="007F7B32" w:rsidRPr="0044746E" w:rsidRDefault="00902823" w:rsidP="00441B6F">
      <w:pPr>
        <w:pStyle w:val="AbstHead"/>
        <w:spacing w:after="0"/>
        <w:jc w:val="both"/>
        <w:rPr>
          <w:rFonts w:ascii="Arial" w:hAnsi="Arial" w:cs="Arial"/>
        </w:rPr>
      </w:pPr>
      <w:r w:rsidRPr="0044746E">
        <w:rPr>
          <w:rFonts w:ascii="Arial" w:hAnsi="Arial" w:cs="Arial"/>
        </w:rPr>
        <w:t xml:space="preserve">1. </w:t>
      </w:r>
      <w:r w:rsidR="00B01FCD" w:rsidRPr="0044746E">
        <w:rPr>
          <w:rFonts w:ascii="Arial" w:hAnsi="Arial" w:cs="Arial"/>
        </w:rPr>
        <w:t>INTRODUCTION</w:t>
      </w:r>
      <w:r w:rsidR="007F7B32" w:rsidRPr="0044746E">
        <w:rPr>
          <w:rFonts w:ascii="Arial" w:hAnsi="Arial" w:cs="Arial"/>
        </w:rPr>
        <w:t xml:space="preserve"> </w:t>
      </w:r>
    </w:p>
    <w:p w14:paraId="54DD93B7" w14:textId="77777777" w:rsidR="00790ADA" w:rsidRPr="0044746E" w:rsidRDefault="00790ADA" w:rsidP="00441B6F">
      <w:pPr>
        <w:pStyle w:val="AbstHead"/>
        <w:spacing w:after="0"/>
        <w:jc w:val="both"/>
        <w:rPr>
          <w:rFonts w:ascii="Arial" w:hAnsi="Arial" w:cs="Arial"/>
        </w:rPr>
      </w:pPr>
    </w:p>
    <w:p w14:paraId="06431B19" w14:textId="5ECEFB3B" w:rsidR="00B43D5D" w:rsidRPr="00B43D5D" w:rsidRDefault="00B43D5D" w:rsidP="00B43D5D">
      <w:pPr>
        <w:pStyle w:val="Body"/>
        <w:rPr>
          <w:rFonts w:ascii="Arial" w:hAnsi="Arial" w:cs="Arial"/>
        </w:rPr>
      </w:pPr>
      <w:r w:rsidRPr="00B43D5D">
        <w:rPr>
          <w:rFonts w:ascii="Arial" w:hAnsi="Arial" w:cs="Arial"/>
        </w:rPr>
        <w:t>Epigenetics encompasses a set of molecular mechanisms that regulate gene expression independently of changes in DNA sequence</w:t>
      </w:r>
      <w:r>
        <w:rPr>
          <w:rFonts w:ascii="Arial" w:hAnsi="Arial" w:cs="Arial"/>
        </w:rPr>
        <w:t xml:space="preserve"> (</w:t>
      </w:r>
      <w:proofErr w:type="spellStart"/>
      <w:r w:rsidRPr="00602C25">
        <w:rPr>
          <w:rFonts w:ascii="Times New Roman" w:hAnsi="Times New Roman"/>
        </w:rPr>
        <w:t>Bhootra</w:t>
      </w:r>
      <w:proofErr w:type="spellEnd"/>
      <w:r>
        <w:rPr>
          <w:rFonts w:ascii="Times New Roman" w:hAnsi="Times New Roman"/>
        </w:rPr>
        <w:t xml:space="preserve"> et al., 2023</w:t>
      </w:r>
      <w:r>
        <w:rPr>
          <w:rFonts w:ascii="Arial" w:hAnsi="Arial" w:cs="Arial"/>
        </w:rPr>
        <w:t>)</w:t>
      </w:r>
      <w:r w:rsidRPr="00B43D5D">
        <w:rPr>
          <w:rFonts w:ascii="Arial" w:hAnsi="Arial" w:cs="Arial"/>
        </w:rPr>
        <w:t>. These mechanisms enable cells to dynamically respond to developmental cues and environmental stimuli while maintaining lineage-specific transcriptional programs. Epigenetic regulation is mediated primarily through DNA methylation, post-translational histone modifications, chromatin remodeling complexes, and non-coding RNAs, all of which collectively shape chromatin accessibility and transcriptional outcomes.</w:t>
      </w:r>
      <w:r>
        <w:rPr>
          <w:rFonts w:ascii="Arial" w:hAnsi="Arial" w:cs="Arial"/>
        </w:rPr>
        <w:t xml:space="preserve"> </w:t>
      </w:r>
      <w:r w:rsidRPr="00B43D5D">
        <w:rPr>
          <w:rFonts w:ascii="Arial" w:hAnsi="Arial" w:cs="Arial"/>
        </w:rPr>
        <w:t>Unlike genetic mutations, epigenetic modifications are potentially reversible, conferring plasticity to cellular identity and function. This reversibility has positioned epigenetic regulation as a critical interface between genotype and phenotype, with profound implications for disease initiation, progression, and therapeutic intervention</w:t>
      </w:r>
      <w:r>
        <w:rPr>
          <w:rFonts w:ascii="Arial" w:hAnsi="Arial" w:cs="Arial"/>
        </w:rPr>
        <w:t xml:space="preserve"> </w:t>
      </w:r>
      <w:r>
        <w:rPr>
          <w:rFonts w:ascii="Times New Roman" w:hAnsi="Times New Roman"/>
        </w:rPr>
        <w:t>(Erdmann and Picard, 2020)</w:t>
      </w:r>
      <w:r w:rsidRPr="00B43D5D">
        <w:rPr>
          <w:rFonts w:ascii="Arial" w:hAnsi="Arial" w:cs="Arial"/>
        </w:rPr>
        <w:t>. Dysregulated epigenetic landscapes are now recognized as central drivers of both infectious disease pathogenesis and cancer progression, influencing host–pathogen interactions, immune evasion, cellular transformation, and therapeutic resistance</w:t>
      </w:r>
      <w:r>
        <w:rPr>
          <w:rFonts w:ascii="Arial" w:hAnsi="Arial" w:cs="Arial"/>
        </w:rPr>
        <w:t xml:space="preserve"> </w:t>
      </w:r>
      <w:r>
        <w:rPr>
          <w:rFonts w:ascii="Times New Roman" w:hAnsi="Times New Roman"/>
        </w:rPr>
        <w:t>(Bommarito et al., 2019)</w:t>
      </w:r>
      <w:r w:rsidRPr="00B43D5D">
        <w:rPr>
          <w:rFonts w:ascii="Arial" w:hAnsi="Arial" w:cs="Arial"/>
        </w:rPr>
        <w:t>.</w:t>
      </w:r>
    </w:p>
    <w:p w14:paraId="57734A66" w14:textId="2018865F" w:rsidR="00B43D5D" w:rsidRPr="00B43D5D" w:rsidRDefault="00B43D5D" w:rsidP="00B43D5D">
      <w:pPr>
        <w:pStyle w:val="Body"/>
        <w:rPr>
          <w:rFonts w:ascii="Arial" w:hAnsi="Arial" w:cs="Arial"/>
        </w:rPr>
      </w:pPr>
      <w:r w:rsidRPr="00B43D5D">
        <w:rPr>
          <w:rFonts w:ascii="Arial" w:hAnsi="Arial" w:cs="Arial"/>
        </w:rPr>
        <w:lastRenderedPageBreak/>
        <w:t>Epigenetic states are established, maintained, and interpreted by a coordinated network of enzymes and regulatory proteins commonly categorized as “writers,” “erasers,” and “readers.” DNA methyltransferases (DNMTs) catalyze the addition of methyl groups to cytosine residues, primarily at CpG dinucleotides</w:t>
      </w:r>
      <w:r>
        <w:rPr>
          <w:rFonts w:ascii="Arial" w:hAnsi="Arial" w:cs="Arial"/>
        </w:rPr>
        <w:t xml:space="preserve"> </w:t>
      </w:r>
      <w:r>
        <w:rPr>
          <w:rFonts w:ascii="Times New Roman" w:hAnsi="Times New Roman"/>
        </w:rPr>
        <w:t>(Gujar et al., 2019; Yang et al., 2023)</w:t>
      </w:r>
      <w:r w:rsidRPr="00B43D5D">
        <w:rPr>
          <w:rFonts w:ascii="Arial" w:hAnsi="Arial" w:cs="Arial"/>
        </w:rPr>
        <w:t>, leading to transcriptional repression when localized to gene promoters</w:t>
      </w:r>
      <w:r>
        <w:rPr>
          <w:rFonts w:ascii="Arial" w:hAnsi="Arial" w:cs="Arial"/>
        </w:rPr>
        <w:t xml:space="preserve"> (Gujar et al., 2019)</w:t>
      </w:r>
      <w:r w:rsidRPr="00B43D5D">
        <w:rPr>
          <w:rFonts w:ascii="Arial" w:hAnsi="Arial" w:cs="Arial"/>
        </w:rPr>
        <w:t>. Histone acetyltransferases (HATs) and histone deacetylases (HDACs) regulate chromatin compaction by modulating lysine acetylation</w:t>
      </w:r>
      <w:r>
        <w:rPr>
          <w:rFonts w:ascii="Arial" w:hAnsi="Arial" w:cs="Arial"/>
        </w:rPr>
        <w:t xml:space="preserve"> </w:t>
      </w:r>
      <w:r>
        <w:rPr>
          <w:rFonts w:ascii="Times New Roman" w:hAnsi="Times New Roman"/>
        </w:rPr>
        <w:t>(Dai et al., 2021; Sadida et al., 2023)</w:t>
      </w:r>
      <w:r w:rsidRPr="00B43D5D">
        <w:rPr>
          <w:rFonts w:ascii="Arial" w:hAnsi="Arial" w:cs="Arial"/>
        </w:rPr>
        <w:t>, while histone methyltransferases (HMTs) and demethylases fine-tune transcriptional programs through site-specific methylation marks.</w:t>
      </w:r>
    </w:p>
    <w:p w14:paraId="7573364F" w14:textId="5F717A5B" w:rsidR="00790ADA" w:rsidRDefault="00B43D5D" w:rsidP="00B43D5D">
      <w:pPr>
        <w:pStyle w:val="Body"/>
        <w:spacing w:after="0"/>
        <w:rPr>
          <w:rFonts w:ascii="Arial" w:hAnsi="Arial" w:cs="Arial"/>
        </w:rPr>
      </w:pPr>
      <w:r w:rsidRPr="00B43D5D">
        <w:rPr>
          <w:rFonts w:ascii="Arial" w:hAnsi="Arial" w:cs="Arial"/>
        </w:rPr>
        <w:t>Epigenetic reader proteins, including bromodomain and extra terminal domain (BET) proteins, recognize specific histone modifications and recruit transcriptional machinery or repressive complexes</w:t>
      </w:r>
      <w:r>
        <w:rPr>
          <w:rFonts w:ascii="Arial" w:hAnsi="Arial" w:cs="Arial"/>
        </w:rPr>
        <w:t xml:space="preserve"> </w:t>
      </w:r>
      <w:r>
        <w:rPr>
          <w:rFonts w:ascii="Times New Roman" w:hAnsi="Times New Roman"/>
        </w:rPr>
        <w:t>(Yang et al., 2023; Kumar et al., 2025)</w:t>
      </w:r>
      <w:r w:rsidRPr="00B43D5D">
        <w:rPr>
          <w:rFonts w:ascii="Arial" w:hAnsi="Arial" w:cs="Arial"/>
        </w:rPr>
        <w:t>. Collectively, these modifiers orchestrate gene expression programs that govern cell fate decisions, immune responses, and stress adaptation. Importantly, aberrant activity or expression of these modifiers has been implicated in pathological gene regulation across a wide spectrum of diseases, making them attractive pharmacological targets</w:t>
      </w:r>
      <w:r>
        <w:rPr>
          <w:rFonts w:ascii="Arial" w:hAnsi="Arial" w:cs="Arial"/>
        </w:rPr>
        <w:t xml:space="preserve"> (Sun et al., 2021)</w:t>
      </w:r>
      <w:r w:rsidRPr="00B43D5D">
        <w:rPr>
          <w:rFonts w:ascii="Arial" w:hAnsi="Arial" w:cs="Arial"/>
        </w:rPr>
        <w:t>. This review aims to provide a comprehensive and integrative analysis of epigenetic modifiers as therapeutic targets in both infectious diseases and cancer progression.</w:t>
      </w:r>
    </w:p>
    <w:p w14:paraId="2AC99FFE" w14:textId="77777777" w:rsidR="00B43D5D" w:rsidRPr="0044746E" w:rsidRDefault="00B43D5D" w:rsidP="00B43D5D">
      <w:pPr>
        <w:pStyle w:val="Body"/>
        <w:spacing w:after="0"/>
        <w:rPr>
          <w:rFonts w:ascii="Arial" w:hAnsi="Arial" w:cs="Arial"/>
        </w:rPr>
      </w:pPr>
    </w:p>
    <w:p w14:paraId="6362E213"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2. Epigenetic Regulation in Health and Disease</w:t>
      </w:r>
    </w:p>
    <w:p w14:paraId="6387DB6D"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Epigenetic regulation enables cells to integrate genetic information with environmental and developmental cues, thereby maintaining tissue-specific gene expression programs while allowing adaptive flexibility</w:t>
      </w:r>
      <w:r w:rsidRPr="0044746E">
        <w:rPr>
          <w:rFonts w:ascii="Arial" w:hAnsi="Arial" w:cs="Arial"/>
        </w:rPr>
        <w:t xml:space="preserve"> (</w:t>
      </w:r>
      <w:proofErr w:type="spellStart"/>
      <w:r w:rsidRPr="0044746E">
        <w:rPr>
          <w:rFonts w:ascii="Arial" w:hAnsi="Arial" w:cs="Arial"/>
        </w:rPr>
        <w:t>Zhnag</w:t>
      </w:r>
      <w:proofErr w:type="spellEnd"/>
      <w:r w:rsidRPr="0044746E">
        <w:rPr>
          <w:rFonts w:ascii="Arial" w:hAnsi="Arial" w:cs="Arial"/>
        </w:rPr>
        <w:t xml:space="preserve"> et al., 2020)</w:t>
      </w:r>
      <w:r w:rsidRPr="001862FE">
        <w:rPr>
          <w:rFonts w:ascii="Arial" w:hAnsi="Arial" w:cs="Arial"/>
          <w:sz w:val="24"/>
          <w:szCs w:val="24"/>
        </w:rPr>
        <w:t>. In physiological contexts, epigenetic mechanisms are essential for embryonic development, cellular differentiation, immune competence, and maintenance of genomic stability. In pathological states, however, disruption of these tightly controlled processes leads to aberrant transcriptional programs that contribute to disease initiation and progression</w:t>
      </w:r>
      <w:r w:rsidRPr="0044746E">
        <w:rPr>
          <w:rFonts w:ascii="Arial" w:hAnsi="Arial" w:cs="Arial"/>
        </w:rPr>
        <w:t xml:space="preserve"> (Goyal et al., 2019)</w:t>
      </w:r>
      <w:r w:rsidRPr="001862FE">
        <w:rPr>
          <w:rFonts w:ascii="Arial" w:hAnsi="Arial" w:cs="Arial"/>
          <w:sz w:val="24"/>
          <w:szCs w:val="24"/>
        </w:rPr>
        <w:t>. The principal layers of epigenetic regulation—DNA methylation, histone modifications, chromatin remodeling, and non-coding RNA–mediated control—function in an interconnected manner to shape cellular identity and response to stress</w:t>
      </w:r>
      <w:r w:rsidRPr="0044746E">
        <w:rPr>
          <w:rFonts w:ascii="Arial" w:hAnsi="Arial" w:cs="Arial"/>
        </w:rPr>
        <w:t xml:space="preserve"> (Bure et al., 2022)</w:t>
      </w:r>
      <w:r w:rsidRPr="001862FE">
        <w:rPr>
          <w:rFonts w:ascii="Arial" w:hAnsi="Arial" w:cs="Arial"/>
          <w:sz w:val="24"/>
          <w:szCs w:val="24"/>
        </w:rPr>
        <w:t>.</w:t>
      </w:r>
    </w:p>
    <w:p w14:paraId="6DF9CD58"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2.1 DNA Methylation and Transcriptional Silencing</w:t>
      </w:r>
    </w:p>
    <w:p w14:paraId="2347A6A0"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DNA methylation is one of the most extensively studied epigenetic modifications and is primarily associated with transcriptional repression</w:t>
      </w:r>
      <w:r w:rsidRPr="0044746E">
        <w:rPr>
          <w:rFonts w:ascii="Arial" w:hAnsi="Arial" w:cs="Arial"/>
        </w:rPr>
        <w:t xml:space="preserve"> (Erdmann and Picard, 2020)</w:t>
      </w:r>
      <w:r w:rsidRPr="001862FE">
        <w:rPr>
          <w:rFonts w:ascii="Arial" w:hAnsi="Arial" w:cs="Arial"/>
          <w:sz w:val="24"/>
          <w:szCs w:val="24"/>
        </w:rPr>
        <w:t>. In mammals, methylation occurs predominantly at the 5-position of cytosine within CpG dinucleotides, a reaction catalyzed by DNA methyltransferases (DNMT1, DNMT3A, and DNMT3B). DNMT1 is responsible for maintenance methylation during DNA replication, whereas DNMT3A and DNMT3B establish de novo methylation patterns during development and cellular reprogramming</w:t>
      </w:r>
      <w:r w:rsidRPr="0044746E">
        <w:rPr>
          <w:rFonts w:ascii="Arial" w:hAnsi="Arial" w:cs="Arial"/>
        </w:rPr>
        <w:t xml:space="preserve"> (Urbano et al., 2019)</w:t>
      </w:r>
      <w:r w:rsidRPr="001862FE">
        <w:rPr>
          <w:rFonts w:ascii="Arial" w:hAnsi="Arial" w:cs="Arial"/>
          <w:sz w:val="24"/>
          <w:szCs w:val="24"/>
        </w:rPr>
        <w:t>.</w:t>
      </w:r>
    </w:p>
    <w:p w14:paraId="0ED01322"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 xml:space="preserve">Methylation of promoter-associated CpG islands interferes with transcription factor binding and </w:t>
      </w:r>
      <w:proofErr w:type="gramStart"/>
      <w:r w:rsidRPr="001862FE">
        <w:rPr>
          <w:rFonts w:ascii="Arial" w:hAnsi="Arial" w:cs="Arial"/>
          <w:sz w:val="24"/>
          <w:szCs w:val="24"/>
        </w:rPr>
        <w:t>recruits</w:t>
      </w:r>
      <w:proofErr w:type="gramEnd"/>
      <w:r w:rsidRPr="001862FE">
        <w:rPr>
          <w:rFonts w:ascii="Arial" w:hAnsi="Arial" w:cs="Arial"/>
          <w:sz w:val="24"/>
          <w:szCs w:val="24"/>
        </w:rPr>
        <w:t xml:space="preserve"> methyl-CpG–binding proteins that assemble repressive chromatin complexes, leading to stable gene silencing. In normal physiology, this mechanism is crucial for processes such as X-chromosome inactivation, genomic imprinting, and suppression of transposable elements</w:t>
      </w:r>
      <w:r w:rsidRPr="0044746E">
        <w:rPr>
          <w:rFonts w:ascii="Arial" w:hAnsi="Arial" w:cs="Arial"/>
        </w:rPr>
        <w:t xml:space="preserve"> (</w:t>
      </w:r>
      <w:proofErr w:type="spellStart"/>
      <w:r w:rsidRPr="0044746E">
        <w:rPr>
          <w:rFonts w:ascii="Arial" w:hAnsi="Arial" w:cs="Arial"/>
        </w:rPr>
        <w:t>Bhootra</w:t>
      </w:r>
      <w:proofErr w:type="spellEnd"/>
      <w:r w:rsidRPr="0044746E">
        <w:rPr>
          <w:rFonts w:ascii="Arial" w:hAnsi="Arial" w:cs="Arial"/>
        </w:rPr>
        <w:t xml:space="preserve"> et al., 2023)</w:t>
      </w:r>
      <w:r w:rsidRPr="001862FE">
        <w:rPr>
          <w:rFonts w:ascii="Arial" w:hAnsi="Arial" w:cs="Arial"/>
          <w:sz w:val="24"/>
          <w:szCs w:val="24"/>
        </w:rPr>
        <w:t>. Conversely, aberrant DNA methylation patterns are a hallmark of disease</w:t>
      </w:r>
      <w:r w:rsidRPr="0044746E">
        <w:rPr>
          <w:rFonts w:ascii="Arial" w:hAnsi="Arial" w:cs="Arial"/>
        </w:rPr>
        <w:t xml:space="preserve"> (Greenberg et al., 2019)</w:t>
      </w:r>
      <w:r w:rsidRPr="001862FE">
        <w:rPr>
          <w:rFonts w:ascii="Arial" w:hAnsi="Arial" w:cs="Arial"/>
          <w:sz w:val="24"/>
          <w:szCs w:val="24"/>
        </w:rPr>
        <w:t>. Global hypomethylation can result in genomic instability and oncogene activation, while locus-specific hypermethylation frequently silences tumor suppressor genes and immune regulatory genes</w:t>
      </w:r>
      <w:r w:rsidRPr="0044746E">
        <w:rPr>
          <w:rFonts w:ascii="Arial" w:hAnsi="Arial" w:cs="Arial"/>
        </w:rPr>
        <w:t xml:space="preserve"> (Chen et al., 2022)</w:t>
      </w:r>
      <w:r w:rsidRPr="001862FE">
        <w:rPr>
          <w:rFonts w:ascii="Arial" w:hAnsi="Arial" w:cs="Arial"/>
          <w:sz w:val="24"/>
          <w:szCs w:val="24"/>
        </w:rPr>
        <w:t>.</w:t>
      </w:r>
    </w:p>
    <w:p w14:paraId="5F7AAC02"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In infectious diseases, DNA methylation contributes to pathogen persistence and immune modulation. Chronic infections can induce stable methylation changes in host immune cells, dampening antimicrobial responses and promoting tolerance or latency. Importantly, the reversibility of DNA methylation has made DNMTs attractive therapeutic targets, particularly in contexts where pathological gene silencing is a dominant feature</w:t>
      </w:r>
      <w:r w:rsidRPr="0044746E">
        <w:rPr>
          <w:rFonts w:ascii="Arial" w:hAnsi="Arial" w:cs="Arial"/>
        </w:rPr>
        <w:t xml:space="preserve"> (Bommarito et al., 2019)</w:t>
      </w:r>
      <w:r w:rsidRPr="001862FE">
        <w:rPr>
          <w:rFonts w:ascii="Arial" w:hAnsi="Arial" w:cs="Arial"/>
          <w:sz w:val="24"/>
          <w:szCs w:val="24"/>
        </w:rPr>
        <w:t>.</w:t>
      </w:r>
    </w:p>
    <w:p w14:paraId="0025AC76"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lastRenderedPageBreak/>
        <w:t>2.2 Histone Modifications and Chromatin Remodeling</w:t>
      </w:r>
    </w:p>
    <w:p w14:paraId="4055D547"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 xml:space="preserve">Histone proteins, around which DNA is wrapped to form nucleosomes, are subject to a wide array of post-translational modifications, including acetylation, methylation, phosphorylation, ubiquitination, and </w:t>
      </w:r>
      <w:proofErr w:type="spellStart"/>
      <w:r w:rsidRPr="001862FE">
        <w:rPr>
          <w:rFonts w:ascii="Arial" w:hAnsi="Arial" w:cs="Arial"/>
          <w:sz w:val="24"/>
          <w:szCs w:val="24"/>
        </w:rPr>
        <w:t>sumoylation</w:t>
      </w:r>
      <w:proofErr w:type="spellEnd"/>
      <w:r w:rsidRPr="0044746E">
        <w:rPr>
          <w:rFonts w:ascii="Arial" w:hAnsi="Arial" w:cs="Arial"/>
        </w:rPr>
        <w:t xml:space="preserve"> (</w:t>
      </w:r>
      <w:proofErr w:type="spellStart"/>
      <w:r w:rsidRPr="0044746E">
        <w:rPr>
          <w:rFonts w:ascii="Arial" w:hAnsi="Arial" w:cs="Arial"/>
        </w:rPr>
        <w:t>Rmazi</w:t>
      </w:r>
      <w:proofErr w:type="spellEnd"/>
      <w:r w:rsidRPr="0044746E">
        <w:rPr>
          <w:rFonts w:ascii="Arial" w:hAnsi="Arial" w:cs="Arial"/>
        </w:rPr>
        <w:t xml:space="preserve"> et al., 2020)</w:t>
      </w:r>
      <w:r w:rsidRPr="001862FE">
        <w:rPr>
          <w:rFonts w:ascii="Arial" w:hAnsi="Arial" w:cs="Arial"/>
          <w:sz w:val="24"/>
          <w:szCs w:val="24"/>
        </w:rPr>
        <w:t>. These modifications occur primarily on histone tails and serve as signals that regulate chromatin accessibility and transcriptional activity</w:t>
      </w:r>
      <w:r w:rsidRPr="0044746E">
        <w:rPr>
          <w:rFonts w:ascii="Arial" w:hAnsi="Arial" w:cs="Arial"/>
        </w:rPr>
        <w:t xml:space="preserve"> (Yao et al., 2024)</w:t>
      </w:r>
      <w:r w:rsidRPr="001862FE">
        <w:rPr>
          <w:rFonts w:ascii="Arial" w:hAnsi="Arial" w:cs="Arial"/>
          <w:sz w:val="24"/>
          <w:szCs w:val="24"/>
        </w:rPr>
        <w:t>. Histone acetylation, mediated by histone acetyltransferases (HATs), is generally associated with transcriptional activation by neutralizing positive charges on histones and loosening DNA–histone interactions</w:t>
      </w:r>
      <w:r w:rsidRPr="0044746E">
        <w:rPr>
          <w:rFonts w:ascii="Arial" w:hAnsi="Arial" w:cs="Arial"/>
        </w:rPr>
        <w:t xml:space="preserve"> (Geffen et al., 2023)</w:t>
      </w:r>
      <w:r w:rsidRPr="001862FE">
        <w:rPr>
          <w:rFonts w:ascii="Arial" w:hAnsi="Arial" w:cs="Arial"/>
          <w:sz w:val="24"/>
          <w:szCs w:val="24"/>
        </w:rPr>
        <w:t>. In contrast, histone deacetylation by HDACs promotes chromatin compaction and gene repression.</w:t>
      </w:r>
    </w:p>
    <w:p w14:paraId="37E3D74B"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Histone methylation exerts context-dependent effects on transcription, depending on the specific residue and degree of methylation. For example, trimethylation of histone H3 lysine 4 (H3K4me3) marks active promoters</w:t>
      </w:r>
      <w:r w:rsidRPr="0044746E">
        <w:rPr>
          <w:rFonts w:ascii="Arial" w:hAnsi="Arial" w:cs="Arial"/>
        </w:rPr>
        <w:t xml:space="preserve"> (Ryu and Hochstrasser, 2021)</w:t>
      </w:r>
      <w:r w:rsidRPr="001862FE">
        <w:rPr>
          <w:rFonts w:ascii="Arial" w:hAnsi="Arial" w:cs="Arial"/>
          <w:sz w:val="24"/>
          <w:szCs w:val="24"/>
        </w:rPr>
        <w:t>, whereas H3K27me3 and H3K9me3 are associated with transcriptional repression</w:t>
      </w:r>
      <w:r w:rsidRPr="0044746E">
        <w:rPr>
          <w:rFonts w:ascii="Arial" w:hAnsi="Arial" w:cs="Arial"/>
        </w:rPr>
        <w:t xml:space="preserve"> (</w:t>
      </w:r>
      <w:proofErr w:type="spellStart"/>
      <w:r w:rsidRPr="0044746E">
        <w:rPr>
          <w:rFonts w:ascii="Arial" w:hAnsi="Arial" w:cs="Arial"/>
        </w:rPr>
        <w:t>Kadoch</w:t>
      </w:r>
      <w:proofErr w:type="spellEnd"/>
      <w:r w:rsidRPr="0044746E">
        <w:rPr>
          <w:rFonts w:ascii="Arial" w:hAnsi="Arial" w:cs="Arial"/>
        </w:rPr>
        <w:t xml:space="preserve"> et al., 2016)</w:t>
      </w:r>
      <w:r w:rsidRPr="001862FE">
        <w:rPr>
          <w:rFonts w:ascii="Arial" w:hAnsi="Arial" w:cs="Arial"/>
          <w:sz w:val="24"/>
          <w:szCs w:val="24"/>
        </w:rPr>
        <w:t>. These marks are dynamically regulated by histone methyltransferases and demethylases, enabling rapid and reversible transcriptional responses.</w:t>
      </w:r>
    </w:p>
    <w:p w14:paraId="3AC71996"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 xml:space="preserve">Chromatin remodeling complexes, such as SWI/SNF, ISWI, and </w:t>
      </w:r>
      <w:proofErr w:type="spellStart"/>
      <w:r w:rsidRPr="001862FE">
        <w:rPr>
          <w:rFonts w:ascii="Arial" w:hAnsi="Arial" w:cs="Arial"/>
          <w:sz w:val="24"/>
          <w:szCs w:val="24"/>
        </w:rPr>
        <w:t>NuRD</w:t>
      </w:r>
      <w:proofErr w:type="spellEnd"/>
      <w:r w:rsidRPr="001862FE">
        <w:rPr>
          <w:rFonts w:ascii="Arial" w:hAnsi="Arial" w:cs="Arial"/>
          <w:sz w:val="24"/>
          <w:szCs w:val="24"/>
        </w:rPr>
        <w:t>, further regulate gene expression by repositioning or ejecting nucleosomes in an ATP-dependent manner</w:t>
      </w:r>
      <w:r w:rsidRPr="0044746E">
        <w:rPr>
          <w:rFonts w:ascii="Arial" w:hAnsi="Arial" w:cs="Arial"/>
        </w:rPr>
        <w:t xml:space="preserve"> (</w:t>
      </w:r>
      <w:proofErr w:type="spellStart"/>
      <w:r w:rsidRPr="0044746E">
        <w:rPr>
          <w:rFonts w:ascii="Arial" w:hAnsi="Arial" w:cs="Arial"/>
        </w:rPr>
        <w:t>Eusterman</w:t>
      </w:r>
      <w:proofErr w:type="spellEnd"/>
      <w:r w:rsidRPr="0044746E">
        <w:rPr>
          <w:rFonts w:ascii="Arial" w:hAnsi="Arial" w:cs="Arial"/>
        </w:rPr>
        <w:t xml:space="preserve"> et al., 2023)</w:t>
      </w:r>
      <w:r w:rsidRPr="001862FE">
        <w:rPr>
          <w:rFonts w:ascii="Arial" w:hAnsi="Arial" w:cs="Arial"/>
          <w:sz w:val="24"/>
          <w:szCs w:val="24"/>
        </w:rPr>
        <w:t>. Disruption of histone modification patterns or chromatin remodeling machinery can profoundly alter cellular transcriptional landscapes, contributing to immune dysfunction, malignant transformation, and therapeutic resistance</w:t>
      </w:r>
      <w:r w:rsidRPr="0044746E">
        <w:rPr>
          <w:rFonts w:ascii="Arial" w:hAnsi="Arial" w:cs="Arial"/>
        </w:rPr>
        <w:t xml:space="preserve"> (Venu et al., 2025)</w:t>
      </w:r>
      <w:r w:rsidRPr="001862FE">
        <w:rPr>
          <w:rFonts w:ascii="Arial" w:hAnsi="Arial" w:cs="Arial"/>
          <w:sz w:val="24"/>
          <w:szCs w:val="24"/>
        </w:rPr>
        <w:t>. Notably, mutations or dysregulated expression of chromatin regulators are increasingly recognized as drivers of disease rather than passive consequences</w:t>
      </w:r>
      <w:r w:rsidRPr="0044746E">
        <w:rPr>
          <w:rFonts w:ascii="Arial" w:hAnsi="Arial" w:cs="Arial"/>
        </w:rPr>
        <w:t xml:space="preserve"> (Nie et al., 2024)</w:t>
      </w:r>
      <w:r w:rsidRPr="001862FE">
        <w:rPr>
          <w:rFonts w:ascii="Arial" w:hAnsi="Arial" w:cs="Arial"/>
          <w:sz w:val="24"/>
          <w:szCs w:val="24"/>
        </w:rPr>
        <w:t>.</w:t>
      </w:r>
    </w:p>
    <w:p w14:paraId="032D51F5"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2.3 Non-coding RNAs and Their Regulatory Roles</w:t>
      </w:r>
    </w:p>
    <w:p w14:paraId="7CADDBE6"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Beyond DNA and histones, non-coding RNAs (ncRNAs) constitute a critical layer of epigenetic regulation. These molecules include microRNAs (miRNAs)</w:t>
      </w:r>
      <w:r w:rsidRPr="0044746E">
        <w:rPr>
          <w:rFonts w:ascii="Arial" w:hAnsi="Arial" w:cs="Arial"/>
        </w:rPr>
        <w:t xml:space="preserve"> (Kumar et al., 2020)</w:t>
      </w:r>
      <w:r w:rsidRPr="001862FE">
        <w:rPr>
          <w:rFonts w:ascii="Arial" w:hAnsi="Arial" w:cs="Arial"/>
          <w:sz w:val="24"/>
          <w:szCs w:val="24"/>
        </w:rPr>
        <w:t>, long non-coding RNAs (</w:t>
      </w:r>
      <w:proofErr w:type="spellStart"/>
      <w:r w:rsidRPr="001862FE">
        <w:rPr>
          <w:rFonts w:ascii="Arial" w:hAnsi="Arial" w:cs="Arial"/>
          <w:sz w:val="24"/>
          <w:szCs w:val="24"/>
        </w:rPr>
        <w:t>lncRNAs</w:t>
      </w:r>
      <w:proofErr w:type="spellEnd"/>
      <w:r w:rsidRPr="001862FE">
        <w:rPr>
          <w:rFonts w:ascii="Arial" w:hAnsi="Arial" w:cs="Arial"/>
          <w:sz w:val="24"/>
          <w:szCs w:val="24"/>
        </w:rPr>
        <w:t>)</w:t>
      </w:r>
      <w:r w:rsidRPr="0044746E">
        <w:rPr>
          <w:rFonts w:ascii="Arial" w:hAnsi="Arial" w:cs="Arial"/>
        </w:rPr>
        <w:t xml:space="preserve"> (</w:t>
      </w:r>
      <w:proofErr w:type="spellStart"/>
      <w:r w:rsidRPr="0044746E">
        <w:rPr>
          <w:rFonts w:ascii="Arial" w:hAnsi="Arial" w:cs="Arial"/>
        </w:rPr>
        <w:t>Statello</w:t>
      </w:r>
      <w:proofErr w:type="spellEnd"/>
      <w:r w:rsidRPr="0044746E">
        <w:rPr>
          <w:rFonts w:ascii="Arial" w:hAnsi="Arial" w:cs="Arial"/>
        </w:rPr>
        <w:t xml:space="preserve"> et al., 2020)</w:t>
      </w:r>
      <w:r w:rsidRPr="001862FE">
        <w:rPr>
          <w:rFonts w:ascii="Arial" w:hAnsi="Arial" w:cs="Arial"/>
          <w:sz w:val="24"/>
          <w:szCs w:val="24"/>
        </w:rPr>
        <w:t>, circular RNAs</w:t>
      </w:r>
      <w:r w:rsidRPr="0044746E">
        <w:rPr>
          <w:rFonts w:ascii="Arial" w:hAnsi="Arial" w:cs="Arial"/>
        </w:rPr>
        <w:t xml:space="preserve"> (Loganathan, 2023)</w:t>
      </w:r>
      <w:r w:rsidRPr="001862FE">
        <w:rPr>
          <w:rFonts w:ascii="Arial" w:hAnsi="Arial" w:cs="Arial"/>
          <w:sz w:val="24"/>
          <w:szCs w:val="24"/>
        </w:rPr>
        <w:t>, and other regulatory RNA species that modulate gene expression at transcriptional and post-transcriptional levels. miRNAs typically repress gene expression by targeting messenger RNAs for degradation or translational inhibition, thereby fine-tuning protein output and signaling pathways</w:t>
      </w:r>
      <w:r w:rsidRPr="0044746E">
        <w:rPr>
          <w:rFonts w:ascii="Arial" w:hAnsi="Arial" w:cs="Arial"/>
        </w:rPr>
        <w:t xml:space="preserve"> (Panni et al., 2020)</w:t>
      </w:r>
      <w:r w:rsidRPr="001862FE">
        <w:rPr>
          <w:rFonts w:ascii="Arial" w:hAnsi="Arial" w:cs="Arial"/>
          <w:sz w:val="24"/>
          <w:szCs w:val="24"/>
        </w:rPr>
        <w:t>.</w:t>
      </w:r>
    </w:p>
    <w:p w14:paraId="34D9F3BB" w14:textId="77777777" w:rsidR="0044746E" w:rsidRPr="001862FE" w:rsidRDefault="0044746E" w:rsidP="0044746E">
      <w:pPr>
        <w:spacing w:after="160" w:line="276" w:lineRule="auto"/>
        <w:jc w:val="both"/>
        <w:rPr>
          <w:rFonts w:ascii="Arial" w:hAnsi="Arial" w:cs="Arial"/>
          <w:sz w:val="24"/>
          <w:szCs w:val="24"/>
        </w:rPr>
      </w:pPr>
      <w:proofErr w:type="spellStart"/>
      <w:r w:rsidRPr="001862FE">
        <w:rPr>
          <w:rFonts w:ascii="Arial" w:hAnsi="Arial" w:cs="Arial"/>
          <w:sz w:val="24"/>
          <w:szCs w:val="24"/>
        </w:rPr>
        <w:t>lncRNAs</w:t>
      </w:r>
      <w:proofErr w:type="spellEnd"/>
      <w:r w:rsidRPr="001862FE">
        <w:rPr>
          <w:rFonts w:ascii="Arial" w:hAnsi="Arial" w:cs="Arial"/>
          <w:sz w:val="24"/>
          <w:szCs w:val="24"/>
        </w:rPr>
        <w:t xml:space="preserve"> exert more diverse functions, including scaffolding chromatin-modifying complexes, guiding epigenetic enzymes to specific genomic loci, and acting as molecular decoys or enhancers</w:t>
      </w:r>
      <w:r w:rsidRPr="0044746E">
        <w:rPr>
          <w:rFonts w:ascii="Arial" w:hAnsi="Arial" w:cs="Arial"/>
        </w:rPr>
        <w:t xml:space="preserve"> (</w:t>
      </w:r>
      <w:proofErr w:type="spellStart"/>
      <w:r w:rsidRPr="0044746E">
        <w:rPr>
          <w:rFonts w:ascii="Arial" w:hAnsi="Arial" w:cs="Arial"/>
        </w:rPr>
        <w:t>Statello</w:t>
      </w:r>
      <w:proofErr w:type="spellEnd"/>
      <w:r w:rsidRPr="0044746E">
        <w:rPr>
          <w:rFonts w:ascii="Arial" w:hAnsi="Arial" w:cs="Arial"/>
        </w:rPr>
        <w:t xml:space="preserve"> et al., 2020)</w:t>
      </w:r>
      <w:r w:rsidRPr="001862FE">
        <w:rPr>
          <w:rFonts w:ascii="Arial" w:hAnsi="Arial" w:cs="Arial"/>
          <w:sz w:val="24"/>
          <w:szCs w:val="24"/>
        </w:rPr>
        <w:t>. Through these mechanisms, ncRNAs contribute to the establishment and maintenance of cell-type–specific epigenetic states. Dysregulation of ncRNA expression is implicated in immune evasion, inflammatory disorders, cancer metastasis, and resistance to therapy</w:t>
      </w:r>
      <w:r w:rsidRPr="0044746E">
        <w:rPr>
          <w:rFonts w:ascii="Arial" w:hAnsi="Arial" w:cs="Arial"/>
        </w:rPr>
        <w:t xml:space="preserve"> (Yadav et al., 2024)</w:t>
      </w:r>
      <w:r w:rsidRPr="001862FE">
        <w:rPr>
          <w:rFonts w:ascii="Arial" w:hAnsi="Arial" w:cs="Arial"/>
          <w:sz w:val="24"/>
          <w:szCs w:val="24"/>
        </w:rPr>
        <w:t>.</w:t>
      </w:r>
    </w:p>
    <w:p w14:paraId="28680A00"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In both infectious diseases and cancer, ncRNAs often function as intermediaries between environmental stimuli and epigenetic machinery. Pathogen-induced ncRNAs can reshape host transcriptional programs to favor survival or persistence, while tumor-associated ncRNAs can reinforce oncogenic epigenetic circuits</w:t>
      </w:r>
      <w:r w:rsidRPr="0044746E">
        <w:rPr>
          <w:rFonts w:ascii="Arial" w:hAnsi="Arial" w:cs="Arial"/>
        </w:rPr>
        <w:t xml:space="preserve"> (Wei et al., 2017)</w:t>
      </w:r>
      <w:r w:rsidRPr="001862FE">
        <w:rPr>
          <w:rFonts w:ascii="Arial" w:hAnsi="Arial" w:cs="Arial"/>
          <w:sz w:val="24"/>
          <w:szCs w:val="24"/>
        </w:rPr>
        <w:t xml:space="preserve">. </w:t>
      </w:r>
    </w:p>
    <w:p w14:paraId="3A547D43"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 xml:space="preserve">2.4 </w:t>
      </w:r>
      <w:r w:rsidRPr="0044746E">
        <w:rPr>
          <w:rFonts w:ascii="Arial" w:hAnsi="Arial" w:cs="Arial"/>
          <w:b/>
          <w:bCs/>
        </w:rPr>
        <w:t>Crosstalk</w:t>
      </w:r>
      <w:r w:rsidRPr="0044746E">
        <w:rPr>
          <w:rFonts w:ascii="Arial" w:hAnsi="Arial" w:cs="Arial"/>
          <w:b/>
          <w:bCs/>
          <w:sz w:val="24"/>
          <w:szCs w:val="24"/>
        </w:rPr>
        <w:t xml:space="preserve"> </w:t>
      </w:r>
      <w:r w:rsidRPr="001862FE">
        <w:rPr>
          <w:rFonts w:ascii="Arial" w:hAnsi="Arial" w:cs="Arial"/>
          <w:b/>
          <w:bCs/>
          <w:sz w:val="24"/>
          <w:szCs w:val="24"/>
        </w:rPr>
        <w:t>Between the Host Epigenome and Environmental Stressors</w:t>
      </w:r>
    </w:p>
    <w:p w14:paraId="56565652"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The epigenome serves as a dynamic interface through which environmental stressors</w:t>
      </w:r>
      <w:r w:rsidRPr="0044746E">
        <w:rPr>
          <w:rFonts w:ascii="Arial" w:hAnsi="Arial" w:cs="Arial"/>
          <w:sz w:val="24"/>
          <w:szCs w:val="24"/>
        </w:rPr>
        <w:t xml:space="preserve"> which </w:t>
      </w:r>
      <w:r w:rsidRPr="0044746E">
        <w:rPr>
          <w:rFonts w:ascii="Arial" w:hAnsi="Arial" w:cs="Arial"/>
        </w:rPr>
        <w:t>include</w:t>
      </w:r>
      <w:r w:rsidRPr="001862FE">
        <w:rPr>
          <w:rFonts w:ascii="Arial" w:hAnsi="Arial" w:cs="Arial"/>
          <w:sz w:val="24"/>
          <w:szCs w:val="24"/>
        </w:rPr>
        <w:t xml:space="preserve"> infection, inflammation, hypoxia, and metabolic perturbations—exert long-lasting effects on cellular </w:t>
      </w:r>
      <w:r w:rsidRPr="001862FE">
        <w:rPr>
          <w:rFonts w:ascii="Arial" w:hAnsi="Arial" w:cs="Arial"/>
          <w:sz w:val="24"/>
          <w:szCs w:val="24"/>
        </w:rPr>
        <w:lastRenderedPageBreak/>
        <w:t>function</w:t>
      </w:r>
      <w:r w:rsidRPr="0044746E">
        <w:rPr>
          <w:rFonts w:ascii="Arial" w:hAnsi="Arial" w:cs="Arial"/>
        </w:rPr>
        <w:t xml:space="preserve"> (Zhao et al., 2021)</w:t>
      </w:r>
      <w:r w:rsidRPr="001862FE">
        <w:rPr>
          <w:rFonts w:ascii="Arial" w:hAnsi="Arial" w:cs="Arial"/>
          <w:sz w:val="24"/>
          <w:szCs w:val="24"/>
        </w:rPr>
        <w:t>. Inflammatory signaling pathways can directly modulate epigenetic enzymes, leading to sustained changes in chromatin architecture and gene expression</w:t>
      </w:r>
      <w:r w:rsidRPr="0044746E">
        <w:rPr>
          <w:rFonts w:ascii="Arial" w:hAnsi="Arial" w:cs="Arial"/>
        </w:rPr>
        <w:t xml:space="preserve"> (Rubio et al., 2023)</w:t>
      </w:r>
      <w:r w:rsidRPr="001862FE">
        <w:rPr>
          <w:rFonts w:ascii="Arial" w:hAnsi="Arial" w:cs="Arial"/>
          <w:sz w:val="24"/>
          <w:szCs w:val="24"/>
        </w:rPr>
        <w:t>. For instance, chronic inflammation can imprint immune cells with maladaptive epigenetic states that perpetuate tissue damage or immune suppression.</w:t>
      </w:r>
    </w:p>
    <w:p w14:paraId="493A5F9B"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Infectious agents exploit this plasticity by actively manipulating host epigenetic regulators, thereby reprogramming immune responses and cellular metabolism. Similarly, carcinogenic exposures and oncogenic signaling pathways reshape the epigenetic landscape, reinforcing malignant phenotypes and enabling adaptation to therapeutic pressure. Importantly, these environmentally induced epigenetic changes may persist even after the initial stimulus is removed, contributing to disease chronicity and relapse</w:t>
      </w:r>
      <w:r w:rsidRPr="0044746E">
        <w:rPr>
          <w:rFonts w:ascii="Arial" w:hAnsi="Arial" w:cs="Arial"/>
        </w:rPr>
        <w:t xml:space="preserve"> (Wu et al., 2023; </w:t>
      </w:r>
      <w:proofErr w:type="spellStart"/>
      <w:r w:rsidRPr="0044746E">
        <w:rPr>
          <w:rFonts w:ascii="Arial" w:hAnsi="Arial" w:cs="Arial"/>
        </w:rPr>
        <w:t>Abdolmaleky</w:t>
      </w:r>
      <w:proofErr w:type="spellEnd"/>
      <w:r w:rsidRPr="0044746E">
        <w:rPr>
          <w:rFonts w:ascii="Arial" w:hAnsi="Arial" w:cs="Arial"/>
        </w:rPr>
        <w:t xml:space="preserve"> and Zhou, 2024)</w:t>
      </w:r>
      <w:r w:rsidRPr="001862FE">
        <w:rPr>
          <w:rFonts w:ascii="Arial" w:hAnsi="Arial" w:cs="Arial"/>
          <w:sz w:val="24"/>
          <w:szCs w:val="24"/>
        </w:rPr>
        <w:t>.</w:t>
      </w:r>
    </w:p>
    <w:p w14:paraId="5F7292A6"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3. Epigenetic Modifiers in Infectious Diseases</w:t>
      </w:r>
    </w:p>
    <w:p w14:paraId="4970E63C"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Infectious agents have evolved sophisticated strategies to manipulate host epigenetic machinery in order to establish infection, evade immune surveillance, and promote long-term persistence. Rather than relying solely on genetic variation, many pathogens induce stable yet reversible epigenetic changes in host cells, effectively reprogramming transcriptional landscapes to favor pathogen survival. These alterations affect innate and adaptive immune responses, metabolic pathways, and cellular differentiation states, positioning epigenetic modifiers as central determinants of infection outcome and therapeutic responsiveness.</w:t>
      </w:r>
    </w:p>
    <w:p w14:paraId="0B3D7646"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3.1 Pathogen-Driven Epigenetic Reprogramming</w:t>
      </w:r>
    </w:p>
    <w:p w14:paraId="4FEF132D"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A growing body of evidence demonstrates that diverse pathogens actively reshape host epigenetic states. Viruses such as HIV, hepatitis B virus (HBV)</w:t>
      </w:r>
      <w:r w:rsidRPr="0044746E">
        <w:rPr>
          <w:rFonts w:ascii="Arial" w:hAnsi="Arial" w:cs="Arial"/>
        </w:rPr>
        <w:t xml:space="preserve"> (Wang et al., 2024)</w:t>
      </w:r>
      <w:r w:rsidRPr="001862FE">
        <w:rPr>
          <w:rFonts w:ascii="Arial" w:hAnsi="Arial" w:cs="Arial"/>
          <w:sz w:val="24"/>
          <w:szCs w:val="24"/>
        </w:rPr>
        <w:t xml:space="preserve">, and hepatitis C virus (HCV) </w:t>
      </w:r>
      <w:r w:rsidRPr="0044746E">
        <w:rPr>
          <w:rFonts w:ascii="Arial" w:hAnsi="Arial" w:cs="Arial"/>
        </w:rPr>
        <w:t xml:space="preserve">(Perez et al., 2019) </w:t>
      </w:r>
      <w:r w:rsidRPr="001862FE">
        <w:rPr>
          <w:rFonts w:ascii="Arial" w:hAnsi="Arial" w:cs="Arial"/>
          <w:sz w:val="24"/>
          <w:szCs w:val="24"/>
        </w:rPr>
        <w:t>integrate or associate with host chromatin and exploit epigenetic silencing mechanisms to maintain latent or low-replication states. In HIV infection, proviral DNA becomes embedded within transcriptionally repressive chromatin marked by DNA methylation and histone deacetylation, enabling viral persistence despite antiretroviral therapy</w:t>
      </w:r>
      <w:r w:rsidRPr="0044746E">
        <w:rPr>
          <w:rFonts w:ascii="Arial" w:hAnsi="Arial" w:cs="Arial"/>
        </w:rPr>
        <w:t xml:space="preserve"> (Peterson et al., 2023)</w:t>
      </w:r>
      <w:r w:rsidRPr="001862FE">
        <w:rPr>
          <w:rFonts w:ascii="Arial" w:hAnsi="Arial" w:cs="Arial"/>
          <w:sz w:val="24"/>
          <w:szCs w:val="24"/>
        </w:rPr>
        <w:t>.</w:t>
      </w:r>
    </w:p>
    <w:p w14:paraId="21BF8495"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 xml:space="preserve">Intracellular bacteria, including </w:t>
      </w:r>
      <w:r w:rsidRPr="001862FE">
        <w:rPr>
          <w:rFonts w:ascii="Arial" w:hAnsi="Arial" w:cs="Arial"/>
          <w:i/>
          <w:iCs/>
          <w:sz w:val="24"/>
          <w:szCs w:val="24"/>
        </w:rPr>
        <w:t>Mycobacterium tuberculosis</w:t>
      </w:r>
      <w:r w:rsidRPr="001862FE">
        <w:rPr>
          <w:rFonts w:ascii="Arial" w:hAnsi="Arial" w:cs="Arial"/>
          <w:sz w:val="24"/>
          <w:szCs w:val="24"/>
        </w:rPr>
        <w:t>, induce widespread epigenetic remodeling in macrophages and dendritic cells. These changes often involve altered histone acetylation and methylation at promoters of immune genes, leading to dampened cytokine production and impaired antigen presentation</w:t>
      </w:r>
      <w:r w:rsidRPr="0044746E">
        <w:rPr>
          <w:rFonts w:ascii="Arial" w:hAnsi="Arial" w:cs="Arial"/>
        </w:rPr>
        <w:t xml:space="preserve"> (</w:t>
      </w:r>
      <w:proofErr w:type="spellStart"/>
      <w:r w:rsidRPr="0044746E">
        <w:rPr>
          <w:rFonts w:ascii="Arial" w:hAnsi="Arial" w:cs="Arial"/>
        </w:rPr>
        <w:t>Bierne</w:t>
      </w:r>
      <w:proofErr w:type="spellEnd"/>
      <w:r w:rsidRPr="0044746E">
        <w:rPr>
          <w:rFonts w:ascii="Arial" w:hAnsi="Arial" w:cs="Arial"/>
        </w:rPr>
        <w:t xml:space="preserve"> and Hamon, 2020)</w:t>
      </w:r>
      <w:r w:rsidRPr="001862FE">
        <w:rPr>
          <w:rFonts w:ascii="Arial" w:hAnsi="Arial" w:cs="Arial"/>
          <w:sz w:val="24"/>
          <w:szCs w:val="24"/>
        </w:rPr>
        <w:t xml:space="preserve">. Similarly, protozoan parasites such as </w:t>
      </w:r>
      <w:r w:rsidRPr="001862FE">
        <w:rPr>
          <w:rFonts w:ascii="Arial" w:hAnsi="Arial" w:cs="Arial"/>
          <w:i/>
          <w:iCs/>
          <w:sz w:val="24"/>
          <w:szCs w:val="24"/>
        </w:rPr>
        <w:t>Plasmodium</w:t>
      </w:r>
      <w:r w:rsidRPr="001862FE">
        <w:rPr>
          <w:rFonts w:ascii="Arial" w:hAnsi="Arial" w:cs="Arial"/>
          <w:sz w:val="24"/>
          <w:szCs w:val="24"/>
        </w:rPr>
        <w:t xml:space="preserve"> species manipulate host epigenetic pathways to modulate inflammatory responses and promote immune tolerance during chronic infection</w:t>
      </w:r>
      <w:r w:rsidRPr="0044746E">
        <w:rPr>
          <w:rFonts w:ascii="Arial" w:hAnsi="Arial" w:cs="Arial"/>
        </w:rPr>
        <w:t xml:space="preserve"> (</w:t>
      </w:r>
      <w:proofErr w:type="spellStart"/>
      <w:r w:rsidRPr="0044746E">
        <w:rPr>
          <w:rFonts w:ascii="Arial" w:hAnsi="Arial" w:cs="Arial"/>
        </w:rPr>
        <w:t>Nideffer</w:t>
      </w:r>
      <w:proofErr w:type="spellEnd"/>
      <w:r w:rsidRPr="0044746E">
        <w:rPr>
          <w:rFonts w:ascii="Arial" w:hAnsi="Arial" w:cs="Arial"/>
        </w:rPr>
        <w:t xml:space="preserve"> et al., 2023)</w:t>
      </w:r>
      <w:r w:rsidRPr="001862FE">
        <w:rPr>
          <w:rFonts w:ascii="Arial" w:hAnsi="Arial" w:cs="Arial"/>
          <w:sz w:val="24"/>
          <w:szCs w:val="24"/>
        </w:rPr>
        <w:t>.</w:t>
      </w:r>
    </w:p>
    <w:p w14:paraId="4B4E1CCC"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Pathogen-driven epigenetic reprogramming is not limited to immune cells. Structural and metabolic cells within infected tissues can also undergo durable epigenetic changes that contribute to fibrosis, tissue remodeling, and long-term disease sequelae. Importantly, these pathogen-induced epigenetic states may persist after microbial clearance, predisposing hosts to reinfection, chronic inflammation, or malignant transformation</w:t>
      </w:r>
      <w:r w:rsidRPr="0044746E">
        <w:rPr>
          <w:rFonts w:ascii="Arial" w:hAnsi="Arial" w:cs="Arial"/>
        </w:rPr>
        <w:t xml:space="preserve"> (Bonsu et al., 2026)</w:t>
      </w:r>
      <w:r w:rsidRPr="001862FE">
        <w:rPr>
          <w:rFonts w:ascii="Arial" w:hAnsi="Arial" w:cs="Arial"/>
          <w:sz w:val="24"/>
          <w:szCs w:val="24"/>
        </w:rPr>
        <w:t>.</w:t>
      </w:r>
    </w:p>
    <w:p w14:paraId="0EB3A1B1"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 xml:space="preserve">Table </w:t>
      </w:r>
      <w:r w:rsidRPr="0044746E">
        <w:rPr>
          <w:rFonts w:ascii="Arial" w:hAnsi="Arial" w:cs="Arial"/>
          <w:b/>
          <w:bCs/>
        </w:rPr>
        <w:t>1</w:t>
      </w:r>
      <w:r w:rsidRPr="001862FE">
        <w:rPr>
          <w:rFonts w:ascii="Arial" w:hAnsi="Arial" w:cs="Arial"/>
          <w:b/>
          <w:bCs/>
          <w:sz w:val="24"/>
          <w:szCs w:val="24"/>
        </w:rPr>
        <w:t>. Pathogen-Specific Epigenetic Manipulation of the Host</w:t>
      </w:r>
    </w:p>
    <w:tbl>
      <w:tblPr>
        <w:tblStyle w:val="TableGrid"/>
        <w:tblW w:w="5000" w:type="pct"/>
        <w:tblLook w:val="04A0" w:firstRow="1" w:lastRow="0" w:firstColumn="1" w:lastColumn="0" w:noHBand="0" w:noVBand="1"/>
      </w:tblPr>
      <w:tblGrid>
        <w:gridCol w:w="1844"/>
        <w:gridCol w:w="1671"/>
        <w:gridCol w:w="1822"/>
        <w:gridCol w:w="1817"/>
        <w:gridCol w:w="2218"/>
        <w:gridCol w:w="1644"/>
      </w:tblGrid>
      <w:tr w:rsidR="0044746E" w:rsidRPr="0044746E" w14:paraId="7D057CD7" w14:textId="77777777" w:rsidTr="00CA0921">
        <w:tc>
          <w:tcPr>
            <w:tcW w:w="801" w:type="pct"/>
          </w:tcPr>
          <w:p w14:paraId="1C4EC624" w14:textId="77777777" w:rsidR="0044746E" w:rsidRPr="0044746E" w:rsidRDefault="0044746E" w:rsidP="00A051A2">
            <w:pPr>
              <w:spacing w:line="276" w:lineRule="auto"/>
              <w:jc w:val="both"/>
              <w:rPr>
                <w:rFonts w:ascii="Arial" w:hAnsi="Arial" w:cs="Arial"/>
                <w:b/>
                <w:bCs/>
                <w:sz w:val="24"/>
                <w:szCs w:val="24"/>
              </w:rPr>
            </w:pPr>
            <w:r w:rsidRPr="0044746E">
              <w:rPr>
                <w:rFonts w:ascii="Arial" w:hAnsi="Arial" w:cs="Arial"/>
                <w:b/>
                <w:bCs/>
                <w:sz w:val="24"/>
                <w:szCs w:val="24"/>
              </w:rPr>
              <w:t>Pathogen</w:t>
            </w:r>
          </w:p>
        </w:tc>
        <w:tc>
          <w:tcPr>
            <w:tcW w:w="726" w:type="pct"/>
          </w:tcPr>
          <w:p w14:paraId="15140775" w14:textId="77777777" w:rsidR="0044746E" w:rsidRPr="0044746E" w:rsidRDefault="0044746E" w:rsidP="00A051A2">
            <w:pPr>
              <w:spacing w:line="276" w:lineRule="auto"/>
              <w:jc w:val="both"/>
              <w:rPr>
                <w:rFonts w:ascii="Arial" w:hAnsi="Arial" w:cs="Arial"/>
                <w:b/>
                <w:bCs/>
                <w:sz w:val="24"/>
                <w:szCs w:val="24"/>
              </w:rPr>
            </w:pPr>
            <w:r w:rsidRPr="0044746E">
              <w:rPr>
                <w:rFonts w:ascii="Arial" w:hAnsi="Arial" w:cs="Arial"/>
                <w:b/>
                <w:bCs/>
                <w:sz w:val="24"/>
                <w:szCs w:val="24"/>
              </w:rPr>
              <w:t>Host Cell Type</w:t>
            </w:r>
          </w:p>
        </w:tc>
        <w:tc>
          <w:tcPr>
            <w:tcW w:w="900" w:type="pct"/>
          </w:tcPr>
          <w:p w14:paraId="3C6EC5B5" w14:textId="77777777" w:rsidR="0044746E" w:rsidRPr="0044746E" w:rsidRDefault="0044746E" w:rsidP="00A051A2">
            <w:pPr>
              <w:spacing w:line="276" w:lineRule="auto"/>
              <w:jc w:val="both"/>
              <w:rPr>
                <w:rFonts w:ascii="Arial" w:hAnsi="Arial" w:cs="Arial"/>
                <w:b/>
                <w:bCs/>
                <w:sz w:val="24"/>
                <w:szCs w:val="24"/>
              </w:rPr>
            </w:pPr>
            <w:r w:rsidRPr="0044746E">
              <w:rPr>
                <w:rFonts w:ascii="Arial" w:hAnsi="Arial" w:cs="Arial"/>
                <w:b/>
                <w:bCs/>
                <w:sz w:val="24"/>
                <w:szCs w:val="24"/>
              </w:rPr>
              <w:t>Epigenetic Strategy</w:t>
            </w:r>
          </w:p>
        </w:tc>
        <w:tc>
          <w:tcPr>
            <w:tcW w:w="790" w:type="pct"/>
          </w:tcPr>
          <w:p w14:paraId="00A37F0F" w14:textId="77777777" w:rsidR="0044746E" w:rsidRPr="0044746E" w:rsidRDefault="0044746E" w:rsidP="00A051A2">
            <w:pPr>
              <w:spacing w:line="276" w:lineRule="auto"/>
              <w:jc w:val="both"/>
              <w:rPr>
                <w:rFonts w:ascii="Arial" w:hAnsi="Arial" w:cs="Arial"/>
                <w:b/>
                <w:bCs/>
                <w:sz w:val="24"/>
                <w:szCs w:val="24"/>
              </w:rPr>
            </w:pPr>
            <w:r w:rsidRPr="0044746E">
              <w:rPr>
                <w:rFonts w:ascii="Arial" w:hAnsi="Arial" w:cs="Arial"/>
                <w:b/>
                <w:bCs/>
                <w:sz w:val="24"/>
                <w:szCs w:val="24"/>
              </w:rPr>
              <w:t>Biological Outcome</w:t>
            </w:r>
          </w:p>
        </w:tc>
        <w:tc>
          <w:tcPr>
            <w:tcW w:w="964" w:type="pct"/>
          </w:tcPr>
          <w:p w14:paraId="1B4E0ECF" w14:textId="77777777" w:rsidR="0044746E" w:rsidRPr="0044746E" w:rsidRDefault="0044746E" w:rsidP="00A051A2">
            <w:pPr>
              <w:spacing w:line="276" w:lineRule="auto"/>
              <w:jc w:val="both"/>
              <w:rPr>
                <w:rFonts w:ascii="Arial" w:hAnsi="Arial" w:cs="Arial"/>
                <w:b/>
                <w:bCs/>
                <w:sz w:val="24"/>
                <w:szCs w:val="24"/>
              </w:rPr>
            </w:pPr>
            <w:r w:rsidRPr="0044746E">
              <w:rPr>
                <w:rFonts w:ascii="Arial" w:hAnsi="Arial" w:cs="Arial"/>
                <w:b/>
                <w:bCs/>
                <w:sz w:val="24"/>
                <w:szCs w:val="24"/>
              </w:rPr>
              <w:t>Therapeutic Implications</w:t>
            </w:r>
          </w:p>
        </w:tc>
        <w:tc>
          <w:tcPr>
            <w:tcW w:w="819" w:type="pct"/>
          </w:tcPr>
          <w:p w14:paraId="1C9AE30F"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References</w:t>
            </w:r>
          </w:p>
        </w:tc>
      </w:tr>
      <w:tr w:rsidR="0044746E" w:rsidRPr="0044746E" w14:paraId="5D035E88" w14:textId="77777777" w:rsidTr="00CA0921">
        <w:tc>
          <w:tcPr>
            <w:tcW w:w="801" w:type="pct"/>
          </w:tcPr>
          <w:p w14:paraId="56934A1D"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HIV</w:t>
            </w:r>
          </w:p>
        </w:tc>
        <w:tc>
          <w:tcPr>
            <w:tcW w:w="726" w:type="pct"/>
          </w:tcPr>
          <w:p w14:paraId="6B8F2275"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CD4</w:t>
            </w:r>
            <w:r w:rsidRPr="0044746E">
              <w:rPr>
                <w:rFonts w:ascii="Cambria Math" w:hAnsi="Cambria Math" w:cs="Cambria Math"/>
                <w:sz w:val="24"/>
                <w:szCs w:val="24"/>
              </w:rPr>
              <w:t>⁺</w:t>
            </w:r>
            <w:r w:rsidRPr="0044746E">
              <w:rPr>
                <w:rFonts w:ascii="Arial" w:hAnsi="Arial" w:cs="Arial"/>
                <w:sz w:val="24"/>
                <w:szCs w:val="24"/>
              </w:rPr>
              <w:t xml:space="preserve"> T cells</w:t>
            </w:r>
          </w:p>
        </w:tc>
        <w:tc>
          <w:tcPr>
            <w:tcW w:w="900" w:type="pct"/>
          </w:tcPr>
          <w:p w14:paraId="6D29E03B"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HDAC-</w:t>
            </w:r>
            <w:r w:rsidRPr="0044746E">
              <w:rPr>
                <w:rFonts w:ascii="Arial" w:hAnsi="Arial" w:cs="Arial"/>
                <w:sz w:val="24"/>
                <w:szCs w:val="24"/>
              </w:rPr>
              <w:lastRenderedPageBreak/>
              <w:t>mediated proviral silencing</w:t>
            </w:r>
          </w:p>
        </w:tc>
        <w:tc>
          <w:tcPr>
            <w:tcW w:w="790" w:type="pct"/>
          </w:tcPr>
          <w:p w14:paraId="7A8C2FD7"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lastRenderedPageBreak/>
              <w:t>Viral latency</w:t>
            </w:r>
          </w:p>
        </w:tc>
        <w:tc>
          <w:tcPr>
            <w:tcW w:w="964" w:type="pct"/>
          </w:tcPr>
          <w:p w14:paraId="6F144769"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 xml:space="preserve">HDAC inhibitors </w:t>
            </w:r>
            <w:r w:rsidRPr="0044746E">
              <w:rPr>
                <w:rFonts w:ascii="Arial" w:hAnsi="Arial" w:cs="Arial"/>
                <w:sz w:val="24"/>
                <w:szCs w:val="24"/>
              </w:rPr>
              <w:lastRenderedPageBreak/>
              <w:t>for latency reversal</w:t>
            </w:r>
          </w:p>
        </w:tc>
        <w:tc>
          <w:tcPr>
            <w:tcW w:w="819" w:type="pct"/>
          </w:tcPr>
          <w:p w14:paraId="78046E2B" w14:textId="77777777" w:rsidR="0044746E" w:rsidRPr="0044746E" w:rsidRDefault="0044746E" w:rsidP="00A051A2">
            <w:pPr>
              <w:spacing w:line="276" w:lineRule="auto"/>
              <w:jc w:val="both"/>
              <w:rPr>
                <w:rFonts w:ascii="Arial" w:hAnsi="Arial" w:cs="Arial"/>
              </w:rPr>
            </w:pPr>
            <w:r w:rsidRPr="0044746E">
              <w:rPr>
                <w:rFonts w:ascii="Arial" w:hAnsi="Arial" w:cs="Arial"/>
              </w:rPr>
              <w:lastRenderedPageBreak/>
              <w:t xml:space="preserve">(Peterson et </w:t>
            </w:r>
            <w:r w:rsidRPr="0044746E">
              <w:rPr>
                <w:rFonts w:ascii="Arial" w:hAnsi="Arial" w:cs="Arial"/>
              </w:rPr>
              <w:lastRenderedPageBreak/>
              <w:t>al., 2023; Pang and Corley, 2025)</w:t>
            </w:r>
          </w:p>
        </w:tc>
      </w:tr>
      <w:tr w:rsidR="0044746E" w:rsidRPr="0044746E" w14:paraId="5C3ECC67" w14:textId="77777777" w:rsidTr="00CA0921">
        <w:tc>
          <w:tcPr>
            <w:tcW w:w="801" w:type="pct"/>
          </w:tcPr>
          <w:p w14:paraId="654E6B6F" w14:textId="77777777" w:rsidR="0044746E" w:rsidRPr="0044746E" w:rsidRDefault="0044746E" w:rsidP="00A051A2">
            <w:pPr>
              <w:spacing w:line="276" w:lineRule="auto"/>
              <w:jc w:val="both"/>
              <w:rPr>
                <w:rFonts w:ascii="Arial" w:hAnsi="Arial" w:cs="Arial"/>
                <w:i/>
                <w:iCs/>
                <w:sz w:val="24"/>
                <w:szCs w:val="24"/>
              </w:rPr>
            </w:pPr>
            <w:r w:rsidRPr="0044746E">
              <w:rPr>
                <w:rFonts w:ascii="Arial" w:hAnsi="Arial" w:cs="Arial"/>
                <w:i/>
                <w:iCs/>
                <w:sz w:val="24"/>
                <w:szCs w:val="24"/>
              </w:rPr>
              <w:lastRenderedPageBreak/>
              <w:t>Mycobacterium tuberculosis</w:t>
            </w:r>
          </w:p>
        </w:tc>
        <w:tc>
          <w:tcPr>
            <w:tcW w:w="726" w:type="pct"/>
          </w:tcPr>
          <w:p w14:paraId="0C7C6DF9"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Macrophages</w:t>
            </w:r>
          </w:p>
        </w:tc>
        <w:tc>
          <w:tcPr>
            <w:tcW w:w="900" w:type="pct"/>
          </w:tcPr>
          <w:p w14:paraId="1C93AB79"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Histone modification at immune gene promoters</w:t>
            </w:r>
          </w:p>
        </w:tc>
        <w:tc>
          <w:tcPr>
            <w:tcW w:w="790" w:type="pct"/>
          </w:tcPr>
          <w:p w14:paraId="6825F568"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Impaired cytokine production</w:t>
            </w:r>
          </w:p>
        </w:tc>
        <w:tc>
          <w:tcPr>
            <w:tcW w:w="964" w:type="pct"/>
          </w:tcPr>
          <w:p w14:paraId="13447651"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Host-directed epigenetic therapy</w:t>
            </w:r>
          </w:p>
        </w:tc>
        <w:tc>
          <w:tcPr>
            <w:tcW w:w="819" w:type="pct"/>
          </w:tcPr>
          <w:p w14:paraId="447BCB9B" w14:textId="77777777" w:rsidR="0044746E" w:rsidRPr="0044746E" w:rsidRDefault="0044746E" w:rsidP="00A051A2">
            <w:pPr>
              <w:spacing w:line="276" w:lineRule="auto"/>
              <w:jc w:val="both"/>
              <w:rPr>
                <w:rFonts w:ascii="Arial" w:hAnsi="Arial" w:cs="Arial"/>
              </w:rPr>
            </w:pPr>
            <w:r w:rsidRPr="0044746E">
              <w:rPr>
                <w:rFonts w:ascii="Arial" w:hAnsi="Arial" w:cs="Arial"/>
              </w:rPr>
              <w:t xml:space="preserve">(Niller et al., 2017; </w:t>
            </w:r>
            <w:proofErr w:type="spellStart"/>
            <w:r w:rsidRPr="0044746E">
              <w:rPr>
                <w:rFonts w:ascii="Arial" w:hAnsi="Arial" w:cs="Arial"/>
              </w:rPr>
              <w:t>Bierne</w:t>
            </w:r>
            <w:proofErr w:type="spellEnd"/>
            <w:r w:rsidRPr="0044746E">
              <w:rPr>
                <w:rFonts w:ascii="Arial" w:hAnsi="Arial" w:cs="Arial"/>
              </w:rPr>
              <w:t xml:space="preserve"> and Hamon, 2020)</w:t>
            </w:r>
          </w:p>
        </w:tc>
      </w:tr>
      <w:tr w:rsidR="0044746E" w:rsidRPr="0044746E" w14:paraId="1A5E45D1" w14:textId="77777777" w:rsidTr="00CA0921">
        <w:tc>
          <w:tcPr>
            <w:tcW w:w="801" w:type="pct"/>
          </w:tcPr>
          <w:p w14:paraId="7034761D"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HBV / HCV</w:t>
            </w:r>
          </w:p>
        </w:tc>
        <w:tc>
          <w:tcPr>
            <w:tcW w:w="726" w:type="pct"/>
          </w:tcPr>
          <w:p w14:paraId="27A4298D"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Hepatocytes</w:t>
            </w:r>
          </w:p>
        </w:tc>
        <w:tc>
          <w:tcPr>
            <w:tcW w:w="900" w:type="pct"/>
          </w:tcPr>
          <w:p w14:paraId="5FDAD92B"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DNA methylation and chromatin repression</w:t>
            </w:r>
          </w:p>
        </w:tc>
        <w:tc>
          <w:tcPr>
            <w:tcW w:w="790" w:type="pct"/>
          </w:tcPr>
          <w:p w14:paraId="69CA2361"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Chronic infection, carcinogenesis</w:t>
            </w:r>
          </w:p>
        </w:tc>
        <w:tc>
          <w:tcPr>
            <w:tcW w:w="964" w:type="pct"/>
          </w:tcPr>
          <w:p w14:paraId="0ABC3B80"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DNMT and HDAC inhibition</w:t>
            </w:r>
          </w:p>
        </w:tc>
        <w:tc>
          <w:tcPr>
            <w:tcW w:w="819" w:type="pct"/>
          </w:tcPr>
          <w:p w14:paraId="72434941" w14:textId="77777777" w:rsidR="0044746E" w:rsidRPr="0044746E" w:rsidRDefault="0044746E" w:rsidP="00A051A2">
            <w:pPr>
              <w:spacing w:line="276" w:lineRule="auto"/>
              <w:jc w:val="both"/>
              <w:rPr>
                <w:rFonts w:ascii="Arial" w:hAnsi="Arial" w:cs="Arial"/>
              </w:rPr>
            </w:pPr>
            <w:r w:rsidRPr="0044746E">
              <w:rPr>
                <w:rFonts w:ascii="Arial" w:hAnsi="Arial" w:cs="Arial"/>
              </w:rPr>
              <w:t>(Perez et al., 2019; Wang et al., 2024)</w:t>
            </w:r>
          </w:p>
        </w:tc>
      </w:tr>
      <w:tr w:rsidR="0044746E" w:rsidRPr="0044746E" w14:paraId="3154CC80" w14:textId="77777777" w:rsidTr="00CA0921">
        <w:tc>
          <w:tcPr>
            <w:tcW w:w="801" w:type="pct"/>
          </w:tcPr>
          <w:p w14:paraId="2DA91880" w14:textId="77777777" w:rsidR="0044746E" w:rsidRPr="0044746E" w:rsidRDefault="0044746E" w:rsidP="00A051A2">
            <w:pPr>
              <w:spacing w:line="276" w:lineRule="auto"/>
              <w:jc w:val="both"/>
              <w:rPr>
                <w:rFonts w:ascii="Arial" w:hAnsi="Arial" w:cs="Arial"/>
                <w:i/>
                <w:iCs/>
                <w:sz w:val="24"/>
                <w:szCs w:val="24"/>
              </w:rPr>
            </w:pPr>
            <w:r w:rsidRPr="0044746E">
              <w:rPr>
                <w:rFonts w:ascii="Arial" w:hAnsi="Arial" w:cs="Arial"/>
                <w:i/>
                <w:iCs/>
                <w:sz w:val="24"/>
                <w:szCs w:val="24"/>
              </w:rPr>
              <w:t>Plasmodium spp.</w:t>
            </w:r>
          </w:p>
        </w:tc>
        <w:tc>
          <w:tcPr>
            <w:tcW w:w="726" w:type="pct"/>
          </w:tcPr>
          <w:p w14:paraId="4B1DBB78"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Immune cells</w:t>
            </w:r>
          </w:p>
        </w:tc>
        <w:tc>
          <w:tcPr>
            <w:tcW w:w="900" w:type="pct"/>
          </w:tcPr>
          <w:p w14:paraId="4EADC3AF"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ncRNA-mediated immune modulation</w:t>
            </w:r>
          </w:p>
        </w:tc>
        <w:tc>
          <w:tcPr>
            <w:tcW w:w="790" w:type="pct"/>
          </w:tcPr>
          <w:p w14:paraId="7B38E949"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Immune tolerance</w:t>
            </w:r>
          </w:p>
        </w:tc>
        <w:tc>
          <w:tcPr>
            <w:tcW w:w="964" w:type="pct"/>
          </w:tcPr>
          <w:p w14:paraId="515A981E"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ncRNA-based diagnostics/targets</w:t>
            </w:r>
          </w:p>
        </w:tc>
        <w:tc>
          <w:tcPr>
            <w:tcW w:w="819" w:type="pct"/>
          </w:tcPr>
          <w:p w14:paraId="1B8AA7D1" w14:textId="77777777" w:rsidR="0044746E" w:rsidRPr="0044746E" w:rsidRDefault="0044746E" w:rsidP="00A051A2">
            <w:pPr>
              <w:spacing w:line="276" w:lineRule="auto"/>
              <w:jc w:val="both"/>
              <w:rPr>
                <w:rFonts w:ascii="Arial" w:hAnsi="Arial" w:cs="Arial"/>
              </w:rPr>
            </w:pPr>
            <w:r w:rsidRPr="0044746E">
              <w:rPr>
                <w:rFonts w:ascii="Arial" w:hAnsi="Arial" w:cs="Arial"/>
              </w:rPr>
              <w:t>(</w:t>
            </w:r>
            <w:proofErr w:type="spellStart"/>
            <w:r w:rsidRPr="0044746E">
              <w:rPr>
                <w:rFonts w:ascii="Arial" w:hAnsi="Arial" w:cs="Arial"/>
              </w:rPr>
              <w:t>Nideffer</w:t>
            </w:r>
            <w:proofErr w:type="spellEnd"/>
            <w:r w:rsidRPr="0044746E">
              <w:rPr>
                <w:rFonts w:ascii="Arial" w:hAnsi="Arial" w:cs="Arial"/>
              </w:rPr>
              <w:t xml:space="preserve"> et al., 2023)</w:t>
            </w:r>
          </w:p>
        </w:tc>
      </w:tr>
    </w:tbl>
    <w:p w14:paraId="1D362098" w14:textId="77777777" w:rsidR="0044746E" w:rsidRPr="001862FE" w:rsidRDefault="0044746E" w:rsidP="0044746E">
      <w:pPr>
        <w:spacing w:after="160" w:line="276" w:lineRule="auto"/>
        <w:jc w:val="both"/>
        <w:rPr>
          <w:rFonts w:ascii="Arial" w:hAnsi="Arial" w:cs="Arial"/>
          <w:sz w:val="24"/>
          <w:szCs w:val="24"/>
        </w:rPr>
      </w:pPr>
    </w:p>
    <w:p w14:paraId="408D35BE"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3.2 Epigenetic Suppression of Immune Responses and Pathogen Latency</w:t>
      </w:r>
    </w:p>
    <w:p w14:paraId="0453A1A7"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One of the most consequential outcomes of epigenetic manipulation during infection is the suppression of host immune responses</w:t>
      </w:r>
      <w:r w:rsidRPr="0044746E">
        <w:rPr>
          <w:rFonts w:ascii="Arial" w:hAnsi="Arial" w:cs="Arial"/>
        </w:rPr>
        <w:t xml:space="preserve"> (Gujar et al., 2019; Yang et al., 2023)</w:t>
      </w:r>
      <w:r w:rsidRPr="001862FE">
        <w:rPr>
          <w:rFonts w:ascii="Arial" w:hAnsi="Arial" w:cs="Arial"/>
          <w:sz w:val="24"/>
          <w:szCs w:val="24"/>
        </w:rPr>
        <w:t xml:space="preserve">. Repressive chromatin </w:t>
      </w:r>
      <w:r w:rsidRPr="0044746E">
        <w:rPr>
          <w:rFonts w:ascii="Arial" w:hAnsi="Arial" w:cs="Arial"/>
          <w:sz w:val="24"/>
          <w:szCs w:val="24"/>
        </w:rPr>
        <w:t>marks</w:t>
      </w:r>
      <w:r w:rsidRPr="001862FE">
        <w:rPr>
          <w:rFonts w:ascii="Arial" w:hAnsi="Arial" w:cs="Arial"/>
          <w:sz w:val="24"/>
          <w:szCs w:val="24"/>
        </w:rPr>
        <w:t xml:space="preserve"> promoters of interferon-stimulated genes, pattern recognition receptors, and antigen presentation machinery limit the capacity of immune cells to mount effective antimicrobial defenses. This epigenetic </w:t>
      </w:r>
      <w:r w:rsidRPr="0044746E">
        <w:rPr>
          <w:rFonts w:ascii="Arial" w:hAnsi="Arial" w:cs="Arial"/>
          <w:sz w:val="24"/>
          <w:szCs w:val="24"/>
        </w:rPr>
        <w:t>silence</w:t>
      </w:r>
      <w:r w:rsidRPr="001862FE">
        <w:rPr>
          <w:rFonts w:ascii="Arial" w:hAnsi="Arial" w:cs="Arial"/>
          <w:sz w:val="24"/>
          <w:szCs w:val="24"/>
        </w:rPr>
        <w:t xml:space="preserve"> contributes to immune exhaustion, tolerance, and the establishment of pathogen reservoirs.</w:t>
      </w:r>
      <w:r w:rsidRPr="0044746E">
        <w:rPr>
          <w:rFonts w:ascii="Arial" w:hAnsi="Arial" w:cs="Arial"/>
          <w:sz w:val="24"/>
          <w:szCs w:val="24"/>
        </w:rPr>
        <w:t xml:space="preserve"> </w:t>
      </w:r>
      <w:r w:rsidRPr="001862FE">
        <w:rPr>
          <w:rFonts w:ascii="Arial" w:hAnsi="Arial" w:cs="Arial"/>
          <w:sz w:val="24"/>
          <w:szCs w:val="24"/>
        </w:rPr>
        <w:t>Latency represents an extreme manifestation of epigenetically mediated immune evasion</w:t>
      </w:r>
      <w:r w:rsidRPr="0044746E">
        <w:rPr>
          <w:rFonts w:ascii="Arial" w:hAnsi="Arial" w:cs="Arial"/>
        </w:rPr>
        <w:t xml:space="preserve"> (Peterson et al., 2023; Pang and Corley, 2025)</w:t>
      </w:r>
      <w:r w:rsidRPr="001862FE">
        <w:rPr>
          <w:rFonts w:ascii="Arial" w:hAnsi="Arial" w:cs="Arial"/>
          <w:sz w:val="24"/>
          <w:szCs w:val="24"/>
        </w:rPr>
        <w:t>. In viral infections, latent genomes are transcriptionally silenced through coordinated action of DNMTs, HDACs, and histone methyltransferases</w:t>
      </w:r>
      <w:r w:rsidRPr="0044746E">
        <w:rPr>
          <w:rFonts w:ascii="Arial" w:hAnsi="Arial" w:cs="Arial"/>
        </w:rPr>
        <w:t xml:space="preserve"> (</w:t>
      </w:r>
      <w:proofErr w:type="spellStart"/>
      <w:r w:rsidRPr="0044746E">
        <w:rPr>
          <w:rFonts w:ascii="Arial" w:hAnsi="Arial" w:cs="Arial"/>
        </w:rPr>
        <w:t>Ahbimanyu</w:t>
      </w:r>
      <w:proofErr w:type="spellEnd"/>
      <w:r w:rsidRPr="0044746E">
        <w:rPr>
          <w:rFonts w:ascii="Arial" w:hAnsi="Arial" w:cs="Arial"/>
        </w:rPr>
        <w:t xml:space="preserve"> et al., 2021; Saha et al., 2025)</w:t>
      </w:r>
      <w:r w:rsidRPr="001862FE">
        <w:rPr>
          <w:rFonts w:ascii="Arial" w:hAnsi="Arial" w:cs="Arial"/>
          <w:sz w:val="24"/>
          <w:szCs w:val="24"/>
        </w:rPr>
        <w:t>. Similar principles apply to bacterial and parasitic persistence, where epigenetic repression of host antimicrobial pathways creates a permissive intracellular niche.</w:t>
      </w:r>
      <w:r w:rsidRPr="0044746E">
        <w:rPr>
          <w:rFonts w:ascii="Arial" w:hAnsi="Arial" w:cs="Arial"/>
        </w:rPr>
        <w:t xml:space="preserve"> </w:t>
      </w:r>
      <w:r w:rsidRPr="001862FE">
        <w:rPr>
          <w:rFonts w:ascii="Arial" w:hAnsi="Arial" w:cs="Arial"/>
          <w:sz w:val="24"/>
          <w:szCs w:val="24"/>
        </w:rPr>
        <w:t xml:space="preserve">Notably, these </w:t>
      </w:r>
      <w:r w:rsidRPr="0044746E">
        <w:rPr>
          <w:rFonts w:ascii="Arial" w:hAnsi="Arial" w:cs="Arial"/>
          <w:sz w:val="24"/>
          <w:szCs w:val="24"/>
        </w:rPr>
        <w:t>silent</w:t>
      </w:r>
      <w:r w:rsidRPr="001862FE">
        <w:rPr>
          <w:rFonts w:ascii="Arial" w:hAnsi="Arial" w:cs="Arial"/>
          <w:sz w:val="24"/>
          <w:szCs w:val="24"/>
        </w:rPr>
        <w:t xml:space="preserve"> states are not immutable. Environmental cues, inflammatory signals, or pharmacological interventions can reactivate transcriptional programs, underscoring the therapeutic potential of targeting epigenetic modifiers to disrupt latency and restore immune competence.</w:t>
      </w:r>
    </w:p>
    <w:p w14:paraId="176D3F2A"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3.3 Role of Host Epigenetic Modifiers in Antimicrobial Defense</w:t>
      </w:r>
    </w:p>
    <w:p w14:paraId="551CEA46" w14:textId="75BEEC9B"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 xml:space="preserve">Table </w:t>
      </w:r>
      <w:r w:rsidR="00A90E44">
        <w:rPr>
          <w:rFonts w:ascii="Arial" w:hAnsi="Arial" w:cs="Arial"/>
          <w:b/>
          <w:bCs/>
          <w:sz w:val="24"/>
          <w:szCs w:val="24"/>
        </w:rPr>
        <w:t>2</w:t>
      </w:r>
      <w:r w:rsidRPr="001862FE">
        <w:rPr>
          <w:rFonts w:ascii="Arial" w:hAnsi="Arial" w:cs="Arial"/>
          <w:b/>
          <w:bCs/>
          <w:sz w:val="24"/>
          <w:szCs w:val="24"/>
        </w:rPr>
        <w:t>. Major Epigenetic Modifiers: Mechanisms and Functional Consequences</w:t>
      </w:r>
    </w:p>
    <w:tbl>
      <w:tblPr>
        <w:tblStyle w:val="TableGrid"/>
        <w:tblW w:w="5000" w:type="pct"/>
        <w:tblLook w:val="04A0" w:firstRow="1" w:lastRow="0" w:firstColumn="1" w:lastColumn="0" w:noHBand="0" w:noVBand="1"/>
      </w:tblPr>
      <w:tblGrid>
        <w:gridCol w:w="2187"/>
        <w:gridCol w:w="2146"/>
        <w:gridCol w:w="1668"/>
        <w:gridCol w:w="1875"/>
        <w:gridCol w:w="1771"/>
        <w:gridCol w:w="1369"/>
      </w:tblGrid>
      <w:tr w:rsidR="0044746E" w:rsidRPr="0044746E" w14:paraId="25F2B710" w14:textId="77777777" w:rsidTr="00CA0921">
        <w:tc>
          <w:tcPr>
            <w:tcW w:w="993" w:type="pct"/>
          </w:tcPr>
          <w:p w14:paraId="51546C3A" w14:textId="77777777" w:rsidR="0044746E" w:rsidRPr="0044746E" w:rsidRDefault="0044746E" w:rsidP="00A051A2">
            <w:pPr>
              <w:spacing w:line="276" w:lineRule="auto"/>
              <w:jc w:val="center"/>
              <w:rPr>
                <w:rFonts w:ascii="Arial" w:hAnsi="Arial" w:cs="Arial"/>
                <w:b/>
                <w:bCs/>
                <w:sz w:val="24"/>
                <w:szCs w:val="24"/>
              </w:rPr>
            </w:pPr>
            <w:r w:rsidRPr="0044746E">
              <w:rPr>
                <w:rFonts w:ascii="Arial" w:hAnsi="Arial" w:cs="Arial"/>
                <w:b/>
                <w:bCs/>
                <w:sz w:val="24"/>
                <w:szCs w:val="24"/>
              </w:rPr>
              <w:t>Epigenetic Modifier Class</w:t>
            </w:r>
          </w:p>
        </w:tc>
        <w:tc>
          <w:tcPr>
            <w:tcW w:w="975" w:type="pct"/>
          </w:tcPr>
          <w:p w14:paraId="2EC8BD05" w14:textId="77777777" w:rsidR="0044746E" w:rsidRPr="0044746E" w:rsidRDefault="0044746E" w:rsidP="00A051A2">
            <w:pPr>
              <w:spacing w:line="276" w:lineRule="auto"/>
              <w:jc w:val="center"/>
              <w:rPr>
                <w:rFonts w:ascii="Arial" w:hAnsi="Arial" w:cs="Arial"/>
                <w:b/>
                <w:bCs/>
                <w:sz w:val="24"/>
                <w:szCs w:val="24"/>
              </w:rPr>
            </w:pPr>
            <w:r w:rsidRPr="0044746E">
              <w:rPr>
                <w:rFonts w:ascii="Arial" w:hAnsi="Arial" w:cs="Arial"/>
                <w:b/>
                <w:bCs/>
                <w:sz w:val="24"/>
                <w:szCs w:val="24"/>
              </w:rPr>
              <w:t>Key Enzymes / Proteins</w:t>
            </w:r>
          </w:p>
        </w:tc>
        <w:tc>
          <w:tcPr>
            <w:tcW w:w="757" w:type="pct"/>
          </w:tcPr>
          <w:p w14:paraId="66083B63" w14:textId="77777777" w:rsidR="0044746E" w:rsidRPr="0044746E" w:rsidRDefault="0044746E" w:rsidP="00A051A2">
            <w:pPr>
              <w:spacing w:line="276" w:lineRule="auto"/>
              <w:jc w:val="center"/>
              <w:rPr>
                <w:rFonts w:ascii="Arial" w:hAnsi="Arial" w:cs="Arial"/>
                <w:b/>
                <w:bCs/>
                <w:sz w:val="24"/>
                <w:szCs w:val="24"/>
              </w:rPr>
            </w:pPr>
            <w:r w:rsidRPr="0044746E">
              <w:rPr>
                <w:rFonts w:ascii="Arial" w:hAnsi="Arial" w:cs="Arial"/>
                <w:b/>
                <w:bCs/>
                <w:sz w:val="24"/>
                <w:szCs w:val="24"/>
              </w:rPr>
              <w:t>Primary Mechanism</w:t>
            </w:r>
          </w:p>
        </w:tc>
        <w:tc>
          <w:tcPr>
            <w:tcW w:w="851" w:type="pct"/>
          </w:tcPr>
          <w:p w14:paraId="64DB253F" w14:textId="77777777" w:rsidR="0044746E" w:rsidRPr="0044746E" w:rsidRDefault="0044746E" w:rsidP="00A051A2">
            <w:pPr>
              <w:spacing w:line="276" w:lineRule="auto"/>
              <w:jc w:val="center"/>
              <w:rPr>
                <w:rFonts w:ascii="Arial" w:hAnsi="Arial" w:cs="Arial"/>
                <w:b/>
                <w:bCs/>
                <w:sz w:val="24"/>
                <w:szCs w:val="24"/>
              </w:rPr>
            </w:pPr>
            <w:r w:rsidRPr="0044746E">
              <w:rPr>
                <w:rFonts w:ascii="Arial" w:hAnsi="Arial" w:cs="Arial"/>
                <w:b/>
                <w:bCs/>
                <w:sz w:val="24"/>
                <w:szCs w:val="24"/>
              </w:rPr>
              <w:t>Functional Consequences in Health</w:t>
            </w:r>
          </w:p>
        </w:tc>
        <w:tc>
          <w:tcPr>
            <w:tcW w:w="804" w:type="pct"/>
          </w:tcPr>
          <w:p w14:paraId="4630CB63" w14:textId="77777777" w:rsidR="0044746E" w:rsidRPr="0044746E" w:rsidRDefault="0044746E" w:rsidP="00A051A2">
            <w:pPr>
              <w:spacing w:line="276" w:lineRule="auto"/>
              <w:jc w:val="center"/>
              <w:rPr>
                <w:rFonts w:ascii="Arial" w:hAnsi="Arial" w:cs="Arial"/>
                <w:b/>
                <w:bCs/>
                <w:sz w:val="24"/>
                <w:szCs w:val="24"/>
              </w:rPr>
            </w:pPr>
            <w:r w:rsidRPr="0044746E">
              <w:rPr>
                <w:rFonts w:ascii="Arial" w:hAnsi="Arial" w:cs="Arial"/>
                <w:b/>
                <w:bCs/>
                <w:sz w:val="24"/>
                <w:szCs w:val="24"/>
              </w:rPr>
              <w:t>Dysregulation in Disease</w:t>
            </w:r>
          </w:p>
        </w:tc>
        <w:tc>
          <w:tcPr>
            <w:tcW w:w="621" w:type="pct"/>
          </w:tcPr>
          <w:p w14:paraId="58F76536" w14:textId="77777777" w:rsidR="0044746E" w:rsidRPr="0044746E" w:rsidRDefault="0044746E" w:rsidP="00A051A2">
            <w:pPr>
              <w:spacing w:line="276" w:lineRule="auto"/>
              <w:jc w:val="center"/>
              <w:rPr>
                <w:rFonts w:ascii="Arial" w:hAnsi="Arial" w:cs="Arial"/>
                <w:b/>
                <w:bCs/>
              </w:rPr>
            </w:pPr>
            <w:r w:rsidRPr="0044746E">
              <w:rPr>
                <w:rFonts w:ascii="Arial" w:hAnsi="Arial" w:cs="Arial"/>
                <w:b/>
                <w:bCs/>
              </w:rPr>
              <w:t>References</w:t>
            </w:r>
          </w:p>
        </w:tc>
      </w:tr>
      <w:tr w:rsidR="0044746E" w:rsidRPr="0044746E" w14:paraId="70505DDB" w14:textId="77777777" w:rsidTr="00CA0921">
        <w:tc>
          <w:tcPr>
            <w:tcW w:w="993" w:type="pct"/>
          </w:tcPr>
          <w:p w14:paraId="6B65B09C"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DNA methyltransferases (DNMTs)</w:t>
            </w:r>
          </w:p>
        </w:tc>
        <w:tc>
          <w:tcPr>
            <w:tcW w:w="975" w:type="pct"/>
          </w:tcPr>
          <w:p w14:paraId="37353BAC"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DNMT1, DNMT3A, DNMT3B</w:t>
            </w:r>
          </w:p>
        </w:tc>
        <w:tc>
          <w:tcPr>
            <w:tcW w:w="757" w:type="pct"/>
          </w:tcPr>
          <w:p w14:paraId="103EF7A6"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CpG cytosine methylation</w:t>
            </w:r>
          </w:p>
        </w:tc>
        <w:tc>
          <w:tcPr>
            <w:tcW w:w="851" w:type="pct"/>
          </w:tcPr>
          <w:p w14:paraId="5AAF5DB1"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Genomic stability, imprinting, lineage specification</w:t>
            </w:r>
          </w:p>
        </w:tc>
        <w:tc>
          <w:tcPr>
            <w:tcW w:w="804" w:type="pct"/>
          </w:tcPr>
          <w:p w14:paraId="14AA2698"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 xml:space="preserve">Tumor suppressor silencing, immune gene repression, pathogen </w:t>
            </w:r>
            <w:r w:rsidRPr="0044746E">
              <w:rPr>
                <w:rFonts w:ascii="Arial" w:hAnsi="Arial" w:cs="Arial"/>
                <w:sz w:val="24"/>
                <w:szCs w:val="24"/>
              </w:rPr>
              <w:lastRenderedPageBreak/>
              <w:t>persistence</w:t>
            </w:r>
          </w:p>
        </w:tc>
        <w:tc>
          <w:tcPr>
            <w:tcW w:w="621" w:type="pct"/>
          </w:tcPr>
          <w:p w14:paraId="5E976025" w14:textId="77777777" w:rsidR="0044746E" w:rsidRPr="0044746E" w:rsidRDefault="0044746E" w:rsidP="00A051A2">
            <w:pPr>
              <w:spacing w:line="276" w:lineRule="auto"/>
              <w:rPr>
                <w:rFonts w:ascii="Arial" w:hAnsi="Arial" w:cs="Arial"/>
              </w:rPr>
            </w:pPr>
            <w:r w:rsidRPr="0044746E">
              <w:rPr>
                <w:rFonts w:ascii="Arial" w:hAnsi="Arial" w:cs="Arial"/>
              </w:rPr>
              <w:lastRenderedPageBreak/>
              <w:t>(Gujar et al., 2019; Yang et al., 2023)</w:t>
            </w:r>
          </w:p>
        </w:tc>
      </w:tr>
      <w:tr w:rsidR="0044746E" w:rsidRPr="0044746E" w14:paraId="2D0F92CC" w14:textId="77777777" w:rsidTr="00CA0921">
        <w:tc>
          <w:tcPr>
            <w:tcW w:w="993" w:type="pct"/>
          </w:tcPr>
          <w:p w14:paraId="562D8268"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Histone deacetylases (HDACs)</w:t>
            </w:r>
          </w:p>
        </w:tc>
        <w:tc>
          <w:tcPr>
            <w:tcW w:w="975" w:type="pct"/>
          </w:tcPr>
          <w:p w14:paraId="2AF0C6B2"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Class I–IV HDACs</w:t>
            </w:r>
          </w:p>
        </w:tc>
        <w:tc>
          <w:tcPr>
            <w:tcW w:w="757" w:type="pct"/>
          </w:tcPr>
          <w:p w14:paraId="72035841"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Histone deacetylation</w:t>
            </w:r>
          </w:p>
        </w:tc>
        <w:tc>
          <w:tcPr>
            <w:tcW w:w="851" w:type="pct"/>
          </w:tcPr>
          <w:p w14:paraId="055D9B4B"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Chromatin compaction, transcriptional repression</w:t>
            </w:r>
          </w:p>
        </w:tc>
        <w:tc>
          <w:tcPr>
            <w:tcW w:w="804" w:type="pct"/>
          </w:tcPr>
          <w:p w14:paraId="731B5273"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Immune suppression, oncogenic transcriptional programs</w:t>
            </w:r>
          </w:p>
        </w:tc>
        <w:tc>
          <w:tcPr>
            <w:tcW w:w="621" w:type="pct"/>
          </w:tcPr>
          <w:p w14:paraId="7A370D8B" w14:textId="77777777" w:rsidR="0044746E" w:rsidRPr="0044746E" w:rsidRDefault="0044746E" w:rsidP="00A051A2">
            <w:pPr>
              <w:spacing w:line="276" w:lineRule="auto"/>
              <w:rPr>
                <w:rFonts w:ascii="Arial" w:hAnsi="Arial" w:cs="Arial"/>
              </w:rPr>
            </w:pPr>
            <w:r w:rsidRPr="0044746E">
              <w:rPr>
                <w:rFonts w:ascii="Arial" w:hAnsi="Arial" w:cs="Arial"/>
              </w:rPr>
              <w:t>(Dai et al., 2021; Sadida et al., 2023)</w:t>
            </w:r>
          </w:p>
        </w:tc>
      </w:tr>
      <w:tr w:rsidR="0044746E" w:rsidRPr="0044746E" w14:paraId="48AFB904" w14:textId="77777777" w:rsidTr="00CA0921">
        <w:tc>
          <w:tcPr>
            <w:tcW w:w="993" w:type="pct"/>
          </w:tcPr>
          <w:p w14:paraId="497F54FB"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Histone acetyltransferases (HATs)</w:t>
            </w:r>
          </w:p>
        </w:tc>
        <w:tc>
          <w:tcPr>
            <w:tcW w:w="975" w:type="pct"/>
          </w:tcPr>
          <w:p w14:paraId="34EBF5DB"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p300/CBP, GCN5</w:t>
            </w:r>
            <w:r w:rsidRPr="0044746E">
              <w:rPr>
                <w:rFonts w:ascii="Arial" w:hAnsi="Arial" w:cs="Arial"/>
              </w:rPr>
              <w:t>/PCAF/MYST family</w:t>
            </w:r>
          </w:p>
        </w:tc>
        <w:tc>
          <w:tcPr>
            <w:tcW w:w="757" w:type="pct"/>
          </w:tcPr>
          <w:p w14:paraId="5B438FC6"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Histone acetylation</w:t>
            </w:r>
          </w:p>
        </w:tc>
        <w:tc>
          <w:tcPr>
            <w:tcW w:w="851" w:type="pct"/>
          </w:tcPr>
          <w:p w14:paraId="49EF8821"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Gene activation, enhancer function</w:t>
            </w:r>
          </w:p>
        </w:tc>
        <w:tc>
          <w:tcPr>
            <w:tcW w:w="804" w:type="pct"/>
          </w:tcPr>
          <w:p w14:paraId="054634BB"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Altered differentiatio</w:t>
            </w:r>
            <w:r w:rsidRPr="0044746E">
              <w:rPr>
                <w:rFonts w:ascii="Arial" w:hAnsi="Arial" w:cs="Arial"/>
              </w:rPr>
              <w:t>n</w:t>
            </w:r>
            <w:r w:rsidRPr="0044746E">
              <w:rPr>
                <w:rFonts w:ascii="Arial" w:hAnsi="Arial" w:cs="Arial"/>
                <w:sz w:val="24"/>
                <w:szCs w:val="24"/>
              </w:rPr>
              <w:t>, transcriptional imbalance</w:t>
            </w:r>
          </w:p>
        </w:tc>
        <w:tc>
          <w:tcPr>
            <w:tcW w:w="621" w:type="pct"/>
          </w:tcPr>
          <w:p w14:paraId="71619C22" w14:textId="77777777" w:rsidR="0044746E" w:rsidRPr="0044746E" w:rsidRDefault="0044746E" w:rsidP="00A051A2">
            <w:pPr>
              <w:spacing w:line="276" w:lineRule="auto"/>
              <w:rPr>
                <w:rFonts w:ascii="Arial" w:hAnsi="Arial" w:cs="Arial"/>
              </w:rPr>
            </w:pPr>
            <w:r w:rsidRPr="0044746E">
              <w:rPr>
                <w:rFonts w:ascii="Arial" w:hAnsi="Arial" w:cs="Arial"/>
              </w:rPr>
              <w:t>(Dai et al., 2021; Sadida et al., 2023)</w:t>
            </w:r>
          </w:p>
        </w:tc>
      </w:tr>
      <w:tr w:rsidR="0044746E" w:rsidRPr="0044746E" w14:paraId="66A9D90C" w14:textId="77777777" w:rsidTr="00CA0921">
        <w:tc>
          <w:tcPr>
            <w:tcW w:w="993" w:type="pct"/>
          </w:tcPr>
          <w:p w14:paraId="1859A140"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Histone methyltransferases (HMTs)</w:t>
            </w:r>
          </w:p>
        </w:tc>
        <w:tc>
          <w:tcPr>
            <w:tcW w:w="975" w:type="pct"/>
          </w:tcPr>
          <w:p w14:paraId="418BE313"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EZH2, DOT1L, SETD2</w:t>
            </w:r>
          </w:p>
        </w:tc>
        <w:tc>
          <w:tcPr>
            <w:tcW w:w="757" w:type="pct"/>
          </w:tcPr>
          <w:p w14:paraId="2E932D0A"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Site-specific histone methylation</w:t>
            </w:r>
          </w:p>
        </w:tc>
        <w:tc>
          <w:tcPr>
            <w:tcW w:w="851" w:type="pct"/>
          </w:tcPr>
          <w:p w14:paraId="5F33AA01"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Cell identity, developmental regulation</w:t>
            </w:r>
          </w:p>
        </w:tc>
        <w:tc>
          <w:tcPr>
            <w:tcW w:w="804" w:type="pct"/>
          </w:tcPr>
          <w:p w14:paraId="5C0DCC3E" w14:textId="77777777" w:rsidR="0044746E" w:rsidRPr="0044746E" w:rsidRDefault="0044746E" w:rsidP="00A051A2">
            <w:pPr>
              <w:spacing w:line="276" w:lineRule="auto"/>
              <w:rPr>
                <w:rFonts w:ascii="Arial" w:hAnsi="Arial" w:cs="Arial"/>
                <w:sz w:val="24"/>
                <w:szCs w:val="24"/>
              </w:rPr>
            </w:pPr>
            <w:proofErr w:type="spellStart"/>
            <w:r w:rsidRPr="0044746E">
              <w:rPr>
                <w:rFonts w:ascii="Arial" w:hAnsi="Arial" w:cs="Arial"/>
                <w:sz w:val="24"/>
                <w:szCs w:val="24"/>
              </w:rPr>
              <w:t>Polycomb</w:t>
            </w:r>
            <w:proofErr w:type="spellEnd"/>
            <w:r w:rsidRPr="0044746E">
              <w:rPr>
                <w:rFonts w:ascii="Arial" w:hAnsi="Arial" w:cs="Arial"/>
                <w:sz w:val="24"/>
                <w:szCs w:val="24"/>
              </w:rPr>
              <w:t>-mediated repression, cancer stemness</w:t>
            </w:r>
          </w:p>
        </w:tc>
        <w:tc>
          <w:tcPr>
            <w:tcW w:w="621" w:type="pct"/>
          </w:tcPr>
          <w:p w14:paraId="1861453C" w14:textId="77777777" w:rsidR="0044746E" w:rsidRPr="0044746E" w:rsidRDefault="0044746E" w:rsidP="00A051A2">
            <w:pPr>
              <w:spacing w:line="276" w:lineRule="auto"/>
              <w:rPr>
                <w:rFonts w:ascii="Arial" w:hAnsi="Arial" w:cs="Arial"/>
              </w:rPr>
            </w:pPr>
            <w:r w:rsidRPr="0044746E">
              <w:rPr>
                <w:rFonts w:ascii="Arial" w:hAnsi="Arial" w:cs="Arial"/>
              </w:rPr>
              <w:t>(Sadida et al., 2023; Gu et al., 2024)</w:t>
            </w:r>
          </w:p>
        </w:tc>
      </w:tr>
      <w:tr w:rsidR="0044746E" w:rsidRPr="0044746E" w14:paraId="246E0FC6" w14:textId="77777777" w:rsidTr="00CA0921">
        <w:tc>
          <w:tcPr>
            <w:tcW w:w="993" w:type="pct"/>
          </w:tcPr>
          <w:p w14:paraId="1CF8A1CA"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Epigenetic readers (BET proteins)</w:t>
            </w:r>
          </w:p>
        </w:tc>
        <w:tc>
          <w:tcPr>
            <w:tcW w:w="975" w:type="pct"/>
          </w:tcPr>
          <w:p w14:paraId="0963829A"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BRD2, BRD3, BRD4</w:t>
            </w:r>
          </w:p>
        </w:tc>
        <w:tc>
          <w:tcPr>
            <w:tcW w:w="757" w:type="pct"/>
          </w:tcPr>
          <w:p w14:paraId="4995F49C"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Recognition of acetylated histones</w:t>
            </w:r>
          </w:p>
        </w:tc>
        <w:tc>
          <w:tcPr>
            <w:tcW w:w="851" w:type="pct"/>
          </w:tcPr>
          <w:p w14:paraId="18D5D406"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Transcriptional elongation, enhancer activity</w:t>
            </w:r>
          </w:p>
        </w:tc>
        <w:tc>
          <w:tcPr>
            <w:tcW w:w="804" w:type="pct"/>
          </w:tcPr>
          <w:p w14:paraId="5E33AB5E"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Super-enhancer–driven oncogene expression</w:t>
            </w:r>
          </w:p>
        </w:tc>
        <w:tc>
          <w:tcPr>
            <w:tcW w:w="621" w:type="pct"/>
          </w:tcPr>
          <w:p w14:paraId="7F421008" w14:textId="77777777" w:rsidR="0044746E" w:rsidRPr="0044746E" w:rsidRDefault="0044746E" w:rsidP="00A051A2">
            <w:pPr>
              <w:spacing w:line="276" w:lineRule="auto"/>
              <w:rPr>
                <w:rFonts w:ascii="Arial" w:hAnsi="Arial" w:cs="Arial"/>
              </w:rPr>
            </w:pPr>
            <w:r w:rsidRPr="0044746E">
              <w:rPr>
                <w:rFonts w:ascii="Arial" w:hAnsi="Arial" w:cs="Arial"/>
              </w:rPr>
              <w:t>(Yang et al., 2023; Kumar et al., 2025)</w:t>
            </w:r>
          </w:p>
        </w:tc>
      </w:tr>
      <w:tr w:rsidR="0044746E" w:rsidRPr="0044746E" w14:paraId="61453AB5" w14:textId="77777777" w:rsidTr="00CA0921">
        <w:tc>
          <w:tcPr>
            <w:tcW w:w="993" w:type="pct"/>
          </w:tcPr>
          <w:p w14:paraId="2D5FE4FD"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Non-coding RNAs</w:t>
            </w:r>
          </w:p>
        </w:tc>
        <w:tc>
          <w:tcPr>
            <w:tcW w:w="975" w:type="pct"/>
          </w:tcPr>
          <w:p w14:paraId="52E09161"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 xml:space="preserve">miRNAs, </w:t>
            </w:r>
            <w:proofErr w:type="spellStart"/>
            <w:r w:rsidRPr="0044746E">
              <w:rPr>
                <w:rFonts w:ascii="Arial" w:hAnsi="Arial" w:cs="Arial"/>
                <w:sz w:val="24"/>
                <w:szCs w:val="24"/>
              </w:rPr>
              <w:t>lncRNAs</w:t>
            </w:r>
            <w:proofErr w:type="spellEnd"/>
          </w:p>
        </w:tc>
        <w:tc>
          <w:tcPr>
            <w:tcW w:w="757" w:type="pct"/>
          </w:tcPr>
          <w:p w14:paraId="0C361D6B"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Post-transcriptional and chromatin regulation</w:t>
            </w:r>
          </w:p>
        </w:tc>
        <w:tc>
          <w:tcPr>
            <w:tcW w:w="851" w:type="pct"/>
          </w:tcPr>
          <w:p w14:paraId="131349EC"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Fine-tuning gene expression</w:t>
            </w:r>
          </w:p>
        </w:tc>
        <w:tc>
          <w:tcPr>
            <w:tcW w:w="804" w:type="pct"/>
          </w:tcPr>
          <w:p w14:paraId="6607911D"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Immune evasion, metastasis, drug resistance</w:t>
            </w:r>
          </w:p>
        </w:tc>
        <w:tc>
          <w:tcPr>
            <w:tcW w:w="621" w:type="pct"/>
          </w:tcPr>
          <w:p w14:paraId="4B56F015" w14:textId="77777777" w:rsidR="0044746E" w:rsidRPr="0044746E" w:rsidRDefault="0044746E" w:rsidP="00A051A2">
            <w:pPr>
              <w:spacing w:line="276" w:lineRule="auto"/>
              <w:rPr>
                <w:rFonts w:ascii="Arial" w:hAnsi="Arial" w:cs="Arial"/>
              </w:rPr>
            </w:pPr>
            <w:r w:rsidRPr="0044746E">
              <w:rPr>
                <w:rFonts w:ascii="Arial" w:hAnsi="Arial" w:cs="Arial"/>
              </w:rPr>
              <w:t>(Dai et al., 2021; Sadida et al., 2023)</w:t>
            </w:r>
          </w:p>
        </w:tc>
      </w:tr>
    </w:tbl>
    <w:p w14:paraId="37EA0CDE" w14:textId="77777777" w:rsidR="0044746E" w:rsidRPr="0044746E" w:rsidRDefault="0044746E" w:rsidP="0044746E">
      <w:pPr>
        <w:spacing w:line="276" w:lineRule="auto"/>
        <w:jc w:val="both"/>
        <w:rPr>
          <w:rFonts w:ascii="Arial" w:hAnsi="Arial" w:cs="Arial"/>
        </w:rPr>
      </w:pPr>
    </w:p>
    <w:p w14:paraId="28FC75B2"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4. Epigenetic Modifiers in Cancer Progression</w:t>
      </w:r>
    </w:p>
    <w:p w14:paraId="783BE75B"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Cancer is fundamentally a disease of dysregulated gene expression driven by both genetic and epigenetic alterations. While genetic mutations initiate and shape tumor evolution, epigenetic reprogramming provides the plasticity required for malignant cells to adapt to microenvironmental stress, evade immune surveillance, and acquire resistance to therapy</w:t>
      </w:r>
      <w:r w:rsidRPr="0044746E">
        <w:rPr>
          <w:rFonts w:ascii="Arial" w:hAnsi="Arial" w:cs="Arial"/>
        </w:rPr>
        <w:t xml:space="preserve"> (Gu et al., 2024)</w:t>
      </w:r>
      <w:r w:rsidRPr="001862FE">
        <w:rPr>
          <w:rFonts w:ascii="Arial" w:hAnsi="Arial" w:cs="Arial"/>
          <w:sz w:val="24"/>
          <w:szCs w:val="24"/>
        </w:rPr>
        <w:t>. Unlike irreversible genetic lesions, epigenetic abnormalities are potentially reversible, positioning epigenetic modifiers as central targets in modern oncology.</w:t>
      </w:r>
    </w:p>
    <w:p w14:paraId="2D278904"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Aberrant epigenetic regulation is now recognized as a defining hallmark of cancer. One of the most prominent features is the widespread silencing of tumor suppressor genes through promoter hypermethylation. Genes involved in cell cycle control, DNA repair, apoptosis, and immune recognition are frequently repressed by DNA methylation and repressive histone marks, functionally mimicking loss-of-function mutations</w:t>
      </w:r>
      <w:r w:rsidRPr="0044746E">
        <w:rPr>
          <w:rFonts w:ascii="Arial" w:hAnsi="Arial" w:cs="Arial"/>
        </w:rPr>
        <w:t xml:space="preserve"> (Yang et al., 2023)</w:t>
      </w:r>
      <w:r w:rsidRPr="001862FE">
        <w:rPr>
          <w:rFonts w:ascii="Arial" w:hAnsi="Arial" w:cs="Arial"/>
          <w:sz w:val="24"/>
          <w:szCs w:val="24"/>
        </w:rPr>
        <w:t>.</w:t>
      </w:r>
      <w:r w:rsidRPr="0044746E">
        <w:rPr>
          <w:rFonts w:ascii="Arial" w:hAnsi="Arial" w:cs="Arial"/>
        </w:rPr>
        <w:t xml:space="preserve"> </w:t>
      </w:r>
      <w:r w:rsidRPr="001862FE">
        <w:rPr>
          <w:rFonts w:ascii="Arial" w:hAnsi="Arial" w:cs="Arial"/>
          <w:sz w:val="24"/>
          <w:szCs w:val="24"/>
        </w:rPr>
        <w:t xml:space="preserve">Concurrently, global DNA hypomethylation contributes to genomic instability, activation of oncogenes, and </w:t>
      </w:r>
      <w:proofErr w:type="spellStart"/>
      <w:r w:rsidRPr="001862FE">
        <w:rPr>
          <w:rFonts w:ascii="Arial" w:hAnsi="Arial" w:cs="Arial"/>
          <w:sz w:val="24"/>
          <w:szCs w:val="24"/>
        </w:rPr>
        <w:t>derepression</w:t>
      </w:r>
      <w:proofErr w:type="spellEnd"/>
      <w:r w:rsidRPr="001862FE">
        <w:rPr>
          <w:rFonts w:ascii="Arial" w:hAnsi="Arial" w:cs="Arial"/>
          <w:sz w:val="24"/>
          <w:szCs w:val="24"/>
        </w:rPr>
        <w:t xml:space="preserve"> of transposable elements. Altered histone modification landscapes further reinforce malignant transcriptional programs, with increased activity of repressive complexes such as </w:t>
      </w:r>
      <w:proofErr w:type="spellStart"/>
      <w:r w:rsidRPr="001862FE">
        <w:rPr>
          <w:rFonts w:ascii="Arial" w:hAnsi="Arial" w:cs="Arial"/>
          <w:sz w:val="24"/>
          <w:szCs w:val="24"/>
        </w:rPr>
        <w:t>Polycomb</w:t>
      </w:r>
      <w:proofErr w:type="spellEnd"/>
      <w:r w:rsidRPr="001862FE">
        <w:rPr>
          <w:rFonts w:ascii="Arial" w:hAnsi="Arial" w:cs="Arial"/>
          <w:sz w:val="24"/>
          <w:szCs w:val="24"/>
        </w:rPr>
        <w:t xml:space="preserve"> repressive complexes and dysregulated acetylation states that favor uncontrolled proliferation</w:t>
      </w:r>
      <w:r w:rsidRPr="0044746E">
        <w:rPr>
          <w:rFonts w:ascii="Arial" w:hAnsi="Arial" w:cs="Arial"/>
        </w:rPr>
        <w:t xml:space="preserve"> (</w:t>
      </w:r>
      <w:proofErr w:type="spellStart"/>
      <w:r w:rsidRPr="0044746E">
        <w:rPr>
          <w:rFonts w:ascii="Arial" w:hAnsi="Arial" w:cs="Arial"/>
        </w:rPr>
        <w:t>Rmazi</w:t>
      </w:r>
      <w:proofErr w:type="spellEnd"/>
      <w:r w:rsidRPr="0044746E">
        <w:rPr>
          <w:rFonts w:ascii="Arial" w:hAnsi="Arial" w:cs="Arial"/>
        </w:rPr>
        <w:t xml:space="preserve"> et al., 2020)</w:t>
      </w:r>
      <w:r w:rsidRPr="001862FE">
        <w:rPr>
          <w:rFonts w:ascii="Arial" w:hAnsi="Arial" w:cs="Arial"/>
          <w:sz w:val="24"/>
          <w:szCs w:val="24"/>
        </w:rPr>
        <w:t>.</w:t>
      </w:r>
    </w:p>
    <w:p w14:paraId="60C03B23"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lastRenderedPageBreak/>
        <w:t>Importantly, these epigenetic alterations do not occur in isolation. They interact with oncogenic signaling pathways and tumor microenvironmental cues, creating self-reinforcing transcriptional circuits that sustain malignancy even in the absence of continuous genetic change.</w:t>
      </w:r>
    </w:p>
    <w:p w14:paraId="49A9A201"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4.2 Cancer Stem Cell Plasticity and Drug Resistance</w:t>
      </w:r>
    </w:p>
    <w:p w14:paraId="0BB8D69C"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Epigenetic plasticity underlies the ability of cancer cells to transition between differentiated and stem-like states, a phenomenon that contributes to tumor heterogeneity, metastasis, and therapeutic failure. Cancer stem cells (CSCs) are characterized by distinct epigenetic signatures that maintain self-renewal capacity and resistance to cytotoxic stress</w:t>
      </w:r>
      <w:r w:rsidRPr="0044746E">
        <w:rPr>
          <w:rFonts w:ascii="Arial" w:hAnsi="Arial" w:cs="Arial"/>
        </w:rPr>
        <w:t xml:space="preserve"> (Bhat et al., 2024)</w:t>
      </w:r>
      <w:r w:rsidRPr="001862FE">
        <w:rPr>
          <w:rFonts w:ascii="Arial" w:hAnsi="Arial" w:cs="Arial"/>
          <w:sz w:val="24"/>
          <w:szCs w:val="24"/>
        </w:rPr>
        <w:t>.</w:t>
      </w:r>
    </w:p>
    <w:p w14:paraId="4D0DD4C5"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Histone modifications and chromatin remodeling play critical roles in regulating lineage commitment and cellular identity within tumors. Therapeutic pressure, such as chemotherapy or targeted therapy, can induce adaptive epigenetic reprogramming, enabling a subset of tumor cells to survive and repopulate the tumor. This reversible, non-genetic mechanism of resistance represents a major obstacle to durable clinical responses</w:t>
      </w:r>
      <w:r w:rsidRPr="0044746E">
        <w:rPr>
          <w:rFonts w:ascii="Arial" w:hAnsi="Arial" w:cs="Arial"/>
        </w:rPr>
        <w:t xml:space="preserve"> (Bae et al., 2025)</w:t>
      </w:r>
      <w:r w:rsidRPr="001862FE">
        <w:rPr>
          <w:rFonts w:ascii="Arial" w:hAnsi="Arial" w:cs="Arial"/>
          <w:sz w:val="24"/>
          <w:szCs w:val="24"/>
        </w:rPr>
        <w:t>.</w:t>
      </w:r>
    </w:p>
    <w:p w14:paraId="26A868F4"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Targeting epigenetic modifiers involved in maintaining CSC states has therefore emerged as a strategy to sensitize tumors to existing therapies and prevent relapse. By disrupting epigenetic programs that support plasticity, epigenetic drugs may limit the evolutionary capacity of cancer cells</w:t>
      </w:r>
      <w:r w:rsidRPr="0044746E">
        <w:rPr>
          <w:rFonts w:ascii="Arial" w:hAnsi="Arial" w:cs="Arial"/>
        </w:rPr>
        <w:t xml:space="preserve"> (Kumar et al., 2022)</w:t>
      </w:r>
      <w:r w:rsidRPr="001862FE">
        <w:rPr>
          <w:rFonts w:ascii="Arial" w:hAnsi="Arial" w:cs="Arial"/>
          <w:sz w:val="24"/>
          <w:szCs w:val="24"/>
        </w:rPr>
        <w:t>.</w:t>
      </w:r>
    </w:p>
    <w:p w14:paraId="25CF14E3"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4.</w:t>
      </w:r>
      <w:r w:rsidRPr="0044746E">
        <w:rPr>
          <w:rFonts w:ascii="Arial" w:hAnsi="Arial" w:cs="Arial"/>
          <w:b/>
          <w:bCs/>
        </w:rPr>
        <w:t>3</w:t>
      </w:r>
      <w:r w:rsidRPr="001862FE">
        <w:rPr>
          <w:rFonts w:ascii="Arial" w:hAnsi="Arial" w:cs="Arial"/>
          <w:b/>
          <w:bCs/>
          <w:sz w:val="24"/>
          <w:szCs w:val="24"/>
        </w:rPr>
        <w:t xml:space="preserve"> Epigenetic Therapies and Cancer Immunology</w:t>
      </w:r>
    </w:p>
    <w:p w14:paraId="1460FD71"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Epigenetic modifiers exert profound effects on tumor–immune interactions. Aberrant epigenetic silencing of antigen presentation machinery, cytokines, and chemokines enables tumors to evade immune detection. Epigenetic therapies can reverse these silenced states, enhancing tumor immunogenicity and restoring immune surveillance.</w:t>
      </w:r>
      <w:r w:rsidRPr="0044746E">
        <w:rPr>
          <w:rFonts w:ascii="Arial" w:hAnsi="Arial" w:cs="Arial"/>
        </w:rPr>
        <w:t xml:space="preserve"> </w:t>
      </w:r>
      <w:r w:rsidRPr="001862FE">
        <w:rPr>
          <w:rFonts w:ascii="Arial" w:hAnsi="Arial" w:cs="Arial"/>
          <w:sz w:val="24"/>
          <w:szCs w:val="24"/>
        </w:rPr>
        <w:t>HDAC and DNMT inhibitors have been shown to upregulate expression of tumor antigens and components of the antigen processing pathway, thereby increasing sensitivity to immune checkpoint blockade</w:t>
      </w:r>
      <w:r w:rsidRPr="0044746E">
        <w:rPr>
          <w:rFonts w:ascii="Arial" w:hAnsi="Arial" w:cs="Arial"/>
        </w:rPr>
        <w:t xml:space="preserve"> (Wang et al., 2024)</w:t>
      </w:r>
      <w:r w:rsidRPr="001862FE">
        <w:rPr>
          <w:rFonts w:ascii="Arial" w:hAnsi="Arial" w:cs="Arial"/>
          <w:sz w:val="24"/>
          <w:szCs w:val="24"/>
        </w:rPr>
        <w:t>. Similarly, epigenetic modulation of immune cells within the tumor microenvironment can shift the balance from immunosuppressive to immunostimulatory states</w:t>
      </w:r>
      <w:r w:rsidRPr="0044746E">
        <w:rPr>
          <w:rFonts w:ascii="Arial" w:hAnsi="Arial" w:cs="Arial"/>
        </w:rPr>
        <w:t xml:space="preserve"> (Sun et al., 2021)</w:t>
      </w:r>
      <w:r w:rsidRPr="001862FE">
        <w:rPr>
          <w:rFonts w:ascii="Arial" w:hAnsi="Arial" w:cs="Arial"/>
          <w:sz w:val="24"/>
          <w:szCs w:val="24"/>
        </w:rPr>
        <w:t>.</w:t>
      </w:r>
      <w:r w:rsidRPr="0044746E">
        <w:rPr>
          <w:rFonts w:ascii="Arial" w:hAnsi="Arial" w:cs="Arial"/>
        </w:rPr>
        <w:t xml:space="preserve"> </w:t>
      </w:r>
      <w:r w:rsidRPr="001862FE">
        <w:rPr>
          <w:rFonts w:ascii="Arial" w:hAnsi="Arial" w:cs="Arial"/>
          <w:sz w:val="24"/>
          <w:szCs w:val="24"/>
        </w:rPr>
        <w:t>These findings have catalyzed significant interest in combining epigenetic drugs with immunotherapies. By priming both tumor cells and immune compartments, epigenetic therapies may overcome primary and acquired resistance to immune-based treatments, extending their benefit to a broader patient population.</w:t>
      </w:r>
    </w:p>
    <w:p w14:paraId="67E79BA2" w14:textId="77777777" w:rsidR="0044746E" w:rsidRPr="0044746E" w:rsidRDefault="0044746E" w:rsidP="0044746E">
      <w:pPr>
        <w:spacing w:line="276" w:lineRule="auto"/>
        <w:jc w:val="both"/>
        <w:rPr>
          <w:rFonts w:ascii="Arial" w:hAnsi="Arial" w:cs="Arial"/>
          <w:b/>
          <w:bCs/>
        </w:rPr>
      </w:pPr>
      <w:r w:rsidRPr="001862FE">
        <w:rPr>
          <w:rFonts w:ascii="Arial" w:hAnsi="Arial" w:cs="Arial"/>
          <w:b/>
          <w:bCs/>
          <w:sz w:val="24"/>
          <w:szCs w:val="24"/>
        </w:rPr>
        <w:t xml:space="preserve">Table </w:t>
      </w:r>
      <w:r w:rsidRPr="0044746E">
        <w:rPr>
          <w:rFonts w:ascii="Arial" w:hAnsi="Arial" w:cs="Arial"/>
          <w:b/>
          <w:bCs/>
        </w:rPr>
        <w:t>3</w:t>
      </w:r>
      <w:r w:rsidRPr="001862FE">
        <w:rPr>
          <w:rFonts w:ascii="Arial" w:hAnsi="Arial" w:cs="Arial"/>
          <w:b/>
          <w:bCs/>
          <w:sz w:val="24"/>
          <w:szCs w:val="24"/>
        </w:rPr>
        <w:t>. Epigenetic Drugs: Oncology vs. Infectious Disease Applications</w:t>
      </w:r>
    </w:p>
    <w:tbl>
      <w:tblPr>
        <w:tblStyle w:val="TableGrid"/>
        <w:tblW w:w="5000" w:type="pct"/>
        <w:tblLook w:val="04A0" w:firstRow="1" w:lastRow="0" w:firstColumn="1" w:lastColumn="0" w:noHBand="0" w:noVBand="1"/>
      </w:tblPr>
      <w:tblGrid>
        <w:gridCol w:w="1821"/>
        <w:gridCol w:w="2204"/>
        <w:gridCol w:w="2298"/>
        <w:gridCol w:w="2490"/>
        <w:gridCol w:w="2203"/>
      </w:tblGrid>
      <w:tr w:rsidR="0044746E" w:rsidRPr="0044746E" w14:paraId="625DB9A3" w14:textId="77777777" w:rsidTr="00CA0921">
        <w:tc>
          <w:tcPr>
            <w:tcW w:w="826" w:type="pct"/>
          </w:tcPr>
          <w:p w14:paraId="3B4A8FE9"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Drug Class</w:t>
            </w:r>
          </w:p>
        </w:tc>
        <w:tc>
          <w:tcPr>
            <w:tcW w:w="1000" w:type="pct"/>
          </w:tcPr>
          <w:p w14:paraId="367FB35D"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Representative Agents</w:t>
            </w:r>
          </w:p>
        </w:tc>
        <w:tc>
          <w:tcPr>
            <w:tcW w:w="1043" w:type="pct"/>
          </w:tcPr>
          <w:p w14:paraId="5C10C8D5"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Approved Oncology Use</w:t>
            </w:r>
          </w:p>
        </w:tc>
        <w:tc>
          <w:tcPr>
            <w:tcW w:w="1130" w:type="pct"/>
          </w:tcPr>
          <w:p w14:paraId="0AF56940"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Investigated Infectious Disease Use</w:t>
            </w:r>
          </w:p>
        </w:tc>
        <w:tc>
          <w:tcPr>
            <w:tcW w:w="1000" w:type="pct"/>
          </w:tcPr>
          <w:p w14:paraId="03D375E0"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References</w:t>
            </w:r>
          </w:p>
        </w:tc>
      </w:tr>
      <w:tr w:rsidR="0044746E" w:rsidRPr="0044746E" w14:paraId="0A0E8B41" w14:textId="77777777" w:rsidTr="00CA0921">
        <w:tc>
          <w:tcPr>
            <w:tcW w:w="826" w:type="pct"/>
          </w:tcPr>
          <w:p w14:paraId="40A782F3" w14:textId="77777777" w:rsidR="0044746E" w:rsidRPr="0044746E" w:rsidRDefault="0044746E" w:rsidP="00A051A2">
            <w:pPr>
              <w:spacing w:line="276" w:lineRule="auto"/>
              <w:jc w:val="both"/>
              <w:rPr>
                <w:rFonts w:ascii="Arial" w:hAnsi="Arial" w:cs="Arial"/>
                <w:b/>
                <w:bCs/>
              </w:rPr>
            </w:pPr>
            <w:r w:rsidRPr="0044746E">
              <w:rPr>
                <w:rFonts w:ascii="Arial" w:hAnsi="Arial" w:cs="Arial"/>
              </w:rPr>
              <w:t>DNMT inhibitors</w:t>
            </w:r>
          </w:p>
        </w:tc>
        <w:tc>
          <w:tcPr>
            <w:tcW w:w="1000" w:type="pct"/>
          </w:tcPr>
          <w:p w14:paraId="75576ADB" w14:textId="77777777" w:rsidR="0044746E" w:rsidRPr="0044746E" w:rsidRDefault="0044746E" w:rsidP="00A051A2">
            <w:pPr>
              <w:spacing w:line="276" w:lineRule="auto"/>
              <w:jc w:val="both"/>
              <w:rPr>
                <w:rFonts w:ascii="Arial" w:hAnsi="Arial" w:cs="Arial"/>
                <w:b/>
                <w:bCs/>
              </w:rPr>
            </w:pPr>
            <w:r w:rsidRPr="0044746E">
              <w:rPr>
                <w:rFonts w:ascii="Arial" w:hAnsi="Arial" w:cs="Arial"/>
              </w:rPr>
              <w:t>Azacitidine, Decitabine</w:t>
            </w:r>
          </w:p>
        </w:tc>
        <w:tc>
          <w:tcPr>
            <w:tcW w:w="1043" w:type="pct"/>
          </w:tcPr>
          <w:p w14:paraId="35AB57CF" w14:textId="77777777" w:rsidR="0044746E" w:rsidRPr="0044746E" w:rsidRDefault="0044746E" w:rsidP="00A051A2">
            <w:pPr>
              <w:spacing w:line="276" w:lineRule="auto"/>
              <w:jc w:val="both"/>
              <w:rPr>
                <w:rFonts w:ascii="Arial" w:hAnsi="Arial" w:cs="Arial"/>
                <w:b/>
                <w:bCs/>
              </w:rPr>
            </w:pPr>
            <w:r w:rsidRPr="0044746E">
              <w:rPr>
                <w:rFonts w:ascii="Arial" w:hAnsi="Arial" w:cs="Arial"/>
              </w:rPr>
              <w:t>MDS, AML</w:t>
            </w:r>
          </w:p>
        </w:tc>
        <w:tc>
          <w:tcPr>
            <w:tcW w:w="1130" w:type="pct"/>
          </w:tcPr>
          <w:p w14:paraId="09546A9B" w14:textId="77777777" w:rsidR="0044746E" w:rsidRPr="0044746E" w:rsidRDefault="0044746E" w:rsidP="00A051A2">
            <w:pPr>
              <w:spacing w:line="276" w:lineRule="auto"/>
              <w:jc w:val="both"/>
              <w:rPr>
                <w:rFonts w:ascii="Arial" w:hAnsi="Arial" w:cs="Arial"/>
                <w:b/>
                <w:bCs/>
              </w:rPr>
            </w:pPr>
            <w:r w:rsidRPr="0044746E">
              <w:rPr>
                <w:rFonts w:ascii="Arial" w:hAnsi="Arial" w:cs="Arial"/>
              </w:rPr>
              <w:t>Viral latency reversal</w:t>
            </w:r>
          </w:p>
        </w:tc>
        <w:tc>
          <w:tcPr>
            <w:tcW w:w="1000" w:type="pct"/>
          </w:tcPr>
          <w:p w14:paraId="068A7DF3" w14:textId="77777777" w:rsidR="0044746E" w:rsidRPr="0044746E" w:rsidRDefault="0044746E" w:rsidP="00A051A2">
            <w:pPr>
              <w:spacing w:line="276" w:lineRule="auto"/>
              <w:jc w:val="both"/>
              <w:rPr>
                <w:rFonts w:ascii="Arial" w:hAnsi="Arial" w:cs="Arial"/>
              </w:rPr>
            </w:pPr>
            <w:r w:rsidRPr="0044746E">
              <w:rPr>
                <w:rFonts w:ascii="Arial" w:hAnsi="Arial" w:cs="Arial"/>
              </w:rPr>
              <w:t>(Ramos et al., 2020; Wang et al., 2024)</w:t>
            </w:r>
          </w:p>
        </w:tc>
      </w:tr>
      <w:tr w:rsidR="0044746E" w:rsidRPr="0044746E" w14:paraId="1F295A91" w14:textId="77777777" w:rsidTr="00CA0921">
        <w:tc>
          <w:tcPr>
            <w:tcW w:w="826" w:type="pct"/>
          </w:tcPr>
          <w:p w14:paraId="6B00E406" w14:textId="77777777" w:rsidR="0044746E" w:rsidRPr="0044746E" w:rsidRDefault="0044746E" w:rsidP="00A051A2">
            <w:pPr>
              <w:spacing w:line="276" w:lineRule="auto"/>
              <w:jc w:val="both"/>
              <w:rPr>
                <w:rFonts w:ascii="Arial" w:hAnsi="Arial" w:cs="Arial"/>
                <w:b/>
                <w:bCs/>
              </w:rPr>
            </w:pPr>
            <w:r w:rsidRPr="0044746E">
              <w:rPr>
                <w:rFonts w:ascii="Arial" w:hAnsi="Arial" w:cs="Arial"/>
              </w:rPr>
              <w:t>HDAC inhibitors</w:t>
            </w:r>
          </w:p>
        </w:tc>
        <w:tc>
          <w:tcPr>
            <w:tcW w:w="1000" w:type="pct"/>
          </w:tcPr>
          <w:p w14:paraId="1C38A8DA" w14:textId="77777777" w:rsidR="0044746E" w:rsidRPr="0044746E" w:rsidRDefault="0044746E" w:rsidP="00A051A2">
            <w:pPr>
              <w:spacing w:line="276" w:lineRule="auto"/>
              <w:jc w:val="both"/>
              <w:rPr>
                <w:rFonts w:ascii="Arial" w:hAnsi="Arial" w:cs="Arial"/>
                <w:b/>
                <w:bCs/>
              </w:rPr>
            </w:pPr>
            <w:proofErr w:type="spellStart"/>
            <w:r w:rsidRPr="0044746E">
              <w:rPr>
                <w:rFonts w:ascii="Arial" w:hAnsi="Arial" w:cs="Arial"/>
              </w:rPr>
              <w:t>Vorinostat</w:t>
            </w:r>
            <w:proofErr w:type="spellEnd"/>
            <w:r w:rsidRPr="0044746E">
              <w:rPr>
                <w:rFonts w:ascii="Arial" w:hAnsi="Arial" w:cs="Arial"/>
              </w:rPr>
              <w:t xml:space="preserve">, </w:t>
            </w:r>
            <w:proofErr w:type="spellStart"/>
            <w:r w:rsidRPr="0044746E">
              <w:rPr>
                <w:rFonts w:ascii="Arial" w:hAnsi="Arial" w:cs="Arial"/>
              </w:rPr>
              <w:t>Romidepsin</w:t>
            </w:r>
            <w:proofErr w:type="spellEnd"/>
          </w:p>
        </w:tc>
        <w:tc>
          <w:tcPr>
            <w:tcW w:w="1043" w:type="pct"/>
          </w:tcPr>
          <w:p w14:paraId="44B2719C" w14:textId="77777777" w:rsidR="0044746E" w:rsidRPr="0044746E" w:rsidRDefault="0044746E" w:rsidP="00A051A2">
            <w:pPr>
              <w:spacing w:line="276" w:lineRule="auto"/>
              <w:jc w:val="both"/>
              <w:rPr>
                <w:rFonts w:ascii="Arial" w:hAnsi="Arial" w:cs="Arial"/>
                <w:b/>
                <w:bCs/>
              </w:rPr>
            </w:pPr>
            <w:r w:rsidRPr="0044746E">
              <w:rPr>
                <w:rFonts w:ascii="Arial" w:hAnsi="Arial" w:cs="Arial"/>
              </w:rPr>
              <w:t>Lymphomas</w:t>
            </w:r>
          </w:p>
        </w:tc>
        <w:tc>
          <w:tcPr>
            <w:tcW w:w="1130" w:type="pct"/>
          </w:tcPr>
          <w:p w14:paraId="0CBD5347" w14:textId="77777777" w:rsidR="0044746E" w:rsidRPr="0044746E" w:rsidRDefault="0044746E" w:rsidP="00A051A2">
            <w:pPr>
              <w:spacing w:line="276" w:lineRule="auto"/>
              <w:jc w:val="both"/>
              <w:rPr>
                <w:rFonts w:ascii="Arial" w:hAnsi="Arial" w:cs="Arial"/>
                <w:b/>
                <w:bCs/>
              </w:rPr>
            </w:pPr>
            <w:r w:rsidRPr="0044746E">
              <w:rPr>
                <w:rFonts w:ascii="Arial" w:hAnsi="Arial" w:cs="Arial"/>
              </w:rPr>
              <w:t>HIV “shock-and-kill” strategies</w:t>
            </w:r>
          </w:p>
        </w:tc>
        <w:tc>
          <w:tcPr>
            <w:tcW w:w="1000" w:type="pct"/>
          </w:tcPr>
          <w:p w14:paraId="563089F5" w14:textId="77777777" w:rsidR="0044746E" w:rsidRPr="0044746E" w:rsidRDefault="0044746E" w:rsidP="00A051A2">
            <w:pPr>
              <w:spacing w:line="276" w:lineRule="auto"/>
              <w:jc w:val="both"/>
              <w:rPr>
                <w:rFonts w:ascii="Arial" w:hAnsi="Arial" w:cs="Arial"/>
              </w:rPr>
            </w:pPr>
            <w:r w:rsidRPr="0044746E">
              <w:rPr>
                <w:rFonts w:ascii="Arial" w:hAnsi="Arial" w:cs="Arial"/>
              </w:rPr>
              <w:t xml:space="preserve">(Ramos et al., 2020; </w:t>
            </w:r>
            <w:proofErr w:type="spellStart"/>
            <w:r w:rsidRPr="0044746E">
              <w:rPr>
                <w:rFonts w:ascii="Arial" w:hAnsi="Arial" w:cs="Arial"/>
              </w:rPr>
              <w:t>Convino</w:t>
            </w:r>
            <w:proofErr w:type="spellEnd"/>
            <w:r w:rsidRPr="0044746E">
              <w:rPr>
                <w:rFonts w:ascii="Arial" w:hAnsi="Arial" w:cs="Arial"/>
              </w:rPr>
              <w:t xml:space="preserve"> et al., 2021)</w:t>
            </w:r>
          </w:p>
        </w:tc>
      </w:tr>
      <w:tr w:rsidR="0044746E" w:rsidRPr="0044746E" w14:paraId="4FF4F3D0" w14:textId="77777777" w:rsidTr="00CA0921">
        <w:tc>
          <w:tcPr>
            <w:tcW w:w="826" w:type="pct"/>
          </w:tcPr>
          <w:p w14:paraId="108428FF" w14:textId="77777777" w:rsidR="0044746E" w:rsidRPr="0044746E" w:rsidRDefault="0044746E" w:rsidP="00A051A2">
            <w:pPr>
              <w:spacing w:line="276" w:lineRule="auto"/>
              <w:jc w:val="both"/>
              <w:rPr>
                <w:rFonts w:ascii="Arial" w:hAnsi="Arial" w:cs="Arial"/>
                <w:b/>
                <w:bCs/>
              </w:rPr>
            </w:pPr>
            <w:r w:rsidRPr="0044746E">
              <w:rPr>
                <w:rFonts w:ascii="Arial" w:hAnsi="Arial" w:cs="Arial"/>
              </w:rPr>
              <w:t>BET inhibitors</w:t>
            </w:r>
          </w:p>
        </w:tc>
        <w:tc>
          <w:tcPr>
            <w:tcW w:w="1000" w:type="pct"/>
          </w:tcPr>
          <w:p w14:paraId="39257A95" w14:textId="77777777" w:rsidR="0044746E" w:rsidRPr="0044746E" w:rsidRDefault="0044746E" w:rsidP="00A051A2">
            <w:pPr>
              <w:spacing w:line="276" w:lineRule="auto"/>
              <w:jc w:val="both"/>
              <w:rPr>
                <w:rFonts w:ascii="Arial" w:hAnsi="Arial" w:cs="Arial"/>
                <w:b/>
                <w:bCs/>
              </w:rPr>
            </w:pPr>
            <w:r w:rsidRPr="0044746E">
              <w:rPr>
                <w:rFonts w:ascii="Arial" w:hAnsi="Arial" w:cs="Arial"/>
              </w:rPr>
              <w:t>JQ1 (experimental)</w:t>
            </w:r>
          </w:p>
        </w:tc>
        <w:tc>
          <w:tcPr>
            <w:tcW w:w="1043" w:type="pct"/>
          </w:tcPr>
          <w:p w14:paraId="6DDC6597" w14:textId="77777777" w:rsidR="0044746E" w:rsidRPr="0044746E" w:rsidRDefault="0044746E" w:rsidP="00A051A2">
            <w:pPr>
              <w:spacing w:line="276" w:lineRule="auto"/>
              <w:jc w:val="both"/>
              <w:rPr>
                <w:rFonts w:ascii="Arial" w:hAnsi="Arial" w:cs="Arial"/>
                <w:b/>
                <w:bCs/>
              </w:rPr>
            </w:pPr>
            <w:r w:rsidRPr="0044746E">
              <w:rPr>
                <w:rFonts w:ascii="Arial" w:hAnsi="Arial" w:cs="Arial"/>
              </w:rPr>
              <w:t>Solid and hematologic tumors</w:t>
            </w:r>
          </w:p>
        </w:tc>
        <w:tc>
          <w:tcPr>
            <w:tcW w:w="1130" w:type="pct"/>
          </w:tcPr>
          <w:p w14:paraId="3B324C4A" w14:textId="77777777" w:rsidR="0044746E" w:rsidRPr="0044746E" w:rsidRDefault="0044746E" w:rsidP="00A051A2">
            <w:pPr>
              <w:spacing w:line="276" w:lineRule="auto"/>
              <w:jc w:val="both"/>
              <w:rPr>
                <w:rFonts w:ascii="Arial" w:hAnsi="Arial" w:cs="Arial"/>
                <w:b/>
                <w:bCs/>
              </w:rPr>
            </w:pPr>
            <w:r w:rsidRPr="0044746E">
              <w:rPr>
                <w:rFonts w:ascii="Arial" w:hAnsi="Arial" w:cs="Arial"/>
              </w:rPr>
              <w:t>Anti-inflammatory, antiviral</w:t>
            </w:r>
          </w:p>
        </w:tc>
        <w:tc>
          <w:tcPr>
            <w:tcW w:w="1000" w:type="pct"/>
          </w:tcPr>
          <w:p w14:paraId="13A5853B" w14:textId="77777777" w:rsidR="0044746E" w:rsidRPr="0044746E" w:rsidRDefault="0044746E" w:rsidP="00A051A2">
            <w:pPr>
              <w:spacing w:line="276" w:lineRule="auto"/>
              <w:jc w:val="both"/>
              <w:rPr>
                <w:rFonts w:ascii="Arial" w:hAnsi="Arial" w:cs="Arial"/>
              </w:rPr>
            </w:pPr>
            <w:r w:rsidRPr="0044746E">
              <w:rPr>
                <w:rFonts w:ascii="Arial" w:hAnsi="Arial" w:cs="Arial"/>
              </w:rPr>
              <w:t>(Sun et al., 2021; Sauvage et al., 2022)</w:t>
            </w:r>
          </w:p>
        </w:tc>
      </w:tr>
      <w:tr w:rsidR="0044746E" w:rsidRPr="0044746E" w14:paraId="76C61FA6" w14:textId="77777777" w:rsidTr="00CA0921">
        <w:tc>
          <w:tcPr>
            <w:tcW w:w="826" w:type="pct"/>
          </w:tcPr>
          <w:p w14:paraId="033A4211" w14:textId="77777777" w:rsidR="0044746E" w:rsidRPr="0044746E" w:rsidRDefault="0044746E" w:rsidP="00A051A2">
            <w:pPr>
              <w:spacing w:line="276" w:lineRule="auto"/>
              <w:jc w:val="both"/>
              <w:rPr>
                <w:rFonts w:ascii="Arial" w:hAnsi="Arial" w:cs="Arial"/>
                <w:b/>
                <w:bCs/>
              </w:rPr>
            </w:pPr>
            <w:r w:rsidRPr="0044746E">
              <w:rPr>
                <w:rFonts w:ascii="Arial" w:hAnsi="Arial" w:cs="Arial"/>
              </w:rPr>
              <w:t>HMT inhibitors</w:t>
            </w:r>
          </w:p>
        </w:tc>
        <w:tc>
          <w:tcPr>
            <w:tcW w:w="1000" w:type="pct"/>
          </w:tcPr>
          <w:p w14:paraId="6D052EEF" w14:textId="77777777" w:rsidR="0044746E" w:rsidRPr="0044746E" w:rsidRDefault="0044746E" w:rsidP="00A051A2">
            <w:pPr>
              <w:spacing w:line="276" w:lineRule="auto"/>
              <w:jc w:val="both"/>
              <w:rPr>
                <w:rFonts w:ascii="Arial" w:hAnsi="Arial" w:cs="Arial"/>
                <w:b/>
                <w:bCs/>
              </w:rPr>
            </w:pPr>
            <w:r w:rsidRPr="0044746E">
              <w:rPr>
                <w:rFonts w:ascii="Arial" w:hAnsi="Arial" w:cs="Arial"/>
              </w:rPr>
              <w:t>EZH2 inhibitors</w:t>
            </w:r>
          </w:p>
        </w:tc>
        <w:tc>
          <w:tcPr>
            <w:tcW w:w="1043" w:type="pct"/>
          </w:tcPr>
          <w:p w14:paraId="7AE67FD5" w14:textId="77777777" w:rsidR="0044746E" w:rsidRPr="0044746E" w:rsidRDefault="0044746E" w:rsidP="00A051A2">
            <w:pPr>
              <w:spacing w:line="276" w:lineRule="auto"/>
              <w:jc w:val="both"/>
              <w:rPr>
                <w:rFonts w:ascii="Arial" w:hAnsi="Arial" w:cs="Arial"/>
                <w:b/>
                <w:bCs/>
              </w:rPr>
            </w:pPr>
            <w:r w:rsidRPr="0044746E">
              <w:rPr>
                <w:rFonts w:ascii="Arial" w:hAnsi="Arial" w:cs="Arial"/>
              </w:rPr>
              <w:t>Lymphoma</w:t>
            </w:r>
          </w:p>
        </w:tc>
        <w:tc>
          <w:tcPr>
            <w:tcW w:w="1130" w:type="pct"/>
          </w:tcPr>
          <w:p w14:paraId="77C30CA1" w14:textId="77777777" w:rsidR="0044746E" w:rsidRPr="0044746E" w:rsidRDefault="0044746E" w:rsidP="00A051A2">
            <w:pPr>
              <w:spacing w:line="276" w:lineRule="auto"/>
              <w:jc w:val="both"/>
              <w:rPr>
                <w:rFonts w:ascii="Arial" w:hAnsi="Arial" w:cs="Arial"/>
                <w:b/>
                <w:bCs/>
              </w:rPr>
            </w:pPr>
            <w:r w:rsidRPr="0044746E">
              <w:rPr>
                <w:rFonts w:ascii="Arial" w:hAnsi="Arial" w:cs="Arial"/>
              </w:rPr>
              <w:t>Limited exploration</w:t>
            </w:r>
          </w:p>
        </w:tc>
        <w:tc>
          <w:tcPr>
            <w:tcW w:w="1000" w:type="pct"/>
          </w:tcPr>
          <w:p w14:paraId="10C87F3E" w14:textId="77777777" w:rsidR="0044746E" w:rsidRPr="0044746E" w:rsidRDefault="0044746E" w:rsidP="00A051A2">
            <w:pPr>
              <w:spacing w:line="276" w:lineRule="auto"/>
              <w:jc w:val="both"/>
              <w:rPr>
                <w:rFonts w:ascii="Arial" w:hAnsi="Arial" w:cs="Arial"/>
              </w:rPr>
            </w:pPr>
            <w:r w:rsidRPr="0044746E">
              <w:rPr>
                <w:rFonts w:ascii="Arial" w:hAnsi="Arial" w:cs="Arial"/>
              </w:rPr>
              <w:t>(</w:t>
            </w:r>
            <w:proofErr w:type="spellStart"/>
            <w:r w:rsidRPr="0044746E">
              <w:rPr>
                <w:rFonts w:ascii="Arial" w:hAnsi="Arial" w:cs="Arial"/>
              </w:rPr>
              <w:t>Convino</w:t>
            </w:r>
            <w:proofErr w:type="spellEnd"/>
            <w:r w:rsidRPr="0044746E">
              <w:rPr>
                <w:rFonts w:ascii="Arial" w:hAnsi="Arial" w:cs="Arial"/>
              </w:rPr>
              <w:t xml:space="preserve"> et al., </w:t>
            </w:r>
            <w:r w:rsidRPr="0044746E">
              <w:rPr>
                <w:rFonts w:ascii="Arial" w:hAnsi="Arial" w:cs="Arial"/>
              </w:rPr>
              <w:lastRenderedPageBreak/>
              <w:t>2021)</w:t>
            </w:r>
          </w:p>
        </w:tc>
      </w:tr>
    </w:tbl>
    <w:p w14:paraId="29B91100" w14:textId="77777777" w:rsidR="0044746E" w:rsidRPr="001862FE" w:rsidRDefault="0044746E" w:rsidP="0044746E">
      <w:pPr>
        <w:spacing w:after="160" w:line="276" w:lineRule="auto"/>
        <w:jc w:val="both"/>
        <w:rPr>
          <w:rFonts w:ascii="Arial" w:hAnsi="Arial" w:cs="Arial"/>
          <w:sz w:val="24"/>
          <w:szCs w:val="24"/>
        </w:rPr>
      </w:pPr>
    </w:p>
    <w:p w14:paraId="3BCE03D8"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5. Translational and Therapeutic Perspectives</w:t>
      </w:r>
    </w:p>
    <w:p w14:paraId="69763CF3"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One of the most promising translational opportunities lies in the repurposing of epigenetic drugs initially developed for oncology to treat infectious diseases. DNMT and HDAC inhibitors, which restore expression of silenced tumor suppressor genes in cancer, can similarly reactivate immune and antiviral genes suppressed during chronic infection. This conceptual overlap has been most extensively explored in HIV, where epigenetic drugs are used to reverse viral latency and expose infected cells to immune clearance</w:t>
      </w:r>
      <w:r w:rsidRPr="0044746E">
        <w:rPr>
          <w:rFonts w:ascii="Arial" w:hAnsi="Arial" w:cs="Arial"/>
        </w:rPr>
        <w:t xml:space="preserve"> (</w:t>
      </w:r>
      <w:proofErr w:type="spellStart"/>
      <w:r w:rsidRPr="0044746E">
        <w:rPr>
          <w:rFonts w:ascii="Arial" w:hAnsi="Arial" w:cs="Arial"/>
        </w:rPr>
        <w:t>Convino</w:t>
      </w:r>
      <w:proofErr w:type="spellEnd"/>
      <w:r w:rsidRPr="0044746E">
        <w:rPr>
          <w:rFonts w:ascii="Arial" w:hAnsi="Arial" w:cs="Arial"/>
        </w:rPr>
        <w:t xml:space="preserve"> et al., 2021)</w:t>
      </w:r>
      <w:r w:rsidRPr="001862FE">
        <w:rPr>
          <w:rFonts w:ascii="Arial" w:hAnsi="Arial" w:cs="Arial"/>
          <w:sz w:val="24"/>
          <w:szCs w:val="24"/>
        </w:rPr>
        <w:t>.</w:t>
      </w:r>
    </w:p>
    <w:p w14:paraId="780D1B0E"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Beyond viral infections, host-directed epigenetic therapies offer a strategy to enhance antimicrobial immunity without directly targeting the pathogen, thereby reducing selective pressure for resistance</w:t>
      </w:r>
      <w:r w:rsidRPr="0044746E">
        <w:rPr>
          <w:rFonts w:ascii="Arial" w:hAnsi="Arial" w:cs="Arial"/>
        </w:rPr>
        <w:t xml:space="preserve"> (Peterson et al., 2023)</w:t>
      </w:r>
      <w:r w:rsidRPr="001862FE">
        <w:rPr>
          <w:rFonts w:ascii="Arial" w:hAnsi="Arial" w:cs="Arial"/>
          <w:sz w:val="24"/>
          <w:szCs w:val="24"/>
        </w:rPr>
        <w:t>. In tuberculosis and other chronic infections, modulating host epigenetic states may improve pathogen clearance, limit immunopathology, and enhance the efficacy of existing antimicrobial regimens. Conversely, insights from infectious disease biology</w:t>
      </w:r>
      <w:r w:rsidRPr="0044746E">
        <w:rPr>
          <w:rFonts w:ascii="Arial" w:hAnsi="Arial" w:cs="Arial"/>
        </w:rPr>
        <w:t xml:space="preserve"> </w:t>
      </w:r>
      <w:r w:rsidRPr="001862FE">
        <w:rPr>
          <w:rFonts w:ascii="Arial" w:hAnsi="Arial" w:cs="Arial"/>
          <w:sz w:val="24"/>
          <w:szCs w:val="24"/>
        </w:rPr>
        <w:t>particularly regarding immune tolerance and trained immunity</w:t>
      </w:r>
      <w:r w:rsidRPr="0044746E">
        <w:rPr>
          <w:rFonts w:ascii="Arial" w:hAnsi="Arial" w:cs="Arial"/>
        </w:rPr>
        <w:t xml:space="preserve"> </w:t>
      </w:r>
      <w:r w:rsidRPr="001862FE">
        <w:rPr>
          <w:rFonts w:ascii="Arial" w:hAnsi="Arial" w:cs="Arial"/>
          <w:sz w:val="24"/>
          <w:szCs w:val="24"/>
        </w:rPr>
        <w:t>can inform oncological strategies aimed at reshaping tumor–immune interactions.</w:t>
      </w:r>
    </w:p>
    <w:p w14:paraId="29D3CDB1"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Epigenetic drugs rarely achieve durable clinical responses as monotherapies, reflecting the complexity and redundancy of transcriptional regulatory networks. As a result, combination strategies have emerged as a central translational theme. In oncology, epigenetic modifiers are increasingly combined with chemotherapy, targeted therapy, or immune checkpoint inhibitors to sensitize tumors, overcome resistance, and enhance immune recognition</w:t>
      </w:r>
      <w:r w:rsidRPr="0044746E">
        <w:rPr>
          <w:rFonts w:ascii="Arial" w:hAnsi="Arial" w:cs="Arial"/>
        </w:rPr>
        <w:t xml:space="preserve"> (Dai et al., 2021; Sadida et al., 2023)</w:t>
      </w:r>
      <w:r w:rsidRPr="001862FE">
        <w:rPr>
          <w:rFonts w:ascii="Arial" w:hAnsi="Arial" w:cs="Arial"/>
          <w:sz w:val="24"/>
          <w:szCs w:val="24"/>
        </w:rPr>
        <w:t>.</w:t>
      </w:r>
    </w:p>
    <w:p w14:paraId="3D86BE77"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Similar principles apply in infectious diseases, where epigenetic therapies may be used to prime host immune responses or disrupt pathogen-induced tolerance before administration of conventional antimicrobials. Strategic timing and sequencing of these combinations are critical, as epigenetic reprogramming can alter cellular responsiveness in both beneficial and detrimental ways</w:t>
      </w:r>
      <w:r w:rsidRPr="0044746E">
        <w:rPr>
          <w:rFonts w:ascii="Arial" w:hAnsi="Arial" w:cs="Arial"/>
        </w:rPr>
        <w:t xml:space="preserve"> (Sauvage et al., 2022)</w:t>
      </w:r>
      <w:r w:rsidRPr="001862FE">
        <w:rPr>
          <w:rFonts w:ascii="Arial" w:hAnsi="Arial" w:cs="Arial"/>
          <w:sz w:val="24"/>
          <w:szCs w:val="24"/>
        </w:rPr>
        <w:t>.</w:t>
      </w:r>
    </w:p>
    <w:p w14:paraId="7545B9C9" w14:textId="77777777" w:rsidR="0044746E" w:rsidRPr="0044746E" w:rsidRDefault="0044746E" w:rsidP="0044746E">
      <w:pPr>
        <w:spacing w:line="276" w:lineRule="auto"/>
        <w:jc w:val="both"/>
        <w:rPr>
          <w:rFonts w:ascii="Arial" w:hAnsi="Arial" w:cs="Arial"/>
          <w:b/>
          <w:bCs/>
        </w:rPr>
      </w:pPr>
      <w:r w:rsidRPr="0044746E">
        <w:rPr>
          <w:rFonts w:ascii="Arial" w:hAnsi="Arial" w:cs="Arial"/>
          <w:b/>
          <w:bCs/>
        </w:rPr>
        <w:t>Conclusion</w:t>
      </w:r>
    </w:p>
    <w:p w14:paraId="0EF55D11" w14:textId="77777777" w:rsidR="0044746E" w:rsidRPr="0044746E" w:rsidRDefault="0044746E" w:rsidP="0044746E">
      <w:pPr>
        <w:spacing w:line="276" w:lineRule="auto"/>
        <w:jc w:val="both"/>
        <w:rPr>
          <w:rFonts w:ascii="Arial" w:hAnsi="Arial" w:cs="Arial"/>
        </w:rPr>
      </w:pPr>
      <w:r w:rsidRPr="0044746E">
        <w:rPr>
          <w:rFonts w:ascii="Arial" w:hAnsi="Arial" w:cs="Arial"/>
        </w:rPr>
        <w:t>Epigenetic modifiers have emerged as central regulators of gene expression programs that govern host defense, pathogen persistence, and malignant transformation. Across infectious diseases and cancer, dysregulated epigenetic landscapes enable cellular plasticity, immune evasion, and adaptation to environmental and therapeutic pressures. Unlike fixed genetic alterations, these changes are reversible, positioning epigenetic regulation as a uniquely tractable axis for therapeutic intervention.</w:t>
      </w:r>
    </w:p>
    <w:p w14:paraId="76001131" w14:textId="77777777" w:rsidR="0044746E" w:rsidRPr="0044746E" w:rsidRDefault="0044746E" w:rsidP="0044746E">
      <w:pPr>
        <w:spacing w:line="276" w:lineRule="auto"/>
        <w:jc w:val="both"/>
        <w:rPr>
          <w:rFonts w:ascii="Arial" w:hAnsi="Arial" w:cs="Arial"/>
        </w:rPr>
      </w:pPr>
      <w:r w:rsidRPr="0044746E">
        <w:rPr>
          <w:rFonts w:ascii="Arial" w:hAnsi="Arial" w:cs="Arial"/>
        </w:rPr>
        <w:t>This review highlights the shared mechanistic principles by which DNA methylation, histone modifications, chromatin remodeling, and non-coding RNAs shape disease trajectories in both infectious and oncological contexts. Pathogens exploit host epigenetic machinery to suppress antimicrobial responses and establish latency, while cancer cells harness similar mechanisms to silence tumor suppressors, maintain stem-like states, and resist therapy. The convergence of these processes underscores the translational potential of epigenetic modifiers as host-directed therapeutic targets.</w:t>
      </w:r>
    </w:p>
    <w:p w14:paraId="7BA07198" w14:textId="77777777" w:rsidR="0044746E" w:rsidRDefault="0044746E" w:rsidP="0044746E">
      <w:pPr>
        <w:spacing w:line="276" w:lineRule="auto"/>
        <w:jc w:val="both"/>
        <w:rPr>
          <w:rFonts w:ascii="Arial" w:hAnsi="Arial" w:cs="Arial"/>
        </w:rPr>
      </w:pPr>
      <w:r w:rsidRPr="0044746E">
        <w:rPr>
          <w:rFonts w:ascii="Arial" w:hAnsi="Arial" w:cs="Arial"/>
        </w:rPr>
        <w:t>Clinical advances in oncology have demonstrated that pharmacological modulation of epigenetic regulators can restore aberrant transcriptional programs and sensitize diseased cells to immune and cytotoxic interventions. Extending these strategies to infectious diseases offers a promising avenue to enhance immune competence, disrupt pathogen persistence, and reduce the emergence of drug resistance. However, challenges related to specificity, toxicity, resistance, and delivery must be addressed to fully realize this potential.</w:t>
      </w:r>
    </w:p>
    <w:p w14:paraId="7BA594FE" w14:textId="77777777" w:rsidR="00A90E44" w:rsidRDefault="00A90E44" w:rsidP="0044746E">
      <w:pPr>
        <w:spacing w:line="276" w:lineRule="auto"/>
        <w:jc w:val="both"/>
        <w:rPr>
          <w:rFonts w:ascii="Arial" w:hAnsi="Arial" w:cs="Arial"/>
        </w:rPr>
      </w:pPr>
    </w:p>
    <w:p w14:paraId="2A254ACB" w14:textId="77777777" w:rsidR="00A90E44" w:rsidRDefault="00A90E44" w:rsidP="0044746E">
      <w:pPr>
        <w:spacing w:line="276" w:lineRule="auto"/>
        <w:jc w:val="both"/>
        <w:rPr>
          <w:rFonts w:ascii="Arial" w:hAnsi="Arial" w:cs="Arial"/>
        </w:rPr>
      </w:pPr>
    </w:p>
    <w:p w14:paraId="6A43F6A8" w14:textId="77777777" w:rsidR="00A90E44" w:rsidRPr="0044746E" w:rsidRDefault="00A90E44" w:rsidP="00A90E44">
      <w:pPr>
        <w:pStyle w:val="ReferHead"/>
        <w:spacing w:after="0"/>
        <w:jc w:val="both"/>
        <w:rPr>
          <w:rFonts w:ascii="Arial" w:hAnsi="Arial" w:cs="Arial"/>
          <w:bCs/>
        </w:rPr>
      </w:pPr>
      <w:r w:rsidRPr="0044746E">
        <w:rPr>
          <w:rFonts w:ascii="Arial" w:hAnsi="Arial" w:cs="Arial"/>
          <w:bCs/>
        </w:rPr>
        <w:lastRenderedPageBreak/>
        <w:t>Competing interests</w:t>
      </w:r>
    </w:p>
    <w:p w14:paraId="4C5A7AD1" w14:textId="77777777" w:rsidR="00A90E44" w:rsidRPr="0044746E" w:rsidRDefault="00A90E44" w:rsidP="00A90E44">
      <w:pPr>
        <w:pStyle w:val="ReferHead"/>
        <w:spacing w:after="0"/>
        <w:jc w:val="both"/>
        <w:rPr>
          <w:rFonts w:ascii="Arial" w:hAnsi="Arial" w:cs="Arial"/>
        </w:rPr>
      </w:pPr>
    </w:p>
    <w:p w14:paraId="46266EC7" w14:textId="77777777" w:rsidR="00A90E44" w:rsidRPr="0044746E" w:rsidRDefault="00A90E44" w:rsidP="00A90E44">
      <w:pPr>
        <w:pStyle w:val="ReferHead"/>
        <w:spacing w:after="0"/>
        <w:jc w:val="both"/>
        <w:rPr>
          <w:rFonts w:ascii="Arial" w:hAnsi="Arial" w:cs="Arial"/>
          <w:b w:val="0"/>
          <w:caps w:val="0"/>
          <w:sz w:val="20"/>
        </w:rPr>
      </w:pPr>
      <w:r>
        <w:rPr>
          <w:rFonts w:ascii="Arial" w:hAnsi="Arial" w:cs="Arial"/>
          <w:b w:val="0"/>
          <w:caps w:val="0"/>
          <w:sz w:val="20"/>
        </w:rPr>
        <w:t>I declare that there are no competing interests on this manuscript.</w:t>
      </w:r>
    </w:p>
    <w:p w14:paraId="08742A24" w14:textId="77777777" w:rsidR="00A90E44" w:rsidRPr="0044746E" w:rsidRDefault="00A90E44" w:rsidP="0044746E">
      <w:pPr>
        <w:spacing w:line="276" w:lineRule="auto"/>
        <w:jc w:val="both"/>
        <w:rPr>
          <w:rFonts w:ascii="Arial" w:hAnsi="Arial" w:cs="Arial"/>
        </w:rPr>
      </w:pPr>
    </w:p>
    <w:p w14:paraId="00F81473" w14:textId="27B868D0" w:rsidR="0044746E" w:rsidRPr="001862FE" w:rsidRDefault="0044746E" w:rsidP="0044746E">
      <w:pPr>
        <w:spacing w:line="278" w:lineRule="auto"/>
        <w:rPr>
          <w:rFonts w:ascii="Arial" w:hAnsi="Arial" w:cs="Arial"/>
          <w:sz w:val="24"/>
          <w:szCs w:val="24"/>
        </w:rPr>
      </w:pPr>
      <w:r w:rsidRPr="0044746E">
        <w:rPr>
          <w:rFonts w:ascii="Arial" w:hAnsi="Arial" w:cs="Arial"/>
        </w:rPr>
        <w:br w:type="page"/>
      </w:r>
    </w:p>
    <w:p w14:paraId="3CCCC0E2" w14:textId="77777777" w:rsidR="00B43D5D" w:rsidRPr="0044746E" w:rsidRDefault="00B43D5D" w:rsidP="00441B6F">
      <w:pPr>
        <w:rPr>
          <w:rFonts w:ascii="Arial" w:hAnsi="Arial" w:cs="Arial"/>
        </w:rPr>
      </w:pPr>
      <w:bookmarkStart w:id="2" w:name="_GoBack"/>
      <w:bookmarkEnd w:id="2"/>
    </w:p>
    <w:p w14:paraId="423516E7" w14:textId="4A7FADDE" w:rsidR="0044746E" w:rsidRPr="00B43D5D" w:rsidRDefault="0044746E" w:rsidP="00B43D5D">
      <w:pPr>
        <w:spacing w:line="278" w:lineRule="auto"/>
        <w:rPr>
          <w:rFonts w:ascii="Arial" w:hAnsi="Arial" w:cs="Arial"/>
        </w:rPr>
      </w:pPr>
      <w:r w:rsidRPr="0044746E">
        <w:rPr>
          <w:rFonts w:ascii="Arial" w:hAnsi="Arial" w:cs="Arial"/>
          <w:b/>
          <w:bCs/>
        </w:rPr>
        <w:t>REFRENCES</w:t>
      </w:r>
    </w:p>
    <w:p w14:paraId="09BC772F" w14:textId="558E752F"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A., Ontiveros, C., Guerra-Resendez, R., Nishiguchi, T., </w:t>
      </w:r>
      <w:proofErr w:type="spellStart"/>
      <w:r w:rsidRPr="0044746E">
        <w:rPr>
          <w:rFonts w:ascii="Arial" w:hAnsi="Arial" w:cs="Arial"/>
        </w:rPr>
        <w:t>Ladki</w:t>
      </w:r>
      <w:proofErr w:type="spellEnd"/>
      <w:r w:rsidRPr="0044746E">
        <w:rPr>
          <w:rFonts w:ascii="Arial" w:hAnsi="Arial" w:cs="Arial"/>
        </w:rPr>
        <w:t>, M., Hilton, I., Schlesinger, L., &amp; DiNardo, A. (2021). Reversing Post-Infectious Epigenetic-Mediated Immune Suppression. </w:t>
      </w:r>
      <w:r w:rsidRPr="0044746E">
        <w:rPr>
          <w:rFonts w:ascii="Arial" w:hAnsi="Arial" w:cs="Arial"/>
          <w:i/>
          <w:iCs/>
        </w:rPr>
        <w:t>Frontiers in Immunology</w:t>
      </w:r>
      <w:r w:rsidRPr="0044746E">
        <w:rPr>
          <w:rFonts w:ascii="Arial" w:hAnsi="Arial" w:cs="Arial"/>
        </w:rPr>
        <w:t xml:space="preserve">, 12. </w:t>
      </w:r>
      <w:hyperlink r:id="rId14" w:history="1">
        <w:r w:rsidRPr="0044746E">
          <w:rPr>
            <w:rStyle w:val="Hyperlink"/>
            <w:rFonts w:ascii="Arial" w:hAnsi="Arial" w:cs="Arial"/>
          </w:rPr>
          <w:t>https://doi.org/10.3389/fimmu.2021.688132</w:t>
        </w:r>
      </w:hyperlink>
      <w:r w:rsidRPr="0044746E">
        <w:rPr>
          <w:rFonts w:ascii="Arial" w:hAnsi="Arial" w:cs="Arial"/>
        </w:rPr>
        <w:t>.</w:t>
      </w:r>
    </w:p>
    <w:p w14:paraId="1E3502B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Abdolmaleky, H., &amp; Zhou, J. (2024). Gut Microbiota Dysbiosis, Oxidative Stress, Inflammation, and Epigenetic Alterations in Metabolic Diseases. </w:t>
      </w:r>
      <w:r w:rsidRPr="0044746E">
        <w:rPr>
          <w:rFonts w:ascii="Arial" w:hAnsi="Arial" w:cs="Arial"/>
          <w:i/>
          <w:iCs/>
        </w:rPr>
        <w:t>Antioxidants</w:t>
      </w:r>
      <w:r w:rsidRPr="0044746E">
        <w:rPr>
          <w:rFonts w:ascii="Arial" w:hAnsi="Arial" w:cs="Arial"/>
        </w:rPr>
        <w:t>, 13. https://doi.org/10.3390/antiox13080985.</w:t>
      </w:r>
    </w:p>
    <w:p w14:paraId="72B5181D"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Bae, W., Ra, E., &amp; Lee, M. (2025). Epigenetic regulation of reprogramming and pluripotency: insights from histone modifications and their implications for cancer stem cell therapies. </w:t>
      </w:r>
      <w:r w:rsidRPr="0044746E">
        <w:rPr>
          <w:rFonts w:ascii="Arial" w:hAnsi="Arial" w:cs="Arial"/>
          <w:i/>
          <w:iCs/>
        </w:rPr>
        <w:t>Frontiers in Cell and Developmental Biology</w:t>
      </w:r>
      <w:r w:rsidRPr="0044746E">
        <w:rPr>
          <w:rFonts w:ascii="Arial" w:hAnsi="Arial" w:cs="Arial"/>
        </w:rPr>
        <w:t xml:space="preserve">, 13. </w:t>
      </w:r>
      <w:hyperlink r:id="rId15" w:history="1">
        <w:r w:rsidRPr="0044746E">
          <w:rPr>
            <w:rStyle w:val="Hyperlink"/>
            <w:rFonts w:ascii="Arial" w:hAnsi="Arial" w:cs="Arial"/>
          </w:rPr>
          <w:t>https://doi.org/10.3389/fcell.2025.1559183</w:t>
        </w:r>
      </w:hyperlink>
      <w:r w:rsidRPr="0044746E">
        <w:rPr>
          <w:rFonts w:ascii="Arial" w:hAnsi="Arial" w:cs="Arial"/>
        </w:rPr>
        <w:t>.</w:t>
      </w:r>
    </w:p>
    <w:p w14:paraId="286B0C3E"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Bhat, G., Sethi, I., Sadida, H., Rah, B., Mir, R., </w:t>
      </w:r>
      <w:proofErr w:type="spellStart"/>
      <w:r w:rsidRPr="0044746E">
        <w:rPr>
          <w:rFonts w:ascii="Arial" w:hAnsi="Arial" w:cs="Arial"/>
        </w:rPr>
        <w:t>Algehainy</w:t>
      </w:r>
      <w:proofErr w:type="spellEnd"/>
      <w:r w:rsidRPr="0044746E">
        <w:rPr>
          <w:rFonts w:ascii="Arial" w:hAnsi="Arial" w:cs="Arial"/>
        </w:rPr>
        <w:t xml:space="preserve">, N., </w:t>
      </w:r>
      <w:proofErr w:type="spellStart"/>
      <w:r w:rsidRPr="0044746E">
        <w:rPr>
          <w:rFonts w:ascii="Arial" w:hAnsi="Arial" w:cs="Arial"/>
        </w:rPr>
        <w:t>Albalawi</w:t>
      </w:r>
      <w:proofErr w:type="spellEnd"/>
      <w:r w:rsidRPr="0044746E">
        <w:rPr>
          <w:rFonts w:ascii="Arial" w:hAnsi="Arial" w:cs="Arial"/>
        </w:rPr>
        <w:t>, I., Masoodi, T., Subbaraj, G., Jamal, F., Singh, M., Kumar, R., Macha, M., Uddin, S., Akil, A., Haris, M., &amp; Bhat, A. (2024). Cancer cell plasticity: from cellular, molecular, and genetic mechanisms to tumor heterogeneity and drug resistance. </w:t>
      </w:r>
      <w:r w:rsidRPr="0044746E">
        <w:rPr>
          <w:rFonts w:ascii="Arial" w:hAnsi="Arial" w:cs="Arial"/>
          <w:i/>
          <w:iCs/>
        </w:rPr>
        <w:t>Cancer Metastasis Reviews</w:t>
      </w:r>
      <w:r w:rsidRPr="0044746E">
        <w:rPr>
          <w:rFonts w:ascii="Arial" w:hAnsi="Arial" w:cs="Arial"/>
        </w:rPr>
        <w:t xml:space="preserve">, 43, 197 - 228. </w:t>
      </w:r>
      <w:hyperlink r:id="rId16" w:history="1">
        <w:r w:rsidRPr="0044746E">
          <w:rPr>
            <w:rStyle w:val="Hyperlink"/>
            <w:rFonts w:ascii="Arial" w:hAnsi="Arial" w:cs="Arial"/>
          </w:rPr>
          <w:t>https://doi.org/10.1007/s10555-024-10172-z</w:t>
        </w:r>
      </w:hyperlink>
      <w:r w:rsidRPr="0044746E">
        <w:rPr>
          <w:rFonts w:ascii="Arial" w:hAnsi="Arial" w:cs="Arial"/>
        </w:rPr>
        <w:t>.</w:t>
      </w:r>
    </w:p>
    <w:p w14:paraId="2DC17C2B" w14:textId="77777777" w:rsidR="0044746E" w:rsidRPr="0044746E" w:rsidRDefault="0044746E" w:rsidP="0044746E">
      <w:pPr>
        <w:spacing w:line="276" w:lineRule="auto"/>
        <w:ind w:left="720" w:hanging="720"/>
        <w:jc w:val="both"/>
        <w:rPr>
          <w:rFonts w:ascii="Arial" w:hAnsi="Arial" w:cs="Arial"/>
        </w:rPr>
      </w:pPr>
      <w:proofErr w:type="spellStart"/>
      <w:r w:rsidRPr="0044746E">
        <w:rPr>
          <w:rFonts w:ascii="Arial" w:hAnsi="Arial" w:cs="Arial"/>
        </w:rPr>
        <w:t>Bhootra</w:t>
      </w:r>
      <w:proofErr w:type="spellEnd"/>
      <w:r w:rsidRPr="0044746E">
        <w:rPr>
          <w:rFonts w:ascii="Arial" w:hAnsi="Arial" w:cs="Arial"/>
        </w:rPr>
        <w:t>, S., Jill, N., Shanmugam, G., Rakshit, S., &amp; Sarkar, K. (2023). DNA methylation and cancer: transcriptional regulation, prognostic, and therapeutic perspective. </w:t>
      </w:r>
      <w:r w:rsidRPr="0044746E">
        <w:rPr>
          <w:rFonts w:ascii="Arial" w:hAnsi="Arial" w:cs="Arial"/>
          <w:i/>
          <w:iCs/>
        </w:rPr>
        <w:t>Medical oncology</w:t>
      </w:r>
      <w:r w:rsidRPr="0044746E">
        <w:rPr>
          <w:rFonts w:ascii="Arial" w:hAnsi="Arial" w:cs="Arial"/>
        </w:rPr>
        <w:t>, </w:t>
      </w:r>
      <w:r w:rsidRPr="0044746E">
        <w:rPr>
          <w:rFonts w:ascii="Arial" w:hAnsi="Arial" w:cs="Arial"/>
          <w:i/>
          <w:iCs/>
        </w:rPr>
        <w:t>40</w:t>
      </w:r>
      <w:r w:rsidRPr="0044746E">
        <w:rPr>
          <w:rFonts w:ascii="Arial" w:hAnsi="Arial" w:cs="Arial"/>
        </w:rPr>
        <w:t>(2), 71.</w:t>
      </w:r>
    </w:p>
    <w:p w14:paraId="72C548B2" w14:textId="77777777" w:rsidR="0044746E" w:rsidRPr="0044746E" w:rsidRDefault="0044746E" w:rsidP="0044746E">
      <w:pPr>
        <w:spacing w:line="276" w:lineRule="auto"/>
        <w:ind w:left="720" w:hanging="720"/>
        <w:jc w:val="both"/>
        <w:rPr>
          <w:rFonts w:ascii="Arial" w:hAnsi="Arial" w:cs="Arial"/>
        </w:rPr>
      </w:pPr>
      <w:proofErr w:type="spellStart"/>
      <w:r w:rsidRPr="0044746E">
        <w:rPr>
          <w:rFonts w:ascii="Arial" w:hAnsi="Arial" w:cs="Arial"/>
        </w:rPr>
        <w:t>Bierne</w:t>
      </w:r>
      <w:proofErr w:type="spellEnd"/>
      <w:r w:rsidRPr="0044746E">
        <w:rPr>
          <w:rFonts w:ascii="Arial" w:hAnsi="Arial" w:cs="Arial"/>
        </w:rPr>
        <w:t>, H., &amp; Hamon, M. (2020). Targeting host epigenetic machinery: The Listeria paradigm. </w:t>
      </w:r>
      <w:r w:rsidRPr="0044746E">
        <w:rPr>
          <w:rFonts w:ascii="Arial" w:hAnsi="Arial" w:cs="Arial"/>
          <w:i/>
          <w:iCs/>
        </w:rPr>
        <w:t>Cellular Microbiology</w:t>
      </w:r>
      <w:r w:rsidRPr="0044746E">
        <w:rPr>
          <w:rFonts w:ascii="Arial" w:hAnsi="Arial" w:cs="Arial"/>
        </w:rPr>
        <w:t xml:space="preserve">, 22. </w:t>
      </w:r>
      <w:hyperlink r:id="rId17" w:history="1">
        <w:r w:rsidRPr="0044746E">
          <w:rPr>
            <w:rStyle w:val="Hyperlink"/>
            <w:rFonts w:ascii="Arial" w:hAnsi="Arial" w:cs="Arial"/>
          </w:rPr>
          <w:t>https://doi.org/10.1111/cmi.13169</w:t>
        </w:r>
      </w:hyperlink>
      <w:r w:rsidRPr="0044746E">
        <w:rPr>
          <w:rFonts w:ascii="Arial" w:hAnsi="Arial" w:cs="Arial"/>
        </w:rPr>
        <w:t>.</w:t>
      </w:r>
    </w:p>
    <w:p w14:paraId="1582D505"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Bonsu, P. B., Fosu, K., &amp; Nyarko, S. B. (2026). Host–Pathogen Crosstalk in Cancer: A review of Multi-Omics and Computational Insights into Tumor Microenvironment.</w:t>
      </w:r>
    </w:p>
    <w:p w14:paraId="5732DA2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Bure, I. V., Nemtsova, M. V., &amp; Kuznetsova, E. B. (2022). Histone modifications and non-coding RNAs: mutual epigenetic regulation and role in pathogenesis. </w:t>
      </w:r>
      <w:r w:rsidRPr="0044746E">
        <w:rPr>
          <w:rFonts w:ascii="Arial" w:hAnsi="Arial" w:cs="Arial"/>
          <w:i/>
          <w:iCs/>
        </w:rPr>
        <w:t>International Journal of Molecular Sciences</w:t>
      </w:r>
      <w:r w:rsidRPr="0044746E">
        <w:rPr>
          <w:rFonts w:ascii="Arial" w:hAnsi="Arial" w:cs="Arial"/>
        </w:rPr>
        <w:t>, </w:t>
      </w:r>
      <w:r w:rsidRPr="0044746E">
        <w:rPr>
          <w:rFonts w:ascii="Arial" w:hAnsi="Arial" w:cs="Arial"/>
          <w:i/>
          <w:iCs/>
        </w:rPr>
        <w:t>23</w:t>
      </w:r>
      <w:r w:rsidRPr="0044746E">
        <w:rPr>
          <w:rFonts w:ascii="Arial" w:hAnsi="Arial" w:cs="Arial"/>
        </w:rPr>
        <w:t>(10), 5801.</w:t>
      </w:r>
    </w:p>
    <w:p w14:paraId="54E748D4"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Chen, C., Wang, Z., Ding, Y., Wang, L., Wang, S., Wang, H., &amp; Qin, Y. (2022). DNA methylation: from cancer biology to clinical perspectives. </w:t>
      </w:r>
      <w:r w:rsidRPr="0044746E">
        <w:rPr>
          <w:rFonts w:ascii="Arial" w:hAnsi="Arial" w:cs="Arial"/>
          <w:i/>
          <w:iCs/>
        </w:rPr>
        <w:t>Frontiers in Bioscience-Landmark</w:t>
      </w:r>
      <w:r w:rsidRPr="0044746E">
        <w:rPr>
          <w:rFonts w:ascii="Arial" w:hAnsi="Arial" w:cs="Arial"/>
        </w:rPr>
        <w:t>, </w:t>
      </w:r>
      <w:r w:rsidRPr="0044746E">
        <w:rPr>
          <w:rFonts w:ascii="Arial" w:hAnsi="Arial" w:cs="Arial"/>
          <w:i/>
          <w:iCs/>
        </w:rPr>
        <w:t>27</w:t>
      </w:r>
      <w:r w:rsidRPr="0044746E">
        <w:rPr>
          <w:rFonts w:ascii="Arial" w:hAnsi="Arial" w:cs="Arial"/>
        </w:rPr>
        <w:t>(12), 326.</w:t>
      </w:r>
    </w:p>
    <w:p w14:paraId="47E1DE3B"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Covino, D., </w:t>
      </w:r>
      <w:proofErr w:type="spellStart"/>
      <w:r w:rsidRPr="0044746E">
        <w:rPr>
          <w:rFonts w:ascii="Arial" w:hAnsi="Arial" w:cs="Arial"/>
        </w:rPr>
        <w:t>Desimio</w:t>
      </w:r>
      <w:proofErr w:type="spellEnd"/>
      <w:r w:rsidRPr="0044746E">
        <w:rPr>
          <w:rFonts w:ascii="Arial" w:hAnsi="Arial" w:cs="Arial"/>
        </w:rPr>
        <w:t>, M., &amp; Doria, M. (2021). Combinations of Histone Deacetylase Inhibitors with Distinct Latency Reversing Agents Variably Affect HIV Reactivation and Susceptibility to NK Cell-Mediated Killing of T Cells That Exit Viral Latency. </w:t>
      </w:r>
      <w:r w:rsidRPr="0044746E">
        <w:rPr>
          <w:rFonts w:ascii="Arial" w:hAnsi="Arial" w:cs="Arial"/>
          <w:i/>
          <w:iCs/>
        </w:rPr>
        <w:t>International Journal of Molecular Sciences</w:t>
      </w:r>
      <w:r w:rsidRPr="0044746E">
        <w:rPr>
          <w:rFonts w:ascii="Arial" w:hAnsi="Arial" w:cs="Arial"/>
        </w:rPr>
        <w:t xml:space="preserve">, 22. </w:t>
      </w:r>
      <w:hyperlink r:id="rId18" w:history="1">
        <w:r w:rsidRPr="0044746E">
          <w:rPr>
            <w:rStyle w:val="Hyperlink"/>
            <w:rFonts w:ascii="Arial" w:hAnsi="Arial" w:cs="Arial"/>
          </w:rPr>
          <w:t>https://doi.org/10.3390/ijms22136654</w:t>
        </w:r>
      </w:hyperlink>
      <w:r w:rsidRPr="0044746E">
        <w:rPr>
          <w:rFonts w:ascii="Arial" w:hAnsi="Arial" w:cs="Arial"/>
        </w:rPr>
        <w:t>.</w:t>
      </w:r>
    </w:p>
    <w:p w14:paraId="3F1768E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Erdmann, R. M., &amp; Picard, C. L. (2020). RNA-directed DNA methylation. </w:t>
      </w:r>
      <w:proofErr w:type="spellStart"/>
      <w:r w:rsidRPr="0044746E">
        <w:rPr>
          <w:rFonts w:ascii="Arial" w:hAnsi="Arial" w:cs="Arial"/>
          <w:i/>
          <w:iCs/>
        </w:rPr>
        <w:t>PLoS</w:t>
      </w:r>
      <w:proofErr w:type="spellEnd"/>
      <w:r w:rsidRPr="0044746E">
        <w:rPr>
          <w:rFonts w:ascii="Arial" w:hAnsi="Arial" w:cs="Arial"/>
          <w:i/>
          <w:iCs/>
        </w:rPr>
        <w:t xml:space="preserve"> genetics</w:t>
      </w:r>
      <w:r w:rsidRPr="0044746E">
        <w:rPr>
          <w:rFonts w:ascii="Arial" w:hAnsi="Arial" w:cs="Arial"/>
        </w:rPr>
        <w:t>, </w:t>
      </w:r>
      <w:r w:rsidRPr="0044746E">
        <w:rPr>
          <w:rFonts w:ascii="Arial" w:hAnsi="Arial" w:cs="Arial"/>
          <w:i/>
          <w:iCs/>
        </w:rPr>
        <w:t>16</w:t>
      </w:r>
      <w:r w:rsidRPr="0044746E">
        <w:rPr>
          <w:rFonts w:ascii="Arial" w:hAnsi="Arial" w:cs="Arial"/>
        </w:rPr>
        <w:t>(10), e1009034.</w:t>
      </w:r>
    </w:p>
    <w:p w14:paraId="001F6BB7"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Eustermann, S., Patel, A., Hopfner, K., He, Y., &amp; Korber, P. (2023). Energy-driven genome regulation by ATP-dependent chromatin </w:t>
      </w:r>
      <w:proofErr w:type="spellStart"/>
      <w:r w:rsidRPr="0044746E">
        <w:rPr>
          <w:rFonts w:ascii="Arial" w:hAnsi="Arial" w:cs="Arial"/>
        </w:rPr>
        <w:t>remodellers</w:t>
      </w:r>
      <w:proofErr w:type="spellEnd"/>
      <w:r w:rsidRPr="0044746E">
        <w:rPr>
          <w:rFonts w:ascii="Arial" w:hAnsi="Arial" w:cs="Arial"/>
        </w:rPr>
        <w:t>. </w:t>
      </w:r>
      <w:r w:rsidRPr="0044746E">
        <w:rPr>
          <w:rFonts w:ascii="Arial" w:hAnsi="Arial" w:cs="Arial"/>
          <w:i/>
          <w:iCs/>
        </w:rPr>
        <w:t>Nature Reviews Molecular Cell Biology</w:t>
      </w:r>
      <w:r w:rsidRPr="0044746E">
        <w:rPr>
          <w:rFonts w:ascii="Arial" w:hAnsi="Arial" w:cs="Arial"/>
        </w:rPr>
        <w:t xml:space="preserve">, 25, 309 - 332. </w:t>
      </w:r>
      <w:hyperlink r:id="rId19" w:history="1">
        <w:r w:rsidRPr="0044746E">
          <w:rPr>
            <w:rStyle w:val="Hyperlink"/>
            <w:rFonts w:ascii="Arial" w:hAnsi="Arial" w:cs="Arial"/>
          </w:rPr>
          <w:t>https://doi.org/10.1038/s41580-023-00683-y</w:t>
        </w:r>
      </w:hyperlink>
      <w:r w:rsidRPr="0044746E">
        <w:rPr>
          <w:rFonts w:ascii="Arial" w:hAnsi="Arial" w:cs="Arial"/>
        </w:rPr>
        <w:t>.</w:t>
      </w:r>
    </w:p>
    <w:p w14:paraId="5073F524"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Geffen Y, Anand S, Akiyama Y, Yaron TM, Song Y, Johnson JL, Govindan A, Babur O, Li Y, Huntsman E, Wang LB, Birger C, Heiman DI, Zhang Q, Miller M, </w:t>
      </w:r>
      <w:proofErr w:type="spellStart"/>
      <w:r w:rsidRPr="0044746E">
        <w:rPr>
          <w:rFonts w:ascii="Arial" w:hAnsi="Arial" w:cs="Arial"/>
        </w:rPr>
        <w:t>Maruvka</w:t>
      </w:r>
      <w:proofErr w:type="spellEnd"/>
      <w:r w:rsidRPr="0044746E">
        <w:rPr>
          <w:rFonts w:ascii="Arial" w:hAnsi="Arial" w:cs="Arial"/>
        </w:rPr>
        <w:t xml:space="preserve"> YE, </w:t>
      </w:r>
      <w:proofErr w:type="spellStart"/>
      <w:r w:rsidRPr="0044746E">
        <w:rPr>
          <w:rFonts w:ascii="Arial" w:hAnsi="Arial" w:cs="Arial"/>
        </w:rPr>
        <w:t>Haradhvala</w:t>
      </w:r>
      <w:proofErr w:type="spellEnd"/>
      <w:r w:rsidRPr="0044746E">
        <w:rPr>
          <w:rFonts w:ascii="Arial" w:hAnsi="Arial" w:cs="Arial"/>
        </w:rPr>
        <w:t xml:space="preserve"> NJ, </w:t>
      </w:r>
      <w:proofErr w:type="spellStart"/>
      <w:r w:rsidRPr="0044746E">
        <w:rPr>
          <w:rFonts w:ascii="Arial" w:hAnsi="Arial" w:cs="Arial"/>
        </w:rPr>
        <w:t>Calinawan</w:t>
      </w:r>
      <w:proofErr w:type="spellEnd"/>
      <w:r w:rsidRPr="0044746E">
        <w:rPr>
          <w:rFonts w:ascii="Arial" w:hAnsi="Arial" w:cs="Arial"/>
        </w:rPr>
        <w:t xml:space="preserve"> A, Belkin S, … </w:t>
      </w:r>
      <w:proofErr w:type="spellStart"/>
      <w:r w:rsidRPr="0044746E">
        <w:rPr>
          <w:rFonts w:ascii="Arial" w:hAnsi="Arial" w:cs="Arial"/>
        </w:rPr>
        <w:t>Carr</w:t>
      </w:r>
      <w:proofErr w:type="spellEnd"/>
      <w:r w:rsidRPr="0044746E">
        <w:rPr>
          <w:rFonts w:ascii="Arial" w:hAnsi="Arial" w:cs="Arial"/>
        </w:rPr>
        <w:t xml:space="preserve"> SA (2023) </w:t>
      </w:r>
      <w:proofErr w:type="spellStart"/>
      <w:r w:rsidRPr="0044746E">
        <w:rPr>
          <w:rFonts w:ascii="Arial" w:hAnsi="Arial" w:cs="Arial"/>
        </w:rPr>
        <w:t>Pancancer</w:t>
      </w:r>
      <w:proofErr w:type="spellEnd"/>
      <w:r w:rsidRPr="0044746E">
        <w:rPr>
          <w:rFonts w:ascii="Arial" w:hAnsi="Arial" w:cs="Arial"/>
        </w:rPr>
        <w:t xml:space="preserve"> analysis of post-translational modifications reveals shared patterns of protein regulation. Cell 186(18):3945–3967</w:t>
      </w:r>
    </w:p>
    <w:p w14:paraId="0B903F9F" w14:textId="77777777" w:rsidR="0044746E" w:rsidRPr="001862FE" w:rsidRDefault="0044746E" w:rsidP="0044746E">
      <w:pPr>
        <w:spacing w:after="160" w:line="276" w:lineRule="auto"/>
        <w:ind w:left="720" w:hanging="720"/>
        <w:jc w:val="both"/>
        <w:rPr>
          <w:rFonts w:ascii="Arial" w:hAnsi="Arial" w:cs="Arial"/>
          <w:sz w:val="24"/>
          <w:szCs w:val="24"/>
        </w:rPr>
      </w:pPr>
      <w:r w:rsidRPr="0044746E">
        <w:rPr>
          <w:rFonts w:ascii="Arial" w:hAnsi="Arial" w:cs="Arial"/>
        </w:rPr>
        <w:t>Goyal, D., Limesand, S. W., &amp; Goyal, R. (2019). Epigenetic responses and the developmental origins of health and disease. </w:t>
      </w:r>
      <w:r w:rsidRPr="0044746E">
        <w:rPr>
          <w:rFonts w:ascii="Arial" w:hAnsi="Arial" w:cs="Arial"/>
          <w:i/>
          <w:iCs/>
        </w:rPr>
        <w:t>Journal of Endocrinology</w:t>
      </w:r>
      <w:r w:rsidRPr="0044746E">
        <w:rPr>
          <w:rFonts w:ascii="Arial" w:hAnsi="Arial" w:cs="Arial"/>
        </w:rPr>
        <w:t>, </w:t>
      </w:r>
      <w:r w:rsidRPr="0044746E">
        <w:rPr>
          <w:rFonts w:ascii="Arial" w:hAnsi="Arial" w:cs="Arial"/>
          <w:i/>
          <w:iCs/>
        </w:rPr>
        <w:t>242</w:t>
      </w:r>
      <w:r w:rsidRPr="0044746E">
        <w:rPr>
          <w:rFonts w:ascii="Arial" w:hAnsi="Arial" w:cs="Arial"/>
        </w:rPr>
        <w:t>(1), T105-T119.</w:t>
      </w:r>
    </w:p>
    <w:p w14:paraId="37E57AF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Greenberg, M. V., &amp; </w:t>
      </w:r>
      <w:proofErr w:type="spellStart"/>
      <w:r w:rsidRPr="0044746E">
        <w:rPr>
          <w:rFonts w:ascii="Arial" w:hAnsi="Arial" w:cs="Arial"/>
        </w:rPr>
        <w:t>Bourc’his</w:t>
      </w:r>
      <w:proofErr w:type="spellEnd"/>
      <w:r w:rsidRPr="0044746E">
        <w:rPr>
          <w:rFonts w:ascii="Arial" w:hAnsi="Arial" w:cs="Arial"/>
        </w:rPr>
        <w:t>, D. (2019). The diverse roles of DNA methylation in mammalian development and disease. </w:t>
      </w:r>
      <w:r w:rsidRPr="0044746E">
        <w:rPr>
          <w:rFonts w:ascii="Arial" w:hAnsi="Arial" w:cs="Arial"/>
          <w:i/>
          <w:iCs/>
        </w:rPr>
        <w:t>Nature reviews Molecular cell biology</w:t>
      </w:r>
      <w:r w:rsidRPr="0044746E">
        <w:rPr>
          <w:rFonts w:ascii="Arial" w:hAnsi="Arial" w:cs="Arial"/>
        </w:rPr>
        <w:t>, </w:t>
      </w:r>
      <w:r w:rsidRPr="0044746E">
        <w:rPr>
          <w:rFonts w:ascii="Arial" w:hAnsi="Arial" w:cs="Arial"/>
          <w:i/>
          <w:iCs/>
        </w:rPr>
        <w:t>20</w:t>
      </w:r>
      <w:r w:rsidRPr="0044746E">
        <w:rPr>
          <w:rFonts w:ascii="Arial" w:hAnsi="Arial" w:cs="Arial"/>
        </w:rPr>
        <w:t>(10), 590-607.</w:t>
      </w:r>
    </w:p>
    <w:p w14:paraId="79AA7AFD"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Gujar, H., Weisenberger, D., &amp; Liang, G. (2019). The Roles of Human DNA Methyltransferases and Their Isoforms in Shaping the Epigenome. </w:t>
      </w:r>
      <w:r w:rsidRPr="0044746E">
        <w:rPr>
          <w:rFonts w:ascii="Arial" w:hAnsi="Arial" w:cs="Arial"/>
          <w:i/>
          <w:iCs/>
        </w:rPr>
        <w:t>Genes</w:t>
      </w:r>
      <w:r w:rsidRPr="0044746E">
        <w:rPr>
          <w:rFonts w:ascii="Arial" w:hAnsi="Arial" w:cs="Arial"/>
        </w:rPr>
        <w:t xml:space="preserve">, 10. </w:t>
      </w:r>
      <w:hyperlink r:id="rId20" w:history="1">
        <w:r w:rsidRPr="0044746E">
          <w:rPr>
            <w:rStyle w:val="Hyperlink"/>
            <w:rFonts w:ascii="Arial" w:hAnsi="Arial" w:cs="Arial"/>
          </w:rPr>
          <w:t>https://doi.org/10.3390/genes10020172</w:t>
        </w:r>
      </w:hyperlink>
      <w:r w:rsidRPr="0044746E">
        <w:rPr>
          <w:rFonts w:ascii="Arial" w:hAnsi="Arial" w:cs="Arial"/>
        </w:rPr>
        <w:t>.</w:t>
      </w:r>
    </w:p>
    <w:p w14:paraId="1C3D3D64" w14:textId="77777777" w:rsidR="0044746E" w:rsidRPr="0044746E" w:rsidRDefault="0044746E" w:rsidP="0044746E">
      <w:pPr>
        <w:spacing w:line="276" w:lineRule="auto"/>
        <w:ind w:left="720" w:hanging="720"/>
        <w:jc w:val="both"/>
        <w:rPr>
          <w:rFonts w:ascii="Arial" w:hAnsi="Arial" w:cs="Arial"/>
        </w:rPr>
      </w:pPr>
      <w:proofErr w:type="spellStart"/>
      <w:r w:rsidRPr="0044746E">
        <w:rPr>
          <w:rFonts w:ascii="Arial" w:hAnsi="Arial" w:cs="Arial"/>
        </w:rPr>
        <w:t>Kadoch</w:t>
      </w:r>
      <w:proofErr w:type="spellEnd"/>
      <w:r w:rsidRPr="0044746E">
        <w:rPr>
          <w:rFonts w:ascii="Arial" w:hAnsi="Arial" w:cs="Arial"/>
        </w:rPr>
        <w:t xml:space="preserve">, C., Copeland, R., &amp; </w:t>
      </w:r>
      <w:proofErr w:type="spellStart"/>
      <w:r w:rsidRPr="0044746E">
        <w:rPr>
          <w:rFonts w:ascii="Arial" w:hAnsi="Arial" w:cs="Arial"/>
        </w:rPr>
        <w:t>Keilhack</w:t>
      </w:r>
      <w:proofErr w:type="spellEnd"/>
      <w:r w:rsidRPr="0044746E">
        <w:rPr>
          <w:rFonts w:ascii="Arial" w:hAnsi="Arial" w:cs="Arial"/>
        </w:rPr>
        <w:t xml:space="preserve">, H. (2016). PRC2 and SWI/SNF Chromatin Remodeling Complexes in Health and </w:t>
      </w:r>
      <w:proofErr w:type="gramStart"/>
      <w:r w:rsidRPr="0044746E">
        <w:rPr>
          <w:rFonts w:ascii="Arial" w:hAnsi="Arial" w:cs="Arial"/>
        </w:rPr>
        <w:t>Disease..</w:t>
      </w:r>
      <w:proofErr w:type="gramEnd"/>
      <w:r w:rsidRPr="0044746E">
        <w:rPr>
          <w:rFonts w:ascii="Arial" w:hAnsi="Arial" w:cs="Arial"/>
        </w:rPr>
        <w:t> </w:t>
      </w:r>
      <w:r w:rsidRPr="0044746E">
        <w:rPr>
          <w:rFonts w:ascii="Arial" w:hAnsi="Arial" w:cs="Arial"/>
          <w:i/>
          <w:iCs/>
        </w:rPr>
        <w:t>Biochemistry</w:t>
      </w:r>
      <w:r w:rsidRPr="0044746E">
        <w:rPr>
          <w:rFonts w:ascii="Arial" w:hAnsi="Arial" w:cs="Arial"/>
        </w:rPr>
        <w:t>, 55 11, 1600-</w:t>
      </w:r>
      <w:proofErr w:type="gramStart"/>
      <w:r w:rsidRPr="0044746E">
        <w:rPr>
          <w:rFonts w:ascii="Arial" w:hAnsi="Arial" w:cs="Arial"/>
        </w:rPr>
        <w:t>14 .</w:t>
      </w:r>
      <w:proofErr w:type="gramEnd"/>
      <w:r w:rsidRPr="0044746E">
        <w:rPr>
          <w:rFonts w:ascii="Arial" w:hAnsi="Arial" w:cs="Arial"/>
        </w:rPr>
        <w:t xml:space="preserve"> </w:t>
      </w:r>
      <w:hyperlink r:id="rId21" w:history="1">
        <w:r w:rsidRPr="0044746E">
          <w:rPr>
            <w:rStyle w:val="Hyperlink"/>
            <w:rFonts w:ascii="Arial" w:hAnsi="Arial" w:cs="Arial"/>
          </w:rPr>
          <w:t>https://doi.org/10.1021/acs.biochem.5b01191</w:t>
        </w:r>
      </w:hyperlink>
      <w:r w:rsidRPr="0044746E">
        <w:rPr>
          <w:rFonts w:ascii="Arial" w:hAnsi="Arial" w:cs="Arial"/>
        </w:rPr>
        <w:t>.</w:t>
      </w:r>
    </w:p>
    <w:p w14:paraId="7468D401" w14:textId="77777777" w:rsidR="0044746E" w:rsidRPr="001862FE" w:rsidRDefault="0044746E" w:rsidP="0044746E">
      <w:pPr>
        <w:spacing w:after="160" w:line="276" w:lineRule="auto"/>
        <w:ind w:left="720" w:hanging="720"/>
        <w:jc w:val="both"/>
        <w:rPr>
          <w:rFonts w:ascii="Arial" w:hAnsi="Arial" w:cs="Arial"/>
          <w:sz w:val="24"/>
          <w:szCs w:val="24"/>
        </w:rPr>
      </w:pPr>
      <w:r w:rsidRPr="0044746E">
        <w:rPr>
          <w:rFonts w:ascii="Arial" w:hAnsi="Arial" w:cs="Arial"/>
        </w:rPr>
        <w:t xml:space="preserve">Kulkarni, S., Arumugam, T., </w:t>
      </w:r>
      <w:proofErr w:type="spellStart"/>
      <w:r w:rsidRPr="0044746E">
        <w:rPr>
          <w:rFonts w:ascii="Arial" w:hAnsi="Arial" w:cs="Arial"/>
        </w:rPr>
        <w:t>Chuturgoon</w:t>
      </w:r>
      <w:proofErr w:type="spellEnd"/>
      <w:r w:rsidRPr="0044746E">
        <w:rPr>
          <w:rFonts w:ascii="Arial" w:hAnsi="Arial" w:cs="Arial"/>
        </w:rPr>
        <w:t xml:space="preserve">, A., An, P., &amp; </w:t>
      </w:r>
      <w:proofErr w:type="spellStart"/>
      <w:r w:rsidRPr="0044746E">
        <w:rPr>
          <w:rFonts w:ascii="Arial" w:hAnsi="Arial" w:cs="Arial"/>
        </w:rPr>
        <w:t>Ramsuran</w:t>
      </w:r>
      <w:proofErr w:type="spellEnd"/>
      <w:r w:rsidRPr="0044746E">
        <w:rPr>
          <w:rFonts w:ascii="Arial" w:hAnsi="Arial" w:cs="Arial"/>
        </w:rPr>
        <w:t>, V. (2022). Epigenetics of infectious diseases. </w:t>
      </w:r>
      <w:r w:rsidRPr="0044746E">
        <w:rPr>
          <w:rFonts w:ascii="Arial" w:hAnsi="Arial" w:cs="Arial"/>
          <w:i/>
          <w:iCs/>
        </w:rPr>
        <w:t>Frontiers in Immunology</w:t>
      </w:r>
      <w:r w:rsidRPr="0044746E">
        <w:rPr>
          <w:rFonts w:ascii="Arial" w:hAnsi="Arial" w:cs="Arial"/>
        </w:rPr>
        <w:t>, </w:t>
      </w:r>
      <w:r w:rsidRPr="0044746E">
        <w:rPr>
          <w:rFonts w:ascii="Arial" w:hAnsi="Arial" w:cs="Arial"/>
          <w:i/>
          <w:iCs/>
        </w:rPr>
        <w:t>13</w:t>
      </w:r>
      <w:r w:rsidRPr="0044746E">
        <w:rPr>
          <w:rFonts w:ascii="Arial" w:hAnsi="Arial" w:cs="Arial"/>
        </w:rPr>
        <w:t>, 1054151.</w:t>
      </w:r>
    </w:p>
    <w:p w14:paraId="749A30C8"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Kumar, R., Jain, K., Rai, K., Gururajan, H., &amp; Sarkar, K. (2025). Targeting epigenetic modifications as an emerging immunotherapeutic strategy for cancers. </w:t>
      </w:r>
      <w:r w:rsidRPr="0044746E">
        <w:rPr>
          <w:rFonts w:ascii="Arial" w:hAnsi="Arial" w:cs="Arial"/>
          <w:i/>
          <w:iCs/>
        </w:rPr>
        <w:t>Immunologic Research</w:t>
      </w:r>
      <w:r w:rsidRPr="0044746E">
        <w:rPr>
          <w:rFonts w:ascii="Arial" w:hAnsi="Arial" w:cs="Arial"/>
        </w:rPr>
        <w:t>, 73. https://doi.org/10.1007/s12026-025-09678-7.</w:t>
      </w:r>
    </w:p>
    <w:p w14:paraId="5A4E63C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Kumar, S., Gonzalez, E., Rameshwar, P., &amp; </w:t>
      </w:r>
      <w:proofErr w:type="spellStart"/>
      <w:r w:rsidRPr="0044746E">
        <w:rPr>
          <w:rFonts w:ascii="Arial" w:hAnsi="Arial" w:cs="Arial"/>
        </w:rPr>
        <w:t>Etchegaray</w:t>
      </w:r>
      <w:proofErr w:type="spellEnd"/>
      <w:r w:rsidRPr="0044746E">
        <w:rPr>
          <w:rFonts w:ascii="Arial" w:hAnsi="Arial" w:cs="Arial"/>
        </w:rPr>
        <w:t>, J. (2020). Non-Coding RNAs as Mediators of Epigenetic Changes in Malignancies. </w:t>
      </w:r>
      <w:r w:rsidRPr="0044746E">
        <w:rPr>
          <w:rFonts w:ascii="Arial" w:hAnsi="Arial" w:cs="Arial"/>
          <w:i/>
          <w:iCs/>
        </w:rPr>
        <w:t>Cancers</w:t>
      </w:r>
      <w:r w:rsidRPr="0044746E">
        <w:rPr>
          <w:rFonts w:ascii="Arial" w:hAnsi="Arial" w:cs="Arial"/>
        </w:rPr>
        <w:t xml:space="preserve">, 12. </w:t>
      </w:r>
      <w:hyperlink r:id="rId22" w:history="1">
        <w:r w:rsidRPr="0044746E">
          <w:rPr>
            <w:rStyle w:val="Hyperlink"/>
            <w:rFonts w:ascii="Arial" w:hAnsi="Arial" w:cs="Arial"/>
          </w:rPr>
          <w:t>https://doi.org/10.3390/cancers12123657</w:t>
        </w:r>
      </w:hyperlink>
      <w:r w:rsidRPr="0044746E">
        <w:rPr>
          <w:rFonts w:ascii="Arial" w:hAnsi="Arial" w:cs="Arial"/>
        </w:rPr>
        <w:t>.</w:t>
      </w:r>
    </w:p>
    <w:p w14:paraId="0C561A77"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Kumar, V., Nambiar, R., De Souza, C., Nguyen, A., Chien, J., &amp; Lam, K. (2022). Targeting Epigenetic Modifiers of Tumor Plasticity and Cancer Stem Cell Behavior. </w:t>
      </w:r>
      <w:r w:rsidRPr="0044746E">
        <w:rPr>
          <w:rFonts w:ascii="Arial" w:hAnsi="Arial" w:cs="Arial"/>
          <w:i/>
          <w:iCs/>
        </w:rPr>
        <w:t>Cells</w:t>
      </w:r>
      <w:r w:rsidRPr="0044746E">
        <w:rPr>
          <w:rFonts w:ascii="Arial" w:hAnsi="Arial" w:cs="Arial"/>
        </w:rPr>
        <w:t>, 11. https://doi.org/10.3390/cells11091403.</w:t>
      </w:r>
    </w:p>
    <w:p w14:paraId="5E420CEA"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lastRenderedPageBreak/>
        <w:t>Loganathan, T., &amp; C., D. (2023). Non-coding RNAs in human health and disease: potential function as biomarkers and therapeutic targets. </w:t>
      </w:r>
      <w:r w:rsidRPr="0044746E">
        <w:rPr>
          <w:rFonts w:ascii="Arial" w:hAnsi="Arial" w:cs="Arial"/>
          <w:i/>
          <w:iCs/>
        </w:rPr>
        <w:t>Functional &amp; Integrative Genomics</w:t>
      </w:r>
      <w:r w:rsidRPr="0044746E">
        <w:rPr>
          <w:rFonts w:ascii="Arial" w:hAnsi="Arial" w:cs="Arial"/>
        </w:rPr>
        <w:t xml:space="preserve">, 23. </w:t>
      </w:r>
      <w:hyperlink r:id="rId23" w:history="1">
        <w:r w:rsidRPr="0044746E">
          <w:rPr>
            <w:rStyle w:val="Hyperlink"/>
            <w:rFonts w:ascii="Arial" w:hAnsi="Arial" w:cs="Arial"/>
          </w:rPr>
          <w:t>https://doi.org/10.1007/s10142-022-00947-4</w:t>
        </w:r>
      </w:hyperlink>
      <w:r w:rsidRPr="0044746E">
        <w:rPr>
          <w:rFonts w:ascii="Arial" w:hAnsi="Arial" w:cs="Arial"/>
        </w:rPr>
        <w:t>.</w:t>
      </w:r>
    </w:p>
    <w:p w14:paraId="26F64400" w14:textId="77777777" w:rsidR="0044746E" w:rsidRPr="0044746E" w:rsidRDefault="0044746E" w:rsidP="0044746E">
      <w:pPr>
        <w:spacing w:line="276" w:lineRule="auto"/>
        <w:ind w:left="720" w:hanging="720"/>
        <w:jc w:val="both"/>
        <w:rPr>
          <w:rFonts w:ascii="Arial" w:hAnsi="Arial" w:cs="Arial"/>
        </w:rPr>
      </w:pPr>
      <w:proofErr w:type="spellStart"/>
      <w:r w:rsidRPr="0044746E">
        <w:rPr>
          <w:rFonts w:ascii="Arial" w:hAnsi="Arial" w:cs="Arial"/>
        </w:rPr>
        <w:t>Nideffer</w:t>
      </w:r>
      <w:proofErr w:type="spellEnd"/>
      <w:r w:rsidRPr="0044746E">
        <w:rPr>
          <w:rFonts w:ascii="Arial" w:hAnsi="Arial" w:cs="Arial"/>
        </w:rPr>
        <w:t xml:space="preserve">, J., Ty, M., Donato, M., John, R., </w:t>
      </w:r>
      <w:proofErr w:type="spellStart"/>
      <w:r w:rsidRPr="0044746E">
        <w:rPr>
          <w:rFonts w:ascii="Arial" w:hAnsi="Arial" w:cs="Arial"/>
        </w:rPr>
        <w:t>Kajubi</w:t>
      </w:r>
      <w:proofErr w:type="spellEnd"/>
      <w:r w:rsidRPr="0044746E">
        <w:rPr>
          <w:rFonts w:ascii="Arial" w:hAnsi="Arial" w:cs="Arial"/>
        </w:rPr>
        <w:t xml:space="preserve">, R., Ji, X., </w:t>
      </w:r>
      <w:proofErr w:type="spellStart"/>
      <w:r w:rsidRPr="0044746E">
        <w:rPr>
          <w:rFonts w:ascii="Arial" w:hAnsi="Arial" w:cs="Arial"/>
        </w:rPr>
        <w:t>Maecker</w:t>
      </w:r>
      <w:proofErr w:type="spellEnd"/>
      <w:r w:rsidRPr="0044746E">
        <w:rPr>
          <w:rFonts w:ascii="Arial" w:hAnsi="Arial" w:cs="Arial"/>
        </w:rPr>
        <w:t>, H., Nankya, F., Musinguzi, K., Press, K., Greenhouse, B., Kamya, M., Feeney, M., Dorsey, G., Utz, P., Pulendran, B., Khatri, P., &amp; Jagannathan, P. (2023). Disease Tolerance Acquired Through Repeated Plasmodium Infection Involves Epigenetic Reprogramming of Innate Immune Cells. </w:t>
      </w:r>
      <w:proofErr w:type="spellStart"/>
      <w:r w:rsidRPr="0044746E">
        <w:rPr>
          <w:rFonts w:ascii="Arial" w:hAnsi="Arial" w:cs="Arial"/>
          <w:i/>
          <w:iCs/>
        </w:rPr>
        <w:t>bioRxiv</w:t>
      </w:r>
      <w:proofErr w:type="spellEnd"/>
      <w:r w:rsidRPr="0044746E">
        <w:rPr>
          <w:rFonts w:ascii="Arial" w:hAnsi="Arial" w:cs="Arial"/>
        </w:rPr>
        <w:t xml:space="preserve">. </w:t>
      </w:r>
      <w:hyperlink r:id="rId24" w:history="1">
        <w:r w:rsidRPr="0044746E">
          <w:rPr>
            <w:rStyle w:val="Hyperlink"/>
            <w:rFonts w:ascii="Arial" w:hAnsi="Arial" w:cs="Arial"/>
          </w:rPr>
          <w:t>https://doi.org/10.1101/2023.04.19.537546</w:t>
        </w:r>
      </w:hyperlink>
      <w:r w:rsidRPr="0044746E">
        <w:rPr>
          <w:rFonts w:ascii="Arial" w:hAnsi="Arial" w:cs="Arial"/>
        </w:rPr>
        <w:t>.</w:t>
      </w:r>
    </w:p>
    <w:p w14:paraId="509B896B"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Nie, Y., Song, C., Huang, H., Mao, S., Ding, K., &amp; Tang, H. (2024). Chromatin modifiers in human disease: from functional roles to regulatory mechanisms. </w:t>
      </w:r>
      <w:r w:rsidRPr="0044746E">
        <w:rPr>
          <w:rFonts w:ascii="Arial" w:hAnsi="Arial" w:cs="Arial"/>
          <w:i/>
          <w:iCs/>
        </w:rPr>
        <w:t>Molecular Biomedicine</w:t>
      </w:r>
      <w:r w:rsidRPr="0044746E">
        <w:rPr>
          <w:rFonts w:ascii="Arial" w:hAnsi="Arial" w:cs="Arial"/>
        </w:rPr>
        <w:t xml:space="preserve">, 5. </w:t>
      </w:r>
      <w:hyperlink r:id="rId25" w:history="1">
        <w:r w:rsidRPr="0044746E">
          <w:rPr>
            <w:rStyle w:val="Hyperlink"/>
            <w:rFonts w:ascii="Arial" w:hAnsi="Arial" w:cs="Arial"/>
          </w:rPr>
          <w:t>https://doi.org/10.1186/s43556-024-00175-1</w:t>
        </w:r>
      </w:hyperlink>
      <w:r w:rsidRPr="0044746E">
        <w:rPr>
          <w:rFonts w:ascii="Arial" w:hAnsi="Arial" w:cs="Arial"/>
        </w:rPr>
        <w:t>.</w:t>
      </w:r>
    </w:p>
    <w:p w14:paraId="79F3AA68"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Niller, H., Masa, R., </w:t>
      </w:r>
      <w:proofErr w:type="spellStart"/>
      <w:r w:rsidRPr="0044746E">
        <w:rPr>
          <w:rFonts w:ascii="Arial" w:hAnsi="Arial" w:cs="Arial"/>
        </w:rPr>
        <w:t>Venkei</w:t>
      </w:r>
      <w:proofErr w:type="spellEnd"/>
      <w:r w:rsidRPr="0044746E">
        <w:rPr>
          <w:rFonts w:ascii="Arial" w:hAnsi="Arial" w:cs="Arial"/>
        </w:rPr>
        <w:t xml:space="preserve">, A., Mészáros, S., &amp; </w:t>
      </w:r>
      <w:proofErr w:type="spellStart"/>
      <w:r w:rsidRPr="0044746E">
        <w:rPr>
          <w:rFonts w:ascii="Arial" w:hAnsi="Arial" w:cs="Arial"/>
        </w:rPr>
        <w:t>Minárovits</w:t>
      </w:r>
      <w:proofErr w:type="spellEnd"/>
      <w:r w:rsidRPr="0044746E">
        <w:rPr>
          <w:rFonts w:ascii="Arial" w:hAnsi="Arial" w:cs="Arial"/>
        </w:rPr>
        <w:t>, J. (2017). Pathogenic mechanisms of intracellular bacteria. </w:t>
      </w:r>
      <w:r w:rsidRPr="0044746E">
        <w:rPr>
          <w:rFonts w:ascii="Arial" w:hAnsi="Arial" w:cs="Arial"/>
          <w:i/>
          <w:iCs/>
        </w:rPr>
        <w:t>Current Opinion in Infectious Diseases</w:t>
      </w:r>
      <w:r w:rsidRPr="0044746E">
        <w:rPr>
          <w:rFonts w:ascii="Arial" w:hAnsi="Arial" w:cs="Arial"/>
        </w:rPr>
        <w:t xml:space="preserve">, 30, 309–315. </w:t>
      </w:r>
      <w:hyperlink r:id="rId26" w:history="1">
        <w:r w:rsidRPr="0044746E">
          <w:rPr>
            <w:rStyle w:val="Hyperlink"/>
            <w:rFonts w:ascii="Arial" w:hAnsi="Arial" w:cs="Arial"/>
          </w:rPr>
          <w:t>https://doi.org/10.1097/qco.0000000000000363</w:t>
        </w:r>
      </w:hyperlink>
      <w:r w:rsidRPr="0044746E">
        <w:rPr>
          <w:rFonts w:ascii="Arial" w:hAnsi="Arial" w:cs="Arial"/>
        </w:rPr>
        <w:t>.</w:t>
      </w:r>
    </w:p>
    <w:p w14:paraId="13DD3E2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Pang, A., &amp; Corley, M. (2025). Epigenetic reprogramming of the host immune system during acute HIV. </w:t>
      </w:r>
      <w:r w:rsidRPr="0044746E">
        <w:rPr>
          <w:rFonts w:ascii="Arial" w:hAnsi="Arial" w:cs="Arial"/>
          <w:i/>
          <w:iCs/>
        </w:rPr>
        <w:t>Current Opinion in HIV and AIDS</w:t>
      </w:r>
      <w:r w:rsidRPr="0044746E">
        <w:rPr>
          <w:rFonts w:ascii="Arial" w:hAnsi="Arial" w:cs="Arial"/>
        </w:rPr>
        <w:t xml:space="preserve">, 20, 209 - 217. </w:t>
      </w:r>
      <w:hyperlink r:id="rId27" w:history="1">
        <w:r w:rsidRPr="0044746E">
          <w:rPr>
            <w:rStyle w:val="Hyperlink"/>
            <w:rFonts w:ascii="Arial" w:hAnsi="Arial" w:cs="Arial"/>
          </w:rPr>
          <w:t>https://doi.org/10.1097/coh.0000000000000935</w:t>
        </w:r>
      </w:hyperlink>
      <w:r w:rsidRPr="0044746E">
        <w:rPr>
          <w:rFonts w:ascii="Arial" w:hAnsi="Arial" w:cs="Arial"/>
        </w:rPr>
        <w:t>.</w:t>
      </w:r>
    </w:p>
    <w:p w14:paraId="29A57CFD"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Panni, S., Lovering, R., Porras, P., &amp; Orchard, S. (2020). Non-coding RNA regulatory </w:t>
      </w:r>
      <w:proofErr w:type="gramStart"/>
      <w:r w:rsidRPr="0044746E">
        <w:rPr>
          <w:rFonts w:ascii="Arial" w:hAnsi="Arial" w:cs="Arial"/>
        </w:rPr>
        <w:t>networks..</w:t>
      </w:r>
      <w:proofErr w:type="gramEnd"/>
      <w:r w:rsidRPr="0044746E">
        <w:rPr>
          <w:rFonts w:ascii="Arial" w:hAnsi="Arial" w:cs="Arial"/>
        </w:rPr>
        <w:t> </w:t>
      </w:r>
      <w:proofErr w:type="spellStart"/>
      <w:r w:rsidRPr="0044746E">
        <w:rPr>
          <w:rFonts w:ascii="Arial" w:hAnsi="Arial" w:cs="Arial"/>
          <w:i/>
          <w:iCs/>
        </w:rPr>
        <w:t>Biochimica</w:t>
      </w:r>
      <w:proofErr w:type="spellEnd"/>
      <w:r w:rsidRPr="0044746E">
        <w:rPr>
          <w:rFonts w:ascii="Arial" w:hAnsi="Arial" w:cs="Arial"/>
          <w:i/>
          <w:iCs/>
        </w:rPr>
        <w:t xml:space="preserve"> et </w:t>
      </w:r>
      <w:proofErr w:type="spellStart"/>
      <w:r w:rsidRPr="0044746E">
        <w:rPr>
          <w:rFonts w:ascii="Arial" w:hAnsi="Arial" w:cs="Arial"/>
          <w:i/>
          <w:iCs/>
        </w:rPr>
        <w:t>biophysica</w:t>
      </w:r>
      <w:proofErr w:type="spellEnd"/>
      <w:r w:rsidRPr="0044746E">
        <w:rPr>
          <w:rFonts w:ascii="Arial" w:hAnsi="Arial" w:cs="Arial"/>
          <w:i/>
          <w:iCs/>
        </w:rPr>
        <w:t xml:space="preserve"> acta. Gene regulatory mechanisms</w:t>
      </w:r>
      <w:r w:rsidRPr="0044746E">
        <w:rPr>
          <w:rFonts w:ascii="Arial" w:hAnsi="Arial" w:cs="Arial"/>
        </w:rPr>
        <w:t xml:space="preserve">, </w:t>
      </w:r>
      <w:proofErr w:type="gramStart"/>
      <w:r w:rsidRPr="0044746E">
        <w:rPr>
          <w:rFonts w:ascii="Arial" w:hAnsi="Arial" w:cs="Arial"/>
        </w:rPr>
        <w:t>194417 .</w:t>
      </w:r>
      <w:proofErr w:type="gramEnd"/>
      <w:r w:rsidRPr="0044746E">
        <w:rPr>
          <w:rFonts w:ascii="Arial" w:hAnsi="Arial" w:cs="Arial"/>
        </w:rPr>
        <w:t xml:space="preserve"> </w:t>
      </w:r>
      <w:hyperlink r:id="rId28" w:history="1">
        <w:r w:rsidRPr="0044746E">
          <w:rPr>
            <w:rStyle w:val="Hyperlink"/>
            <w:rFonts w:ascii="Arial" w:hAnsi="Arial" w:cs="Arial"/>
          </w:rPr>
          <w:t>https://doi.org/10.1016/j.bbagrm.2019.194417</w:t>
        </w:r>
      </w:hyperlink>
      <w:r w:rsidRPr="0044746E">
        <w:rPr>
          <w:rFonts w:ascii="Arial" w:hAnsi="Arial" w:cs="Arial"/>
        </w:rPr>
        <w:t>.</w:t>
      </w:r>
    </w:p>
    <w:p w14:paraId="4CB8B93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Perez, S., Kaspi, A., </w:t>
      </w:r>
      <w:proofErr w:type="spellStart"/>
      <w:r w:rsidRPr="0044746E">
        <w:rPr>
          <w:rFonts w:ascii="Arial" w:hAnsi="Arial" w:cs="Arial"/>
        </w:rPr>
        <w:t>Domovitz</w:t>
      </w:r>
      <w:proofErr w:type="spellEnd"/>
      <w:r w:rsidRPr="0044746E">
        <w:rPr>
          <w:rFonts w:ascii="Arial" w:hAnsi="Arial" w:cs="Arial"/>
        </w:rPr>
        <w:t xml:space="preserve">, T., Davidovich, A., Lavi-Itzkovitz, A., </w:t>
      </w:r>
      <w:proofErr w:type="spellStart"/>
      <w:r w:rsidRPr="0044746E">
        <w:rPr>
          <w:rFonts w:ascii="Arial" w:hAnsi="Arial" w:cs="Arial"/>
        </w:rPr>
        <w:t>Meirson</w:t>
      </w:r>
      <w:proofErr w:type="spellEnd"/>
      <w:r w:rsidRPr="0044746E">
        <w:rPr>
          <w:rFonts w:ascii="Arial" w:hAnsi="Arial" w:cs="Arial"/>
        </w:rPr>
        <w:t>, T., Holmes, J., Dai, C., Huang, C., Chung, R., Nimer, A., El-Osta, A., Yaari, G., Stemmer, S., Yu, M., Haviv, I., &amp; Gal-</w:t>
      </w:r>
      <w:proofErr w:type="spellStart"/>
      <w:r w:rsidRPr="0044746E">
        <w:rPr>
          <w:rFonts w:ascii="Arial" w:hAnsi="Arial" w:cs="Arial"/>
        </w:rPr>
        <w:t>Tanamy</w:t>
      </w:r>
      <w:proofErr w:type="spellEnd"/>
      <w:r w:rsidRPr="0044746E">
        <w:rPr>
          <w:rFonts w:ascii="Arial" w:hAnsi="Arial" w:cs="Arial"/>
        </w:rPr>
        <w:t>, M. (2019). Hepatitis C virus leaves an epigenetic signature post cure of infection by direct-acting antivirals. </w:t>
      </w:r>
      <w:proofErr w:type="spellStart"/>
      <w:r w:rsidRPr="0044746E">
        <w:rPr>
          <w:rFonts w:ascii="Arial" w:hAnsi="Arial" w:cs="Arial"/>
          <w:i/>
          <w:iCs/>
        </w:rPr>
        <w:t>PLoS</w:t>
      </w:r>
      <w:proofErr w:type="spellEnd"/>
      <w:r w:rsidRPr="0044746E">
        <w:rPr>
          <w:rFonts w:ascii="Arial" w:hAnsi="Arial" w:cs="Arial"/>
          <w:i/>
          <w:iCs/>
        </w:rPr>
        <w:t xml:space="preserve"> Genetics</w:t>
      </w:r>
      <w:r w:rsidRPr="0044746E">
        <w:rPr>
          <w:rFonts w:ascii="Arial" w:hAnsi="Arial" w:cs="Arial"/>
        </w:rPr>
        <w:t>, 15. https://doi.org/10.1371/journal.pgen.1008181.</w:t>
      </w:r>
    </w:p>
    <w:p w14:paraId="65A59159"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Peterson, J., Lewis, C., Burgos, S., Manickam, A., Xu, Y., Rowley, A., Clutton, G., Richardson, B., Zou, F., Simon, J., Margolis, D., Goonetilleke, N., &amp; Browne, E. (2023). A histone deacetylase network regulates epigenetic reprogramming and viral silencing in HIV-infected </w:t>
      </w:r>
      <w:proofErr w:type="gramStart"/>
      <w:r w:rsidRPr="0044746E">
        <w:rPr>
          <w:rFonts w:ascii="Arial" w:hAnsi="Arial" w:cs="Arial"/>
        </w:rPr>
        <w:t>cells..</w:t>
      </w:r>
      <w:proofErr w:type="gramEnd"/>
      <w:r w:rsidRPr="0044746E">
        <w:rPr>
          <w:rFonts w:ascii="Arial" w:hAnsi="Arial" w:cs="Arial"/>
        </w:rPr>
        <w:t> </w:t>
      </w:r>
      <w:r w:rsidRPr="0044746E">
        <w:rPr>
          <w:rFonts w:ascii="Arial" w:hAnsi="Arial" w:cs="Arial"/>
          <w:i/>
          <w:iCs/>
        </w:rPr>
        <w:t>Cell chemical biology</w:t>
      </w:r>
      <w:r w:rsidRPr="0044746E">
        <w:rPr>
          <w:rFonts w:ascii="Arial" w:hAnsi="Arial" w:cs="Arial"/>
        </w:rPr>
        <w:t>, 30 12, 1617-1633.e</w:t>
      </w:r>
      <w:proofErr w:type="gramStart"/>
      <w:r w:rsidRPr="0044746E">
        <w:rPr>
          <w:rFonts w:ascii="Arial" w:hAnsi="Arial" w:cs="Arial"/>
        </w:rPr>
        <w:t>9 .</w:t>
      </w:r>
      <w:proofErr w:type="gramEnd"/>
      <w:r w:rsidRPr="0044746E">
        <w:rPr>
          <w:rFonts w:ascii="Arial" w:hAnsi="Arial" w:cs="Arial"/>
        </w:rPr>
        <w:t xml:space="preserve"> </w:t>
      </w:r>
      <w:hyperlink r:id="rId29" w:history="1">
        <w:r w:rsidRPr="0044746E">
          <w:rPr>
            <w:rStyle w:val="Hyperlink"/>
            <w:rFonts w:ascii="Arial" w:hAnsi="Arial" w:cs="Arial"/>
          </w:rPr>
          <w:t>https://doi.org/10.1016/j.chembiol.2023.11.009</w:t>
        </w:r>
      </w:hyperlink>
      <w:r w:rsidRPr="0044746E">
        <w:rPr>
          <w:rFonts w:ascii="Arial" w:hAnsi="Arial" w:cs="Arial"/>
        </w:rPr>
        <w:t>.</w:t>
      </w:r>
    </w:p>
    <w:p w14:paraId="1BC5E989"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Ramazi, S., Allahverdi, A., &amp; Zahiri, J. (2020). Evaluation of post-translational modifications in histone proteins: A review on histone modification defects in developmental and neurological disorders. </w:t>
      </w:r>
      <w:r w:rsidRPr="0044746E">
        <w:rPr>
          <w:rFonts w:ascii="Arial" w:hAnsi="Arial" w:cs="Arial"/>
          <w:i/>
          <w:iCs/>
        </w:rPr>
        <w:t>Journal of Biosciences</w:t>
      </w:r>
      <w:r w:rsidRPr="0044746E">
        <w:rPr>
          <w:rFonts w:ascii="Arial" w:hAnsi="Arial" w:cs="Arial"/>
        </w:rPr>
        <w:t xml:space="preserve">, 45, 1-29. </w:t>
      </w:r>
      <w:hyperlink r:id="rId30" w:history="1">
        <w:r w:rsidRPr="0044746E">
          <w:rPr>
            <w:rStyle w:val="Hyperlink"/>
            <w:rFonts w:ascii="Arial" w:hAnsi="Arial" w:cs="Arial"/>
          </w:rPr>
          <w:t>https://doi.org/10.1007/s12038-020-00099-2</w:t>
        </w:r>
      </w:hyperlink>
      <w:r w:rsidRPr="0044746E">
        <w:rPr>
          <w:rFonts w:ascii="Arial" w:hAnsi="Arial" w:cs="Arial"/>
        </w:rPr>
        <w:t>.</w:t>
      </w:r>
    </w:p>
    <w:p w14:paraId="129CFD5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Ramos, J., Sparano, J., Chadburn, A., Reid, E., </w:t>
      </w:r>
      <w:proofErr w:type="spellStart"/>
      <w:r w:rsidRPr="0044746E">
        <w:rPr>
          <w:rFonts w:ascii="Arial" w:hAnsi="Arial" w:cs="Arial"/>
        </w:rPr>
        <w:t>Ambinder</w:t>
      </w:r>
      <w:proofErr w:type="spellEnd"/>
      <w:r w:rsidRPr="0044746E">
        <w:rPr>
          <w:rFonts w:ascii="Arial" w:hAnsi="Arial" w:cs="Arial"/>
        </w:rPr>
        <w:t xml:space="preserve">, R., Siegel, E., Moore, P., Rubinstein, P., Durand, C., Cesarman, E., Aboulafia, D., Baiocchi, R., Ratner, L., Kaplan, L., Capoferri, A., Lee, J., </w:t>
      </w:r>
      <w:proofErr w:type="spellStart"/>
      <w:r w:rsidRPr="0044746E">
        <w:rPr>
          <w:rFonts w:ascii="Arial" w:hAnsi="Arial" w:cs="Arial"/>
        </w:rPr>
        <w:t>Mitsuyasu</w:t>
      </w:r>
      <w:proofErr w:type="spellEnd"/>
      <w:r w:rsidRPr="0044746E">
        <w:rPr>
          <w:rFonts w:ascii="Arial" w:hAnsi="Arial" w:cs="Arial"/>
        </w:rPr>
        <w:t xml:space="preserve">, R., &amp; Noy, A. (2020). Impact of </w:t>
      </w:r>
      <w:proofErr w:type="spellStart"/>
      <w:r w:rsidRPr="0044746E">
        <w:rPr>
          <w:rFonts w:ascii="Arial" w:hAnsi="Arial" w:cs="Arial"/>
        </w:rPr>
        <w:t>Myc</w:t>
      </w:r>
      <w:proofErr w:type="spellEnd"/>
      <w:r w:rsidRPr="0044746E">
        <w:rPr>
          <w:rFonts w:ascii="Arial" w:hAnsi="Arial" w:cs="Arial"/>
        </w:rPr>
        <w:t xml:space="preserve"> in HIV-associated Non-Hodgkin Lymphomas Treated with EPOCH, and Outcomes with </w:t>
      </w:r>
      <w:proofErr w:type="spellStart"/>
      <w:r w:rsidRPr="0044746E">
        <w:rPr>
          <w:rFonts w:ascii="Arial" w:hAnsi="Arial" w:cs="Arial"/>
        </w:rPr>
        <w:t>Vorinostat</w:t>
      </w:r>
      <w:proofErr w:type="spellEnd"/>
      <w:r w:rsidRPr="0044746E">
        <w:rPr>
          <w:rFonts w:ascii="Arial" w:hAnsi="Arial" w:cs="Arial"/>
        </w:rPr>
        <w:t xml:space="preserve"> (AMC075 Trial</w:t>
      </w:r>
      <w:proofErr w:type="gramStart"/>
      <w:r w:rsidRPr="0044746E">
        <w:rPr>
          <w:rFonts w:ascii="Arial" w:hAnsi="Arial" w:cs="Arial"/>
        </w:rPr>
        <w:t>)..</w:t>
      </w:r>
      <w:proofErr w:type="gramEnd"/>
      <w:r w:rsidRPr="0044746E">
        <w:rPr>
          <w:rFonts w:ascii="Arial" w:hAnsi="Arial" w:cs="Arial"/>
        </w:rPr>
        <w:t> </w:t>
      </w:r>
      <w:r w:rsidRPr="0044746E">
        <w:rPr>
          <w:rFonts w:ascii="Arial" w:hAnsi="Arial" w:cs="Arial"/>
          <w:i/>
          <w:iCs/>
        </w:rPr>
        <w:t>Blood</w:t>
      </w:r>
      <w:r w:rsidRPr="0044746E">
        <w:rPr>
          <w:rFonts w:ascii="Arial" w:hAnsi="Arial" w:cs="Arial"/>
        </w:rPr>
        <w:t xml:space="preserve">. </w:t>
      </w:r>
      <w:hyperlink r:id="rId31" w:history="1">
        <w:r w:rsidRPr="0044746E">
          <w:rPr>
            <w:rStyle w:val="Hyperlink"/>
            <w:rFonts w:ascii="Arial" w:hAnsi="Arial" w:cs="Arial"/>
          </w:rPr>
          <w:t>https://doi.org/10.1182/blood.2019003959</w:t>
        </w:r>
      </w:hyperlink>
      <w:r w:rsidRPr="0044746E">
        <w:rPr>
          <w:rFonts w:ascii="Arial" w:hAnsi="Arial" w:cs="Arial"/>
        </w:rPr>
        <w:t>.</w:t>
      </w:r>
    </w:p>
    <w:p w14:paraId="2BAEF06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Rubio, K., Hernández-Cruz, E., Rogel-Ayala, D., Sarvari, P., Isidoro, C., Barreto, G., &amp; Pedraza-Chaverri, J. (2023). </w:t>
      </w:r>
      <w:proofErr w:type="spellStart"/>
      <w:r w:rsidRPr="0044746E">
        <w:rPr>
          <w:rFonts w:ascii="Arial" w:hAnsi="Arial" w:cs="Arial"/>
        </w:rPr>
        <w:t>Nutriepigenomics</w:t>
      </w:r>
      <w:proofErr w:type="spellEnd"/>
      <w:r w:rsidRPr="0044746E">
        <w:rPr>
          <w:rFonts w:ascii="Arial" w:hAnsi="Arial" w:cs="Arial"/>
        </w:rPr>
        <w:t xml:space="preserve"> in Environmental-Associated Oxidative Stress. </w:t>
      </w:r>
      <w:r w:rsidRPr="0044746E">
        <w:rPr>
          <w:rFonts w:ascii="Arial" w:hAnsi="Arial" w:cs="Arial"/>
          <w:i/>
          <w:iCs/>
        </w:rPr>
        <w:t>Antioxidants</w:t>
      </w:r>
      <w:r w:rsidRPr="0044746E">
        <w:rPr>
          <w:rFonts w:ascii="Arial" w:hAnsi="Arial" w:cs="Arial"/>
        </w:rPr>
        <w:t xml:space="preserve">, 12. </w:t>
      </w:r>
      <w:hyperlink r:id="rId32" w:history="1">
        <w:r w:rsidRPr="0044746E">
          <w:rPr>
            <w:rStyle w:val="Hyperlink"/>
            <w:rFonts w:ascii="Arial" w:hAnsi="Arial" w:cs="Arial"/>
          </w:rPr>
          <w:t>https://doi.org/10.3390/antiox12030771</w:t>
        </w:r>
      </w:hyperlink>
      <w:r w:rsidRPr="0044746E">
        <w:rPr>
          <w:rFonts w:ascii="Arial" w:hAnsi="Arial" w:cs="Arial"/>
        </w:rPr>
        <w:t>.</w:t>
      </w:r>
    </w:p>
    <w:p w14:paraId="71489EEA"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Ryu, H., &amp; Hochstrasser, M. (2021). Histone </w:t>
      </w:r>
      <w:proofErr w:type="spellStart"/>
      <w:r w:rsidRPr="0044746E">
        <w:rPr>
          <w:rFonts w:ascii="Arial" w:hAnsi="Arial" w:cs="Arial"/>
        </w:rPr>
        <w:t>sumoylation</w:t>
      </w:r>
      <w:proofErr w:type="spellEnd"/>
      <w:r w:rsidRPr="0044746E">
        <w:rPr>
          <w:rFonts w:ascii="Arial" w:hAnsi="Arial" w:cs="Arial"/>
        </w:rPr>
        <w:t xml:space="preserve"> and chromatin dynamics. </w:t>
      </w:r>
      <w:r w:rsidRPr="0044746E">
        <w:rPr>
          <w:rFonts w:ascii="Arial" w:hAnsi="Arial" w:cs="Arial"/>
          <w:i/>
          <w:iCs/>
        </w:rPr>
        <w:t>Nucleic Acids Research</w:t>
      </w:r>
      <w:r w:rsidRPr="0044746E">
        <w:rPr>
          <w:rFonts w:ascii="Arial" w:hAnsi="Arial" w:cs="Arial"/>
        </w:rPr>
        <w:t xml:space="preserve">, 49, 6043 - 6052. </w:t>
      </w:r>
      <w:hyperlink r:id="rId33" w:history="1">
        <w:r w:rsidRPr="0044746E">
          <w:rPr>
            <w:rStyle w:val="Hyperlink"/>
            <w:rFonts w:ascii="Arial" w:hAnsi="Arial" w:cs="Arial"/>
          </w:rPr>
          <w:t>https://doi.org/10.1093/nar/gkab280</w:t>
        </w:r>
      </w:hyperlink>
      <w:r w:rsidRPr="0044746E">
        <w:rPr>
          <w:rFonts w:ascii="Arial" w:hAnsi="Arial" w:cs="Arial"/>
        </w:rPr>
        <w:t>.</w:t>
      </w:r>
    </w:p>
    <w:p w14:paraId="0A05638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Sadida, H., Abdulla, A., </w:t>
      </w:r>
      <w:proofErr w:type="spellStart"/>
      <w:r w:rsidRPr="0044746E">
        <w:rPr>
          <w:rFonts w:ascii="Arial" w:hAnsi="Arial" w:cs="Arial"/>
        </w:rPr>
        <w:t>Marzooqi</w:t>
      </w:r>
      <w:proofErr w:type="spellEnd"/>
      <w:r w:rsidRPr="0044746E">
        <w:rPr>
          <w:rFonts w:ascii="Arial" w:hAnsi="Arial" w:cs="Arial"/>
        </w:rPr>
        <w:t>, S., Hashem, S., Macha, M., Akil, A., &amp; Bhat, A. (2023). Epigenetic modifications: Key players in cancer heterogeneity and drug resistance. </w:t>
      </w:r>
      <w:r w:rsidRPr="0044746E">
        <w:rPr>
          <w:rFonts w:ascii="Arial" w:hAnsi="Arial" w:cs="Arial"/>
          <w:i/>
          <w:iCs/>
        </w:rPr>
        <w:t>Translational Oncology</w:t>
      </w:r>
      <w:r w:rsidRPr="0044746E">
        <w:rPr>
          <w:rFonts w:ascii="Arial" w:hAnsi="Arial" w:cs="Arial"/>
        </w:rPr>
        <w:t xml:space="preserve">, 39. </w:t>
      </w:r>
      <w:hyperlink r:id="rId34" w:history="1">
        <w:r w:rsidRPr="0044746E">
          <w:rPr>
            <w:rStyle w:val="Hyperlink"/>
            <w:rFonts w:ascii="Arial" w:hAnsi="Arial" w:cs="Arial"/>
          </w:rPr>
          <w:t>https://doi.org/10.1016/j.tranon.2023.101821</w:t>
        </w:r>
      </w:hyperlink>
      <w:r w:rsidRPr="0044746E">
        <w:rPr>
          <w:rFonts w:ascii="Arial" w:hAnsi="Arial" w:cs="Arial"/>
        </w:rPr>
        <w:t>.</w:t>
      </w:r>
    </w:p>
    <w:p w14:paraId="0BC7264E"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Saha, A., Ganguly, A., Kumar, A., Srivastava, N., &amp; Pathak, R. (2025). Harnessing Epigenetics: Innovative Approaches in Diagnosing and Combating Viral Acute Respiratory Infections. </w:t>
      </w:r>
      <w:r w:rsidRPr="0044746E">
        <w:rPr>
          <w:rFonts w:ascii="Arial" w:hAnsi="Arial" w:cs="Arial"/>
          <w:i/>
          <w:iCs/>
        </w:rPr>
        <w:t>Pathogens</w:t>
      </w:r>
      <w:r w:rsidRPr="0044746E">
        <w:rPr>
          <w:rFonts w:ascii="Arial" w:hAnsi="Arial" w:cs="Arial"/>
        </w:rPr>
        <w:t>, 14. https://doi.org/10.3390/pathogens14020129.</w:t>
      </w:r>
    </w:p>
    <w:p w14:paraId="72153B06"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Sauvage, D., Bosseler, M., </w:t>
      </w:r>
      <w:proofErr w:type="spellStart"/>
      <w:r w:rsidRPr="0044746E">
        <w:rPr>
          <w:rFonts w:ascii="Arial" w:hAnsi="Arial" w:cs="Arial"/>
        </w:rPr>
        <w:t>Viry</w:t>
      </w:r>
      <w:proofErr w:type="spellEnd"/>
      <w:r w:rsidRPr="0044746E">
        <w:rPr>
          <w:rFonts w:ascii="Arial" w:hAnsi="Arial" w:cs="Arial"/>
        </w:rPr>
        <w:t xml:space="preserve">, E., </w:t>
      </w:r>
      <w:proofErr w:type="spellStart"/>
      <w:r w:rsidRPr="0044746E">
        <w:rPr>
          <w:rFonts w:ascii="Arial" w:hAnsi="Arial" w:cs="Arial"/>
        </w:rPr>
        <w:t>Kanli</w:t>
      </w:r>
      <w:proofErr w:type="spellEnd"/>
      <w:r w:rsidRPr="0044746E">
        <w:rPr>
          <w:rFonts w:ascii="Arial" w:hAnsi="Arial" w:cs="Arial"/>
        </w:rPr>
        <w:t xml:space="preserve">, G., Oudin, A., Berchem, G., Keunen, O., &amp; </w:t>
      </w:r>
      <w:proofErr w:type="spellStart"/>
      <w:r w:rsidRPr="0044746E">
        <w:rPr>
          <w:rFonts w:ascii="Arial" w:hAnsi="Arial" w:cs="Arial"/>
        </w:rPr>
        <w:t>Janji</w:t>
      </w:r>
      <w:proofErr w:type="spellEnd"/>
      <w:r w:rsidRPr="0044746E">
        <w:rPr>
          <w:rFonts w:ascii="Arial" w:hAnsi="Arial" w:cs="Arial"/>
        </w:rPr>
        <w:t>, B. (2022). The BET Protein Inhibitor JQ1 Decreases Hypoxia and Improves the Therapeutic Benefit of Anti-PD-1 in a High-Risk Neuroblastoma Mouse Model. </w:t>
      </w:r>
      <w:r w:rsidRPr="0044746E">
        <w:rPr>
          <w:rFonts w:ascii="Arial" w:hAnsi="Arial" w:cs="Arial"/>
          <w:i/>
          <w:iCs/>
        </w:rPr>
        <w:t>Cells</w:t>
      </w:r>
      <w:r w:rsidRPr="0044746E">
        <w:rPr>
          <w:rFonts w:ascii="Arial" w:hAnsi="Arial" w:cs="Arial"/>
        </w:rPr>
        <w:t xml:space="preserve">, 11. </w:t>
      </w:r>
      <w:hyperlink r:id="rId35" w:history="1">
        <w:r w:rsidRPr="0044746E">
          <w:rPr>
            <w:rStyle w:val="Hyperlink"/>
            <w:rFonts w:ascii="Arial" w:hAnsi="Arial" w:cs="Arial"/>
          </w:rPr>
          <w:t>https://doi.org/10.3390/cells11182783</w:t>
        </w:r>
      </w:hyperlink>
      <w:r w:rsidRPr="0044746E">
        <w:rPr>
          <w:rFonts w:ascii="Arial" w:hAnsi="Arial" w:cs="Arial"/>
        </w:rPr>
        <w:t>.</w:t>
      </w:r>
    </w:p>
    <w:p w14:paraId="33865A54" w14:textId="77777777" w:rsidR="0044746E" w:rsidRPr="0044746E" w:rsidRDefault="0044746E" w:rsidP="0044746E">
      <w:pPr>
        <w:spacing w:line="276" w:lineRule="auto"/>
        <w:ind w:left="720" w:hanging="720"/>
        <w:jc w:val="both"/>
        <w:rPr>
          <w:rFonts w:ascii="Arial" w:hAnsi="Arial" w:cs="Arial"/>
        </w:rPr>
      </w:pPr>
      <w:proofErr w:type="spellStart"/>
      <w:r w:rsidRPr="0044746E">
        <w:rPr>
          <w:rFonts w:ascii="Arial" w:hAnsi="Arial" w:cs="Arial"/>
        </w:rPr>
        <w:t>Statello</w:t>
      </w:r>
      <w:proofErr w:type="spellEnd"/>
      <w:r w:rsidRPr="0044746E">
        <w:rPr>
          <w:rFonts w:ascii="Arial" w:hAnsi="Arial" w:cs="Arial"/>
        </w:rPr>
        <w:t>, L., Guo, C., Chen, L., &amp; Huarte, M. (2020). Gene regulation by long non-coding RNAs and its biological functions. </w:t>
      </w:r>
      <w:r w:rsidRPr="0044746E">
        <w:rPr>
          <w:rFonts w:ascii="Arial" w:hAnsi="Arial" w:cs="Arial"/>
          <w:i/>
          <w:iCs/>
        </w:rPr>
        <w:t>Nature Reviews. Molecular Cell Biology</w:t>
      </w:r>
      <w:r w:rsidRPr="0044746E">
        <w:rPr>
          <w:rFonts w:ascii="Arial" w:hAnsi="Arial" w:cs="Arial"/>
        </w:rPr>
        <w:t xml:space="preserve">, 22, 96 - 118. </w:t>
      </w:r>
      <w:hyperlink r:id="rId36" w:history="1">
        <w:r w:rsidRPr="0044746E">
          <w:rPr>
            <w:rStyle w:val="Hyperlink"/>
            <w:rFonts w:ascii="Arial" w:hAnsi="Arial" w:cs="Arial"/>
          </w:rPr>
          <w:t>https://doi.org/10.1038/s41580-020-00315-9</w:t>
        </w:r>
      </w:hyperlink>
      <w:r w:rsidRPr="0044746E">
        <w:rPr>
          <w:rFonts w:ascii="Arial" w:hAnsi="Arial" w:cs="Arial"/>
        </w:rPr>
        <w:t>.</w:t>
      </w:r>
    </w:p>
    <w:p w14:paraId="444419D0"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Sun, Y., Han, J., Wang, Z., Li, X., Sun, Y., &amp; Hu, Z. (2021). Safety and Efficacy of Bromodomain and Extra-Terminal Inhibitors for the Treatment of Hematological Malignancies and Solid Tumors: A Systematic Study of Clinical Trials. </w:t>
      </w:r>
      <w:r w:rsidRPr="0044746E">
        <w:rPr>
          <w:rFonts w:ascii="Arial" w:hAnsi="Arial" w:cs="Arial"/>
          <w:i/>
          <w:iCs/>
        </w:rPr>
        <w:t>Frontiers in Pharmacology</w:t>
      </w:r>
      <w:r w:rsidRPr="0044746E">
        <w:rPr>
          <w:rFonts w:ascii="Arial" w:hAnsi="Arial" w:cs="Arial"/>
        </w:rPr>
        <w:t xml:space="preserve">, 11. </w:t>
      </w:r>
      <w:hyperlink r:id="rId37" w:history="1">
        <w:r w:rsidRPr="0044746E">
          <w:rPr>
            <w:rStyle w:val="Hyperlink"/>
            <w:rFonts w:ascii="Arial" w:hAnsi="Arial" w:cs="Arial"/>
          </w:rPr>
          <w:t>https://doi.org/10.3389/fphar.2020.621093</w:t>
        </w:r>
      </w:hyperlink>
      <w:r w:rsidRPr="0044746E">
        <w:rPr>
          <w:rFonts w:ascii="Arial" w:hAnsi="Arial" w:cs="Arial"/>
        </w:rPr>
        <w:t>.</w:t>
      </w:r>
    </w:p>
    <w:p w14:paraId="039F1D7A"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Urbano, A., Smith, J., Weeks, R. J., &amp; Chatterjee, A. (2019). Gene-specific targeting of DNA methylation in the mammalian genome. </w:t>
      </w:r>
      <w:r w:rsidRPr="0044746E">
        <w:rPr>
          <w:rFonts w:ascii="Arial" w:hAnsi="Arial" w:cs="Arial"/>
          <w:i/>
          <w:iCs/>
        </w:rPr>
        <w:t>Cancers</w:t>
      </w:r>
      <w:r w:rsidRPr="0044746E">
        <w:rPr>
          <w:rFonts w:ascii="Arial" w:hAnsi="Arial" w:cs="Arial"/>
        </w:rPr>
        <w:t>, </w:t>
      </w:r>
      <w:r w:rsidRPr="0044746E">
        <w:rPr>
          <w:rFonts w:ascii="Arial" w:hAnsi="Arial" w:cs="Arial"/>
          <w:i/>
          <w:iCs/>
        </w:rPr>
        <w:t>11</w:t>
      </w:r>
      <w:r w:rsidRPr="0044746E">
        <w:rPr>
          <w:rFonts w:ascii="Arial" w:hAnsi="Arial" w:cs="Arial"/>
        </w:rPr>
        <w:t>(10), 1515.</w:t>
      </w:r>
    </w:p>
    <w:p w14:paraId="0A3A8DCB"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Venu, V., Small, E., Roth, C., Adikari, S., </w:t>
      </w:r>
      <w:proofErr w:type="spellStart"/>
      <w:r w:rsidRPr="0044746E">
        <w:rPr>
          <w:rFonts w:ascii="Arial" w:hAnsi="Arial" w:cs="Arial"/>
        </w:rPr>
        <w:t>Vlot</w:t>
      </w:r>
      <w:proofErr w:type="spellEnd"/>
      <w:r w:rsidRPr="0044746E">
        <w:rPr>
          <w:rFonts w:ascii="Arial" w:hAnsi="Arial" w:cs="Arial"/>
        </w:rPr>
        <w:t xml:space="preserve">, A., Sullivan, K., </w:t>
      </w:r>
      <w:proofErr w:type="spellStart"/>
      <w:r w:rsidRPr="0044746E">
        <w:rPr>
          <w:rFonts w:ascii="Arial" w:hAnsi="Arial" w:cs="Arial"/>
        </w:rPr>
        <w:t>Abeyratne</w:t>
      </w:r>
      <w:proofErr w:type="spellEnd"/>
      <w:r w:rsidRPr="0044746E">
        <w:rPr>
          <w:rFonts w:ascii="Arial" w:hAnsi="Arial" w:cs="Arial"/>
        </w:rPr>
        <w:t xml:space="preserve">, C., Jacobson, D., Starkenburg, S., </w:t>
      </w:r>
      <w:proofErr w:type="spellStart"/>
      <w:r w:rsidRPr="0044746E">
        <w:rPr>
          <w:rFonts w:ascii="Arial" w:hAnsi="Arial" w:cs="Arial"/>
        </w:rPr>
        <w:t>Sanbonmatsu</w:t>
      </w:r>
      <w:proofErr w:type="spellEnd"/>
      <w:r w:rsidRPr="0044746E">
        <w:rPr>
          <w:rFonts w:ascii="Arial" w:hAnsi="Arial" w:cs="Arial"/>
        </w:rPr>
        <w:t xml:space="preserve">, K., &amp; Steadman, C. (2025). Disruption of histone acetylation homeostasis reveals multilayered </w:t>
      </w:r>
      <w:r w:rsidRPr="0044746E">
        <w:rPr>
          <w:rFonts w:ascii="Arial" w:hAnsi="Arial" w:cs="Arial"/>
        </w:rPr>
        <w:lastRenderedPageBreak/>
        <w:t xml:space="preserve">chromatin regulation for transcriptional resiliency. Epigenetics &amp; Chromatin, 18. </w:t>
      </w:r>
      <w:hyperlink r:id="rId38" w:history="1">
        <w:r w:rsidRPr="0044746E">
          <w:rPr>
            <w:rStyle w:val="Hyperlink"/>
            <w:rFonts w:ascii="Arial" w:hAnsi="Arial" w:cs="Arial"/>
          </w:rPr>
          <w:t>https://doi.org/10.1186/s13072-025-00631-4</w:t>
        </w:r>
      </w:hyperlink>
      <w:r w:rsidRPr="0044746E">
        <w:rPr>
          <w:rFonts w:ascii="Arial" w:hAnsi="Arial" w:cs="Arial"/>
        </w:rPr>
        <w:t>.</w:t>
      </w:r>
    </w:p>
    <w:p w14:paraId="035E4844"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Wang, K., He, Z., Jin, G., Jin, S., Du, Y., Yuan, S., &amp; Zhang, J. (2024). Targeting DNA methyltransferases for cancer </w:t>
      </w:r>
      <w:proofErr w:type="gramStart"/>
      <w:r w:rsidRPr="0044746E">
        <w:rPr>
          <w:rFonts w:ascii="Arial" w:hAnsi="Arial" w:cs="Arial"/>
        </w:rPr>
        <w:t>therapy..</w:t>
      </w:r>
      <w:proofErr w:type="gramEnd"/>
      <w:r w:rsidRPr="0044746E">
        <w:rPr>
          <w:rFonts w:ascii="Arial" w:hAnsi="Arial" w:cs="Arial"/>
        </w:rPr>
        <w:t> </w:t>
      </w:r>
      <w:r w:rsidRPr="0044746E">
        <w:rPr>
          <w:rFonts w:ascii="Arial" w:hAnsi="Arial" w:cs="Arial"/>
          <w:i/>
          <w:iCs/>
        </w:rPr>
        <w:t>Bioorganic chemistry</w:t>
      </w:r>
      <w:r w:rsidRPr="0044746E">
        <w:rPr>
          <w:rFonts w:ascii="Arial" w:hAnsi="Arial" w:cs="Arial"/>
        </w:rPr>
        <w:t xml:space="preserve">, 151, </w:t>
      </w:r>
      <w:proofErr w:type="gramStart"/>
      <w:r w:rsidRPr="0044746E">
        <w:rPr>
          <w:rFonts w:ascii="Arial" w:hAnsi="Arial" w:cs="Arial"/>
        </w:rPr>
        <w:t>107652 .</w:t>
      </w:r>
      <w:proofErr w:type="gramEnd"/>
      <w:r w:rsidRPr="0044746E">
        <w:rPr>
          <w:rFonts w:ascii="Arial" w:hAnsi="Arial" w:cs="Arial"/>
        </w:rPr>
        <w:t xml:space="preserve"> </w:t>
      </w:r>
      <w:hyperlink r:id="rId39" w:history="1">
        <w:r w:rsidRPr="0044746E">
          <w:rPr>
            <w:rStyle w:val="Hyperlink"/>
            <w:rFonts w:ascii="Arial" w:hAnsi="Arial" w:cs="Arial"/>
          </w:rPr>
          <w:t>https://doi.org/10.1016/j.bioorg.2024.107652</w:t>
        </w:r>
      </w:hyperlink>
      <w:r w:rsidRPr="0044746E">
        <w:rPr>
          <w:rFonts w:ascii="Arial" w:hAnsi="Arial" w:cs="Arial"/>
        </w:rPr>
        <w:t>.</w:t>
      </w:r>
    </w:p>
    <w:p w14:paraId="53070FED"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Wang, Z., Liu, N., Yang, Y., &amp; Tu, Z. (2024). The novel mechanism facilitating chronic hepatitis B infection: immunometabolism and epigenetic modification reprogramming. </w:t>
      </w:r>
      <w:r w:rsidRPr="0044746E">
        <w:rPr>
          <w:rFonts w:ascii="Arial" w:hAnsi="Arial" w:cs="Arial"/>
          <w:i/>
          <w:iCs/>
        </w:rPr>
        <w:t>Frontiers in Immunology</w:t>
      </w:r>
      <w:r w:rsidRPr="0044746E">
        <w:rPr>
          <w:rFonts w:ascii="Arial" w:hAnsi="Arial" w:cs="Arial"/>
        </w:rPr>
        <w:t xml:space="preserve">, 15. </w:t>
      </w:r>
      <w:hyperlink r:id="rId40" w:history="1">
        <w:r w:rsidRPr="0044746E">
          <w:rPr>
            <w:rStyle w:val="Hyperlink"/>
            <w:rFonts w:ascii="Arial" w:hAnsi="Arial" w:cs="Arial"/>
          </w:rPr>
          <w:t>https://doi.org/10.3389/fimmu.2024.1349867</w:t>
        </w:r>
      </w:hyperlink>
      <w:r w:rsidRPr="0044746E">
        <w:rPr>
          <w:rFonts w:ascii="Arial" w:hAnsi="Arial" w:cs="Arial"/>
        </w:rPr>
        <w:t>.</w:t>
      </w:r>
    </w:p>
    <w:p w14:paraId="50FACBEA"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Wu, H., Eckhardt, C., &amp; </w:t>
      </w:r>
      <w:proofErr w:type="spellStart"/>
      <w:r w:rsidRPr="0044746E">
        <w:rPr>
          <w:rFonts w:ascii="Arial" w:hAnsi="Arial" w:cs="Arial"/>
        </w:rPr>
        <w:t>Baccarelli</w:t>
      </w:r>
      <w:proofErr w:type="spellEnd"/>
      <w:r w:rsidRPr="0044746E">
        <w:rPr>
          <w:rFonts w:ascii="Arial" w:hAnsi="Arial" w:cs="Arial"/>
        </w:rPr>
        <w:t>, A. (2023). Molecular mechanisms of environmental exposures and human disease. </w:t>
      </w:r>
      <w:r w:rsidRPr="0044746E">
        <w:rPr>
          <w:rFonts w:ascii="Arial" w:hAnsi="Arial" w:cs="Arial"/>
          <w:i/>
          <w:iCs/>
        </w:rPr>
        <w:t>Nature Reviews Genetics</w:t>
      </w:r>
      <w:r w:rsidRPr="0044746E">
        <w:rPr>
          <w:rFonts w:ascii="Arial" w:hAnsi="Arial" w:cs="Arial"/>
        </w:rPr>
        <w:t>, 24, 332-344. https://doi.org/10.1038/s41576-022-00569-3.</w:t>
      </w:r>
    </w:p>
    <w:p w14:paraId="406DC186"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Yadav, A., Mathan, J., Dubey, A., &amp; Singh, A. (2024). The Emerging Role of Non-Coding RNAs (ncRNAs) in Plant Growth, Development, and Stress Response Signaling. </w:t>
      </w:r>
      <w:r w:rsidRPr="0044746E">
        <w:rPr>
          <w:rFonts w:ascii="Arial" w:hAnsi="Arial" w:cs="Arial"/>
          <w:i/>
          <w:iCs/>
        </w:rPr>
        <w:t>Non-Coding RNA</w:t>
      </w:r>
      <w:r w:rsidRPr="0044746E">
        <w:rPr>
          <w:rFonts w:ascii="Arial" w:hAnsi="Arial" w:cs="Arial"/>
        </w:rPr>
        <w:t>, 10. https://doi.org/10.3390/ncrna10010013.</w:t>
      </w:r>
    </w:p>
    <w:p w14:paraId="4DA612A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Yang, J., Xu, J., Wang, W., Zhang, B., Yu, X., &amp; Shi, S. (2023). Epigenetic regulation in the tumor microenvironment: molecular mechanisms and therapeutic targets. </w:t>
      </w:r>
      <w:r w:rsidRPr="0044746E">
        <w:rPr>
          <w:rFonts w:ascii="Arial" w:hAnsi="Arial" w:cs="Arial"/>
          <w:i/>
          <w:iCs/>
        </w:rPr>
        <w:t>Signal Transduction and Targeted Therapy</w:t>
      </w:r>
      <w:r w:rsidRPr="0044746E">
        <w:rPr>
          <w:rFonts w:ascii="Arial" w:hAnsi="Arial" w:cs="Arial"/>
        </w:rPr>
        <w:t>, 8. https://doi.org/10.1038/s41392-023-01480-x.</w:t>
      </w:r>
    </w:p>
    <w:p w14:paraId="7725D2B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Yao, W., Hu, X., &amp; Wang, X. (2024). Crossing epigenetic frontiers: the intersection of novel histone modifications and diseases. </w:t>
      </w:r>
      <w:r w:rsidRPr="0044746E">
        <w:rPr>
          <w:rFonts w:ascii="Arial" w:hAnsi="Arial" w:cs="Arial"/>
          <w:i/>
          <w:iCs/>
        </w:rPr>
        <w:t>Signal Transduction and Targeted Therapy</w:t>
      </w:r>
      <w:r w:rsidRPr="0044746E">
        <w:rPr>
          <w:rFonts w:ascii="Arial" w:hAnsi="Arial" w:cs="Arial"/>
        </w:rPr>
        <w:t>, 9. https://doi.org/10.1038/s41392-024-01918-w.</w:t>
      </w:r>
    </w:p>
    <w:p w14:paraId="011114EB"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Zhang, L., Lu, Q., &amp; Chang, C. (2020). Epigenetics in health and disease. </w:t>
      </w:r>
      <w:r w:rsidRPr="0044746E">
        <w:rPr>
          <w:rFonts w:ascii="Arial" w:hAnsi="Arial" w:cs="Arial"/>
          <w:i/>
          <w:iCs/>
        </w:rPr>
        <w:t>Epigenetics in allergy and autoimmunity</w:t>
      </w:r>
      <w:r w:rsidRPr="0044746E">
        <w:rPr>
          <w:rFonts w:ascii="Arial" w:hAnsi="Arial" w:cs="Arial"/>
        </w:rPr>
        <w:t>, 3-55.</w:t>
      </w:r>
    </w:p>
    <w:p w14:paraId="075C2077" w14:textId="77777777" w:rsidR="0044746E" w:rsidRPr="001862FE" w:rsidRDefault="0044746E" w:rsidP="0044746E">
      <w:pPr>
        <w:spacing w:after="160" w:line="276" w:lineRule="auto"/>
        <w:ind w:left="720" w:hanging="720"/>
        <w:jc w:val="both"/>
        <w:rPr>
          <w:rFonts w:ascii="Arial" w:hAnsi="Arial" w:cs="Arial"/>
          <w:sz w:val="24"/>
          <w:szCs w:val="24"/>
        </w:rPr>
      </w:pPr>
      <w:r w:rsidRPr="0044746E">
        <w:rPr>
          <w:rFonts w:ascii="Arial" w:hAnsi="Arial" w:cs="Arial"/>
        </w:rPr>
        <w:t xml:space="preserve">Zhao, Y., Chen, Y., Jin, M., &amp; Wang, J. (2021). The crosstalk between m6A RNA methylation and other epigenetic regulators: a novel perspective in epigenetic remodeling. </w:t>
      </w:r>
      <w:proofErr w:type="spellStart"/>
      <w:r w:rsidRPr="0044746E">
        <w:rPr>
          <w:rFonts w:ascii="Arial" w:hAnsi="Arial" w:cs="Arial"/>
        </w:rPr>
        <w:t>Theranostics</w:t>
      </w:r>
      <w:proofErr w:type="spellEnd"/>
      <w:r w:rsidRPr="0044746E">
        <w:rPr>
          <w:rFonts w:ascii="Arial" w:hAnsi="Arial" w:cs="Arial"/>
        </w:rPr>
        <w:t>, 11, 4549 - 4566. https://doi.org/10.7150/thno.54967.</w:t>
      </w:r>
    </w:p>
    <w:p w14:paraId="19DABFDD" w14:textId="77777777" w:rsidR="00315186" w:rsidRPr="0044746E" w:rsidRDefault="00315186" w:rsidP="00441B6F">
      <w:pPr>
        <w:rPr>
          <w:rFonts w:ascii="Arial" w:hAnsi="Arial" w:cs="Arial"/>
        </w:rPr>
      </w:pPr>
    </w:p>
    <w:p w14:paraId="04A0109C" w14:textId="77777777" w:rsidR="00371FB6" w:rsidRPr="0044746E" w:rsidRDefault="00371FB6" w:rsidP="00441B6F">
      <w:pPr>
        <w:pStyle w:val="ReferHead"/>
        <w:spacing w:after="0"/>
        <w:jc w:val="both"/>
        <w:rPr>
          <w:rFonts w:ascii="Arial" w:hAnsi="Arial" w:cs="Arial"/>
          <w:b w:val="0"/>
          <w:caps w:val="0"/>
          <w:sz w:val="20"/>
        </w:rPr>
      </w:pPr>
    </w:p>
    <w:p w14:paraId="0807D21D" w14:textId="77777777" w:rsidR="00B01FCD" w:rsidRPr="0044746E" w:rsidRDefault="00B01FCD" w:rsidP="00441B6F">
      <w:pPr>
        <w:pStyle w:val="Appendix"/>
        <w:spacing w:after="0"/>
        <w:jc w:val="both"/>
        <w:rPr>
          <w:rFonts w:ascii="Arial" w:hAnsi="Arial" w:cs="Arial"/>
          <w:b w:val="0"/>
        </w:rPr>
      </w:pPr>
    </w:p>
    <w:sectPr w:rsidR="00B01FCD" w:rsidRPr="0044746E" w:rsidSect="004A7FD4">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6C908" w14:textId="77777777" w:rsidR="00BC402B" w:rsidRDefault="00BC402B" w:rsidP="00C37E61">
      <w:r>
        <w:separator/>
      </w:r>
    </w:p>
  </w:endnote>
  <w:endnote w:type="continuationSeparator" w:id="0">
    <w:p w14:paraId="1C9BDD57" w14:textId="77777777" w:rsidR="00BC402B" w:rsidRDefault="00BC40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ABED4" w14:textId="77777777" w:rsidR="004A7FD4" w:rsidRDefault="004A7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32F0" w14:textId="15DB80A7" w:rsidR="00C37E61" w:rsidRPr="001C3AB9" w:rsidRDefault="00C37E61" w:rsidP="001C3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C4C76" w14:textId="77777777" w:rsidR="009E048A" w:rsidRDefault="009E048A">
    <w:pPr>
      <w:pStyle w:val="Footer"/>
      <w:rPr>
        <w:rFonts w:ascii="Arial" w:hAnsi="Arial" w:cs="Arial"/>
        <w:sz w:val="16"/>
      </w:rPr>
    </w:pPr>
  </w:p>
  <w:p w14:paraId="045E13C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82962A8" w14:textId="77777777" w:rsidR="009E048A" w:rsidRDefault="009E048A">
    <w:pPr>
      <w:pStyle w:val="Footer"/>
      <w:rPr>
        <w:rFonts w:ascii="Arial" w:hAnsi="Arial" w:cs="Arial"/>
        <w:sz w:val="16"/>
      </w:rPr>
    </w:pPr>
  </w:p>
  <w:p w14:paraId="56BA84B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F8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743DB" w14:textId="77777777" w:rsidR="00BC402B" w:rsidRDefault="00BC402B" w:rsidP="00C37E61">
      <w:r>
        <w:separator/>
      </w:r>
    </w:p>
  </w:footnote>
  <w:footnote w:type="continuationSeparator" w:id="0">
    <w:p w14:paraId="09ECC359" w14:textId="77777777" w:rsidR="00BC402B" w:rsidRDefault="00BC40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C91B5" w14:textId="1FBBD1D0" w:rsidR="004A7FD4" w:rsidRDefault="004A7FD4">
    <w:pPr>
      <w:pStyle w:val="Header"/>
    </w:pPr>
    <w:r>
      <w:rPr>
        <w:noProof/>
      </w:rPr>
      <w:pict w14:anchorId="14306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90304" w14:textId="037D37CB" w:rsidR="004A7FD4" w:rsidRDefault="004A7FD4">
    <w:pPr>
      <w:pStyle w:val="Header"/>
    </w:pPr>
    <w:r>
      <w:rPr>
        <w:noProof/>
      </w:rPr>
      <w:pict w14:anchorId="2E97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8E6C4" w14:textId="7EFF71F8" w:rsidR="00296529" w:rsidRPr="00296529" w:rsidRDefault="004A7FD4" w:rsidP="00296529">
    <w:pPr>
      <w:ind w:left="2160"/>
      <w:jc w:val="center"/>
      <w:rPr>
        <w:rFonts w:ascii="Times New Roman" w:eastAsia="Calibri" w:hAnsi="Times New Roman"/>
        <w:i/>
        <w:sz w:val="18"/>
        <w:szCs w:val="22"/>
      </w:rPr>
    </w:pPr>
    <w:r>
      <w:rPr>
        <w:noProof/>
      </w:rPr>
      <w:pict w14:anchorId="5D221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E9BF1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5510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621B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B6815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8C0E9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179A1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07C3" w14:textId="710AA806" w:rsidR="004A7FD4" w:rsidRDefault="004A7FD4">
    <w:pPr>
      <w:pStyle w:val="Header"/>
    </w:pPr>
    <w:r>
      <w:rPr>
        <w:noProof/>
      </w:rPr>
      <w:pict w14:anchorId="48369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CCCC" w14:textId="2FF6FD37" w:rsidR="004A7FD4" w:rsidRDefault="004A7FD4">
    <w:pPr>
      <w:pStyle w:val="Header"/>
    </w:pPr>
    <w:r>
      <w:rPr>
        <w:noProof/>
      </w:rPr>
      <w:pict w14:anchorId="26629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00D8D" w14:textId="013F003B" w:rsidR="004A7FD4" w:rsidRDefault="004A7FD4">
    <w:pPr>
      <w:pStyle w:val="Header"/>
    </w:pPr>
    <w:r>
      <w:rPr>
        <w:noProof/>
      </w:rPr>
      <w:pict w14:anchorId="610B1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54BF"/>
    <w:rsid w:val="00191062"/>
    <w:rsid w:val="00192B72"/>
    <w:rsid w:val="001A29D8"/>
    <w:rsid w:val="001A5CAA"/>
    <w:rsid w:val="001B0427"/>
    <w:rsid w:val="001C3AB9"/>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46E"/>
    <w:rsid w:val="00450E62"/>
    <w:rsid w:val="004539DB"/>
    <w:rsid w:val="00471A80"/>
    <w:rsid w:val="004A7FD4"/>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623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4619"/>
    <w:rsid w:val="008E710C"/>
    <w:rsid w:val="008F5C1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E44"/>
    <w:rsid w:val="00A94063"/>
    <w:rsid w:val="00AA6219"/>
    <w:rsid w:val="00AA74E0"/>
    <w:rsid w:val="00AB703F"/>
    <w:rsid w:val="00AC6BB8"/>
    <w:rsid w:val="00AE008F"/>
    <w:rsid w:val="00B01FCD"/>
    <w:rsid w:val="00B1776C"/>
    <w:rsid w:val="00B43D5D"/>
    <w:rsid w:val="00B52583"/>
    <w:rsid w:val="00B52896"/>
    <w:rsid w:val="00B95236"/>
    <w:rsid w:val="00B96BD9"/>
    <w:rsid w:val="00BA1B01"/>
    <w:rsid w:val="00BA2641"/>
    <w:rsid w:val="00BB37AA"/>
    <w:rsid w:val="00BC402B"/>
    <w:rsid w:val="00BC53A0"/>
    <w:rsid w:val="00BE62AD"/>
    <w:rsid w:val="00BF121F"/>
    <w:rsid w:val="00BF1F80"/>
    <w:rsid w:val="00C166EF"/>
    <w:rsid w:val="00C17EB0"/>
    <w:rsid w:val="00C27F5F"/>
    <w:rsid w:val="00C30A0F"/>
    <w:rsid w:val="00C37E61"/>
    <w:rsid w:val="00C70F1B"/>
    <w:rsid w:val="00C71A47"/>
    <w:rsid w:val="00C7464C"/>
    <w:rsid w:val="00C85588"/>
    <w:rsid w:val="00CA0921"/>
    <w:rsid w:val="00CD6755"/>
    <w:rsid w:val="00CD6856"/>
    <w:rsid w:val="00CE0089"/>
    <w:rsid w:val="00CE793C"/>
    <w:rsid w:val="00CF193C"/>
    <w:rsid w:val="00D173F1"/>
    <w:rsid w:val="00D74CB0"/>
    <w:rsid w:val="00D8295D"/>
    <w:rsid w:val="00DC2A65"/>
    <w:rsid w:val="00DE0D7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30D1"/>
    <w:rsid w:val="00EE52CB"/>
    <w:rsid w:val="00EF581D"/>
    <w:rsid w:val="00EF7FD8"/>
    <w:rsid w:val="00F06F59"/>
    <w:rsid w:val="00F17988"/>
    <w:rsid w:val="00F469F0"/>
    <w:rsid w:val="00F53273"/>
    <w:rsid w:val="00F755E4"/>
    <w:rsid w:val="00F77D02"/>
    <w:rsid w:val="00FB12A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822B3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ijms22136654" TargetMode="External"/><Relationship Id="rId26" Type="http://schemas.openxmlformats.org/officeDocument/2006/relationships/hyperlink" Target="https://doi.org/10.1097/qco.0000000000000363" TargetMode="External"/><Relationship Id="rId39" Type="http://schemas.openxmlformats.org/officeDocument/2006/relationships/hyperlink" Target="https://doi.org/10.1016/j.bioorg.2024.107652" TargetMode="External"/><Relationship Id="rId21" Type="http://schemas.openxmlformats.org/officeDocument/2006/relationships/hyperlink" Target="https://doi.org/10.1021/acs.biochem.5b01191" TargetMode="External"/><Relationship Id="rId34" Type="http://schemas.openxmlformats.org/officeDocument/2006/relationships/hyperlink" Target="https://doi.org/10.1016/j.tranon.2023.101821"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555-024-10172-z" TargetMode="External"/><Relationship Id="rId29" Type="http://schemas.openxmlformats.org/officeDocument/2006/relationships/hyperlink" Target="https://doi.org/10.1016/j.chembiol.2023.11.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1/2023.04.19.537546" TargetMode="External"/><Relationship Id="rId32" Type="http://schemas.openxmlformats.org/officeDocument/2006/relationships/hyperlink" Target="https://doi.org/10.3390/antiox12030771" TargetMode="External"/><Relationship Id="rId37" Type="http://schemas.openxmlformats.org/officeDocument/2006/relationships/hyperlink" Target="https://doi.org/10.3389/fphar.2020.621093" TargetMode="External"/><Relationship Id="rId40" Type="http://schemas.openxmlformats.org/officeDocument/2006/relationships/hyperlink" Target="https://doi.org/10.3389/fimmu.2024.134986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cell.2025.1559183" TargetMode="External"/><Relationship Id="rId23" Type="http://schemas.openxmlformats.org/officeDocument/2006/relationships/hyperlink" Target="https://doi.org/10.1007/s10142-022-00947-4" TargetMode="External"/><Relationship Id="rId28" Type="http://schemas.openxmlformats.org/officeDocument/2006/relationships/hyperlink" Target="https://doi.org/10.1016/j.bbagrm.2019.194417" TargetMode="External"/><Relationship Id="rId36" Type="http://schemas.openxmlformats.org/officeDocument/2006/relationships/hyperlink" Target="https://doi.org/10.1038/s41580-020-00315-9" TargetMode="External"/><Relationship Id="rId10" Type="http://schemas.openxmlformats.org/officeDocument/2006/relationships/footer" Target="footer1.xml"/><Relationship Id="rId19" Type="http://schemas.openxmlformats.org/officeDocument/2006/relationships/hyperlink" Target="https://doi.org/10.1038/s41580-023-00683-y" TargetMode="External"/><Relationship Id="rId31" Type="http://schemas.openxmlformats.org/officeDocument/2006/relationships/hyperlink" Target="https://doi.org/10.1182/blood.2019003959"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9/fimmu.2021.688132" TargetMode="External"/><Relationship Id="rId22" Type="http://schemas.openxmlformats.org/officeDocument/2006/relationships/hyperlink" Target="https://doi.org/10.3390/cancers12123657" TargetMode="External"/><Relationship Id="rId27" Type="http://schemas.openxmlformats.org/officeDocument/2006/relationships/hyperlink" Target="https://doi.org/10.1097/coh.0000000000000935" TargetMode="External"/><Relationship Id="rId30" Type="http://schemas.openxmlformats.org/officeDocument/2006/relationships/hyperlink" Target="https://doi.org/10.1007/s12038-020-00099-2" TargetMode="External"/><Relationship Id="rId35" Type="http://schemas.openxmlformats.org/officeDocument/2006/relationships/hyperlink" Target="https://doi.org/10.3390/cells11182783"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11/cmi.13169" TargetMode="External"/><Relationship Id="rId25" Type="http://schemas.openxmlformats.org/officeDocument/2006/relationships/hyperlink" Target="https://doi.org/10.1186/s43556-024-00175-1" TargetMode="External"/><Relationship Id="rId33" Type="http://schemas.openxmlformats.org/officeDocument/2006/relationships/hyperlink" Target="https://doi.org/10.1093/nar/gkab280" TargetMode="External"/><Relationship Id="rId38" Type="http://schemas.openxmlformats.org/officeDocument/2006/relationships/hyperlink" Target="https://doi.org/10.1186/s13072-025-00631-4" TargetMode="External"/><Relationship Id="rId46" Type="http://schemas.openxmlformats.org/officeDocument/2006/relationships/theme" Target="theme/theme1.xml"/><Relationship Id="rId20" Type="http://schemas.openxmlformats.org/officeDocument/2006/relationships/hyperlink" Target="https://doi.org/10.3390/genes10020172"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C5F02-0075-498F-A904-901DD35C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12</Pages>
  <Words>5884</Words>
  <Characters>33544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2026-01-22T10:55:00Z</dcterms:modified>
</cp:coreProperties>
</file>