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F8AC24" w14:textId="533B66DC" w:rsidR="00754C9A" w:rsidRPr="00986868" w:rsidRDefault="00986868" w:rsidP="00441B6F">
      <w:pPr>
        <w:pStyle w:val="Title"/>
        <w:spacing w:after="0"/>
        <w:jc w:val="both"/>
        <w:rPr>
          <w:rFonts w:ascii="Arial" w:hAnsi="Arial" w:cs="Arial"/>
          <w:u w:val="single"/>
        </w:rPr>
      </w:pPr>
      <w:r w:rsidRPr="00986868">
        <w:rPr>
          <w:rFonts w:ascii="Arial" w:hAnsi="Arial" w:cs="Arial"/>
          <w:u w:val="single"/>
        </w:rPr>
        <w:t>Case Report</w:t>
      </w:r>
    </w:p>
    <w:p w14:paraId="25CFB957" w14:textId="77777777" w:rsidR="00986868" w:rsidRDefault="00986868" w:rsidP="00441B6F">
      <w:pPr>
        <w:pStyle w:val="Author"/>
        <w:spacing w:line="240" w:lineRule="auto"/>
        <w:rPr>
          <w:rFonts w:ascii="Arial" w:hAnsi="Arial" w:cs="Arial"/>
          <w:bCs/>
          <w:iCs/>
          <w:kern w:val="28"/>
          <w:sz w:val="36"/>
        </w:rPr>
      </w:pPr>
    </w:p>
    <w:p w14:paraId="43F0BB84" w14:textId="4E5AE6C9" w:rsidR="00163BC4" w:rsidRPr="00163BC4" w:rsidRDefault="00B67F14" w:rsidP="00441B6F">
      <w:pPr>
        <w:pStyle w:val="Author"/>
        <w:spacing w:line="240" w:lineRule="auto"/>
        <w:rPr>
          <w:rFonts w:ascii="Arial" w:hAnsi="Arial" w:cs="Arial"/>
          <w:bCs/>
          <w:iCs/>
          <w:kern w:val="28"/>
          <w:sz w:val="36"/>
        </w:rPr>
      </w:pPr>
      <w:r w:rsidRPr="00B67F14">
        <w:rPr>
          <w:rFonts w:ascii="Arial" w:hAnsi="Arial" w:cs="Arial"/>
          <w:bCs/>
          <w:iCs/>
          <w:kern w:val="28"/>
          <w:sz w:val="36"/>
        </w:rPr>
        <w:t xml:space="preserve">Nephroblastoma in Pediatric Urinary Retention: A Rare Clinical Presentation in </w:t>
      </w:r>
      <w:proofErr w:type="spellStart"/>
      <w:r w:rsidRPr="00B67F14">
        <w:rPr>
          <w:rFonts w:ascii="Arial" w:hAnsi="Arial" w:cs="Arial"/>
          <w:bCs/>
          <w:iCs/>
          <w:kern w:val="28"/>
          <w:sz w:val="36"/>
        </w:rPr>
        <w:t>Sekadau</w:t>
      </w:r>
      <w:proofErr w:type="spellEnd"/>
      <w:r w:rsidRPr="00B67F14">
        <w:rPr>
          <w:rFonts w:ascii="Arial" w:hAnsi="Arial" w:cs="Arial"/>
          <w:bCs/>
          <w:iCs/>
          <w:kern w:val="28"/>
          <w:sz w:val="36"/>
        </w:rPr>
        <w:t xml:space="preserve"> General Hospital</w:t>
      </w:r>
      <w:r w:rsidR="00423823">
        <w:rPr>
          <w:rFonts w:ascii="Arial" w:hAnsi="Arial" w:cs="Arial"/>
          <w:bCs/>
          <w:iCs/>
          <w:kern w:val="28"/>
          <w:sz w:val="36"/>
        </w:rPr>
        <w:t xml:space="preserve"> </w:t>
      </w:r>
    </w:p>
    <w:p w14:paraId="05569A03" w14:textId="77777777" w:rsidR="00A258C3" w:rsidRPr="00790ADA" w:rsidRDefault="00A258C3" w:rsidP="00441B6F">
      <w:pPr>
        <w:pStyle w:val="Author"/>
        <w:spacing w:line="240" w:lineRule="auto"/>
        <w:jc w:val="both"/>
        <w:rPr>
          <w:rFonts w:ascii="Arial" w:hAnsi="Arial" w:cs="Arial"/>
          <w:sz w:val="36"/>
        </w:rPr>
      </w:pPr>
    </w:p>
    <w:p w14:paraId="7D3312E3" w14:textId="77777777" w:rsidR="002C57D2" w:rsidRPr="00FB3A86" w:rsidRDefault="002C57D2" w:rsidP="00441B6F">
      <w:pPr>
        <w:pStyle w:val="Affiliation"/>
        <w:spacing w:after="0" w:line="240" w:lineRule="auto"/>
        <w:jc w:val="both"/>
        <w:rPr>
          <w:rFonts w:ascii="Arial" w:hAnsi="Arial" w:cs="Arial"/>
        </w:rPr>
      </w:pPr>
    </w:p>
    <w:p w14:paraId="2B689111" w14:textId="77777777" w:rsidR="00B01FCD" w:rsidRPr="00FB3A86" w:rsidRDefault="00423823" w:rsidP="00441B6F">
      <w:pPr>
        <w:pStyle w:val="Copyright"/>
        <w:spacing w:after="0" w:line="240" w:lineRule="auto"/>
        <w:jc w:val="both"/>
        <w:rPr>
          <w:rFonts w:ascii="Arial" w:hAnsi="Arial" w:cs="Arial"/>
        </w:rPr>
        <w:sectPr w:rsidR="00B01FCD" w:rsidRPr="00FB3A86" w:rsidSect="005F3BF3">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noProof/>
        </w:rPr>
        <mc:AlternateContent>
          <mc:Choice Requires="wps">
            <w:drawing>
              <wp:inline distT="0" distB="0" distL="0" distR="0" wp14:anchorId="00ACAD10" wp14:editId="7B77ED91">
                <wp:extent cx="5303520" cy="635"/>
                <wp:effectExtent l="0" t="12700" r="5080" b="12065"/>
                <wp:docPr id="156974829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359DA5B8" id="_x0000_t32" coordsize="21600,21600" o:spt="32" o:oned="t" path="m,l21600,21600e" filled="f">
                <v:path arrowok="t" fillok="f" o:connecttype="none"/>
                <o:lock v:ext="edit" shapetype="t"/>
              </v:shapetype>
              <v:shape id="AutoShape 2" o:spid="_x0000_s1026" type="#_x0000_t32" style="width:417.6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" strokeweight="1.5pt">
                <o:lock v:ext="edit" shapetype="f"/>
                <w10:anchorlock/>
              </v:shape>
            </w:pict>
          </mc:Fallback>
        </mc:AlternateContent>
      </w:r>
      <w:r w:rsidR="00FB3A86">
        <w:rPr>
          <w:rFonts w:ascii="Arial" w:hAnsi="Arial" w:cs="Arial"/>
        </w:rPr>
        <w:t>.</w:t>
      </w:r>
    </w:p>
    <w:p w14:paraId="659203BA" w14:textId="2778C2C4" w:rsidR="00B01FCD" w:rsidRDefault="00B01FCD" w:rsidP="00441B6F">
      <w:pPr>
        <w:pStyle w:val="AbstHead"/>
        <w:spacing w:after="0"/>
        <w:jc w:val="both"/>
        <w:rPr>
          <w:rFonts w:ascii="Arial" w:hAnsi="Arial" w:cs="Arial"/>
        </w:rPr>
      </w:pPr>
      <w:r w:rsidRPr="00FB3A86">
        <w:rPr>
          <w:rFonts w:ascii="Arial" w:hAnsi="Arial" w:cs="Arial"/>
        </w:rPr>
        <w:t>ABSTRACT</w:t>
      </w:r>
    </w:p>
    <w:p w14:paraId="2DA5EC82" w14:textId="77777777" w:rsidR="00790ADA" w:rsidRPr="00FB3A86"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198"/>
      </w:tblGrid>
      <w:tr w:rsidR="00296529" w:rsidRPr="001E44FE" w14:paraId="18178FA3" w14:textId="77777777" w:rsidTr="001E44FE">
        <w:tc>
          <w:tcPr>
            <w:tcW w:w="9576" w:type="dxa"/>
            <w:shd w:val="clear" w:color="auto" w:fill="F2F2F2"/>
          </w:tcPr>
          <w:p w14:paraId="55077689" w14:textId="1BCCA062" w:rsidR="00BA1B01" w:rsidRPr="00BA1B01" w:rsidRDefault="00423823" w:rsidP="00423823">
            <w:pPr>
              <w:pStyle w:val="Body"/>
              <w:spacing w:after="0"/>
              <w:rPr>
                <w:rFonts w:ascii="Arial" w:eastAsia="Calibri" w:hAnsi="Arial" w:cs="Arial"/>
                <w:szCs w:val="22"/>
              </w:rPr>
            </w:pPr>
            <w:r>
              <w:rPr>
                <w:rFonts w:ascii="Arial" w:eastAsia="Calibri" w:hAnsi="Arial" w:cs="Arial"/>
                <w:b/>
                <w:szCs w:val="22"/>
              </w:rPr>
              <w:t>Introduction</w:t>
            </w:r>
            <w:r w:rsidR="00BA1B01" w:rsidRPr="00BA1B01">
              <w:rPr>
                <w:rFonts w:ascii="Arial" w:eastAsia="Calibri" w:hAnsi="Arial" w:cs="Arial"/>
                <w:b/>
                <w:szCs w:val="22"/>
              </w:rPr>
              <w:t xml:space="preserve">: </w:t>
            </w:r>
            <w:r w:rsidR="00C21AEB" w:rsidRPr="00126F93">
              <w:rPr>
                <w:rFonts w:ascii="Arial" w:hAnsi="Arial" w:cs="Arial"/>
                <w:color w:val="000000"/>
              </w:rPr>
              <w:t>Wilms’ tumor (WT) is the most common malignant renal neoplasm in children and classically presents as an asymptomatic abdominal mass in early childhood. Urological manifestations related to urinary tract obstruction are rare and may obscure the underlying diagnosis, particularly in older children and in settings where delayed presentation is common</w:t>
            </w:r>
            <w:r w:rsidR="00C21AEB">
              <w:rPr>
                <w:rFonts w:ascii="Arial" w:hAnsi="Arial" w:cs="Arial"/>
                <w:color w:val="000000"/>
              </w:rPr>
              <w:t xml:space="preserve">. </w:t>
            </w:r>
          </w:p>
          <w:p w14:paraId="1A5B466E" w14:textId="75C0AE55" w:rsidR="00BA1B01" w:rsidRPr="00BA1B01" w:rsidRDefault="00423823" w:rsidP="00441B6F">
            <w:pPr>
              <w:pStyle w:val="Body"/>
              <w:spacing w:after="0"/>
              <w:rPr>
                <w:rFonts w:ascii="Arial" w:eastAsia="Calibri" w:hAnsi="Arial" w:cs="Arial"/>
                <w:szCs w:val="22"/>
              </w:rPr>
            </w:pPr>
            <w:r>
              <w:rPr>
                <w:rFonts w:ascii="Arial" w:eastAsia="Calibri" w:hAnsi="Arial" w:cs="Arial"/>
                <w:b/>
                <w:bCs/>
                <w:szCs w:val="22"/>
              </w:rPr>
              <w:t>Presentation of Case</w:t>
            </w:r>
            <w:r w:rsidR="00BA1B01" w:rsidRPr="00BA1B01">
              <w:rPr>
                <w:rFonts w:ascii="Arial" w:eastAsia="Calibri" w:hAnsi="Arial" w:cs="Arial"/>
                <w:b/>
                <w:bCs/>
                <w:szCs w:val="22"/>
              </w:rPr>
              <w:t>:</w:t>
            </w:r>
            <w:r w:rsidR="00BA1B01" w:rsidRPr="00BA1B01">
              <w:rPr>
                <w:rFonts w:ascii="Arial" w:eastAsia="Calibri" w:hAnsi="Arial" w:cs="Arial"/>
                <w:szCs w:val="22"/>
              </w:rPr>
              <w:t xml:space="preserve"> </w:t>
            </w:r>
            <w:r w:rsidR="00C21AEB" w:rsidRPr="00126F93">
              <w:rPr>
                <w:rFonts w:ascii="Arial" w:hAnsi="Arial" w:cs="Arial"/>
                <w:color w:val="000000"/>
              </w:rPr>
              <w:t>A 7-year-old boy presented with acute urinary retention caused by extrusion of necrotic soft tissue through the urethral meatus. The patient had a four-month history of progressive abdominal distension without hematuria, trauma, or prior urinary instrumentation. Physical examination revealed a necrotic mass protruding from the urethra and a palpable left-sided abdominal mass. Emergency extraction of the obstructing tissue resulted in immediate relief of urinary retention; histopathological evaluation demonstrated necrotic material. Abdominal ultrasonography identified a solid left renal mass with associated pelvicalyceal system dilatation. The patient subsequently underwent radical nephrectomy. Histopathological examination of the nephrectomy specimen confirmed nephroblastoma with extensive tumor necrosis and capsular infiltration. The postoperative course was uneventful, with complete resolution of obstructive urinary symptoms, and the patient was commenced on risk-adapted adjuvant chemotherapy</w:t>
            </w:r>
            <w:r w:rsidR="00C21AEB">
              <w:rPr>
                <w:rFonts w:ascii="Arial" w:hAnsi="Arial" w:cs="Arial"/>
                <w:color w:val="000000"/>
              </w:rPr>
              <w:t xml:space="preserve">. </w:t>
            </w:r>
          </w:p>
          <w:p w14:paraId="3AA9A993" w14:textId="5E0B5D3C" w:rsidR="00BA1B01" w:rsidRPr="00BA1B01" w:rsidRDefault="00423823" w:rsidP="00441B6F">
            <w:pPr>
              <w:pStyle w:val="Body"/>
              <w:spacing w:after="0"/>
              <w:rPr>
                <w:rFonts w:ascii="Arial" w:eastAsia="Calibri" w:hAnsi="Arial" w:cs="Arial"/>
                <w:b/>
                <w:bCs/>
                <w:szCs w:val="22"/>
              </w:rPr>
            </w:pPr>
            <w:r>
              <w:rPr>
                <w:rFonts w:ascii="Arial" w:eastAsia="Calibri" w:hAnsi="Arial" w:cs="Arial"/>
                <w:b/>
                <w:bCs/>
                <w:szCs w:val="22"/>
              </w:rPr>
              <w:t>Discussion</w:t>
            </w:r>
            <w:r w:rsidR="00BA1B01" w:rsidRPr="00BA1B01">
              <w:rPr>
                <w:rFonts w:ascii="Arial" w:eastAsia="Calibri" w:hAnsi="Arial" w:cs="Arial"/>
                <w:b/>
                <w:bCs/>
                <w:szCs w:val="22"/>
              </w:rPr>
              <w:t>:</w:t>
            </w:r>
            <w:r w:rsidR="00BA1B01" w:rsidRPr="00BA1B01">
              <w:rPr>
                <w:rFonts w:ascii="Arial" w:eastAsia="Calibri" w:hAnsi="Arial" w:cs="Arial"/>
                <w:szCs w:val="22"/>
              </w:rPr>
              <w:t xml:space="preserve"> </w:t>
            </w:r>
            <w:r w:rsidR="00C21AEB" w:rsidRPr="00126F93">
              <w:rPr>
                <w:rFonts w:ascii="Arial" w:hAnsi="Arial" w:cs="Arial"/>
                <w:color w:val="000000"/>
              </w:rPr>
              <w:t xml:space="preserve">Urinary tract obstruction in Wilms’ tumor is most commonly associated with intrapelvic extension, while gross hematuria remains an uncommon feature. </w:t>
            </w:r>
            <w:proofErr w:type="spellStart"/>
            <w:r w:rsidR="00C21AEB" w:rsidRPr="00126F93">
              <w:rPr>
                <w:rFonts w:ascii="Arial" w:hAnsi="Arial" w:cs="Arial"/>
                <w:color w:val="000000"/>
              </w:rPr>
              <w:t>Necroturia</w:t>
            </w:r>
            <w:proofErr w:type="spellEnd"/>
            <w:r w:rsidR="00C21AEB" w:rsidRPr="00126F93">
              <w:rPr>
                <w:rFonts w:ascii="Arial" w:hAnsi="Arial" w:cs="Arial"/>
                <w:color w:val="000000"/>
              </w:rPr>
              <w:t xml:space="preserve"> resulting in acute urinary retention has not previously been reported as a presenting manifestation of WT. This extreme clinical phenotype likely reflects advanced intrapelvic tumor necrosis with migration of devitalized tissue into the urinary tract, underscoring the biological and anatomical heterogeneity of Wilms’ tumor</w:t>
            </w:r>
            <w:r w:rsidR="00C21AEB">
              <w:rPr>
                <w:rFonts w:ascii="Arial" w:hAnsi="Arial" w:cs="Arial"/>
                <w:color w:val="000000"/>
              </w:rPr>
              <w:t xml:space="preserve">. </w:t>
            </w:r>
          </w:p>
          <w:p w14:paraId="0D5BDC1A" w14:textId="2D29A0F9" w:rsidR="00505F06" w:rsidRPr="00BA1B01" w:rsidRDefault="00BA1B01" w:rsidP="00441B6F">
            <w:pPr>
              <w:pStyle w:val="Body"/>
              <w:spacing w:after="0"/>
              <w:rPr>
                <w:rFonts w:ascii="Arial" w:eastAsia="Calibri" w:hAnsi="Arial" w:cs="Arial"/>
                <w:szCs w:val="22"/>
              </w:rPr>
            </w:pPr>
            <w:r w:rsidRPr="00BA1B01">
              <w:rPr>
                <w:rFonts w:ascii="Arial" w:eastAsia="Calibri" w:hAnsi="Arial" w:cs="Arial"/>
                <w:b/>
                <w:bCs/>
                <w:szCs w:val="22"/>
              </w:rPr>
              <w:t>Conclusion:</w:t>
            </w:r>
            <w:r w:rsidRPr="00BA1B01">
              <w:rPr>
                <w:rFonts w:ascii="Arial" w:eastAsia="Calibri" w:hAnsi="Arial" w:cs="Arial"/>
                <w:szCs w:val="22"/>
              </w:rPr>
              <w:t xml:space="preserve"> </w:t>
            </w:r>
            <w:r w:rsidR="00C21AEB" w:rsidRPr="00126F93">
              <w:rPr>
                <w:rFonts w:ascii="Arial" w:hAnsi="Arial" w:cs="Arial"/>
                <w:color w:val="000000"/>
              </w:rPr>
              <w:t xml:space="preserve">Wilms’ tumor may rarely present with </w:t>
            </w:r>
            <w:proofErr w:type="spellStart"/>
            <w:r w:rsidR="00C21AEB" w:rsidRPr="00126F93">
              <w:rPr>
                <w:rFonts w:ascii="Arial" w:hAnsi="Arial" w:cs="Arial"/>
                <w:color w:val="000000"/>
              </w:rPr>
              <w:t>necroturia</w:t>
            </w:r>
            <w:proofErr w:type="spellEnd"/>
            <w:r w:rsidR="00C21AEB" w:rsidRPr="00126F93">
              <w:rPr>
                <w:rFonts w:ascii="Arial" w:hAnsi="Arial" w:cs="Arial"/>
                <w:color w:val="000000"/>
              </w:rPr>
              <w:t xml:space="preserve"> and acute urinary retention. Recognition of such atypical presentations broadens the clinical spectrum of WT and highlights the importance of thorough abdominal examination in children presenting with unusual lower urinary tract symptoms</w:t>
            </w:r>
            <w:r w:rsidR="00C21AEB">
              <w:rPr>
                <w:rFonts w:ascii="Arial" w:hAnsi="Arial" w:cs="Arial"/>
                <w:color w:val="000000"/>
              </w:rPr>
              <w:t xml:space="preserve">. </w:t>
            </w:r>
          </w:p>
        </w:tc>
      </w:tr>
    </w:tbl>
    <w:p w14:paraId="5AEE30E9" w14:textId="77777777" w:rsidR="00636EB2" w:rsidRDefault="00636EB2" w:rsidP="00441B6F">
      <w:pPr>
        <w:pStyle w:val="Body"/>
        <w:spacing w:after="0"/>
        <w:rPr>
          <w:rFonts w:ascii="Arial" w:hAnsi="Arial" w:cs="Arial"/>
          <w:i/>
        </w:rPr>
      </w:pPr>
    </w:p>
    <w:p w14:paraId="295B1536" w14:textId="6D0795B6" w:rsidR="00505F06" w:rsidRPr="00667B98" w:rsidRDefault="00A24E7E" w:rsidP="00441B6F">
      <w:pPr>
        <w:pStyle w:val="Body"/>
        <w:spacing w:after="0"/>
        <w:rPr>
          <w:rFonts w:ascii="Arial" w:hAnsi="Arial" w:cs="Arial"/>
          <w:i/>
        </w:rPr>
      </w:pPr>
      <w:r>
        <w:rPr>
          <w:rFonts w:ascii="Arial" w:hAnsi="Arial" w:cs="Arial"/>
          <w:i/>
        </w:rPr>
        <w:t>Keywords:</w:t>
      </w:r>
      <w:r w:rsidR="00C21AEB">
        <w:rPr>
          <w:rFonts w:ascii="Arial" w:hAnsi="Arial" w:cs="Arial"/>
          <w:i/>
        </w:rPr>
        <w:t xml:space="preserve"> </w:t>
      </w:r>
      <w:r w:rsidR="00C21AEB" w:rsidRPr="00126F93">
        <w:rPr>
          <w:rFonts w:ascii="Arial" w:hAnsi="Arial" w:cs="Arial"/>
          <w:color w:val="000000"/>
        </w:rPr>
        <w:t>Wilms’ tumor</w:t>
      </w:r>
      <w:r w:rsidR="00C21AEB">
        <w:rPr>
          <w:rFonts w:ascii="Arial" w:hAnsi="Arial" w:cs="Arial"/>
          <w:color w:val="000000"/>
        </w:rPr>
        <w:t>,</w:t>
      </w:r>
      <w:r w:rsidR="00C21AEB" w:rsidRPr="00126F93">
        <w:rPr>
          <w:rFonts w:ascii="Arial" w:hAnsi="Arial" w:cs="Arial"/>
          <w:color w:val="000000"/>
        </w:rPr>
        <w:t xml:space="preserve"> Nephroblastoma</w:t>
      </w:r>
      <w:r w:rsidR="00C21AEB">
        <w:rPr>
          <w:rFonts w:ascii="Arial" w:hAnsi="Arial" w:cs="Arial"/>
          <w:color w:val="000000"/>
        </w:rPr>
        <w:t>,</w:t>
      </w:r>
      <w:r w:rsidR="00C21AEB" w:rsidRPr="00126F93">
        <w:rPr>
          <w:rFonts w:ascii="Arial" w:hAnsi="Arial" w:cs="Arial"/>
          <w:color w:val="000000"/>
        </w:rPr>
        <w:t xml:space="preserve"> </w:t>
      </w:r>
      <w:proofErr w:type="spellStart"/>
      <w:r w:rsidR="00C21AEB" w:rsidRPr="00126F93">
        <w:rPr>
          <w:rFonts w:ascii="Arial" w:hAnsi="Arial" w:cs="Arial"/>
          <w:color w:val="000000"/>
        </w:rPr>
        <w:t>Necroturia</w:t>
      </w:r>
      <w:proofErr w:type="spellEnd"/>
      <w:r w:rsidR="00C21AEB">
        <w:rPr>
          <w:rFonts w:ascii="Arial" w:hAnsi="Arial" w:cs="Arial"/>
          <w:color w:val="000000"/>
        </w:rPr>
        <w:t>,</w:t>
      </w:r>
      <w:r w:rsidR="00C21AEB" w:rsidRPr="00126F93">
        <w:rPr>
          <w:rFonts w:ascii="Arial" w:hAnsi="Arial" w:cs="Arial"/>
          <w:color w:val="000000"/>
        </w:rPr>
        <w:t xml:space="preserve"> Acute urinary retention</w:t>
      </w:r>
      <w:r w:rsidR="00C21AEB">
        <w:rPr>
          <w:rFonts w:ascii="Arial" w:hAnsi="Arial" w:cs="Arial"/>
          <w:color w:val="000000"/>
        </w:rPr>
        <w:t>,</w:t>
      </w:r>
      <w:r w:rsidR="00C21AEB" w:rsidRPr="00126F93">
        <w:rPr>
          <w:rFonts w:ascii="Arial" w:hAnsi="Arial" w:cs="Arial"/>
          <w:color w:val="000000"/>
        </w:rPr>
        <w:t xml:space="preserve"> Pediatric urology</w:t>
      </w:r>
    </w:p>
    <w:p w14:paraId="6F988345" w14:textId="086CE636" w:rsidR="00B52896" w:rsidRDefault="00B52896" w:rsidP="00667B98">
      <w:pPr>
        <w:pStyle w:val="Body"/>
        <w:spacing w:after="0"/>
        <w:rPr>
          <w:rFonts w:ascii="Arial" w:hAnsi="Arial" w:cs="Arial"/>
          <w:i/>
          <w:sz w:val="18"/>
        </w:rPr>
      </w:pPr>
    </w:p>
    <w:p w14:paraId="48F0D0F9" w14:textId="77777777" w:rsidR="0024282C" w:rsidRDefault="0024282C" w:rsidP="00441B6F">
      <w:pPr>
        <w:pStyle w:val="Body"/>
        <w:spacing w:after="0"/>
        <w:rPr>
          <w:rFonts w:ascii="Arial" w:hAnsi="Arial" w:cs="Arial"/>
          <w:i/>
          <w:sz w:val="18"/>
        </w:rPr>
      </w:pPr>
    </w:p>
    <w:p w14:paraId="6D1BFDE2" w14:textId="77777777" w:rsidR="00667B98" w:rsidRDefault="00667B98" w:rsidP="00441B6F">
      <w:pPr>
        <w:pStyle w:val="Body"/>
        <w:spacing w:after="0"/>
        <w:rPr>
          <w:rFonts w:ascii="Arial" w:hAnsi="Arial" w:cs="Arial"/>
          <w:i/>
          <w:sz w:val="18"/>
        </w:rPr>
      </w:pPr>
    </w:p>
    <w:p w14:paraId="598DB14E" w14:textId="77777777" w:rsidR="00505F06" w:rsidRPr="00A24E7E" w:rsidRDefault="00505F06" w:rsidP="00441B6F">
      <w:pPr>
        <w:pStyle w:val="Body"/>
        <w:spacing w:after="0"/>
        <w:rPr>
          <w:rFonts w:ascii="Arial" w:hAnsi="Arial" w:cs="Arial"/>
          <w:i/>
        </w:rPr>
      </w:pPr>
    </w:p>
    <w:p w14:paraId="2BD7D6CD" w14:textId="5299183B"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p>
    <w:p w14:paraId="12584BAB" w14:textId="77777777" w:rsidR="00790ADA" w:rsidRPr="00FB3A86" w:rsidRDefault="00790ADA" w:rsidP="00441B6F">
      <w:pPr>
        <w:pStyle w:val="AbstHead"/>
        <w:spacing w:after="0"/>
        <w:jc w:val="both"/>
        <w:rPr>
          <w:rFonts w:ascii="Arial" w:hAnsi="Arial" w:cs="Arial"/>
        </w:rPr>
      </w:pPr>
    </w:p>
    <w:p w14:paraId="16775168" w14:textId="37314805" w:rsidR="0075604F" w:rsidRDefault="0075604F" w:rsidP="0075604F">
      <w:pPr>
        <w:pStyle w:val="Body"/>
        <w:ind w:firstLine="720"/>
        <w:rPr>
          <w:rFonts w:ascii="Arial" w:eastAsia="Calibri" w:hAnsi="Arial" w:cs="Arial"/>
          <w:szCs w:val="22"/>
          <w:lang w:val="en-ID"/>
        </w:rPr>
      </w:pPr>
      <w:r w:rsidRPr="0075604F">
        <w:rPr>
          <w:rFonts w:ascii="Arial" w:eastAsia="Calibri" w:hAnsi="Arial" w:cs="Arial"/>
          <w:szCs w:val="22"/>
          <w:lang w:val="en-ID"/>
        </w:rPr>
        <w:t xml:space="preserve">Wilms’ </w:t>
      </w:r>
      <w:proofErr w:type="spellStart"/>
      <w:r w:rsidRPr="0075604F">
        <w:rPr>
          <w:rFonts w:ascii="Arial" w:eastAsia="Calibri" w:hAnsi="Arial" w:cs="Arial"/>
          <w:szCs w:val="22"/>
          <w:lang w:val="en-ID"/>
        </w:rPr>
        <w:t>tumor</w:t>
      </w:r>
      <w:proofErr w:type="spellEnd"/>
      <w:r w:rsidRPr="0075604F">
        <w:rPr>
          <w:rFonts w:ascii="Arial" w:eastAsia="Calibri" w:hAnsi="Arial" w:cs="Arial"/>
          <w:szCs w:val="22"/>
          <w:lang w:val="en-ID"/>
        </w:rPr>
        <w:t xml:space="preserve"> (WT), also known as nephroblastoma, was originally characterized by Max Wilms</w:t>
      </w:r>
      <w:r w:rsidR="00F33CE9">
        <w:rPr>
          <w:rFonts w:ascii="Arial" w:eastAsia="Calibri" w:hAnsi="Arial" w:cs="Arial"/>
          <w:szCs w:val="22"/>
          <w:lang w:val="en-ID"/>
        </w:rPr>
        <w:t xml:space="preserve"> (Olukayode et al., 2014)</w:t>
      </w:r>
      <w:r w:rsidRPr="0075604F">
        <w:rPr>
          <w:rFonts w:ascii="Arial" w:eastAsia="Calibri" w:hAnsi="Arial" w:cs="Arial"/>
          <w:szCs w:val="22"/>
          <w:lang w:val="en-ID"/>
        </w:rPr>
        <w:t xml:space="preserve">. It represents the fifth most prevalent malignancy in the </w:t>
      </w:r>
      <w:proofErr w:type="spellStart"/>
      <w:r w:rsidRPr="0075604F">
        <w:rPr>
          <w:rFonts w:ascii="Arial" w:eastAsia="Calibri" w:hAnsi="Arial" w:cs="Arial"/>
          <w:szCs w:val="22"/>
          <w:lang w:val="en-ID"/>
        </w:rPr>
        <w:lastRenderedPageBreak/>
        <w:t>pediatric</w:t>
      </w:r>
      <w:proofErr w:type="spellEnd"/>
      <w:r w:rsidRPr="0075604F">
        <w:rPr>
          <w:rFonts w:ascii="Arial" w:eastAsia="Calibri" w:hAnsi="Arial" w:cs="Arial"/>
          <w:szCs w:val="22"/>
          <w:lang w:val="en-ID"/>
        </w:rPr>
        <w:t xml:space="preserve"> population and is the second most common intra-abdominal </w:t>
      </w:r>
      <w:proofErr w:type="spellStart"/>
      <w:r w:rsidRPr="0075604F">
        <w:rPr>
          <w:rFonts w:ascii="Arial" w:eastAsia="Calibri" w:hAnsi="Arial" w:cs="Arial"/>
          <w:szCs w:val="22"/>
          <w:lang w:val="en-ID"/>
        </w:rPr>
        <w:t>tumor</w:t>
      </w:r>
      <w:proofErr w:type="spellEnd"/>
      <w:r w:rsidRPr="0075604F">
        <w:rPr>
          <w:rFonts w:ascii="Arial" w:eastAsia="Calibri" w:hAnsi="Arial" w:cs="Arial"/>
          <w:szCs w:val="22"/>
          <w:lang w:val="en-ID"/>
        </w:rPr>
        <w:t xml:space="preserve"> encountered in childhood. The majority of cases occur in children younger than five years, with approximately 75% diagnosed within this age group, and the highest incidence observed between two and three years of age</w:t>
      </w:r>
      <w:r w:rsidR="00F33CE9">
        <w:rPr>
          <w:rFonts w:ascii="Arial" w:eastAsia="Calibri" w:hAnsi="Arial" w:cs="Arial"/>
          <w:szCs w:val="22"/>
          <w:lang w:val="en-ID"/>
        </w:rPr>
        <w:t xml:space="preserve"> (Malkan et al., 2015).</w:t>
      </w:r>
    </w:p>
    <w:p w14:paraId="253B5334" w14:textId="6609103B" w:rsidR="0075604F" w:rsidRPr="0075604F" w:rsidRDefault="0075604F" w:rsidP="0075604F">
      <w:pPr>
        <w:pStyle w:val="Body"/>
        <w:ind w:firstLine="720"/>
        <w:rPr>
          <w:rFonts w:ascii="Arial" w:eastAsia="Calibri" w:hAnsi="Arial" w:cs="Arial"/>
          <w:szCs w:val="22"/>
          <w:lang w:val="en-ID"/>
        </w:rPr>
      </w:pPr>
      <w:r w:rsidRPr="0075604F">
        <w:rPr>
          <w:rFonts w:ascii="Arial" w:eastAsia="Calibri" w:hAnsi="Arial" w:cs="Arial"/>
          <w:szCs w:val="22"/>
          <w:lang w:val="en-ID"/>
        </w:rPr>
        <w:t xml:space="preserve">Earlier investigations reported poor outcomes for Wilms’ </w:t>
      </w:r>
      <w:proofErr w:type="spellStart"/>
      <w:r w:rsidRPr="0075604F">
        <w:rPr>
          <w:rFonts w:ascii="Arial" w:eastAsia="Calibri" w:hAnsi="Arial" w:cs="Arial"/>
          <w:szCs w:val="22"/>
          <w:lang w:val="en-ID"/>
        </w:rPr>
        <w:t>tumor</w:t>
      </w:r>
      <w:proofErr w:type="spellEnd"/>
      <w:r w:rsidRPr="0075604F">
        <w:rPr>
          <w:rFonts w:ascii="Arial" w:eastAsia="Calibri" w:hAnsi="Arial" w:cs="Arial"/>
          <w:szCs w:val="22"/>
          <w:lang w:val="en-ID"/>
        </w:rPr>
        <w:t>, with overall survival rates below 30%</w:t>
      </w:r>
      <w:r w:rsidR="00F33CE9">
        <w:rPr>
          <w:rFonts w:ascii="Arial" w:eastAsia="Calibri" w:hAnsi="Arial" w:cs="Arial"/>
          <w:szCs w:val="22"/>
          <w:lang w:val="en-ID"/>
        </w:rPr>
        <w:t xml:space="preserve"> (</w:t>
      </w:r>
      <w:proofErr w:type="spellStart"/>
      <w:r w:rsidR="00F33CE9">
        <w:rPr>
          <w:rFonts w:ascii="Arial" w:eastAsia="Calibri" w:hAnsi="Arial" w:cs="Arial"/>
          <w:szCs w:val="22"/>
          <w:lang w:val="en-ID"/>
        </w:rPr>
        <w:t>Wabada</w:t>
      </w:r>
      <w:proofErr w:type="spellEnd"/>
      <w:r w:rsidR="00F33CE9">
        <w:rPr>
          <w:rFonts w:ascii="Arial" w:eastAsia="Calibri" w:hAnsi="Arial" w:cs="Arial"/>
          <w:szCs w:val="22"/>
          <w:lang w:val="en-ID"/>
        </w:rPr>
        <w:t xml:space="preserve"> et al., 2017)</w:t>
      </w:r>
      <w:r w:rsidRPr="0075604F">
        <w:rPr>
          <w:rFonts w:ascii="Arial" w:eastAsia="Calibri" w:hAnsi="Arial" w:cs="Arial"/>
          <w:szCs w:val="22"/>
          <w:lang w:val="en-ID"/>
        </w:rPr>
        <w:t>. In contrast, contemporary studies demonstrate survival exceeding 90%, positioning this malignancy as one of the notable successes of modern oncologic management. Previous analyses have also shown that increasing age at diagnosis is significantly associated with higher risks of disease recurrence and mortality</w:t>
      </w:r>
      <w:r w:rsidR="00F33CE9">
        <w:rPr>
          <w:rFonts w:ascii="Arial" w:eastAsia="Calibri" w:hAnsi="Arial" w:cs="Arial"/>
          <w:szCs w:val="22"/>
          <w:lang w:val="en-ID"/>
        </w:rPr>
        <w:t xml:space="preserve"> (Abdullah et al., 2013)</w:t>
      </w:r>
      <w:r w:rsidRPr="0075604F">
        <w:rPr>
          <w:rFonts w:ascii="Arial" w:eastAsia="Calibri" w:hAnsi="Arial" w:cs="Arial"/>
          <w:szCs w:val="22"/>
          <w:lang w:val="en-ID"/>
        </w:rPr>
        <w:t xml:space="preserve">. Consequently, therapeutic strategies for Wilms’ </w:t>
      </w:r>
      <w:proofErr w:type="spellStart"/>
      <w:r w:rsidRPr="0075604F">
        <w:rPr>
          <w:rFonts w:ascii="Arial" w:eastAsia="Calibri" w:hAnsi="Arial" w:cs="Arial"/>
          <w:szCs w:val="22"/>
          <w:lang w:val="en-ID"/>
        </w:rPr>
        <w:t>tumor</w:t>
      </w:r>
      <w:proofErr w:type="spellEnd"/>
      <w:r w:rsidRPr="0075604F">
        <w:rPr>
          <w:rFonts w:ascii="Arial" w:eastAsia="Calibri" w:hAnsi="Arial" w:cs="Arial"/>
          <w:szCs w:val="22"/>
          <w:lang w:val="en-ID"/>
        </w:rPr>
        <w:t xml:space="preserve"> are primarily risk-adapted, focusing on the likelihood of disease progression and relapse. Prognosis is predominantly influenced by </w:t>
      </w:r>
      <w:proofErr w:type="spellStart"/>
      <w:r w:rsidRPr="0075604F">
        <w:rPr>
          <w:rFonts w:ascii="Arial" w:eastAsia="Calibri" w:hAnsi="Arial" w:cs="Arial"/>
          <w:szCs w:val="22"/>
          <w:lang w:val="en-ID"/>
        </w:rPr>
        <w:t>tumor</w:t>
      </w:r>
      <w:proofErr w:type="spellEnd"/>
      <w:r w:rsidRPr="0075604F">
        <w:rPr>
          <w:rFonts w:ascii="Arial" w:eastAsia="Calibri" w:hAnsi="Arial" w:cs="Arial"/>
          <w:szCs w:val="22"/>
          <w:lang w:val="en-ID"/>
        </w:rPr>
        <w:t xml:space="preserve"> stage and histopathological characteristics, patient age, and specific biological markers.</w:t>
      </w:r>
    </w:p>
    <w:p w14:paraId="5619E097" w14:textId="6FF3C821" w:rsidR="00B01FCD" w:rsidRDefault="0075604F" w:rsidP="0075604F">
      <w:pPr>
        <w:pStyle w:val="Body"/>
        <w:spacing w:after="0"/>
        <w:ind w:firstLine="720"/>
        <w:rPr>
          <w:rFonts w:ascii="Arial" w:hAnsi="Arial" w:cs="Arial"/>
        </w:rPr>
      </w:pPr>
      <w:r w:rsidRPr="0075604F">
        <w:rPr>
          <w:rFonts w:ascii="Arial" w:eastAsia="Calibri" w:hAnsi="Arial" w:cs="Arial"/>
          <w:szCs w:val="22"/>
          <w:lang w:val="en-ID"/>
        </w:rPr>
        <w:t>In this report, we describe a 7-year-old child presenting with exceptionally rare clinical manifestations, including acute urinary retention caused by soft tissue protruding through the urethra. Emergency extraction of the obstructing tissue was performed, followed by definitive nephrectomy for nephroblastoma case. Such an atypical presentation, as illustrated in this index case, necessitates a high index of clinical suspicion to establish an accurate diagnosis. To the best of our knowledge, no similar cases have been previously reported in the literature</w:t>
      </w:r>
    </w:p>
    <w:p w14:paraId="39C9E722" w14:textId="77777777" w:rsidR="00790ADA" w:rsidRPr="00FB3A86" w:rsidRDefault="00790ADA" w:rsidP="00441B6F">
      <w:pPr>
        <w:pStyle w:val="Body"/>
        <w:spacing w:after="0"/>
        <w:rPr>
          <w:rFonts w:ascii="Arial" w:hAnsi="Arial" w:cs="Arial"/>
        </w:rPr>
      </w:pPr>
    </w:p>
    <w:p w14:paraId="11B4DADF" w14:textId="25737F86" w:rsidR="007F7B32" w:rsidRDefault="00902823" w:rsidP="00441B6F">
      <w:pPr>
        <w:pStyle w:val="AbstHead"/>
        <w:spacing w:after="0"/>
        <w:jc w:val="both"/>
        <w:rPr>
          <w:rFonts w:ascii="Arial" w:hAnsi="Arial" w:cs="Arial"/>
        </w:rPr>
      </w:pPr>
      <w:r>
        <w:rPr>
          <w:rFonts w:ascii="Arial" w:hAnsi="Arial" w:cs="Arial"/>
        </w:rPr>
        <w:t xml:space="preserve">2. </w:t>
      </w:r>
      <w:r w:rsidR="0075604F">
        <w:rPr>
          <w:rFonts w:ascii="Arial" w:hAnsi="Arial" w:cs="Arial"/>
        </w:rPr>
        <w:t>PRESENTATION OF CASE</w:t>
      </w:r>
    </w:p>
    <w:p w14:paraId="623D567B" w14:textId="77777777" w:rsidR="00790ADA" w:rsidRPr="00FB3A86" w:rsidRDefault="00790ADA" w:rsidP="00441B6F">
      <w:pPr>
        <w:pStyle w:val="AbstHead"/>
        <w:spacing w:after="0"/>
        <w:jc w:val="both"/>
        <w:rPr>
          <w:rFonts w:ascii="Arial" w:hAnsi="Arial" w:cs="Arial"/>
        </w:rPr>
      </w:pPr>
    </w:p>
    <w:p w14:paraId="55D5A812" w14:textId="70E7BD73" w:rsidR="00AA74E0" w:rsidRDefault="0075604F" w:rsidP="0075604F">
      <w:pPr>
        <w:pStyle w:val="Body"/>
        <w:spacing w:after="0"/>
        <w:ind w:firstLine="720"/>
        <w:rPr>
          <w:rFonts w:ascii="Arial" w:hAnsi="Arial" w:cs="Arial"/>
          <w:lang w:val="en-ID"/>
        </w:rPr>
      </w:pPr>
      <w:r w:rsidRPr="0075604F">
        <w:rPr>
          <w:rFonts w:ascii="Arial" w:hAnsi="Arial" w:cs="Arial"/>
          <w:lang w:val="en-ID"/>
        </w:rPr>
        <w:t xml:space="preserve">A 7-year-old boy was referred to our institution with a 12-hour history of acute urinary retention, accompanied by straining, painful abdominal distension, and extrusion of a fleshy mass from the urethral meatus, which became more prominent during straining. There was no preceding history of abdominal or perineal trauma, urethral foreign body insertion, </w:t>
      </w:r>
      <w:proofErr w:type="spellStart"/>
      <w:r w:rsidRPr="0075604F">
        <w:rPr>
          <w:rFonts w:ascii="Arial" w:hAnsi="Arial" w:cs="Arial"/>
          <w:lang w:val="en-ID"/>
        </w:rPr>
        <w:t>hematuria</w:t>
      </w:r>
      <w:proofErr w:type="spellEnd"/>
      <w:r w:rsidRPr="0075604F">
        <w:rPr>
          <w:rFonts w:ascii="Arial" w:hAnsi="Arial" w:cs="Arial"/>
          <w:lang w:val="en-ID"/>
        </w:rPr>
        <w:t>, or febrile illness. Notably, the patient had experienced progressive abdominal enlargement over the preceding four months</w:t>
      </w:r>
      <w:r>
        <w:rPr>
          <w:rFonts w:ascii="Arial" w:hAnsi="Arial" w:cs="Arial"/>
          <w:lang w:val="en-ID"/>
        </w:rPr>
        <w:t xml:space="preserve">. </w:t>
      </w:r>
    </w:p>
    <w:p w14:paraId="1AEF6C03" w14:textId="77777777" w:rsidR="000650FC" w:rsidRDefault="0075604F" w:rsidP="000650FC">
      <w:pPr>
        <w:pStyle w:val="Body"/>
        <w:spacing w:after="0"/>
        <w:ind w:firstLine="720"/>
        <w:jc w:val="center"/>
        <w:rPr>
          <w:rFonts w:ascii="Arial" w:hAnsi="Arial" w:cs="Arial"/>
        </w:rPr>
      </w:pPr>
      <w:r w:rsidRPr="0075604F">
        <w:rPr>
          <w:rFonts w:ascii="Arial" w:hAnsi="Arial" w:cs="Arial"/>
          <w:noProof/>
        </w:rPr>
        <w:drawing>
          <wp:inline distT="0" distB="0" distL="0" distR="0" wp14:anchorId="0A7C3B66" wp14:editId="2DB49EA3">
            <wp:extent cx="1600835" cy="2113345"/>
            <wp:effectExtent l="0" t="0" r="0" b="0"/>
            <wp:docPr id="1263234541" name="Picture 1" descr="A close up of a person's butt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34541" name="Picture 1" descr="A close up of a person's buttocks&#10;&#10;AI-generated content may be incorrect."/>
                    <pic:cNvPicPr/>
                  </pic:nvPicPr>
                  <pic:blipFill>
                    <a:blip r:embed="rId14"/>
                    <a:stretch>
                      <a:fillRect/>
                    </a:stretch>
                  </pic:blipFill>
                  <pic:spPr>
                    <a:xfrm>
                      <a:off x="0" y="0"/>
                      <a:ext cx="1615882" cy="2133210"/>
                    </a:xfrm>
                    <a:prstGeom prst="rect">
                      <a:avLst/>
                    </a:prstGeom>
                  </pic:spPr>
                </pic:pic>
              </a:graphicData>
            </a:graphic>
          </wp:inline>
        </w:drawing>
      </w:r>
      <w:r w:rsidRPr="0075604F">
        <w:rPr>
          <w:rFonts w:ascii="Arial" w:hAnsi="Arial" w:cs="Arial"/>
          <w:noProof/>
        </w:rPr>
        <w:drawing>
          <wp:inline distT="0" distB="0" distL="0" distR="0" wp14:anchorId="1289B0A1" wp14:editId="5475038B">
            <wp:extent cx="1530639" cy="2105985"/>
            <wp:effectExtent l="0" t="0" r="6350" b="2540"/>
            <wp:docPr id="1055509850" name="Picture 1" descr="A brown worm on a gauz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509850" name="Picture 1" descr="A brown worm on a gauze&#10;&#10;AI-generated content may be incorrect."/>
                    <pic:cNvPicPr/>
                  </pic:nvPicPr>
                  <pic:blipFill rotWithShape="1">
                    <a:blip r:embed="rId15"/>
                    <a:srcRect l="25207" t="19260" r="24729" b="29079"/>
                    <a:stretch>
                      <a:fillRect/>
                    </a:stretch>
                  </pic:blipFill>
                  <pic:spPr bwMode="auto">
                    <a:xfrm>
                      <a:off x="0" y="0"/>
                      <a:ext cx="1564834" cy="2153034"/>
                    </a:xfrm>
                    <a:prstGeom prst="rect">
                      <a:avLst/>
                    </a:prstGeom>
                    <a:ln>
                      <a:noFill/>
                    </a:ln>
                    <a:extLst>
                      <a:ext uri="{53640926-AAD7-44D8-BBD7-CCE9431645EC}">
                        <a14:shadowObscured xmlns:a14="http://schemas.microsoft.com/office/drawing/2010/main"/>
                      </a:ext>
                    </a:extLst>
                  </pic:spPr>
                </pic:pic>
              </a:graphicData>
            </a:graphic>
          </wp:inline>
        </w:drawing>
      </w:r>
    </w:p>
    <w:p w14:paraId="017BC29A" w14:textId="1FBFC4D9" w:rsidR="0075604F" w:rsidRDefault="0075604F" w:rsidP="000650FC">
      <w:pPr>
        <w:pStyle w:val="Body"/>
        <w:spacing w:after="0"/>
        <w:ind w:firstLine="720"/>
        <w:jc w:val="center"/>
        <w:rPr>
          <w:rFonts w:ascii="Arial" w:hAnsi="Arial" w:cs="Arial"/>
        </w:rPr>
      </w:pPr>
      <w:r w:rsidRPr="0075604F">
        <w:rPr>
          <w:rFonts w:ascii="Arial" w:hAnsi="Arial" w:cs="Arial"/>
        </w:rPr>
        <w:t xml:space="preserve">Figure 1. (a) Clinical picture of penile, (b) Necrotic tissue after extraction in emergency department of </w:t>
      </w:r>
      <w:proofErr w:type="spellStart"/>
      <w:r w:rsidRPr="0075604F">
        <w:rPr>
          <w:rFonts w:ascii="Arial" w:hAnsi="Arial" w:cs="Arial"/>
        </w:rPr>
        <w:t>Sekadau</w:t>
      </w:r>
      <w:proofErr w:type="spellEnd"/>
      <w:r w:rsidRPr="0075604F">
        <w:rPr>
          <w:rFonts w:ascii="Arial" w:hAnsi="Arial" w:cs="Arial"/>
        </w:rPr>
        <w:t xml:space="preserve"> General Hospital</w:t>
      </w:r>
      <w:r w:rsidR="0064398A">
        <w:rPr>
          <w:rFonts w:ascii="Arial" w:hAnsi="Arial" w:cs="Arial"/>
        </w:rPr>
        <w:t>.</w:t>
      </w:r>
    </w:p>
    <w:p w14:paraId="6527A8D5" w14:textId="77777777" w:rsidR="0064398A" w:rsidRDefault="0064398A" w:rsidP="0075604F">
      <w:pPr>
        <w:pStyle w:val="Body"/>
        <w:spacing w:after="0"/>
        <w:ind w:firstLine="720"/>
        <w:rPr>
          <w:rFonts w:ascii="Arial" w:hAnsi="Arial" w:cs="Arial"/>
        </w:rPr>
      </w:pPr>
    </w:p>
    <w:p w14:paraId="43BA91ED" w14:textId="77777777" w:rsidR="0064398A" w:rsidRDefault="0064398A" w:rsidP="0075604F">
      <w:pPr>
        <w:pStyle w:val="Body"/>
        <w:spacing w:after="0"/>
        <w:ind w:firstLine="720"/>
        <w:rPr>
          <w:rFonts w:ascii="Arial" w:hAnsi="Arial" w:cs="Arial"/>
        </w:rPr>
      </w:pPr>
    </w:p>
    <w:p w14:paraId="5731BE62" w14:textId="77777777" w:rsidR="0075604F" w:rsidRPr="0075604F" w:rsidRDefault="0075604F" w:rsidP="0075604F">
      <w:pPr>
        <w:pStyle w:val="Body"/>
        <w:spacing w:after="0"/>
        <w:ind w:firstLine="720"/>
        <w:rPr>
          <w:rFonts w:ascii="Arial" w:hAnsi="Arial" w:cs="Arial"/>
        </w:rPr>
      </w:pPr>
    </w:p>
    <w:p w14:paraId="18151AA9" w14:textId="03E53057" w:rsidR="0075604F" w:rsidRDefault="0075604F" w:rsidP="0075604F">
      <w:pPr>
        <w:pStyle w:val="Body"/>
        <w:spacing w:after="0"/>
        <w:ind w:firstLine="720"/>
        <w:rPr>
          <w:rFonts w:ascii="Arial" w:hAnsi="Arial" w:cs="Arial"/>
          <w:lang w:val="en-ID"/>
        </w:rPr>
      </w:pPr>
      <w:r w:rsidRPr="0075604F">
        <w:rPr>
          <w:rFonts w:ascii="Arial" w:hAnsi="Arial" w:cs="Arial"/>
          <w:lang w:val="en-ID"/>
        </w:rPr>
        <w:t xml:space="preserve">On physical examination, the child appeared acutely distressed. A necrotic, fleshy mass measuring approximately 6 cm was observed protruding from the urethral meatus, with active bleeding noted at its distal end. The protruding tissue was manually extracted and submitted for histopathological analysis (Figure 1). Abdominal examination revealed </w:t>
      </w:r>
      <w:r w:rsidRPr="0075604F">
        <w:rPr>
          <w:rFonts w:ascii="Arial" w:hAnsi="Arial" w:cs="Arial"/>
          <w:lang w:val="en-ID"/>
        </w:rPr>
        <w:lastRenderedPageBreak/>
        <w:t>generalized distension with a tender suprapubic fullness. A firm, non-tender, non-ballotable mass was palpable in the left flank, not crossing the midline, and ascites was present. Pelvic radiography was unremarkable (Figure 2).</w:t>
      </w:r>
    </w:p>
    <w:p w14:paraId="706E1E0B" w14:textId="77777777" w:rsidR="0075604F" w:rsidRDefault="0075604F" w:rsidP="0075604F">
      <w:pPr>
        <w:pStyle w:val="Body"/>
        <w:spacing w:after="0"/>
        <w:ind w:firstLine="720"/>
        <w:rPr>
          <w:rFonts w:ascii="Arial" w:hAnsi="Arial" w:cs="Arial"/>
          <w:lang w:val="en-ID"/>
        </w:rPr>
      </w:pPr>
    </w:p>
    <w:p w14:paraId="442C3735" w14:textId="77777777" w:rsidR="000650FC" w:rsidRDefault="0075604F" w:rsidP="000650FC">
      <w:pPr>
        <w:pStyle w:val="Body"/>
        <w:spacing w:after="0"/>
        <w:ind w:firstLine="720"/>
        <w:jc w:val="center"/>
        <w:rPr>
          <w:rFonts w:ascii="Arial" w:hAnsi="Arial" w:cs="Arial"/>
        </w:rPr>
      </w:pPr>
      <w:r w:rsidRPr="0075604F">
        <w:rPr>
          <w:rFonts w:ascii="Arial" w:hAnsi="Arial" w:cs="Arial"/>
          <w:noProof/>
        </w:rPr>
        <w:drawing>
          <wp:inline distT="0" distB="0" distL="0" distR="0" wp14:anchorId="3E6FB04E" wp14:editId="176E2259">
            <wp:extent cx="3199817" cy="2410373"/>
            <wp:effectExtent l="0" t="0" r="635" b="3175"/>
            <wp:docPr id="1533048191" name="Picture 1" descr="A x-ray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48191" name="Picture 1" descr="A x-ray of a person's body&#10;&#10;AI-generated content may be incorrect."/>
                    <pic:cNvPicPr/>
                  </pic:nvPicPr>
                  <pic:blipFill rotWithShape="1">
                    <a:blip r:embed="rId16"/>
                    <a:srcRect l="7337" t="8440" r="11588" b="12376"/>
                    <a:stretch>
                      <a:fillRect/>
                    </a:stretch>
                  </pic:blipFill>
                  <pic:spPr bwMode="auto">
                    <a:xfrm>
                      <a:off x="0" y="0"/>
                      <a:ext cx="3214298" cy="2421281"/>
                    </a:xfrm>
                    <a:prstGeom prst="rect">
                      <a:avLst/>
                    </a:prstGeom>
                    <a:ln>
                      <a:noFill/>
                    </a:ln>
                    <a:extLst>
                      <a:ext uri="{53640926-AAD7-44D8-BBD7-CCE9431645EC}">
                        <a14:shadowObscured xmlns:a14="http://schemas.microsoft.com/office/drawing/2010/main"/>
                      </a:ext>
                    </a:extLst>
                  </pic:spPr>
                </pic:pic>
              </a:graphicData>
            </a:graphic>
          </wp:inline>
        </w:drawing>
      </w:r>
    </w:p>
    <w:p w14:paraId="6CC0E510" w14:textId="4B34D069" w:rsidR="0075604F" w:rsidRDefault="0075604F" w:rsidP="000650FC">
      <w:pPr>
        <w:pStyle w:val="Body"/>
        <w:spacing w:after="0"/>
        <w:ind w:firstLine="720"/>
        <w:jc w:val="center"/>
        <w:rPr>
          <w:rFonts w:ascii="Arial" w:hAnsi="Arial" w:cs="Arial"/>
        </w:rPr>
      </w:pPr>
      <w:r w:rsidRPr="0075604F">
        <w:rPr>
          <w:rFonts w:ascii="Arial" w:hAnsi="Arial" w:cs="Arial"/>
        </w:rPr>
        <w:t>Figure 2. Pelvic X-Ray examination showed normal structure of pelvic organs</w:t>
      </w:r>
      <w:r>
        <w:rPr>
          <w:rFonts w:ascii="Arial" w:hAnsi="Arial" w:cs="Arial"/>
        </w:rPr>
        <w:t>.</w:t>
      </w:r>
    </w:p>
    <w:p w14:paraId="58D2F9EC" w14:textId="77777777" w:rsidR="0075604F" w:rsidRPr="0075604F" w:rsidRDefault="0075604F" w:rsidP="0075604F">
      <w:pPr>
        <w:pStyle w:val="Body"/>
        <w:spacing w:after="0"/>
        <w:ind w:firstLine="720"/>
        <w:jc w:val="center"/>
        <w:rPr>
          <w:rFonts w:ascii="Arial" w:hAnsi="Arial" w:cs="Arial"/>
        </w:rPr>
      </w:pPr>
    </w:p>
    <w:p w14:paraId="3F207932" w14:textId="77777777" w:rsidR="0075604F" w:rsidRPr="0075604F" w:rsidRDefault="0075604F" w:rsidP="0075604F">
      <w:pPr>
        <w:pStyle w:val="Body"/>
        <w:spacing w:after="0"/>
        <w:ind w:firstLine="720"/>
        <w:rPr>
          <w:rFonts w:ascii="Arial" w:hAnsi="Arial" w:cs="Arial"/>
          <w:lang w:val="en-ID"/>
        </w:rPr>
      </w:pPr>
      <w:r w:rsidRPr="0075604F">
        <w:rPr>
          <w:rFonts w:ascii="Arial" w:hAnsi="Arial" w:cs="Arial"/>
          <w:lang w:val="en-ID"/>
        </w:rPr>
        <w:t xml:space="preserve">Urethral catheterization yielded 350 mL of clear urine. Laboratory evaluation demonstrated a packed cell volume of 30% and microscopic </w:t>
      </w:r>
      <w:proofErr w:type="spellStart"/>
      <w:r w:rsidRPr="0075604F">
        <w:rPr>
          <w:rFonts w:ascii="Arial" w:hAnsi="Arial" w:cs="Arial"/>
          <w:lang w:val="en-ID"/>
        </w:rPr>
        <w:t>hematuria</w:t>
      </w:r>
      <w:proofErr w:type="spellEnd"/>
      <w:r w:rsidRPr="0075604F">
        <w:rPr>
          <w:rFonts w:ascii="Arial" w:hAnsi="Arial" w:cs="Arial"/>
          <w:lang w:val="en-ID"/>
        </w:rPr>
        <w:t xml:space="preserve">, while renal function parameters were within normal limits. Abdominal ultrasonography revealed a solid left renal mass measuring 11.2 × 5.39 cm, associated with dilatation of the pelvicalyceal system and absence of calculi. The lesion exhibited mixed echogenicity with multiple cystic components, measuring approximately 7.65 × 5.49 cm, predominantly arising from the inferior pole of the kidney.  </w:t>
      </w:r>
    </w:p>
    <w:p w14:paraId="5BD639AC" w14:textId="77777777" w:rsidR="0075604F" w:rsidRPr="0075604F" w:rsidRDefault="0075604F" w:rsidP="0075604F">
      <w:pPr>
        <w:pStyle w:val="Body"/>
        <w:spacing w:after="0"/>
        <w:ind w:firstLine="720"/>
        <w:rPr>
          <w:rFonts w:ascii="Arial" w:hAnsi="Arial" w:cs="Arial"/>
          <w:lang w:val="en-ID"/>
        </w:rPr>
      </w:pPr>
      <w:r w:rsidRPr="0075604F">
        <w:rPr>
          <w:rFonts w:ascii="Arial" w:hAnsi="Arial" w:cs="Arial"/>
          <w:lang w:val="en-ID"/>
        </w:rPr>
        <w:t xml:space="preserve">Histopathological examination of the extracted urethral tissue confirmed necrotic material. Chest radiography showed no evidence of metastatic disease. Based on clinical and radiological findings, a provisional diagnosis of left-sided Wilms’ </w:t>
      </w:r>
      <w:proofErr w:type="spellStart"/>
      <w:r w:rsidRPr="0075604F">
        <w:rPr>
          <w:rFonts w:ascii="Arial" w:hAnsi="Arial" w:cs="Arial"/>
          <w:lang w:val="en-ID"/>
        </w:rPr>
        <w:t>tumor</w:t>
      </w:r>
      <w:proofErr w:type="spellEnd"/>
      <w:r w:rsidRPr="0075604F">
        <w:rPr>
          <w:rFonts w:ascii="Arial" w:hAnsi="Arial" w:cs="Arial"/>
          <w:lang w:val="en-ID"/>
        </w:rPr>
        <w:t xml:space="preserve"> was established, and the patient subsequently underwent nephrectomy (Figure 3). Definitive histopathological analysis of the nephrectomy specimen demonstrated a neoplastic proliferation composed predominantly of diffusely arranged undifferentiated blastemal cells with an accompanying stromal component. The blastemal cells were characterized by small round-to-oval hyperchromatic nuclei, scant cytoplasm, a high nuclear-to-cytoplasmic ratio, coarsely distributed chromatin, and a mitotic count exceeding 30 per 10 high-power fields. The stromal component consisted of fibrous tissue with extensive areas of necrosis and </w:t>
      </w:r>
      <w:proofErr w:type="spellStart"/>
      <w:r w:rsidRPr="0075604F">
        <w:rPr>
          <w:rFonts w:ascii="Arial" w:hAnsi="Arial" w:cs="Arial"/>
          <w:lang w:val="en-ID"/>
        </w:rPr>
        <w:t>hemorrhage</w:t>
      </w:r>
      <w:proofErr w:type="spellEnd"/>
      <w:r w:rsidRPr="0075604F">
        <w:rPr>
          <w:rFonts w:ascii="Arial" w:hAnsi="Arial" w:cs="Arial"/>
          <w:lang w:val="en-ID"/>
        </w:rPr>
        <w:t xml:space="preserve">. </w:t>
      </w:r>
      <w:proofErr w:type="spellStart"/>
      <w:r w:rsidRPr="0075604F">
        <w:rPr>
          <w:rFonts w:ascii="Arial" w:hAnsi="Arial" w:cs="Arial"/>
          <w:lang w:val="en-ID"/>
        </w:rPr>
        <w:t>Tumor</w:t>
      </w:r>
      <w:proofErr w:type="spellEnd"/>
      <w:r w:rsidRPr="0075604F">
        <w:rPr>
          <w:rFonts w:ascii="Arial" w:hAnsi="Arial" w:cs="Arial"/>
          <w:lang w:val="en-ID"/>
        </w:rPr>
        <w:t xml:space="preserve"> infiltration of the renal capsule was also identified. Based on these histopathological features, a final diagnosis of </w:t>
      </w:r>
      <w:proofErr w:type="spellStart"/>
      <w:r w:rsidRPr="0075604F">
        <w:rPr>
          <w:rFonts w:ascii="Arial" w:hAnsi="Arial" w:cs="Arial"/>
          <w:lang w:val="en-ID"/>
        </w:rPr>
        <w:t>necroturia</w:t>
      </w:r>
      <w:proofErr w:type="spellEnd"/>
      <w:r w:rsidRPr="0075604F">
        <w:rPr>
          <w:rFonts w:ascii="Arial" w:hAnsi="Arial" w:cs="Arial"/>
          <w:lang w:val="en-ID"/>
        </w:rPr>
        <w:t xml:space="preserve"> caused by left-sided nephroblastoma was established.  </w:t>
      </w:r>
    </w:p>
    <w:p w14:paraId="6BAD3D57" w14:textId="77777777" w:rsidR="005A7A9D" w:rsidRDefault="0075604F" w:rsidP="005A7A9D">
      <w:pPr>
        <w:pStyle w:val="Body"/>
        <w:spacing w:after="0"/>
        <w:jc w:val="center"/>
        <w:rPr>
          <w:rFonts w:ascii="Arial" w:hAnsi="Arial" w:cs="Arial"/>
          <w:lang w:val="en-ID"/>
        </w:rPr>
      </w:pPr>
      <w:r w:rsidRPr="0075604F">
        <w:rPr>
          <w:rFonts w:ascii="Arial" w:hAnsi="Arial" w:cs="Arial"/>
          <w:noProof/>
          <w:lang w:val="en-ID"/>
        </w:rPr>
        <w:lastRenderedPageBreak/>
        <w:drawing>
          <wp:inline distT="0" distB="0" distL="0" distR="0" wp14:anchorId="63EC8D11" wp14:editId="04ECB57F">
            <wp:extent cx="2314135" cy="2686929"/>
            <wp:effectExtent l="0" t="0" r="0" b="5715"/>
            <wp:docPr id="257912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12676" name=""/>
                    <pic:cNvPicPr/>
                  </pic:nvPicPr>
                  <pic:blipFill rotWithShape="1">
                    <a:blip r:embed="rId17"/>
                    <a:srcRect l="30414" t="30177" r="30647" b="35914"/>
                    <a:stretch>
                      <a:fillRect/>
                    </a:stretch>
                  </pic:blipFill>
                  <pic:spPr bwMode="auto">
                    <a:xfrm>
                      <a:off x="0" y="0"/>
                      <a:ext cx="2314360" cy="2687190"/>
                    </a:xfrm>
                    <a:prstGeom prst="rect">
                      <a:avLst/>
                    </a:prstGeom>
                    <a:ln>
                      <a:noFill/>
                    </a:ln>
                    <a:extLst>
                      <a:ext uri="{53640926-AAD7-44D8-BBD7-CCE9431645EC}">
                        <a14:shadowObscured xmlns:a14="http://schemas.microsoft.com/office/drawing/2010/main"/>
                      </a:ext>
                    </a:extLst>
                  </pic:spPr>
                </pic:pic>
              </a:graphicData>
            </a:graphic>
          </wp:inline>
        </w:drawing>
      </w:r>
    </w:p>
    <w:p w14:paraId="77DE4848" w14:textId="32E3E3F7" w:rsidR="0075604F" w:rsidRPr="005A7A9D" w:rsidRDefault="0075604F" w:rsidP="005A7A9D">
      <w:pPr>
        <w:pStyle w:val="Body"/>
        <w:spacing w:after="0"/>
        <w:jc w:val="center"/>
        <w:rPr>
          <w:rFonts w:ascii="Arial" w:hAnsi="Arial" w:cs="Arial"/>
          <w:lang w:val="en-ID"/>
        </w:rPr>
      </w:pPr>
      <w:r w:rsidRPr="0075604F">
        <w:rPr>
          <w:rFonts w:ascii="Arial" w:hAnsi="Arial" w:cs="Arial"/>
          <w:lang w:val="en-ID"/>
        </w:rPr>
        <w:t>Figure 3. Left Renal after Nephrectomy</w:t>
      </w:r>
    </w:p>
    <w:p w14:paraId="009DADC8" w14:textId="77777777" w:rsidR="00790ADA" w:rsidRPr="00FB3A86" w:rsidRDefault="00790ADA" w:rsidP="00441B6F">
      <w:pPr>
        <w:pStyle w:val="Body"/>
        <w:spacing w:after="0"/>
        <w:rPr>
          <w:rFonts w:ascii="Arial" w:hAnsi="Arial" w:cs="Arial"/>
        </w:rPr>
      </w:pPr>
    </w:p>
    <w:p w14:paraId="3F009E58" w14:textId="50157BBF" w:rsidR="0075604F" w:rsidRPr="0075604F" w:rsidRDefault="00000F8F" w:rsidP="0075604F">
      <w:pPr>
        <w:pStyle w:val="Head1"/>
        <w:spacing w:after="0"/>
        <w:jc w:val="both"/>
        <w:rPr>
          <w:rFonts w:ascii="Arial" w:hAnsi="Arial" w:cs="Arial"/>
        </w:rPr>
      </w:pPr>
      <w:r>
        <w:rPr>
          <w:rFonts w:ascii="Arial" w:hAnsi="Arial" w:cs="Arial"/>
        </w:rPr>
        <w:t>3</w:t>
      </w:r>
      <w:r w:rsidR="00902823">
        <w:rPr>
          <w:rFonts w:ascii="Arial" w:hAnsi="Arial" w:cs="Arial"/>
        </w:rPr>
        <w:t xml:space="preserve">. </w:t>
      </w:r>
      <w:r>
        <w:rPr>
          <w:rFonts w:ascii="Arial" w:hAnsi="Arial" w:cs="Arial"/>
        </w:rPr>
        <w:t>discussion</w:t>
      </w:r>
    </w:p>
    <w:p w14:paraId="695DEA99" w14:textId="77777777" w:rsidR="0075604F" w:rsidRDefault="0075604F" w:rsidP="0075604F">
      <w:pPr>
        <w:rPr>
          <w:rFonts w:ascii="Arial" w:hAnsi="Arial" w:cs="Arial"/>
          <w:lang w:val="en-GB" w:eastAsia="en-GB"/>
        </w:rPr>
      </w:pPr>
    </w:p>
    <w:p w14:paraId="77DB4C6C" w14:textId="14217B46" w:rsidR="0075604F" w:rsidRDefault="0075604F" w:rsidP="0075604F">
      <w:pPr>
        <w:ind w:firstLine="720"/>
        <w:jc w:val="both"/>
        <w:rPr>
          <w:rFonts w:ascii="Arial" w:hAnsi="Arial" w:cs="Arial"/>
          <w:lang w:val="en-ID" w:eastAsia="en-GB"/>
        </w:rPr>
      </w:pPr>
      <w:r w:rsidRPr="0075604F">
        <w:rPr>
          <w:rFonts w:ascii="Arial" w:hAnsi="Arial" w:cs="Arial"/>
          <w:lang w:val="en-ID" w:eastAsia="en-GB"/>
        </w:rPr>
        <w:t>Nephroblastoma is an embryonal malignancy originating from persistent nephrogenic blastemal cells and is characterized by heterogeneous differentiation patterns that recapitulate various stages of renal organogenesis</w:t>
      </w:r>
      <w:r w:rsidR="00F33CE9">
        <w:rPr>
          <w:rFonts w:ascii="Arial" w:hAnsi="Arial" w:cs="Arial"/>
          <w:lang w:val="en-ID" w:eastAsia="en-GB"/>
        </w:rPr>
        <w:t xml:space="preserve"> (Pastore et al., 2006)</w:t>
      </w:r>
      <w:r w:rsidRPr="0075604F">
        <w:rPr>
          <w:rFonts w:ascii="Arial" w:hAnsi="Arial" w:cs="Arial"/>
          <w:lang w:val="en-ID" w:eastAsia="en-GB"/>
        </w:rPr>
        <w:t xml:space="preserve">. Histologically, the </w:t>
      </w:r>
      <w:proofErr w:type="spellStart"/>
      <w:r w:rsidRPr="0075604F">
        <w:rPr>
          <w:rFonts w:ascii="Arial" w:hAnsi="Arial" w:cs="Arial"/>
          <w:lang w:val="en-ID" w:eastAsia="en-GB"/>
        </w:rPr>
        <w:t>tumor</w:t>
      </w:r>
      <w:proofErr w:type="spellEnd"/>
      <w:r w:rsidRPr="0075604F">
        <w:rPr>
          <w:rFonts w:ascii="Arial" w:hAnsi="Arial" w:cs="Arial"/>
          <w:lang w:val="en-ID" w:eastAsia="en-GB"/>
        </w:rPr>
        <w:t xml:space="preserve"> frequently demonstrates triphasic components reflecting the developmental architecture of the </w:t>
      </w:r>
      <w:proofErr w:type="spellStart"/>
      <w:r w:rsidRPr="0075604F">
        <w:rPr>
          <w:rFonts w:ascii="Arial" w:hAnsi="Arial" w:cs="Arial"/>
          <w:lang w:val="en-ID" w:eastAsia="en-GB"/>
        </w:rPr>
        <w:t>fetal</w:t>
      </w:r>
      <w:proofErr w:type="spellEnd"/>
      <w:r w:rsidRPr="0075604F">
        <w:rPr>
          <w:rFonts w:ascii="Arial" w:hAnsi="Arial" w:cs="Arial"/>
          <w:lang w:val="en-ID" w:eastAsia="en-GB"/>
        </w:rPr>
        <w:t xml:space="preserve"> kidney.</w:t>
      </w:r>
    </w:p>
    <w:p w14:paraId="2C7D73C3" w14:textId="5187E5FE" w:rsidR="0075604F" w:rsidRPr="0075604F" w:rsidRDefault="0075604F" w:rsidP="0075604F">
      <w:pPr>
        <w:ind w:firstLine="720"/>
        <w:jc w:val="both"/>
        <w:rPr>
          <w:rFonts w:ascii="Arial" w:hAnsi="Arial" w:cs="Arial"/>
          <w:lang w:val="en-ID" w:eastAsia="en-GB"/>
        </w:rPr>
      </w:pPr>
      <w:r w:rsidRPr="0075604F">
        <w:rPr>
          <w:rFonts w:ascii="Arial" w:hAnsi="Arial" w:cs="Arial"/>
          <w:lang w:val="en-ID" w:eastAsia="en-GB"/>
        </w:rPr>
        <w:t xml:space="preserve">Wilms’ </w:t>
      </w:r>
      <w:proofErr w:type="spellStart"/>
      <w:r w:rsidRPr="0075604F">
        <w:rPr>
          <w:rFonts w:ascii="Arial" w:hAnsi="Arial" w:cs="Arial"/>
          <w:lang w:val="en-ID" w:eastAsia="en-GB"/>
        </w:rPr>
        <w:t>tumor</w:t>
      </w:r>
      <w:proofErr w:type="spellEnd"/>
      <w:r w:rsidRPr="0075604F">
        <w:rPr>
          <w:rFonts w:ascii="Arial" w:hAnsi="Arial" w:cs="Arial"/>
          <w:lang w:val="en-ID" w:eastAsia="en-GB"/>
        </w:rPr>
        <w:t xml:space="preserve">, also referred to as nephroblastoma, represents the most prevalent </w:t>
      </w:r>
      <w:proofErr w:type="spellStart"/>
      <w:r w:rsidRPr="0075604F">
        <w:rPr>
          <w:rFonts w:ascii="Arial" w:hAnsi="Arial" w:cs="Arial"/>
          <w:lang w:val="en-ID" w:eastAsia="en-GB"/>
        </w:rPr>
        <w:t>pediatric</w:t>
      </w:r>
      <w:proofErr w:type="spellEnd"/>
      <w:r w:rsidRPr="0075604F">
        <w:rPr>
          <w:rFonts w:ascii="Arial" w:hAnsi="Arial" w:cs="Arial"/>
          <w:lang w:val="en-ID" w:eastAsia="en-GB"/>
        </w:rPr>
        <w:t xml:space="preserve"> abdominal malignancy in Sub-Saharan Africa</w:t>
      </w:r>
      <w:r w:rsidR="00F33CE9">
        <w:rPr>
          <w:rFonts w:ascii="Arial" w:hAnsi="Arial" w:cs="Arial"/>
          <w:lang w:val="en-ID" w:eastAsia="en-GB"/>
        </w:rPr>
        <w:t xml:space="preserve"> (</w:t>
      </w:r>
      <w:proofErr w:type="spellStart"/>
      <w:r w:rsidR="00F33CE9">
        <w:rPr>
          <w:rFonts w:ascii="Arial" w:hAnsi="Arial" w:cs="Arial"/>
          <w:lang w:val="en-ID" w:eastAsia="en-GB"/>
        </w:rPr>
        <w:t>Osuoji</w:t>
      </w:r>
      <w:proofErr w:type="spellEnd"/>
      <w:r w:rsidR="00F33CE9">
        <w:rPr>
          <w:rFonts w:ascii="Arial" w:hAnsi="Arial" w:cs="Arial"/>
          <w:lang w:val="en-ID" w:eastAsia="en-GB"/>
        </w:rPr>
        <w:t xml:space="preserve"> et al., 2011)</w:t>
      </w:r>
      <w:r w:rsidRPr="0075604F">
        <w:rPr>
          <w:rFonts w:ascii="Arial" w:hAnsi="Arial" w:cs="Arial"/>
          <w:lang w:val="en-ID" w:eastAsia="en-GB"/>
        </w:rPr>
        <w:t>.</w:t>
      </w:r>
      <w:r w:rsidR="00F33CE9">
        <w:rPr>
          <w:rFonts w:ascii="Arial" w:hAnsi="Arial" w:cs="Arial"/>
          <w:lang w:val="en-ID" w:eastAsia="en-GB"/>
        </w:rPr>
        <w:t xml:space="preserve"> </w:t>
      </w:r>
      <w:r w:rsidRPr="0075604F">
        <w:rPr>
          <w:rFonts w:ascii="Arial" w:hAnsi="Arial" w:cs="Arial"/>
          <w:lang w:val="en-ID" w:eastAsia="en-GB"/>
        </w:rPr>
        <w:t>Although the disease predominantly presents as a unilateral renal mass, bilateral involvement has been reported in approximately 5–7% of affected children</w:t>
      </w:r>
      <w:r w:rsidR="00F33CE9">
        <w:rPr>
          <w:rFonts w:ascii="Arial" w:hAnsi="Arial" w:cs="Arial"/>
          <w:lang w:val="en-ID" w:eastAsia="en-GB"/>
        </w:rPr>
        <w:t xml:space="preserve"> (Nguyen., 2016)</w:t>
      </w:r>
      <w:r w:rsidRPr="0075604F">
        <w:rPr>
          <w:rFonts w:ascii="Arial" w:hAnsi="Arial" w:cs="Arial"/>
          <w:lang w:val="en-ID" w:eastAsia="en-GB"/>
        </w:rPr>
        <w:t>. It constitutes the most common genitourinary malignancy in the paediatric population, with an estimated incidence of 1 per 10,000 children. The median age at diagnosis is approximately 3.5 years, with nearly 98% of cases occurring before the age of 10 years; nonetheless, sporadic occurrences have been documented across all age groups</w:t>
      </w:r>
      <w:r w:rsidR="00F33CE9">
        <w:rPr>
          <w:rFonts w:ascii="Arial" w:hAnsi="Arial" w:cs="Arial"/>
          <w:lang w:val="en-ID" w:eastAsia="en-GB"/>
        </w:rPr>
        <w:t xml:space="preserve"> (Nguyen</w:t>
      </w:r>
      <w:r w:rsidR="00480769">
        <w:rPr>
          <w:rFonts w:ascii="Arial" w:hAnsi="Arial" w:cs="Arial"/>
          <w:lang w:val="en-ID" w:eastAsia="en-GB"/>
        </w:rPr>
        <w:t>.</w:t>
      </w:r>
      <w:r w:rsidR="00F33CE9">
        <w:rPr>
          <w:rFonts w:ascii="Arial" w:hAnsi="Arial" w:cs="Arial"/>
          <w:lang w:val="en-ID" w:eastAsia="en-GB"/>
        </w:rPr>
        <w:t>, 2016)</w:t>
      </w:r>
      <w:r w:rsidRPr="0075604F">
        <w:rPr>
          <w:rFonts w:ascii="Arial" w:hAnsi="Arial" w:cs="Arial"/>
          <w:lang w:val="en-ID" w:eastAsia="en-GB"/>
        </w:rPr>
        <w:t>. Approximately 10% of nephroblastoma’s are associated with well-defined congenital dysmorphic syndromes. Olukayode et al reported a notably high incidence of bilateral nephroblastoma (25%) based on computed tomography findings among 12 male patients presenting with abdominal distension at Lagos University Teaching Hospital</w:t>
      </w:r>
      <w:r w:rsidR="00480769">
        <w:rPr>
          <w:rFonts w:ascii="Arial" w:hAnsi="Arial" w:cs="Arial"/>
          <w:lang w:val="en-ID" w:eastAsia="en-GB"/>
        </w:rPr>
        <w:t xml:space="preserve"> (Olukayode et al., 2014)</w:t>
      </w:r>
      <w:r w:rsidRPr="0075604F">
        <w:rPr>
          <w:rFonts w:ascii="Arial" w:hAnsi="Arial" w:cs="Arial"/>
          <w:lang w:val="en-ID" w:eastAsia="en-GB"/>
        </w:rPr>
        <w:t>.</w:t>
      </w:r>
    </w:p>
    <w:p w14:paraId="63CECE23" w14:textId="23884FED" w:rsidR="0075604F" w:rsidRPr="0075604F" w:rsidRDefault="0075604F" w:rsidP="0075604F">
      <w:pPr>
        <w:ind w:firstLine="720"/>
        <w:jc w:val="both"/>
        <w:rPr>
          <w:rFonts w:ascii="Arial" w:hAnsi="Arial" w:cs="Arial"/>
          <w:lang w:val="en-ID" w:eastAsia="en-GB"/>
        </w:rPr>
      </w:pPr>
      <w:r w:rsidRPr="0075604F">
        <w:rPr>
          <w:rFonts w:ascii="Arial" w:hAnsi="Arial" w:cs="Arial"/>
          <w:lang w:val="en-ID" w:eastAsia="en-GB"/>
        </w:rPr>
        <w:t xml:space="preserve">In the developed world, Wilms’ </w:t>
      </w:r>
      <w:proofErr w:type="spellStart"/>
      <w:r w:rsidRPr="0075604F">
        <w:rPr>
          <w:rFonts w:ascii="Arial" w:hAnsi="Arial" w:cs="Arial"/>
          <w:lang w:val="en-ID" w:eastAsia="en-GB"/>
        </w:rPr>
        <w:t>tumor</w:t>
      </w:r>
      <w:proofErr w:type="spellEnd"/>
      <w:r w:rsidRPr="0075604F">
        <w:rPr>
          <w:rFonts w:ascii="Arial" w:hAnsi="Arial" w:cs="Arial"/>
          <w:lang w:val="en-ID" w:eastAsia="en-GB"/>
        </w:rPr>
        <w:t xml:space="preserve"> is typically diagnosed at an early stage, contributing significantly to improved survival outcomes</w:t>
      </w:r>
      <w:r w:rsidR="00480769">
        <w:rPr>
          <w:rFonts w:ascii="Arial" w:hAnsi="Arial" w:cs="Arial"/>
          <w:lang w:val="en-ID" w:eastAsia="en-GB"/>
        </w:rPr>
        <w:t xml:space="preserve"> (Abdullah et al., 2013)</w:t>
      </w:r>
      <w:r w:rsidRPr="0075604F">
        <w:rPr>
          <w:rFonts w:ascii="Arial" w:hAnsi="Arial" w:cs="Arial"/>
          <w:lang w:val="en-ID" w:eastAsia="en-GB"/>
        </w:rPr>
        <w:t xml:space="preserve">. Conversely, delayed presentation remains a substantial challenge in resource-limited environments. The most common clinical manifestation is a painless abdominal mass, often detected incidentally during routine </w:t>
      </w:r>
      <w:proofErr w:type="spellStart"/>
      <w:r w:rsidRPr="0075604F">
        <w:rPr>
          <w:rFonts w:ascii="Arial" w:hAnsi="Arial" w:cs="Arial"/>
          <w:lang w:val="en-ID" w:eastAsia="en-GB"/>
        </w:rPr>
        <w:t>pediatric</w:t>
      </w:r>
      <w:proofErr w:type="spellEnd"/>
      <w:r w:rsidRPr="0075604F">
        <w:rPr>
          <w:rFonts w:ascii="Arial" w:hAnsi="Arial" w:cs="Arial"/>
          <w:lang w:val="en-ID" w:eastAsia="en-GB"/>
        </w:rPr>
        <w:t xml:space="preserve"> examination or while bathing the child</w:t>
      </w:r>
      <w:r w:rsidR="00480769">
        <w:rPr>
          <w:rFonts w:ascii="Arial" w:hAnsi="Arial" w:cs="Arial"/>
          <w:lang w:val="en-ID" w:eastAsia="en-GB"/>
        </w:rPr>
        <w:t xml:space="preserve"> (Olukayode et al., 2014)</w:t>
      </w:r>
      <w:r w:rsidRPr="0075604F">
        <w:rPr>
          <w:rFonts w:ascii="Arial" w:hAnsi="Arial" w:cs="Arial"/>
          <w:lang w:val="en-ID" w:eastAsia="en-GB"/>
        </w:rPr>
        <w:t xml:space="preserve">. However, systemic symptoms such as fever, abdominal discomfort, fatigue, and </w:t>
      </w:r>
      <w:proofErr w:type="spellStart"/>
      <w:r w:rsidRPr="0075604F">
        <w:rPr>
          <w:rFonts w:ascii="Arial" w:hAnsi="Arial" w:cs="Arial"/>
          <w:lang w:val="en-ID" w:eastAsia="en-GB"/>
        </w:rPr>
        <w:t>anemia</w:t>
      </w:r>
      <w:proofErr w:type="spellEnd"/>
      <w:r w:rsidRPr="0075604F">
        <w:rPr>
          <w:rFonts w:ascii="Arial" w:hAnsi="Arial" w:cs="Arial"/>
          <w:lang w:val="en-ID" w:eastAsia="en-GB"/>
        </w:rPr>
        <w:t xml:space="preserve"> may also occur</w:t>
      </w:r>
      <w:r w:rsidR="00480769">
        <w:rPr>
          <w:rFonts w:ascii="Arial" w:hAnsi="Arial" w:cs="Arial"/>
          <w:lang w:val="en-ID" w:eastAsia="en-GB"/>
        </w:rPr>
        <w:t xml:space="preserve"> (Yarboro</w:t>
      </w:r>
      <w:r w:rsidRPr="0075604F">
        <w:rPr>
          <w:rFonts w:ascii="Arial" w:hAnsi="Arial" w:cs="Arial"/>
          <w:lang w:val="en-ID" w:eastAsia="en-GB"/>
        </w:rPr>
        <w:t>.</w:t>
      </w:r>
      <w:r w:rsidR="00480769">
        <w:rPr>
          <w:rFonts w:ascii="Arial" w:hAnsi="Arial" w:cs="Arial"/>
          <w:lang w:val="en-ID" w:eastAsia="en-GB"/>
        </w:rPr>
        <w:t xml:space="preserve">, 1969). </w:t>
      </w:r>
      <w:proofErr w:type="spellStart"/>
      <w:r w:rsidRPr="0075604F">
        <w:rPr>
          <w:rFonts w:ascii="Arial" w:hAnsi="Arial" w:cs="Arial"/>
          <w:lang w:val="en-ID" w:eastAsia="en-GB"/>
        </w:rPr>
        <w:t>Osuoji</w:t>
      </w:r>
      <w:proofErr w:type="spellEnd"/>
      <w:r w:rsidRPr="0075604F">
        <w:rPr>
          <w:rFonts w:ascii="Arial" w:hAnsi="Arial" w:cs="Arial"/>
          <w:lang w:val="en-ID" w:eastAsia="en-GB"/>
        </w:rPr>
        <w:t xml:space="preserve"> et al</w:t>
      </w:r>
      <w:r w:rsidR="00480769">
        <w:rPr>
          <w:rFonts w:ascii="Arial" w:hAnsi="Arial" w:cs="Arial"/>
          <w:lang w:val="en-ID" w:eastAsia="en-GB"/>
        </w:rPr>
        <w:t xml:space="preserve"> reported</w:t>
      </w:r>
      <w:r w:rsidRPr="0075604F">
        <w:rPr>
          <w:rFonts w:ascii="Arial" w:hAnsi="Arial" w:cs="Arial"/>
          <w:lang w:val="en-ID" w:eastAsia="en-GB"/>
        </w:rPr>
        <w:t xml:space="preserve"> in a retrospective analysis of 35 patients, observed that all cases presented at an advanced stage with abdominal masses, accompanied by additional features including </w:t>
      </w:r>
      <w:proofErr w:type="spellStart"/>
      <w:r w:rsidRPr="0075604F">
        <w:rPr>
          <w:rFonts w:ascii="Arial" w:hAnsi="Arial" w:cs="Arial"/>
          <w:lang w:val="en-ID" w:eastAsia="en-GB"/>
        </w:rPr>
        <w:t>hematuria</w:t>
      </w:r>
      <w:proofErr w:type="spellEnd"/>
      <w:r w:rsidRPr="0075604F">
        <w:rPr>
          <w:rFonts w:ascii="Arial" w:hAnsi="Arial" w:cs="Arial"/>
          <w:lang w:val="en-ID" w:eastAsia="en-GB"/>
        </w:rPr>
        <w:t>, fever, weight loss, varicocele, cough, and pleural effusion</w:t>
      </w:r>
      <w:r w:rsidR="00480769">
        <w:rPr>
          <w:rFonts w:ascii="Arial" w:hAnsi="Arial" w:cs="Arial"/>
          <w:lang w:val="en-ID" w:eastAsia="en-GB"/>
        </w:rPr>
        <w:t xml:space="preserve"> (</w:t>
      </w:r>
      <w:proofErr w:type="spellStart"/>
      <w:r w:rsidR="00480769">
        <w:rPr>
          <w:rFonts w:ascii="Arial" w:hAnsi="Arial" w:cs="Arial"/>
          <w:lang w:val="en-ID" w:eastAsia="en-GB"/>
        </w:rPr>
        <w:t>Osuoji</w:t>
      </w:r>
      <w:proofErr w:type="spellEnd"/>
      <w:r w:rsidR="00480769">
        <w:rPr>
          <w:rFonts w:ascii="Arial" w:hAnsi="Arial" w:cs="Arial"/>
          <w:lang w:val="en-ID" w:eastAsia="en-GB"/>
        </w:rPr>
        <w:t xml:space="preserve"> et al., 2011)</w:t>
      </w:r>
      <w:r w:rsidRPr="0075604F">
        <w:rPr>
          <w:rFonts w:ascii="Arial" w:hAnsi="Arial" w:cs="Arial"/>
          <w:lang w:val="en-ID" w:eastAsia="en-GB"/>
        </w:rPr>
        <w:t>.</w:t>
      </w:r>
    </w:p>
    <w:p w14:paraId="0FC70DCD" w14:textId="7A9310EF" w:rsidR="0075604F" w:rsidRPr="0075604F" w:rsidRDefault="0075604F" w:rsidP="0075604F">
      <w:pPr>
        <w:ind w:firstLine="720"/>
        <w:jc w:val="both"/>
        <w:rPr>
          <w:rFonts w:ascii="Arial" w:hAnsi="Arial" w:cs="Arial"/>
          <w:lang w:val="en-ID" w:eastAsia="en-GB"/>
        </w:rPr>
      </w:pPr>
      <w:r w:rsidRPr="0075604F">
        <w:rPr>
          <w:rFonts w:ascii="Arial" w:hAnsi="Arial" w:cs="Arial"/>
          <w:lang w:val="en-ID" w:eastAsia="en-GB"/>
        </w:rPr>
        <w:t xml:space="preserve">Gross </w:t>
      </w:r>
      <w:proofErr w:type="spellStart"/>
      <w:r w:rsidRPr="0075604F">
        <w:rPr>
          <w:rFonts w:ascii="Arial" w:hAnsi="Arial" w:cs="Arial"/>
          <w:lang w:val="en-ID" w:eastAsia="en-GB"/>
        </w:rPr>
        <w:t>hematuria</w:t>
      </w:r>
      <w:proofErr w:type="spellEnd"/>
      <w:r w:rsidRPr="0075604F">
        <w:rPr>
          <w:rFonts w:ascii="Arial" w:hAnsi="Arial" w:cs="Arial"/>
          <w:lang w:val="en-ID" w:eastAsia="en-GB"/>
        </w:rPr>
        <w:t xml:space="preserve"> is not a typical presenting feature of classic Wilms’ </w:t>
      </w:r>
      <w:proofErr w:type="spellStart"/>
      <w:r w:rsidRPr="0075604F">
        <w:rPr>
          <w:rFonts w:ascii="Arial" w:hAnsi="Arial" w:cs="Arial"/>
          <w:lang w:val="en-ID" w:eastAsia="en-GB"/>
        </w:rPr>
        <w:t>tumor</w:t>
      </w:r>
      <w:proofErr w:type="spellEnd"/>
      <w:r w:rsidR="00480769">
        <w:rPr>
          <w:rFonts w:ascii="Arial" w:hAnsi="Arial" w:cs="Arial"/>
          <w:lang w:val="en-ID" w:eastAsia="en-GB"/>
        </w:rPr>
        <w:t xml:space="preserve"> (</w:t>
      </w:r>
      <w:proofErr w:type="spellStart"/>
      <w:r w:rsidR="00480769">
        <w:rPr>
          <w:rFonts w:ascii="Arial" w:hAnsi="Arial" w:cs="Arial"/>
          <w:lang w:val="en-ID" w:eastAsia="en-GB"/>
        </w:rPr>
        <w:t>Senthilnathan</w:t>
      </w:r>
      <w:proofErr w:type="spellEnd"/>
      <w:r w:rsidR="00480769">
        <w:rPr>
          <w:rFonts w:ascii="Arial" w:hAnsi="Arial" w:cs="Arial"/>
          <w:lang w:val="en-ID" w:eastAsia="en-GB"/>
        </w:rPr>
        <w:t xml:space="preserve"> et al., 2004)</w:t>
      </w:r>
      <w:r w:rsidRPr="0075604F">
        <w:rPr>
          <w:rFonts w:ascii="Arial" w:hAnsi="Arial" w:cs="Arial"/>
          <w:lang w:val="en-ID" w:eastAsia="en-GB"/>
        </w:rPr>
        <w:t>.</w:t>
      </w:r>
      <w:r w:rsidR="00480769">
        <w:rPr>
          <w:rFonts w:ascii="Arial" w:hAnsi="Arial" w:cs="Arial"/>
          <w:lang w:val="en-ID" w:eastAsia="en-GB"/>
        </w:rPr>
        <w:t xml:space="preserve"> </w:t>
      </w:r>
      <w:r w:rsidRPr="0075604F">
        <w:rPr>
          <w:rFonts w:ascii="Arial" w:hAnsi="Arial" w:cs="Arial"/>
          <w:lang w:val="en-ID" w:eastAsia="en-GB"/>
        </w:rPr>
        <w:t xml:space="preserve">However, it is more frequently observed in intrapelvic </w:t>
      </w:r>
      <w:proofErr w:type="spellStart"/>
      <w:r w:rsidRPr="0075604F">
        <w:rPr>
          <w:rFonts w:ascii="Arial" w:hAnsi="Arial" w:cs="Arial"/>
          <w:lang w:val="en-ID" w:eastAsia="en-GB"/>
        </w:rPr>
        <w:t>tumors</w:t>
      </w:r>
      <w:proofErr w:type="spellEnd"/>
      <w:r w:rsidRPr="0075604F">
        <w:rPr>
          <w:rFonts w:ascii="Arial" w:hAnsi="Arial" w:cs="Arial"/>
          <w:lang w:val="en-ID" w:eastAsia="en-GB"/>
        </w:rPr>
        <w:t xml:space="preserve"> or in cases where </w:t>
      </w:r>
      <w:proofErr w:type="spellStart"/>
      <w:r w:rsidRPr="0075604F">
        <w:rPr>
          <w:rFonts w:ascii="Arial" w:hAnsi="Arial" w:cs="Arial"/>
          <w:lang w:val="en-ID" w:eastAsia="en-GB"/>
        </w:rPr>
        <w:t>tumor</w:t>
      </w:r>
      <w:proofErr w:type="spellEnd"/>
      <w:r w:rsidRPr="0075604F">
        <w:rPr>
          <w:rFonts w:ascii="Arial" w:hAnsi="Arial" w:cs="Arial"/>
          <w:lang w:val="en-ID" w:eastAsia="en-GB"/>
        </w:rPr>
        <w:t xml:space="preserve"> invasion or rupture into the renal pelvis has occurred</w:t>
      </w:r>
      <w:r w:rsidR="00480769">
        <w:rPr>
          <w:rFonts w:ascii="Arial" w:hAnsi="Arial" w:cs="Arial"/>
          <w:lang w:val="en-ID" w:eastAsia="en-GB"/>
        </w:rPr>
        <w:t xml:space="preserve"> (</w:t>
      </w:r>
      <w:proofErr w:type="spellStart"/>
      <w:r w:rsidR="00480769">
        <w:rPr>
          <w:rFonts w:ascii="Arial" w:hAnsi="Arial" w:cs="Arial"/>
          <w:lang w:val="en-ID" w:eastAsia="en-GB"/>
        </w:rPr>
        <w:t>Ozyoruk</w:t>
      </w:r>
      <w:proofErr w:type="spellEnd"/>
      <w:r w:rsidR="00480769">
        <w:rPr>
          <w:rFonts w:ascii="Arial" w:hAnsi="Arial" w:cs="Arial"/>
          <w:lang w:val="en-ID" w:eastAsia="en-GB"/>
        </w:rPr>
        <w:t xml:space="preserve"> et al., 2014)</w:t>
      </w:r>
      <w:r w:rsidRPr="0075604F">
        <w:rPr>
          <w:rFonts w:ascii="Arial" w:hAnsi="Arial" w:cs="Arial"/>
          <w:lang w:val="en-ID" w:eastAsia="en-GB"/>
        </w:rPr>
        <w:t>.</w:t>
      </w:r>
      <w:r w:rsidR="00480769">
        <w:rPr>
          <w:rFonts w:ascii="Arial" w:hAnsi="Arial" w:cs="Arial"/>
          <w:lang w:val="en-ID" w:eastAsia="en-GB"/>
        </w:rPr>
        <w:t xml:space="preserve"> </w:t>
      </w:r>
      <w:r w:rsidRPr="0075604F">
        <w:rPr>
          <w:rFonts w:ascii="Arial" w:hAnsi="Arial" w:cs="Arial"/>
          <w:lang w:val="en-ID" w:eastAsia="en-GB"/>
        </w:rPr>
        <w:t xml:space="preserve">Such </w:t>
      </w:r>
      <w:proofErr w:type="spellStart"/>
      <w:r w:rsidRPr="0075604F">
        <w:rPr>
          <w:rFonts w:ascii="Arial" w:hAnsi="Arial" w:cs="Arial"/>
          <w:lang w:val="en-ID" w:eastAsia="en-GB"/>
        </w:rPr>
        <w:t>tumors</w:t>
      </w:r>
      <w:proofErr w:type="spellEnd"/>
      <w:r w:rsidRPr="0075604F">
        <w:rPr>
          <w:rFonts w:ascii="Arial" w:hAnsi="Arial" w:cs="Arial"/>
          <w:lang w:val="en-ID" w:eastAsia="en-GB"/>
        </w:rPr>
        <w:t xml:space="preserve"> may exhibit atypical clinical presentations that deviate from the </w:t>
      </w:r>
      <w:r w:rsidRPr="0075604F">
        <w:rPr>
          <w:rFonts w:ascii="Arial" w:hAnsi="Arial" w:cs="Arial"/>
          <w:lang w:val="en-ID" w:eastAsia="en-GB"/>
        </w:rPr>
        <w:lastRenderedPageBreak/>
        <w:t xml:space="preserve">conventional manifestations of Wilms’ </w:t>
      </w:r>
      <w:proofErr w:type="spellStart"/>
      <w:r w:rsidRPr="0075604F">
        <w:rPr>
          <w:rFonts w:ascii="Arial" w:hAnsi="Arial" w:cs="Arial"/>
          <w:lang w:val="en-ID" w:eastAsia="en-GB"/>
        </w:rPr>
        <w:t>tumor</w:t>
      </w:r>
      <w:proofErr w:type="spellEnd"/>
      <w:r w:rsidR="00480769">
        <w:rPr>
          <w:rFonts w:ascii="Arial" w:hAnsi="Arial" w:cs="Arial"/>
          <w:lang w:val="en-ID" w:eastAsia="en-GB"/>
        </w:rPr>
        <w:t xml:space="preserve"> (</w:t>
      </w:r>
      <w:proofErr w:type="spellStart"/>
      <w:r w:rsidR="00480769">
        <w:rPr>
          <w:rFonts w:ascii="Arial" w:hAnsi="Arial" w:cs="Arial"/>
          <w:lang w:val="en-ID" w:eastAsia="en-GB"/>
        </w:rPr>
        <w:t>Nakachi</w:t>
      </w:r>
      <w:proofErr w:type="spellEnd"/>
      <w:r w:rsidR="00480769">
        <w:rPr>
          <w:rFonts w:ascii="Arial" w:hAnsi="Arial" w:cs="Arial"/>
          <w:lang w:val="en-ID" w:eastAsia="en-GB"/>
        </w:rPr>
        <w:t xml:space="preserve"> et al., 2017)</w:t>
      </w:r>
      <w:r w:rsidRPr="0075604F">
        <w:rPr>
          <w:rFonts w:ascii="Arial" w:hAnsi="Arial" w:cs="Arial"/>
          <w:lang w:val="en-ID" w:eastAsia="en-GB"/>
        </w:rPr>
        <w:t xml:space="preserve">. In the present case, the clinical presentation was particularly unusual, with </w:t>
      </w:r>
      <w:proofErr w:type="spellStart"/>
      <w:r w:rsidRPr="0075604F">
        <w:rPr>
          <w:rFonts w:ascii="Arial" w:hAnsi="Arial" w:cs="Arial"/>
          <w:lang w:val="en-ID" w:eastAsia="en-GB"/>
        </w:rPr>
        <w:t>necroturia</w:t>
      </w:r>
      <w:proofErr w:type="spellEnd"/>
      <w:r w:rsidRPr="0075604F">
        <w:rPr>
          <w:rFonts w:ascii="Arial" w:hAnsi="Arial" w:cs="Arial"/>
          <w:lang w:val="en-ID" w:eastAsia="en-GB"/>
        </w:rPr>
        <w:t xml:space="preserve"> likely attributable to </w:t>
      </w:r>
      <w:proofErr w:type="spellStart"/>
      <w:r w:rsidRPr="0075604F">
        <w:rPr>
          <w:rFonts w:ascii="Arial" w:hAnsi="Arial" w:cs="Arial"/>
          <w:lang w:val="en-ID" w:eastAsia="en-GB"/>
        </w:rPr>
        <w:t>tumor</w:t>
      </w:r>
      <w:proofErr w:type="spellEnd"/>
      <w:r w:rsidRPr="0075604F">
        <w:rPr>
          <w:rFonts w:ascii="Arial" w:hAnsi="Arial" w:cs="Arial"/>
          <w:lang w:val="en-ID" w:eastAsia="en-GB"/>
        </w:rPr>
        <w:t xml:space="preserve"> necrosis arising from the intrapelvic component of the right renal mass. To the best of our knowledge, there are no previously published reports describing </w:t>
      </w:r>
      <w:proofErr w:type="spellStart"/>
      <w:r w:rsidRPr="0075604F">
        <w:rPr>
          <w:rFonts w:ascii="Arial" w:hAnsi="Arial" w:cs="Arial"/>
          <w:lang w:val="en-ID" w:eastAsia="en-GB"/>
        </w:rPr>
        <w:t>necroturia</w:t>
      </w:r>
      <w:proofErr w:type="spellEnd"/>
      <w:r w:rsidRPr="0075604F">
        <w:rPr>
          <w:rFonts w:ascii="Arial" w:hAnsi="Arial" w:cs="Arial"/>
          <w:lang w:val="en-ID" w:eastAsia="en-GB"/>
        </w:rPr>
        <w:t xml:space="preserve"> accompanied by acute urinary retention as a presenting feature of Wilms’ </w:t>
      </w:r>
      <w:proofErr w:type="spellStart"/>
      <w:r w:rsidRPr="0075604F">
        <w:rPr>
          <w:rFonts w:ascii="Arial" w:hAnsi="Arial" w:cs="Arial"/>
          <w:lang w:val="en-ID" w:eastAsia="en-GB"/>
        </w:rPr>
        <w:t>tumor</w:t>
      </w:r>
      <w:proofErr w:type="spellEnd"/>
      <w:r w:rsidRPr="0075604F">
        <w:rPr>
          <w:rFonts w:ascii="Arial" w:hAnsi="Arial" w:cs="Arial"/>
          <w:lang w:val="en-ID" w:eastAsia="en-GB"/>
        </w:rPr>
        <w:t xml:space="preserve">. While intrapelvic Wilms’ </w:t>
      </w:r>
      <w:proofErr w:type="spellStart"/>
      <w:r w:rsidRPr="0075604F">
        <w:rPr>
          <w:rFonts w:ascii="Arial" w:hAnsi="Arial" w:cs="Arial"/>
          <w:lang w:val="en-ID" w:eastAsia="en-GB"/>
        </w:rPr>
        <w:t>tumors</w:t>
      </w:r>
      <w:proofErr w:type="spellEnd"/>
      <w:r w:rsidRPr="0075604F">
        <w:rPr>
          <w:rFonts w:ascii="Arial" w:hAnsi="Arial" w:cs="Arial"/>
          <w:lang w:val="en-ID" w:eastAsia="en-GB"/>
        </w:rPr>
        <w:t xml:space="preserve"> have been reported to present predominantly with </w:t>
      </w:r>
      <w:proofErr w:type="spellStart"/>
      <w:r w:rsidRPr="0075604F">
        <w:rPr>
          <w:rFonts w:ascii="Arial" w:hAnsi="Arial" w:cs="Arial"/>
          <w:lang w:val="en-ID" w:eastAsia="en-GB"/>
        </w:rPr>
        <w:t>hematuria</w:t>
      </w:r>
      <w:proofErr w:type="spellEnd"/>
      <w:r w:rsidRPr="0075604F">
        <w:rPr>
          <w:rFonts w:ascii="Arial" w:hAnsi="Arial" w:cs="Arial"/>
          <w:lang w:val="en-ID" w:eastAsia="en-GB"/>
        </w:rPr>
        <w:t xml:space="preserve">, the occurrence of necrotic tissue passage via the urinary tract remains undocumented. Although </w:t>
      </w:r>
      <w:proofErr w:type="spellStart"/>
      <w:r w:rsidRPr="0075604F">
        <w:rPr>
          <w:rFonts w:ascii="Arial" w:hAnsi="Arial" w:cs="Arial"/>
          <w:lang w:val="en-ID" w:eastAsia="en-GB"/>
        </w:rPr>
        <w:t>cystoscopic</w:t>
      </w:r>
      <w:proofErr w:type="spellEnd"/>
      <w:r w:rsidRPr="0075604F">
        <w:rPr>
          <w:rFonts w:ascii="Arial" w:hAnsi="Arial" w:cs="Arial"/>
          <w:lang w:val="en-ID" w:eastAsia="en-GB"/>
        </w:rPr>
        <w:t xml:space="preserve"> evaluation was not performed in this case, we strongly postulate that the necrotic material originated from one of the renal </w:t>
      </w:r>
      <w:proofErr w:type="spellStart"/>
      <w:r w:rsidRPr="0075604F">
        <w:rPr>
          <w:rFonts w:ascii="Arial" w:hAnsi="Arial" w:cs="Arial"/>
          <w:lang w:val="en-ID" w:eastAsia="en-GB"/>
        </w:rPr>
        <w:t>tumors</w:t>
      </w:r>
      <w:proofErr w:type="spellEnd"/>
      <w:r w:rsidR="00480769">
        <w:rPr>
          <w:rFonts w:ascii="Arial" w:hAnsi="Arial" w:cs="Arial"/>
          <w:lang w:val="en-ID" w:eastAsia="en-GB"/>
        </w:rPr>
        <w:t xml:space="preserve"> (Yang et al., 2007)</w:t>
      </w:r>
      <w:r w:rsidRPr="0075604F">
        <w:rPr>
          <w:rFonts w:ascii="Arial" w:hAnsi="Arial" w:cs="Arial"/>
          <w:lang w:val="en-ID" w:eastAsia="en-GB"/>
        </w:rPr>
        <w:t xml:space="preserve">. </w:t>
      </w:r>
    </w:p>
    <w:p w14:paraId="62693954" w14:textId="038FF6D5" w:rsidR="0075604F" w:rsidRPr="0075604F" w:rsidRDefault="0075604F" w:rsidP="0075604F">
      <w:pPr>
        <w:ind w:firstLine="720"/>
        <w:jc w:val="both"/>
        <w:rPr>
          <w:rFonts w:ascii="Arial" w:hAnsi="Arial" w:cs="Arial"/>
          <w:lang w:val="en-ID" w:eastAsia="en-GB"/>
        </w:rPr>
      </w:pPr>
      <w:r w:rsidRPr="0075604F">
        <w:rPr>
          <w:rFonts w:ascii="Arial" w:hAnsi="Arial" w:cs="Arial"/>
          <w:lang w:val="en-ID" w:eastAsia="en-GB"/>
        </w:rPr>
        <w:t xml:space="preserve">The management of nephroblastoma, particularly in complex presentations, remains challenging. Nonetheless, preoperative chemotherapy typically results in significant </w:t>
      </w:r>
      <w:proofErr w:type="spellStart"/>
      <w:r w:rsidRPr="0075604F">
        <w:rPr>
          <w:rFonts w:ascii="Arial" w:hAnsi="Arial" w:cs="Arial"/>
          <w:lang w:val="en-ID" w:eastAsia="en-GB"/>
        </w:rPr>
        <w:t>tumor</w:t>
      </w:r>
      <w:proofErr w:type="spellEnd"/>
      <w:r w:rsidRPr="0075604F">
        <w:rPr>
          <w:rFonts w:ascii="Arial" w:hAnsi="Arial" w:cs="Arial"/>
          <w:lang w:val="en-ID" w:eastAsia="en-GB"/>
        </w:rPr>
        <w:t xml:space="preserve"> volume reduction, thereby facilitating nephron-sparing or renal salvage surgical approaches</w:t>
      </w:r>
      <w:r w:rsidR="00480769">
        <w:rPr>
          <w:rFonts w:ascii="Arial" w:hAnsi="Arial" w:cs="Arial"/>
          <w:lang w:val="en-ID" w:eastAsia="en-GB"/>
        </w:rPr>
        <w:t xml:space="preserve"> (Nguyen., 2016)</w:t>
      </w:r>
      <w:r w:rsidRPr="0075604F">
        <w:rPr>
          <w:rFonts w:ascii="Arial" w:hAnsi="Arial" w:cs="Arial"/>
          <w:lang w:val="en-ID" w:eastAsia="en-GB"/>
        </w:rPr>
        <w:t>. In this patient, radical nephrectomy was performed, leading to marked clinical improvement and resolution of symptoms.</w:t>
      </w:r>
    </w:p>
    <w:p w14:paraId="79C92CC5" w14:textId="3195D91B" w:rsidR="0075604F" w:rsidRPr="0075604F" w:rsidRDefault="0075604F" w:rsidP="0075604F">
      <w:pPr>
        <w:ind w:firstLine="720"/>
        <w:jc w:val="both"/>
        <w:rPr>
          <w:rFonts w:ascii="Arial" w:hAnsi="Arial" w:cs="Arial"/>
          <w:lang w:val="en-ID" w:eastAsia="en-GB"/>
        </w:rPr>
      </w:pPr>
      <w:r w:rsidRPr="0075604F">
        <w:rPr>
          <w:rFonts w:ascii="Arial" w:hAnsi="Arial" w:cs="Arial"/>
          <w:lang w:val="en-ID" w:eastAsia="en-GB"/>
        </w:rPr>
        <w:t xml:space="preserve">Nephrectomy remains the cornerstone of Wilms’ </w:t>
      </w:r>
      <w:proofErr w:type="spellStart"/>
      <w:r w:rsidRPr="0075604F">
        <w:rPr>
          <w:rFonts w:ascii="Arial" w:hAnsi="Arial" w:cs="Arial"/>
          <w:lang w:val="en-ID" w:eastAsia="en-GB"/>
        </w:rPr>
        <w:t>tumor</w:t>
      </w:r>
      <w:proofErr w:type="spellEnd"/>
      <w:r w:rsidRPr="0075604F">
        <w:rPr>
          <w:rFonts w:ascii="Arial" w:hAnsi="Arial" w:cs="Arial"/>
          <w:lang w:val="en-ID" w:eastAsia="en-GB"/>
        </w:rPr>
        <w:t xml:space="preserve"> management and constitutes an essential component of definitive treatment</w:t>
      </w:r>
      <w:r w:rsidR="00480769">
        <w:rPr>
          <w:rFonts w:ascii="Arial" w:hAnsi="Arial" w:cs="Arial"/>
          <w:lang w:val="en-ID" w:eastAsia="en-GB"/>
        </w:rPr>
        <w:t xml:space="preserve"> (Nakachi et al., 2017)</w:t>
      </w:r>
      <w:r w:rsidRPr="0075604F">
        <w:rPr>
          <w:rFonts w:ascii="Arial" w:hAnsi="Arial" w:cs="Arial"/>
          <w:lang w:val="en-ID" w:eastAsia="en-GB"/>
        </w:rPr>
        <w:t xml:space="preserve">. This is conventionally preceded by neoadjuvant chemotherapy aimed at </w:t>
      </w:r>
      <w:proofErr w:type="spellStart"/>
      <w:r w:rsidRPr="0075604F">
        <w:rPr>
          <w:rFonts w:ascii="Arial" w:hAnsi="Arial" w:cs="Arial"/>
          <w:lang w:val="en-ID" w:eastAsia="en-GB"/>
        </w:rPr>
        <w:t>tumor</w:t>
      </w:r>
      <w:proofErr w:type="spellEnd"/>
      <w:r w:rsidRPr="0075604F">
        <w:rPr>
          <w:rFonts w:ascii="Arial" w:hAnsi="Arial" w:cs="Arial"/>
          <w:lang w:val="en-ID" w:eastAsia="en-GB"/>
        </w:rPr>
        <w:t xml:space="preserve"> downstaging, minimizing the risk of intraoperative </w:t>
      </w:r>
      <w:proofErr w:type="spellStart"/>
      <w:r w:rsidRPr="0075604F">
        <w:rPr>
          <w:rFonts w:ascii="Arial" w:hAnsi="Arial" w:cs="Arial"/>
          <w:lang w:val="en-ID" w:eastAsia="en-GB"/>
        </w:rPr>
        <w:t>tumor</w:t>
      </w:r>
      <w:proofErr w:type="spellEnd"/>
      <w:r w:rsidRPr="0075604F">
        <w:rPr>
          <w:rFonts w:ascii="Arial" w:hAnsi="Arial" w:cs="Arial"/>
          <w:lang w:val="en-ID" w:eastAsia="en-GB"/>
        </w:rPr>
        <w:t xml:space="preserve"> rupture and facilitating surgical excision based on clinical and radiological assessment, often prior to histological confirmation. Definitive diagnosis and staging are subsequently established through histopathological examination of the excised specimen, guiding postoperative therapeutic strategies, which may include adjuvant chemotherapy and, in selected cases, radiotherapy</w:t>
      </w:r>
      <w:r w:rsidR="00480769">
        <w:rPr>
          <w:rFonts w:ascii="Arial" w:hAnsi="Arial" w:cs="Arial"/>
          <w:lang w:val="en-ID" w:eastAsia="en-GB"/>
        </w:rPr>
        <w:t xml:space="preserve"> (Yarboro., 1969)</w:t>
      </w:r>
      <w:r w:rsidRPr="0075604F">
        <w:rPr>
          <w:rFonts w:ascii="Arial" w:hAnsi="Arial" w:cs="Arial"/>
          <w:lang w:val="en-ID" w:eastAsia="en-GB"/>
        </w:rPr>
        <w:t>.</w:t>
      </w:r>
    </w:p>
    <w:p w14:paraId="55C3FE24" w14:textId="77777777" w:rsidR="00480769" w:rsidRDefault="0075604F" w:rsidP="00480769">
      <w:pPr>
        <w:ind w:firstLine="720"/>
        <w:jc w:val="both"/>
        <w:rPr>
          <w:rFonts w:ascii="Arial" w:hAnsi="Arial" w:cs="Arial"/>
          <w:lang w:val="en-ID" w:eastAsia="en-GB"/>
        </w:rPr>
      </w:pPr>
      <w:r w:rsidRPr="0075604F">
        <w:rPr>
          <w:rFonts w:ascii="Arial" w:hAnsi="Arial" w:cs="Arial"/>
          <w:lang w:val="en-ID" w:eastAsia="en-GB"/>
        </w:rPr>
        <w:t xml:space="preserve">The most critical prognostic determinants in Wilms’ </w:t>
      </w:r>
      <w:proofErr w:type="spellStart"/>
      <w:r w:rsidRPr="0075604F">
        <w:rPr>
          <w:rFonts w:ascii="Arial" w:hAnsi="Arial" w:cs="Arial"/>
          <w:lang w:val="en-ID" w:eastAsia="en-GB"/>
        </w:rPr>
        <w:t>tumor</w:t>
      </w:r>
      <w:proofErr w:type="spellEnd"/>
      <w:r w:rsidRPr="0075604F">
        <w:rPr>
          <w:rFonts w:ascii="Arial" w:hAnsi="Arial" w:cs="Arial"/>
          <w:lang w:val="en-ID" w:eastAsia="en-GB"/>
        </w:rPr>
        <w:t xml:space="preserve"> include disease stage, histopathological subtype, and the presence of loss of heterozygosity (LOH) at chromosomes 1p and 16q in chemotherapy-naïve </w:t>
      </w:r>
      <w:proofErr w:type="spellStart"/>
      <w:r w:rsidRPr="0075604F">
        <w:rPr>
          <w:rFonts w:ascii="Arial" w:hAnsi="Arial" w:cs="Arial"/>
          <w:lang w:val="en-ID" w:eastAsia="en-GB"/>
        </w:rPr>
        <w:t>tumors</w:t>
      </w:r>
      <w:proofErr w:type="spellEnd"/>
      <w:r w:rsidRPr="0075604F">
        <w:rPr>
          <w:rFonts w:ascii="Arial" w:hAnsi="Arial" w:cs="Arial"/>
          <w:lang w:val="en-ID" w:eastAsia="en-GB"/>
        </w:rPr>
        <w:t>. Over the past decade, age at diagnosis has also emerged as a potential prognostic factor</w:t>
      </w:r>
      <w:r w:rsidR="00480769">
        <w:rPr>
          <w:rFonts w:ascii="Arial" w:hAnsi="Arial" w:cs="Arial"/>
          <w:lang w:val="en-ID" w:eastAsia="en-GB"/>
        </w:rPr>
        <w:t xml:space="preserve"> (</w:t>
      </w:r>
      <w:proofErr w:type="spellStart"/>
      <w:r w:rsidR="00480769">
        <w:rPr>
          <w:rFonts w:ascii="Arial" w:hAnsi="Arial" w:cs="Arial"/>
          <w:lang w:val="en-ID" w:eastAsia="en-GB"/>
        </w:rPr>
        <w:t>Ozyoruk</w:t>
      </w:r>
      <w:proofErr w:type="spellEnd"/>
      <w:r w:rsidR="00480769">
        <w:rPr>
          <w:rFonts w:ascii="Arial" w:hAnsi="Arial" w:cs="Arial"/>
          <w:lang w:val="en-ID" w:eastAsia="en-GB"/>
        </w:rPr>
        <w:t xml:space="preserve"> et al., 2014)</w:t>
      </w:r>
      <w:r w:rsidRPr="0075604F">
        <w:rPr>
          <w:rFonts w:ascii="Arial" w:hAnsi="Arial" w:cs="Arial"/>
          <w:lang w:val="en-ID" w:eastAsia="en-GB"/>
        </w:rPr>
        <w:t>.</w:t>
      </w:r>
      <w:r w:rsidR="00480769">
        <w:rPr>
          <w:rFonts w:ascii="Arial" w:hAnsi="Arial" w:cs="Arial"/>
          <w:lang w:val="en-ID" w:eastAsia="en-GB"/>
        </w:rPr>
        <w:t xml:space="preserve"> </w:t>
      </w:r>
      <w:r w:rsidRPr="0075604F">
        <w:rPr>
          <w:rFonts w:ascii="Arial" w:hAnsi="Arial" w:cs="Arial"/>
          <w:lang w:val="en-ID" w:eastAsia="en-GB"/>
        </w:rPr>
        <w:t>Several studies have demonstrated that diagnosis at or beyond 4 years of age is associated with inferior outcomes, with one study specifically highlighting adverse prognostic implications in adolescent patients</w:t>
      </w:r>
      <w:r w:rsidR="00480769">
        <w:rPr>
          <w:rFonts w:ascii="Arial" w:hAnsi="Arial" w:cs="Arial"/>
          <w:lang w:val="en-ID" w:eastAsia="en-GB"/>
        </w:rPr>
        <w:t xml:space="preserve"> (Pastore et al., 2006)</w:t>
      </w:r>
      <w:r w:rsidRPr="0075604F">
        <w:rPr>
          <w:rFonts w:ascii="Arial" w:hAnsi="Arial" w:cs="Arial"/>
          <w:lang w:val="en-ID" w:eastAsia="en-GB"/>
        </w:rPr>
        <w:t xml:space="preserve">. Even among patients with </w:t>
      </w:r>
      <w:proofErr w:type="spellStart"/>
      <w:r w:rsidRPr="0075604F">
        <w:rPr>
          <w:rFonts w:ascii="Arial" w:hAnsi="Arial" w:cs="Arial"/>
          <w:lang w:val="en-ID" w:eastAsia="en-GB"/>
        </w:rPr>
        <w:t>favorable</w:t>
      </w:r>
      <w:proofErr w:type="spellEnd"/>
      <w:r w:rsidRPr="0075604F">
        <w:rPr>
          <w:rFonts w:ascii="Arial" w:hAnsi="Arial" w:cs="Arial"/>
          <w:lang w:val="en-ID" w:eastAsia="en-GB"/>
        </w:rPr>
        <w:t xml:space="preserve"> histology, increasing age at diagnosis appears to correlate with an elevated risk of relapse and mortality, although traditional prognostic variables such as </w:t>
      </w:r>
      <w:proofErr w:type="spellStart"/>
      <w:r w:rsidRPr="0075604F">
        <w:rPr>
          <w:rFonts w:ascii="Arial" w:hAnsi="Arial" w:cs="Arial"/>
          <w:lang w:val="en-ID" w:eastAsia="en-GB"/>
        </w:rPr>
        <w:t>tumor</w:t>
      </w:r>
      <w:proofErr w:type="spellEnd"/>
      <w:r w:rsidRPr="0075604F">
        <w:rPr>
          <w:rFonts w:ascii="Arial" w:hAnsi="Arial" w:cs="Arial"/>
          <w:lang w:val="en-ID" w:eastAsia="en-GB"/>
        </w:rPr>
        <w:t xml:space="preserve"> stage and histology remain more influential</w:t>
      </w:r>
      <w:r w:rsidR="00480769">
        <w:rPr>
          <w:rFonts w:ascii="Arial" w:hAnsi="Arial" w:cs="Arial"/>
          <w:lang w:val="en-ID" w:eastAsia="en-GB"/>
        </w:rPr>
        <w:t xml:space="preserve"> (Abdullah et al., 2013)</w:t>
      </w:r>
      <w:r w:rsidRPr="0075604F">
        <w:rPr>
          <w:rFonts w:ascii="Arial" w:hAnsi="Arial" w:cs="Arial"/>
          <w:lang w:val="en-ID" w:eastAsia="en-GB"/>
        </w:rPr>
        <w:t>.</w:t>
      </w:r>
      <w:r w:rsidR="00480769">
        <w:rPr>
          <w:rFonts w:ascii="Arial" w:hAnsi="Arial" w:cs="Arial"/>
          <w:lang w:val="en-ID" w:eastAsia="en-GB"/>
        </w:rPr>
        <w:t xml:space="preserve"> </w:t>
      </w:r>
      <w:r w:rsidRPr="0075604F">
        <w:rPr>
          <w:rFonts w:ascii="Arial" w:hAnsi="Arial" w:cs="Arial"/>
          <w:lang w:val="en-ID" w:eastAsia="en-GB"/>
        </w:rPr>
        <w:t xml:space="preserve">Additional factors contributing to poorer survival in older children include delayed diagnosis, advanced disease stage at presentation, and potential differences in underlying </w:t>
      </w:r>
      <w:proofErr w:type="spellStart"/>
      <w:r w:rsidRPr="0075604F">
        <w:rPr>
          <w:rFonts w:ascii="Arial" w:hAnsi="Arial" w:cs="Arial"/>
          <w:lang w:val="en-ID" w:eastAsia="en-GB"/>
        </w:rPr>
        <w:t>tumor</w:t>
      </w:r>
      <w:proofErr w:type="spellEnd"/>
      <w:r w:rsidRPr="0075604F">
        <w:rPr>
          <w:rFonts w:ascii="Arial" w:hAnsi="Arial" w:cs="Arial"/>
          <w:lang w:val="en-ID" w:eastAsia="en-GB"/>
        </w:rPr>
        <w:t xml:space="preserve"> biology.</w:t>
      </w:r>
      <w:r>
        <w:rPr>
          <w:rFonts w:ascii="Arial" w:hAnsi="Arial" w:cs="Arial"/>
          <w:lang w:val="en-ID" w:eastAsia="en-GB"/>
        </w:rPr>
        <w:t xml:space="preserve"> </w:t>
      </w:r>
      <w:r w:rsidRPr="0075604F">
        <w:rPr>
          <w:rFonts w:ascii="Arial" w:hAnsi="Arial" w:cs="Arial"/>
          <w:lang w:val="en-ID" w:eastAsia="en-GB"/>
        </w:rPr>
        <w:t xml:space="preserve">Wilms’ </w:t>
      </w:r>
      <w:proofErr w:type="spellStart"/>
      <w:r w:rsidRPr="0075604F">
        <w:rPr>
          <w:rFonts w:ascii="Arial" w:hAnsi="Arial" w:cs="Arial"/>
          <w:lang w:val="en-ID" w:eastAsia="en-GB"/>
        </w:rPr>
        <w:t>tumor</w:t>
      </w:r>
      <w:proofErr w:type="spellEnd"/>
      <w:r w:rsidRPr="0075604F">
        <w:rPr>
          <w:rFonts w:ascii="Arial" w:hAnsi="Arial" w:cs="Arial"/>
          <w:lang w:val="en-ID" w:eastAsia="en-GB"/>
        </w:rPr>
        <w:t xml:space="preserve"> is widely regarded as one of the most curable </w:t>
      </w:r>
      <w:proofErr w:type="spellStart"/>
      <w:r w:rsidRPr="0075604F">
        <w:rPr>
          <w:rFonts w:ascii="Arial" w:hAnsi="Arial" w:cs="Arial"/>
          <w:lang w:val="en-ID" w:eastAsia="en-GB"/>
        </w:rPr>
        <w:t>pediatric</w:t>
      </w:r>
      <w:proofErr w:type="spellEnd"/>
      <w:r w:rsidRPr="0075604F">
        <w:rPr>
          <w:rFonts w:ascii="Arial" w:hAnsi="Arial" w:cs="Arial"/>
          <w:lang w:val="en-ID" w:eastAsia="en-GB"/>
        </w:rPr>
        <w:t xml:space="preserve"> malignancies, with overall survival rates approaching 85%</w:t>
      </w:r>
      <w:r w:rsidR="00480769">
        <w:rPr>
          <w:rFonts w:ascii="Arial" w:hAnsi="Arial" w:cs="Arial"/>
          <w:lang w:val="en-ID" w:eastAsia="en-GB"/>
        </w:rPr>
        <w:t xml:space="preserve"> (Yang et al., 2007)</w:t>
      </w:r>
      <w:r w:rsidRPr="0075604F">
        <w:rPr>
          <w:rFonts w:ascii="Arial" w:hAnsi="Arial" w:cs="Arial"/>
          <w:lang w:val="en-ID" w:eastAsia="en-GB"/>
        </w:rPr>
        <w:t>.</w:t>
      </w:r>
    </w:p>
    <w:p w14:paraId="34CD1068" w14:textId="1D675297" w:rsidR="00790ADA" w:rsidRPr="0075604F" w:rsidRDefault="0075604F" w:rsidP="00480769">
      <w:pPr>
        <w:ind w:firstLine="720"/>
        <w:jc w:val="both"/>
        <w:rPr>
          <w:rFonts w:ascii="Arial" w:hAnsi="Arial" w:cs="Arial"/>
          <w:lang w:val="en-ID" w:eastAsia="en-GB"/>
        </w:rPr>
      </w:pPr>
      <w:r w:rsidRPr="0075604F">
        <w:rPr>
          <w:rFonts w:ascii="Arial" w:hAnsi="Arial" w:cs="Arial"/>
          <w:lang w:val="en-ID" w:eastAsia="en-GB"/>
        </w:rPr>
        <w:t xml:space="preserve">However, outcomes are significantly less </w:t>
      </w:r>
      <w:proofErr w:type="spellStart"/>
      <w:r w:rsidRPr="0075604F">
        <w:rPr>
          <w:rFonts w:ascii="Arial" w:hAnsi="Arial" w:cs="Arial"/>
          <w:lang w:val="en-ID" w:eastAsia="en-GB"/>
        </w:rPr>
        <w:t>favorable</w:t>
      </w:r>
      <w:proofErr w:type="spellEnd"/>
      <w:r w:rsidRPr="0075604F">
        <w:rPr>
          <w:rFonts w:ascii="Arial" w:hAnsi="Arial" w:cs="Arial"/>
          <w:lang w:val="en-ID" w:eastAsia="en-GB"/>
        </w:rPr>
        <w:t xml:space="preserve"> in older children, with reported 5-year overall survival rates of approximately 63% among patients aged 10–14 years at diagnosis</w:t>
      </w:r>
      <w:r w:rsidR="00480769">
        <w:rPr>
          <w:rFonts w:ascii="Arial" w:hAnsi="Arial" w:cs="Arial"/>
          <w:lang w:val="en-ID" w:eastAsia="en-GB"/>
        </w:rPr>
        <w:t xml:space="preserve"> (Nakachi et al., 2017)</w:t>
      </w:r>
      <w:r w:rsidRPr="0075604F">
        <w:rPr>
          <w:rFonts w:ascii="Arial" w:hAnsi="Arial" w:cs="Arial"/>
          <w:lang w:val="en-ID" w:eastAsia="en-GB"/>
        </w:rPr>
        <w:t>.</w:t>
      </w:r>
      <w:r w:rsidR="00480769">
        <w:rPr>
          <w:rFonts w:ascii="Arial" w:hAnsi="Arial" w:cs="Arial"/>
          <w:lang w:val="en-ID" w:eastAsia="en-GB"/>
        </w:rPr>
        <w:t xml:space="preserve"> </w:t>
      </w:r>
      <w:r w:rsidR="00E053D0" w:rsidRPr="00E053D0">
        <w:rPr>
          <w:rFonts w:ascii="Arial" w:hAnsi="Arial" w:cs="Arial"/>
          <w:lang w:val="en-GB" w:eastAsia="en-GB"/>
        </w:rPr>
        <w:br/>
      </w:r>
    </w:p>
    <w:p w14:paraId="39FB42FE" w14:textId="77777777" w:rsidR="00B01FCD" w:rsidRDefault="00000F8F" w:rsidP="00441B6F">
      <w:pPr>
        <w:pStyle w:val="ConcHead"/>
        <w:spacing w:after="0"/>
        <w:jc w:val="both"/>
        <w:rPr>
          <w:rFonts w:ascii="Arial" w:hAnsi="Arial" w:cs="Arial"/>
        </w:rPr>
      </w:pPr>
      <w:r>
        <w:rPr>
          <w:rFonts w:ascii="Arial" w:hAnsi="Arial" w:cs="Arial"/>
        </w:rPr>
        <w:t xml:space="preserve">4. </w:t>
      </w:r>
      <w:r w:rsidR="00B01FCD" w:rsidRPr="00FB3A86">
        <w:rPr>
          <w:rFonts w:ascii="Arial" w:hAnsi="Arial" w:cs="Arial"/>
        </w:rPr>
        <w:t>Conclusion</w:t>
      </w:r>
    </w:p>
    <w:p w14:paraId="4F1380CB" w14:textId="5C436146" w:rsidR="00B01FCD" w:rsidRDefault="0075604F" w:rsidP="00441B6F">
      <w:pPr>
        <w:pStyle w:val="Body"/>
        <w:spacing w:after="0"/>
        <w:rPr>
          <w:rFonts w:ascii="Arial" w:hAnsi="Arial" w:cs="Arial"/>
        </w:rPr>
      </w:pPr>
      <w:r>
        <w:rPr>
          <w:rFonts w:ascii="Arial" w:hAnsi="Arial" w:cs="Arial"/>
        </w:rPr>
        <w:t xml:space="preserve"> </w:t>
      </w:r>
    </w:p>
    <w:p w14:paraId="18BDEDE4" w14:textId="77777777" w:rsidR="0075604F" w:rsidRPr="0075604F" w:rsidRDefault="0075604F" w:rsidP="0075604F">
      <w:pPr>
        <w:pStyle w:val="Body"/>
        <w:spacing w:after="0"/>
        <w:ind w:firstLine="720"/>
        <w:rPr>
          <w:rFonts w:ascii="Arial" w:hAnsi="Arial" w:cs="Arial"/>
          <w:lang w:val="en-ID"/>
        </w:rPr>
      </w:pPr>
      <w:r w:rsidRPr="0075604F">
        <w:rPr>
          <w:rFonts w:ascii="Arial" w:hAnsi="Arial" w:cs="Arial"/>
          <w:lang w:val="en-ID"/>
        </w:rPr>
        <w:t xml:space="preserve">Nephroblastoma, commonly referred to as Wilms’ </w:t>
      </w:r>
      <w:proofErr w:type="spellStart"/>
      <w:r w:rsidRPr="0075604F">
        <w:rPr>
          <w:rFonts w:ascii="Arial" w:hAnsi="Arial" w:cs="Arial"/>
          <w:lang w:val="en-ID"/>
        </w:rPr>
        <w:t>tumor</w:t>
      </w:r>
      <w:proofErr w:type="spellEnd"/>
      <w:r w:rsidRPr="0075604F">
        <w:rPr>
          <w:rFonts w:ascii="Arial" w:hAnsi="Arial" w:cs="Arial"/>
          <w:lang w:val="en-ID"/>
        </w:rPr>
        <w:t xml:space="preserve">, constitutes the most frequent malignant renal neoplasm in the </w:t>
      </w:r>
      <w:proofErr w:type="spellStart"/>
      <w:r w:rsidRPr="0075604F">
        <w:rPr>
          <w:rFonts w:ascii="Arial" w:hAnsi="Arial" w:cs="Arial"/>
          <w:lang w:val="en-ID"/>
        </w:rPr>
        <w:t>pediatric</w:t>
      </w:r>
      <w:proofErr w:type="spellEnd"/>
      <w:r w:rsidRPr="0075604F">
        <w:rPr>
          <w:rFonts w:ascii="Arial" w:hAnsi="Arial" w:cs="Arial"/>
          <w:lang w:val="en-ID"/>
        </w:rPr>
        <w:t xml:space="preserve"> population, accounting for approximately 90% of all solid renal </w:t>
      </w:r>
      <w:proofErr w:type="spellStart"/>
      <w:r w:rsidRPr="0075604F">
        <w:rPr>
          <w:rFonts w:ascii="Arial" w:hAnsi="Arial" w:cs="Arial"/>
          <w:lang w:val="en-ID"/>
        </w:rPr>
        <w:t>tumors</w:t>
      </w:r>
      <w:proofErr w:type="spellEnd"/>
      <w:r w:rsidRPr="0075604F">
        <w:rPr>
          <w:rFonts w:ascii="Arial" w:hAnsi="Arial" w:cs="Arial"/>
          <w:lang w:val="en-ID"/>
        </w:rPr>
        <w:t xml:space="preserve"> in children. The disease predominantly affects young children between 1 and 5 years of age, with occurrence beyond early childhood being distinctly uncommon.</w:t>
      </w:r>
    </w:p>
    <w:p w14:paraId="13C14359" w14:textId="39EE49F1" w:rsidR="0075604F" w:rsidRDefault="0075604F" w:rsidP="0075604F">
      <w:pPr>
        <w:pStyle w:val="Body"/>
        <w:spacing w:after="0"/>
        <w:ind w:firstLine="720"/>
        <w:rPr>
          <w:rFonts w:ascii="Arial" w:hAnsi="Arial" w:cs="Arial"/>
        </w:rPr>
      </w:pPr>
      <w:r w:rsidRPr="0075604F">
        <w:rPr>
          <w:rFonts w:ascii="Arial" w:hAnsi="Arial" w:cs="Arial"/>
          <w:lang w:val="en-ID"/>
        </w:rPr>
        <w:t xml:space="preserve">The present case illustrates an unusual clinical presentation such as </w:t>
      </w:r>
      <w:proofErr w:type="spellStart"/>
      <w:r w:rsidRPr="0075604F">
        <w:rPr>
          <w:rFonts w:ascii="Arial" w:hAnsi="Arial" w:cs="Arial"/>
          <w:lang w:val="en-ID"/>
        </w:rPr>
        <w:t>necroturia</w:t>
      </w:r>
      <w:proofErr w:type="spellEnd"/>
      <w:r w:rsidRPr="0075604F">
        <w:rPr>
          <w:rFonts w:ascii="Arial" w:hAnsi="Arial" w:cs="Arial"/>
          <w:lang w:val="en-ID"/>
        </w:rPr>
        <w:t xml:space="preserve"> from  Wilms’ </w:t>
      </w:r>
      <w:proofErr w:type="spellStart"/>
      <w:r w:rsidRPr="0075604F">
        <w:rPr>
          <w:rFonts w:ascii="Arial" w:hAnsi="Arial" w:cs="Arial"/>
          <w:lang w:val="en-ID"/>
        </w:rPr>
        <w:t>tumor</w:t>
      </w:r>
      <w:proofErr w:type="spellEnd"/>
      <w:r w:rsidRPr="0075604F">
        <w:rPr>
          <w:rFonts w:ascii="Arial" w:hAnsi="Arial" w:cs="Arial"/>
          <w:lang w:val="en-ID"/>
        </w:rPr>
        <w:t xml:space="preserve"> that posed a significant diagnostic challenge. This observation underscores the continued importance of meticulous abdominal examination in </w:t>
      </w:r>
      <w:proofErr w:type="spellStart"/>
      <w:r w:rsidRPr="0075604F">
        <w:rPr>
          <w:rFonts w:ascii="Arial" w:hAnsi="Arial" w:cs="Arial"/>
          <w:lang w:val="en-ID"/>
        </w:rPr>
        <w:t>pediatric</w:t>
      </w:r>
      <w:proofErr w:type="spellEnd"/>
      <w:r w:rsidRPr="0075604F">
        <w:rPr>
          <w:rFonts w:ascii="Arial" w:hAnsi="Arial" w:cs="Arial"/>
          <w:lang w:val="en-ID"/>
        </w:rPr>
        <w:t xml:space="preserve"> patients presenting to healthcare facilities, as early detection of abdominal masses remains critical for timely diagnosis and improved oncological outcomes</w:t>
      </w:r>
      <w:r>
        <w:rPr>
          <w:rFonts w:ascii="Arial" w:hAnsi="Arial" w:cs="Arial"/>
          <w:lang w:val="en-ID"/>
        </w:rPr>
        <w:t xml:space="preserve">. </w:t>
      </w:r>
    </w:p>
    <w:p w14:paraId="3A40CAD5" w14:textId="77777777" w:rsidR="00790ADA" w:rsidRPr="00FB3A86" w:rsidRDefault="00790ADA" w:rsidP="00441B6F">
      <w:pPr>
        <w:pStyle w:val="Body"/>
        <w:spacing w:after="0"/>
        <w:rPr>
          <w:rFonts w:ascii="Arial" w:hAnsi="Arial" w:cs="Arial"/>
        </w:rPr>
      </w:pPr>
    </w:p>
    <w:p w14:paraId="4B1B44A2" w14:textId="77777777" w:rsidR="00D419CA" w:rsidRPr="00D419CA" w:rsidRDefault="00D419CA" w:rsidP="00D419CA">
      <w:pPr>
        <w:pStyle w:val="ReferHead"/>
        <w:jc w:val="both"/>
        <w:rPr>
          <w:rFonts w:ascii="Arial" w:hAnsi="Arial" w:cs="Arial"/>
          <w:b w:val="0"/>
          <w:caps w:val="0"/>
          <w:sz w:val="20"/>
        </w:rPr>
      </w:pPr>
      <w:bookmarkStart w:id="0" w:name="_GoBack"/>
      <w:bookmarkEnd w:id="0"/>
      <w:r w:rsidRPr="00D419CA">
        <w:rPr>
          <w:rFonts w:ascii="Arial" w:hAnsi="Arial" w:cs="Arial"/>
          <w:b w:val="0"/>
          <w:caps w:val="0"/>
          <w:sz w:val="20"/>
        </w:rPr>
        <w:lastRenderedPageBreak/>
        <w:t>COMPETING INTERESTS DISCLAIMER:</w:t>
      </w:r>
    </w:p>
    <w:p w14:paraId="18077CD8" w14:textId="7024DB48" w:rsidR="001A29D8" w:rsidRDefault="00D419CA" w:rsidP="00D419CA">
      <w:pPr>
        <w:pStyle w:val="ReferHead"/>
        <w:spacing w:after="0"/>
        <w:jc w:val="both"/>
        <w:rPr>
          <w:rFonts w:ascii="Arial" w:hAnsi="Arial" w:cs="Arial"/>
          <w:b w:val="0"/>
          <w:caps w:val="0"/>
          <w:sz w:val="20"/>
        </w:rPr>
      </w:pPr>
      <w:r w:rsidRPr="00D419CA">
        <w:rPr>
          <w:rFonts w:ascii="Arial" w:hAnsi="Arial" w:cs="Arial"/>
          <w:b w:val="0"/>
          <w:caps w:val="0"/>
          <w:sz w:val="20"/>
        </w:rPr>
        <w:t>Authors have declared that they have no known competing financial interests OR non-financial interests OR personal relationships that could have appeared to influence the work reported in this paper.</w:t>
      </w:r>
    </w:p>
    <w:p w14:paraId="724D20DD" w14:textId="77777777" w:rsidR="005C784C" w:rsidRDefault="005C784C" w:rsidP="00441B6F">
      <w:pPr>
        <w:pStyle w:val="ReferHead"/>
        <w:spacing w:after="0"/>
        <w:jc w:val="both"/>
        <w:rPr>
          <w:rFonts w:ascii="Arial" w:hAnsi="Arial" w:cs="Arial"/>
          <w:b w:val="0"/>
          <w:caps w:val="0"/>
          <w:sz w:val="20"/>
        </w:rPr>
      </w:pPr>
    </w:p>
    <w:p w14:paraId="341604B0" w14:textId="77777777" w:rsidR="00860000" w:rsidRDefault="00860000" w:rsidP="00441B6F">
      <w:pPr>
        <w:pStyle w:val="ReferHead"/>
        <w:spacing w:after="0"/>
        <w:jc w:val="both"/>
        <w:rPr>
          <w:rFonts w:ascii="Arial" w:hAnsi="Arial" w:cs="Arial"/>
        </w:rPr>
      </w:pPr>
    </w:p>
    <w:p w14:paraId="655C84C3" w14:textId="145C1BDA" w:rsidR="005255AA" w:rsidRPr="002548F3" w:rsidRDefault="00B01FCD" w:rsidP="002548F3">
      <w:pPr>
        <w:pStyle w:val="ReferHead"/>
        <w:spacing w:after="0"/>
        <w:jc w:val="both"/>
        <w:rPr>
          <w:rFonts w:ascii="Arial" w:hAnsi="Arial" w:cs="Arial"/>
        </w:rPr>
      </w:pPr>
      <w:r w:rsidRPr="00FB3A86">
        <w:rPr>
          <w:rFonts w:ascii="Arial" w:hAnsi="Arial" w:cs="Arial"/>
        </w:rPr>
        <w:t>References</w:t>
      </w:r>
    </w:p>
    <w:p w14:paraId="5D244642" w14:textId="3A8B65E9" w:rsidR="00981C15" w:rsidRDefault="00981C15" w:rsidP="00981C15">
      <w:pPr>
        <w:pStyle w:val="NormalWeb"/>
        <w:jc w:val="both"/>
      </w:pPr>
      <w:r>
        <w:t xml:space="preserve">Abdullah, Y., </w:t>
      </w:r>
      <w:proofErr w:type="spellStart"/>
      <w:r>
        <w:t>Karpelowsky</w:t>
      </w:r>
      <w:proofErr w:type="spellEnd"/>
      <w:r>
        <w:t xml:space="preserve">, J., Davidson, A., (2013). Management of nine cases of Wilms’ tumour with intracardiac extension: A single-centre experience. </w:t>
      </w:r>
      <w:r>
        <w:rPr>
          <w:rStyle w:val="Emphasis"/>
        </w:rPr>
        <w:t xml:space="preserve">Journal of </w:t>
      </w:r>
      <w:proofErr w:type="spellStart"/>
      <w:r>
        <w:rPr>
          <w:rStyle w:val="Emphasis"/>
        </w:rPr>
        <w:t>Pediatric</w:t>
      </w:r>
      <w:proofErr w:type="spellEnd"/>
      <w:r>
        <w:rPr>
          <w:rStyle w:val="Emphasis"/>
        </w:rPr>
        <w:t xml:space="preserve"> Surgery, 48</w:t>
      </w:r>
      <w:r>
        <w:t>(2), 394–399.</w:t>
      </w:r>
    </w:p>
    <w:p w14:paraId="53A83B40" w14:textId="16013C94" w:rsidR="00981C15" w:rsidRDefault="00981C15" w:rsidP="00981C15">
      <w:pPr>
        <w:pStyle w:val="NormalWeb"/>
        <w:jc w:val="both"/>
      </w:pPr>
      <w:r>
        <w:t xml:space="preserve">Malkan, A. D., Loh, A., Bahrami, A., (2015). An approach to renal masses in </w:t>
      </w:r>
      <w:proofErr w:type="spellStart"/>
      <w:r>
        <w:t>pediatrics</w:t>
      </w:r>
      <w:proofErr w:type="spellEnd"/>
      <w:r>
        <w:t xml:space="preserve">. </w:t>
      </w:r>
      <w:proofErr w:type="spellStart"/>
      <w:r>
        <w:rPr>
          <w:rStyle w:val="Emphasis"/>
        </w:rPr>
        <w:t>Pediatrics</w:t>
      </w:r>
      <w:proofErr w:type="spellEnd"/>
      <w:r>
        <w:rPr>
          <w:rStyle w:val="Emphasis"/>
        </w:rPr>
        <w:t>, 135</w:t>
      </w:r>
      <w:r>
        <w:t>(1), 142–158.</w:t>
      </w:r>
    </w:p>
    <w:p w14:paraId="77F5E7F4" w14:textId="77777777" w:rsidR="00981C15" w:rsidRDefault="00981C15" w:rsidP="00981C15">
      <w:pPr>
        <w:pStyle w:val="NormalWeb"/>
        <w:jc w:val="both"/>
      </w:pPr>
      <w:r>
        <w:t xml:space="preserve">Nakachi, S., Matsumoto, H., Nakazato, I., &amp; Yoshimi, N. (2017). Botryoid Wilms </w:t>
      </w:r>
      <w:proofErr w:type="spellStart"/>
      <w:r>
        <w:t>tumor</w:t>
      </w:r>
      <w:proofErr w:type="spellEnd"/>
      <w:r>
        <w:t xml:space="preserve"> of the renal pelvis: A case report. </w:t>
      </w:r>
      <w:r>
        <w:rPr>
          <w:rStyle w:val="Emphasis"/>
        </w:rPr>
        <w:t>Human Pathology: Case Reports, 9</w:t>
      </w:r>
      <w:r>
        <w:t>, 10–12.</w:t>
      </w:r>
    </w:p>
    <w:p w14:paraId="2FD07673" w14:textId="77777777" w:rsidR="00981C15" w:rsidRDefault="00981C15" w:rsidP="00981C15">
      <w:pPr>
        <w:pStyle w:val="NormalWeb"/>
        <w:jc w:val="both"/>
      </w:pPr>
      <w:r>
        <w:t xml:space="preserve">Nguyen, S. N. (2016). A case report of Wilms’ </w:t>
      </w:r>
      <w:proofErr w:type="spellStart"/>
      <w:r>
        <w:t>tumor</w:t>
      </w:r>
      <w:proofErr w:type="spellEnd"/>
      <w:r>
        <w:t xml:space="preserve">. </w:t>
      </w:r>
      <w:r>
        <w:rPr>
          <w:rStyle w:val="Emphasis"/>
        </w:rPr>
        <w:t>Journal of Rare Diseases: Diagnosis &amp; Therapy, 2</w:t>
      </w:r>
      <w:r>
        <w:t>, 3–5.</w:t>
      </w:r>
    </w:p>
    <w:p w14:paraId="6B5CE886" w14:textId="66FB8A70" w:rsidR="00981C15" w:rsidRDefault="00981C15" w:rsidP="00981C15">
      <w:pPr>
        <w:pStyle w:val="NormalWeb"/>
        <w:jc w:val="both"/>
      </w:pPr>
      <w:r>
        <w:t xml:space="preserve">Olukayode, A. A., </w:t>
      </w:r>
      <w:proofErr w:type="spellStart"/>
      <w:r>
        <w:t>Osuoji</w:t>
      </w:r>
      <w:proofErr w:type="spellEnd"/>
      <w:r>
        <w:t xml:space="preserve">, R., Akinola, R., (2014). Pattern of computed tomography scan findings in children with Wilms’ </w:t>
      </w:r>
      <w:proofErr w:type="spellStart"/>
      <w:r>
        <w:t>tumor</w:t>
      </w:r>
      <w:proofErr w:type="spellEnd"/>
      <w:r>
        <w:t xml:space="preserve"> in a tertiary hospital in Lagos, Nigeria. </w:t>
      </w:r>
      <w:r>
        <w:rPr>
          <w:rStyle w:val="Emphasis"/>
        </w:rPr>
        <w:t>Indian Journal of Medical and Paediatric Oncology, 35</w:t>
      </w:r>
      <w:r>
        <w:t>, 31–35.</w:t>
      </w:r>
    </w:p>
    <w:p w14:paraId="66515935" w14:textId="06B73021" w:rsidR="00981C15" w:rsidRDefault="00981C15" w:rsidP="00981C15">
      <w:pPr>
        <w:pStyle w:val="NormalWeb"/>
        <w:jc w:val="both"/>
      </w:pPr>
      <w:proofErr w:type="spellStart"/>
      <w:r>
        <w:t>Osuoji</w:t>
      </w:r>
      <w:proofErr w:type="spellEnd"/>
      <w:r>
        <w:t xml:space="preserve">, R., Williams, O., Ajai, O., (2011). Wilms’ tumour: Experience in a developing tertiary </w:t>
      </w:r>
      <w:proofErr w:type="spellStart"/>
      <w:r>
        <w:t>center</w:t>
      </w:r>
      <w:proofErr w:type="spellEnd"/>
      <w:r>
        <w:t xml:space="preserve"> in Nigeria. </w:t>
      </w:r>
      <w:r>
        <w:rPr>
          <w:rStyle w:val="Emphasis"/>
        </w:rPr>
        <w:t>East and Central African Journal of Surgery, 16</w:t>
      </w:r>
      <w:r>
        <w:t>, 51–57.</w:t>
      </w:r>
    </w:p>
    <w:p w14:paraId="59D8421C" w14:textId="77777777" w:rsidR="00981C15" w:rsidRDefault="00981C15" w:rsidP="00981C15">
      <w:pPr>
        <w:pStyle w:val="NormalWeb"/>
        <w:jc w:val="both"/>
      </w:pPr>
      <w:proofErr w:type="spellStart"/>
      <w:r>
        <w:t>Özyörük</w:t>
      </w:r>
      <w:proofErr w:type="spellEnd"/>
      <w:r>
        <w:t xml:space="preserve">, D., &amp; Emir, S. (2014). The management of bilateral Wilms </w:t>
      </w:r>
      <w:proofErr w:type="spellStart"/>
      <w:r>
        <w:t>tumor</w:t>
      </w:r>
      <w:proofErr w:type="spellEnd"/>
      <w:r>
        <w:t xml:space="preserve">. </w:t>
      </w:r>
      <w:r>
        <w:rPr>
          <w:rStyle w:val="Emphasis"/>
        </w:rPr>
        <w:t xml:space="preserve">Translational </w:t>
      </w:r>
      <w:proofErr w:type="spellStart"/>
      <w:r>
        <w:rPr>
          <w:rStyle w:val="Emphasis"/>
        </w:rPr>
        <w:t>Pediatrics</w:t>
      </w:r>
      <w:proofErr w:type="spellEnd"/>
      <w:r>
        <w:rPr>
          <w:rStyle w:val="Emphasis"/>
        </w:rPr>
        <w:t>, 3</w:t>
      </w:r>
      <w:r>
        <w:t>, 34–38.</w:t>
      </w:r>
    </w:p>
    <w:p w14:paraId="586D0FAD" w14:textId="77777777" w:rsidR="00981C15" w:rsidRDefault="00981C15" w:rsidP="00981C15">
      <w:pPr>
        <w:pStyle w:val="NormalWeb"/>
        <w:jc w:val="both"/>
      </w:pPr>
      <w:r>
        <w:t xml:space="preserve">Pastore, G., Znaor, A., </w:t>
      </w:r>
      <w:proofErr w:type="spellStart"/>
      <w:r>
        <w:t>Spreafico</w:t>
      </w:r>
      <w:proofErr w:type="spellEnd"/>
      <w:r>
        <w:t xml:space="preserve">, F., Graf, N., Pritchard-Jones, K., &amp; </w:t>
      </w:r>
      <w:proofErr w:type="spellStart"/>
      <w:r>
        <w:t>Steliarova-Foucher</w:t>
      </w:r>
      <w:proofErr w:type="spellEnd"/>
      <w:r>
        <w:t xml:space="preserve">, E. (2006). Malignant renal tumours incidence and survival in European children (1978–1997): Report from the Automated Childhood Cancer Information System project. </w:t>
      </w:r>
      <w:r>
        <w:rPr>
          <w:rStyle w:val="Emphasis"/>
        </w:rPr>
        <w:t>European Journal of Cancer, 42</w:t>
      </w:r>
      <w:r>
        <w:t>, 2103–2114.</w:t>
      </w:r>
    </w:p>
    <w:p w14:paraId="6AFF4214" w14:textId="77777777" w:rsidR="00981C15" w:rsidRDefault="00981C15" w:rsidP="00981C15">
      <w:pPr>
        <w:pStyle w:val="NormalWeb"/>
        <w:jc w:val="both"/>
      </w:pPr>
      <w:r>
        <w:t xml:space="preserve">Senthilnathan, R., </w:t>
      </w:r>
      <w:proofErr w:type="spellStart"/>
      <w:r>
        <w:t>Bagdu</w:t>
      </w:r>
      <w:proofErr w:type="spellEnd"/>
      <w:r>
        <w:t xml:space="preserve">, R., </w:t>
      </w:r>
      <w:proofErr w:type="spellStart"/>
      <w:r>
        <w:t>Senthilganesh</w:t>
      </w:r>
      <w:proofErr w:type="spellEnd"/>
      <w:r>
        <w:t xml:space="preserve">, K., &amp; </w:t>
      </w:r>
      <w:proofErr w:type="spellStart"/>
      <w:r>
        <w:t>Senthilbarathi</w:t>
      </w:r>
      <w:proofErr w:type="spellEnd"/>
      <w:r>
        <w:t xml:space="preserve">, C. (2004). Interesting presentation of Wilms’ tumour. </w:t>
      </w:r>
      <w:r>
        <w:rPr>
          <w:rStyle w:val="Emphasis"/>
        </w:rPr>
        <w:t xml:space="preserve">Journal of Indian Association of </w:t>
      </w:r>
      <w:proofErr w:type="spellStart"/>
      <w:r>
        <w:rPr>
          <w:rStyle w:val="Emphasis"/>
        </w:rPr>
        <w:t>Pediatric</w:t>
      </w:r>
      <w:proofErr w:type="spellEnd"/>
      <w:r>
        <w:rPr>
          <w:rStyle w:val="Emphasis"/>
        </w:rPr>
        <w:t xml:space="preserve"> Surgeons, 9</w:t>
      </w:r>
      <w:r>
        <w:t>, 193–197.</w:t>
      </w:r>
    </w:p>
    <w:p w14:paraId="5D96D820" w14:textId="77777777" w:rsidR="00981C15" w:rsidRDefault="00981C15" w:rsidP="00981C15">
      <w:pPr>
        <w:pStyle w:val="NormalWeb"/>
        <w:jc w:val="both"/>
      </w:pPr>
      <w:proofErr w:type="spellStart"/>
      <w:r>
        <w:t>Wabada</w:t>
      </w:r>
      <w:proofErr w:type="spellEnd"/>
      <w:r>
        <w:t xml:space="preserve">, S., Abubakar, A., Adamu, A., Kabir, A., &amp; G. I. B. (2017). Retroperitoneal extrarenal Wilms’ tumour: A case report. </w:t>
      </w:r>
      <w:r>
        <w:rPr>
          <w:rStyle w:val="Emphasis"/>
        </w:rPr>
        <w:t>Nigerian Journal of Clinical Practice, 20</w:t>
      </w:r>
      <w:r>
        <w:t>, 388–391.</w:t>
      </w:r>
    </w:p>
    <w:p w14:paraId="7EEE1BD0" w14:textId="683AED77" w:rsidR="00981C15" w:rsidRDefault="00981C15" w:rsidP="00981C15">
      <w:pPr>
        <w:pStyle w:val="NormalWeb"/>
        <w:jc w:val="both"/>
      </w:pPr>
      <w:r>
        <w:lastRenderedPageBreak/>
        <w:t xml:space="preserve">Yang, S. O., Joung, Y., Han, K. S., (2007). Adult’s Wilms’ </w:t>
      </w:r>
      <w:proofErr w:type="spellStart"/>
      <w:r>
        <w:t>tumor</w:t>
      </w:r>
      <w:proofErr w:type="spellEnd"/>
      <w:r>
        <w:t xml:space="preserve"> mimicking renal pelvis </w:t>
      </w:r>
      <w:proofErr w:type="spellStart"/>
      <w:r>
        <w:t>tumor</w:t>
      </w:r>
      <w:proofErr w:type="spellEnd"/>
      <w:r>
        <w:t xml:space="preserve">. </w:t>
      </w:r>
      <w:r>
        <w:rPr>
          <w:rStyle w:val="Emphasis"/>
        </w:rPr>
        <w:t>Korean Journal of Urology, 48</w:t>
      </w:r>
      <w:r>
        <w:t>, 558–560.</w:t>
      </w:r>
    </w:p>
    <w:p w14:paraId="0FADF2C0" w14:textId="77777777" w:rsidR="00981C15" w:rsidRDefault="00981C15" w:rsidP="00981C15">
      <w:pPr>
        <w:pStyle w:val="NormalWeb"/>
        <w:jc w:val="both"/>
      </w:pPr>
      <w:r>
        <w:t xml:space="preserve">Yarboro, T. L. (1969). Atypical presentation of Wilms’ </w:t>
      </w:r>
      <w:proofErr w:type="spellStart"/>
      <w:r>
        <w:t>tumor</w:t>
      </w:r>
      <w:proofErr w:type="spellEnd"/>
      <w:r>
        <w:t xml:space="preserve">: Evaluation and early diagnosis. </w:t>
      </w:r>
      <w:r>
        <w:rPr>
          <w:rStyle w:val="Emphasis"/>
        </w:rPr>
        <w:t>Journal of the National Medical Association, 90</w:t>
      </w:r>
      <w:r>
        <w:t>, 51–53.</w:t>
      </w:r>
    </w:p>
    <w:p w14:paraId="6C356FC5" w14:textId="3343C9A7" w:rsidR="005255AA" w:rsidRPr="00FB3A86" w:rsidRDefault="005255AA" w:rsidP="00441B6F">
      <w:pPr>
        <w:pStyle w:val="Appendix"/>
        <w:spacing w:after="0"/>
        <w:jc w:val="both"/>
        <w:rPr>
          <w:rFonts w:ascii="Arial" w:hAnsi="Arial" w:cs="Arial"/>
          <w:b w:val="0"/>
        </w:rPr>
        <w:sectPr w:rsidR="005255AA" w:rsidRPr="00FB3A86" w:rsidSect="005F3BF3">
          <w:headerReference w:type="even" r:id="rId18"/>
          <w:headerReference w:type="default" r:id="rId19"/>
          <w:footerReference w:type="default" r:id="rId20"/>
          <w:headerReference w:type="first" r:id="rId21"/>
          <w:type w:val="continuous"/>
          <w:pgSz w:w="12240" w:h="15840"/>
          <w:pgMar w:top="1440" w:right="2016" w:bottom="2016" w:left="2016" w:header="720" w:footer="1123" w:gutter="0"/>
          <w:cols w:space="720"/>
          <w:docGrid w:linePitch="272"/>
        </w:sectPr>
      </w:pPr>
    </w:p>
    <w:p w14:paraId="590DC789" w14:textId="77777777" w:rsidR="00B01FCD" w:rsidRPr="00FB3A86" w:rsidRDefault="00B01FCD" w:rsidP="00441B6F">
      <w:pPr>
        <w:pStyle w:val="Appendix"/>
        <w:spacing w:after="0"/>
        <w:jc w:val="both"/>
        <w:rPr>
          <w:rFonts w:ascii="Arial" w:hAnsi="Arial" w:cs="Arial"/>
          <w:b w:val="0"/>
        </w:rPr>
      </w:pPr>
    </w:p>
    <w:sectPr w:rsidR="00B01FCD" w:rsidRPr="00FB3A86" w:rsidSect="005F3BF3">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859A2F" w14:textId="77777777" w:rsidR="006041D6" w:rsidRDefault="006041D6" w:rsidP="00C37E61">
      <w:r>
        <w:separator/>
      </w:r>
    </w:p>
  </w:endnote>
  <w:endnote w:type="continuationSeparator" w:id="0">
    <w:p w14:paraId="4C606395" w14:textId="77777777" w:rsidR="006041D6" w:rsidRDefault="006041D6"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DD18C1" w14:textId="77777777" w:rsidR="005F3BF3" w:rsidRDefault="005F3BF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DD14F1" w14:textId="77777777" w:rsidR="005F3BF3" w:rsidRDefault="005F3BF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A1E303" w14:textId="77777777" w:rsidR="009E048A" w:rsidRDefault="009E048A">
    <w:pPr>
      <w:pStyle w:val="Footer"/>
      <w:rPr>
        <w:rFonts w:ascii="Arial" w:hAnsi="Arial" w:cs="Arial"/>
        <w:sz w:val="16"/>
      </w:rPr>
    </w:pPr>
  </w:p>
  <w:p w14:paraId="7E8EAA86" w14:textId="77777777" w:rsidR="009E048A" w:rsidRDefault="009E048A" w:rsidP="009E048A">
    <w:pPr>
      <w:pStyle w:val="Footer"/>
      <w:jc w:val="center"/>
      <w:rPr>
        <w:rFonts w:ascii="Arial" w:hAnsi="Arial" w:cs="Arial"/>
        <w:sz w:val="16"/>
      </w:rPr>
    </w:pPr>
    <w:r>
      <w:rPr>
        <w:rFonts w:ascii="Arial" w:hAnsi="Arial" w:cs="Arial"/>
        <w:sz w:val="16"/>
      </w:rPr>
      <w:t>______________________________________________________________________</w:t>
    </w:r>
    <w:r w:rsidR="00BF121F">
      <w:rPr>
        <w:rFonts w:ascii="Arial" w:hAnsi="Arial" w:cs="Arial"/>
        <w:sz w:val="16"/>
      </w:rPr>
      <w:t>______________________</w:t>
    </w:r>
  </w:p>
  <w:p w14:paraId="4230DEF9" w14:textId="77777777" w:rsidR="009E048A" w:rsidRDefault="009E048A">
    <w:pPr>
      <w:pStyle w:val="Footer"/>
      <w:rPr>
        <w:rFonts w:ascii="Arial" w:hAnsi="Arial" w:cs="Arial"/>
        <w:sz w:val="16"/>
      </w:rPr>
    </w:pPr>
  </w:p>
  <w:p w14:paraId="67E6DFE1" w14:textId="77777777" w:rsidR="00754C9A" w:rsidRPr="009E048A" w:rsidRDefault="00754C9A">
    <w:pPr>
      <w:pStyle w:val="Footer"/>
      <w:rPr>
        <w:rFonts w:ascii="Arial" w:hAnsi="Arial" w:cs="Arial"/>
        <w:i/>
        <w:sz w:val="16"/>
      </w:rPr>
    </w:pPr>
    <w:r w:rsidRPr="009E048A">
      <w:rPr>
        <w:rFonts w:ascii="Arial" w:hAnsi="Arial" w:cs="Arial"/>
        <w:i/>
        <w:sz w:val="16"/>
      </w:rPr>
      <w:t>*Corresponding author: Email: XYZ@ABC.COM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C03DCE"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6B65D0" w14:textId="77777777" w:rsidR="006041D6" w:rsidRDefault="006041D6" w:rsidP="00C37E61">
      <w:r>
        <w:separator/>
      </w:r>
    </w:p>
  </w:footnote>
  <w:footnote w:type="continuationSeparator" w:id="0">
    <w:p w14:paraId="5FC019D8" w14:textId="77777777" w:rsidR="006041D6" w:rsidRDefault="006041D6"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C6C73" w14:textId="22F5A56A" w:rsidR="005F3BF3" w:rsidRDefault="005F3BF3">
    <w:pPr>
      <w:pStyle w:val="Header"/>
    </w:pPr>
    <w:r>
      <w:rPr>
        <w:noProof/>
      </w:rPr>
      <w:pict w14:anchorId="59DA33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87299469" o:spid="_x0000_s2050" type="#_x0000_t136" style="position:absolute;margin-left:0;margin-top:0;width:519.9pt;height:58.6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64C8D6" w14:textId="3560DD52" w:rsidR="005F3BF3" w:rsidRDefault="005F3BF3">
    <w:pPr>
      <w:pStyle w:val="Header"/>
    </w:pPr>
    <w:r>
      <w:rPr>
        <w:noProof/>
      </w:rPr>
      <w:pict w14:anchorId="03BAEE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87299470" o:spid="_x0000_s2051" type="#_x0000_t136" style="position:absolute;margin-left:0;margin-top:0;width:519.9pt;height:58.6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E93BAE" w14:textId="11359003" w:rsidR="00296529" w:rsidRPr="00296529" w:rsidRDefault="005F3BF3" w:rsidP="00296529">
    <w:pPr>
      <w:ind w:left="2160"/>
      <w:jc w:val="center"/>
      <w:rPr>
        <w:rFonts w:ascii="Times New Roman" w:eastAsia="Calibri" w:hAnsi="Times New Roman"/>
        <w:i/>
        <w:sz w:val="18"/>
        <w:szCs w:val="22"/>
      </w:rPr>
    </w:pPr>
    <w:r>
      <w:rPr>
        <w:noProof/>
      </w:rPr>
      <w:pict w14:anchorId="2EC9DD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87299468" o:spid="_x0000_s2049" type="#_x0000_t136" style="position:absolute;left:0;text-align:left;margin-left:0;margin-top:0;width:519.9pt;height:58.6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v:shape>
      </w:pict>
    </w:r>
  </w:p>
  <w:p w14:paraId="1EA357A2"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7B659805"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03860489"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4768B3E4"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16CA0D8B"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60764D8F"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903616" w14:textId="5A878BF2" w:rsidR="005F3BF3" w:rsidRDefault="005F3BF3">
    <w:pPr>
      <w:pStyle w:val="Header"/>
    </w:pPr>
    <w:r>
      <w:rPr>
        <w:noProof/>
      </w:rPr>
      <w:pict w14:anchorId="43EC47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87299472" o:spid="_x0000_s2053" type="#_x0000_t136" style="position:absolute;margin-left:0;margin-top:0;width:519.9pt;height:58.65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096AE1" w14:textId="7C8C5C89" w:rsidR="005F3BF3" w:rsidRDefault="005F3BF3">
    <w:pPr>
      <w:pStyle w:val="Header"/>
    </w:pPr>
    <w:r>
      <w:rPr>
        <w:noProof/>
      </w:rPr>
      <w:pict w14:anchorId="5693BB7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87299473" o:spid="_x0000_s2054" type="#_x0000_t136" style="position:absolute;margin-left:0;margin-top:0;width:519.9pt;height:58.65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483558" w14:textId="03BB738D" w:rsidR="005F3BF3" w:rsidRDefault="005F3BF3">
    <w:pPr>
      <w:pStyle w:val="Header"/>
    </w:pPr>
    <w:r>
      <w:rPr>
        <w:noProof/>
      </w:rPr>
      <w:pict w14:anchorId="1E3F76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87299471" o:spid="_x0000_s2052" type="#_x0000_t136" style="position:absolute;margin-left:0;margin-top:0;width:519.9pt;height:58.65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6"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8"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0"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2"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3"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4"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5"/>
  </w:num>
  <w:num w:numId="3">
    <w:abstractNumId w:val="23"/>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7"/>
  </w:num>
  <w:num w:numId="6">
    <w:abstractNumId w:val="6"/>
  </w:num>
  <w:num w:numId="7">
    <w:abstractNumId w:val="1"/>
  </w:num>
  <w:num w:numId="8">
    <w:abstractNumId w:val="12"/>
  </w:num>
  <w:num w:numId="9">
    <w:abstractNumId w:val="25"/>
  </w:num>
  <w:num w:numId="10">
    <w:abstractNumId w:val="2"/>
  </w:num>
  <w:num w:numId="11">
    <w:abstractNumId w:val="18"/>
  </w:num>
  <w:num w:numId="12">
    <w:abstractNumId w:val="3"/>
  </w:num>
  <w:num w:numId="13">
    <w:abstractNumId w:val="17"/>
  </w:num>
  <w:num w:numId="14">
    <w:abstractNumId w:val="8"/>
  </w:num>
  <w:num w:numId="15">
    <w:abstractNumId w:val="21"/>
  </w:num>
  <w:num w:numId="16">
    <w:abstractNumId w:val="5"/>
  </w:num>
  <w:num w:numId="17">
    <w:abstractNumId w:val="22"/>
  </w:num>
  <w:num w:numId="18">
    <w:abstractNumId w:val="14"/>
  </w:num>
  <w:num w:numId="19">
    <w:abstractNumId w:val="28"/>
  </w:num>
  <w:num w:numId="20">
    <w:abstractNumId w:val="11"/>
  </w:num>
  <w:num w:numId="21">
    <w:abstractNumId w:val="9"/>
  </w:num>
  <w:num w:numId="22">
    <w:abstractNumId w:val="13"/>
  </w:num>
  <w:num w:numId="23">
    <w:abstractNumId w:val="19"/>
  </w:num>
  <w:num w:numId="24">
    <w:abstractNumId w:val="26"/>
  </w:num>
  <w:num w:numId="25">
    <w:abstractNumId w:val="4"/>
  </w:num>
  <w:num w:numId="26">
    <w:abstractNumId w:val="16"/>
  </w:num>
  <w:num w:numId="27">
    <w:abstractNumId w:val="20"/>
  </w:num>
  <w:num w:numId="28">
    <w:abstractNumId w:val="27"/>
  </w:num>
  <w:num w:numId="29">
    <w:abstractNumId w:val="24"/>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6219"/>
    <w:rsid w:val="00000F8F"/>
    <w:rsid w:val="00030174"/>
    <w:rsid w:val="00033F36"/>
    <w:rsid w:val="0004579C"/>
    <w:rsid w:val="000650FC"/>
    <w:rsid w:val="000A47FA"/>
    <w:rsid w:val="000A65D3"/>
    <w:rsid w:val="000B1E33"/>
    <w:rsid w:val="000D689F"/>
    <w:rsid w:val="000E7B7B"/>
    <w:rsid w:val="000E7D62"/>
    <w:rsid w:val="00103357"/>
    <w:rsid w:val="00123C9F"/>
    <w:rsid w:val="00126190"/>
    <w:rsid w:val="00127C5F"/>
    <w:rsid w:val="00130F17"/>
    <w:rsid w:val="001320BF"/>
    <w:rsid w:val="00163BC4"/>
    <w:rsid w:val="00191062"/>
    <w:rsid w:val="00192B72"/>
    <w:rsid w:val="001A29D8"/>
    <w:rsid w:val="001A5CAA"/>
    <w:rsid w:val="001B0427"/>
    <w:rsid w:val="001D3A51"/>
    <w:rsid w:val="001E10D2"/>
    <w:rsid w:val="001E25B4"/>
    <w:rsid w:val="001E44FE"/>
    <w:rsid w:val="00200595"/>
    <w:rsid w:val="00204835"/>
    <w:rsid w:val="00231920"/>
    <w:rsid w:val="0023195C"/>
    <w:rsid w:val="0024282C"/>
    <w:rsid w:val="002460DC"/>
    <w:rsid w:val="00250985"/>
    <w:rsid w:val="002548F3"/>
    <w:rsid w:val="002556F6"/>
    <w:rsid w:val="00283105"/>
    <w:rsid w:val="00284C4C"/>
    <w:rsid w:val="00287E68"/>
    <w:rsid w:val="00296529"/>
    <w:rsid w:val="002A4F6D"/>
    <w:rsid w:val="002B27FB"/>
    <w:rsid w:val="002B685A"/>
    <w:rsid w:val="002C57D2"/>
    <w:rsid w:val="002E0D56"/>
    <w:rsid w:val="00315186"/>
    <w:rsid w:val="0033343E"/>
    <w:rsid w:val="003512C2"/>
    <w:rsid w:val="00371FB6"/>
    <w:rsid w:val="003763C1"/>
    <w:rsid w:val="00376BBE"/>
    <w:rsid w:val="0039224F"/>
    <w:rsid w:val="003A43A4"/>
    <w:rsid w:val="003A7E18"/>
    <w:rsid w:val="003C4C86"/>
    <w:rsid w:val="003C6258"/>
    <w:rsid w:val="003E2904"/>
    <w:rsid w:val="003F5E0F"/>
    <w:rsid w:val="00401927"/>
    <w:rsid w:val="0041027F"/>
    <w:rsid w:val="00412475"/>
    <w:rsid w:val="00423789"/>
    <w:rsid w:val="00423823"/>
    <w:rsid w:val="00440F43"/>
    <w:rsid w:val="00441B6F"/>
    <w:rsid w:val="00446221"/>
    <w:rsid w:val="00450E62"/>
    <w:rsid w:val="004539DB"/>
    <w:rsid w:val="00471A80"/>
    <w:rsid w:val="00480769"/>
    <w:rsid w:val="004D305E"/>
    <w:rsid w:val="004D4277"/>
    <w:rsid w:val="004E3092"/>
    <w:rsid w:val="00502516"/>
    <w:rsid w:val="00505F06"/>
    <w:rsid w:val="00506828"/>
    <w:rsid w:val="005255AA"/>
    <w:rsid w:val="0053056E"/>
    <w:rsid w:val="00554FDA"/>
    <w:rsid w:val="00561914"/>
    <w:rsid w:val="00567B98"/>
    <w:rsid w:val="005A7A9D"/>
    <w:rsid w:val="005C784C"/>
    <w:rsid w:val="005D10B1"/>
    <w:rsid w:val="005D17F6"/>
    <w:rsid w:val="005E5539"/>
    <w:rsid w:val="005F3BF3"/>
    <w:rsid w:val="00602BF5"/>
    <w:rsid w:val="006041D6"/>
    <w:rsid w:val="00617FDD"/>
    <w:rsid w:val="00633614"/>
    <w:rsid w:val="00633F68"/>
    <w:rsid w:val="00636EB2"/>
    <w:rsid w:val="006375B8"/>
    <w:rsid w:val="0064398A"/>
    <w:rsid w:val="0066510A"/>
    <w:rsid w:val="006656EC"/>
    <w:rsid w:val="00667B98"/>
    <w:rsid w:val="00673F9F"/>
    <w:rsid w:val="0067427D"/>
    <w:rsid w:val="00686953"/>
    <w:rsid w:val="00687DEA"/>
    <w:rsid w:val="00687E67"/>
    <w:rsid w:val="006967F7"/>
    <w:rsid w:val="006A250C"/>
    <w:rsid w:val="006B21D3"/>
    <w:rsid w:val="006B57D0"/>
    <w:rsid w:val="006D30FF"/>
    <w:rsid w:val="006D6940"/>
    <w:rsid w:val="006F11EC"/>
    <w:rsid w:val="0070082C"/>
    <w:rsid w:val="007369E6"/>
    <w:rsid w:val="00746E59"/>
    <w:rsid w:val="00754C9A"/>
    <w:rsid w:val="0075599A"/>
    <w:rsid w:val="0075604F"/>
    <w:rsid w:val="00761D52"/>
    <w:rsid w:val="0077749E"/>
    <w:rsid w:val="00790ADA"/>
    <w:rsid w:val="007B6FEF"/>
    <w:rsid w:val="007D2288"/>
    <w:rsid w:val="007E088F"/>
    <w:rsid w:val="007F7B32"/>
    <w:rsid w:val="00804BC2"/>
    <w:rsid w:val="0081431A"/>
    <w:rsid w:val="0083216F"/>
    <w:rsid w:val="00860000"/>
    <w:rsid w:val="00863BD3"/>
    <w:rsid w:val="008641ED"/>
    <w:rsid w:val="00866D66"/>
    <w:rsid w:val="008671C6"/>
    <w:rsid w:val="00875803"/>
    <w:rsid w:val="008B459E"/>
    <w:rsid w:val="008E13AE"/>
    <w:rsid w:val="008E1506"/>
    <w:rsid w:val="008E710C"/>
    <w:rsid w:val="008F69D6"/>
    <w:rsid w:val="00902823"/>
    <w:rsid w:val="00915CA6"/>
    <w:rsid w:val="00927834"/>
    <w:rsid w:val="009500A6"/>
    <w:rsid w:val="00957C18"/>
    <w:rsid w:val="009659BA"/>
    <w:rsid w:val="00974D97"/>
    <w:rsid w:val="00981C15"/>
    <w:rsid w:val="00983040"/>
    <w:rsid w:val="00986868"/>
    <w:rsid w:val="009B3FB9"/>
    <w:rsid w:val="009C2465"/>
    <w:rsid w:val="009D35A0"/>
    <w:rsid w:val="009D7EB7"/>
    <w:rsid w:val="009E048A"/>
    <w:rsid w:val="009E08E9"/>
    <w:rsid w:val="009E3DB9"/>
    <w:rsid w:val="009E6E35"/>
    <w:rsid w:val="009F0EDA"/>
    <w:rsid w:val="00A03B96"/>
    <w:rsid w:val="00A05B19"/>
    <w:rsid w:val="00A1134E"/>
    <w:rsid w:val="00A24E7E"/>
    <w:rsid w:val="00A258C3"/>
    <w:rsid w:val="00A347C0"/>
    <w:rsid w:val="00A51431"/>
    <w:rsid w:val="00A539AD"/>
    <w:rsid w:val="00A94063"/>
    <w:rsid w:val="00AA6219"/>
    <w:rsid w:val="00AA74E0"/>
    <w:rsid w:val="00AB703F"/>
    <w:rsid w:val="00AC6BB8"/>
    <w:rsid w:val="00AE008F"/>
    <w:rsid w:val="00AF29EC"/>
    <w:rsid w:val="00B01FCD"/>
    <w:rsid w:val="00B1776C"/>
    <w:rsid w:val="00B52583"/>
    <w:rsid w:val="00B52896"/>
    <w:rsid w:val="00B67F14"/>
    <w:rsid w:val="00B95236"/>
    <w:rsid w:val="00B96BD9"/>
    <w:rsid w:val="00BA1B01"/>
    <w:rsid w:val="00BA2641"/>
    <w:rsid w:val="00BB37AA"/>
    <w:rsid w:val="00BC53A0"/>
    <w:rsid w:val="00BE62AD"/>
    <w:rsid w:val="00BF121F"/>
    <w:rsid w:val="00BF1F80"/>
    <w:rsid w:val="00C01078"/>
    <w:rsid w:val="00C166EF"/>
    <w:rsid w:val="00C17EB0"/>
    <w:rsid w:val="00C21AEB"/>
    <w:rsid w:val="00C27F5F"/>
    <w:rsid w:val="00C30A0F"/>
    <w:rsid w:val="00C37E61"/>
    <w:rsid w:val="00C70F1B"/>
    <w:rsid w:val="00C71A47"/>
    <w:rsid w:val="00C7464C"/>
    <w:rsid w:val="00C85588"/>
    <w:rsid w:val="00C92579"/>
    <w:rsid w:val="00CB066D"/>
    <w:rsid w:val="00CC4BC7"/>
    <w:rsid w:val="00CD6755"/>
    <w:rsid w:val="00CD6856"/>
    <w:rsid w:val="00CE0089"/>
    <w:rsid w:val="00CE793C"/>
    <w:rsid w:val="00CF193C"/>
    <w:rsid w:val="00D173F1"/>
    <w:rsid w:val="00D419CA"/>
    <w:rsid w:val="00D74CB0"/>
    <w:rsid w:val="00D75D46"/>
    <w:rsid w:val="00D8295D"/>
    <w:rsid w:val="00DC2A65"/>
    <w:rsid w:val="00DE15F0"/>
    <w:rsid w:val="00DE5663"/>
    <w:rsid w:val="00DE78AA"/>
    <w:rsid w:val="00E053D0"/>
    <w:rsid w:val="00E15994"/>
    <w:rsid w:val="00E3114E"/>
    <w:rsid w:val="00E31A70"/>
    <w:rsid w:val="00E334C7"/>
    <w:rsid w:val="00E35B02"/>
    <w:rsid w:val="00E56491"/>
    <w:rsid w:val="00E66496"/>
    <w:rsid w:val="00E66B35"/>
    <w:rsid w:val="00E66E10"/>
    <w:rsid w:val="00E736BD"/>
    <w:rsid w:val="00E769F6"/>
    <w:rsid w:val="00E8407C"/>
    <w:rsid w:val="00E84F3C"/>
    <w:rsid w:val="00EA012C"/>
    <w:rsid w:val="00EC6A55"/>
    <w:rsid w:val="00ED0288"/>
    <w:rsid w:val="00EE52CB"/>
    <w:rsid w:val="00EF581D"/>
    <w:rsid w:val="00EF7FD8"/>
    <w:rsid w:val="00F06F59"/>
    <w:rsid w:val="00F17988"/>
    <w:rsid w:val="00F33CE9"/>
    <w:rsid w:val="00F469F0"/>
    <w:rsid w:val="00F53273"/>
    <w:rsid w:val="00F755E4"/>
    <w:rsid w:val="00F77D02"/>
    <w:rsid w:val="00F85492"/>
    <w:rsid w:val="00FA3A95"/>
    <w:rsid w:val="00FB3A86"/>
    <w:rsid w:val="00FD3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22F33FCC"/>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styleId="UnresolvedMention">
    <w:name w:val="Unresolved Mention"/>
    <w:basedOn w:val="DefaultParagraphFont"/>
    <w:uiPriority w:val="99"/>
    <w:semiHidden/>
    <w:unhideWhenUsed/>
    <w:rsid w:val="00287E68"/>
    <w:rPr>
      <w:color w:val="605E5C"/>
      <w:shd w:val="clear" w:color="auto" w:fill="E1DFDD"/>
    </w:rPr>
  </w:style>
  <w:style w:type="paragraph" w:styleId="NormalWeb">
    <w:name w:val="Normal (Web)"/>
    <w:basedOn w:val="Normal"/>
    <w:uiPriority w:val="99"/>
    <w:semiHidden/>
    <w:unhideWhenUsed/>
    <w:rsid w:val="005255AA"/>
    <w:pPr>
      <w:spacing w:before="100" w:beforeAutospacing="1" w:after="100" w:afterAutospacing="1"/>
    </w:pPr>
    <w:rPr>
      <w:rFonts w:ascii="Times New Roman" w:hAnsi="Times New Roman"/>
      <w:sz w:val="24"/>
      <w:szCs w:val="24"/>
      <w:lang w:val="en-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4.xml"/><Relationship Id="rId3" Type="http://schemas.openxmlformats.org/officeDocument/2006/relationships/styles" Target="styles.xml"/><Relationship Id="rId21"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D8D108-973A-4E68-A204-C448FF6EAC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41</TotalTime>
  <Pages>7</Pages>
  <Words>2408</Words>
  <Characters>13730</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16106</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1084</cp:lastModifiedBy>
  <cp:revision>35</cp:revision>
  <cp:lastPrinted>1999-07-06T11:00:00Z</cp:lastPrinted>
  <dcterms:created xsi:type="dcterms:W3CDTF">2026-01-26T13:35:00Z</dcterms:created>
  <dcterms:modified xsi:type="dcterms:W3CDTF">2026-01-31T08:40:00Z</dcterms:modified>
</cp:coreProperties>
</file>