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82C0" w14:textId="77777777" w:rsidR="00B6347C" w:rsidRPr="00285B88" w:rsidRDefault="00B6347C" w:rsidP="00B6347C">
      <w:pPr>
        <w:autoSpaceDE w:val="0"/>
        <w:autoSpaceDN w:val="0"/>
        <w:adjustRightInd w:val="0"/>
        <w:spacing w:line="480" w:lineRule="auto"/>
        <w:jc w:val="both"/>
        <w:rPr>
          <w:rFonts w:ascii="Times New Roman" w:hAnsi="Times New Roman"/>
          <w:color w:val="000000" w:themeColor="text1"/>
          <w:sz w:val="24"/>
          <w:szCs w:val="24"/>
        </w:rPr>
      </w:pPr>
    </w:p>
    <w:p w14:paraId="19678ECC" w14:textId="77777777" w:rsidR="00B31E97" w:rsidRPr="00B31E97" w:rsidRDefault="00B31E97" w:rsidP="00B31E97">
      <w:pPr>
        <w:spacing w:before="280" w:after="160" w:line="480" w:lineRule="auto"/>
        <w:jc w:val="center"/>
        <w:rPr>
          <w:rFonts w:ascii="Times New Roman" w:hAnsi="Times New Roman"/>
          <w:b/>
          <w:bCs/>
          <w:i/>
          <w:iCs/>
          <w:color w:val="000000" w:themeColor="text1"/>
          <w:sz w:val="24"/>
          <w:szCs w:val="24"/>
          <w:u w:val="single"/>
        </w:rPr>
      </w:pPr>
      <w:r w:rsidRPr="00B31E97">
        <w:rPr>
          <w:rFonts w:ascii="Times New Roman" w:hAnsi="Times New Roman"/>
          <w:b/>
          <w:bCs/>
          <w:i/>
          <w:iCs/>
          <w:color w:val="000000" w:themeColor="text1"/>
          <w:sz w:val="24"/>
          <w:szCs w:val="24"/>
          <w:u w:val="single"/>
        </w:rPr>
        <w:t>Original Research Article</w:t>
      </w:r>
    </w:p>
    <w:p w14:paraId="0271BF98" w14:textId="77777777" w:rsidR="00B6347C" w:rsidRDefault="00B6347C" w:rsidP="00B6347C">
      <w:pPr>
        <w:spacing w:before="280" w:after="160" w:line="480" w:lineRule="auto"/>
        <w:jc w:val="center"/>
        <w:rPr>
          <w:rFonts w:ascii="Times New Roman" w:hAnsi="Times New Roman"/>
          <w:color w:val="000000" w:themeColor="text1"/>
          <w:sz w:val="24"/>
          <w:szCs w:val="24"/>
        </w:rPr>
      </w:pPr>
    </w:p>
    <w:p w14:paraId="60CFD467" w14:textId="77777777" w:rsidR="00B6347C" w:rsidRPr="00B6347C" w:rsidRDefault="00B6347C" w:rsidP="00441B6F">
      <w:pPr>
        <w:pStyle w:val="Author"/>
        <w:spacing w:line="240" w:lineRule="auto"/>
        <w:rPr>
          <w:rFonts w:ascii="Arial" w:hAnsi="Arial" w:cs="Arial"/>
          <w:bCs/>
          <w:iCs/>
          <w:kern w:val="28"/>
          <w:sz w:val="22"/>
          <w:szCs w:val="22"/>
        </w:rPr>
      </w:pPr>
    </w:p>
    <w:p w14:paraId="20145760" w14:textId="77777777" w:rsidR="00163BC4" w:rsidRPr="00163BC4" w:rsidRDefault="00B6347C" w:rsidP="00441B6F">
      <w:pPr>
        <w:pStyle w:val="Author"/>
        <w:spacing w:line="240" w:lineRule="auto"/>
        <w:rPr>
          <w:rFonts w:ascii="Arial" w:hAnsi="Arial" w:cs="Arial"/>
          <w:bCs/>
          <w:iCs/>
          <w:kern w:val="28"/>
          <w:sz w:val="36"/>
        </w:rPr>
      </w:pPr>
      <w:r w:rsidRPr="00EC7FC5">
        <w:rPr>
          <w:rFonts w:ascii="Arial" w:hAnsi="Arial" w:cs="Arial"/>
          <w:b w:val="0"/>
          <w:color w:val="000000" w:themeColor="text1"/>
          <w:sz w:val="36"/>
          <w:szCs w:val="36"/>
        </w:rPr>
        <w:t>PREVALENCE OF GLAUCOMA AMONG THE ADULT POPULATION IN ZANZIBAR, TANZANIA</w:t>
      </w:r>
      <w:r w:rsidR="00231920">
        <w:rPr>
          <w:rFonts w:ascii="Arial" w:hAnsi="Arial" w:cs="Arial"/>
          <w:bCs/>
          <w:iCs/>
          <w:kern w:val="28"/>
          <w:sz w:val="36"/>
        </w:rPr>
        <w:t xml:space="preserve"> </w:t>
      </w:r>
    </w:p>
    <w:p w14:paraId="4768D431" w14:textId="77777777" w:rsidR="00A258C3" w:rsidRPr="00790ADA" w:rsidRDefault="00A258C3" w:rsidP="00441B6F">
      <w:pPr>
        <w:pStyle w:val="Author"/>
        <w:spacing w:line="240" w:lineRule="auto"/>
        <w:jc w:val="both"/>
        <w:rPr>
          <w:rFonts w:ascii="Arial" w:hAnsi="Arial" w:cs="Arial"/>
          <w:sz w:val="36"/>
        </w:rPr>
      </w:pPr>
    </w:p>
    <w:p w14:paraId="3A6FA779" w14:textId="77777777" w:rsidR="00B31E97" w:rsidRDefault="00B31E97" w:rsidP="00B31E97">
      <w:pPr>
        <w:pStyle w:val="Footer"/>
      </w:pPr>
      <w:bookmarkStart w:id="0" w:name="_GoBack"/>
      <w:bookmarkEnd w:id="0"/>
    </w:p>
    <w:p w14:paraId="3E71C642" w14:textId="77777777" w:rsidR="00B31E97" w:rsidRPr="00FB3A86" w:rsidRDefault="00B31E97" w:rsidP="00441B6F">
      <w:pPr>
        <w:pStyle w:val="Affiliation"/>
        <w:spacing w:after="0" w:line="240" w:lineRule="auto"/>
        <w:jc w:val="both"/>
        <w:rPr>
          <w:rFonts w:ascii="Arial" w:hAnsi="Arial" w:cs="Arial"/>
        </w:rPr>
      </w:pPr>
    </w:p>
    <w:p w14:paraId="5EA122AE" w14:textId="77777777" w:rsidR="00B01FCD" w:rsidRPr="00FB3A86" w:rsidRDefault="00465D6D" w:rsidP="00441B6F">
      <w:pPr>
        <w:pStyle w:val="Copyright"/>
        <w:spacing w:after="0" w:line="240" w:lineRule="auto"/>
        <w:jc w:val="both"/>
        <w:rPr>
          <w:rFonts w:ascii="Arial" w:hAnsi="Arial" w:cs="Arial"/>
        </w:rPr>
        <w:sectPr w:rsidR="00B01FCD" w:rsidRPr="00FB3A86" w:rsidSect="00703FA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521347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6BC57C2"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27F928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88CD46C" w14:textId="77777777" w:rsidTr="001E44FE">
        <w:tc>
          <w:tcPr>
            <w:tcW w:w="9576" w:type="dxa"/>
            <w:shd w:val="clear" w:color="auto" w:fill="F2F2F2"/>
          </w:tcPr>
          <w:p w14:paraId="53262CB3" w14:textId="77777777" w:rsidR="00B6347C" w:rsidRPr="00B6347C" w:rsidRDefault="00B6347C" w:rsidP="00B6347C">
            <w:pPr>
              <w:pStyle w:val="Body"/>
              <w:rPr>
                <w:rFonts w:ascii="Arial" w:eastAsia="Calibri" w:hAnsi="Arial" w:cs="Arial"/>
                <w:b/>
                <w:szCs w:val="22"/>
              </w:rPr>
            </w:pPr>
            <w:r w:rsidRPr="00B6347C">
              <w:rPr>
                <w:rFonts w:ascii="Arial" w:eastAsia="Calibri" w:hAnsi="Arial" w:cs="Arial"/>
                <w:b/>
                <w:szCs w:val="22"/>
              </w:rPr>
              <w:t xml:space="preserve">AIM </w:t>
            </w:r>
          </w:p>
          <w:p w14:paraId="7A8DA411" w14:textId="77777777" w:rsidR="00B6347C" w:rsidRPr="00B6347C" w:rsidRDefault="00B6347C" w:rsidP="00B6347C">
            <w:pPr>
              <w:pStyle w:val="Body"/>
              <w:rPr>
                <w:rFonts w:ascii="Arial" w:eastAsia="Calibri" w:hAnsi="Arial" w:cs="Arial"/>
                <w:szCs w:val="22"/>
              </w:rPr>
            </w:pPr>
            <w:r w:rsidRPr="00B6347C">
              <w:rPr>
                <w:rFonts w:ascii="Arial" w:eastAsia="Calibri" w:hAnsi="Arial" w:cs="Arial"/>
                <w:szCs w:val="22"/>
              </w:rPr>
              <w:t>Glaucoma is a common eye condition where the optic nerve, which connects the eye to the brain, becomes damaged. Glaucoma has a significant public health concern as it is the second leading cause of blindness worldwide, and this blindness is usually irreversible. The aim of the study is to systematically identify the prevalence of glaucoma in population at Zanzibar, Tanzania.</w:t>
            </w:r>
          </w:p>
          <w:p w14:paraId="26DC2699" w14:textId="77777777" w:rsidR="00B6347C" w:rsidRPr="00B6347C" w:rsidRDefault="00B6347C" w:rsidP="00B6347C">
            <w:pPr>
              <w:pStyle w:val="Body"/>
              <w:rPr>
                <w:rFonts w:ascii="Arial" w:eastAsia="Calibri" w:hAnsi="Arial" w:cs="Arial"/>
                <w:b/>
                <w:szCs w:val="22"/>
              </w:rPr>
            </w:pPr>
            <w:r w:rsidRPr="00B6347C">
              <w:rPr>
                <w:rFonts w:ascii="Arial" w:eastAsia="Calibri" w:hAnsi="Arial" w:cs="Arial"/>
                <w:b/>
                <w:szCs w:val="22"/>
              </w:rPr>
              <w:t>MATERIALS AND METHODS</w:t>
            </w:r>
          </w:p>
          <w:p w14:paraId="66C19053" w14:textId="77777777" w:rsidR="00B6347C" w:rsidRPr="00B6347C" w:rsidRDefault="00B6347C" w:rsidP="00B6347C">
            <w:pPr>
              <w:pStyle w:val="Body"/>
              <w:rPr>
                <w:rFonts w:ascii="Arial" w:eastAsia="Calibri" w:hAnsi="Arial" w:cs="Arial"/>
                <w:szCs w:val="22"/>
              </w:rPr>
            </w:pPr>
            <w:r w:rsidRPr="00B6347C">
              <w:rPr>
                <w:rFonts w:ascii="Arial" w:eastAsia="Calibri" w:hAnsi="Arial" w:cs="Arial"/>
                <w:szCs w:val="22"/>
              </w:rPr>
              <w:t>This study was a cross-sectional study to estimate the prevalence of glaucoma among patients attending Ophthalmology clinic at Mnazi Mmoja Hospital (MMH) in Zanzibar, Tanzania. Questionnaires were used for data collection and socio-demographic data, family history and other risk factors. Analysis of data was done by using statistical package for social sciences (SPSS) program version 23. The measure frequency of prevalence of glaucoma was tabulated.</w:t>
            </w:r>
          </w:p>
          <w:p w14:paraId="2ACAAAB4" w14:textId="77777777" w:rsidR="00B6347C" w:rsidRPr="00B6347C" w:rsidRDefault="00B6347C" w:rsidP="00B6347C">
            <w:pPr>
              <w:pStyle w:val="Body"/>
              <w:rPr>
                <w:rFonts w:ascii="Arial" w:eastAsia="Calibri" w:hAnsi="Arial" w:cs="Arial"/>
                <w:b/>
                <w:szCs w:val="22"/>
              </w:rPr>
            </w:pPr>
            <w:r w:rsidRPr="00B6347C">
              <w:rPr>
                <w:rFonts w:ascii="Arial" w:eastAsia="Calibri" w:hAnsi="Arial" w:cs="Arial"/>
                <w:b/>
                <w:szCs w:val="22"/>
              </w:rPr>
              <w:t>RESULTS</w:t>
            </w:r>
          </w:p>
          <w:p w14:paraId="3C037A1B" w14:textId="77777777" w:rsidR="00B6347C" w:rsidRPr="00B6347C" w:rsidRDefault="00B6347C" w:rsidP="00B6347C">
            <w:pPr>
              <w:pStyle w:val="Body"/>
              <w:rPr>
                <w:rFonts w:ascii="Arial" w:eastAsia="Calibri" w:hAnsi="Arial" w:cs="Arial"/>
                <w:szCs w:val="22"/>
              </w:rPr>
            </w:pPr>
            <w:r w:rsidRPr="00B6347C">
              <w:rPr>
                <w:rFonts w:ascii="Arial" w:eastAsia="Calibri" w:hAnsi="Arial" w:cs="Arial"/>
                <w:szCs w:val="22"/>
              </w:rPr>
              <w:t xml:space="preserve">The study sample was calculated and 200 patients were involved in the study. Among the </w:t>
            </w:r>
            <w:proofErr w:type="gramStart"/>
            <w:r w:rsidRPr="00B6347C">
              <w:rPr>
                <w:rFonts w:ascii="Arial" w:eastAsia="Calibri" w:hAnsi="Arial" w:cs="Arial"/>
                <w:szCs w:val="22"/>
              </w:rPr>
              <w:t>200 study</w:t>
            </w:r>
            <w:proofErr w:type="gramEnd"/>
            <w:r w:rsidRPr="00B6347C">
              <w:rPr>
                <w:rFonts w:ascii="Arial" w:eastAsia="Calibri" w:hAnsi="Arial" w:cs="Arial"/>
                <w:szCs w:val="22"/>
              </w:rPr>
              <w:t xml:space="preserve"> population, 78 patients (39 %) were diagnosed to have glaucoma. Most of the patients diagnosed with glaucoma were between 51-60 years of age (24.35 %). Out 78 patients diagnosed with glaucoma, 45 patients (57.7 %) were male and 33 patients (42.3 %) were male.  These patients have a </w:t>
            </w:r>
            <w:proofErr w:type="gramStart"/>
            <w:r w:rsidRPr="00B6347C">
              <w:rPr>
                <w:rFonts w:ascii="Arial" w:eastAsia="Calibri" w:hAnsi="Arial" w:cs="Arial"/>
                <w:szCs w:val="22"/>
              </w:rPr>
              <w:t>predisposing factors</w:t>
            </w:r>
            <w:proofErr w:type="gramEnd"/>
            <w:r w:rsidRPr="00B6347C">
              <w:rPr>
                <w:rFonts w:ascii="Arial" w:eastAsia="Calibri" w:hAnsi="Arial" w:cs="Arial"/>
                <w:szCs w:val="22"/>
              </w:rPr>
              <w:t>, like existing eye disease, family history of glaucoma (65.3%), hypertensive and diabetic (46.15% and 67.95% respectively). Our study also shows that a great proportion is only using topical medication as treatment of their condition.</w:t>
            </w:r>
          </w:p>
          <w:p w14:paraId="6C7038EB" w14:textId="77777777" w:rsidR="00B6347C" w:rsidRPr="00B6347C" w:rsidRDefault="00B6347C" w:rsidP="00B6347C">
            <w:pPr>
              <w:pStyle w:val="Body"/>
              <w:rPr>
                <w:rFonts w:ascii="Arial" w:eastAsia="Calibri" w:hAnsi="Arial" w:cs="Arial"/>
                <w:b/>
                <w:szCs w:val="22"/>
              </w:rPr>
            </w:pPr>
            <w:r w:rsidRPr="00B6347C">
              <w:rPr>
                <w:rFonts w:ascii="Arial" w:eastAsia="Calibri" w:hAnsi="Arial" w:cs="Arial"/>
                <w:b/>
                <w:szCs w:val="22"/>
              </w:rPr>
              <w:t>CONCLUSION</w:t>
            </w:r>
          </w:p>
          <w:p w14:paraId="28448AC8" w14:textId="77777777" w:rsidR="00505F06" w:rsidRPr="00BA1B01" w:rsidRDefault="00B6347C" w:rsidP="00B6347C">
            <w:pPr>
              <w:pStyle w:val="Body"/>
              <w:spacing w:after="0"/>
              <w:rPr>
                <w:rFonts w:ascii="Arial" w:eastAsia="Calibri" w:hAnsi="Arial" w:cs="Arial"/>
                <w:szCs w:val="22"/>
              </w:rPr>
            </w:pPr>
            <w:r w:rsidRPr="00B6347C">
              <w:rPr>
                <w:rFonts w:ascii="Arial" w:eastAsia="Calibri" w:hAnsi="Arial" w:cs="Arial"/>
                <w:szCs w:val="22"/>
              </w:rPr>
              <w:t xml:space="preserve">The prevalence of glaucoma in patients presenting with eye disease is significantly high. </w:t>
            </w:r>
            <w:r w:rsidRPr="00B6347C">
              <w:rPr>
                <w:rFonts w:ascii="Arial" w:eastAsia="Calibri" w:hAnsi="Arial" w:cs="Arial"/>
                <w:szCs w:val="22"/>
              </w:rPr>
              <w:lastRenderedPageBreak/>
              <w:t xml:space="preserve">Lack of awareness in taking proper treatment during the early stages of all eye diseases contributes to the development of glaucoma. Health education to the community on methods to prevent the risk factors through lifestyle modifications and providing ophthalmic health care facilities in rural areas of Tanzania will reduce the incidence of one of the major </w:t>
            </w:r>
            <w:proofErr w:type="gramStart"/>
            <w:r w:rsidRPr="00B6347C">
              <w:rPr>
                <w:rFonts w:ascii="Arial" w:eastAsia="Calibri" w:hAnsi="Arial" w:cs="Arial"/>
                <w:szCs w:val="22"/>
              </w:rPr>
              <w:t>cause</w:t>
            </w:r>
            <w:proofErr w:type="gramEnd"/>
            <w:r w:rsidRPr="00B6347C">
              <w:rPr>
                <w:rFonts w:ascii="Arial" w:eastAsia="Calibri" w:hAnsi="Arial" w:cs="Arial"/>
                <w:szCs w:val="22"/>
              </w:rPr>
              <w:t xml:space="preserve"> of blindness in Tanzania.</w:t>
            </w:r>
          </w:p>
        </w:tc>
      </w:tr>
    </w:tbl>
    <w:p w14:paraId="7DBE3528" w14:textId="77777777" w:rsidR="00636EB2" w:rsidRDefault="00636EB2" w:rsidP="00441B6F">
      <w:pPr>
        <w:pStyle w:val="Body"/>
        <w:spacing w:after="0"/>
        <w:rPr>
          <w:rFonts w:ascii="Arial" w:hAnsi="Arial" w:cs="Arial"/>
          <w:i/>
        </w:rPr>
      </w:pPr>
    </w:p>
    <w:p w14:paraId="050A3E64" w14:textId="77777777" w:rsidR="00A24E7E" w:rsidRDefault="00A24E7E" w:rsidP="00441B6F">
      <w:pPr>
        <w:pStyle w:val="Body"/>
        <w:spacing w:after="0"/>
        <w:rPr>
          <w:rFonts w:ascii="Arial" w:hAnsi="Arial" w:cs="Arial"/>
          <w:i/>
        </w:rPr>
      </w:pPr>
      <w:r>
        <w:rPr>
          <w:rFonts w:ascii="Arial" w:hAnsi="Arial" w:cs="Arial"/>
          <w:i/>
        </w:rPr>
        <w:t xml:space="preserve">Keywords: </w:t>
      </w:r>
      <w:r w:rsidR="00B6347C" w:rsidRPr="00A32BE8">
        <w:rPr>
          <w:rFonts w:ascii="Arial" w:hAnsi="Arial" w:cs="Arial"/>
          <w:i/>
          <w:color w:val="000000" w:themeColor="text1"/>
        </w:rPr>
        <w:t>Glaucoma, prevalence</w:t>
      </w:r>
      <w:r w:rsidR="00B6347C">
        <w:rPr>
          <w:rFonts w:ascii="Arial" w:hAnsi="Arial" w:cs="Arial"/>
          <w:i/>
          <w:color w:val="000000" w:themeColor="text1"/>
        </w:rPr>
        <w:t>,</w:t>
      </w:r>
      <w:r w:rsidR="00B6347C" w:rsidRPr="00A32BE8">
        <w:t xml:space="preserve"> </w:t>
      </w:r>
      <w:r w:rsidR="00B6347C">
        <w:rPr>
          <w:rFonts w:ascii="Arial" w:hAnsi="Arial" w:cs="Arial"/>
          <w:i/>
          <w:color w:val="000000" w:themeColor="text1"/>
        </w:rPr>
        <w:t>hypertensive,</w:t>
      </w:r>
      <w:r w:rsidR="00B6347C" w:rsidRPr="00A32BE8">
        <w:rPr>
          <w:rFonts w:ascii="Arial" w:hAnsi="Arial" w:cs="Arial"/>
          <w:i/>
          <w:color w:val="000000" w:themeColor="text1"/>
        </w:rPr>
        <w:t xml:space="preserve"> diabetic</w:t>
      </w:r>
    </w:p>
    <w:p w14:paraId="7508235E" w14:textId="77777777" w:rsidR="00790ADA" w:rsidRDefault="00790ADA" w:rsidP="00441B6F">
      <w:pPr>
        <w:pStyle w:val="Body"/>
        <w:spacing w:after="0"/>
        <w:rPr>
          <w:rFonts w:ascii="Arial" w:hAnsi="Arial" w:cs="Arial"/>
          <w:i/>
        </w:rPr>
      </w:pPr>
    </w:p>
    <w:p w14:paraId="5441D152" w14:textId="77777777" w:rsidR="007F7B32" w:rsidRDefault="00B01FCD" w:rsidP="00441B6F">
      <w:pPr>
        <w:pStyle w:val="AbstHead"/>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7C082082" w14:textId="77777777" w:rsidR="00790ADA" w:rsidRPr="00FB3A86" w:rsidRDefault="00790ADA" w:rsidP="00441B6F">
      <w:pPr>
        <w:pStyle w:val="AbstHead"/>
        <w:spacing w:after="0"/>
        <w:jc w:val="both"/>
        <w:rPr>
          <w:rFonts w:ascii="Arial" w:hAnsi="Arial" w:cs="Arial"/>
        </w:rPr>
      </w:pPr>
    </w:p>
    <w:p w14:paraId="5ED426BE" w14:textId="77777777" w:rsidR="00B6347C" w:rsidRPr="00B6347C" w:rsidRDefault="00B6347C" w:rsidP="00B6347C">
      <w:pPr>
        <w:pStyle w:val="Body"/>
        <w:rPr>
          <w:rFonts w:ascii="Arial" w:hAnsi="Arial" w:cs="Arial"/>
        </w:rPr>
      </w:pPr>
      <w:r w:rsidRPr="00B6347C">
        <w:rPr>
          <w:rFonts w:ascii="Arial" w:hAnsi="Arial" w:cs="Arial"/>
        </w:rPr>
        <w:t>Glaucoma is a group of eye conditions that damage the optic nerve, which sends visual information to the brain, and can lead to vision loss and irreversible blindness. It is usually caused by fluid building up in the front part of the eye, which increases pressure inside the eye. Glaucoma can lead to loss of vision if not diagnosed and treated early. The loss of ganglion cells is related to the level of intraocular pressure, but other factors may also play a role. Lowering intraocular pressure is the only proven way to treat the disease. Although treatment is usually initiated with anti-drip eye drops, laser trabeculoplasty and surgery can also be used to slow the progression of the disease</w:t>
      </w:r>
      <w:r w:rsidR="003D36EB">
        <w:rPr>
          <w:rFonts w:ascii="Arial" w:hAnsi="Arial" w:cs="Arial"/>
          <w:vertAlign w:val="superscript"/>
        </w:rPr>
        <w:t>1</w:t>
      </w:r>
      <w:r w:rsidRPr="00B6347C">
        <w:rPr>
          <w:rFonts w:ascii="Arial" w:hAnsi="Arial" w:cs="Arial"/>
        </w:rPr>
        <w:t>.</w:t>
      </w:r>
    </w:p>
    <w:p w14:paraId="0BDF2942" w14:textId="77777777" w:rsidR="00B6347C" w:rsidRPr="00B6347C" w:rsidRDefault="00B6347C" w:rsidP="00B6347C">
      <w:pPr>
        <w:pStyle w:val="Body"/>
        <w:rPr>
          <w:rFonts w:ascii="Arial" w:hAnsi="Arial" w:cs="Arial"/>
        </w:rPr>
      </w:pPr>
      <w:r w:rsidRPr="00B6347C">
        <w:rPr>
          <w:rFonts w:ascii="Arial" w:hAnsi="Arial" w:cs="Arial"/>
        </w:rPr>
        <w:t>In 2020, it was estimated that approximately 76 million people globally were affected by glaucoma, among which 4.5 million experiencing moderate to severe visual impairment and 3.2 million suffering from blindness</w:t>
      </w:r>
      <w:r w:rsidR="003D36EB">
        <w:rPr>
          <w:rFonts w:ascii="Arial" w:hAnsi="Arial" w:cs="Arial"/>
          <w:vertAlign w:val="superscript"/>
        </w:rPr>
        <w:t>2</w:t>
      </w:r>
      <w:r w:rsidRPr="00B6347C">
        <w:rPr>
          <w:rFonts w:ascii="Arial" w:hAnsi="Arial" w:cs="Arial"/>
        </w:rPr>
        <w:t>. It is expected that there will be a rise in the aging population; the number of prevalent glaucoma cases is projected to reach 112 million by 2040, predominantly in old age and African and Asian descendants</w:t>
      </w:r>
      <w:r w:rsidR="003D36EB">
        <w:rPr>
          <w:rFonts w:ascii="Arial" w:hAnsi="Arial" w:cs="Arial"/>
          <w:vertAlign w:val="superscript"/>
        </w:rPr>
        <w:t>3</w:t>
      </w:r>
      <w:r w:rsidRPr="00B6347C">
        <w:rPr>
          <w:rFonts w:ascii="Arial" w:hAnsi="Arial" w:cs="Arial"/>
        </w:rPr>
        <w:t xml:space="preserve">. </w:t>
      </w:r>
      <w:r w:rsidR="003D36EB">
        <w:rPr>
          <w:rFonts w:ascii="Arial" w:hAnsi="Arial" w:cs="Arial"/>
        </w:rPr>
        <w:t>T</w:t>
      </w:r>
      <w:r w:rsidRPr="00B6347C">
        <w:rPr>
          <w:rFonts w:ascii="Arial" w:hAnsi="Arial" w:cs="Arial"/>
        </w:rPr>
        <w:t>he tenth revision of the International Classification of Diseases, mainly including primary open-angle glaucoma (POAG), primary angle-closure glaucoma (PACG), secondary glaucoma, and congenital glaucoma</w:t>
      </w:r>
      <w:r w:rsidR="00EA08CB">
        <w:rPr>
          <w:rFonts w:ascii="Arial" w:hAnsi="Arial" w:cs="Arial"/>
          <w:vertAlign w:val="superscript"/>
        </w:rPr>
        <w:t>4</w:t>
      </w:r>
      <w:r w:rsidRPr="00B6347C">
        <w:rPr>
          <w:rFonts w:ascii="Arial" w:hAnsi="Arial" w:cs="Arial"/>
        </w:rPr>
        <w:t>. It is estimated that 57.5 million people worldwide are affected by primary open-angle glaucoma (POAG)</w:t>
      </w:r>
      <w:r w:rsidR="00EA08CB">
        <w:rPr>
          <w:rFonts w:ascii="Arial" w:hAnsi="Arial" w:cs="Arial"/>
          <w:vertAlign w:val="superscript"/>
        </w:rPr>
        <w:t>5</w:t>
      </w:r>
      <w:r w:rsidRPr="00B6347C">
        <w:rPr>
          <w:rFonts w:ascii="Arial" w:hAnsi="Arial" w:cs="Arial"/>
        </w:rPr>
        <w:t xml:space="preserve">. Lower socio-economic level, aging, ultraviolet radiation and higher level of air pollution are significantly related with higher burden of glaucoma. </w:t>
      </w:r>
    </w:p>
    <w:p w14:paraId="0B3E817A" w14:textId="77777777" w:rsidR="00B6347C" w:rsidRPr="00B6347C" w:rsidRDefault="00B6347C" w:rsidP="00B6347C">
      <w:pPr>
        <w:pStyle w:val="Body"/>
        <w:rPr>
          <w:rFonts w:ascii="Arial" w:hAnsi="Arial" w:cs="Arial"/>
        </w:rPr>
      </w:pPr>
      <w:r w:rsidRPr="00B6347C">
        <w:rPr>
          <w:rFonts w:ascii="Arial" w:hAnsi="Arial" w:cs="Arial"/>
        </w:rPr>
        <w:t>In West Africa (Ghana) the estimated prevalence of glaucoma was 6.5 - 8.5%</w:t>
      </w:r>
      <w:r w:rsidR="00EA08CB">
        <w:rPr>
          <w:rFonts w:ascii="Arial" w:hAnsi="Arial" w:cs="Arial"/>
          <w:vertAlign w:val="superscript"/>
        </w:rPr>
        <w:t>6</w:t>
      </w:r>
      <w:r w:rsidRPr="00B6347C">
        <w:rPr>
          <w:rFonts w:ascii="Arial" w:hAnsi="Arial" w:cs="Arial"/>
        </w:rPr>
        <w:t xml:space="preserve"> in which positive family history of glaucoma was a major risk factor. In Tanzania, 44.7% of patients presented with severe visual loss are due to glaucoma and delayed diagnosis of glaucoma is a challenge in Tanzania</w:t>
      </w:r>
      <w:r w:rsidR="00EA08CB">
        <w:rPr>
          <w:rFonts w:ascii="Arial" w:hAnsi="Arial" w:cs="Arial"/>
          <w:vertAlign w:val="superscript"/>
        </w:rPr>
        <w:t>7</w:t>
      </w:r>
      <w:r w:rsidRPr="00B6347C">
        <w:rPr>
          <w:rFonts w:ascii="Arial" w:hAnsi="Arial" w:cs="Arial"/>
        </w:rPr>
        <w:t>.</w:t>
      </w:r>
      <w:r w:rsidR="00EA08CB">
        <w:rPr>
          <w:rFonts w:ascii="Arial" w:hAnsi="Arial" w:cs="Arial"/>
        </w:rPr>
        <w:t xml:space="preserve"> </w:t>
      </w:r>
      <w:r w:rsidRPr="00B6347C">
        <w:rPr>
          <w:rFonts w:ascii="Arial" w:hAnsi="Arial" w:cs="Arial"/>
        </w:rPr>
        <w:t>The increased incidence of glaucoma is due to existing risk factors such as, family history, age, thin cornea, high myopia diabetes, eye surgery, high blood pressure, use of corticosteroids eye drop. Currently there is no cure for glaucoma however through early diagnosis and treatment the disease can be controlled before vision loss or blindness occurs.</w:t>
      </w:r>
    </w:p>
    <w:p w14:paraId="77F9D725" w14:textId="77777777" w:rsidR="00B6347C" w:rsidRPr="00B6347C" w:rsidRDefault="00B6347C" w:rsidP="00B6347C">
      <w:pPr>
        <w:pStyle w:val="Body"/>
        <w:rPr>
          <w:rFonts w:ascii="Arial" w:hAnsi="Arial" w:cs="Arial"/>
        </w:rPr>
      </w:pPr>
      <w:r w:rsidRPr="00B6347C">
        <w:rPr>
          <w:rFonts w:ascii="Arial" w:hAnsi="Arial" w:cs="Arial"/>
        </w:rPr>
        <w:t xml:space="preserve">A study conducted by </w:t>
      </w:r>
      <w:proofErr w:type="spellStart"/>
      <w:r w:rsidRPr="00B6347C">
        <w:rPr>
          <w:rFonts w:ascii="Arial" w:hAnsi="Arial" w:cs="Arial"/>
        </w:rPr>
        <w:t>Tenkorang</w:t>
      </w:r>
      <w:proofErr w:type="spellEnd"/>
      <w:r w:rsidRPr="00B6347C">
        <w:rPr>
          <w:rFonts w:ascii="Arial" w:hAnsi="Arial" w:cs="Arial"/>
        </w:rPr>
        <w:t xml:space="preserve"> et al., 2013 among children, adult males and females diagnosed with glaucoma found that fewer children consistently presented with glaucoma at the study clinic compared to adults. Out of 5828 patients involved in the study, 918 were children and are under topical medication for some ophthalmic condition. Of these 918 children, only 13 were diagnosed as glaucomatous by the optometrist and ophthalmologist. Thus, the prevalence of glaucoma among children during the study period was 1.42 %. The total number of adult males was 2747. Of these, only 241 were diagnosed as glaucomatous, the prevalence was 8.77 %. The total number of adult females was 2163; 206 were diagnosed with glaucoma, the prevalence was 9.52%</w:t>
      </w:r>
      <w:r w:rsidR="00EA08CB">
        <w:rPr>
          <w:rFonts w:ascii="Arial" w:hAnsi="Arial" w:cs="Arial"/>
          <w:vertAlign w:val="superscript"/>
        </w:rPr>
        <w:t>8</w:t>
      </w:r>
      <w:r w:rsidR="00EA08CB">
        <w:rPr>
          <w:rFonts w:ascii="Arial" w:hAnsi="Arial" w:cs="Arial"/>
        </w:rPr>
        <w:t>.</w:t>
      </w:r>
    </w:p>
    <w:p w14:paraId="46BF9EA0" w14:textId="77777777" w:rsidR="00B6347C" w:rsidRPr="00B6347C" w:rsidRDefault="00B6347C" w:rsidP="00B6347C">
      <w:pPr>
        <w:pStyle w:val="Body"/>
        <w:rPr>
          <w:rFonts w:ascii="Arial" w:hAnsi="Arial" w:cs="Arial"/>
        </w:rPr>
      </w:pPr>
      <w:r w:rsidRPr="00B6347C">
        <w:rPr>
          <w:rFonts w:ascii="Arial" w:hAnsi="Arial" w:cs="Arial"/>
        </w:rPr>
        <w:t>The global prevalence of glaucoma for the population aged 40 - 80 years is 3.54 %. The prevalence of Primary Open-Angle Glaucoma (POAJ) is highest in Africa (4.20 %) and the prevalence of Primary Angle Closure Glaucoma (PACG) is highest in Asia (1.09 %)</w:t>
      </w:r>
      <w:r w:rsidR="00EA08CB">
        <w:rPr>
          <w:rFonts w:ascii="Arial" w:hAnsi="Arial" w:cs="Arial"/>
          <w:vertAlign w:val="superscript"/>
        </w:rPr>
        <w:t>3</w:t>
      </w:r>
      <w:r w:rsidRPr="00B6347C">
        <w:rPr>
          <w:rFonts w:ascii="Arial" w:hAnsi="Arial" w:cs="Arial"/>
        </w:rPr>
        <w:t xml:space="preserve">. </w:t>
      </w:r>
    </w:p>
    <w:p w14:paraId="40354774" w14:textId="77777777" w:rsidR="00B01FCD" w:rsidRDefault="00B6347C" w:rsidP="00B6347C">
      <w:pPr>
        <w:pStyle w:val="Body"/>
        <w:spacing w:after="0"/>
        <w:rPr>
          <w:rFonts w:ascii="Arial" w:hAnsi="Arial" w:cs="Arial"/>
        </w:rPr>
      </w:pPr>
      <w:r w:rsidRPr="00B6347C">
        <w:rPr>
          <w:rFonts w:ascii="Arial" w:hAnsi="Arial" w:cs="Arial"/>
        </w:rPr>
        <w:lastRenderedPageBreak/>
        <w:t>The present study was conducted to determine the prevalence of glaucoma in patients attending ophthalmology clinic at MMH in 2024 and to determine and evaluate the risk factors of glaucoma in patients attending ophthalmology clinic at MMH and to evaluate the kind of management given to glaucoma patients at MMH. This study will help to increase the awareness of the risk factors and to minimize the complications of glaucoma. Will also help in the management of the consequences of glaucoma in MMH.</w:t>
      </w:r>
    </w:p>
    <w:p w14:paraId="5702F31F" w14:textId="77777777" w:rsidR="00790ADA" w:rsidRPr="00FB3A86" w:rsidRDefault="00790ADA" w:rsidP="00441B6F">
      <w:pPr>
        <w:pStyle w:val="Body"/>
        <w:spacing w:after="0"/>
        <w:rPr>
          <w:rFonts w:ascii="Arial" w:hAnsi="Arial" w:cs="Arial"/>
        </w:rPr>
      </w:pPr>
    </w:p>
    <w:p w14:paraId="2735DF21" w14:textId="77777777" w:rsidR="007F7B32" w:rsidRDefault="00902823" w:rsidP="00441B6F">
      <w:pPr>
        <w:pStyle w:val="AbstHead"/>
        <w:spacing w:after="0"/>
        <w:jc w:val="both"/>
        <w:rPr>
          <w:rFonts w:ascii="Arial" w:hAnsi="Arial" w:cs="Arial"/>
        </w:rPr>
      </w:pPr>
      <w:r>
        <w:rPr>
          <w:rFonts w:ascii="Arial" w:hAnsi="Arial" w:cs="Arial"/>
        </w:rPr>
        <w:t>material and method</w:t>
      </w:r>
      <w:r w:rsidR="00B6347C">
        <w:rPr>
          <w:rFonts w:ascii="Arial" w:hAnsi="Arial" w:cs="Arial"/>
        </w:rPr>
        <w:t>s</w:t>
      </w:r>
    </w:p>
    <w:p w14:paraId="58BDB9EC" w14:textId="77777777" w:rsidR="00790ADA" w:rsidRPr="00FB3A86" w:rsidRDefault="00790ADA" w:rsidP="00441B6F">
      <w:pPr>
        <w:pStyle w:val="AbstHead"/>
        <w:spacing w:after="0"/>
        <w:jc w:val="both"/>
        <w:rPr>
          <w:rFonts w:ascii="Arial" w:hAnsi="Arial" w:cs="Arial"/>
        </w:rPr>
      </w:pPr>
    </w:p>
    <w:p w14:paraId="019270C6" w14:textId="77777777" w:rsidR="007D4026" w:rsidRPr="007D4026" w:rsidRDefault="007D4026" w:rsidP="007D4026">
      <w:pPr>
        <w:pStyle w:val="Body"/>
        <w:rPr>
          <w:rFonts w:ascii="Arial" w:hAnsi="Arial" w:cs="Arial"/>
        </w:rPr>
      </w:pPr>
      <w:r w:rsidRPr="007D4026">
        <w:rPr>
          <w:rFonts w:ascii="Arial" w:hAnsi="Arial" w:cs="Arial"/>
        </w:rPr>
        <w:t>The study was done by cross-sectional study; the study was done at ophthalmology clinic in which the data will be obtained from the patients attending the clinic from January to May for the year 2024 at Mnazi Mmoja Hospital (MMH) which is the only tertiary/referral hospital for Zanzibar, Tanzania.</w:t>
      </w:r>
    </w:p>
    <w:p w14:paraId="69FD0DD4" w14:textId="77777777" w:rsidR="007D4026" w:rsidRPr="007D4026" w:rsidRDefault="007D4026" w:rsidP="007D4026">
      <w:pPr>
        <w:pStyle w:val="Body"/>
        <w:rPr>
          <w:rFonts w:ascii="Arial" w:hAnsi="Arial" w:cs="Arial"/>
        </w:rPr>
      </w:pPr>
      <w:r w:rsidRPr="007D4026">
        <w:rPr>
          <w:rFonts w:ascii="Arial" w:hAnsi="Arial" w:cs="Arial"/>
        </w:rPr>
        <w:t>Sampling</w:t>
      </w:r>
    </w:p>
    <w:p w14:paraId="2C087D2C" w14:textId="77777777" w:rsidR="007D4026" w:rsidRPr="007D4026" w:rsidRDefault="007D4026" w:rsidP="007D4026">
      <w:pPr>
        <w:pStyle w:val="Body"/>
        <w:rPr>
          <w:rFonts w:ascii="Arial" w:hAnsi="Arial" w:cs="Arial"/>
        </w:rPr>
      </w:pPr>
      <w:r w:rsidRPr="007D4026">
        <w:rPr>
          <w:rFonts w:ascii="Arial" w:hAnsi="Arial" w:cs="Arial"/>
        </w:rPr>
        <w:t>All the patients who attend at ophthalmology clinic at MMH from January to May 2024 were enrolled in the study. The sample size was calculated using the formula n= (Z2pq)/d2; where n= sample size, Z= Z score for confidence interval (1.96), p=prevalence = 0.33 (</w:t>
      </w:r>
      <w:proofErr w:type="spellStart"/>
      <w:r w:rsidRPr="007D4026">
        <w:rPr>
          <w:rFonts w:ascii="Arial" w:hAnsi="Arial" w:cs="Arial"/>
        </w:rPr>
        <w:t>Otiti-Sengeri</w:t>
      </w:r>
      <w:proofErr w:type="spellEnd"/>
      <w:r w:rsidRPr="007D4026">
        <w:rPr>
          <w:rFonts w:ascii="Arial" w:hAnsi="Arial" w:cs="Arial"/>
        </w:rPr>
        <w:t xml:space="preserve"> et al., 2022), q=1-p, d= tolerable error (0.05). The study included 200 patients to fill the questionnaire. Patient who is not willing to cooperate were excluded from the study. </w:t>
      </w:r>
    </w:p>
    <w:p w14:paraId="5CB6C94A" w14:textId="77777777" w:rsidR="007D4026" w:rsidRPr="007D4026" w:rsidRDefault="007D4026" w:rsidP="007D4026">
      <w:pPr>
        <w:pStyle w:val="Body"/>
        <w:rPr>
          <w:rFonts w:ascii="Arial" w:hAnsi="Arial" w:cs="Arial"/>
        </w:rPr>
      </w:pPr>
      <w:r w:rsidRPr="007D4026">
        <w:rPr>
          <w:rFonts w:ascii="Arial" w:hAnsi="Arial" w:cs="Arial"/>
        </w:rPr>
        <w:t>Data Collection and Analysis</w:t>
      </w:r>
    </w:p>
    <w:p w14:paraId="6B550096" w14:textId="77777777" w:rsidR="00AA74E0" w:rsidRDefault="007D4026" w:rsidP="007D4026">
      <w:pPr>
        <w:pStyle w:val="Body"/>
        <w:spacing w:after="0"/>
        <w:rPr>
          <w:rFonts w:ascii="Arial" w:hAnsi="Arial" w:cs="Arial"/>
        </w:rPr>
      </w:pPr>
      <w:r w:rsidRPr="007D4026">
        <w:rPr>
          <w:rFonts w:ascii="Arial" w:hAnsi="Arial" w:cs="Arial"/>
        </w:rPr>
        <w:t>Data was collected using a questionnaire and the data collected were categorized, described in different variable, tabulated, interpreted and presented in different graphic and was analyzed by Statistical Package for Social Science (SPSS) version 23.</w:t>
      </w:r>
    </w:p>
    <w:p w14:paraId="37045921" w14:textId="77777777" w:rsidR="00790ADA" w:rsidRPr="00FB3A86" w:rsidRDefault="00790ADA" w:rsidP="00441B6F">
      <w:pPr>
        <w:pStyle w:val="Body"/>
        <w:spacing w:after="0"/>
        <w:rPr>
          <w:rFonts w:ascii="Arial" w:hAnsi="Arial" w:cs="Arial"/>
        </w:rPr>
      </w:pPr>
    </w:p>
    <w:p w14:paraId="3CDC0A59" w14:textId="77777777" w:rsidR="00902823" w:rsidRDefault="007D4026" w:rsidP="00441B6F">
      <w:pPr>
        <w:pStyle w:val="Head1"/>
        <w:spacing w:after="0"/>
        <w:jc w:val="both"/>
        <w:rPr>
          <w:rFonts w:ascii="Arial" w:hAnsi="Arial" w:cs="Arial"/>
        </w:rPr>
      </w:pPr>
      <w:r>
        <w:rPr>
          <w:rFonts w:ascii="Arial" w:hAnsi="Arial" w:cs="Arial"/>
        </w:rPr>
        <w:t>results</w:t>
      </w:r>
    </w:p>
    <w:p w14:paraId="6085DD7C" w14:textId="77777777" w:rsidR="00790ADA" w:rsidRPr="00FB3A86" w:rsidRDefault="00790ADA" w:rsidP="00441B6F">
      <w:pPr>
        <w:pStyle w:val="Head1"/>
        <w:spacing w:after="0"/>
        <w:jc w:val="both"/>
        <w:rPr>
          <w:rFonts w:ascii="Arial" w:hAnsi="Arial" w:cs="Arial"/>
        </w:rPr>
      </w:pPr>
    </w:p>
    <w:p w14:paraId="0A8EC022" w14:textId="77777777" w:rsidR="007D4026" w:rsidRPr="007D4026" w:rsidRDefault="007D4026" w:rsidP="007D4026">
      <w:pPr>
        <w:pStyle w:val="Body"/>
        <w:rPr>
          <w:rFonts w:ascii="Arial" w:hAnsi="Arial" w:cs="Arial"/>
        </w:rPr>
      </w:pPr>
      <w:r w:rsidRPr="007D4026">
        <w:rPr>
          <w:rFonts w:ascii="Arial" w:hAnsi="Arial" w:cs="Arial"/>
        </w:rPr>
        <w:t>The prevalence of glaucoma among the patients attending ophthalmology clinic at Mnazi Mmoja hospital was 39%. Among the 200 participants included in the study 78 people had glaucoma. The prevalence was more in the age between 31-70 years among those reported. (Table 1). Distribution of Glaucoma based on sex also found that it was more among females (45) compared to male (33) (Table 2). Our study shows that 51 patients (65.3%) had family history of glaucoma and 27 patients (34.6%) with no family history of glaucoma had developed glaucoma. Only 27 patients (22.13%) with no family history had also developed glaucoma and 95 patients (77.87%) had no family history of glaucoma and not developed glaucoma (Table 3).</w:t>
      </w:r>
    </w:p>
    <w:p w14:paraId="216D82EA" w14:textId="77777777" w:rsidR="00790ADA" w:rsidRPr="007D4026" w:rsidRDefault="007D4026" w:rsidP="007D4026">
      <w:pPr>
        <w:pStyle w:val="Body"/>
        <w:spacing w:after="0"/>
        <w:rPr>
          <w:rFonts w:ascii="Arial" w:hAnsi="Arial" w:cs="Arial"/>
        </w:rPr>
      </w:pPr>
      <w:r w:rsidRPr="007D4026">
        <w:rPr>
          <w:rFonts w:ascii="Arial" w:hAnsi="Arial" w:cs="Arial"/>
        </w:rPr>
        <w:t>Table 1: The age-wise study participants and the distributions of glaucoma.</w:t>
      </w:r>
    </w:p>
    <w:p w14:paraId="01440515" w14:textId="77777777" w:rsidR="007D4026" w:rsidRPr="007D4026" w:rsidRDefault="007D4026" w:rsidP="00441B6F">
      <w:pPr>
        <w:pStyle w:val="Body"/>
        <w:spacing w:after="0"/>
        <w:rPr>
          <w:rFonts w:ascii="Arial" w:hAnsi="Arial" w:cs="Arial"/>
          <w:b/>
          <w:u w:val="single"/>
        </w:rPr>
      </w:pPr>
    </w:p>
    <w:tbl>
      <w:tblPr>
        <w:tblStyle w:val="TableGrid"/>
        <w:tblW w:w="0" w:type="auto"/>
        <w:jc w:val="center"/>
        <w:tblLayout w:type="fixed"/>
        <w:tblLook w:val="04A0" w:firstRow="1" w:lastRow="0" w:firstColumn="1" w:lastColumn="0" w:noHBand="0" w:noVBand="1"/>
      </w:tblPr>
      <w:tblGrid>
        <w:gridCol w:w="1101"/>
        <w:gridCol w:w="992"/>
        <w:gridCol w:w="992"/>
        <w:gridCol w:w="851"/>
      </w:tblGrid>
      <w:tr w:rsidR="007D4026" w:rsidRPr="007D4026" w14:paraId="7ABE3A83" w14:textId="77777777" w:rsidTr="006760AD">
        <w:trPr>
          <w:trHeight w:val="274"/>
          <w:jc w:val="center"/>
        </w:trPr>
        <w:tc>
          <w:tcPr>
            <w:tcW w:w="1101" w:type="dxa"/>
            <w:vMerge w:val="restart"/>
            <w:vAlign w:val="center"/>
          </w:tcPr>
          <w:p w14:paraId="2983A157"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Age (yr)</w:t>
            </w:r>
          </w:p>
        </w:tc>
        <w:tc>
          <w:tcPr>
            <w:tcW w:w="1984" w:type="dxa"/>
            <w:gridSpan w:val="2"/>
            <w:vAlign w:val="center"/>
          </w:tcPr>
          <w:p w14:paraId="39D14E9D"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Glaucoma</w:t>
            </w:r>
          </w:p>
        </w:tc>
        <w:tc>
          <w:tcPr>
            <w:tcW w:w="851" w:type="dxa"/>
            <w:vMerge w:val="restart"/>
            <w:vAlign w:val="center"/>
          </w:tcPr>
          <w:p w14:paraId="2DC1B15E"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Total</w:t>
            </w:r>
          </w:p>
        </w:tc>
      </w:tr>
      <w:tr w:rsidR="007D4026" w:rsidRPr="007D4026" w14:paraId="019E516A" w14:textId="77777777" w:rsidTr="006760AD">
        <w:trPr>
          <w:jc w:val="center"/>
        </w:trPr>
        <w:tc>
          <w:tcPr>
            <w:tcW w:w="1101" w:type="dxa"/>
            <w:vMerge/>
            <w:vAlign w:val="center"/>
          </w:tcPr>
          <w:p w14:paraId="6ED7ABD9" w14:textId="77777777" w:rsidR="007D4026" w:rsidRPr="007D4026" w:rsidRDefault="007D4026" w:rsidP="006760AD">
            <w:pPr>
              <w:pStyle w:val="NoSpacing"/>
              <w:jc w:val="center"/>
              <w:rPr>
                <w:rFonts w:ascii="Arial" w:hAnsi="Arial" w:cs="Arial"/>
                <w:sz w:val="20"/>
                <w:szCs w:val="20"/>
              </w:rPr>
            </w:pPr>
          </w:p>
        </w:tc>
        <w:tc>
          <w:tcPr>
            <w:tcW w:w="992" w:type="dxa"/>
            <w:vAlign w:val="center"/>
          </w:tcPr>
          <w:p w14:paraId="62E89233"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Yes</w:t>
            </w:r>
          </w:p>
        </w:tc>
        <w:tc>
          <w:tcPr>
            <w:tcW w:w="992" w:type="dxa"/>
            <w:vAlign w:val="center"/>
          </w:tcPr>
          <w:p w14:paraId="0F3D9DCD"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No</w:t>
            </w:r>
          </w:p>
        </w:tc>
        <w:tc>
          <w:tcPr>
            <w:tcW w:w="851" w:type="dxa"/>
            <w:vMerge/>
          </w:tcPr>
          <w:p w14:paraId="49DB6AD5" w14:textId="77777777" w:rsidR="007D4026" w:rsidRPr="007D4026" w:rsidRDefault="007D4026" w:rsidP="006760AD">
            <w:pPr>
              <w:pStyle w:val="NoSpacing"/>
              <w:rPr>
                <w:rFonts w:ascii="Arial" w:hAnsi="Arial" w:cs="Arial"/>
                <w:sz w:val="20"/>
                <w:szCs w:val="20"/>
              </w:rPr>
            </w:pPr>
          </w:p>
        </w:tc>
      </w:tr>
      <w:tr w:rsidR="007D4026" w:rsidRPr="007D4026" w14:paraId="4ECB9D68" w14:textId="77777777" w:rsidTr="006760AD">
        <w:trPr>
          <w:jc w:val="center"/>
        </w:trPr>
        <w:tc>
          <w:tcPr>
            <w:tcW w:w="1101" w:type="dxa"/>
            <w:vAlign w:val="center"/>
          </w:tcPr>
          <w:p w14:paraId="31A5EF6E"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10-20</w:t>
            </w:r>
          </w:p>
        </w:tc>
        <w:tc>
          <w:tcPr>
            <w:tcW w:w="992" w:type="dxa"/>
            <w:vAlign w:val="center"/>
          </w:tcPr>
          <w:p w14:paraId="45DF10F9"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7</w:t>
            </w:r>
          </w:p>
        </w:tc>
        <w:tc>
          <w:tcPr>
            <w:tcW w:w="992" w:type="dxa"/>
            <w:vAlign w:val="center"/>
          </w:tcPr>
          <w:p w14:paraId="199B06C6"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27</w:t>
            </w:r>
          </w:p>
        </w:tc>
        <w:tc>
          <w:tcPr>
            <w:tcW w:w="851" w:type="dxa"/>
            <w:vAlign w:val="center"/>
          </w:tcPr>
          <w:p w14:paraId="6B5FA1B5"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34</w:t>
            </w:r>
          </w:p>
        </w:tc>
      </w:tr>
      <w:tr w:rsidR="007D4026" w:rsidRPr="007D4026" w14:paraId="73ACA643" w14:textId="77777777" w:rsidTr="006760AD">
        <w:trPr>
          <w:jc w:val="center"/>
        </w:trPr>
        <w:tc>
          <w:tcPr>
            <w:tcW w:w="1101" w:type="dxa"/>
            <w:vAlign w:val="center"/>
          </w:tcPr>
          <w:p w14:paraId="746273F9"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21-30</w:t>
            </w:r>
          </w:p>
        </w:tc>
        <w:tc>
          <w:tcPr>
            <w:tcW w:w="992" w:type="dxa"/>
            <w:vAlign w:val="center"/>
          </w:tcPr>
          <w:p w14:paraId="00080575"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9</w:t>
            </w:r>
          </w:p>
        </w:tc>
        <w:tc>
          <w:tcPr>
            <w:tcW w:w="992" w:type="dxa"/>
            <w:vAlign w:val="center"/>
          </w:tcPr>
          <w:p w14:paraId="4EC5FF7E"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37</w:t>
            </w:r>
          </w:p>
        </w:tc>
        <w:tc>
          <w:tcPr>
            <w:tcW w:w="851" w:type="dxa"/>
            <w:vAlign w:val="center"/>
          </w:tcPr>
          <w:p w14:paraId="1CE76223"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46</w:t>
            </w:r>
          </w:p>
        </w:tc>
      </w:tr>
      <w:tr w:rsidR="007D4026" w:rsidRPr="007D4026" w14:paraId="56F759AE" w14:textId="77777777" w:rsidTr="006760AD">
        <w:trPr>
          <w:jc w:val="center"/>
        </w:trPr>
        <w:tc>
          <w:tcPr>
            <w:tcW w:w="1101" w:type="dxa"/>
            <w:vAlign w:val="center"/>
          </w:tcPr>
          <w:p w14:paraId="41735878"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31-40</w:t>
            </w:r>
          </w:p>
        </w:tc>
        <w:tc>
          <w:tcPr>
            <w:tcW w:w="992" w:type="dxa"/>
            <w:vAlign w:val="center"/>
          </w:tcPr>
          <w:p w14:paraId="0115BE74"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13</w:t>
            </w:r>
          </w:p>
        </w:tc>
        <w:tc>
          <w:tcPr>
            <w:tcW w:w="992" w:type="dxa"/>
            <w:vAlign w:val="center"/>
          </w:tcPr>
          <w:p w14:paraId="3A3806DD"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20</w:t>
            </w:r>
          </w:p>
        </w:tc>
        <w:tc>
          <w:tcPr>
            <w:tcW w:w="851" w:type="dxa"/>
            <w:vAlign w:val="center"/>
          </w:tcPr>
          <w:p w14:paraId="126C11E6"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33</w:t>
            </w:r>
          </w:p>
        </w:tc>
      </w:tr>
      <w:tr w:rsidR="007D4026" w:rsidRPr="007D4026" w14:paraId="1B38146E" w14:textId="77777777" w:rsidTr="006760AD">
        <w:trPr>
          <w:jc w:val="center"/>
        </w:trPr>
        <w:tc>
          <w:tcPr>
            <w:tcW w:w="1101" w:type="dxa"/>
            <w:vAlign w:val="center"/>
          </w:tcPr>
          <w:p w14:paraId="6A3839BB"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41-50</w:t>
            </w:r>
          </w:p>
        </w:tc>
        <w:tc>
          <w:tcPr>
            <w:tcW w:w="992" w:type="dxa"/>
            <w:vAlign w:val="center"/>
          </w:tcPr>
          <w:p w14:paraId="0A0BACC1"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11</w:t>
            </w:r>
          </w:p>
        </w:tc>
        <w:tc>
          <w:tcPr>
            <w:tcW w:w="992" w:type="dxa"/>
            <w:vAlign w:val="center"/>
          </w:tcPr>
          <w:p w14:paraId="7CEF1837"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8</w:t>
            </w:r>
          </w:p>
        </w:tc>
        <w:tc>
          <w:tcPr>
            <w:tcW w:w="851" w:type="dxa"/>
            <w:vAlign w:val="center"/>
          </w:tcPr>
          <w:p w14:paraId="7B80E758"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19</w:t>
            </w:r>
          </w:p>
        </w:tc>
      </w:tr>
      <w:tr w:rsidR="007D4026" w:rsidRPr="007D4026" w14:paraId="7AD99E78" w14:textId="77777777" w:rsidTr="006760AD">
        <w:trPr>
          <w:jc w:val="center"/>
        </w:trPr>
        <w:tc>
          <w:tcPr>
            <w:tcW w:w="1101" w:type="dxa"/>
            <w:vAlign w:val="center"/>
          </w:tcPr>
          <w:p w14:paraId="5174845F"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51-60</w:t>
            </w:r>
          </w:p>
        </w:tc>
        <w:tc>
          <w:tcPr>
            <w:tcW w:w="992" w:type="dxa"/>
            <w:vAlign w:val="center"/>
          </w:tcPr>
          <w:p w14:paraId="7E070421"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19</w:t>
            </w:r>
          </w:p>
        </w:tc>
        <w:tc>
          <w:tcPr>
            <w:tcW w:w="992" w:type="dxa"/>
            <w:vAlign w:val="center"/>
          </w:tcPr>
          <w:p w14:paraId="6E365B19"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10</w:t>
            </w:r>
          </w:p>
        </w:tc>
        <w:tc>
          <w:tcPr>
            <w:tcW w:w="851" w:type="dxa"/>
            <w:vAlign w:val="center"/>
          </w:tcPr>
          <w:p w14:paraId="3651CAB0"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29</w:t>
            </w:r>
          </w:p>
        </w:tc>
      </w:tr>
      <w:tr w:rsidR="007D4026" w:rsidRPr="007D4026" w14:paraId="0473595A" w14:textId="77777777" w:rsidTr="006760AD">
        <w:trPr>
          <w:jc w:val="center"/>
        </w:trPr>
        <w:tc>
          <w:tcPr>
            <w:tcW w:w="1101" w:type="dxa"/>
            <w:vAlign w:val="center"/>
          </w:tcPr>
          <w:p w14:paraId="09A16E50"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61-70</w:t>
            </w:r>
          </w:p>
        </w:tc>
        <w:tc>
          <w:tcPr>
            <w:tcW w:w="992" w:type="dxa"/>
            <w:vAlign w:val="center"/>
          </w:tcPr>
          <w:p w14:paraId="1111AB56"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14</w:t>
            </w:r>
          </w:p>
        </w:tc>
        <w:tc>
          <w:tcPr>
            <w:tcW w:w="992" w:type="dxa"/>
            <w:vAlign w:val="center"/>
          </w:tcPr>
          <w:p w14:paraId="6DE6C586"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15</w:t>
            </w:r>
          </w:p>
        </w:tc>
        <w:tc>
          <w:tcPr>
            <w:tcW w:w="851" w:type="dxa"/>
            <w:vAlign w:val="center"/>
          </w:tcPr>
          <w:p w14:paraId="4934AA3A"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29</w:t>
            </w:r>
          </w:p>
        </w:tc>
      </w:tr>
      <w:tr w:rsidR="007D4026" w:rsidRPr="007D4026" w14:paraId="0A42A742" w14:textId="77777777" w:rsidTr="006760AD">
        <w:trPr>
          <w:jc w:val="center"/>
        </w:trPr>
        <w:tc>
          <w:tcPr>
            <w:tcW w:w="1101" w:type="dxa"/>
            <w:vAlign w:val="center"/>
          </w:tcPr>
          <w:p w14:paraId="583782D9"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71-80</w:t>
            </w:r>
          </w:p>
        </w:tc>
        <w:tc>
          <w:tcPr>
            <w:tcW w:w="992" w:type="dxa"/>
            <w:vAlign w:val="center"/>
          </w:tcPr>
          <w:p w14:paraId="64A39EAA"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3</w:t>
            </w:r>
          </w:p>
        </w:tc>
        <w:tc>
          <w:tcPr>
            <w:tcW w:w="992" w:type="dxa"/>
            <w:vAlign w:val="center"/>
          </w:tcPr>
          <w:p w14:paraId="740AC5CF"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5</w:t>
            </w:r>
          </w:p>
        </w:tc>
        <w:tc>
          <w:tcPr>
            <w:tcW w:w="851" w:type="dxa"/>
            <w:vAlign w:val="center"/>
          </w:tcPr>
          <w:p w14:paraId="5C537F2C"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8</w:t>
            </w:r>
          </w:p>
        </w:tc>
      </w:tr>
      <w:tr w:rsidR="007D4026" w:rsidRPr="007D4026" w14:paraId="0EF8FB55" w14:textId="77777777" w:rsidTr="006760AD">
        <w:trPr>
          <w:jc w:val="center"/>
        </w:trPr>
        <w:tc>
          <w:tcPr>
            <w:tcW w:w="1101" w:type="dxa"/>
            <w:vAlign w:val="center"/>
          </w:tcPr>
          <w:p w14:paraId="3A175483"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81-90</w:t>
            </w:r>
          </w:p>
        </w:tc>
        <w:tc>
          <w:tcPr>
            <w:tcW w:w="992" w:type="dxa"/>
            <w:vAlign w:val="center"/>
          </w:tcPr>
          <w:p w14:paraId="2C11EEA5"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2</w:t>
            </w:r>
          </w:p>
        </w:tc>
        <w:tc>
          <w:tcPr>
            <w:tcW w:w="992" w:type="dxa"/>
            <w:vAlign w:val="center"/>
          </w:tcPr>
          <w:p w14:paraId="46FD0D9A"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0</w:t>
            </w:r>
          </w:p>
        </w:tc>
        <w:tc>
          <w:tcPr>
            <w:tcW w:w="851" w:type="dxa"/>
            <w:vAlign w:val="center"/>
          </w:tcPr>
          <w:p w14:paraId="74FFA8BB"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2</w:t>
            </w:r>
          </w:p>
        </w:tc>
      </w:tr>
      <w:tr w:rsidR="007D4026" w:rsidRPr="007D4026" w14:paraId="248F6201" w14:textId="77777777" w:rsidTr="006760AD">
        <w:trPr>
          <w:jc w:val="center"/>
        </w:trPr>
        <w:tc>
          <w:tcPr>
            <w:tcW w:w="1101" w:type="dxa"/>
            <w:vAlign w:val="center"/>
          </w:tcPr>
          <w:p w14:paraId="00CEA6DA"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lastRenderedPageBreak/>
              <w:t>Total</w:t>
            </w:r>
          </w:p>
        </w:tc>
        <w:tc>
          <w:tcPr>
            <w:tcW w:w="992" w:type="dxa"/>
            <w:vAlign w:val="center"/>
          </w:tcPr>
          <w:p w14:paraId="12E3AACD"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78</w:t>
            </w:r>
          </w:p>
        </w:tc>
        <w:tc>
          <w:tcPr>
            <w:tcW w:w="992" w:type="dxa"/>
            <w:vAlign w:val="center"/>
          </w:tcPr>
          <w:p w14:paraId="431C3764"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122</w:t>
            </w:r>
          </w:p>
        </w:tc>
        <w:tc>
          <w:tcPr>
            <w:tcW w:w="851" w:type="dxa"/>
            <w:vAlign w:val="center"/>
          </w:tcPr>
          <w:p w14:paraId="2C85D028"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200</w:t>
            </w:r>
          </w:p>
        </w:tc>
      </w:tr>
    </w:tbl>
    <w:p w14:paraId="2BAF812E" w14:textId="77777777" w:rsidR="007D4026" w:rsidRPr="007D4026" w:rsidRDefault="007D4026" w:rsidP="007D4026">
      <w:pPr>
        <w:autoSpaceDE w:val="0"/>
        <w:autoSpaceDN w:val="0"/>
        <w:adjustRightInd w:val="0"/>
        <w:spacing w:line="400" w:lineRule="atLeast"/>
        <w:rPr>
          <w:rFonts w:ascii="Arial" w:eastAsiaTheme="minorHAnsi" w:hAnsi="Arial" w:cs="Arial"/>
          <w:color w:val="000000" w:themeColor="text1"/>
        </w:rPr>
      </w:pPr>
      <w:r w:rsidRPr="007D4026">
        <w:rPr>
          <w:rFonts w:ascii="Arial" w:eastAsiaTheme="minorHAnsi" w:hAnsi="Arial" w:cs="Arial"/>
          <w:color w:val="000000" w:themeColor="text1"/>
        </w:rPr>
        <w:t>Table 2: Sex distribution of patients with glaucoma.</w:t>
      </w:r>
    </w:p>
    <w:p w14:paraId="06FB79C3" w14:textId="77777777" w:rsidR="007D4026" w:rsidRPr="007D4026" w:rsidRDefault="007D4026" w:rsidP="007D4026">
      <w:pPr>
        <w:autoSpaceDE w:val="0"/>
        <w:autoSpaceDN w:val="0"/>
        <w:adjustRightInd w:val="0"/>
        <w:spacing w:line="400" w:lineRule="atLeast"/>
        <w:rPr>
          <w:rFonts w:ascii="Arial" w:eastAsiaTheme="minorHAnsi" w:hAnsi="Arial" w:cs="Arial"/>
          <w:color w:val="000000" w:themeColor="text1"/>
        </w:rPr>
      </w:pP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56"/>
      </w:tblGrid>
      <w:tr w:rsidR="007D4026" w:rsidRPr="007D4026" w14:paraId="747EA901" w14:textId="77777777" w:rsidTr="006760AD">
        <w:trPr>
          <w:cantSplit/>
        </w:trPr>
        <w:tc>
          <w:tcPr>
            <w:tcW w:w="9356" w:type="dxa"/>
            <w:tcBorders>
              <w:top w:val="nil"/>
              <w:left w:val="nil"/>
              <w:bottom w:val="nil"/>
              <w:right w:val="nil"/>
            </w:tcBorders>
            <w:shd w:val="clear" w:color="auto" w:fill="FFFFFF"/>
            <w:vAlign w:val="center"/>
          </w:tcPr>
          <w:tbl>
            <w:tblPr>
              <w:tblStyle w:val="TableGrid"/>
              <w:tblW w:w="0" w:type="auto"/>
              <w:jc w:val="center"/>
              <w:tblLayout w:type="fixed"/>
              <w:tblLook w:val="04A0" w:firstRow="1" w:lastRow="0" w:firstColumn="1" w:lastColumn="0" w:noHBand="0" w:noVBand="1"/>
            </w:tblPr>
            <w:tblGrid>
              <w:gridCol w:w="1135"/>
              <w:gridCol w:w="992"/>
              <w:gridCol w:w="992"/>
              <w:gridCol w:w="850"/>
            </w:tblGrid>
            <w:tr w:rsidR="007D4026" w:rsidRPr="007D4026" w14:paraId="521E5C22" w14:textId="77777777" w:rsidTr="006760AD">
              <w:trPr>
                <w:jc w:val="center"/>
              </w:trPr>
              <w:tc>
                <w:tcPr>
                  <w:tcW w:w="1135" w:type="dxa"/>
                  <w:vMerge w:val="restart"/>
                  <w:vAlign w:val="center"/>
                </w:tcPr>
                <w:p w14:paraId="787ADC38"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Sex</w:t>
                  </w:r>
                </w:p>
              </w:tc>
              <w:tc>
                <w:tcPr>
                  <w:tcW w:w="1984" w:type="dxa"/>
                  <w:gridSpan w:val="2"/>
                  <w:vAlign w:val="center"/>
                </w:tcPr>
                <w:p w14:paraId="1C5F3AE5"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Glaucoma</w:t>
                  </w:r>
                </w:p>
              </w:tc>
              <w:tc>
                <w:tcPr>
                  <w:tcW w:w="850" w:type="dxa"/>
                  <w:vMerge w:val="restart"/>
                  <w:vAlign w:val="center"/>
                </w:tcPr>
                <w:p w14:paraId="0C63220F"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Total</w:t>
                  </w:r>
                </w:p>
              </w:tc>
            </w:tr>
            <w:tr w:rsidR="007D4026" w:rsidRPr="007D4026" w14:paraId="0314466D" w14:textId="77777777" w:rsidTr="006760AD">
              <w:trPr>
                <w:jc w:val="center"/>
              </w:trPr>
              <w:tc>
                <w:tcPr>
                  <w:tcW w:w="1135" w:type="dxa"/>
                  <w:vMerge/>
                  <w:vAlign w:val="center"/>
                </w:tcPr>
                <w:p w14:paraId="71C17783" w14:textId="77777777" w:rsidR="007D4026" w:rsidRPr="007D4026" w:rsidRDefault="007D4026" w:rsidP="006760AD">
                  <w:pPr>
                    <w:pStyle w:val="NoSpacing"/>
                    <w:jc w:val="center"/>
                    <w:rPr>
                      <w:rFonts w:ascii="Arial" w:hAnsi="Arial" w:cs="Arial"/>
                      <w:sz w:val="20"/>
                      <w:szCs w:val="20"/>
                    </w:rPr>
                  </w:pPr>
                </w:p>
              </w:tc>
              <w:tc>
                <w:tcPr>
                  <w:tcW w:w="992" w:type="dxa"/>
                  <w:vAlign w:val="center"/>
                </w:tcPr>
                <w:p w14:paraId="2612E3C3"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Yes</w:t>
                  </w:r>
                </w:p>
              </w:tc>
              <w:tc>
                <w:tcPr>
                  <w:tcW w:w="992" w:type="dxa"/>
                  <w:vAlign w:val="center"/>
                </w:tcPr>
                <w:p w14:paraId="3DB87D64"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No</w:t>
                  </w:r>
                </w:p>
              </w:tc>
              <w:tc>
                <w:tcPr>
                  <w:tcW w:w="850" w:type="dxa"/>
                  <w:vMerge/>
                  <w:vAlign w:val="center"/>
                </w:tcPr>
                <w:p w14:paraId="69AF3F17" w14:textId="77777777" w:rsidR="007D4026" w:rsidRPr="007D4026" w:rsidRDefault="007D4026" w:rsidP="006760AD">
                  <w:pPr>
                    <w:pStyle w:val="NoSpacing"/>
                    <w:jc w:val="center"/>
                    <w:rPr>
                      <w:rFonts w:ascii="Arial" w:hAnsi="Arial" w:cs="Arial"/>
                      <w:sz w:val="20"/>
                      <w:szCs w:val="20"/>
                    </w:rPr>
                  </w:pPr>
                </w:p>
              </w:tc>
            </w:tr>
            <w:tr w:rsidR="007D4026" w:rsidRPr="007D4026" w14:paraId="39F65FBA" w14:textId="77777777" w:rsidTr="006760AD">
              <w:trPr>
                <w:jc w:val="center"/>
              </w:trPr>
              <w:tc>
                <w:tcPr>
                  <w:tcW w:w="1135" w:type="dxa"/>
                  <w:vAlign w:val="center"/>
                </w:tcPr>
                <w:p w14:paraId="3BDE7ABF"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Male</w:t>
                  </w:r>
                </w:p>
              </w:tc>
              <w:tc>
                <w:tcPr>
                  <w:tcW w:w="992" w:type="dxa"/>
                  <w:vAlign w:val="center"/>
                </w:tcPr>
                <w:p w14:paraId="6117BF3D"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33</w:t>
                  </w:r>
                </w:p>
              </w:tc>
              <w:tc>
                <w:tcPr>
                  <w:tcW w:w="992" w:type="dxa"/>
                  <w:vAlign w:val="center"/>
                </w:tcPr>
                <w:p w14:paraId="67106D6F"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48</w:t>
                  </w:r>
                </w:p>
              </w:tc>
              <w:tc>
                <w:tcPr>
                  <w:tcW w:w="850" w:type="dxa"/>
                  <w:vAlign w:val="center"/>
                </w:tcPr>
                <w:p w14:paraId="7C433933"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81</w:t>
                  </w:r>
                </w:p>
              </w:tc>
            </w:tr>
            <w:tr w:rsidR="007D4026" w:rsidRPr="007D4026" w14:paraId="0F021B03" w14:textId="77777777" w:rsidTr="006760AD">
              <w:trPr>
                <w:jc w:val="center"/>
              </w:trPr>
              <w:tc>
                <w:tcPr>
                  <w:tcW w:w="1135" w:type="dxa"/>
                  <w:vAlign w:val="center"/>
                </w:tcPr>
                <w:p w14:paraId="3BC32256"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Female</w:t>
                  </w:r>
                </w:p>
              </w:tc>
              <w:tc>
                <w:tcPr>
                  <w:tcW w:w="992" w:type="dxa"/>
                  <w:vAlign w:val="center"/>
                </w:tcPr>
                <w:p w14:paraId="480906D2"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45</w:t>
                  </w:r>
                </w:p>
              </w:tc>
              <w:tc>
                <w:tcPr>
                  <w:tcW w:w="992" w:type="dxa"/>
                  <w:vAlign w:val="center"/>
                </w:tcPr>
                <w:p w14:paraId="1D578E5E"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74</w:t>
                  </w:r>
                </w:p>
              </w:tc>
              <w:tc>
                <w:tcPr>
                  <w:tcW w:w="850" w:type="dxa"/>
                  <w:vAlign w:val="center"/>
                </w:tcPr>
                <w:p w14:paraId="42FD6B17"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119</w:t>
                  </w:r>
                </w:p>
              </w:tc>
            </w:tr>
            <w:tr w:rsidR="007D4026" w:rsidRPr="007D4026" w14:paraId="51CA3694" w14:textId="77777777" w:rsidTr="006760AD">
              <w:trPr>
                <w:jc w:val="center"/>
              </w:trPr>
              <w:tc>
                <w:tcPr>
                  <w:tcW w:w="1135" w:type="dxa"/>
                  <w:vAlign w:val="center"/>
                </w:tcPr>
                <w:p w14:paraId="5ED30AC5"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Total</w:t>
                  </w:r>
                </w:p>
              </w:tc>
              <w:tc>
                <w:tcPr>
                  <w:tcW w:w="992" w:type="dxa"/>
                  <w:vAlign w:val="center"/>
                </w:tcPr>
                <w:p w14:paraId="615108BF"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78</w:t>
                  </w:r>
                </w:p>
              </w:tc>
              <w:tc>
                <w:tcPr>
                  <w:tcW w:w="992" w:type="dxa"/>
                  <w:vAlign w:val="center"/>
                </w:tcPr>
                <w:p w14:paraId="7CC977C7"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122</w:t>
                  </w:r>
                </w:p>
              </w:tc>
              <w:tc>
                <w:tcPr>
                  <w:tcW w:w="850" w:type="dxa"/>
                  <w:vAlign w:val="center"/>
                </w:tcPr>
                <w:p w14:paraId="5804F8D0" w14:textId="77777777" w:rsidR="007D4026" w:rsidRPr="007D4026" w:rsidRDefault="007D4026" w:rsidP="006760AD">
                  <w:pPr>
                    <w:pStyle w:val="NoSpacing"/>
                    <w:jc w:val="center"/>
                    <w:rPr>
                      <w:rFonts w:ascii="Arial" w:hAnsi="Arial" w:cs="Arial"/>
                      <w:sz w:val="20"/>
                      <w:szCs w:val="20"/>
                    </w:rPr>
                  </w:pPr>
                  <w:r w:rsidRPr="007D4026">
                    <w:rPr>
                      <w:rFonts w:ascii="Arial" w:hAnsi="Arial" w:cs="Arial"/>
                      <w:sz w:val="20"/>
                      <w:szCs w:val="20"/>
                    </w:rPr>
                    <w:t>200</w:t>
                  </w:r>
                </w:p>
              </w:tc>
            </w:tr>
          </w:tbl>
          <w:p w14:paraId="559C9EA3" w14:textId="77777777" w:rsidR="007D4026" w:rsidRPr="007D4026" w:rsidRDefault="007D4026" w:rsidP="006760AD">
            <w:pPr>
              <w:rPr>
                <w:rFonts w:ascii="Arial" w:hAnsi="Arial" w:cs="Arial"/>
              </w:rPr>
            </w:pPr>
          </w:p>
        </w:tc>
      </w:tr>
    </w:tbl>
    <w:p w14:paraId="3A268ABE" w14:textId="77777777" w:rsidR="007D4026" w:rsidRPr="007D4026" w:rsidRDefault="007D4026" w:rsidP="007D4026">
      <w:pPr>
        <w:autoSpaceDE w:val="0"/>
        <w:autoSpaceDN w:val="0"/>
        <w:adjustRightInd w:val="0"/>
        <w:spacing w:line="400" w:lineRule="atLeast"/>
        <w:rPr>
          <w:rFonts w:ascii="Arial" w:eastAsiaTheme="minorHAnsi" w:hAnsi="Arial" w:cs="Arial"/>
          <w:color w:val="000000" w:themeColor="text1"/>
        </w:rPr>
      </w:pPr>
      <w:r w:rsidRPr="007D4026">
        <w:rPr>
          <w:rFonts w:ascii="Arial" w:eastAsiaTheme="minorHAnsi" w:hAnsi="Arial" w:cs="Arial"/>
          <w:color w:val="000000" w:themeColor="text1"/>
        </w:rPr>
        <w:t>Table 3: Family history of glaucoma prevalence.</w:t>
      </w:r>
    </w:p>
    <w:p w14:paraId="73A56CC4" w14:textId="77777777" w:rsidR="007D4026" w:rsidRPr="007D4026" w:rsidRDefault="007D4026" w:rsidP="007D4026">
      <w:pPr>
        <w:autoSpaceDE w:val="0"/>
        <w:autoSpaceDN w:val="0"/>
        <w:adjustRightInd w:val="0"/>
        <w:spacing w:line="400" w:lineRule="atLeast"/>
        <w:rPr>
          <w:rFonts w:ascii="Arial" w:eastAsiaTheme="minorHAnsi" w:hAnsi="Arial" w:cs="Arial"/>
          <w:color w:val="000000" w:themeColor="text1"/>
        </w:rPr>
      </w:pPr>
    </w:p>
    <w:tbl>
      <w:tblPr>
        <w:tblStyle w:val="TableGrid"/>
        <w:tblW w:w="0" w:type="auto"/>
        <w:jc w:val="center"/>
        <w:tblLayout w:type="fixed"/>
        <w:tblLook w:val="04A0" w:firstRow="1" w:lastRow="0" w:firstColumn="1" w:lastColumn="0" w:noHBand="0" w:noVBand="1"/>
      </w:tblPr>
      <w:tblGrid>
        <w:gridCol w:w="1526"/>
        <w:gridCol w:w="1134"/>
        <w:gridCol w:w="1134"/>
        <w:gridCol w:w="850"/>
      </w:tblGrid>
      <w:tr w:rsidR="007D4026" w:rsidRPr="007D4026" w14:paraId="6F3F9A0D" w14:textId="77777777" w:rsidTr="006760AD">
        <w:trPr>
          <w:jc w:val="center"/>
        </w:trPr>
        <w:tc>
          <w:tcPr>
            <w:tcW w:w="1526" w:type="dxa"/>
            <w:vMerge w:val="restart"/>
            <w:vAlign w:val="center"/>
          </w:tcPr>
          <w:p w14:paraId="2C4AA1ED"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Family history</w:t>
            </w:r>
          </w:p>
        </w:tc>
        <w:tc>
          <w:tcPr>
            <w:tcW w:w="2268" w:type="dxa"/>
            <w:gridSpan w:val="2"/>
            <w:vAlign w:val="center"/>
          </w:tcPr>
          <w:p w14:paraId="4632CB5A"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Glaucoma</w:t>
            </w:r>
          </w:p>
        </w:tc>
        <w:tc>
          <w:tcPr>
            <w:tcW w:w="850" w:type="dxa"/>
            <w:vMerge w:val="restart"/>
            <w:vAlign w:val="center"/>
          </w:tcPr>
          <w:p w14:paraId="25B015C3"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Total</w:t>
            </w:r>
          </w:p>
        </w:tc>
      </w:tr>
      <w:tr w:rsidR="007D4026" w:rsidRPr="007D4026" w14:paraId="27361CFB" w14:textId="77777777" w:rsidTr="006760AD">
        <w:trPr>
          <w:jc w:val="center"/>
        </w:trPr>
        <w:tc>
          <w:tcPr>
            <w:tcW w:w="1526" w:type="dxa"/>
            <w:vMerge/>
            <w:vAlign w:val="center"/>
          </w:tcPr>
          <w:p w14:paraId="7605D81C" w14:textId="77777777" w:rsidR="007D4026" w:rsidRPr="007D4026" w:rsidRDefault="007D4026" w:rsidP="006760AD">
            <w:pPr>
              <w:pStyle w:val="NoSpacing"/>
              <w:jc w:val="center"/>
              <w:rPr>
                <w:rFonts w:ascii="Arial" w:eastAsiaTheme="minorHAnsi" w:hAnsi="Arial" w:cs="Arial"/>
                <w:sz w:val="20"/>
                <w:szCs w:val="20"/>
              </w:rPr>
            </w:pPr>
          </w:p>
        </w:tc>
        <w:tc>
          <w:tcPr>
            <w:tcW w:w="1134" w:type="dxa"/>
            <w:vAlign w:val="center"/>
          </w:tcPr>
          <w:p w14:paraId="59409FE2"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Yes</w:t>
            </w:r>
          </w:p>
        </w:tc>
        <w:tc>
          <w:tcPr>
            <w:tcW w:w="1134" w:type="dxa"/>
            <w:vAlign w:val="center"/>
          </w:tcPr>
          <w:p w14:paraId="1F4288BB"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No</w:t>
            </w:r>
          </w:p>
        </w:tc>
        <w:tc>
          <w:tcPr>
            <w:tcW w:w="850" w:type="dxa"/>
            <w:vMerge/>
            <w:vAlign w:val="center"/>
          </w:tcPr>
          <w:p w14:paraId="5684296D" w14:textId="77777777" w:rsidR="007D4026" w:rsidRPr="007D4026" w:rsidRDefault="007D4026" w:rsidP="006760AD">
            <w:pPr>
              <w:pStyle w:val="NoSpacing"/>
              <w:jc w:val="center"/>
              <w:rPr>
                <w:rFonts w:ascii="Arial" w:eastAsiaTheme="minorHAnsi" w:hAnsi="Arial" w:cs="Arial"/>
                <w:sz w:val="20"/>
                <w:szCs w:val="20"/>
              </w:rPr>
            </w:pPr>
          </w:p>
        </w:tc>
      </w:tr>
      <w:tr w:rsidR="007D4026" w:rsidRPr="007D4026" w14:paraId="7318EC06" w14:textId="77777777" w:rsidTr="006760AD">
        <w:trPr>
          <w:jc w:val="center"/>
        </w:trPr>
        <w:tc>
          <w:tcPr>
            <w:tcW w:w="1526" w:type="dxa"/>
            <w:vAlign w:val="center"/>
          </w:tcPr>
          <w:p w14:paraId="62028F9D"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Present</w:t>
            </w:r>
          </w:p>
        </w:tc>
        <w:tc>
          <w:tcPr>
            <w:tcW w:w="1134" w:type="dxa"/>
            <w:vAlign w:val="center"/>
          </w:tcPr>
          <w:p w14:paraId="174C705A"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51 (65.38%)</w:t>
            </w:r>
          </w:p>
        </w:tc>
        <w:tc>
          <w:tcPr>
            <w:tcW w:w="1134" w:type="dxa"/>
            <w:vAlign w:val="center"/>
          </w:tcPr>
          <w:p w14:paraId="6A7ED8E7"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27 (34.62%)</w:t>
            </w:r>
          </w:p>
        </w:tc>
        <w:tc>
          <w:tcPr>
            <w:tcW w:w="850" w:type="dxa"/>
            <w:vAlign w:val="center"/>
          </w:tcPr>
          <w:p w14:paraId="1F53F634"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78</w:t>
            </w:r>
          </w:p>
        </w:tc>
      </w:tr>
      <w:tr w:rsidR="007D4026" w:rsidRPr="007D4026" w14:paraId="71E1EFAD" w14:textId="77777777" w:rsidTr="006760AD">
        <w:trPr>
          <w:jc w:val="center"/>
        </w:trPr>
        <w:tc>
          <w:tcPr>
            <w:tcW w:w="1526" w:type="dxa"/>
            <w:vAlign w:val="center"/>
          </w:tcPr>
          <w:p w14:paraId="1E2398CB"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Not present</w:t>
            </w:r>
          </w:p>
        </w:tc>
        <w:tc>
          <w:tcPr>
            <w:tcW w:w="1134" w:type="dxa"/>
            <w:vAlign w:val="center"/>
          </w:tcPr>
          <w:p w14:paraId="56A96BE7"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27 (22.13%)</w:t>
            </w:r>
          </w:p>
        </w:tc>
        <w:tc>
          <w:tcPr>
            <w:tcW w:w="1134" w:type="dxa"/>
            <w:vAlign w:val="center"/>
          </w:tcPr>
          <w:p w14:paraId="3C9D53AF"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95 (77.87%)</w:t>
            </w:r>
          </w:p>
        </w:tc>
        <w:tc>
          <w:tcPr>
            <w:tcW w:w="850" w:type="dxa"/>
            <w:vAlign w:val="center"/>
          </w:tcPr>
          <w:p w14:paraId="7AA04773"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122</w:t>
            </w:r>
          </w:p>
        </w:tc>
      </w:tr>
      <w:tr w:rsidR="007D4026" w:rsidRPr="007D4026" w14:paraId="5167C7AD" w14:textId="77777777" w:rsidTr="006760AD">
        <w:trPr>
          <w:jc w:val="center"/>
        </w:trPr>
        <w:tc>
          <w:tcPr>
            <w:tcW w:w="1526" w:type="dxa"/>
            <w:vAlign w:val="center"/>
          </w:tcPr>
          <w:p w14:paraId="03B4A514"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 xml:space="preserve">Total </w:t>
            </w:r>
          </w:p>
        </w:tc>
        <w:tc>
          <w:tcPr>
            <w:tcW w:w="1134" w:type="dxa"/>
            <w:vAlign w:val="center"/>
          </w:tcPr>
          <w:p w14:paraId="442DB307"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78</w:t>
            </w:r>
          </w:p>
        </w:tc>
        <w:tc>
          <w:tcPr>
            <w:tcW w:w="1134" w:type="dxa"/>
            <w:vAlign w:val="center"/>
          </w:tcPr>
          <w:p w14:paraId="2839E751"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122</w:t>
            </w:r>
          </w:p>
        </w:tc>
        <w:tc>
          <w:tcPr>
            <w:tcW w:w="850" w:type="dxa"/>
            <w:vAlign w:val="center"/>
          </w:tcPr>
          <w:p w14:paraId="506BC4C0"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200</w:t>
            </w:r>
          </w:p>
        </w:tc>
      </w:tr>
    </w:tbl>
    <w:p w14:paraId="15640E18" w14:textId="77777777" w:rsidR="007D4026" w:rsidRPr="007D4026" w:rsidRDefault="007D4026" w:rsidP="007D4026">
      <w:pPr>
        <w:autoSpaceDE w:val="0"/>
        <w:autoSpaceDN w:val="0"/>
        <w:adjustRightInd w:val="0"/>
        <w:rPr>
          <w:rFonts w:ascii="Arial" w:eastAsiaTheme="minorHAnsi" w:hAnsi="Arial" w:cs="Arial"/>
          <w:color w:val="000000" w:themeColor="text1"/>
        </w:rPr>
      </w:pPr>
    </w:p>
    <w:p w14:paraId="3A7D64D1" w14:textId="77777777" w:rsidR="007D4026" w:rsidRPr="007D4026" w:rsidRDefault="007D4026" w:rsidP="007D4026">
      <w:pPr>
        <w:pStyle w:val="Body"/>
        <w:rPr>
          <w:rFonts w:ascii="Arial" w:hAnsi="Arial" w:cs="Arial"/>
        </w:rPr>
      </w:pPr>
      <w:r w:rsidRPr="007D4026">
        <w:rPr>
          <w:rFonts w:ascii="Arial" w:hAnsi="Arial" w:cs="Arial"/>
        </w:rPr>
        <w:t>It was observed in our study that 62 patients (79.48%) with history of HT developed glaucoma and only 16 patients (20.51%) with no history of HT had developed glaucoma. This shows there is a positive relationship between HT and development of Glaucoma. Only 14 patients (11.47%) with history of HT had not developed glaucoma and 108 patients (88.52%) with no history of HT and had not developed glaucoma (Table 4). From the above results it was clear that HT was a major risk factor for the development of Glaucoma.</w:t>
      </w:r>
    </w:p>
    <w:p w14:paraId="7791854E" w14:textId="77777777" w:rsidR="007D4026" w:rsidRPr="007D4026" w:rsidRDefault="007D4026" w:rsidP="007D4026">
      <w:pPr>
        <w:pStyle w:val="Body"/>
        <w:rPr>
          <w:rFonts w:ascii="Arial" w:hAnsi="Arial" w:cs="Arial"/>
        </w:rPr>
      </w:pPr>
      <w:r w:rsidRPr="007D4026">
        <w:rPr>
          <w:rFonts w:ascii="Arial" w:hAnsi="Arial" w:cs="Arial"/>
        </w:rPr>
        <w:t>It was observed in our study that 25 patients (32.05%) with history of DM had developed glaucoma and 53 patients (67.95%) with no history of DM had also developed glaucoma. Among the study population, only 9 patients (7.37%) with history of DM had not developed glaucoma and 113 patients (92.62%) with no history of DM had not developed glaucoma (Table 5).</w:t>
      </w:r>
    </w:p>
    <w:p w14:paraId="24B40A4F" w14:textId="77777777" w:rsidR="007D4026" w:rsidRPr="007D4026" w:rsidRDefault="007D4026" w:rsidP="007D4026">
      <w:pPr>
        <w:pStyle w:val="Body"/>
        <w:spacing w:after="0"/>
        <w:rPr>
          <w:rFonts w:ascii="Arial" w:hAnsi="Arial" w:cs="Arial"/>
        </w:rPr>
      </w:pPr>
      <w:r w:rsidRPr="007D4026">
        <w:rPr>
          <w:rFonts w:ascii="Arial" w:hAnsi="Arial" w:cs="Arial"/>
        </w:rPr>
        <w:t>Table 4: History of hypertension (HT) in patients with glaucoma.</w:t>
      </w:r>
    </w:p>
    <w:p w14:paraId="29FC2DAD" w14:textId="77777777" w:rsidR="007D4026" w:rsidRPr="007D4026" w:rsidRDefault="007D4026" w:rsidP="007D4026">
      <w:pPr>
        <w:autoSpaceDE w:val="0"/>
        <w:autoSpaceDN w:val="0"/>
        <w:adjustRightInd w:val="0"/>
        <w:spacing w:line="480" w:lineRule="auto"/>
        <w:rPr>
          <w:rFonts w:ascii="Arial" w:eastAsiaTheme="minorHAnsi" w:hAnsi="Arial" w:cs="Arial"/>
          <w:color w:val="000000" w:themeColor="text1"/>
        </w:rPr>
      </w:pPr>
    </w:p>
    <w:tbl>
      <w:tblPr>
        <w:tblStyle w:val="TableGrid"/>
        <w:tblW w:w="0" w:type="auto"/>
        <w:jc w:val="center"/>
        <w:tblLayout w:type="fixed"/>
        <w:tblLook w:val="04A0" w:firstRow="1" w:lastRow="0" w:firstColumn="1" w:lastColumn="0" w:noHBand="0" w:noVBand="1"/>
      </w:tblPr>
      <w:tblGrid>
        <w:gridCol w:w="1526"/>
        <w:gridCol w:w="1134"/>
        <w:gridCol w:w="1134"/>
      </w:tblGrid>
      <w:tr w:rsidR="007D4026" w:rsidRPr="007D4026" w14:paraId="71AA8488" w14:textId="77777777" w:rsidTr="006760AD">
        <w:trPr>
          <w:jc w:val="center"/>
        </w:trPr>
        <w:tc>
          <w:tcPr>
            <w:tcW w:w="1526" w:type="dxa"/>
            <w:vMerge w:val="restart"/>
            <w:vAlign w:val="center"/>
          </w:tcPr>
          <w:p w14:paraId="4A71096F"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History of Hypertension</w:t>
            </w:r>
          </w:p>
        </w:tc>
        <w:tc>
          <w:tcPr>
            <w:tcW w:w="2268" w:type="dxa"/>
            <w:gridSpan w:val="2"/>
            <w:vAlign w:val="center"/>
          </w:tcPr>
          <w:p w14:paraId="6D83BB04"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Glaucoma</w:t>
            </w:r>
          </w:p>
        </w:tc>
      </w:tr>
      <w:tr w:rsidR="007D4026" w:rsidRPr="007D4026" w14:paraId="34419C73" w14:textId="77777777" w:rsidTr="006760AD">
        <w:trPr>
          <w:jc w:val="center"/>
        </w:trPr>
        <w:tc>
          <w:tcPr>
            <w:tcW w:w="1526" w:type="dxa"/>
            <w:vMerge/>
            <w:vAlign w:val="center"/>
          </w:tcPr>
          <w:p w14:paraId="35AB4DD1" w14:textId="77777777" w:rsidR="007D4026" w:rsidRPr="007D4026" w:rsidRDefault="007D4026" w:rsidP="006760AD">
            <w:pPr>
              <w:pStyle w:val="NoSpacing"/>
              <w:jc w:val="center"/>
              <w:rPr>
                <w:rFonts w:ascii="Arial" w:eastAsiaTheme="minorHAnsi" w:hAnsi="Arial" w:cs="Arial"/>
                <w:sz w:val="20"/>
                <w:szCs w:val="20"/>
              </w:rPr>
            </w:pPr>
          </w:p>
        </w:tc>
        <w:tc>
          <w:tcPr>
            <w:tcW w:w="1134" w:type="dxa"/>
            <w:vAlign w:val="center"/>
          </w:tcPr>
          <w:p w14:paraId="07D520DF"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Yes</w:t>
            </w:r>
          </w:p>
        </w:tc>
        <w:tc>
          <w:tcPr>
            <w:tcW w:w="1134" w:type="dxa"/>
            <w:vAlign w:val="center"/>
          </w:tcPr>
          <w:p w14:paraId="165ACB9A"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No</w:t>
            </w:r>
          </w:p>
        </w:tc>
      </w:tr>
      <w:tr w:rsidR="007D4026" w:rsidRPr="007D4026" w14:paraId="671FD75A" w14:textId="77777777" w:rsidTr="006760AD">
        <w:trPr>
          <w:jc w:val="center"/>
        </w:trPr>
        <w:tc>
          <w:tcPr>
            <w:tcW w:w="1526" w:type="dxa"/>
            <w:vAlign w:val="center"/>
          </w:tcPr>
          <w:p w14:paraId="541BC8E2"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Hypertensive</w:t>
            </w:r>
          </w:p>
        </w:tc>
        <w:tc>
          <w:tcPr>
            <w:tcW w:w="1134" w:type="dxa"/>
            <w:vAlign w:val="center"/>
          </w:tcPr>
          <w:p w14:paraId="48F66F87"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62 (79.48%)</w:t>
            </w:r>
          </w:p>
        </w:tc>
        <w:tc>
          <w:tcPr>
            <w:tcW w:w="1134" w:type="dxa"/>
            <w:vAlign w:val="center"/>
          </w:tcPr>
          <w:p w14:paraId="31215753"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14 (11.47%)</w:t>
            </w:r>
          </w:p>
        </w:tc>
      </w:tr>
      <w:tr w:rsidR="007D4026" w:rsidRPr="007D4026" w14:paraId="5EE756E8" w14:textId="77777777" w:rsidTr="006760AD">
        <w:trPr>
          <w:jc w:val="center"/>
        </w:trPr>
        <w:tc>
          <w:tcPr>
            <w:tcW w:w="1526" w:type="dxa"/>
            <w:vAlign w:val="center"/>
          </w:tcPr>
          <w:p w14:paraId="4B958D7B"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Non-Hypertensive</w:t>
            </w:r>
          </w:p>
        </w:tc>
        <w:tc>
          <w:tcPr>
            <w:tcW w:w="1134" w:type="dxa"/>
            <w:vAlign w:val="center"/>
          </w:tcPr>
          <w:p w14:paraId="43619634"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16 (20.51%)</w:t>
            </w:r>
          </w:p>
        </w:tc>
        <w:tc>
          <w:tcPr>
            <w:tcW w:w="1134" w:type="dxa"/>
            <w:vAlign w:val="center"/>
          </w:tcPr>
          <w:p w14:paraId="11CC1FA9"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108 (88.52%)</w:t>
            </w:r>
          </w:p>
        </w:tc>
      </w:tr>
      <w:tr w:rsidR="007D4026" w:rsidRPr="007D4026" w14:paraId="3E9598D5" w14:textId="77777777" w:rsidTr="006760AD">
        <w:trPr>
          <w:jc w:val="center"/>
        </w:trPr>
        <w:tc>
          <w:tcPr>
            <w:tcW w:w="1526" w:type="dxa"/>
            <w:vAlign w:val="center"/>
          </w:tcPr>
          <w:p w14:paraId="6BFDEB2E"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 xml:space="preserve">Total </w:t>
            </w:r>
          </w:p>
        </w:tc>
        <w:tc>
          <w:tcPr>
            <w:tcW w:w="1134" w:type="dxa"/>
            <w:vAlign w:val="center"/>
          </w:tcPr>
          <w:p w14:paraId="073428F1"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78</w:t>
            </w:r>
          </w:p>
        </w:tc>
        <w:tc>
          <w:tcPr>
            <w:tcW w:w="1134" w:type="dxa"/>
            <w:vAlign w:val="center"/>
          </w:tcPr>
          <w:p w14:paraId="7713684F"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122</w:t>
            </w:r>
          </w:p>
        </w:tc>
      </w:tr>
    </w:tbl>
    <w:p w14:paraId="0C150038" w14:textId="77777777" w:rsidR="007D4026" w:rsidRPr="007D4026" w:rsidRDefault="007D4026" w:rsidP="007D4026">
      <w:pPr>
        <w:autoSpaceDE w:val="0"/>
        <w:autoSpaceDN w:val="0"/>
        <w:adjustRightInd w:val="0"/>
        <w:spacing w:line="480" w:lineRule="auto"/>
        <w:jc w:val="both"/>
        <w:rPr>
          <w:rFonts w:ascii="Arial" w:eastAsiaTheme="minorHAnsi" w:hAnsi="Arial" w:cs="Arial"/>
          <w:color w:val="000000" w:themeColor="text1"/>
        </w:rPr>
      </w:pPr>
    </w:p>
    <w:p w14:paraId="1CB619D8" w14:textId="77777777" w:rsidR="007D4026" w:rsidRPr="007D4026" w:rsidRDefault="007D4026" w:rsidP="007D4026">
      <w:pPr>
        <w:autoSpaceDE w:val="0"/>
        <w:autoSpaceDN w:val="0"/>
        <w:adjustRightInd w:val="0"/>
        <w:spacing w:line="480" w:lineRule="auto"/>
        <w:rPr>
          <w:rFonts w:ascii="Arial" w:eastAsiaTheme="minorHAnsi" w:hAnsi="Arial" w:cs="Arial"/>
          <w:color w:val="000000" w:themeColor="text1"/>
        </w:rPr>
      </w:pPr>
      <w:r w:rsidRPr="007D4026">
        <w:rPr>
          <w:rFonts w:ascii="Arial" w:eastAsiaTheme="minorHAnsi" w:hAnsi="Arial" w:cs="Arial"/>
          <w:color w:val="000000" w:themeColor="text1"/>
        </w:rPr>
        <w:t>Table 5: History of Diabetes Mellitus (DM) in patients with glaucoma.</w:t>
      </w:r>
    </w:p>
    <w:tbl>
      <w:tblPr>
        <w:tblStyle w:val="TableGrid"/>
        <w:tblW w:w="0" w:type="auto"/>
        <w:jc w:val="center"/>
        <w:tblLayout w:type="fixed"/>
        <w:tblLook w:val="04A0" w:firstRow="1" w:lastRow="0" w:firstColumn="1" w:lastColumn="0" w:noHBand="0" w:noVBand="1"/>
      </w:tblPr>
      <w:tblGrid>
        <w:gridCol w:w="1526"/>
        <w:gridCol w:w="1134"/>
        <w:gridCol w:w="1134"/>
      </w:tblGrid>
      <w:tr w:rsidR="007D4026" w:rsidRPr="007D4026" w14:paraId="7B7A382C" w14:textId="77777777" w:rsidTr="006760AD">
        <w:trPr>
          <w:jc w:val="center"/>
        </w:trPr>
        <w:tc>
          <w:tcPr>
            <w:tcW w:w="1526" w:type="dxa"/>
            <w:vMerge w:val="restart"/>
            <w:vAlign w:val="center"/>
          </w:tcPr>
          <w:p w14:paraId="110A4179"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History of DM</w:t>
            </w:r>
          </w:p>
        </w:tc>
        <w:tc>
          <w:tcPr>
            <w:tcW w:w="2268" w:type="dxa"/>
            <w:gridSpan w:val="2"/>
            <w:vAlign w:val="center"/>
          </w:tcPr>
          <w:p w14:paraId="517E75CE"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Glaucoma</w:t>
            </w:r>
          </w:p>
        </w:tc>
      </w:tr>
      <w:tr w:rsidR="007D4026" w:rsidRPr="007D4026" w14:paraId="386E0057" w14:textId="77777777" w:rsidTr="006760AD">
        <w:trPr>
          <w:jc w:val="center"/>
        </w:trPr>
        <w:tc>
          <w:tcPr>
            <w:tcW w:w="1526" w:type="dxa"/>
            <w:vMerge/>
            <w:vAlign w:val="center"/>
          </w:tcPr>
          <w:p w14:paraId="1AC9F61C" w14:textId="77777777" w:rsidR="007D4026" w:rsidRPr="007D4026" w:rsidRDefault="007D4026" w:rsidP="006760AD">
            <w:pPr>
              <w:pStyle w:val="NoSpacing"/>
              <w:jc w:val="center"/>
              <w:rPr>
                <w:rFonts w:ascii="Arial" w:eastAsiaTheme="minorHAnsi" w:hAnsi="Arial" w:cs="Arial"/>
                <w:sz w:val="20"/>
                <w:szCs w:val="20"/>
              </w:rPr>
            </w:pPr>
          </w:p>
        </w:tc>
        <w:tc>
          <w:tcPr>
            <w:tcW w:w="1134" w:type="dxa"/>
            <w:vAlign w:val="center"/>
          </w:tcPr>
          <w:p w14:paraId="50F3490B"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Yes</w:t>
            </w:r>
          </w:p>
        </w:tc>
        <w:tc>
          <w:tcPr>
            <w:tcW w:w="1134" w:type="dxa"/>
            <w:vAlign w:val="center"/>
          </w:tcPr>
          <w:p w14:paraId="2045FFAB"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No</w:t>
            </w:r>
          </w:p>
        </w:tc>
      </w:tr>
      <w:tr w:rsidR="007D4026" w:rsidRPr="007D4026" w14:paraId="03740088" w14:textId="77777777" w:rsidTr="006760AD">
        <w:trPr>
          <w:jc w:val="center"/>
        </w:trPr>
        <w:tc>
          <w:tcPr>
            <w:tcW w:w="1526" w:type="dxa"/>
            <w:vAlign w:val="center"/>
          </w:tcPr>
          <w:p w14:paraId="6F0FCC70"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Diabetic</w:t>
            </w:r>
          </w:p>
        </w:tc>
        <w:tc>
          <w:tcPr>
            <w:tcW w:w="1134" w:type="dxa"/>
            <w:vAlign w:val="center"/>
          </w:tcPr>
          <w:p w14:paraId="4C22E5CA"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25 (32.05%)</w:t>
            </w:r>
          </w:p>
        </w:tc>
        <w:tc>
          <w:tcPr>
            <w:tcW w:w="1134" w:type="dxa"/>
            <w:vAlign w:val="center"/>
          </w:tcPr>
          <w:p w14:paraId="71D64F05"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9</w:t>
            </w:r>
          </w:p>
          <w:p w14:paraId="45A26E73"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(7.37%)</w:t>
            </w:r>
          </w:p>
        </w:tc>
      </w:tr>
      <w:tr w:rsidR="007D4026" w:rsidRPr="007D4026" w14:paraId="7098101F" w14:textId="77777777" w:rsidTr="006760AD">
        <w:trPr>
          <w:jc w:val="center"/>
        </w:trPr>
        <w:tc>
          <w:tcPr>
            <w:tcW w:w="1526" w:type="dxa"/>
            <w:vAlign w:val="center"/>
          </w:tcPr>
          <w:p w14:paraId="14451137"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lastRenderedPageBreak/>
              <w:t>Non-Diabetic</w:t>
            </w:r>
          </w:p>
        </w:tc>
        <w:tc>
          <w:tcPr>
            <w:tcW w:w="1134" w:type="dxa"/>
            <w:vAlign w:val="center"/>
          </w:tcPr>
          <w:p w14:paraId="38B21A1C"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53 (67.95%)</w:t>
            </w:r>
          </w:p>
        </w:tc>
        <w:tc>
          <w:tcPr>
            <w:tcW w:w="1134" w:type="dxa"/>
            <w:vAlign w:val="center"/>
          </w:tcPr>
          <w:p w14:paraId="23A087AE"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113</w:t>
            </w:r>
          </w:p>
          <w:p w14:paraId="6081DA14"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(92.62%)</w:t>
            </w:r>
          </w:p>
        </w:tc>
      </w:tr>
      <w:tr w:rsidR="007D4026" w:rsidRPr="007D4026" w14:paraId="5C2C045A" w14:textId="77777777" w:rsidTr="006760AD">
        <w:trPr>
          <w:jc w:val="center"/>
        </w:trPr>
        <w:tc>
          <w:tcPr>
            <w:tcW w:w="1526" w:type="dxa"/>
            <w:vAlign w:val="center"/>
          </w:tcPr>
          <w:p w14:paraId="14AF73D2"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 xml:space="preserve">Total </w:t>
            </w:r>
          </w:p>
        </w:tc>
        <w:tc>
          <w:tcPr>
            <w:tcW w:w="1134" w:type="dxa"/>
            <w:vAlign w:val="center"/>
          </w:tcPr>
          <w:p w14:paraId="29FAEAD3"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78</w:t>
            </w:r>
          </w:p>
        </w:tc>
        <w:tc>
          <w:tcPr>
            <w:tcW w:w="1134" w:type="dxa"/>
            <w:vAlign w:val="center"/>
          </w:tcPr>
          <w:p w14:paraId="1A0F6896" w14:textId="77777777" w:rsidR="007D4026" w:rsidRPr="007D4026" w:rsidRDefault="007D4026" w:rsidP="006760AD">
            <w:pPr>
              <w:pStyle w:val="NoSpacing"/>
              <w:jc w:val="center"/>
              <w:rPr>
                <w:rFonts w:ascii="Arial" w:eastAsiaTheme="minorHAnsi" w:hAnsi="Arial" w:cs="Arial"/>
                <w:sz w:val="20"/>
                <w:szCs w:val="20"/>
              </w:rPr>
            </w:pPr>
            <w:r w:rsidRPr="007D4026">
              <w:rPr>
                <w:rFonts w:ascii="Arial" w:eastAsiaTheme="minorHAnsi" w:hAnsi="Arial" w:cs="Arial"/>
                <w:sz w:val="20"/>
                <w:szCs w:val="20"/>
              </w:rPr>
              <w:t>122</w:t>
            </w:r>
          </w:p>
        </w:tc>
      </w:tr>
    </w:tbl>
    <w:p w14:paraId="1FAFE3F0" w14:textId="77777777" w:rsidR="007D4026" w:rsidRPr="007D4026" w:rsidRDefault="007D4026" w:rsidP="007D4026">
      <w:pPr>
        <w:pStyle w:val="Body"/>
        <w:spacing w:after="0"/>
        <w:rPr>
          <w:rFonts w:ascii="Arial" w:hAnsi="Arial" w:cs="Arial"/>
          <w:b/>
          <w:u w:val="single"/>
        </w:rPr>
      </w:pPr>
    </w:p>
    <w:p w14:paraId="39C82F9A" w14:textId="77777777" w:rsidR="007D4026" w:rsidRPr="007D4026" w:rsidRDefault="007D4026" w:rsidP="007D4026">
      <w:pPr>
        <w:pStyle w:val="Body"/>
        <w:rPr>
          <w:rFonts w:ascii="Arial" w:hAnsi="Arial" w:cs="Arial"/>
          <w:b/>
          <w:sz w:val="22"/>
          <w:szCs w:val="22"/>
        </w:rPr>
      </w:pPr>
      <w:r w:rsidRPr="007D4026">
        <w:rPr>
          <w:rFonts w:ascii="Arial" w:hAnsi="Arial" w:cs="Arial"/>
          <w:b/>
          <w:sz w:val="22"/>
          <w:szCs w:val="22"/>
        </w:rPr>
        <w:t>DISCUSSION</w:t>
      </w:r>
    </w:p>
    <w:p w14:paraId="4FD6F060" w14:textId="77777777" w:rsidR="007D4026" w:rsidRPr="007D4026" w:rsidRDefault="007D4026" w:rsidP="007D4026">
      <w:pPr>
        <w:pStyle w:val="Body"/>
        <w:rPr>
          <w:rFonts w:ascii="Arial" w:hAnsi="Arial" w:cs="Arial"/>
        </w:rPr>
      </w:pPr>
      <w:r w:rsidRPr="007D4026">
        <w:rPr>
          <w:rFonts w:ascii="Arial" w:hAnsi="Arial" w:cs="Arial"/>
        </w:rPr>
        <w:t>This study showed that out of 200 patients involved in this study 78 (39%) have glaucoma this is quite higher compared to the global prevalence of glaucoma in one of the studies done in 2020 showed that among 57 million involved in the study 7 million were affected with glaucoma which is equal to prevalence of 2.51%</w:t>
      </w:r>
      <w:r w:rsidR="00EA08CB">
        <w:rPr>
          <w:rFonts w:ascii="Arial" w:hAnsi="Arial" w:cs="Arial"/>
          <w:vertAlign w:val="superscript"/>
        </w:rPr>
        <w:t>5</w:t>
      </w:r>
      <w:r w:rsidRPr="007D4026">
        <w:rPr>
          <w:rFonts w:ascii="Arial" w:hAnsi="Arial" w:cs="Arial"/>
        </w:rPr>
        <w:t xml:space="preserve">. But these results correlate with study done in 2022 at </w:t>
      </w:r>
      <w:proofErr w:type="spellStart"/>
      <w:r w:rsidRPr="007D4026">
        <w:rPr>
          <w:rFonts w:ascii="Arial" w:hAnsi="Arial" w:cs="Arial"/>
        </w:rPr>
        <w:t>Mahenge</w:t>
      </w:r>
      <w:proofErr w:type="spellEnd"/>
      <w:r w:rsidRPr="007D4026">
        <w:rPr>
          <w:rFonts w:ascii="Arial" w:hAnsi="Arial" w:cs="Arial"/>
        </w:rPr>
        <w:t>, Tanzania which involved 278 people in which a prevalence of 33.1% was obtained so this is quite relevant in small area study</w:t>
      </w:r>
      <w:r w:rsidR="006E7596">
        <w:rPr>
          <w:rFonts w:ascii="Arial" w:hAnsi="Arial" w:cs="Arial"/>
          <w:vertAlign w:val="superscript"/>
        </w:rPr>
        <w:t>9</w:t>
      </w:r>
      <w:r w:rsidRPr="007D4026">
        <w:rPr>
          <w:rFonts w:ascii="Arial" w:hAnsi="Arial" w:cs="Arial"/>
        </w:rPr>
        <w:t xml:space="preserve">. </w:t>
      </w:r>
    </w:p>
    <w:p w14:paraId="03D06D05" w14:textId="77777777" w:rsidR="007D4026" w:rsidRPr="007D4026" w:rsidRDefault="007D4026" w:rsidP="007D4026">
      <w:pPr>
        <w:pStyle w:val="Body"/>
        <w:rPr>
          <w:rFonts w:ascii="Arial" w:hAnsi="Arial" w:cs="Arial"/>
        </w:rPr>
      </w:pPr>
      <w:r w:rsidRPr="007D4026">
        <w:rPr>
          <w:rFonts w:ascii="Arial" w:hAnsi="Arial" w:cs="Arial"/>
        </w:rPr>
        <w:t>In this study it was found that 7 patients aged (10-20 years) 8.97% has glaucoma, 9 patients aged (21-30 years) 11.5% has glaucoma, 13 patients aged (31-40 years) 16.67% has glaucoma, 11 patients aged (41-50years) 14.1% has glaucoma, 19 patients aged (51-60 years) 24.35% has glaucoma patients aged (61-70years) 17.94% has glaucoma, 3 patients aged (71-80 years) 3.85% has glaucoma and 2 patients aged (81-90 years) 2.56% has glaucoma. It is observed that highest prevalence was found at the age of 51-60 years followed by that of 61-70 years.</w:t>
      </w:r>
    </w:p>
    <w:p w14:paraId="6DF2F9A2" w14:textId="77777777" w:rsidR="007D4026" w:rsidRPr="007D4026" w:rsidRDefault="007D4026" w:rsidP="007D4026">
      <w:pPr>
        <w:pStyle w:val="Body"/>
        <w:rPr>
          <w:rFonts w:ascii="Arial" w:hAnsi="Arial" w:cs="Arial"/>
        </w:rPr>
      </w:pPr>
      <w:r w:rsidRPr="007D4026">
        <w:rPr>
          <w:rFonts w:ascii="Arial" w:hAnsi="Arial" w:cs="Arial"/>
        </w:rPr>
        <w:t>The study showed that high prevalence of female patient compared to male as the study showed the prevalence of 57.69% among those with positive diagnosis of glaucoma in comparison to male which are 42.31% this is consistent with a study done in 2013 in eye clinic in Ghana, which showed high prevalence of diabetes in female in which the prevalence of female was 9.5% compared to 8.7% of that of</w:t>
      </w:r>
      <w:r w:rsidR="0032641F">
        <w:rPr>
          <w:rFonts w:ascii="Arial" w:hAnsi="Arial" w:cs="Arial"/>
        </w:rPr>
        <w:t xml:space="preserve"> males</w:t>
      </w:r>
      <w:r w:rsidR="0032641F">
        <w:rPr>
          <w:rFonts w:ascii="Arial" w:hAnsi="Arial" w:cs="Arial"/>
          <w:vertAlign w:val="superscript"/>
        </w:rPr>
        <w:t>8</w:t>
      </w:r>
      <w:r w:rsidRPr="007D4026">
        <w:rPr>
          <w:rFonts w:ascii="Arial" w:hAnsi="Arial" w:cs="Arial"/>
        </w:rPr>
        <w:t xml:space="preserve">.  </w:t>
      </w:r>
      <w:proofErr w:type="gramStart"/>
      <w:r w:rsidRPr="007D4026">
        <w:rPr>
          <w:rFonts w:ascii="Arial" w:hAnsi="Arial" w:cs="Arial"/>
        </w:rPr>
        <w:t>So</w:t>
      </w:r>
      <w:proofErr w:type="gramEnd"/>
      <w:r w:rsidRPr="007D4026">
        <w:rPr>
          <w:rFonts w:ascii="Arial" w:hAnsi="Arial" w:cs="Arial"/>
        </w:rPr>
        <w:t xml:space="preserve"> this study showed there is high female preponderance in case of glaucoma affected cases.</w:t>
      </w:r>
    </w:p>
    <w:p w14:paraId="1D5FAB1F" w14:textId="77777777" w:rsidR="007D4026" w:rsidRPr="007D4026" w:rsidRDefault="007D4026" w:rsidP="007D4026">
      <w:pPr>
        <w:pStyle w:val="Body"/>
        <w:rPr>
          <w:rFonts w:ascii="Arial" w:hAnsi="Arial" w:cs="Arial"/>
        </w:rPr>
      </w:pPr>
      <w:r w:rsidRPr="007D4026">
        <w:rPr>
          <w:rFonts w:ascii="Arial" w:hAnsi="Arial" w:cs="Arial"/>
        </w:rPr>
        <w:t xml:space="preserve">The study showed association in some risk factors with glaucoma such as family history where it showed that among those who are affected with glaucoma 65.38% had family history while only 34.62% had no family history of glaucoma. The study also showed that 53.85% who were diagnosed with glaucoma have a personal history of hypertension while 46.15% have no history of hypertension. Also, the study revealed that a significant proportion (32.05%) have history of glaucoma among those patients with glaucoma while 67.95% have glaucoma with no history of diabetes. </w:t>
      </w:r>
      <w:proofErr w:type="gramStart"/>
      <w:r w:rsidRPr="007D4026">
        <w:rPr>
          <w:rFonts w:ascii="Arial" w:hAnsi="Arial" w:cs="Arial"/>
        </w:rPr>
        <w:t>So</w:t>
      </w:r>
      <w:proofErr w:type="gramEnd"/>
      <w:r w:rsidRPr="007D4026">
        <w:rPr>
          <w:rFonts w:ascii="Arial" w:hAnsi="Arial" w:cs="Arial"/>
        </w:rPr>
        <w:t xml:space="preserve"> there is significant association of risk factors with glaucoma.  This relative risk or risk ratio (RR) is the ratio of the probability of an event occurring (for example, developing a disease, being injured) in an exposed group to the probability of the event occurring in a comparison, non-exposed group. RR = 3.61. Relative risk &gt;1, represents that risk has increased due to factor exposure.</w:t>
      </w:r>
    </w:p>
    <w:p w14:paraId="7A34940F" w14:textId="77777777" w:rsidR="007D4026" w:rsidRPr="007D4026" w:rsidRDefault="007D4026" w:rsidP="007D4026">
      <w:pPr>
        <w:pStyle w:val="Body"/>
        <w:rPr>
          <w:rFonts w:ascii="Arial" w:hAnsi="Arial" w:cs="Arial"/>
        </w:rPr>
      </w:pPr>
      <w:r w:rsidRPr="007D4026">
        <w:rPr>
          <w:rFonts w:ascii="Arial" w:hAnsi="Arial" w:cs="Arial"/>
        </w:rPr>
        <w:t>The results observed in our study relates with the study done in 2014, that total of 356/967 subjects were recruited over a 2-month period; 176 (49.4%) were male and the mean was 52.21 (SD 15.3). Targeted eye screening of diabetics showed that 231/356 (65%) of subjects had eye problems, including potentially blind conditions, that required immediate intervention, in contrast to the existing self-reported referral, which was only 10% out of an average of 200 diabetics have had an eye exam a year so the study shows a significant association of diabetes wi</w:t>
      </w:r>
      <w:r>
        <w:rPr>
          <w:rFonts w:ascii="Arial" w:hAnsi="Arial" w:cs="Arial"/>
        </w:rPr>
        <w:t>th glaucoma. (Omar et al, 2014)</w:t>
      </w:r>
      <w:r w:rsidRPr="007D4026">
        <w:rPr>
          <w:rFonts w:ascii="Arial" w:hAnsi="Arial" w:cs="Arial"/>
        </w:rPr>
        <w:t>.</w:t>
      </w:r>
    </w:p>
    <w:p w14:paraId="4E20EE72" w14:textId="77777777" w:rsidR="00B01FCD" w:rsidRDefault="00B01FCD" w:rsidP="00441B6F">
      <w:pPr>
        <w:pStyle w:val="ConcHead"/>
        <w:spacing w:after="0"/>
        <w:jc w:val="both"/>
        <w:rPr>
          <w:rFonts w:ascii="Arial" w:hAnsi="Arial" w:cs="Arial"/>
        </w:rPr>
      </w:pPr>
      <w:r w:rsidRPr="00FB3A86">
        <w:rPr>
          <w:rFonts w:ascii="Arial" w:hAnsi="Arial" w:cs="Arial"/>
        </w:rPr>
        <w:t>Conclusion</w:t>
      </w:r>
    </w:p>
    <w:p w14:paraId="606873F0" w14:textId="77777777" w:rsidR="00790ADA" w:rsidRPr="00FB3A86" w:rsidRDefault="00790ADA" w:rsidP="00441B6F">
      <w:pPr>
        <w:pStyle w:val="ConcHead"/>
        <w:spacing w:after="0"/>
        <w:jc w:val="both"/>
        <w:rPr>
          <w:rFonts w:ascii="Arial" w:hAnsi="Arial" w:cs="Arial"/>
        </w:rPr>
      </w:pPr>
    </w:p>
    <w:p w14:paraId="2234A6F0" w14:textId="77777777" w:rsidR="00B01FCD" w:rsidRDefault="003D36EB" w:rsidP="00441B6F">
      <w:pPr>
        <w:pStyle w:val="Body"/>
        <w:spacing w:after="0"/>
        <w:rPr>
          <w:rFonts w:ascii="Arial" w:hAnsi="Arial" w:cs="Arial"/>
        </w:rPr>
      </w:pPr>
      <w:r w:rsidRPr="003D36EB">
        <w:rPr>
          <w:rFonts w:ascii="Arial" w:hAnsi="Arial" w:cs="Arial"/>
        </w:rPr>
        <w:t xml:space="preserve">In the study it is observed that there is increased prevalence of glaucoma among patients attending Mnazi Mmoja at ophthalmology clinic compared to other causes of eye problems. This could indicate also there could be increased number of complications especially </w:t>
      </w:r>
      <w:r w:rsidRPr="003D36EB">
        <w:rPr>
          <w:rFonts w:ascii="Arial" w:hAnsi="Arial" w:cs="Arial"/>
        </w:rPr>
        <w:lastRenderedPageBreak/>
        <w:t>blindness as this is the second leading cause of blindness worldwide. The study showed that prevalence of glaucoma increased with age and higher among females compared to males and there is high correlation of glaucoma with risk factor hypertension. Also, it was found that greatly a large number of individuals diagnosed with this condition are in topical treatment with few on other treatment and a very few proportions on combination of more than one type of medication such as oral and topical medications.</w:t>
      </w:r>
    </w:p>
    <w:p w14:paraId="58F51C7A" w14:textId="77777777" w:rsidR="00790ADA" w:rsidRPr="00FB3A86" w:rsidRDefault="00790ADA" w:rsidP="00441B6F">
      <w:pPr>
        <w:pStyle w:val="Body"/>
        <w:spacing w:after="0"/>
        <w:rPr>
          <w:rFonts w:ascii="Arial" w:hAnsi="Arial" w:cs="Arial"/>
        </w:rPr>
      </w:pPr>
    </w:p>
    <w:p w14:paraId="4E52659D" w14:textId="77777777" w:rsidR="00860000" w:rsidRDefault="00860000" w:rsidP="00441B6F">
      <w:pPr>
        <w:pStyle w:val="ReferHead"/>
        <w:spacing w:after="0"/>
        <w:jc w:val="both"/>
        <w:rPr>
          <w:rFonts w:ascii="Arial" w:hAnsi="Arial" w:cs="Arial"/>
        </w:rPr>
      </w:pPr>
    </w:p>
    <w:p w14:paraId="4A11041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D6A7D9" w14:textId="77777777" w:rsidR="00790ADA" w:rsidRPr="00FB3A86" w:rsidRDefault="00790ADA" w:rsidP="00441B6F">
      <w:pPr>
        <w:pStyle w:val="ReferHead"/>
        <w:spacing w:after="0"/>
        <w:jc w:val="both"/>
        <w:rPr>
          <w:rFonts w:ascii="Arial" w:hAnsi="Arial" w:cs="Arial"/>
        </w:rPr>
      </w:pPr>
    </w:p>
    <w:p w14:paraId="0AF1D9DF" w14:textId="77777777" w:rsidR="00790ADA" w:rsidRDefault="008641ED" w:rsidP="00441B6F">
      <w:pPr>
        <w:pStyle w:val="Body"/>
        <w:spacing w:after="0"/>
        <w:rPr>
          <w:rFonts w:ascii="Arial" w:hAnsi="Arial" w:cs="Arial"/>
        </w:rPr>
      </w:pPr>
      <w:r w:rsidRPr="008641ED">
        <w:rPr>
          <w:rFonts w:ascii="Arial" w:hAnsi="Arial" w:cs="Arial"/>
        </w:rPr>
        <w:t>Hilly, M., Adams, M. L., &amp; Nelson, S. C. (2002). A study of digit fusion in the mouse embryo. Clinical and Experimental Allergy, 32(4), 489-498.</w:t>
      </w:r>
    </w:p>
    <w:p w14:paraId="7B3FEFAA" w14:textId="77777777" w:rsidR="00284C4C" w:rsidRPr="003D36EB" w:rsidRDefault="003D36EB" w:rsidP="003D36EB">
      <w:pPr>
        <w:pStyle w:val="Body"/>
        <w:numPr>
          <w:ilvl w:val="0"/>
          <w:numId w:val="31"/>
        </w:numPr>
        <w:spacing w:after="0"/>
      </w:pPr>
      <w:r w:rsidRPr="00B6347C">
        <w:rPr>
          <w:rFonts w:ascii="Arial" w:hAnsi="Arial" w:cs="Arial"/>
        </w:rPr>
        <w:t>Weinreb RN, Aung T, Medeiros FA.</w:t>
      </w:r>
      <w:r>
        <w:rPr>
          <w:rFonts w:ascii="Arial" w:hAnsi="Arial" w:cs="Arial"/>
        </w:rPr>
        <w:t xml:space="preserve"> (2014).</w:t>
      </w:r>
      <w:r w:rsidRPr="00B6347C">
        <w:rPr>
          <w:rFonts w:ascii="Arial" w:hAnsi="Arial" w:cs="Arial"/>
        </w:rPr>
        <w:t xml:space="preserve"> The pathophysiology and treatm</w:t>
      </w:r>
      <w:r>
        <w:rPr>
          <w:rFonts w:ascii="Arial" w:hAnsi="Arial" w:cs="Arial"/>
        </w:rPr>
        <w:t>ent of glaucoma: a review. JAMA,</w:t>
      </w:r>
      <w:r w:rsidRPr="00B6347C">
        <w:rPr>
          <w:rFonts w:ascii="Arial" w:hAnsi="Arial" w:cs="Arial"/>
        </w:rPr>
        <w:t xml:space="preserve"> </w:t>
      </w:r>
      <w:r>
        <w:rPr>
          <w:rFonts w:ascii="Arial" w:hAnsi="Arial" w:cs="Arial"/>
        </w:rPr>
        <w:t xml:space="preserve">311(18), </w:t>
      </w:r>
      <w:r w:rsidRPr="00B6347C">
        <w:rPr>
          <w:rFonts w:ascii="Arial" w:hAnsi="Arial" w:cs="Arial"/>
        </w:rPr>
        <w:t>1901-11.</w:t>
      </w:r>
    </w:p>
    <w:p w14:paraId="5EDA3AAD" w14:textId="77777777" w:rsidR="003D36EB" w:rsidRPr="003D36EB" w:rsidRDefault="003D36EB" w:rsidP="003D36EB">
      <w:pPr>
        <w:pStyle w:val="Body"/>
        <w:numPr>
          <w:ilvl w:val="0"/>
          <w:numId w:val="31"/>
        </w:numPr>
        <w:spacing w:after="0"/>
      </w:pPr>
      <w:r w:rsidRPr="00B6347C">
        <w:rPr>
          <w:rFonts w:ascii="Arial" w:hAnsi="Arial" w:cs="Arial"/>
        </w:rPr>
        <w:t>Flaxman SR, Bourne RRA, Resnikoff S, Ackland P, Braithwaite T, Cicinelli MV, et al.</w:t>
      </w:r>
      <w:r>
        <w:rPr>
          <w:rFonts w:ascii="Arial" w:hAnsi="Arial" w:cs="Arial"/>
        </w:rPr>
        <w:t xml:space="preserve"> (2017).</w:t>
      </w:r>
      <w:r w:rsidRPr="00B6347C">
        <w:rPr>
          <w:rFonts w:ascii="Arial" w:hAnsi="Arial" w:cs="Arial"/>
        </w:rPr>
        <w:t xml:space="preserve"> Global causes of blindness and distance vision impairment 1990–2020: a systematic review and meta-analysis. Lancet Glob Health</w:t>
      </w:r>
      <w:r>
        <w:rPr>
          <w:rFonts w:ascii="Arial" w:hAnsi="Arial" w:cs="Arial"/>
        </w:rPr>
        <w:t xml:space="preserve">, </w:t>
      </w:r>
      <w:proofErr w:type="gramStart"/>
      <w:r w:rsidRPr="00B6347C">
        <w:rPr>
          <w:rFonts w:ascii="Arial" w:hAnsi="Arial" w:cs="Arial"/>
        </w:rPr>
        <w:t>5:e</w:t>
      </w:r>
      <w:proofErr w:type="gramEnd"/>
      <w:r w:rsidRPr="00B6347C">
        <w:rPr>
          <w:rFonts w:ascii="Arial" w:hAnsi="Arial" w:cs="Arial"/>
        </w:rPr>
        <w:t>1221–34.</w:t>
      </w:r>
    </w:p>
    <w:p w14:paraId="7509EAAB" w14:textId="77777777" w:rsidR="003D36EB" w:rsidRPr="00EA08CB" w:rsidRDefault="003D36EB" w:rsidP="003D36EB">
      <w:pPr>
        <w:pStyle w:val="Body"/>
        <w:numPr>
          <w:ilvl w:val="0"/>
          <w:numId w:val="31"/>
        </w:numPr>
        <w:spacing w:after="0"/>
      </w:pPr>
      <w:r w:rsidRPr="00B6347C">
        <w:rPr>
          <w:rFonts w:ascii="Arial" w:hAnsi="Arial" w:cs="Arial"/>
        </w:rPr>
        <w:t>Tham YC, Li X, Wong TY, Quigley HA, Aung T, Cheng CY.</w:t>
      </w:r>
      <w:r>
        <w:rPr>
          <w:rFonts w:ascii="Arial" w:hAnsi="Arial" w:cs="Arial"/>
        </w:rPr>
        <w:t xml:space="preserve"> (2014). </w:t>
      </w:r>
      <w:r w:rsidRPr="00B6347C">
        <w:rPr>
          <w:rFonts w:ascii="Arial" w:hAnsi="Arial" w:cs="Arial"/>
        </w:rPr>
        <w:t>Global prevalence of glaucoma and projections of glaucoma burden through 2040: a systematic review a</w:t>
      </w:r>
      <w:r>
        <w:rPr>
          <w:rFonts w:ascii="Arial" w:hAnsi="Arial" w:cs="Arial"/>
        </w:rPr>
        <w:t>nd meta-analysis. Ophthalmology,</w:t>
      </w:r>
      <w:r w:rsidRPr="00B6347C">
        <w:rPr>
          <w:rFonts w:ascii="Arial" w:hAnsi="Arial" w:cs="Arial"/>
        </w:rPr>
        <w:t xml:space="preserve"> 121:2081–90.</w:t>
      </w:r>
    </w:p>
    <w:p w14:paraId="187C8A93" w14:textId="77777777" w:rsidR="00EA08CB" w:rsidRPr="00EA08CB" w:rsidRDefault="00EA08CB" w:rsidP="003D36EB">
      <w:pPr>
        <w:pStyle w:val="Body"/>
        <w:numPr>
          <w:ilvl w:val="0"/>
          <w:numId w:val="31"/>
        </w:numPr>
        <w:spacing w:after="0"/>
      </w:pPr>
      <w:r w:rsidRPr="00B6347C">
        <w:rPr>
          <w:rFonts w:ascii="Arial" w:hAnsi="Arial" w:cs="Arial"/>
        </w:rPr>
        <w:t xml:space="preserve">Shan S, Wu J, Cao J, Feng Y, </w:t>
      </w:r>
      <w:r>
        <w:rPr>
          <w:rFonts w:ascii="Arial" w:hAnsi="Arial" w:cs="Arial"/>
        </w:rPr>
        <w:t>Zhou J, Luo Z, Song P, Rudan I. (2024).</w:t>
      </w:r>
      <w:r w:rsidRPr="00B6347C">
        <w:rPr>
          <w:rFonts w:ascii="Arial" w:hAnsi="Arial" w:cs="Arial"/>
        </w:rPr>
        <w:t xml:space="preserve"> Global Health Epidemiology Research Group (GHERG). Global incidence and risk factors for glaucoma: A systematic review and meta-analysis of pros</w:t>
      </w:r>
      <w:r>
        <w:rPr>
          <w:rFonts w:ascii="Arial" w:hAnsi="Arial" w:cs="Arial"/>
        </w:rPr>
        <w:t xml:space="preserve">pective studies. J Glob Health, </w:t>
      </w:r>
      <w:r w:rsidRPr="00B6347C">
        <w:rPr>
          <w:rFonts w:ascii="Arial" w:hAnsi="Arial" w:cs="Arial"/>
        </w:rPr>
        <w:t>14:04252</w:t>
      </w:r>
      <w:r>
        <w:rPr>
          <w:rFonts w:ascii="Arial" w:hAnsi="Arial" w:cs="Arial"/>
        </w:rPr>
        <w:t>.</w:t>
      </w:r>
    </w:p>
    <w:p w14:paraId="7CDCE4F8" w14:textId="77777777" w:rsidR="00EA08CB" w:rsidRPr="00EA08CB" w:rsidRDefault="00EA08CB" w:rsidP="003D36EB">
      <w:pPr>
        <w:pStyle w:val="Body"/>
        <w:numPr>
          <w:ilvl w:val="0"/>
          <w:numId w:val="31"/>
        </w:numPr>
        <w:spacing w:after="0"/>
      </w:pPr>
      <w:r w:rsidRPr="00B6347C">
        <w:rPr>
          <w:rFonts w:ascii="Arial" w:hAnsi="Arial" w:cs="Arial"/>
        </w:rPr>
        <w:t>Allison K, Patel D, Alabi O.</w:t>
      </w:r>
      <w:r>
        <w:rPr>
          <w:rFonts w:ascii="Arial" w:hAnsi="Arial" w:cs="Arial"/>
        </w:rPr>
        <w:t xml:space="preserve"> (2020)</w:t>
      </w:r>
      <w:r w:rsidRPr="00B6347C">
        <w:rPr>
          <w:rFonts w:ascii="Arial" w:hAnsi="Arial" w:cs="Arial"/>
        </w:rPr>
        <w:t xml:space="preserve"> Epidemiology of Glaucoma: The Past, Present, and Pre</w:t>
      </w:r>
      <w:r>
        <w:rPr>
          <w:rFonts w:ascii="Arial" w:hAnsi="Arial" w:cs="Arial"/>
        </w:rPr>
        <w:t xml:space="preserve">dictions for the Future. Cureus, </w:t>
      </w:r>
      <w:r w:rsidRPr="00B6347C">
        <w:rPr>
          <w:rFonts w:ascii="Arial" w:hAnsi="Arial" w:cs="Arial"/>
        </w:rPr>
        <w:t>12(11</w:t>
      </w:r>
      <w:proofErr w:type="gramStart"/>
      <w:r w:rsidRPr="00B6347C">
        <w:rPr>
          <w:rFonts w:ascii="Arial" w:hAnsi="Arial" w:cs="Arial"/>
        </w:rPr>
        <w:t>):e</w:t>
      </w:r>
      <w:proofErr w:type="gramEnd"/>
      <w:r w:rsidRPr="00B6347C">
        <w:rPr>
          <w:rFonts w:ascii="Arial" w:hAnsi="Arial" w:cs="Arial"/>
        </w:rPr>
        <w:t>11686</w:t>
      </w:r>
      <w:r>
        <w:rPr>
          <w:rFonts w:ascii="Arial" w:hAnsi="Arial" w:cs="Arial"/>
        </w:rPr>
        <w:t>.</w:t>
      </w:r>
    </w:p>
    <w:p w14:paraId="4148E771" w14:textId="77777777" w:rsidR="00EA08CB" w:rsidRPr="00EA08CB" w:rsidRDefault="00EA08CB" w:rsidP="003D36EB">
      <w:pPr>
        <w:pStyle w:val="Body"/>
        <w:numPr>
          <w:ilvl w:val="0"/>
          <w:numId w:val="31"/>
        </w:numPr>
        <w:spacing w:after="0"/>
      </w:pPr>
      <w:r w:rsidRPr="00B6347C">
        <w:rPr>
          <w:rFonts w:ascii="Arial" w:hAnsi="Arial" w:cs="Arial"/>
        </w:rPr>
        <w:t>Budenz DL, Bar</w:t>
      </w:r>
      <w:r>
        <w:rPr>
          <w:rFonts w:ascii="Arial" w:hAnsi="Arial" w:cs="Arial"/>
        </w:rPr>
        <w:t>ton K, Whiteside-de Vos J</w:t>
      </w:r>
      <w:r w:rsidRPr="00B6347C">
        <w:rPr>
          <w:rFonts w:ascii="Arial" w:hAnsi="Arial" w:cs="Arial"/>
        </w:rPr>
        <w:t>.</w:t>
      </w:r>
      <w:r>
        <w:rPr>
          <w:rFonts w:ascii="Arial" w:hAnsi="Arial" w:cs="Arial"/>
        </w:rPr>
        <w:t xml:space="preserve"> (2013).</w:t>
      </w:r>
      <w:r w:rsidRPr="00B6347C">
        <w:rPr>
          <w:rFonts w:ascii="Arial" w:hAnsi="Arial" w:cs="Arial"/>
        </w:rPr>
        <w:t xml:space="preserve"> Prevalence of glaucoma in an urban West African population: the T</w:t>
      </w:r>
      <w:r>
        <w:rPr>
          <w:rFonts w:ascii="Arial" w:hAnsi="Arial" w:cs="Arial"/>
        </w:rPr>
        <w:t>ema Eye Survey. JAMA Ophthalmology,</w:t>
      </w:r>
      <w:r w:rsidRPr="00B6347C">
        <w:rPr>
          <w:rFonts w:ascii="Arial" w:hAnsi="Arial" w:cs="Arial"/>
        </w:rPr>
        <w:t>131: 651–658</w:t>
      </w:r>
      <w:r>
        <w:rPr>
          <w:rFonts w:ascii="Arial" w:hAnsi="Arial" w:cs="Arial"/>
        </w:rPr>
        <w:t>.</w:t>
      </w:r>
    </w:p>
    <w:p w14:paraId="24E3C2E1" w14:textId="77777777" w:rsidR="00EA08CB" w:rsidRPr="00EA08CB" w:rsidRDefault="00EA08CB" w:rsidP="003D36EB">
      <w:pPr>
        <w:pStyle w:val="Body"/>
        <w:numPr>
          <w:ilvl w:val="0"/>
          <w:numId w:val="31"/>
        </w:numPr>
        <w:spacing w:after="0"/>
      </w:pPr>
      <w:r w:rsidRPr="00B6347C">
        <w:rPr>
          <w:rFonts w:ascii="Arial" w:hAnsi="Arial" w:cs="Arial"/>
        </w:rPr>
        <w:t xml:space="preserve">Jones PR, </w:t>
      </w:r>
      <w:proofErr w:type="spellStart"/>
      <w:r w:rsidRPr="00B6347C">
        <w:rPr>
          <w:rFonts w:ascii="Arial" w:hAnsi="Arial" w:cs="Arial"/>
        </w:rPr>
        <w:t>Philippin</w:t>
      </w:r>
      <w:proofErr w:type="spellEnd"/>
      <w:r w:rsidRPr="00B6347C">
        <w:rPr>
          <w:rFonts w:ascii="Arial" w:hAnsi="Arial" w:cs="Arial"/>
        </w:rPr>
        <w:t xml:space="preserve"> H, </w:t>
      </w:r>
      <w:proofErr w:type="spellStart"/>
      <w:r w:rsidRPr="00B6347C">
        <w:rPr>
          <w:rFonts w:ascii="Arial" w:hAnsi="Arial" w:cs="Arial"/>
        </w:rPr>
        <w:t>Makupa</w:t>
      </w:r>
      <w:proofErr w:type="spellEnd"/>
      <w:r w:rsidRPr="00B6347C">
        <w:rPr>
          <w:rFonts w:ascii="Arial" w:hAnsi="Arial" w:cs="Arial"/>
        </w:rPr>
        <w:t xml:space="preserve"> WU, Burton MJ, Crabb DP. </w:t>
      </w:r>
      <w:r>
        <w:rPr>
          <w:rFonts w:ascii="Arial" w:hAnsi="Arial" w:cs="Arial"/>
        </w:rPr>
        <w:t xml:space="preserve">(2020). </w:t>
      </w:r>
      <w:r w:rsidRPr="00B6347C">
        <w:rPr>
          <w:rFonts w:ascii="Arial" w:hAnsi="Arial" w:cs="Arial"/>
        </w:rPr>
        <w:t xml:space="preserve">Severity of Visual Field Loss at First Presentation to Glaucoma Clinics in England and </w:t>
      </w:r>
      <w:r>
        <w:rPr>
          <w:rFonts w:ascii="Arial" w:hAnsi="Arial" w:cs="Arial"/>
        </w:rPr>
        <w:t xml:space="preserve">Tanzania. Ophthalmic Epidemiol, </w:t>
      </w:r>
      <w:r w:rsidRPr="00B6347C">
        <w:rPr>
          <w:rFonts w:ascii="Arial" w:hAnsi="Arial" w:cs="Arial"/>
        </w:rPr>
        <w:t>27(1):10-18.</w:t>
      </w:r>
    </w:p>
    <w:p w14:paraId="50B7E9A2" w14:textId="77777777" w:rsidR="00EA08CB" w:rsidRPr="006E7596" w:rsidRDefault="00EA08CB" w:rsidP="003D36EB">
      <w:pPr>
        <w:pStyle w:val="Body"/>
        <w:numPr>
          <w:ilvl w:val="0"/>
          <w:numId w:val="31"/>
        </w:numPr>
        <w:spacing w:after="0"/>
      </w:pPr>
      <w:proofErr w:type="spellStart"/>
      <w:proofErr w:type="gramStart"/>
      <w:r>
        <w:rPr>
          <w:rFonts w:ascii="Arial" w:hAnsi="Arial" w:cs="Arial"/>
        </w:rPr>
        <w:t>Tenkorang</w:t>
      </w:r>
      <w:proofErr w:type="spellEnd"/>
      <w:r>
        <w:rPr>
          <w:rFonts w:ascii="Arial" w:hAnsi="Arial" w:cs="Arial"/>
        </w:rPr>
        <w:t xml:space="preserve">, </w:t>
      </w:r>
      <w:r w:rsidRPr="00B6347C">
        <w:rPr>
          <w:rFonts w:ascii="Arial" w:hAnsi="Arial" w:cs="Arial"/>
        </w:rPr>
        <w:t xml:space="preserve"> Kenneth</w:t>
      </w:r>
      <w:proofErr w:type="gramEnd"/>
      <w:r w:rsidRPr="00B6347C">
        <w:rPr>
          <w:rFonts w:ascii="Arial" w:hAnsi="Arial" w:cs="Arial"/>
        </w:rPr>
        <w:t xml:space="preserve"> </w:t>
      </w:r>
      <w:proofErr w:type="spellStart"/>
      <w:r w:rsidRPr="00B6347C">
        <w:rPr>
          <w:rFonts w:ascii="Arial" w:hAnsi="Arial" w:cs="Arial"/>
        </w:rPr>
        <w:t>Bentum</w:t>
      </w:r>
      <w:proofErr w:type="spellEnd"/>
      <w:r w:rsidRPr="00B6347C">
        <w:rPr>
          <w:rFonts w:ascii="Arial" w:hAnsi="Arial" w:cs="Arial"/>
        </w:rPr>
        <w:t xml:space="preserve"> </w:t>
      </w:r>
      <w:proofErr w:type="spellStart"/>
      <w:r w:rsidRPr="00B6347C">
        <w:rPr>
          <w:rFonts w:ascii="Arial" w:hAnsi="Arial" w:cs="Arial"/>
        </w:rPr>
        <w:t>Otabil</w:t>
      </w:r>
      <w:proofErr w:type="spellEnd"/>
      <w:r w:rsidRPr="00B6347C">
        <w:rPr>
          <w:rFonts w:ascii="Arial" w:hAnsi="Arial" w:cs="Arial"/>
        </w:rPr>
        <w:t xml:space="preserve">, Seth Boateng Tenkorang, Ankrah Lennox Mac, Emmanuel </w:t>
      </w:r>
      <w:proofErr w:type="spellStart"/>
      <w:r w:rsidRPr="00B6347C">
        <w:rPr>
          <w:rFonts w:ascii="Arial" w:hAnsi="Arial" w:cs="Arial"/>
        </w:rPr>
        <w:t>Arkaa</w:t>
      </w:r>
      <w:proofErr w:type="spellEnd"/>
      <w:r w:rsidRPr="00B6347C">
        <w:rPr>
          <w:rFonts w:ascii="Arial" w:hAnsi="Arial" w:cs="Arial"/>
        </w:rPr>
        <w:t xml:space="preserve"> </w:t>
      </w:r>
      <w:proofErr w:type="spellStart"/>
      <w:r w:rsidRPr="00B6347C">
        <w:rPr>
          <w:rFonts w:ascii="Arial" w:hAnsi="Arial" w:cs="Arial"/>
        </w:rPr>
        <w:t>Otabil</w:t>
      </w:r>
      <w:proofErr w:type="spellEnd"/>
      <w:r w:rsidRPr="00B6347C">
        <w:rPr>
          <w:rFonts w:ascii="Arial" w:hAnsi="Arial" w:cs="Arial"/>
        </w:rPr>
        <w:t xml:space="preserve">. </w:t>
      </w:r>
      <w:r>
        <w:rPr>
          <w:rFonts w:ascii="Arial" w:hAnsi="Arial" w:cs="Arial"/>
        </w:rPr>
        <w:t xml:space="preserve">(2013). </w:t>
      </w:r>
      <w:r w:rsidRPr="00B6347C">
        <w:rPr>
          <w:rFonts w:ascii="Arial" w:hAnsi="Arial" w:cs="Arial"/>
        </w:rPr>
        <w:t>Prevalence of glaucoma in an eye clinic in Ghana. Russian Open Medical Journal</w:t>
      </w:r>
      <w:r>
        <w:rPr>
          <w:rFonts w:ascii="Arial" w:hAnsi="Arial" w:cs="Arial"/>
        </w:rPr>
        <w:t>,</w:t>
      </w:r>
      <w:r w:rsidRPr="00B6347C">
        <w:rPr>
          <w:rFonts w:ascii="Arial" w:hAnsi="Arial" w:cs="Arial"/>
        </w:rPr>
        <w:t xml:space="preserve"> </w:t>
      </w:r>
      <w:r>
        <w:rPr>
          <w:rFonts w:ascii="Arial" w:hAnsi="Arial" w:cs="Arial"/>
        </w:rPr>
        <w:t>2:</w:t>
      </w:r>
      <w:r w:rsidRPr="00B6347C">
        <w:rPr>
          <w:rFonts w:ascii="Arial" w:hAnsi="Arial" w:cs="Arial"/>
        </w:rPr>
        <w:t>310.</w:t>
      </w:r>
    </w:p>
    <w:p w14:paraId="3A8AD906" w14:textId="77777777" w:rsidR="006E7596" w:rsidRDefault="006E7596" w:rsidP="006E7596">
      <w:pPr>
        <w:pStyle w:val="Body"/>
        <w:numPr>
          <w:ilvl w:val="0"/>
          <w:numId w:val="31"/>
        </w:numPr>
        <w:spacing w:after="0"/>
      </w:pPr>
      <w:r>
        <w:t xml:space="preserve">Juliet </w:t>
      </w:r>
      <w:proofErr w:type="spellStart"/>
      <w:r>
        <w:t>Otiti-Sengeri</w:t>
      </w:r>
      <w:proofErr w:type="spellEnd"/>
      <w:r>
        <w:t xml:space="preserve">, Blair Andrew </w:t>
      </w:r>
      <w:proofErr w:type="spellStart"/>
      <w:r>
        <w:t>Omaido</w:t>
      </w:r>
      <w:proofErr w:type="spellEnd"/>
      <w:r>
        <w:t xml:space="preserve">, Dan Bhwana, Damalie Nakanjako, Malik Missiru, Musa Muwonge et al. (2022). </w:t>
      </w:r>
      <w:r w:rsidRPr="006E7596">
        <w:t>High Prevalence of Glaucoma among Patients in an Onchocerciasis Endemic Area (</w:t>
      </w:r>
      <w:proofErr w:type="spellStart"/>
      <w:r w:rsidRPr="006E7596">
        <w:t>Mahenge</w:t>
      </w:r>
      <w:proofErr w:type="spellEnd"/>
      <w:r w:rsidRPr="006E7596">
        <w:t>, Tanzania)</w:t>
      </w:r>
      <w:r>
        <w:t>. Pathogens,</w:t>
      </w:r>
      <w:r w:rsidRPr="006E7596">
        <w:t xml:space="preserve"> 11(9):1046</w:t>
      </w:r>
      <w:r>
        <w:t>.</w:t>
      </w:r>
    </w:p>
    <w:p w14:paraId="7BB4879A" w14:textId="77777777" w:rsidR="0032641F" w:rsidRPr="0032641F" w:rsidRDefault="0032641F" w:rsidP="006E7596">
      <w:pPr>
        <w:pStyle w:val="Body"/>
        <w:numPr>
          <w:ilvl w:val="0"/>
          <w:numId w:val="31"/>
        </w:numPr>
        <w:spacing w:after="0"/>
      </w:pPr>
      <w:r>
        <w:t xml:space="preserve">Omar, F. J., Sheeladevi, S., Rani, P. K., Ning, G., &amp; </w:t>
      </w:r>
      <w:proofErr w:type="spellStart"/>
      <w:r>
        <w:t>Kabona</w:t>
      </w:r>
      <w:proofErr w:type="spellEnd"/>
      <w:r>
        <w:t>, G. (2014). Evaluating the effectiveness of opportunistic eye screening model for people with Diabetes attending Diabetes clinic at Mnazi Mmoja hospital, Zanzibar</w:t>
      </w:r>
      <w:r w:rsidRPr="0032641F">
        <w:t xml:space="preserve">. </w:t>
      </w:r>
      <w:r w:rsidRPr="0032641F">
        <w:rPr>
          <w:iCs/>
        </w:rPr>
        <w:t>BMC Ophthalmology</w:t>
      </w:r>
      <w:r w:rsidRPr="0032641F">
        <w:t xml:space="preserve">, </w:t>
      </w:r>
      <w:r w:rsidRPr="0032641F">
        <w:rPr>
          <w:iCs/>
        </w:rPr>
        <w:t>14</w:t>
      </w:r>
      <w:r>
        <w:t>:81.</w:t>
      </w:r>
    </w:p>
    <w:sectPr w:rsidR="0032641F" w:rsidRPr="0032641F" w:rsidSect="00703FA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19586" w14:textId="77777777" w:rsidR="00465D6D" w:rsidRDefault="00465D6D" w:rsidP="00C37E61">
      <w:r>
        <w:separator/>
      </w:r>
    </w:p>
  </w:endnote>
  <w:endnote w:type="continuationSeparator" w:id="0">
    <w:p w14:paraId="45222676" w14:textId="77777777" w:rsidR="00465D6D" w:rsidRDefault="00465D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EDAF" w14:textId="77777777" w:rsidR="00703FA5" w:rsidRDefault="00703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EB9C" w14:textId="77777777" w:rsidR="00703FA5" w:rsidRDefault="00703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3706" w14:textId="1C78054D" w:rsidR="00754C9A" w:rsidRPr="00703FA5" w:rsidRDefault="00754C9A" w:rsidP="00703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FEE73" w14:textId="77777777" w:rsidR="00465D6D" w:rsidRDefault="00465D6D" w:rsidP="00C37E61">
      <w:r>
        <w:separator/>
      </w:r>
    </w:p>
  </w:footnote>
  <w:footnote w:type="continuationSeparator" w:id="0">
    <w:p w14:paraId="552B49C4" w14:textId="77777777" w:rsidR="00465D6D" w:rsidRDefault="00465D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3C9A" w14:textId="02594461" w:rsidR="00703FA5" w:rsidRDefault="00703FA5">
    <w:pPr>
      <w:pStyle w:val="Header"/>
    </w:pPr>
    <w:r>
      <w:rPr>
        <w:noProof/>
      </w:rPr>
      <w:pict w14:anchorId="24F26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723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D6C8" w14:textId="03883C25" w:rsidR="00703FA5" w:rsidRDefault="00703FA5">
    <w:pPr>
      <w:pStyle w:val="Header"/>
    </w:pPr>
    <w:r>
      <w:rPr>
        <w:noProof/>
      </w:rPr>
      <w:pict w14:anchorId="0A308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723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441F" w14:textId="17664DDB" w:rsidR="00296529" w:rsidRPr="00296529" w:rsidRDefault="00703FA5" w:rsidP="00296529">
    <w:pPr>
      <w:ind w:left="2160"/>
      <w:jc w:val="center"/>
      <w:rPr>
        <w:rFonts w:ascii="Times New Roman" w:eastAsia="Calibri" w:hAnsi="Times New Roman"/>
        <w:i/>
        <w:sz w:val="18"/>
        <w:szCs w:val="22"/>
      </w:rPr>
    </w:pPr>
    <w:r>
      <w:rPr>
        <w:noProof/>
      </w:rPr>
      <w:pict w14:anchorId="39C36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723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50943D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7B414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841BE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2F685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C2184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2A841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F810E9"/>
    <w:multiLevelType w:val="hybridMultilevel"/>
    <w:tmpl w:val="E14CB0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5CF6"/>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641F"/>
    <w:rsid w:val="0033343E"/>
    <w:rsid w:val="003512C2"/>
    <w:rsid w:val="00371FB6"/>
    <w:rsid w:val="003763C1"/>
    <w:rsid w:val="00376BBE"/>
    <w:rsid w:val="0039224F"/>
    <w:rsid w:val="003A43A4"/>
    <w:rsid w:val="003A7E18"/>
    <w:rsid w:val="003C4C86"/>
    <w:rsid w:val="003C6258"/>
    <w:rsid w:val="003D36EB"/>
    <w:rsid w:val="003D552B"/>
    <w:rsid w:val="003E2904"/>
    <w:rsid w:val="00401927"/>
    <w:rsid w:val="0041027F"/>
    <w:rsid w:val="00412475"/>
    <w:rsid w:val="00423789"/>
    <w:rsid w:val="00440F43"/>
    <w:rsid w:val="00441B6F"/>
    <w:rsid w:val="00446221"/>
    <w:rsid w:val="00450E62"/>
    <w:rsid w:val="004539DB"/>
    <w:rsid w:val="00465D6D"/>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58DD"/>
    <w:rsid w:val="00686953"/>
    <w:rsid w:val="00687DEA"/>
    <w:rsid w:val="00687E67"/>
    <w:rsid w:val="006967F7"/>
    <w:rsid w:val="006A250C"/>
    <w:rsid w:val="006B21D3"/>
    <w:rsid w:val="006B57D0"/>
    <w:rsid w:val="006C0638"/>
    <w:rsid w:val="006D30FF"/>
    <w:rsid w:val="006D6940"/>
    <w:rsid w:val="006E7596"/>
    <w:rsid w:val="006F11EC"/>
    <w:rsid w:val="0070082C"/>
    <w:rsid w:val="00703FA5"/>
    <w:rsid w:val="007369E6"/>
    <w:rsid w:val="00746E59"/>
    <w:rsid w:val="00754C9A"/>
    <w:rsid w:val="0075599A"/>
    <w:rsid w:val="00761D52"/>
    <w:rsid w:val="0077749E"/>
    <w:rsid w:val="00790ADA"/>
    <w:rsid w:val="007D2288"/>
    <w:rsid w:val="007D4026"/>
    <w:rsid w:val="007E088F"/>
    <w:rsid w:val="007F7B32"/>
    <w:rsid w:val="00804BC2"/>
    <w:rsid w:val="0081431A"/>
    <w:rsid w:val="0083216F"/>
    <w:rsid w:val="00855499"/>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934"/>
    <w:rsid w:val="00A51431"/>
    <w:rsid w:val="00A539AD"/>
    <w:rsid w:val="00A94063"/>
    <w:rsid w:val="00A96BD0"/>
    <w:rsid w:val="00AA6219"/>
    <w:rsid w:val="00AA74E0"/>
    <w:rsid w:val="00AB703F"/>
    <w:rsid w:val="00AC6BB8"/>
    <w:rsid w:val="00AE008F"/>
    <w:rsid w:val="00B01FCD"/>
    <w:rsid w:val="00B1776C"/>
    <w:rsid w:val="00B31E97"/>
    <w:rsid w:val="00B52583"/>
    <w:rsid w:val="00B52896"/>
    <w:rsid w:val="00B6347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7D54"/>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33C"/>
    <w:rsid w:val="00E31A70"/>
    <w:rsid w:val="00E35B02"/>
    <w:rsid w:val="00E66496"/>
    <w:rsid w:val="00E66B35"/>
    <w:rsid w:val="00E66E10"/>
    <w:rsid w:val="00E769F6"/>
    <w:rsid w:val="00E8407C"/>
    <w:rsid w:val="00E84F3C"/>
    <w:rsid w:val="00EA012C"/>
    <w:rsid w:val="00EA08CB"/>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6F9FA88"/>
  <w15:docId w15:val="{36EF2C7E-569E-4B54-975E-EBE8AAE4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634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634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B634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6347C"/>
    <w:rPr>
      <w:rFonts w:asciiTheme="majorHAnsi" w:eastAsiaTheme="majorEastAsia" w:hAnsiTheme="majorHAnsi" w:cstheme="majorBidi"/>
      <w:b/>
      <w:bCs/>
      <w:color w:val="4F81BD" w:themeColor="accent1"/>
    </w:rPr>
  </w:style>
  <w:style w:type="paragraph" w:styleId="NoSpacing">
    <w:name w:val="No Spacing"/>
    <w:uiPriority w:val="1"/>
    <w:qFormat/>
    <w:rsid w:val="007D402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12318050">
      <w:bodyDiv w:val="1"/>
      <w:marLeft w:val="0"/>
      <w:marRight w:val="0"/>
      <w:marTop w:val="0"/>
      <w:marBottom w:val="0"/>
      <w:divBdr>
        <w:top w:val="none" w:sz="0" w:space="0" w:color="auto"/>
        <w:left w:val="none" w:sz="0" w:space="0" w:color="auto"/>
        <w:bottom w:val="none" w:sz="0" w:space="0" w:color="auto"/>
        <w:right w:val="none" w:sz="0" w:space="0" w:color="auto"/>
      </w:divBdr>
      <w:divsChild>
        <w:div w:id="1979532570">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47584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BFB46-4730-4658-BC4E-40A56C18F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6</Pages>
  <Words>2335</Words>
  <Characters>13312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15616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2026-01-20T10:00:00Z</dcterms:modified>
</cp:coreProperties>
</file>