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4EEA9" w14:textId="77777777" w:rsidR="00080256" w:rsidRDefault="00080256" w:rsidP="00CF22A7">
      <w:pPr>
        <w:pStyle w:val="Author"/>
        <w:spacing w:line="240" w:lineRule="auto"/>
        <w:rPr>
          <w:rFonts w:ascii="Arial" w:hAnsi="Arial" w:cs="Arial"/>
          <w:i/>
          <w:sz w:val="22"/>
          <w:szCs w:val="22"/>
          <w:u w:val="single"/>
        </w:rPr>
      </w:pPr>
      <w:r w:rsidRPr="00080256">
        <w:rPr>
          <w:rFonts w:ascii="Arial" w:hAnsi="Arial" w:cs="Arial"/>
          <w:i/>
          <w:sz w:val="22"/>
          <w:szCs w:val="22"/>
          <w:u w:val="single"/>
        </w:rPr>
        <w:t xml:space="preserve">Original Research Article </w:t>
      </w:r>
    </w:p>
    <w:p w14:paraId="0D7C73E6" w14:textId="3C5E1B95" w:rsidR="00CF22A7" w:rsidRPr="007F0D2F" w:rsidRDefault="00CF22A7" w:rsidP="00CF22A7">
      <w:pPr>
        <w:pStyle w:val="Author"/>
        <w:spacing w:line="240" w:lineRule="auto"/>
        <w:rPr>
          <w:rFonts w:ascii="Arial" w:hAnsi="Arial" w:cs="Arial"/>
          <w:sz w:val="22"/>
          <w:szCs w:val="22"/>
        </w:rPr>
      </w:pPr>
      <w:r w:rsidRPr="007F0D2F">
        <w:rPr>
          <w:rFonts w:ascii="Arial" w:hAnsi="Arial" w:cs="Arial"/>
          <w:sz w:val="22"/>
          <w:szCs w:val="22"/>
        </w:rPr>
        <w:t>Visual function and history of road traffic accidents among commercial vehicle drivers in Gwagwalada, Abuja</w:t>
      </w:r>
    </w:p>
    <w:p w14:paraId="431A7005" w14:textId="77777777" w:rsidR="003A5530" w:rsidRPr="007F0D2F" w:rsidRDefault="003A5530" w:rsidP="00CF22A7">
      <w:pPr>
        <w:pStyle w:val="Author"/>
        <w:spacing w:line="240" w:lineRule="auto"/>
        <w:rPr>
          <w:rFonts w:ascii="Arial" w:hAnsi="Arial" w:cs="Arial"/>
          <w:i/>
          <w:sz w:val="22"/>
          <w:szCs w:val="22"/>
          <w:u w:val="single"/>
        </w:rPr>
      </w:pPr>
    </w:p>
    <w:p w14:paraId="3572D3C6" w14:textId="035413D7" w:rsidR="00080256" w:rsidRDefault="00080256" w:rsidP="00080256">
      <w:pPr>
        <w:pStyle w:val="Copyright"/>
        <w:spacing w:after="0" w:line="240" w:lineRule="auto"/>
        <w:jc w:val="right"/>
        <w:rPr>
          <w:rFonts w:ascii="Arial" w:hAnsi="Arial" w:cs="Arial"/>
          <w:sz w:val="22"/>
          <w:szCs w:val="22"/>
        </w:rPr>
      </w:pPr>
    </w:p>
    <w:p w14:paraId="4B89CF82" w14:textId="77777777" w:rsidR="00AC39E3" w:rsidRDefault="00AC39E3" w:rsidP="00080256">
      <w:pPr>
        <w:pStyle w:val="Copyright"/>
        <w:spacing w:after="0" w:line="240" w:lineRule="auto"/>
        <w:jc w:val="right"/>
        <w:rPr>
          <w:rFonts w:ascii="Arial" w:hAnsi="Arial" w:cs="Arial"/>
          <w:sz w:val="22"/>
          <w:szCs w:val="22"/>
        </w:rPr>
      </w:pPr>
    </w:p>
    <w:p w14:paraId="075C74D6" w14:textId="77777777" w:rsidR="00080256" w:rsidRDefault="00080256" w:rsidP="00CF22A7">
      <w:pPr>
        <w:pStyle w:val="Copyright"/>
        <w:spacing w:after="0" w:line="240" w:lineRule="auto"/>
        <w:jc w:val="both"/>
        <w:rPr>
          <w:rFonts w:ascii="Arial" w:hAnsi="Arial" w:cs="Arial"/>
          <w:sz w:val="22"/>
          <w:szCs w:val="22"/>
        </w:rPr>
      </w:pPr>
    </w:p>
    <w:p w14:paraId="2B3F48DF" w14:textId="77777777" w:rsidR="00080256" w:rsidRDefault="00080256" w:rsidP="00CF22A7">
      <w:pPr>
        <w:pStyle w:val="Copyright"/>
        <w:spacing w:after="0" w:line="240" w:lineRule="auto"/>
        <w:jc w:val="both"/>
        <w:rPr>
          <w:rFonts w:ascii="Arial" w:hAnsi="Arial" w:cs="Arial"/>
          <w:sz w:val="22"/>
          <w:szCs w:val="22"/>
        </w:rPr>
      </w:pPr>
    </w:p>
    <w:p w14:paraId="655D063A" w14:textId="0316461F" w:rsidR="00080256" w:rsidRPr="007F0D2F" w:rsidRDefault="00080256" w:rsidP="00CF22A7">
      <w:pPr>
        <w:pStyle w:val="Copyright"/>
        <w:spacing w:after="0" w:line="240" w:lineRule="auto"/>
        <w:jc w:val="both"/>
        <w:rPr>
          <w:rFonts w:ascii="Arial" w:hAnsi="Arial" w:cs="Arial"/>
          <w:sz w:val="22"/>
          <w:szCs w:val="22"/>
        </w:rPr>
        <w:sectPr w:rsidR="00080256" w:rsidRPr="007F0D2F" w:rsidSect="00CF22A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3CC4C2A7" w14:textId="77777777" w:rsidR="00CF22A7" w:rsidRPr="007F0D2F" w:rsidRDefault="00CF22A7" w:rsidP="00CF22A7">
      <w:pPr>
        <w:pStyle w:val="AbstHead"/>
        <w:spacing w:after="0"/>
        <w:jc w:val="both"/>
        <w:rPr>
          <w:rFonts w:ascii="Arial" w:hAnsi="Arial" w:cs="Arial"/>
          <w:szCs w:val="22"/>
        </w:rPr>
      </w:pPr>
      <w:r w:rsidRPr="007F0D2F">
        <w:rPr>
          <w:rFonts w:ascii="Arial" w:hAnsi="Arial" w:cs="Arial"/>
          <w:szCs w:val="22"/>
        </w:rPr>
        <w:t xml:space="preserve">ABSTRACT </w:t>
      </w:r>
    </w:p>
    <w:p w14:paraId="636C4381" w14:textId="77777777" w:rsidR="00CF22A7" w:rsidRPr="007F0D2F" w:rsidRDefault="00CF22A7" w:rsidP="00CF22A7">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F22A7" w:rsidRPr="007F0D2F" w14:paraId="5F57CC52" w14:textId="77777777" w:rsidTr="00FD7082">
        <w:tc>
          <w:tcPr>
            <w:tcW w:w="9576" w:type="dxa"/>
            <w:shd w:val="clear" w:color="auto" w:fill="F2F2F2"/>
          </w:tcPr>
          <w:p w14:paraId="3CE48509" w14:textId="77777777" w:rsidR="00CF22A7" w:rsidRPr="007F0D2F" w:rsidRDefault="00CF22A7" w:rsidP="00CF22A7">
            <w:pPr>
              <w:pStyle w:val="Body"/>
              <w:spacing w:after="0"/>
              <w:rPr>
                <w:rFonts w:ascii="Arial" w:eastAsia="Calibri" w:hAnsi="Arial" w:cs="Arial"/>
                <w:sz w:val="22"/>
                <w:szCs w:val="22"/>
              </w:rPr>
            </w:pPr>
            <w:r w:rsidRPr="007F0D2F">
              <w:rPr>
                <w:rFonts w:ascii="Arial" w:eastAsia="Calibri" w:hAnsi="Arial" w:cs="Arial"/>
                <w:sz w:val="22"/>
                <w:szCs w:val="22"/>
              </w:rPr>
              <w:t>ABSTRACT:</w:t>
            </w:r>
          </w:p>
          <w:p w14:paraId="2273F84D" w14:textId="12413823" w:rsidR="00CF22A7" w:rsidRPr="007F0D2F" w:rsidRDefault="00CF22A7" w:rsidP="00CF22A7">
            <w:pPr>
              <w:pStyle w:val="Body"/>
              <w:spacing w:after="0"/>
              <w:rPr>
                <w:rFonts w:ascii="Arial" w:hAnsi="Arial" w:cs="Arial"/>
                <w:sz w:val="22"/>
                <w:szCs w:val="22"/>
              </w:rPr>
            </w:pPr>
            <w:proofErr w:type="gramStart"/>
            <w:r w:rsidRPr="007F0D2F">
              <w:rPr>
                <w:rFonts w:ascii="Arial" w:hAnsi="Arial" w:cs="Arial"/>
                <w:b/>
                <w:sz w:val="22"/>
                <w:szCs w:val="22"/>
              </w:rPr>
              <w:t>Aim:</w:t>
            </w:r>
            <w:r w:rsidRPr="007F0D2F">
              <w:rPr>
                <w:rFonts w:ascii="Arial" w:hAnsi="Arial" w:cs="Arial"/>
                <w:sz w:val="22"/>
                <w:szCs w:val="22"/>
              </w:rPr>
              <w:t>.</w:t>
            </w:r>
            <w:proofErr w:type="gramEnd"/>
            <w:r w:rsidRPr="007F0D2F">
              <w:rPr>
                <w:rFonts w:ascii="Arial" w:hAnsi="Arial" w:cs="Arial"/>
                <w:sz w:val="22"/>
                <w:szCs w:val="22"/>
                <w:shd w:val="clear" w:color="auto" w:fill="FFFFFF"/>
              </w:rPr>
              <w:t xml:space="preserve"> The aim of the study was to </w:t>
            </w:r>
            <w:r w:rsidRPr="007F0D2F">
              <w:rPr>
                <w:rFonts w:ascii="Arial" w:hAnsi="Arial" w:cs="Arial"/>
                <w:sz w:val="22"/>
                <w:szCs w:val="22"/>
              </w:rPr>
              <w:t>assess the pattern of visual function (</w:t>
            </w:r>
            <w:r w:rsidRPr="007F0D2F">
              <w:rPr>
                <w:rFonts w:ascii="Arial" w:hAnsi="Arial" w:cs="Arial"/>
                <w:sz w:val="22"/>
                <w:szCs w:val="22"/>
                <w:shd w:val="clear" w:color="auto" w:fill="FFFFFF"/>
              </w:rPr>
              <w:t xml:space="preserve">visual acuity, contrast sensitivity, </w:t>
            </w:r>
            <w:proofErr w:type="spellStart"/>
            <w:r w:rsidRPr="007F0D2F">
              <w:rPr>
                <w:rFonts w:ascii="Arial" w:hAnsi="Arial" w:cs="Arial"/>
                <w:sz w:val="22"/>
                <w:szCs w:val="22"/>
                <w:shd w:val="clear" w:color="auto" w:fill="FFFFFF"/>
              </w:rPr>
              <w:t>colour</w:t>
            </w:r>
            <w:proofErr w:type="spellEnd"/>
            <w:r w:rsidRPr="007F0D2F">
              <w:rPr>
                <w:rFonts w:ascii="Arial" w:hAnsi="Arial" w:cs="Arial"/>
                <w:sz w:val="22"/>
                <w:szCs w:val="22"/>
                <w:shd w:val="clear" w:color="auto" w:fill="FFFFFF"/>
              </w:rPr>
              <w:t xml:space="preserve"> vision, stereoacuity and visual field</w:t>
            </w:r>
            <w:r w:rsidRPr="007F0D2F">
              <w:rPr>
                <w:rFonts w:ascii="Arial" w:hAnsi="Arial" w:cs="Arial"/>
                <w:sz w:val="22"/>
                <w:szCs w:val="22"/>
              </w:rPr>
              <w:t>) and its association with history of RTA among CVDs in Gwagwalada, FCT-Abuja.</w:t>
            </w:r>
          </w:p>
          <w:p w14:paraId="3454FBF4" w14:textId="5D06B780" w:rsidR="00CF22A7" w:rsidRPr="007F0D2F" w:rsidRDefault="00CF22A7" w:rsidP="00CF22A7">
            <w:pPr>
              <w:pStyle w:val="Body"/>
              <w:spacing w:after="0"/>
              <w:rPr>
                <w:rFonts w:ascii="Arial" w:hAnsi="Arial" w:cs="Arial"/>
                <w:sz w:val="22"/>
                <w:szCs w:val="22"/>
              </w:rPr>
            </w:pPr>
            <w:r w:rsidRPr="007F0D2F">
              <w:rPr>
                <w:rFonts w:ascii="Arial" w:hAnsi="Arial" w:cs="Arial"/>
                <w:b/>
                <w:bCs/>
                <w:sz w:val="22"/>
                <w:szCs w:val="22"/>
              </w:rPr>
              <w:t xml:space="preserve">Study </w:t>
            </w:r>
            <w:proofErr w:type="gramStart"/>
            <w:r w:rsidRPr="007F0D2F">
              <w:rPr>
                <w:rFonts w:ascii="Arial" w:hAnsi="Arial" w:cs="Arial"/>
                <w:b/>
                <w:bCs/>
                <w:sz w:val="22"/>
                <w:szCs w:val="22"/>
              </w:rPr>
              <w:t>Design</w:t>
            </w:r>
            <w:r w:rsidRPr="007F0D2F">
              <w:rPr>
                <w:rFonts w:ascii="Arial" w:hAnsi="Arial" w:cs="Arial"/>
                <w:sz w:val="22"/>
                <w:szCs w:val="22"/>
              </w:rPr>
              <w:t xml:space="preserve"> :</w:t>
            </w:r>
            <w:proofErr w:type="gramEnd"/>
            <w:r w:rsidRPr="007F0D2F">
              <w:rPr>
                <w:rFonts w:ascii="Arial" w:hAnsi="Arial" w:cs="Arial"/>
                <w:sz w:val="22"/>
                <w:szCs w:val="22"/>
              </w:rPr>
              <w:t xml:space="preserve"> Community base cross sectional study design</w:t>
            </w:r>
          </w:p>
          <w:p w14:paraId="3F30B392" w14:textId="6FADB1EB" w:rsidR="00CF22A7" w:rsidRPr="007F0D2F" w:rsidRDefault="00CF22A7" w:rsidP="00CF22A7">
            <w:pPr>
              <w:pStyle w:val="Body"/>
              <w:spacing w:after="0"/>
              <w:rPr>
                <w:rFonts w:ascii="Arial" w:eastAsia="Calibri" w:hAnsi="Arial" w:cs="Arial"/>
                <w:b/>
                <w:bCs/>
                <w:sz w:val="22"/>
                <w:szCs w:val="22"/>
              </w:rPr>
            </w:pPr>
            <w:r w:rsidRPr="007F0D2F">
              <w:rPr>
                <w:rFonts w:ascii="Arial" w:hAnsi="Arial" w:cs="Arial"/>
                <w:b/>
                <w:bCs/>
                <w:sz w:val="22"/>
                <w:szCs w:val="22"/>
              </w:rPr>
              <w:t>Place and duration of study:</w:t>
            </w:r>
            <w:r w:rsidR="006305A5" w:rsidRPr="007F0D2F">
              <w:rPr>
                <w:rFonts w:ascii="Arial" w:hAnsi="Arial" w:cs="Arial"/>
                <w:sz w:val="22"/>
                <w:szCs w:val="22"/>
              </w:rPr>
              <w:t xml:space="preserve"> Four major motor parks within Gwagwalada, Abuja</w:t>
            </w:r>
            <w:r w:rsidR="003C2BAE">
              <w:rPr>
                <w:rFonts w:ascii="Arial" w:hAnsi="Arial" w:cs="Arial"/>
                <w:sz w:val="22"/>
                <w:szCs w:val="22"/>
              </w:rPr>
              <w:t>,</w:t>
            </w:r>
            <w:r w:rsidR="00C809F4">
              <w:rPr>
                <w:rFonts w:ascii="Arial" w:hAnsi="Arial" w:cs="Arial"/>
                <w:sz w:val="22"/>
                <w:szCs w:val="22"/>
              </w:rPr>
              <w:t xml:space="preserve"> </w:t>
            </w:r>
            <w:r w:rsidR="003C2BAE">
              <w:rPr>
                <w:rFonts w:ascii="Arial" w:hAnsi="Arial" w:cs="Arial"/>
                <w:sz w:val="22"/>
                <w:szCs w:val="22"/>
              </w:rPr>
              <w:t>Niger</w:t>
            </w:r>
            <w:r w:rsidR="00C809F4">
              <w:rPr>
                <w:rFonts w:ascii="Arial" w:hAnsi="Arial" w:cs="Arial"/>
                <w:sz w:val="22"/>
                <w:szCs w:val="22"/>
              </w:rPr>
              <w:t>ia</w:t>
            </w:r>
            <w:r w:rsidR="003C2BAE">
              <w:rPr>
                <w:rFonts w:ascii="Arial" w:hAnsi="Arial" w:cs="Arial"/>
                <w:sz w:val="22"/>
                <w:szCs w:val="22"/>
              </w:rPr>
              <w:t xml:space="preserve"> </w:t>
            </w:r>
            <w:r w:rsidR="006305A5" w:rsidRPr="007F0D2F">
              <w:rPr>
                <w:rFonts w:ascii="Arial" w:hAnsi="Arial" w:cs="Arial"/>
                <w:sz w:val="22"/>
                <w:szCs w:val="22"/>
              </w:rPr>
              <w:t>and last</w:t>
            </w:r>
            <w:r w:rsidR="00C809F4">
              <w:rPr>
                <w:rFonts w:ascii="Arial" w:hAnsi="Arial" w:cs="Arial"/>
                <w:sz w:val="22"/>
                <w:szCs w:val="22"/>
              </w:rPr>
              <w:t>ed</w:t>
            </w:r>
            <w:r w:rsidR="006305A5" w:rsidRPr="007F0D2F">
              <w:rPr>
                <w:rFonts w:ascii="Arial" w:hAnsi="Arial" w:cs="Arial"/>
                <w:sz w:val="22"/>
                <w:szCs w:val="22"/>
              </w:rPr>
              <w:t xml:space="preserve"> for 4 months.</w:t>
            </w:r>
          </w:p>
          <w:p w14:paraId="5609760B" w14:textId="161C478C" w:rsidR="00CF22A7" w:rsidRPr="007F0D2F" w:rsidRDefault="00CF22A7" w:rsidP="00CF22A7">
            <w:pPr>
              <w:spacing w:line="480" w:lineRule="auto"/>
              <w:jc w:val="both"/>
              <w:rPr>
                <w:rFonts w:ascii="Arial" w:hAnsi="Arial" w:cs="Arial"/>
                <w:sz w:val="22"/>
                <w:szCs w:val="22"/>
              </w:rPr>
            </w:pPr>
            <w:r w:rsidRPr="007F0D2F">
              <w:rPr>
                <w:rFonts w:ascii="Arial" w:hAnsi="Arial" w:cs="Arial"/>
                <w:b/>
                <w:sz w:val="22"/>
                <w:szCs w:val="22"/>
              </w:rPr>
              <w:t>MATERIALS AND METHODS:</w:t>
            </w:r>
            <w:r w:rsidRPr="007F0D2F">
              <w:rPr>
                <w:rFonts w:ascii="Arial" w:hAnsi="Arial" w:cs="Arial"/>
                <w:sz w:val="22"/>
                <w:szCs w:val="22"/>
              </w:rPr>
              <w:t xml:space="preserve"> C</w:t>
            </w:r>
            <w:r w:rsidR="00A4344E" w:rsidRPr="007F0D2F">
              <w:rPr>
                <w:rFonts w:ascii="Arial" w:hAnsi="Arial" w:cs="Arial"/>
                <w:sz w:val="22"/>
                <w:szCs w:val="22"/>
              </w:rPr>
              <w:t xml:space="preserve">ommercial </w:t>
            </w:r>
            <w:r w:rsidRPr="007F0D2F">
              <w:rPr>
                <w:rFonts w:ascii="Arial" w:hAnsi="Arial" w:cs="Arial"/>
                <w:sz w:val="22"/>
                <w:szCs w:val="22"/>
              </w:rPr>
              <w:t>V</w:t>
            </w:r>
            <w:r w:rsidR="00A4344E" w:rsidRPr="007F0D2F">
              <w:rPr>
                <w:rFonts w:ascii="Arial" w:hAnsi="Arial" w:cs="Arial"/>
                <w:sz w:val="22"/>
                <w:szCs w:val="22"/>
              </w:rPr>
              <w:t xml:space="preserve">ehicle </w:t>
            </w:r>
            <w:proofErr w:type="gramStart"/>
            <w:r w:rsidRPr="007F0D2F">
              <w:rPr>
                <w:rFonts w:ascii="Arial" w:hAnsi="Arial" w:cs="Arial"/>
                <w:sz w:val="22"/>
                <w:szCs w:val="22"/>
              </w:rPr>
              <w:t>D</w:t>
            </w:r>
            <w:r w:rsidR="00A4344E" w:rsidRPr="007F0D2F">
              <w:rPr>
                <w:rFonts w:ascii="Arial" w:hAnsi="Arial" w:cs="Arial"/>
                <w:sz w:val="22"/>
                <w:szCs w:val="22"/>
              </w:rPr>
              <w:t>rivers(</w:t>
            </w:r>
            <w:proofErr w:type="gramEnd"/>
            <w:r w:rsidR="00A4344E" w:rsidRPr="007F0D2F">
              <w:rPr>
                <w:rFonts w:ascii="Arial" w:hAnsi="Arial" w:cs="Arial"/>
                <w:sz w:val="22"/>
                <w:szCs w:val="22"/>
              </w:rPr>
              <w:t>CVDs)</w:t>
            </w:r>
            <w:r w:rsidRPr="007F0D2F">
              <w:rPr>
                <w:rFonts w:ascii="Arial" w:hAnsi="Arial" w:cs="Arial"/>
                <w:sz w:val="22"/>
                <w:szCs w:val="22"/>
              </w:rPr>
              <w:t xml:space="preserve"> with minimum of one-year driving experience, who were aged 18 years and above and consented to participate in the study</w:t>
            </w:r>
            <w:r w:rsidR="00D73516" w:rsidRPr="007F0D2F">
              <w:rPr>
                <w:rFonts w:ascii="Arial" w:hAnsi="Arial" w:cs="Arial"/>
                <w:sz w:val="22"/>
                <w:szCs w:val="22"/>
              </w:rPr>
              <w:t xml:space="preserve"> </w:t>
            </w:r>
            <w:r w:rsidRPr="007F0D2F">
              <w:rPr>
                <w:rFonts w:ascii="Arial" w:hAnsi="Arial" w:cs="Arial"/>
                <w:sz w:val="22"/>
                <w:szCs w:val="22"/>
              </w:rPr>
              <w:t>were recruited</w:t>
            </w:r>
            <w:r w:rsidR="00DF09BE">
              <w:rPr>
                <w:rFonts w:ascii="Arial" w:hAnsi="Arial" w:cs="Arial"/>
                <w:sz w:val="22"/>
                <w:szCs w:val="22"/>
              </w:rPr>
              <w:t xml:space="preserve">. </w:t>
            </w:r>
            <w:r w:rsidRPr="007F0D2F">
              <w:rPr>
                <w:rFonts w:ascii="Arial" w:hAnsi="Arial" w:cs="Arial"/>
                <w:sz w:val="22"/>
                <w:szCs w:val="22"/>
              </w:rPr>
              <w:t xml:space="preserve">An interviewer administered questionnaire was used to obtain information on RTA count and years of driving from which RTA rate (crashes per person years of driving) was determined. Visual acuity status was assessed based on WHO and FRSC definitions using a smartphone Peek Acuity application. Contrast sensitivity and </w:t>
            </w:r>
            <w:proofErr w:type="spellStart"/>
            <w:r w:rsidRPr="007F0D2F">
              <w:rPr>
                <w:rFonts w:ascii="Arial" w:hAnsi="Arial" w:cs="Arial"/>
                <w:sz w:val="22"/>
                <w:szCs w:val="22"/>
              </w:rPr>
              <w:t>colour</w:t>
            </w:r>
            <w:proofErr w:type="spellEnd"/>
            <w:r w:rsidRPr="007F0D2F">
              <w:rPr>
                <w:rFonts w:ascii="Arial" w:hAnsi="Arial" w:cs="Arial"/>
                <w:sz w:val="22"/>
                <w:szCs w:val="22"/>
              </w:rPr>
              <w:t xml:space="preserve"> vision were assessed using </w:t>
            </w:r>
            <w:proofErr w:type="spellStart"/>
            <w:r w:rsidRPr="007F0D2F">
              <w:rPr>
                <w:rFonts w:ascii="Arial" w:hAnsi="Arial" w:cs="Arial"/>
                <w:sz w:val="22"/>
                <w:szCs w:val="22"/>
              </w:rPr>
              <w:t>Pelli</w:t>
            </w:r>
            <w:proofErr w:type="spellEnd"/>
            <w:r w:rsidRPr="007F0D2F">
              <w:rPr>
                <w:rFonts w:ascii="Arial" w:hAnsi="Arial" w:cs="Arial"/>
                <w:sz w:val="22"/>
                <w:szCs w:val="22"/>
              </w:rPr>
              <w:t xml:space="preserve">-Robson chart and Ishihara chart respectively while Stereoacuity and visual field were assessed using </w:t>
            </w:r>
            <w:proofErr w:type="spellStart"/>
            <w:r w:rsidRPr="007F0D2F">
              <w:rPr>
                <w:rFonts w:ascii="Arial" w:hAnsi="Arial" w:cs="Arial"/>
                <w:sz w:val="22"/>
                <w:szCs w:val="22"/>
              </w:rPr>
              <w:t>Titmus</w:t>
            </w:r>
            <w:proofErr w:type="spellEnd"/>
            <w:r w:rsidRPr="007F0D2F">
              <w:rPr>
                <w:rFonts w:ascii="Arial" w:hAnsi="Arial" w:cs="Arial"/>
                <w:sz w:val="22"/>
                <w:szCs w:val="22"/>
              </w:rPr>
              <w:t xml:space="preserve"> Stereo chart and Confrontation perimetry, respectively. Descriptive and inferential statistics, were carried out using the SPSS version 25. The level of statistical significance was set at p &lt; 0.05.</w:t>
            </w:r>
          </w:p>
          <w:p w14:paraId="44025631" w14:textId="77777777" w:rsidR="00CF22A7" w:rsidRPr="007F0D2F" w:rsidRDefault="00CF22A7" w:rsidP="00CF22A7">
            <w:pPr>
              <w:spacing w:line="480" w:lineRule="auto"/>
              <w:jc w:val="both"/>
              <w:rPr>
                <w:rFonts w:ascii="Arial" w:hAnsi="Arial" w:cs="Arial"/>
                <w:sz w:val="22"/>
                <w:szCs w:val="22"/>
              </w:rPr>
            </w:pPr>
            <w:r w:rsidRPr="007F0D2F">
              <w:rPr>
                <w:rFonts w:ascii="Arial" w:hAnsi="Arial" w:cs="Arial"/>
                <w:b/>
                <w:sz w:val="22"/>
                <w:szCs w:val="22"/>
              </w:rPr>
              <w:t xml:space="preserve">RESULT: </w:t>
            </w:r>
            <w:r w:rsidRPr="007F0D2F">
              <w:rPr>
                <w:rFonts w:ascii="Arial" w:hAnsi="Arial" w:cs="Arial"/>
                <w:sz w:val="22"/>
                <w:szCs w:val="22"/>
              </w:rPr>
              <w:t xml:space="preserve">A total of 188 CVDs, all males, were enrolled and </w:t>
            </w:r>
            <w:proofErr w:type="spellStart"/>
            <w:r w:rsidRPr="007F0D2F">
              <w:rPr>
                <w:rFonts w:ascii="Arial" w:hAnsi="Arial" w:cs="Arial"/>
                <w:sz w:val="22"/>
                <w:szCs w:val="22"/>
              </w:rPr>
              <w:t>analysed</w:t>
            </w:r>
            <w:proofErr w:type="spellEnd"/>
            <w:r w:rsidRPr="007F0D2F">
              <w:rPr>
                <w:rFonts w:ascii="Arial" w:hAnsi="Arial" w:cs="Arial"/>
                <w:sz w:val="22"/>
                <w:szCs w:val="22"/>
              </w:rPr>
              <w:t xml:space="preserve">. Their ages ranged from 25 to 68 years (mean age of 44.9±9.1 years), which were mostly (66%) 41 to 60 years age group. 57.4% of the drivers were involved in at-fault RTA, but only 34.5% of the drivers had RTA not more than once within 10 years of driving. Majority (58%) of CVDs had at least one form of visual function impairment. Visual impairment prevalence, based on WHO and FRSC definitions, were </w:t>
            </w:r>
            <w:r w:rsidRPr="007F0D2F">
              <w:rPr>
                <w:rFonts w:ascii="Arial" w:hAnsi="Arial" w:cs="Arial"/>
                <w:sz w:val="22"/>
                <w:szCs w:val="22"/>
              </w:rPr>
              <w:lastRenderedPageBreak/>
              <w:t xml:space="preserve">18.1% and 21.8%, respectively. Prevalence of 7.4%, 6.9%, 47.3% and 4.3% were observed for abnormal contrast sensitivity, abnormal </w:t>
            </w:r>
            <w:proofErr w:type="spellStart"/>
            <w:r w:rsidRPr="007F0D2F">
              <w:rPr>
                <w:rFonts w:ascii="Arial" w:hAnsi="Arial" w:cs="Arial"/>
                <w:sz w:val="22"/>
                <w:szCs w:val="22"/>
              </w:rPr>
              <w:t>colour</w:t>
            </w:r>
            <w:proofErr w:type="spellEnd"/>
            <w:r w:rsidRPr="007F0D2F">
              <w:rPr>
                <w:rFonts w:ascii="Arial" w:hAnsi="Arial" w:cs="Arial"/>
                <w:sz w:val="22"/>
                <w:szCs w:val="22"/>
              </w:rPr>
              <w:t xml:space="preserve"> vision, abnormal stereoacuity and abnormal visual field respectively. Abnormal visual acuity, based on FRSC definition,</w:t>
            </w:r>
            <w:r w:rsidRPr="007F0D2F">
              <w:rPr>
                <w:rFonts w:ascii="Arial" w:eastAsia="Calibri" w:hAnsi="Arial" w:cs="Arial"/>
                <w:sz w:val="22"/>
                <w:szCs w:val="22"/>
              </w:rPr>
              <w:t xml:space="preserve"> showed 12.5 times higher likelihood of RTA per year of driving (CI: </w:t>
            </w:r>
            <w:r w:rsidRPr="007F0D2F">
              <w:rPr>
                <w:rFonts w:ascii="Arial" w:hAnsi="Arial" w:cs="Arial"/>
                <w:sz w:val="22"/>
                <w:szCs w:val="22"/>
                <w:lang w:eastAsia="en-GB"/>
              </w:rPr>
              <w:t>1.1 - 147.5, p=0.045</w:t>
            </w:r>
            <w:r w:rsidRPr="007F0D2F">
              <w:rPr>
                <w:rFonts w:ascii="Arial" w:eastAsia="Calibri" w:hAnsi="Arial" w:cs="Arial"/>
                <w:sz w:val="22"/>
                <w:szCs w:val="22"/>
              </w:rPr>
              <w:t>)</w:t>
            </w:r>
            <w:r w:rsidRPr="007F0D2F">
              <w:rPr>
                <w:rFonts w:ascii="Arial" w:hAnsi="Arial" w:cs="Arial"/>
                <w:sz w:val="22"/>
                <w:szCs w:val="22"/>
              </w:rPr>
              <w:t xml:space="preserve"> while a</w:t>
            </w:r>
            <w:r w:rsidRPr="007F0D2F">
              <w:rPr>
                <w:rFonts w:ascii="Arial" w:eastAsia="Calibri" w:hAnsi="Arial" w:cs="Arial"/>
                <w:sz w:val="22"/>
                <w:szCs w:val="22"/>
              </w:rPr>
              <w:t xml:space="preserve">bnormal stereoacuity revealed 2.4 times higher likelihood of RTA per year of driving (CI: </w:t>
            </w:r>
            <w:r w:rsidRPr="007F0D2F">
              <w:rPr>
                <w:rFonts w:ascii="Arial" w:hAnsi="Arial" w:cs="Arial"/>
                <w:sz w:val="22"/>
                <w:szCs w:val="22"/>
                <w:lang w:eastAsia="en-GB"/>
              </w:rPr>
              <w:t>1.2 - 4.8, p=0.016</w:t>
            </w:r>
            <w:r w:rsidRPr="007F0D2F">
              <w:rPr>
                <w:rFonts w:ascii="Arial" w:eastAsia="Calibri" w:hAnsi="Arial" w:cs="Arial"/>
                <w:sz w:val="22"/>
                <w:szCs w:val="22"/>
              </w:rPr>
              <w:t xml:space="preserve">). Drivers aged 18-40 years showed 2.6 times higher likelihood of RTA per year of driving (CI: </w:t>
            </w:r>
            <w:r w:rsidRPr="007F0D2F">
              <w:rPr>
                <w:rFonts w:ascii="Arial" w:hAnsi="Arial" w:cs="Arial"/>
                <w:sz w:val="22"/>
                <w:szCs w:val="22"/>
                <w:lang w:eastAsia="en-GB"/>
              </w:rPr>
              <w:t>1.1 - 6.0, p=0.026</w:t>
            </w:r>
            <w:r w:rsidRPr="007F0D2F">
              <w:rPr>
                <w:rFonts w:ascii="Arial" w:eastAsia="Calibri" w:hAnsi="Arial" w:cs="Arial"/>
                <w:sz w:val="22"/>
                <w:szCs w:val="22"/>
              </w:rPr>
              <w:t xml:space="preserve">) whereas CVDs of 1-10 years driving experience showed 97% lesser likelihood of RTA per year of driving (CI: </w:t>
            </w:r>
            <w:r w:rsidRPr="007F0D2F">
              <w:rPr>
                <w:rFonts w:ascii="Arial" w:hAnsi="Arial" w:cs="Arial"/>
                <w:sz w:val="22"/>
                <w:szCs w:val="22"/>
                <w:lang w:eastAsia="en-GB"/>
              </w:rPr>
              <w:t>0.01 - 0.19, p=0.000</w:t>
            </w:r>
            <w:r w:rsidRPr="007F0D2F">
              <w:rPr>
                <w:rFonts w:ascii="Arial" w:eastAsia="Calibri" w:hAnsi="Arial" w:cs="Arial"/>
                <w:sz w:val="22"/>
                <w:szCs w:val="22"/>
              </w:rPr>
              <w:t xml:space="preserve">). </w:t>
            </w:r>
            <w:r w:rsidRPr="007F0D2F">
              <w:rPr>
                <w:rFonts w:ascii="Arial" w:hAnsi="Arial" w:cs="Arial"/>
                <w:sz w:val="22"/>
                <w:szCs w:val="22"/>
              </w:rPr>
              <w:t xml:space="preserve"> </w:t>
            </w:r>
          </w:p>
          <w:p w14:paraId="28B1799B" w14:textId="1CB6370C" w:rsidR="00CF22A7" w:rsidRPr="007F0D2F" w:rsidRDefault="00CF22A7" w:rsidP="00CF22A7">
            <w:pPr>
              <w:spacing w:line="480" w:lineRule="auto"/>
              <w:jc w:val="both"/>
              <w:rPr>
                <w:rFonts w:ascii="Arial" w:hAnsi="Arial" w:cs="Arial"/>
                <w:sz w:val="22"/>
                <w:szCs w:val="22"/>
              </w:rPr>
            </w:pPr>
            <w:r w:rsidRPr="007F0D2F">
              <w:rPr>
                <w:rFonts w:ascii="Arial" w:hAnsi="Arial" w:cs="Arial"/>
                <w:b/>
                <w:sz w:val="22"/>
                <w:szCs w:val="22"/>
              </w:rPr>
              <w:t>CONCLUSION:</w:t>
            </w:r>
            <w:r w:rsidRPr="007F0D2F">
              <w:rPr>
                <w:rFonts w:ascii="Arial" w:hAnsi="Arial" w:cs="Arial"/>
                <w:sz w:val="22"/>
                <w:szCs w:val="22"/>
              </w:rPr>
              <w:t xml:space="preserve"> This study found that abnormal stereoacuity and visual acuity based on FRSC visual standard for driving were significantly associated with increased risks of </w:t>
            </w:r>
            <w:proofErr w:type="gramStart"/>
            <w:r w:rsidRPr="007F0D2F">
              <w:rPr>
                <w:rFonts w:ascii="Arial" w:hAnsi="Arial" w:cs="Arial"/>
                <w:sz w:val="22"/>
                <w:szCs w:val="22"/>
              </w:rPr>
              <w:t>RTAs,.</w:t>
            </w:r>
            <w:proofErr w:type="gramEnd"/>
            <w:r w:rsidRPr="007F0D2F">
              <w:rPr>
                <w:rFonts w:ascii="Arial" w:hAnsi="Arial" w:cs="Arial"/>
                <w:sz w:val="22"/>
                <w:szCs w:val="22"/>
              </w:rPr>
              <w:t xml:space="preserve"> It is therefore recommended that enforcement of pre-</w:t>
            </w:r>
            <w:r w:rsidR="00C35817" w:rsidRPr="007F0D2F">
              <w:rPr>
                <w:rFonts w:ascii="Arial" w:hAnsi="Arial" w:cs="Arial"/>
                <w:sz w:val="22"/>
                <w:szCs w:val="22"/>
              </w:rPr>
              <w:t>license</w:t>
            </w:r>
            <w:r w:rsidRPr="007F0D2F">
              <w:rPr>
                <w:rFonts w:ascii="Arial" w:hAnsi="Arial" w:cs="Arial"/>
                <w:sz w:val="22"/>
                <w:szCs w:val="22"/>
              </w:rPr>
              <w:t xml:space="preserve"> vision testing regulations for drivers </w:t>
            </w:r>
            <w:proofErr w:type="gramStart"/>
            <w:r w:rsidRPr="007F0D2F">
              <w:rPr>
                <w:rFonts w:ascii="Arial" w:hAnsi="Arial" w:cs="Arial"/>
                <w:sz w:val="22"/>
                <w:szCs w:val="22"/>
              </w:rPr>
              <w:t>should  be</w:t>
            </w:r>
            <w:proofErr w:type="gramEnd"/>
            <w:r w:rsidRPr="007F0D2F">
              <w:rPr>
                <w:rFonts w:ascii="Arial" w:hAnsi="Arial" w:cs="Arial"/>
                <w:sz w:val="22"/>
                <w:szCs w:val="22"/>
              </w:rPr>
              <w:t xml:space="preserve"> strengthened.</w:t>
            </w:r>
          </w:p>
          <w:p w14:paraId="3CB85DB8" w14:textId="77777777" w:rsidR="00CF22A7" w:rsidRPr="007F0D2F" w:rsidRDefault="00CF22A7" w:rsidP="00FD7082">
            <w:pPr>
              <w:pStyle w:val="Body"/>
              <w:spacing w:after="0"/>
              <w:rPr>
                <w:rFonts w:ascii="Arial" w:eastAsia="Calibri" w:hAnsi="Arial" w:cs="Arial"/>
                <w:sz w:val="22"/>
                <w:szCs w:val="22"/>
              </w:rPr>
            </w:pPr>
          </w:p>
          <w:p w14:paraId="37469A83" w14:textId="77777777" w:rsidR="00CF22A7" w:rsidRPr="007F0D2F" w:rsidRDefault="00CF22A7" w:rsidP="00FD7082">
            <w:pPr>
              <w:pStyle w:val="Body"/>
              <w:spacing w:after="0"/>
              <w:rPr>
                <w:rFonts w:ascii="Arial" w:eastAsia="Calibri" w:hAnsi="Arial" w:cs="Arial"/>
                <w:b/>
                <w:sz w:val="22"/>
                <w:szCs w:val="22"/>
              </w:rPr>
            </w:pPr>
          </w:p>
          <w:p w14:paraId="00F558AE" w14:textId="35C97987" w:rsidR="00CF22A7" w:rsidRPr="007F0D2F" w:rsidRDefault="00CF22A7" w:rsidP="00FD7082">
            <w:pPr>
              <w:pStyle w:val="Body"/>
              <w:spacing w:after="0"/>
              <w:rPr>
                <w:rFonts w:ascii="Arial" w:eastAsia="Calibri" w:hAnsi="Arial" w:cs="Arial"/>
                <w:sz w:val="22"/>
                <w:szCs w:val="22"/>
              </w:rPr>
            </w:pPr>
          </w:p>
        </w:tc>
      </w:tr>
      <w:tr w:rsidR="003C2BAE" w:rsidRPr="007F0D2F" w14:paraId="672002F8" w14:textId="77777777" w:rsidTr="00FD7082">
        <w:tc>
          <w:tcPr>
            <w:tcW w:w="9576" w:type="dxa"/>
            <w:shd w:val="clear" w:color="auto" w:fill="F2F2F2"/>
          </w:tcPr>
          <w:p w14:paraId="663A56C7" w14:textId="20D34A93" w:rsidR="003C2BAE" w:rsidRPr="007F0D2F" w:rsidRDefault="003C2BAE" w:rsidP="00CF22A7">
            <w:pPr>
              <w:pStyle w:val="Body"/>
              <w:spacing w:after="0"/>
              <w:rPr>
                <w:rFonts w:ascii="Arial" w:eastAsia="Calibri" w:hAnsi="Arial" w:cs="Arial"/>
                <w:sz w:val="22"/>
                <w:szCs w:val="22"/>
              </w:rPr>
            </w:pPr>
          </w:p>
        </w:tc>
      </w:tr>
    </w:tbl>
    <w:p w14:paraId="46466013" w14:textId="77777777" w:rsidR="00CF22A7" w:rsidRPr="007F0D2F" w:rsidRDefault="00CF22A7" w:rsidP="00CF22A7">
      <w:pPr>
        <w:pStyle w:val="Body"/>
        <w:spacing w:after="0"/>
        <w:rPr>
          <w:rFonts w:ascii="Arial" w:hAnsi="Arial" w:cs="Arial"/>
          <w:i/>
          <w:sz w:val="22"/>
          <w:szCs w:val="22"/>
        </w:rPr>
      </w:pPr>
    </w:p>
    <w:p w14:paraId="5434A2E9" w14:textId="4C721744" w:rsidR="00CF22A7" w:rsidRPr="007F0D2F" w:rsidRDefault="00CF22A7" w:rsidP="00CF22A7">
      <w:pPr>
        <w:spacing w:line="480" w:lineRule="auto"/>
        <w:jc w:val="both"/>
        <w:rPr>
          <w:rFonts w:ascii="Arial" w:hAnsi="Arial" w:cs="Arial"/>
          <w:i/>
          <w:sz w:val="22"/>
          <w:szCs w:val="22"/>
        </w:rPr>
      </w:pPr>
      <w:r w:rsidRPr="007F0D2F">
        <w:rPr>
          <w:rFonts w:ascii="Arial" w:hAnsi="Arial" w:cs="Arial"/>
          <w:b/>
          <w:bCs/>
          <w:i/>
          <w:sz w:val="22"/>
          <w:szCs w:val="22"/>
        </w:rPr>
        <w:t>Keywords</w:t>
      </w:r>
      <w:r w:rsidRPr="007F0D2F">
        <w:rPr>
          <w:rFonts w:ascii="Arial" w:hAnsi="Arial" w:cs="Arial"/>
          <w:b/>
          <w:i/>
          <w:sz w:val="22"/>
          <w:szCs w:val="22"/>
        </w:rPr>
        <w:t>:</w:t>
      </w:r>
      <w:r w:rsidRPr="007F0D2F">
        <w:rPr>
          <w:rFonts w:ascii="Arial" w:hAnsi="Arial" w:cs="Arial"/>
          <w:i/>
          <w:sz w:val="22"/>
          <w:szCs w:val="22"/>
        </w:rPr>
        <w:t xml:space="preserve"> Visual Function, Vision Loss, Road Traffic Accident, Commercial Vehicle Drivers.</w:t>
      </w:r>
    </w:p>
    <w:p w14:paraId="14E088A1" w14:textId="025A9BCA" w:rsidR="00CF22A7" w:rsidRPr="007F0D2F" w:rsidRDefault="00CF22A7" w:rsidP="00CF22A7">
      <w:pPr>
        <w:pStyle w:val="Body"/>
        <w:spacing w:after="0"/>
        <w:rPr>
          <w:rFonts w:ascii="Arial" w:hAnsi="Arial" w:cs="Arial"/>
          <w:i/>
          <w:sz w:val="22"/>
          <w:szCs w:val="22"/>
        </w:rPr>
      </w:pPr>
    </w:p>
    <w:p w14:paraId="04E64628" w14:textId="77777777" w:rsidR="00CF22A7" w:rsidRPr="007F0D2F" w:rsidRDefault="00CF22A7" w:rsidP="00CF22A7">
      <w:pPr>
        <w:pStyle w:val="Body"/>
        <w:spacing w:after="0"/>
        <w:rPr>
          <w:rFonts w:ascii="Arial" w:hAnsi="Arial" w:cs="Arial"/>
          <w:i/>
          <w:sz w:val="22"/>
          <w:szCs w:val="22"/>
        </w:rPr>
      </w:pPr>
    </w:p>
    <w:p w14:paraId="111E32D1" w14:textId="77777777" w:rsidR="00CF22A7" w:rsidRPr="007F0D2F" w:rsidRDefault="00CF22A7" w:rsidP="00CF22A7">
      <w:pPr>
        <w:pStyle w:val="Body"/>
        <w:spacing w:after="0"/>
        <w:rPr>
          <w:rFonts w:ascii="Arial" w:hAnsi="Arial" w:cs="Arial"/>
          <w:i/>
          <w:sz w:val="22"/>
          <w:szCs w:val="22"/>
        </w:rPr>
      </w:pPr>
    </w:p>
    <w:p w14:paraId="4E903DF0" w14:textId="77777777" w:rsidR="00CF22A7" w:rsidRPr="007F0D2F" w:rsidRDefault="00CF22A7" w:rsidP="00CF22A7">
      <w:pPr>
        <w:pStyle w:val="Body"/>
        <w:spacing w:after="0"/>
        <w:rPr>
          <w:rFonts w:ascii="Arial" w:hAnsi="Arial" w:cs="Arial"/>
          <w:i/>
          <w:sz w:val="22"/>
          <w:szCs w:val="22"/>
        </w:rPr>
      </w:pPr>
    </w:p>
    <w:p w14:paraId="0EA4FB01" w14:textId="77777777" w:rsidR="00CF22A7" w:rsidRPr="007F0D2F" w:rsidRDefault="00CF22A7" w:rsidP="00CF22A7">
      <w:pPr>
        <w:pStyle w:val="Body"/>
        <w:spacing w:after="0"/>
        <w:rPr>
          <w:rFonts w:ascii="Arial" w:hAnsi="Arial" w:cs="Arial"/>
          <w:i/>
          <w:sz w:val="22"/>
          <w:szCs w:val="22"/>
        </w:rPr>
      </w:pPr>
    </w:p>
    <w:p w14:paraId="6A3E0E88" w14:textId="77777777" w:rsidR="00CF22A7" w:rsidRPr="007F0D2F" w:rsidRDefault="00CF22A7" w:rsidP="00CF22A7">
      <w:pPr>
        <w:pStyle w:val="Body"/>
        <w:spacing w:after="0"/>
        <w:rPr>
          <w:rFonts w:ascii="Arial" w:hAnsi="Arial" w:cs="Arial"/>
          <w:i/>
          <w:sz w:val="22"/>
          <w:szCs w:val="22"/>
        </w:rPr>
      </w:pPr>
    </w:p>
    <w:p w14:paraId="69C067F2" w14:textId="77777777" w:rsidR="00CF22A7" w:rsidRPr="007F0D2F" w:rsidRDefault="00CF22A7" w:rsidP="00CF22A7">
      <w:pPr>
        <w:pStyle w:val="Body"/>
        <w:spacing w:after="0"/>
        <w:rPr>
          <w:rFonts w:ascii="Arial" w:hAnsi="Arial" w:cs="Arial"/>
          <w:i/>
          <w:sz w:val="22"/>
          <w:szCs w:val="22"/>
        </w:rPr>
      </w:pPr>
    </w:p>
    <w:p w14:paraId="1560A860" w14:textId="77777777" w:rsidR="00CF22A7" w:rsidRPr="007F0D2F" w:rsidRDefault="00CF22A7" w:rsidP="00CF22A7">
      <w:pPr>
        <w:pStyle w:val="Body"/>
        <w:spacing w:after="0"/>
        <w:rPr>
          <w:rFonts w:ascii="Arial" w:hAnsi="Arial" w:cs="Arial"/>
          <w:i/>
          <w:sz w:val="22"/>
          <w:szCs w:val="22"/>
        </w:rPr>
      </w:pPr>
    </w:p>
    <w:p w14:paraId="38282F36" w14:textId="77777777" w:rsidR="00CF22A7" w:rsidRPr="007F0D2F" w:rsidRDefault="00CF22A7" w:rsidP="00CF22A7">
      <w:pPr>
        <w:pStyle w:val="Body"/>
        <w:spacing w:after="0"/>
        <w:rPr>
          <w:rFonts w:ascii="Arial" w:hAnsi="Arial" w:cs="Arial"/>
          <w:i/>
          <w:sz w:val="22"/>
          <w:szCs w:val="22"/>
        </w:rPr>
      </w:pPr>
    </w:p>
    <w:p w14:paraId="78A7F744" w14:textId="77777777" w:rsidR="00CF22A7" w:rsidRPr="007F0D2F" w:rsidRDefault="00CF22A7" w:rsidP="00CF22A7">
      <w:pPr>
        <w:pStyle w:val="Body"/>
        <w:spacing w:after="0"/>
        <w:rPr>
          <w:rFonts w:ascii="Arial" w:hAnsi="Arial" w:cs="Arial"/>
          <w:i/>
          <w:sz w:val="22"/>
          <w:szCs w:val="22"/>
        </w:rPr>
      </w:pPr>
    </w:p>
    <w:p w14:paraId="5EC5E4F0" w14:textId="77777777" w:rsidR="00CF22A7" w:rsidRPr="007F0D2F" w:rsidRDefault="00CF22A7" w:rsidP="00CF22A7">
      <w:pPr>
        <w:pStyle w:val="Body"/>
        <w:spacing w:after="0"/>
        <w:rPr>
          <w:rFonts w:ascii="Arial" w:hAnsi="Arial" w:cs="Arial"/>
          <w:i/>
          <w:sz w:val="22"/>
          <w:szCs w:val="22"/>
        </w:rPr>
      </w:pPr>
    </w:p>
    <w:p w14:paraId="68ECA121" w14:textId="77777777" w:rsidR="00CF22A7" w:rsidRPr="007F0D2F" w:rsidRDefault="00CF22A7" w:rsidP="00CF22A7">
      <w:pPr>
        <w:pStyle w:val="Body"/>
        <w:spacing w:after="0"/>
        <w:rPr>
          <w:rFonts w:ascii="Arial" w:hAnsi="Arial" w:cs="Arial"/>
          <w:i/>
          <w:sz w:val="22"/>
          <w:szCs w:val="22"/>
        </w:rPr>
      </w:pPr>
    </w:p>
    <w:p w14:paraId="58EE55F0" w14:textId="77777777" w:rsidR="00CF22A7" w:rsidRPr="007F0D2F" w:rsidRDefault="00CF22A7" w:rsidP="00CF22A7">
      <w:pPr>
        <w:pStyle w:val="Body"/>
        <w:spacing w:after="0"/>
        <w:rPr>
          <w:rFonts w:ascii="Arial" w:hAnsi="Arial" w:cs="Arial"/>
          <w:i/>
          <w:sz w:val="22"/>
          <w:szCs w:val="22"/>
        </w:rPr>
      </w:pPr>
    </w:p>
    <w:p w14:paraId="4A63C80E" w14:textId="77777777" w:rsidR="00CF22A7" w:rsidRPr="007F0D2F" w:rsidRDefault="00CF22A7" w:rsidP="00CF22A7">
      <w:pPr>
        <w:pStyle w:val="Body"/>
        <w:spacing w:after="0"/>
        <w:rPr>
          <w:rFonts w:ascii="Arial" w:hAnsi="Arial" w:cs="Arial"/>
          <w:i/>
          <w:sz w:val="22"/>
          <w:szCs w:val="22"/>
        </w:rPr>
      </w:pPr>
    </w:p>
    <w:p w14:paraId="70FEA231" w14:textId="77777777" w:rsidR="00CF22A7" w:rsidRPr="007F0D2F" w:rsidRDefault="00CF22A7" w:rsidP="00CF22A7">
      <w:pPr>
        <w:pStyle w:val="Body"/>
        <w:spacing w:after="0"/>
        <w:rPr>
          <w:rFonts w:ascii="Arial" w:hAnsi="Arial" w:cs="Arial"/>
          <w:i/>
          <w:sz w:val="22"/>
          <w:szCs w:val="22"/>
        </w:rPr>
      </w:pPr>
    </w:p>
    <w:p w14:paraId="73A11B39" w14:textId="77777777" w:rsidR="00CF22A7" w:rsidRPr="007F0D2F" w:rsidRDefault="00CF22A7" w:rsidP="00CF22A7">
      <w:pPr>
        <w:pStyle w:val="Body"/>
        <w:spacing w:after="0"/>
        <w:rPr>
          <w:rFonts w:ascii="Arial" w:hAnsi="Arial" w:cs="Arial"/>
          <w:i/>
          <w:sz w:val="22"/>
          <w:szCs w:val="22"/>
        </w:rPr>
      </w:pPr>
    </w:p>
    <w:p w14:paraId="069E496E" w14:textId="77777777" w:rsidR="00CF22A7" w:rsidRPr="007F0D2F" w:rsidRDefault="00CF22A7" w:rsidP="00CF22A7">
      <w:pPr>
        <w:pStyle w:val="Body"/>
        <w:spacing w:after="0"/>
        <w:rPr>
          <w:rFonts w:ascii="Arial" w:hAnsi="Arial" w:cs="Arial"/>
          <w:i/>
          <w:sz w:val="22"/>
          <w:szCs w:val="22"/>
        </w:rPr>
      </w:pPr>
    </w:p>
    <w:p w14:paraId="0173ADD9" w14:textId="77777777" w:rsidR="00CF22A7" w:rsidRPr="007F0D2F" w:rsidRDefault="00CF22A7" w:rsidP="00CF22A7">
      <w:pPr>
        <w:pStyle w:val="Body"/>
        <w:spacing w:after="0"/>
        <w:rPr>
          <w:rFonts w:ascii="Arial" w:hAnsi="Arial" w:cs="Arial"/>
          <w:i/>
          <w:sz w:val="22"/>
          <w:szCs w:val="22"/>
        </w:rPr>
      </w:pPr>
    </w:p>
    <w:p w14:paraId="4DE109BD" w14:textId="77777777" w:rsidR="00CF22A7" w:rsidRPr="007F0D2F" w:rsidRDefault="00CF22A7" w:rsidP="00CF22A7">
      <w:pPr>
        <w:pStyle w:val="Body"/>
        <w:spacing w:after="0"/>
        <w:rPr>
          <w:rFonts w:ascii="Arial" w:hAnsi="Arial" w:cs="Arial"/>
          <w:i/>
          <w:sz w:val="22"/>
          <w:szCs w:val="22"/>
        </w:rPr>
      </w:pPr>
    </w:p>
    <w:p w14:paraId="282CBD6A" w14:textId="77777777" w:rsidR="00CF22A7" w:rsidRPr="007F0D2F" w:rsidRDefault="00CF22A7" w:rsidP="00CF22A7">
      <w:pPr>
        <w:pStyle w:val="Body"/>
        <w:spacing w:after="0"/>
        <w:rPr>
          <w:rFonts w:ascii="Arial" w:hAnsi="Arial" w:cs="Arial"/>
          <w:i/>
          <w:sz w:val="22"/>
          <w:szCs w:val="22"/>
        </w:rPr>
      </w:pPr>
    </w:p>
    <w:p w14:paraId="576B5D1B" w14:textId="77777777" w:rsidR="00CF22A7" w:rsidRPr="007F0D2F" w:rsidRDefault="00CF22A7" w:rsidP="00CF22A7">
      <w:pPr>
        <w:pStyle w:val="AbstHead"/>
        <w:spacing w:after="0"/>
        <w:jc w:val="both"/>
        <w:rPr>
          <w:rFonts w:ascii="Arial" w:hAnsi="Arial" w:cs="Arial"/>
          <w:szCs w:val="22"/>
        </w:rPr>
      </w:pPr>
      <w:r w:rsidRPr="007F0D2F">
        <w:rPr>
          <w:rFonts w:ascii="Arial" w:hAnsi="Arial" w:cs="Arial"/>
          <w:szCs w:val="22"/>
        </w:rPr>
        <w:lastRenderedPageBreak/>
        <w:t xml:space="preserve">1. INTRODUCTION </w:t>
      </w:r>
    </w:p>
    <w:p w14:paraId="4886ECFA" w14:textId="1EB67F4D" w:rsidR="00D10947" w:rsidRPr="002D667A" w:rsidRDefault="00D10947" w:rsidP="00D10947">
      <w:pPr>
        <w:spacing w:line="480" w:lineRule="auto"/>
        <w:jc w:val="both"/>
        <w:rPr>
          <w:rFonts w:ascii="Arial" w:hAnsi="Arial" w:cs="Arial"/>
          <w:b/>
          <w:sz w:val="22"/>
          <w:szCs w:val="22"/>
          <w:vertAlign w:val="superscript"/>
        </w:rPr>
      </w:pPr>
      <w:r w:rsidRPr="007F0D2F">
        <w:rPr>
          <w:rFonts w:ascii="Arial" w:hAnsi="Arial" w:cs="Arial"/>
          <w:sz w:val="22"/>
          <w:szCs w:val="22"/>
        </w:rPr>
        <w:t>Good vision is important for everyday living; vital for independence, mobility and driving among other functions. Globally, at least 2.2 billion people are vision impaired or blind</w:t>
      </w:r>
      <w:r w:rsidR="002D667A">
        <w:rPr>
          <w:rFonts w:ascii="Arial" w:hAnsi="Arial" w:cs="Arial"/>
          <w:sz w:val="22"/>
          <w:szCs w:val="22"/>
          <w:vertAlign w:val="superscript"/>
        </w:rPr>
        <w:t>1</w:t>
      </w:r>
      <w:r w:rsidRPr="007F0D2F">
        <w:rPr>
          <w:rFonts w:ascii="Arial" w:hAnsi="Arial" w:cs="Arial"/>
          <w:sz w:val="22"/>
          <w:szCs w:val="22"/>
        </w:rPr>
        <w:t xml:space="preserve"> and nearly half of this vision loss is avoidable with prevalence four times higher in Low- and Middle-Income Countries (LMICs) such as Nigeria.</w:t>
      </w:r>
      <w:r w:rsidR="002D667A">
        <w:rPr>
          <w:rFonts w:ascii="Arial" w:hAnsi="Arial" w:cs="Arial"/>
          <w:sz w:val="22"/>
          <w:szCs w:val="22"/>
          <w:vertAlign w:val="superscript"/>
        </w:rPr>
        <w:t>2</w:t>
      </w:r>
      <w:r w:rsidRPr="007F0D2F">
        <w:rPr>
          <w:rFonts w:ascii="Arial" w:hAnsi="Arial" w:cs="Arial"/>
          <w:sz w:val="22"/>
          <w:szCs w:val="22"/>
        </w:rPr>
        <w:t xml:space="preserve"> When uncorrected, avoidable vision loss can result in loss of economic productivity, hindered social interactions and reduced quality of life. Additionally, it is believed that vision loss, if uncorrected, can have far-reaching consequences, including being involved in Road Traffic Accident (RTA).</w:t>
      </w:r>
      <w:r w:rsidR="002D667A">
        <w:rPr>
          <w:rFonts w:ascii="Arial" w:hAnsi="Arial" w:cs="Arial"/>
          <w:sz w:val="22"/>
          <w:szCs w:val="22"/>
          <w:vertAlign w:val="superscript"/>
        </w:rPr>
        <w:t>3</w:t>
      </w:r>
    </w:p>
    <w:p w14:paraId="7B3E1F63" w14:textId="18A5A65E" w:rsidR="00D10947" w:rsidRPr="007F0D2F" w:rsidRDefault="00D10947" w:rsidP="00D10947">
      <w:pPr>
        <w:shd w:val="clear" w:color="auto" w:fill="FFFFFF"/>
        <w:spacing w:line="480" w:lineRule="auto"/>
        <w:jc w:val="both"/>
        <w:rPr>
          <w:rFonts w:ascii="Arial" w:hAnsi="Arial" w:cs="Arial"/>
          <w:sz w:val="22"/>
          <w:szCs w:val="22"/>
        </w:rPr>
      </w:pPr>
      <w:r w:rsidRPr="007F0D2F">
        <w:rPr>
          <w:rFonts w:ascii="Arial" w:hAnsi="Arial" w:cs="Arial"/>
          <w:sz w:val="22"/>
          <w:szCs w:val="22"/>
        </w:rPr>
        <w:t xml:space="preserve">Vision </w:t>
      </w:r>
      <w:r w:rsidRPr="007F0D2F">
        <w:rPr>
          <w:rFonts w:ascii="Arial" w:hAnsi="Arial" w:cs="Arial"/>
          <w:sz w:val="22"/>
          <w:szCs w:val="22"/>
          <w:shd w:val="clear" w:color="auto" w:fill="FFFFFF"/>
        </w:rPr>
        <w:t>accounts for 95% of sensory requirement for driving.</w:t>
      </w:r>
      <w:r w:rsidR="00F33815">
        <w:rPr>
          <w:rFonts w:ascii="Arial" w:hAnsi="Arial" w:cs="Arial"/>
          <w:sz w:val="22"/>
          <w:szCs w:val="22"/>
          <w:shd w:val="clear" w:color="auto" w:fill="FFFFFF"/>
          <w:vertAlign w:val="superscript"/>
        </w:rPr>
        <w:t>4</w:t>
      </w:r>
      <w:r w:rsidRPr="007F0D2F">
        <w:rPr>
          <w:rFonts w:ascii="Arial" w:hAnsi="Arial" w:cs="Arial"/>
          <w:sz w:val="22"/>
          <w:szCs w:val="22"/>
          <w:shd w:val="clear" w:color="auto" w:fill="FFFFFF"/>
        </w:rPr>
        <w:t xml:space="preserve"> These visual function parameters include visual acuity, contrast sensitivity, </w:t>
      </w:r>
      <w:proofErr w:type="spellStart"/>
      <w:r w:rsidRPr="007F0D2F">
        <w:rPr>
          <w:rFonts w:ascii="Arial" w:hAnsi="Arial" w:cs="Arial"/>
          <w:sz w:val="22"/>
          <w:szCs w:val="22"/>
          <w:shd w:val="clear" w:color="auto" w:fill="FFFFFF"/>
        </w:rPr>
        <w:t>colour</w:t>
      </w:r>
      <w:proofErr w:type="spellEnd"/>
      <w:r w:rsidRPr="007F0D2F">
        <w:rPr>
          <w:rFonts w:ascii="Arial" w:hAnsi="Arial" w:cs="Arial"/>
          <w:sz w:val="22"/>
          <w:szCs w:val="22"/>
          <w:shd w:val="clear" w:color="auto" w:fill="FFFFFF"/>
        </w:rPr>
        <w:t xml:space="preserve"> vision, stereoacuity and visual field. A good visual function is considered imperative for safe driving, particularly for commercial vehicle drivers (CVDs), who are responsible for transporting the larger populace in most communities in the absence of other functional or affordable means. Assessment of visual function in </w:t>
      </w:r>
      <w:proofErr w:type="gramStart"/>
      <w:r w:rsidRPr="007F0D2F">
        <w:rPr>
          <w:rFonts w:ascii="Arial" w:hAnsi="Arial" w:cs="Arial"/>
          <w:sz w:val="22"/>
          <w:szCs w:val="22"/>
          <w:shd w:val="clear" w:color="auto" w:fill="FFFFFF"/>
        </w:rPr>
        <w:t>CVDs  is</w:t>
      </w:r>
      <w:proofErr w:type="gramEnd"/>
      <w:r w:rsidRPr="007F0D2F">
        <w:rPr>
          <w:rFonts w:ascii="Arial" w:hAnsi="Arial" w:cs="Arial"/>
          <w:sz w:val="22"/>
          <w:szCs w:val="22"/>
          <w:shd w:val="clear" w:color="auto" w:fill="FFFFFF"/>
        </w:rPr>
        <w:t xml:space="preserve"> therefore in alignment with the principle of Universal Eye Health</w:t>
      </w:r>
      <w:r w:rsidR="00F33815">
        <w:rPr>
          <w:rFonts w:ascii="Arial" w:hAnsi="Arial" w:cs="Arial"/>
          <w:sz w:val="22"/>
          <w:szCs w:val="22"/>
          <w:vertAlign w:val="superscript"/>
        </w:rPr>
        <w:t>5</w:t>
      </w:r>
      <w:r w:rsidRPr="007F0D2F">
        <w:rPr>
          <w:rFonts w:ascii="Arial" w:hAnsi="Arial" w:cs="Arial"/>
          <w:sz w:val="22"/>
          <w:szCs w:val="22"/>
          <w:shd w:val="clear" w:color="auto" w:fill="FFFFFF"/>
        </w:rPr>
        <w:t xml:space="preserve"> which could positively impact road safety</w:t>
      </w:r>
      <w:r w:rsidRPr="007F0D2F">
        <w:rPr>
          <w:rFonts w:ascii="Arial" w:hAnsi="Arial" w:cs="Arial"/>
          <w:sz w:val="22"/>
          <w:szCs w:val="22"/>
        </w:rPr>
        <w:t>.</w:t>
      </w:r>
    </w:p>
    <w:p w14:paraId="58BFAB3B" w14:textId="3A59FFC1" w:rsidR="00D10947" w:rsidRPr="007F0D2F" w:rsidRDefault="00D10947" w:rsidP="001543EC">
      <w:pPr>
        <w:autoSpaceDE w:val="0"/>
        <w:autoSpaceDN w:val="0"/>
        <w:adjustRightInd w:val="0"/>
        <w:spacing w:line="480" w:lineRule="auto"/>
        <w:jc w:val="both"/>
        <w:rPr>
          <w:rFonts w:ascii="Arial" w:hAnsi="Arial" w:cs="Arial"/>
          <w:sz w:val="22"/>
          <w:szCs w:val="22"/>
        </w:rPr>
      </w:pPr>
      <w:r w:rsidRPr="007F0D2F">
        <w:rPr>
          <w:rFonts w:ascii="Arial" w:hAnsi="Arial" w:cs="Arial"/>
          <w:sz w:val="22"/>
          <w:szCs w:val="22"/>
          <w:shd w:val="clear" w:color="auto" w:fill="FFFFFF"/>
        </w:rPr>
        <w:t xml:space="preserve">The spate of RTA in most developed countries is on downward trend with improvement in traffic regulations and collaborations </w:t>
      </w:r>
      <w:r w:rsidRPr="007F0D2F">
        <w:rPr>
          <w:rFonts w:ascii="Arial" w:hAnsi="Arial" w:cs="Arial"/>
          <w:spacing w:val="-2"/>
          <w:sz w:val="22"/>
          <w:szCs w:val="22"/>
          <w:shd w:val="clear" w:color="auto" w:fill="FBFBFB"/>
        </w:rPr>
        <w:t>despite increase in world’s population and number of vehicles.</w:t>
      </w:r>
      <w:r w:rsidR="003740CA">
        <w:rPr>
          <w:rFonts w:ascii="Arial" w:hAnsi="Arial" w:cs="Arial"/>
          <w:spacing w:val="-2"/>
          <w:sz w:val="22"/>
          <w:szCs w:val="22"/>
          <w:shd w:val="clear" w:color="auto" w:fill="FBFBFB"/>
          <w:vertAlign w:val="superscript"/>
        </w:rPr>
        <w:t>6</w:t>
      </w:r>
      <w:r w:rsidR="003740CA" w:rsidRPr="007F0D2F">
        <w:rPr>
          <w:rFonts w:ascii="Arial" w:hAnsi="Arial" w:cs="Arial"/>
          <w:sz w:val="22"/>
          <w:szCs w:val="22"/>
          <w:shd w:val="clear" w:color="auto" w:fill="FFFFFF"/>
        </w:rPr>
        <w:t xml:space="preserve"> </w:t>
      </w:r>
      <w:r w:rsidRPr="007F0D2F">
        <w:rPr>
          <w:rFonts w:ascii="Arial" w:hAnsi="Arial" w:cs="Arial"/>
          <w:sz w:val="22"/>
          <w:szCs w:val="22"/>
          <w:shd w:val="clear" w:color="auto" w:fill="FFFFFF"/>
        </w:rPr>
        <w:t>However, the reverse is noted in most LMICs with Nigeria having the highest</w:t>
      </w:r>
      <w:r w:rsidRPr="007F0D2F">
        <w:rPr>
          <w:rFonts w:ascii="Arial" w:hAnsi="Arial" w:cs="Arial"/>
          <w:sz w:val="22"/>
          <w:szCs w:val="22"/>
        </w:rPr>
        <w:t xml:space="preserve"> </w:t>
      </w:r>
      <w:r w:rsidRPr="007F0D2F">
        <w:rPr>
          <w:rFonts w:ascii="Arial" w:hAnsi="Arial" w:cs="Arial"/>
          <w:sz w:val="22"/>
          <w:szCs w:val="22"/>
          <w:shd w:val="clear" w:color="auto" w:fill="FFFFFF"/>
        </w:rPr>
        <w:t>rate of RTA-related injuries and deaths in Africa.</w:t>
      </w:r>
      <w:r w:rsidR="003740CA">
        <w:rPr>
          <w:rFonts w:ascii="Arial" w:hAnsi="Arial" w:cs="Arial"/>
          <w:sz w:val="22"/>
          <w:szCs w:val="22"/>
          <w:shd w:val="clear" w:color="auto" w:fill="FFFFFF"/>
          <w:vertAlign w:val="superscript"/>
        </w:rPr>
        <w:t>7</w:t>
      </w:r>
      <w:r w:rsidRPr="007F0D2F">
        <w:rPr>
          <w:rFonts w:ascii="Arial" w:hAnsi="Arial" w:cs="Arial"/>
          <w:sz w:val="22"/>
          <w:szCs w:val="22"/>
          <w:shd w:val="clear" w:color="auto" w:fill="FFFFFF"/>
        </w:rPr>
        <w:t xml:space="preserve"> and ranking among the highly affected nations of the world.</w:t>
      </w:r>
      <w:r w:rsidR="001543EC">
        <w:rPr>
          <w:rFonts w:ascii="Arial" w:hAnsi="Arial" w:cs="Arial"/>
          <w:sz w:val="22"/>
          <w:szCs w:val="22"/>
          <w:shd w:val="clear" w:color="auto" w:fill="FFFFFF"/>
          <w:vertAlign w:val="superscript"/>
        </w:rPr>
        <w:t>8</w:t>
      </w:r>
      <w:r w:rsidR="001543EC" w:rsidRPr="007F0D2F">
        <w:rPr>
          <w:rFonts w:ascii="Arial" w:hAnsi="Arial" w:cs="Arial"/>
          <w:sz w:val="22"/>
          <w:szCs w:val="22"/>
          <w:shd w:val="clear" w:color="auto" w:fill="FFFFFF"/>
        </w:rPr>
        <w:t xml:space="preserve"> </w:t>
      </w:r>
      <w:r w:rsidRPr="007F0D2F">
        <w:rPr>
          <w:rFonts w:ascii="Arial" w:hAnsi="Arial" w:cs="Arial"/>
          <w:sz w:val="22"/>
          <w:szCs w:val="22"/>
          <w:shd w:val="clear" w:color="auto" w:fill="FFFFFF"/>
        </w:rPr>
        <w:t>It is more unsettling to note that young adults and middle-aged drivers, which are the economically productive groups of the nation, are most affected by this ravaging menace.</w:t>
      </w:r>
      <w:r w:rsidR="001543EC">
        <w:rPr>
          <w:rFonts w:ascii="Arial" w:hAnsi="Arial" w:cs="Arial"/>
          <w:sz w:val="22"/>
          <w:szCs w:val="22"/>
          <w:shd w:val="clear" w:color="auto" w:fill="FFFFFF"/>
          <w:vertAlign w:val="superscript"/>
        </w:rPr>
        <w:t>9</w:t>
      </w:r>
      <w:r w:rsidR="001543EC" w:rsidRPr="007F0D2F">
        <w:rPr>
          <w:rFonts w:ascii="Arial" w:hAnsi="Arial" w:cs="Arial"/>
          <w:sz w:val="22"/>
          <w:szCs w:val="22"/>
        </w:rPr>
        <w:t xml:space="preserve"> </w:t>
      </w:r>
      <w:r w:rsidRPr="007F0D2F">
        <w:rPr>
          <w:rFonts w:ascii="Arial" w:hAnsi="Arial" w:cs="Arial"/>
          <w:sz w:val="22"/>
          <w:szCs w:val="22"/>
        </w:rPr>
        <w:t>Previous studies conducted within and outside Nigeria on the association between vision and RTA have contrasting outcomes.</w:t>
      </w:r>
      <w:r w:rsidR="00EA1C65">
        <w:rPr>
          <w:rFonts w:ascii="Arial" w:hAnsi="Arial" w:cs="Arial"/>
          <w:sz w:val="22"/>
          <w:szCs w:val="22"/>
          <w:vertAlign w:val="superscript"/>
        </w:rPr>
        <w:t>10</w:t>
      </w:r>
      <w:r w:rsidR="00F908A8">
        <w:rPr>
          <w:rFonts w:ascii="Arial" w:hAnsi="Arial" w:cs="Arial"/>
          <w:sz w:val="22"/>
          <w:szCs w:val="22"/>
          <w:vertAlign w:val="superscript"/>
        </w:rPr>
        <w:t xml:space="preserve">,11,12 </w:t>
      </w:r>
      <w:r w:rsidRPr="007F0D2F">
        <w:rPr>
          <w:rFonts w:ascii="Arial" w:hAnsi="Arial" w:cs="Arial"/>
          <w:sz w:val="22"/>
          <w:szCs w:val="22"/>
        </w:rPr>
        <w:t>Some studies have identified vision impairment as a risk factor for RTA,</w:t>
      </w:r>
      <w:r w:rsidRPr="007F0D2F">
        <w:rPr>
          <w:rFonts w:ascii="Arial" w:hAnsi="Arial" w:cs="Arial"/>
          <w:sz w:val="22"/>
          <w:szCs w:val="22"/>
          <w:vertAlign w:val="superscript"/>
        </w:rPr>
        <w:t>3</w:t>
      </w:r>
      <w:r w:rsidRPr="007F0D2F">
        <w:rPr>
          <w:rFonts w:ascii="Arial" w:hAnsi="Arial" w:cs="Arial"/>
          <w:sz w:val="22"/>
          <w:szCs w:val="22"/>
        </w:rPr>
        <w:t xml:space="preserve"> while other studies found no association between vision impairment and RTA.</w:t>
      </w:r>
      <w:r w:rsidRPr="007F0D2F">
        <w:rPr>
          <w:rFonts w:ascii="Arial" w:hAnsi="Arial" w:cs="Arial"/>
          <w:sz w:val="22"/>
          <w:szCs w:val="22"/>
          <w:vertAlign w:val="superscript"/>
        </w:rPr>
        <w:t>12</w:t>
      </w:r>
      <w:r w:rsidRPr="007F0D2F">
        <w:rPr>
          <w:rFonts w:ascii="Arial" w:hAnsi="Arial" w:cs="Arial"/>
          <w:spacing w:val="-2"/>
          <w:sz w:val="22"/>
          <w:szCs w:val="22"/>
          <w:shd w:val="clear" w:color="auto" w:fill="FBFBFB"/>
        </w:rPr>
        <w:t xml:space="preserve"> </w:t>
      </w:r>
      <w:r w:rsidRPr="007F0D2F">
        <w:rPr>
          <w:rFonts w:ascii="Arial" w:hAnsi="Arial" w:cs="Arial"/>
          <w:sz w:val="22"/>
          <w:szCs w:val="22"/>
        </w:rPr>
        <w:t xml:space="preserve"> Nigerian studies were mostly limited to investigation of association of RTA with only visual acuity, </w:t>
      </w:r>
      <w:proofErr w:type="spellStart"/>
      <w:r w:rsidRPr="007F0D2F">
        <w:rPr>
          <w:rFonts w:ascii="Arial" w:hAnsi="Arial" w:cs="Arial"/>
          <w:sz w:val="22"/>
          <w:szCs w:val="22"/>
        </w:rPr>
        <w:t>colour</w:t>
      </w:r>
      <w:proofErr w:type="spellEnd"/>
      <w:r w:rsidRPr="007F0D2F">
        <w:rPr>
          <w:rFonts w:ascii="Arial" w:hAnsi="Arial" w:cs="Arial"/>
          <w:sz w:val="22"/>
          <w:szCs w:val="22"/>
        </w:rPr>
        <w:t xml:space="preserve"> vision and visual field.</w:t>
      </w:r>
      <w:r w:rsidRPr="007F0D2F">
        <w:rPr>
          <w:rFonts w:ascii="Arial" w:hAnsi="Arial" w:cs="Arial"/>
          <w:sz w:val="22"/>
          <w:szCs w:val="22"/>
          <w:vertAlign w:val="superscript"/>
        </w:rPr>
        <w:t>12</w:t>
      </w:r>
      <w:r w:rsidR="00FB377A">
        <w:rPr>
          <w:rFonts w:ascii="Arial" w:hAnsi="Arial" w:cs="Arial"/>
          <w:sz w:val="22"/>
          <w:szCs w:val="22"/>
          <w:vertAlign w:val="superscript"/>
        </w:rPr>
        <w:t>,13</w:t>
      </w:r>
      <w:r w:rsidRPr="007F0D2F">
        <w:rPr>
          <w:rFonts w:ascii="Arial" w:hAnsi="Arial" w:cs="Arial"/>
          <w:sz w:val="22"/>
          <w:szCs w:val="22"/>
        </w:rPr>
        <w:t xml:space="preserve"> Further, vision impairment was determined using only WHO definition which is less robust, compared to Nigerian Federal Road Safety Commission </w:t>
      </w:r>
      <w:r w:rsidR="009A1080">
        <w:rPr>
          <w:rFonts w:ascii="Arial" w:hAnsi="Arial" w:cs="Arial"/>
          <w:sz w:val="22"/>
          <w:szCs w:val="22"/>
        </w:rPr>
        <w:t>(</w:t>
      </w:r>
      <w:r w:rsidRPr="007F0D2F">
        <w:rPr>
          <w:rFonts w:ascii="Arial" w:hAnsi="Arial" w:cs="Arial"/>
          <w:sz w:val="22"/>
          <w:szCs w:val="22"/>
        </w:rPr>
        <w:t>FRSC) visual standard requirement for driving.</w:t>
      </w:r>
      <w:r w:rsidR="00B77F09">
        <w:rPr>
          <w:rFonts w:ascii="Arial" w:hAnsi="Arial" w:cs="Arial"/>
          <w:sz w:val="22"/>
          <w:szCs w:val="22"/>
          <w:vertAlign w:val="superscript"/>
        </w:rPr>
        <w:t>14</w:t>
      </w:r>
      <w:r w:rsidRPr="007F0D2F">
        <w:rPr>
          <w:rFonts w:ascii="Arial" w:hAnsi="Arial" w:cs="Arial"/>
          <w:sz w:val="22"/>
          <w:szCs w:val="22"/>
        </w:rPr>
        <w:t xml:space="preserve"> FRSC uses presenting VA &lt;6/9 in the better eye and &lt;6/24 in the poorer eye for </w:t>
      </w:r>
      <w:r w:rsidRPr="007F0D2F">
        <w:rPr>
          <w:rFonts w:ascii="Arial" w:hAnsi="Arial" w:cs="Arial"/>
          <w:sz w:val="22"/>
          <w:szCs w:val="22"/>
          <w:lang w:eastAsia="en-GB"/>
        </w:rPr>
        <w:t>issuance of driver’s license.</w:t>
      </w:r>
      <w:r w:rsidRPr="007F0D2F">
        <w:rPr>
          <w:rFonts w:ascii="Arial" w:hAnsi="Arial" w:cs="Arial"/>
          <w:sz w:val="22"/>
          <w:szCs w:val="22"/>
          <w:vertAlign w:val="superscript"/>
          <w:lang w:eastAsia="en-GB"/>
        </w:rPr>
        <w:t>14</w:t>
      </w:r>
      <w:r w:rsidRPr="007F0D2F">
        <w:rPr>
          <w:rFonts w:ascii="Arial" w:hAnsi="Arial" w:cs="Arial"/>
          <w:sz w:val="22"/>
          <w:szCs w:val="22"/>
        </w:rPr>
        <w:t xml:space="preserve"> </w:t>
      </w:r>
      <w:r w:rsidRPr="007F0D2F">
        <w:rPr>
          <w:rFonts w:ascii="Arial" w:hAnsi="Arial" w:cs="Arial"/>
          <w:sz w:val="22"/>
          <w:szCs w:val="22"/>
          <w:shd w:val="clear" w:color="auto" w:fill="FFFFFF"/>
        </w:rPr>
        <w:t>Hence, it was imperative to investigate the association between RTA and comprehensive visual function parameters locally, using a clearly defined primary outcome measure, RTA rate.</w:t>
      </w:r>
    </w:p>
    <w:p w14:paraId="4C18D598" w14:textId="77777777" w:rsidR="00D10947" w:rsidRPr="007F0D2F" w:rsidRDefault="00D10947" w:rsidP="00D10947">
      <w:pPr>
        <w:autoSpaceDE w:val="0"/>
        <w:autoSpaceDN w:val="0"/>
        <w:adjustRightInd w:val="0"/>
        <w:spacing w:line="480" w:lineRule="auto"/>
        <w:jc w:val="both"/>
        <w:rPr>
          <w:rFonts w:ascii="Arial" w:hAnsi="Arial" w:cs="Arial"/>
          <w:sz w:val="22"/>
          <w:szCs w:val="22"/>
        </w:rPr>
      </w:pPr>
      <w:r w:rsidRPr="007F0D2F">
        <w:rPr>
          <w:rFonts w:ascii="Arial" w:hAnsi="Arial" w:cs="Arial"/>
          <w:sz w:val="22"/>
          <w:szCs w:val="22"/>
          <w:shd w:val="clear" w:color="auto" w:fill="FFFFFF"/>
        </w:rPr>
        <w:lastRenderedPageBreak/>
        <w:t>The divergent outcomes of studies done globally on the association between visual function and RTA have been attributed to</w:t>
      </w:r>
      <w:r w:rsidRPr="007F0D2F">
        <w:rPr>
          <w:rFonts w:ascii="Arial" w:hAnsi="Arial" w:cs="Arial"/>
          <w:sz w:val="22"/>
          <w:szCs w:val="22"/>
        </w:rPr>
        <w:t xml:space="preserve"> demography, population growth and socio-economic development in different regions.</w:t>
      </w:r>
      <w:r w:rsidRPr="007F0D2F">
        <w:rPr>
          <w:rFonts w:ascii="Arial" w:hAnsi="Arial" w:cs="Arial"/>
          <w:sz w:val="22"/>
          <w:szCs w:val="22"/>
          <w:vertAlign w:val="superscript"/>
        </w:rPr>
        <w:t xml:space="preserve">12 </w:t>
      </w:r>
      <w:r w:rsidRPr="007F0D2F">
        <w:rPr>
          <w:rFonts w:ascii="Arial" w:hAnsi="Arial" w:cs="Arial"/>
          <w:sz w:val="22"/>
          <w:szCs w:val="22"/>
        </w:rPr>
        <w:t xml:space="preserve">For this reason, there is no universally accepted minimum visual standard for driving. The United States of America for instance, has different visual standards for driving in each State, </w:t>
      </w:r>
      <w:r w:rsidRPr="007F0D2F">
        <w:rPr>
          <w:rFonts w:ascii="Arial" w:hAnsi="Arial" w:cs="Arial"/>
          <w:sz w:val="22"/>
          <w:szCs w:val="22"/>
          <w:lang w:eastAsia="en-GB"/>
        </w:rPr>
        <w:t>In Nigeria, the Federal Road Safety Commission (FRSC) uses visual acuity as the only visual requirement for issuance of driver’s license.</w:t>
      </w:r>
      <w:r w:rsidRPr="007F0D2F">
        <w:rPr>
          <w:rFonts w:ascii="Arial" w:hAnsi="Arial" w:cs="Arial"/>
          <w:sz w:val="22"/>
          <w:szCs w:val="22"/>
          <w:vertAlign w:val="superscript"/>
          <w:lang w:eastAsia="en-GB"/>
        </w:rPr>
        <w:t>14</w:t>
      </w:r>
      <w:r w:rsidRPr="007F0D2F">
        <w:rPr>
          <w:rFonts w:ascii="Arial" w:hAnsi="Arial" w:cs="Arial"/>
          <w:sz w:val="22"/>
          <w:szCs w:val="22"/>
        </w:rPr>
        <w:t xml:space="preserve"> </w:t>
      </w:r>
    </w:p>
    <w:p w14:paraId="35FF188F" w14:textId="148831E8" w:rsidR="0032348A" w:rsidRPr="007F0D2F" w:rsidRDefault="00D10947" w:rsidP="00C630AC">
      <w:pPr>
        <w:autoSpaceDE w:val="0"/>
        <w:autoSpaceDN w:val="0"/>
        <w:adjustRightInd w:val="0"/>
        <w:spacing w:line="480" w:lineRule="auto"/>
        <w:jc w:val="both"/>
        <w:rPr>
          <w:rFonts w:ascii="Arial" w:hAnsi="Arial" w:cs="Arial"/>
          <w:sz w:val="22"/>
          <w:szCs w:val="22"/>
        </w:rPr>
      </w:pPr>
      <w:r w:rsidRPr="007F0D2F">
        <w:rPr>
          <w:rFonts w:ascii="Arial" w:hAnsi="Arial" w:cs="Arial"/>
          <w:sz w:val="22"/>
          <w:szCs w:val="22"/>
        </w:rPr>
        <w:t>The purpose of this study is to determine the pattern of various aspects of visual function (</w:t>
      </w:r>
      <w:r w:rsidRPr="007F0D2F">
        <w:rPr>
          <w:rFonts w:ascii="Arial" w:hAnsi="Arial" w:cs="Arial"/>
          <w:sz w:val="22"/>
          <w:szCs w:val="22"/>
          <w:shd w:val="clear" w:color="auto" w:fill="FFFFFF"/>
        </w:rPr>
        <w:t xml:space="preserve">visual acuity, contrast sensitivity, </w:t>
      </w:r>
      <w:proofErr w:type="spellStart"/>
      <w:r w:rsidRPr="007F0D2F">
        <w:rPr>
          <w:rFonts w:ascii="Arial" w:hAnsi="Arial" w:cs="Arial"/>
          <w:sz w:val="22"/>
          <w:szCs w:val="22"/>
          <w:shd w:val="clear" w:color="auto" w:fill="FFFFFF"/>
        </w:rPr>
        <w:t>colour</w:t>
      </w:r>
      <w:proofErr w:type="spellEnd"/>
      <w:r w:rsidRPr="007F0D2F">
        <w:rPr>
          <w:rFonts w:ascii="Arial" w:hAnsi="Arial" w:cs="Arial"/>
          <w:sz w:val="22"/>
          <w:szCs w:val="22"/>
          <w:shd w:val="clear" w:color="auto" w:fill="FFFFFF"/>
        </w:rPr>
        <w:t xml:space="preserve"> vision, stereoacuity and visual field</w:t>
      </w:r>
      <w:r w:rsidRPr="007F0D2F">
        <w:rPr>
          <w:rFonts w:ascii="Arial" w:hAnsi="Arial" w:cs="Arial"/>
          <w:sz w:val="22"/>
          <w:szCs w:val="22"/>
        </w:rPr>
        <w:t xml:space="preserve">) and their relationship with the occurrence of RTA among CVDs in Gwagwalada, Abuja. </w:t>
      </w:r>
    </w:p>
    <w:p w14:paraId="3C044809" w14:textId="77777777" w:rsidR="00CF22A7" w:rsidRPr="007F0D2F" w:rsidRDefault="00CF22A7" w:rsidP="00CF22A7">
      <w:pPr>
        <w:pStyle w:val="Body"/>
        <w:spacing w:after="0"/>
        <w:rPr>
          <w:rFonts w:ascii="Arial" w:hAnsi="Arial" w:cs="Arial"/>
          <w:sz w:val="22"/>
          <w:szCs w:val="22"/>
        </w:rPr>
      </w:pPr>
    </w:p>
    <w:p w14:paraId="0B4C50C6" w14:textId="327167BA" w:rsidR="00CF22A7" w:rsidRPr="007F0D2F" w:rsidRDefault="00CF22A7" w:rsidP="00CF22A7">
      <w:pPr>
        <w:pStyle w:val="AbstHead"/>
        <w:spacing w:after="0"/>
        <w:jc w:val="both"/>
        <w:rPr>
          <w:rFonts w:ascii="Arial" w:hAnsi="Arial" w:cs="Arial"/>
          <w:szCs w:val="22"/>
        </w:rPr>
      </w:pPr>
      <w:r w:rsidRPr="007F0D2F">
        <w:rPr>
          <w:rFonts w:ascii="Arial" w:hAnsi="Arial" w:cs="Arial"/>
          <w:szCs w:val="22"/>
        </w:rPr>
        <w:t xml:space="preserve">2. </w:t>
      </w:r>
      <w:r w:rsidR="00C630AC" w:rsidRPr="007F0D2F">
        <w:rPr>
          <w:rFonts w:ascii="Arial" w:hAnsi="Arial" w:cs="Arial"/>
          <w:szCs w:val="22"/>
        </w:rPr>
        <w:t>MATERI</w:t>
      </w:r>
      <w:r w:rsidR="00D95995">
        <w:rPr>
          <w:rFonts w:ascii="Arial" w:hAnsi="Arial" w:cs="Arial"/>
          <w:szCs w:val="22"/>
        </w:rPr>
        <w:t>a</w:t>
      </w:r>
      <w:r w:rsidR="00C630AC" w:rsidRPr="007F0D2F">
        <w:rPr>
          <w:rFonts w:ascii="Arial" w:hAnsi="Arial" w:cs="Arial"/>
          <w:szCs w:val="22"/>
        </w:rPr>
        <w:t>LS AND METHODS</w:t>
      </w:r>
      <w:r w:rsidR="00282F9E">
        <w:rPr>
          <w:rFonts w:ascii="Arial" w:hAnsi="Arial" w:cs="Arial"/>
          <w:szCs w:val="22"/>
        </w:rPr>
        <w:t>.</w:t>
      </w:r>
    </w:p>
    <w:p w14:paraId="5A850549" w14:textId="3C28A5D9" w:rsidR="006805C8" w:rsidRPr="007F0D2F" w:rsidRDefault="006805C8" w:rsidP="00CF22A7">
      <w:pPr>
        <w:pStyle w:val="AbstHead"/>
        <w:spacing w:after="0"/>
        <w:jc w:val="both"/>
        <w:rPr>
          <w:rFonts w:ascii="Arial" w:hAnsi="Arial" w:cs="Arial"/>
          <w:szCs w:val="22"/>
        </w:rPr>
      </w:pPr>
      <w:r w:rsidRPr="007F0D2F">
        <w:rPr>
          <w:rFonts w:ascii="Arial" w:hAnsi="Arial" w:cs="Arial"/>
          <w:szCs w:val="22"/>
        </w:rPr>
        <w:t xml:space="preserve"> </w:t>
      </w:r>
    </w:p>
    <w:p w14:paraId="7E6F57FC" w14:textId="33263C88"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This </w:t>
      </w:r>
      <w:proofErr w:type="gramStart"/>
      <w:r w:rsidRPr="00A95826">
        <w:rPr>
          <w:rFonts w:ascii="Arial" w:hAnsi="Arial" w:cs="Arial"/>
          <w:sz w:val="22"/>
          <w:szCs w:val="22"/>
        </w:rPr>
        <w:t>cross sectional</w:t>
      </w:r>
      <w:proofErr w:type="gramEnd"/>
      <w:r w:rsidRPr="00A95826">
        <w:rPr>
          <w:rFonts w:ascii="Arial" w:hAnsi="Arial" w:cs="Arial"/>
          <w:sz w:val="22"/>
          <w:szCs w:val="22"/>
        </w:rPr>
        <w:t xml:space="preserve"> study </w:t>
      </w:r>
      <w:r w:rsidRPr="007F0D2F">
        <w:rPr>
          <w:rFonts w:ascii="Arial" w:hAnsi="Arial" w:cs="Arial"/>
          <w:sz w:val="22"/>
          <w:szCs w:val="22"/>
        </w:rPr>
        <w:t xml:space="preserve">was carried out between January and April 2023 in Gwagwalada Area, Abuja, North-Central Nigeria. </w:t>
      </w:r>
      <w:r w:rsidRPr="007F0D2F">
        <w:rPr>
          <w:rFonts w:ascii="Arial" w:hAnsi="Arial" w:cs="Arial"/>
          <w:sz w:val="22"/>
          <w:szCs w:val="22"/>
          <w:shd w:val="clear" w:color="auto" w:fill="FFFFFF"/>
        </w:rPr>
        <w:t>The four major motor parks in Gwagwalada, were selected for the study, namely:</w:t>
      </w:r>
      <w:r w:rsidRPr="007F0D2F">
        <w:rPr>
          <w:rFonts w:ascii="Arial" w:hAnsi="Arial" w:cs="Arial"/>
          <w:sz w:val="22"/>
          <w:szCs w:val="22"/>
        </w:rPr>
        <w:t xml:space="preserve"> </w:t>
      </w:r>
      <w:proofErr w:type="spellStart"/>
      <w:r w:rsidRPr="007F0D2F">
        <w:rPr>
          <w:rFonts w:ascii="Arial" w:hAnsi="Arial" w:cs="Arial"/>
          <w:sz w:val="22"/>
          <w:szCs w:val="22"/>
        </w:rPr>
        <w:t>Wazobia</w:t>
      </w:r>
      <w:proofErr w:type="spellEnd"/>
      <w:r w:rsidRPr="007F0D2F">
        <w:rPr>
          <w:rFonts w:ascii="Arial" w:hAnsi="Arial" w:cs="Arial"/>
          <w:sz w:val="22"/>
          <w:szCs w:val="22"/>
        </w:rPr>
        <w:t xml:space="preserve">, SDP, Zaria-Kano and Branch-Two, with the motor parks having about 75, </w:t>
      </w:r>
      <w:proofErr w:type="gramStart"/>
      <w:r w:rsidRPr="007F0D2F">
        <w:rPr>
          <w:rFonts w:ascii="Arial" w:hAnsi="Arial" w:cs="Arial"/>
          <w:sz w:val="22"/>
          <w:szCs w:val="22"/>
        </w:rPr>
        <w:t>100 ,</w:t>
      </w:r>
      <w:proofErr w:type="gramEnd"/>
      <w:r w:rsidRPr="007F0D2F">
        <w:rPr>
          <w:rFonts w:ascii="Arial" w:hAnsi="Arial" w:cs="Arial"/>
          <w:sz w:val="22"/>
          <w:szCs w:val="22"/>
        </w:rPr>
        <w:t xml:space="preserve"> 50 and 150 CVDs respectively.</w:t>
      </w:r>
    </w:p>
    <w:p w14:paraId="66E800DB" w14:textId="167F49A8" w:rsidR="006805C8" w:rsidRPr="000F553D" w:rsidRDefault="006805C8" w:rsidP="000F553D">
      <w:pPr>
        <w:pStyle w:val="NoSpacing"/>
        <w:spacing w:line="480" w:lineRule="auto"/>
        <w:jc w:val="both"/>
        <w:rPr>
          <w:rFonts w:ascii="Arial" w:hAnsi="Arial" w:cs="Arial"/>
          <w:sz w:val="22"/>
          <w:szCs w:val="22"/>
        </w:rPr>
      </w:pPr>
      <w:r w:rsidRPr="007F0D2F">
        <w:rPr>
          <w:rFonts w:ascii="Arial" w:hAnsi="Arial" w:cs="Arial"/>
          <w:sz w:val="22"/>
          <w:szCs w:val="22"/>
        </w:rPr>
        <w:t xml:space="preserve">Ethical clearance was obtained from the Health Research Ethics Committee (HREC) of the University of Abuja Teaching Hospital. The study procedures followed the tenets of the Helsinki declaration. Permission was also obtained from chairmen of respective motor parks to enable recruitment of CVDs as participants for the study. </w:t>
      </w:r>
      <w:r w:rsidR="00636761">
        <w:rPr>
          <w:rFonts w:ascii="Arial" w:hAnsi="Arial" w:cs="Arial"/>
          <w:sz w:val="22"/>
          <w:szCs w:val="22"/>
        </w:rPr>
        <w:t>W</w:t>
      </w:r>
      <w:r w:rsidRPr="007F0D2F">
        <w:rPr>
          <w:rFonts w:ascii="Arial" w:hAnsi="Arial" w:cs="Arial"/>
          <w:sz w:val="22"/>
          <w:szCs w:val="22"/>
          <w:shd w:val="clear" w:color="auto" w:fill="FFFFFF"/>
        </w:rPr>
        <w:t>ritten informed consent was obtained from consecutive drivers who agreed to participate in the interview and ocular examinations.</w:t>
      </w:r>
      <w:r w:rsidRPr="007F0D2F">
        <w:rPr>
          <w:rFonts w:ascii="Arial" w:hAnsi="Arial" w:cs="Arial"/>
          <w:sz w:val="22"/>
          <w:szCs w:val="22"/>
        </w:rPr>
        <w:t xml:space="preserve"> Consenting participants who were aged 18 years and above and had minimum of one-year driving experience were recruited into the study while those with hearing difficulty were excluded. The sample size was calculated using the Cochran formulae for estimating sample size for a cross-sectional study (with a qualitative outcome variable).</w:t>
      </w:r>
      <w:r w:rsidR="000F553D">
        <w:rPr>
          <w:rFonts w:ascii="Arial" w:hAnsi="Arial" w:cs="Arial"/>
          <w:sz w:val="22"/>
          <w:szCs w:val="22"/>
          <w:vertAlign w:val="superscript"/>
        </w:rPr>
        <w:t>15</w:t>
      </w:r>
      <w:r w:rsidR="000F553D" w:rsidRPr="007F0D2F">
        <w:rPr>
          <w:rFonts w:ascii="Arial" w:eastAsia="Times New Roman" w:hAnsi="Arial" w:cs="Arial"/>
          <w:kern w:val="24"/>
          <w:sz w:val="22"/>
          <w:szCs w:val="22"/>
        </w:rPr>
        <w:t xml:space="preserve"> </w:t>
      </w:r>
      <w:r w:rsidRPr="007F0D2F">
        <w:rPr>
          <w:rFonts w:ascii="Arial" w:eastAsia="Times New Roman" w:hAnsi="Arial" w:cs="Arial"/>
          <w:kern w:val="24"/>
          <w:sz w:val="22"/>
          <w:szCs w:val="22"/>
        </w:rPr>
        <w:t>The minimum sample size was given by the formulae:</w:t>
      </w:r>
    </w:p>
    <w:p w14:paraId="6D75D056"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 xml:space="preserve"> n = </w:t>
      </w:r>
      <w:r w:rsidRPr="007F0D2F">
        <w:rPr>
          <w:rFonts w:ascii="Arial" w:hAnsi="Arial" w:cs="Arial"/>
          <w:sz w:val="22"/>
          <w:szCs w:val="22"/>
          <w:u w:val="single"/>
        </w:rPr>
        <w:t>Z</w:t>
      </w:r>
      <w:r w:rsidRPr="007F0D2F">
        <w:rPr>
          <w:rFonts w:ascii="Arial" w:hAnsi="Arial" w:cs="Arial"/>
          <w:sz w:val="22"/>
          <w:szCs w:val="22"/>
          <w:u w:val="single"/>
          <w:vertAlign w:val="subscript"/>
        </w:rPr>
        <w:t>1-ɑ/2</w:t>
      </w:r>
      <w:r w:rsidRPr="007F0D2F">
        <w:rPr>
          <w:rFonts w:ascii="Arial" w:hAnsi="Arial" w:cs="Arial"/>
          <w:sz w:val="22"/>
          <w:szCs w:val="22"/>
          <w:u w:val="single"/>
          <w:vertAlign w:val="superscript"/>
        </w:rPr>
        <w:t xml:space="preserve">2 </w:t>
      </w:r>
      <w:r w:rsidRPr="007F0D2F">
        <w:rPr>
          <w:rFonts w:ascii="Arial" w:hAnsi="Arial" w:cs="Arial"/>
          <w:sz w:val="22"/>
          <w:szCs w:val="22"/>
          <w:u w:val="single"/>
        </w:rPr>
        <w:t>P(1-P)</w:t>
      </w:r>
      <w:r w:rsidRPr="007F0D2F">
        <w:rPr>
          <w:rFonts w:ascii="Arial" w:hAnsi="Arial" w:cs="Arial"/>
          <w:sz w:val="22"/>
          <w:szCs w:val="22"/>
        </w:rPr>
        <w:tab/>
      </w:r>
      <w:r w:rsidRPr="007F0D2F">
        <w:rPr>
          <w:rFonts w:ascii="Arial" w:hAnsi="Arial" w:cs="Arial"/>
          <w:sz w:val="22"/>
          <w:szCs w:val="22"/>
        </w:rPr>
        <w:tab/>
        <w:t>n</w:t>
      </w:r>
      <w:r w:rsidRPr="007F0D2F">
        <w:rPr>
          <w:rFonts w:ascii="Arial" w:hAnsi="Arial" w:cs="Arial"/>
          <w:sz w:val="22"/>
          <w:szCs w:val="22"/>
          <w:vertAlign w:val="subscript"/>
        </w:rPr>
        <w:t>1</w:t>
      </w:r>
      <w:r w:rsidRPr="007F0D2F">
        <w:rPr>
          <w:rFonts w:ascii="Arial" w:hAnsi="Arial" w:cs="Arial"/>
          <w:sz w:val="22"/>
          <w:szCs w:val="22"/>
        </w:rPr>
        <w:t xml:space="preserve"> =</w:t>
      </w:r>
      <w:r w:rsidRPr="007F0D2F">
        <w:rPr>
          <w:rFonts w:ascii="Arial" w:hAnsi="Arial" w:cs="Arial"/>
          <w:sz w:val="22"/>
          <w:szCs w:val="22"/>
          <w:u w:val="single"/>
        </w:rPr>
        <w:tab/>
        <w:t>n</w:t>
      </w:r>
      <w:r w:rsidRPr="007F0D2F">
        <w:rPr>
          <w:rFonts w:ascii="Arial" w:hAnsi="Arial" w:cs="Arial"/>
          <w:sz w:val="22"/>
          <w:szCs w:val="22"/>
        </w:rPr>
        <w:t xml:space="preserve">_    </w:t>
      </w:r>
    </w:p>
    <w:p w14:paraId="5BC659F8"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ab/>
        <w:t xml:space="preserve">   d</w:t>
      </w:r>
      <w:r w:rsidRPr="007F0D2F">
        <w:rPr>
          <w:rFonts w:ascii="Arial" w:hAnsi="Arial" w:cs="Arial"/>
          <w:sz w:val="22"/>
          <w:szCs w:val="22"/>
          <w:vertAlign w:val="superscript"/>
        </w:rPr>
        <w:t>2</w:t>
      </w:r>
      <w:r w:rsidRPr="007F0D2F">
        <w:rPr>
          <w:rFonts w:ascii="Arial" w:hAnsi="Arial" w:cs="Arial"/>
          <w:sz w:val="22"/>
          <w:szCs w:val="22"/>
        </w:rPr>
        <w:tab/>
      </w:r>
      <w:r w:rsidRPr="007F0D2F">
        <w:rPr>
          <w:rFonts w:ascii="Arial" w:hAnsi="Arial" w:cs="Arial"/>
          <w:sz w:val="22"/>
          <w:szCs w:val="22"/>
        </w:rPr>
        <w:tab/>
      </w:r>
      <w:r w:rsidRPr="007F0D2F">
        <w:rPr>
          <w:rFonts w:ascii="Arial" w:hAnsi="Arial" w:cs="Arial"/>
          <w:sz w:val="22"/>
          <w:szCs w:val="22"/>
        </w:rPr>
        <w:tab/>
        <w:t xml:space="preserve">      1 + n/N</w:t>
      </w:r>
    </w:p>
    <w:p w14:paraId="63765A21"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Where:</w:t>
      </w:r>
    </w:p>
    <w:p w14:paraId="4E6C986D"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n = minimum sample size for infinite population</w:t>
      </w:r>
    </w:p>
    <w:p w14:paraId="372071C7"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n</w:t>
      </w:r>
      <w:r w:rsidRPr="007F0D2F">
        <w:rPr>
          <w:rFonts w:ascii="Arial" w:hAnsi="Arial" w:cs="Arial"/>
          <w:sz w:val="22"/>
          <w:szCs w:val="22"/>
          <w:vertAlign w:val="subscript"/>
        </w:rPr>
        <w:t xml:space="preserve">1 </w:t>
      </w:r>
      <w:r w:rsidRPr="007F0D2F">
        <w:rPr>
          <w:rFonts w:ascii="Arial" w:hAnsi="Arial" w:cs="Arial"/>
          <w:sz w:val="22"/>
          <w:szCs w:val="22"/>
        </w:rPr>
        <w:t>= minimum sample size for finite population of CVDs at the study area</w:t>
      </w:r>
    </w:p>
    <w:p w14:paraId="72B9B382"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N = estimate of the finite population= 375</w:t>
      </w:r>
    </w:p>
    <w:p w14:paraId="592888B9"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sz w:val="22"/>
          <w:szCs w:val="22"/>
        </w:rPr>
        <w:lastRenderedPageBreak/>
        <w:t>Z</w:t>
      </w:r>
      <w:r w:rsidRPr="007F0D2F">
        <w:rPr>
          <w:rFonts w:ascii="Arial" w:hAnsi="Arial" w:cs="Arial"/>
          <w:sz w:val="22"/>
          <w:szCs w:val="22"/>
          <w:vertAlign w:val="subscript"/>
        </w:rPr>
        <w:t>1-ɑ/2</w:t>
      </w:r>
      <w:r w:rsidRPr="007F0D2F">
        <w:rPr>
          <w:rFonts w:ascii="Arial" w:hAnsi="Arial" w:cs="Arial"/>
          <w:sz w:val="22"/>
          <w:szCs w:val="22"/>
          <w:vertAlign w:val="superscript"/>
        </w:rPr>
        <w:t>2</w:t>
      </w:r>
      <w:r w:rsidRPr="007F0D2F">
        <w:rPr>
          <w:rFonts w:ascii="Arial" w:hAnsi="Arial" w:cs="Arial"/>
          <w:sz w:val="22"/>
          <w:szCs w:val="22"/>
        </w:rPr>
        <w:t xml:space="preserve"> = percentile of the standard normal distribution corresponding to the required (two-sided) significance level (ɑ) of 0.05 (95% Confidence Interval) = 1.96</w:t>
      </w:r>
    </w:p>
    <w:p w14:paraId="0311FCD9"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P = expected proportion based on previous study</w:t>
      </w:r>
      <w:r w:rsidRPr="007F0D2F">
        <w:rPr>
          <w:rStyle w:val="EndnoteReference"/>
          <w:rFonts w:ascii="Arial" w:hAnsi="Arial" w:cs="Arial"/>
          <w:kern w:val="24"/>
          <w:sz w:val="22"/>
          <w:szCs w:val="22"/>
        </w:rPr>
        <w:endnoteReference w:id="1"/>
      </w:r>
      <w:r w:rsidRPr="007F0D2F">
        <w:rPr>
          <w:rFonts w:ascii="Arial" w:hAnsi="Arial" w:cs="Arial"/>
          <w:kern w:val="24"/>
          <w:sz w:val="22"/>
          <w:szCs w:val="22"/>
        </w:rPr>
        <w:t xml:space="preserve"> = 3.3% (0.033)</w:t>
      </w:r>
    </w:p>
    <w:p w14:paraId="641DC9ED"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d = absolute margin of error or precision = 2% (0.02)</w:t>
      </w:r>
    </w:p>
    <w:p w14:paraId="65D872AC"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 xml:space="preserve">n = </w:t>
      </w:r>
      <w:r w:rsidRPr="007F0D2F">
        <w:rPr>
          <w:rFonts w:ascii="Arial" w:hAnsi="Arial" w:cs="Arial"/>
          <w:kern w:val="24"/>
          <w:sz w:val="22"/>
          <w:szCs w:val="22"/>
          <w:u w:val="single"/>
        </w:rPr>
        <w:t>(1.96)</w:t>
      </w:r>
      <w:r w:rsidRPr="007F0D2F">
        <w:rPr>
          <w:rFonts w:ascii="Arial" w:hAnsi="Arial" w:cs="Arial"/>
          <w:kern w:val="24"/>
          <w:sz w:val="22"/>
          <w:szCs w:val="22"/>
          <w:u w:val="single"/>
          <w:vertAlign w:val="superscript"/>
        </w:rPr>
        <w:t>2</w:t>
      </w:r>
      <w:r w:rsidRPr="007F0D2F">
        <w:rPr>
          <w:rFonts w:ascii="Arial" w:hAnsi="Arial" w:cs="Arial"/>
          <w:kern w:val="24"/>
          <w:sz w:val="22"/>
          <w:szCs w:val="22"/>
          <w:u w:val="single"/>
        </w:rPr>
        <w:t xml:space="preserve"> x 0.033 (1 </w:t>
      </w:r>
      <w:r w:rsidRPr="007F0D2F">
        <w:rPr>
          <w:rFonts w:ascii="Arial" w:hAnsi="Arial" w:cs="Arial"/>
          <w:b/>
          <w:kern w:val="24"/>
          <w:sz w:val="22"/>
          <w:szCs w:val="22"/>
          <w:u w:val="single"/>
        </w:rPr>
        <w:t xml:space="preserve">– </w:t>
      </w:r>
      <w:r w:rsidRPr="007F0D2F">
        <w:rPr>
          <w:rFonts w:ascii="Arial" w:hAnsi="Arial" w:cs="Arial"/>
          <w:kern w:val="24"/>
          <w:sz w:val="22"/>
          <w:szCs w:val="22"/>
          <w:u w:val="single"/>
        </w:rPr>
        <w:t>0.033)</w:t>
      </w:r>
      <w:r w:rsidRPr="007F0D2F">
        <w:rPr>
          <w:rFonts w:ascii="Arial" w:hAnsi="Arial" w:cs="Arial"/>
          <w:kern w:val="24"/>
          <w:sz w:val="22"/>
          <w:szCs w:val="22"/>
        </w:rPr>
        <w:t xml:space="preserve"> = </w:t>
      </w:r>
      <w:r w:rsidRPr="007F0D2F">
        <w:rPr>
          <w:rFonts w:ascii="Arial" w:hAnsi="Arial" w:cs="Arial"/>
          <w:kern w:val="24"/>
          <w:sz w:val="22"/>
          <w:szCs w:val="22"/>
          <w:u w:val="single"/>
        </w:rPr>
        <w:t>3.8416 x 0.033 x 0.967</w:t>
      </w:r>
      <w:r w:rsidRPr="007F0D2F">
        <w:rPr>
          <w:rFonts w:ascii="Arial" w:hAnsi="Arial" w:cs="Arial"/>
          <w:kern w:val="24"/>
          <w:sz w:val="22"/>
          <w:szCs w:val="22"/>
        </w:rPr>
        <w:t xml:space="preserve"> = </w:t>
      </w:r>
      <w:r w:rsidRPr="007F0D2F">
        <w:rPr>
          <w:rFonts w:ascii="Arial" w:hAnsi="Arial" w:cs="Arial"/>
          <w:kern w:val="24"/>
          <w:sz w:val="22"/>
          <w:szCs w:val="22"/>
          <w:u w:val="single"/>
        </w:rPr>
        <w:t>0.122589</w:t>
      </w:r>
      <w:r w:rsidRPr="007F0D2F">
        <w:rPr>
          <w:rFonts w:ascii="Arial" w:hAnsi="Arial" w:cs="Arial"/>
          <w:kern w:val="24"/>
          <w:sz w:val="22"/>
          <w:szCs w:val="22"/>
        </w:rPr>
        <w:t xml:space="preserve"> = 306</w:t>
      </w:r>
    </w:p>
    <w:p w14:paraId="3BB41EB4"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ab/>
      </w:r>
      <w:r w:rsidRPr="007F0D2F">
        <w:rPr>
          <w:rFonts w:ascii="Arial" w:hAnsi="Arial" w:cs="Arial"/>
          <w:kern w:val="24"/>
          <w:sz w:val="22"/>
          <w:szCs w:val="22"/>
        </w:rPr>
        <w:tab/>
        <w:t>(0.02)</w:t>
      </w:r>
      <w:r w:rsidRPr="007F0D2F">
        <w:rPr>
          <w:rFonts w:ascii="Arial" w:hAnsi="Arial" w:cs="Arial"/>
          <w:kern w:val="24"/>
          <w:sz w:val="22"/>
          <w:szCs w:val="22"/>
          <w:vertAlign w:val="superscript"/>
        </w:rPr>
        <w:t>2</w:t>
      </w:r>
      <w:r w:rsidRPr="007F0D2F">
        <w:rPr>
          <w:rFonts w:ascii="Arial" w:hAnsi="Arial" w:cs="Arial"/>
          <w:kern w:val="24"/>
          <w:sz w:val="22"/>
          <w:szCs w:val="22"/>
        </w:rPr>
        <w:tab/>
      </w:r>
      <w:r w:rsidRPr="007F0D2F">
        <w:rPr>
          <w:rFonts w:ascii="Arial" w:hAnsi="Arial" w:cs="Arial"/>
          <w:kern w:val="24"/>
          <w:sz w:val="22"/>
          <w:szCs w:val="22"/>
        </w:rPr>
        <w:tab/>
      </w:r>
      <w:r w:rsidRPr="007F0D2F">
        <w:rPr>
          <w:rFonts w:ascii="Arial" w:hAnsi="Arial" w:cs="Arial"/>
          <w:kern w:val="24"/>
          <w:sz w:val="22"/>
          <w:szCs w:val="22"/>
        </w:rPr>
        <w:tab/>
      </w:r>
      <w:r w:rsidRPr="007F0D2F">
        <w:rPr>
          <w:rFonts w:ascii="Arial" w:hAnsi="Arial" w:cs="Arial"/>
          <w:kern w:val="24"/>
          <w:sz w:val="22"/>
          <w:szCs w:val="22"/>
        </w:rPr>
        <w:tab/>
        <w:t>0.0004</w:t>
      </w:r>
      <w:r w:rsidRPr="007F0D2F">
        <w:rPr>
          <w:rFonts w:ascii="Arial" w:hAnsi="Arial" w:cs="Arial"/>
          <w:kern w:val="24"/>
          <w:sz w:val="22"/>
          <w:szCs w:val="22"/>
        </w:rPr>
        <w:tab/>
      </w:r>
      <w:r w:rsidRPr="007F0D2F">
        <w:rPr>
          <w:rFonts w:ascii="Arial" w:hAnsi="Arial" w:cs="Arial"/>
          <w:kern w:val="24"/>
          <w:sz w:val="22"/>
          <w:szCs w:val="22"/>
        </w:rPr>
        <w:tab/>
        <w:t xml:space="preserve"> 0.0004</w:t>
      </w:r>
    </w:p>
    <w:p w14:paraId="080AC0A7"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Accounting for the finite estimated population of CVDs:</w:t>
      </w:r>
    </w:p>
    <w:p w14:paraId="1F8D714E" w14:textId="77777777" w:rsidR="006805C8" w:rsidRPr="007F0D2F" w:rsidRDefault="006805C8" w:rsidP="006805C8">
      <w:pPr>
        <w:pStyle w:val="NoSpacing"/>
        <w:spacing w:line="480" w:lineRule="auto"/>
        <w:jc w:val="both"/>
        <w:rPr>
          <w:rFonts w:ascii="Arial" w:hAnsi="Arial" w:cs="Arial"/>
          <w:sz w:val="22"/>
          <w:szCs w:val="22"/>
          <w:u w:val="single"/>
        </w:rPr>
      </w:pPr>
      <w:r w:rsidRPr="007F0D2F">
        <w:rPr>
          <w:rFonts w:ascii="Arial" w:hAnsi="Arial" w:cs="Arial"/>
          <w:sz w:val="22"/>
          <w:szCs w:val="22"/>
        </w:rPr>
        <w:t>n</w:t>
      </w:r>
      <w:r w:rsidRPr="007F0D2F">
        <w:rPr>
          <w:rFonts w:ascii="Arial" w:hAnsi="Arial" w:cs="Arial"/>
          <w:sz w:val="22"/>
          <w:szCs w:val="22"/>
          <w:vertAlign w:val="subscript"/>
        </w:rPr>
        <w:t xml:space="preserve">1 </w:t>
      </w:r>
      <w:proofErr w:type="gramStart"/>
      <w:r w:rsidRPr="007F0D2F">
        <w:rPr>
          <w:rFonts w:ascii="Arial" w:hAnsi="Arial" w:cs="Arial"/>
          <w:sz w:val="22"/>
          <w:szCs w:val="22"/>
          <w:vertAlign w:val="subscript"/>
        </w:rPr>
        <w:t xml:space="preserve">= </w:t>
      </w:r>
      <w:r w:rsidRPr="007F0D2F">
        <w:rPr>
          <w:rFonts w:ascii="Arial" w:hAnsi="Arial" w:cs="Arial"/>
          <w:sz w:val="22"/>
          <w:szCs w:val="22"/>
        </w:rPr>
        <w:t xml:space="preserve"> </w:t>
      </w:r>
      <w:r w:rsidRPr="007F0D2F">
        <w:rPr>
          <w:rFonts w:ascii="Arial" w:hAnsi="Arial" w:cs="Arial"/>
          <w:sz w:val="22"/>
          <w:szCs w:val="22"/>
          <w:u w:val="single"/>
        </w:rPr>
        <w:t>306</w:t>
      </w:r>
      <w:proofErr w:type="gramEnd"/>
      <w:r w:rsidRPr="007F0D2F">
        <w:rPr>
          <w:rFonts w:ascii="Arial" w:hAnsi="Arial" w:cs="Arial"/>
          <w:sz w:val="22"/>
          <w:szCs w:val="22"/>
          <w:u w:val="single"/>
        </w:rPr>
        <w:tab/>
        <w:t xml:space="preserve">  </w:t>
      </w:r>
      <w:r w:rsidRPr="007F0D2F">
        <w:rPr>
          <w:rFonts w:ascii="Arial" w:hAnsi="Arial" w:cs="Arial"/>
          <w:sz w:val="22"/>
          <w:szCs w:val="22"/>
        </w:rPr>
        <w:t xml:space="preserve">= </w:t>
      </w:r>
      <w:r w:rsidRPr="007F0D2F">
        <w:rPr>
          <w:rFonts w:ascii="Arial" w:hAnsi="Arial" w:cs="Arial"/>
          <w:sz w:val="22"/>
          <w:szCs w:val="22"/>
          <w:u w:val="single"/>
        </w:rPr>
        <w:t xml:space="preserve">306   </w:t>
      </w:r>
      <w:r w:rsidRPr="007F0D2F">
        <w:rPr>
          <w:rFonts w:ascii="Arial" w:hAnsi="Arial" w:cs="Arial"/>
          <w:sz w:val="22"/>
          <w:szCs w:val="22"/>
        </w:rPr>
        <w:t xml:space="preserve">      =  </w:t>
      </w:r>
      <w:r w:rsidRPr="007F0D2F">
        <w:rPr>
          <w:rFonts w:ascii="Arial" w:hAnsi="Arial" w:cs="Arial"/>
          <w:sz w:val="22"/>
          <w:szCs w:val="22"/>
          <w:u w:val="single"/>
        </w:rPr>
        <w:t xml:space="preserve">306   </w:t>
      </w:r>
      <w:r w:rsidRPr="007F0D2F">
        <w:rPr>
          <w:rFonts w:ascii="Arial" w:hAnsi="Arial" w:cs="Arial"/>
          <w:sz w:val="22"/>
          <w:szCs w:val="22"/>
        </w:rPr>
        <w:t xml:space="preserve"> =169</w:t>
      </w:r>
    </w:p>
    <w:p w14:paraId="10407E60"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 xml:space="preserve">       1+ 306/375   1+ 0.816      1.816</w:t>
      </w:r>
    </w:p>
    <w:p w14:paraId="153CF5D4"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Accounting for 90% response rate (10% attrition rate):</w:t>
      </w:r>
    </w:p>
    <w:p w14:paraId="5EAF8E65"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n</w:t>
      </w:r>
      <w:r w:rsidRPr="007F0D2F">
        <w:rPr>
          <w:rFonts w:ascii="Arial" w:hAnsi="Arial" w:cs="Arial"/>
          <w:sz w:val="22"/>
          <w:szCs w:val="22"/>
          <w:vertAlign w:val="subscript"/>
        </w:rPr>
        <w:t>1</w:t>
      </w:r>
      <w:r w:rsidRPr="007F0D2F">
        <w:rPr>
          <w:rFonts w:ascii="Arial" w:hAnsi="Arial" w:cs="Arial"/>
          <w:sz w:val="22"/>
          <w:szCs w:val="22"/>
        </w:rPr>
        <w:t xml:space="preserve"> = 169/ 0.90 </w:t>
      </w:r>
    </w:p>
    <w:p w14:paraId="0FF6A45E" w14:textId="77777777" w:rsidR="006805C8" w:rsidRPr="007F0D2F" w:rsidRDefault="006805C8" w:rsidP="006805C8">
      <w:pPr>
        <w:pStyle w:val="NoSpacing"/>
        <w:spacing w:line="480" w:lineRule="auto"/>
        <w:jc w:val="both"/>
        <w:rPr>
          <w:rFonts w:ascii="Arial" w:eastAsia="Times New Roman" w:hAnsi="Arial" w:cs="Arial"/>
          <w:kern w:val="24"/>
          <w:sz w:val="22"/>
          <w:szCs w:val="22"/>
        </w:rPr>
      </w:pPr>
      <w:r w:rsidRPr="007F0D2F">
        <w:rPr>
          <w:rFonts w:ascii="Arial" w:hAnsi="Arial" w:cs="Arial"/>
          <w:sz w:val="22"/>
          <w:szCs w:val="22"/>
        </w:rPr>
        <w:t xml:space="preserve">= </w:t>
      </w:r>
      <w:r w:rsidRPr="007F0D2F">
        <w:rPr>
          <w:rFonts w:ascii="Arial" w:hAnsi="Arial" w:cs="Arial"/>
          <w:b/>
          <w:sz w:val="22"/>
          <w:szCs w:val="22"/>
        </w:rPr>
        <w:t>188</w:t>
      </w:r>
      <w:r w:rsidRPr="007F0D2F">
        <w:rPr>
          <w:rFonts w:ascii="Arial" w:hAnsi="Arial" w:cs="Arial"/>
          <w:sz w:val="22"/>
          <w:szCs w:val="22"/>
        </w:rPr>
        <w:t xml:space="preserve"> </w:t>
      </w:r>
    </w:p>
    <w:p w14:paraId="040C5E4D"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 xml:space="preserve">Participants were recruited using the non-probability purposive sampling method. An interviewer administered semi-structured questionnaire was used to obtain information on socio-demographics of the participants, ophthalmic, driving and RTA history of the participants, ophthalmic examinations findings and ophthalmic assessment and record of management action, which included counselling and medical referral.  </w:t>
      </w:r>
    </w:p>
    <w:p w14:paraId="698A73A1" w14:textId="61103CE6" w:rsidR="006805C8" w:rsidRPr="007F0D2F" w:rsidRDefault="000C1DA6" w:rsidP="006805C8">
      <w:pPr>
        <w:pStyle w:val="NoSpacing"/>
        <w:spacing w:line="480" w:lineRule="auto"/>
        <w:jc w:val="both"/>
        <w:rPr>
          <w:rFonts w:ascii="Arial" w:hAnsi="Arial" w:cs="Arial"/>
          <w:sz w:val="22"/>
          <w:szCs w:val="22"/>
        </w:rPr>
      </w:pPr>
      <w:r w:rsidRPr="007F0D2F">
        <w:rPr>
          <w:rFonts w:ascii="Arial" w:hAnsi="Arial" w:cs="Arial"/>
          <w:b/>
          <w:sz w:val="22"/>
          <w:szCs w:val="22"/>
        </w:rPr>
        <w:t>2</w:t>
      </w:r>
      <w:r w:rsidR="0061436B" w:rsidRPr="007F0D2F">
        <w:rPr>
          <w:rFonts w:ascii="Arial" w:hAnsi="Arial" w:cs="Arial"/>
          <w:b/>
          <w:sz w:val="22"/>
          <w:szCs w:val="22"/>
        </w:rPr>
        <w:t xml:space="preserve">.1 </w:t>
      </w:r>
      <w:r w:rsidR="006805C8" w:rsidRPr="007F0D2F">
        <w:rPr>
          <w:rFonts w:ascii="Arial" w:hAnsi="Arial" w:cs="Arial"/>
          <w:b/>
          <w:sz w:val="22"/>
          <w:szCs w:val="22"/>
        </w:rPr>
        <w:t xml:space="preserve">Evaluation of Visual Functions: </w:t>
      </w:r>
      <w:r w:rsidR="006805C8" w:rsidRPr="007F0D2F">
        <w:rPr>
          <w:rFonts w:ascii="Arial" w:hAnsi="Arial" w:cs="Arial"/>
          <w:sz w:val="22"/>
          <w:szCs w:val="22"/>
        </w:rPr>
        <w:t>Assessment of visual function was conducted in well-lit rooms in the motor parks visited.</w:t>
      </w:r>
    </w:p>
    <w:p w14:paraId="7F82E883" w14:textId="5FA72795" w:rsidR="006805C8" w:rsidRPr="006C353D" w:rsidRDefault="0061436B" w:rsidP="006805C8">
      <w:pPr>
        <w:pStyle w:val="NoSpacing"/>
        <w:spacing w:line="480" w:lineRule="auto"/>
        <w:jc w:val="both"/>
        <w:rPr>
          <w:rFonts w:ascii="Arial" w:hAnsi="Arial" w:cs="Arial"/>
          <w:sz w:val="20"/>
          <w:szCs w:val="20"/>
        </w:rPr>
      </w:pPr>
      <w:r w:rsidRPr="006C353D">
        <w:rPr>
          <w:rFonts w:ascii="Arial" w:hAnsi="Arial" w:cs="Arial"/>
          <w:b/>
          <w:sz w:val="20"/>
          <w:szCs w:val="20"/>
        </w:rPr>
        <w:t>2.1.1</w:t>
      </w:r>
      <w:r w:rsidR="006805C8" w:rsidRPr="006C353D">
        <w:rPr>
          <w:rFonts w:ascii="Arial" w:hAnsi="Arial" w:cs="Arial"/>
          <w:b/>
          <w:sz w:val="20"/>
          <w:szCs w:val="20"/>
        </w:rPr>
        <w:t>Visual Acuity Measurement</w:t>
      </w:r>
    </w:p>
    <w:p w14:paraId="5C1EE18C"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Distance Visual Acuity (VA) was assessed with a portable Peek Acuity vision screening Application on an Android smartphone at 2 meters from the respondent (who had a trial frame on) after measurement with a tape measure. Presenting VA was tested monocularly (with the fellow eye covered with an </w:t>
      </w:r>
      <w:proofErr w:type="spellStart"/>
      <w:r w:rsidRPr="007F0D2F">
        <w:rPr>
          <w:rFonts w:ascii="Arial" w:hAnsi="Arial" w:cs="Arial"/>
          <w:sz w:val="22"/>
          <w:szCs w:val="22"/>
        </w:rPr>
        <w:t>occluder</w:t>
      </w:r>
      <w:proofErr w:type="spellEnd"/>
      <w:r w:rsidRPr="007F0D2F">
        <w:rPr>
          <w:rFonts w:ascii="Arial" w:hAnsi="Arial" w:cs="Arial"/>
          <w:sz w:val="22"/>
          <w:szCs w:val="22"/>
        </w:rPr>
        <w:t>) and with a pinhole (if VA was worse than 6/12).</w:t>
      </w:r>
      <w:r w:rsidRPr="007F0D2F">
        <w:rPr>
          <w:rFonts w:ascii="Arial" w:hAnsi="Arial" w:cs="Arial"/>
          <w:b/>
          <w:sz w:val="22"/>
          <w:szCs w:val="22"/>
        </w:rPr>
        <w:t xml:space="preserve"> </w:t>
      </w:r>
      <w:r w:rsidRPr="007F0D2F">
        <w:rPr>
          <w:rFonts w:ascii="Arial" w:hAnsi="Arial" w:cs="Arial"/>
          <w:sz w:val="22"/>
          <w:szCs w:val="22"/>
        </w:rPr>
        <w:t xml:space="preserve">A series of up to five Tumbling-E optotypes were presented randomly in one of four orientations (up, down, left and right). Participant identified the perceived direction the arms of letter E were pointing, and the examiner swiped the phone’s touch screen in the same direction in response without looking at the phone’s screen. An optotype was presented at a time and the test was concluded automatically when the threshold number of passes (four of five) or fails (two of five) at the 6/12 optotype size was reached. If the </w:t>
      </w:r>
      <w:r w:rsidRPr="007F0D2F">
        <w:rPr>
          <w:rFonts w:ascii="Arial" w:hAnsi="Arial" w:cs="Arial"/>
          <w:sz w:val="22"/>
          <w:szCs w:val="22"/>
        </w:rPr>
        <w:lastRenderedPageBreak/>
        <w:t>participant failed the 6/12 level, the Application would automatically present a 6/60 sized optotype and the test would be repeated to determine whether or not 6/60 could be seen. The final visual acuity was displayed on the screen of the smartphone. If participant could not see the 6/60 optotype, the participant would be asked to count fingers (CF), or to detect hand motions (HM). If the VA was less than this, light perception (LP) or no perception of light (NPL) would be assessed with a pen torch.</w:t>
      </w:r>
    </w:p>
    <w:p w14:paraId="4F4D5E9D" w14:textId="77777777" w:rsidR="0061436B" w:rsidRPr="007F0D2F" w:rsidRDefault="0061436B" w:rsidP="006805C8">
      <w:pPr>
        <w:spacing w:line="480" w:lineRule="auto"/>
        <w:jc w:val="both"/>
        <w:rPr>
          <w:rFonts w:ascii="Arial" w:hAnsi="Arial" w:cs="Arial"/>
          <w:sz w:val="22"/>
          <w:szCs w:val="22"/>
        </w:rPr>
      </w:pPr>
    </w:p>
    <w:p w14:paraId="27BFB0B8" w14:textId="74EA662C" w:rsidR="006805C8" w:rsidRPr="006C353D" w:rsidRDefault="0061436B" w:rsidP="006805C8">
      <w:pPr>
        <w:spacing w:line="480" w:lineRule="auto"/>
        <w:jc w:val="both"/>
        <w:rPr>
          <w:rFonts w:ascii="Arial" w:hAnsi="Arial" w:cs="Arial"/>
          <w:b/>
        </w:rPr>
      </w:pPr>
      <w:r w:rsidRPr="006C353D">
        <w:rPr>
          <w:rFonts w:ascii="Arial" w:hAnsi="Arial" w:cs="Arial"/>
          <w:b/>
        </w:rPr>
        <w:t>2.1</w:t>
      </w:r>
      <w:r w:rsidR="00921640" w:rsidRPr="006C353D">
        <w:rPr>
          <w:rFonts w:ascii="Arial" w:hAnsi="Arial" w:cs="Arial"/>
          <w:b/>
        </w:rPr>
        <w:t xml:space="preserve">.2 </w:t>
      </w:r>
      <w:r w:rsidR="006805C8" w:rsidRPr="006C353D">
        <w:rPr>
          <w:rFonts w:ascii="Arial" w:hAnsi="Arial" w:cs="Arial"/>
          <w:b/>
        </w:rPr>
        <w:t>Contrast Sensitivity Testing</w:t>
      </w:r>
    </w:p>
    <w:p w14:paraId="7FEB5C28"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Contrast sensitivity was assessed monocularly with </w:t>
      </w:r>
      <w:proofErr w:type="spellStart"/>
      <w:r w:rsidRPr="007F0D2F">
        <w:rPr>
          <w:rFonts w:ascii="Arial" w:hAnsi="Arial" w:cs="Arial"/>
          <w:sz w:val="22"/>
          <w:szCs w:val="22"/>
        </w:rPr>
        <w:t>Pelli</w:t>
      </w:r>
      <w:proofErr w:type="spellEnd"/>
      <w:r w:rsidRPr="007F0D2F">
        <w:rPr>
          <w:rFonts w:ascii="Arial" w:hAnsi="Arial" w:cs="Arial"/>
          <w:sz w:val="22"/>
          <w:szCs w:val="22"/>
        </w:rPr>
        <w:t>-Robson contrast sensitivity chart at the standard distance of one meter.</w:t>
      </w:r>
    </w:p>
    <w:p w14:paraId="033B5828" w14:textId="77777777" w:rsidR="006805C8" w:rsidRPr="007F0D2F" w:rsidRDefault="006805C8" w:rsidP="006805C8">
      <w:pPr>
        <w:spacing w:line="480" w:lineRule="auto"/>
        <w:jc w:val="both"/>
        <w:rPr>
          <w:rFonts w:ascii="Arial" w:hAnsi="Arial" w:cs="Arial"/>
          <w:sz w:val="22"/>
          <w:szCs w:val="22"/>
        </w:rPr>
      </w:pPr>
      <w:proofErr w:type="spellStart"/>
      <w:r w:rsidRPr="007F0D2F">
        <w:rPr>
          <w:rFonts w:ascii="Arial" w:hAnsi="Arial" w:cs="Arial"/>
          <w:sz w:val="22"/>
          <w:szCs w:val="22"/>
        </w:rPr>
        <w:t>Pelli</w:t>
      </w:r>
      <w:proofErr w:type="spellEnd"/>
      <w:r w:rsidRPr="007F0D2F">
        <w:rPr>
          <w:rFonts w:ascii="Arial" w:hAnsi="Arial" w:cs="Arial"/>
          <w:sz w:val="22"/>
          <w:szCs w:val="22"/>
        </w:rPr>
        <w:t xml:space="preserve">-Robson test measures contrast sensitivity using a group of three letters of the same contrast level and optotype size. A </w:t>
      </w:r>
      <w:proofErr w:type="spellStart"/>
      <w:r w:rsidRPr="007F0D2F">
        <w:rPr>
          <w:rFonts w:ascii="Arial" w:hAnsi="Arial" w:cs="Arial"/>
          <w:sz w:val="22"/>
          <w:szCs w:val="22"/>
        </w:rPr>
        <w:t>Pelli</w:t>
      </w:r>
      <w:proofErr w:type="spellEnd"/>
      <w:r w:rsidRPr="007F0D2F">
        <w:rPr>
          <w:rFonts w:ascii="Arial" w:hAnsi="Arial" w:cs="Arial"/>
          <w:sz w:val="22"/>
          <w:szCs w:val="22"/>
        </w:rPr>
        <w:t xml:space="preserve">-Robson test chart with 6/10 optotype size, arranged with contrast varying across groups of letters from high to low, was used. Participants read the letters, starting with the highest contrast, until they were unable to read two or three letters in a single group. Participant were assigned a score based on the contrast of the last group in which two or three letters were correctly read. A score of 2 or Log 2 meant that the participant was able to read at least two of the three letters with a contrast of 100 per cent. A </w:t>
      </w:r>
      <w:proofErr w:type="spellStart"/>
      <w:r w:rsidRPr="007F0D2F">
        <w:rPr>
          <w:rFonts w:ascii="Arial" w:hAnsi="Arial" w:cs="Arial"/>
          <w:sz w:val="22"/>
          <w:szCs w:val="22"/>
        </w:rPr>
        <w:t>Pelli</w:t>
      </w:r>
      <w:proofErr w:type="spellEnd"/>
      <w:r w:rsidRPr="007F0D2F">
        <w:rPr>
          <w:rFonts w:ascii="Arial" w:hAnsi="Arial" w:cs="Arial"/>
          <w:sz w:val="22"/>
          <w:szCs w:val="22"/>
        </w:rPr>
        <w:t>-Robson score less than 2.0 indicated poorer contrast sensitivity.</w:t>
      </w:r>
    </w:p>
    <w:p w14:paraId="16B1A01F" w14:textId="288AA14B" w:rsidR="006805C8" w:rsidRPr="006C353D" w:rsidRDefault="00921640" w:rsidP="006805C8">
      <w:pPr>
        <w:spacing w:line="480" w:lineRule="auto"/>
        <w:jc w:val="both"/>
        <w:rPr>
          <w:rFonts w:ascii="Arial" w:hAnsi="Arial" w:cs="Arial"/>
          <w:b/>
        </w:rPr>
      </w:pPr>
      <w:r w:rsidRPr="006C353D">
        <w:rPr>
          <w:rFonts w:ascii="Arial" w:hAnsi="Arial" w:cs="Arial"/>
          <w:b/>
        </w:rPr>
        <w:t xml:space="preserve">2.1.3 </w:t>
      </w:r>
      <w:proofErr w:type="spellStart"/>
      <w:r w:rsidR="006805C8" w:rsidRPr="006C353D">
        <w:rPr>
          <w:rFonts w:ascii="Arial" w:hAnsi="Arial" w:cs="Arial"/>
          <w:b/>
        </w:rPr>
        <w:t>Colour</w:t>
      </w:r>
      <w:proofErr w:type="spellEnd"/>
      <w:r w:rsidR="006805C8" w:rsidRPr="006C353D">
        <w:rPr>
          <w:rFonts w:ascii="Arial" w:hAnsi="Arial" w:cs="Arial"/>
          <w:b/>
        </w:rPr>
        <w:t xml:space="preserve"> Vision Testing</w:t>
      </w:r>
    </w:p>
    <w:p w14:paraId="37587179" w14:textId="77777777" w:rsidR="006805C8" w:rsidRPr="007F0D2F" w:rsidRDefault="006805C8" w:rsidP="006805C8">
      <w:pPr>
        <w:spacing w:line="480" w:lineRule="auto"/>
        <w:jc w:val="both"/>
        <w:rPr>
          <w:rFonts w:ascii="Arial" w:hAnsi="Arial" w:cs="Arial"/>
          <w:sz w:val="22"/>
          <w:szCs w:val="22"/>
        </w:rPr>
      </w:pPr>
      <w:proofErr w:type="spellStart"/>
      <w:r w:rsidRPr="007F0D2F">
        <w:rPr>
          <w:rFonts w:ascii="Arial" w:hAnsi="Arial" w:cs="Arial"/>
          <w:sz w:val="22"/>
          <w:szCs w:val="22"/>
        </w:rPr>
        <w:t>Colour</w:t>
      </w:r>
      <w:proofErr w:type="spellEnd"/>
      <w:r w:rsidRPr="007F0D2F">
        <w:rPr>
          <w:rFonts w:ascii="Arial" w:hAnsi="Arial" w:cs="Arial"/>
          <w:sz w:val="22"/>
          <w:szCs w:val="22"/>
        </w:rPr>
        <w:t xml:space="preserve"> vision was tested monocularly using Ishihara pseudoisochromatic plates held at arm’s length from the subject. Any participant on reading glasses was made to wear same for assessment. With only the test eye opened, participant was asked to read the ‘test plate’ for contrast sensitivity. If the participant was unable to read the test plate, the assessment was noted and discontinued. However, a participant that was able to read the test plate, was assessed through all of the Ishihara plates, by asking to identify the number on each. On completion, the number of plates read, including the test plate, was recorded.</w:t>
      </w:r>
    </w:p>
    <w:p w14:paraId="5705FFE1" w14:textId="17C20DA2" w:rsidR="006805C8" w:rsidRPr="006C353D" w:rsidRDefault="00921640" w:rsidP="006805C8">
      <w:pPr>
        <w:spacing w:line="480" w:lineRule="auto"/>
        <w:jc w:val="both"/>
        <w:rPr>
          <w:rFonts w:ascii="Arial" w:hAnsi="Arial" w:cs="Arial"/>
        </w:rPr>
      </w:pPr>
      <w:r w:rsidRPr="006C353D">
        <w:rPr>
          <w:rFonts w:ascii="Arial" w:hAnsi="Arial" w:cs="Arial"/>
          <w:b/>
        </w:rPr>
        <w:t xml:space="preserve">2.1.4 </w:t>
      </w:r>
      <w:r w:rsidR="006805C8" w:rsidRPr="006C353D">
        <w:rPr>
          <w:rFonts w:ascii="Arial" w:hAnsi="Arial" w:cs="Arial"/>
          <w:b/>
        </w:rPr>
        <w:t>Stereoacuity Testing</w:t>
      </w:r>
    </w:p>
    <w:p w14:paraId="1C363B2C"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With the participant wearing polarized lenses over existing spectacle correction (if any), participants were initially tested for stereoacuity using the </w:t>
      </w:r>
      <w:proofErr w:type="spellStart"/>
      <w:r w:rsidRPr="007F0D2F">
        <w:rPr>
          <w:rFonts w:ascii="Arial" w:hAnsi="Arial" w:cs="Arial"/>
          <w:sz w:val="22"/>
          <w:szCs w:val="22"/>
        </w:rPr>
        <w:t>Titmus</w:t>
      </w:r>
      <w:proofErr w:type="spellEnd"/>
      <w:r w:rsidRPr="007F0D2F">
        <w:rPr>
          <w:rFonts w:ascii="Arial" w:hAnsi="Arial" w:cs="Arial"/>
          <w:sz w:val="22"/>
          <w:szCs w:val="22"/>
        </w:rPr>
        <w:t xml:space="preserve"> fly (3000 arc sec) at the standard testing distance of 40 cm. Then, this was followed by stereo test circles (800 to 40 arc sec). Inability to perceive depth in the fly test (&gt;3000 arc sec) </w:t>
      </w:r>
      <w:r w:rsidRPr="007F0D2F">
        <w:rPr>
          <w:rFonts w:ascii="Arial" w:hAnsi="Arial" w:cs="Arial"/>
          <w:sz w:val="22"/>
          <w:szCs w:val="22"/>
        </w:rPr>
        <w:lastRenderedPageBreak/>
        <w:t>was considered absence of gross stereoacuity. A participant is said to have normal stereoacuity with values of 40 arc sec or better.</w:t>
      </w:r>
    </w:p>
    <w:p w14:paraId="6788D80E" w14:textId="174A2EE3" w:rsidR="006805C8" w:rsidRPr="006C353D" w:rsidRDefault="00921640" w:rsidP="006805C8">
      <w:pPr>
        <w:spacing w:line="480" w:lineRule="auto"/>
        <w:jc w:val="both"/>
        <w:rPr>
          <w:rFonts w:ascii="Arial" w:hAnsi="Arial" w:cs="Arial"/>
        </w:rPr>
      </w:pPr>
      <w:r w:rsidRPr="006C353D">
        <w:rPr>
          <w:rFonts w:ascii="Arial" w:hAnsi="Arial" w:cs="Arial"/>
          <w:b/>
        </w:rPr>
        <w:t xml:space="preserve">2.1.5 </w:t>
      </w:r>
      <w:r w:rsidR="006805C8" w:rsidRPr="006C353D">
        <w:rPr>
          <w:rFonts w:ascii="Arial" w:hAnsi="Arial" w:cs="Arial"/>
          <w:b/>
        </w:rPr>
        <w:t>Visual Field Testing</w:t>
      </w:r>
    </w:p>
    <w:p w14:paraId="07D57F76"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Horizontal Visual Field was assessed monocularly using confrontation perimetry. The assessment was done by the researcher, who had been certified to have a normal visual field using a Humphrey visual field </w:t>
      </w:r>
      <w:proofErr w:type="spellStart"/>
      <w:r w:rsidRPr="007F0D2F">
        <w:rPr>
          <w:rFonts w:ascii="Arial" w:hAnsi="Arial" w:cs="Arial"/>
          <w:sz w:val="22"/>
          <w:szCs w:val="22"/>
        </w:rPr>
        <w:t>analyser</w:t>
      </w:r>
      <w:proofErr w:type="spellEnd"/>
      <w:r w:rsidRPr="007F0D2F">
        <w:rPr>
          <w:rFonts w:ascii="Arial" w:hAnsi="Arial" w:cs="Arial"/>
          <w:sz w:val="22"/>
          <w:szCs w:val="22"/>
        </w:rPr>
        <w:t xml:space="preserve"> with a Full Field-</w:t>
      </w:r>
      <w:proofErr w:type="gramStart"/>
      <w:r w:rsidRPr="007F0D2F">
        <w:rPr>
          <w:rFonts w:ascii="Arial" w:hAnsi="Arial" w:cs="Arial"/>
          <w:sz w:val="22"/>
          <w:szCs w:val="22"/>
        </w:rPr>
        <w:t>120 degree</w:t>
      </w:r>
      <w:proofErr w:type="gramEnd"/>
      <w:r w:rsidRPr="007F0D2F">
        <w:rPr>
          <w:rFonts w:ascii="Arial" w:hAnsi="Arial" w:cs="Arial"/>
          <w:sz w:val="22"/>
          <w:szCs w:val="22"/>
        </w:rPr>
        <w:t xml:space="preserve"> Testing pattern. The examiner sat at arm’s length and equal level facing the participant. While one of the eyes was occluded, the participant looked directly at the examiner’s nose, while each of the four quadrants in the participant’s visual field was tested one after the other. This was done by having the participant count number of fingers shown in the four outer visual field limits of the examiner. Uniformity of finger positioning was ensured by the examiner out-stretching a constant length of tape measure between the hands. Failure to count correctly in any quadrant indicates a visual field defect.</w:t>
      </w:r>
    </w:p>
    <w:p w14:paraId="24877456" w14:textId="03BB3B28" w:rsidR="006805C8" w:rsidRPr="006C353D" w:rsidRDefault="00921640" w:rsidP="006805C8">
      <w:pPr>
        <w:spacing w:line="480" w:lineRule="auto"/>
        <w:jc w:val="both"/>
        <w:rPr>
          <w:rFonts w:ascii="Arial" w:hAnsi="Arial" w:cs="Arial"/>
          <w:b/>
          <w:kern w:val="24"/>
        </w:rPr>
      </w:pPr>
      <w:r w:rsidRPr="006C353D">
        <w:rPr>
          <w:rFonts w:ascii="Arial" w:hAnsi="Arial" w:cs="Arial"/>
          <w:b/>
          <w:kern w:val="24"/>
        </w:rPr>
        <w:t xml:space="preserve">2.2 </w:t>
      </w:r>
      <w:r w:rsidR="006805C8" w:rsidRPr="006C353D">
        <w:rPr>
          <w:rFonts w:ascii="Arial" w:hAnsi="Arial" w:cs="Arial"/>
          <w:b/>
          <w:kern w:val="24"/>
        </w:rPr>
        <w:t xml:space="preserve">Ocular Examination, Assessment and Management Action(s)  </w:t>
      </w:r>
    </w:p>
    <w:p w14:paraId="7B86CFFF" w14:textId="77777777" w:rsidR="006805C8" w:rsidRPr="00C874BC" w:rsidRDefault="006805C8" w:rsidP="006805C8">
      <w:pPr>
        <w:spacing w:line="480" w:lineRule="auto"/>
        <w:jc w:val="both"/>
        <w:rPr>
          <w:rFonts w:ascii="Arial" w:hAnsi="Arial" w:cs="Arial"/>
          <w:sz w:val="22"/>
          <w:szCs w:val="22"/>
        </w:rPr>
      </w:pPr>
      <w:r w:rsidRPr="00C874BC">
        <w:rPr>
          <w:rFonts w:ascii="Arial" w:hAnsi="Arial" w:cs="Arial"/>
          <w:sz w:val="22"/>
          <w:szCs w:val="22"/>
        </w:rPr>
        <w:t>Ocular examination, assessment and management action was done by a single ophthalmologist.</w:t>
      </w:r>
    </w:p>
    <w:p w14:paraId="7DE651C9" w14:textId="50E570B0" w:rsidR="006805C8" w:rsidRPr="006C353D" w:rsidRDefault="00921640" w:rsidP="006805C8">
      <w:pPr>
        <w:spacing w:line="480" w:lineRule="auto"/>
        <w:jc w:val="both"/>
        <w:rPr>
          <w:rFonts w:ascii="Arial" w:hAnsi="Arial" w:cs="Arial"/>
        </w:rPr>
      </w:pPr>
      <w:r w:rsidRPr="006C353D">
        <w:rPr>
          <w:rFonts w:ascii="Arial" w:hAnsi="Arial" w:cs="Arial"/>
          <w:b/>
          <w:kern w:val="24"/>
        </w:rPr>
        <w:t xml:space="preserve">2.2.1 </w:t>
      </w:r>
      <w:r w:rsidR="006805C8" w:rsidRPr="006C353D">
        <w:rPr>
          <w:rFonts w:ascii="Arial" w:hAnsi="Arial" w:cs="Arial"/>
          <w:b/>
          <w:kern w:val="24"/>
        </w:rPr>
        <w:t>Anterior Segment</w:t>
      </w:r>
    </w:p>
    <w:p w14:paraId="07DC7872" w14:textId="77777777" w:rsidR="006805C8" w:rsidRPr="007F0D2F" w:rsidRDefault="006805C8" w:rsidP="006805C8">
      <w:pPr>
        <w:spacing w:line="480" w:lineRule="auto"/>
        <w:jc w:val="both"/>
        <w:rPr>
          <w:rFonts w:ascii="Arial" w:hAnsi="Arial" w:cs="Arial"/>
          <w:sz w:val="22"/>
          <w:szCs w:val="22"/>
          <w:vertAlign w:val="superscript"/>
        </w:rPr>
      </w:pPr>
      <w:r w:rsidRPr="007F0D2F">
        <w:rPr>
          <w:rFonts w:ascii="Arial" w:hAnsi="Arial" w:cs="Arial"/>
          <w:sz w:val="22"/>
          <w:szCs w:val="22"/>
        </w:rPr>
        <w:t>The anterior segments of both eyes, including the adnexa, were examined with a pen torch. The eye lids were accessed for mass and good opening, while the eyeballs were assessed for alignment and motility. The conjunctivae were examined for any fibro-vascular growth, cornea for clarity and the pupil for reflexes, in a dimly lit environment. The crystalline lens was then examined.</w:t>
      </w:r>
    </w:p>
    <w:p w14:paraId="30055A99" w14:textId="62FFEB44" w:rsidR="006805C8" w:rsidRPr="006C353D" w:rsidRDefault="00921640" w:rsidP="006805C8">
      <w:pPr>
        <w:spacing w:line="480" w:lineRule="auto"/>
        <w:jc w:val="both"/>
        <w:rPr>
          <w:rFonts w:ascii="Arial" w:hAnsi="Arial" w:cs="Arial"/>
        </w:rPr>
      </w:pPr>
      <w:r w:rsidRPr="006C353D">
        <w:rPr>
          <w:rFonts w:ascii="Arial" w:hAnsi="Arial" w:cs="Arial"/>
          <w:b/>
          <w:kern w:val="24"/>
        </w:rPr>
        <w:t xml:space="preserve">2.2.2 </w:t>
      </w:r>
      <w:r w:rsidR="006805C8" w:rsidRPr="006C353D">
        <w:rPr>
          <w:rFonts w:ascii="Arial" w:hAnsi="Arial" w:cs="Arial"/>
          <w:b/>
          <w:kern w:val="24"/>
        </w:rPr>
        <w:t>Posterior Segment</w:t>
      </w:r>
    </w:p>
    <w:p w14:paraId="5871675D" w14:textId="1CB5B366" w:rsidR="006805C8" w:rsidRPr="007F0D2F" w:rsidRDefault="00B92BB3" w:rsidP="006805C8">
      <w:pPr>
        <w:spacing w:line="480" w:lineRule="auto"/>
        <w:jc w:val="both"/>
        <w:rPr>
          <w:rFonts w:ascii="Arial" w:hAnsi="Arial" w:cs="Arial"/>
          <w:sz w:val="22"/>
          <w:szCs w:val="22"/>
        </w:rPr>
      </w:pPr>
      <w:r>
        <w:rPr>
          <w:rFonts w:ascii="Arial" w:hAnsi="Arial" w:cs="Arial"/>
          <w:sz w:val="22"/>
          <w:szCs w:val="22"/>
        </w:rPr>
        <w:t>P</w:t>
      </w:r>
      <w:r w:rsidR="006805C8" w:rsidRPr="007F0D2F">
        <w:rPr>
          <w:rFonts w:ascii="Arial" w:hAnsi="Arial" w:cs="Arial"/>
          <w:sz w:val="22"/>
          <w:szCs w:val="22"/>
        </w:rPr>
        <w:t>osterior segment</w:t>
      </w:r>
      <w:r w:rsidR="007211B1">
        <w:rPr>
          <w:rFonts w:ascii="Arial" w:hAnsi="Arial" w:cs="Arial"/>
          <w:sz w:val="22"/>
          <w:szCs w:val="22"/>
        </w:rPr>
        <w:t xml:space="preserve"> examination </w:t>
      </w:r>
      <w:r w:rsidR="006805C8" w:rsidRPr="007F0D2F">
        <w:rPr>
          <w:rFonts w:ascii="Arial" w:hAnsi="Arial" w:cs="Arial"/>
          <w:sz w:val="22"/>
          <w:szCs w:val="22"/>
        </w:rPr>
        <w:t xml:space="preserve">was done using a direct ophthalmoscope through the </w:t>
      </w:r>
      <w:proofErr w:type="spellStart"/>
      <w:r w:rsidR="006805C8" w:rsidRPr="007F0D2F">
        <w:rPr>
          <w:rFonts w:ascii="Arial" w:hAnsi="Arial" w:cs="Arial"/>
          <w:sz w:val="22"/>
          <w:szCs w:val="22"/>
        </w:rPr>
        <w:t>undilated</w:t>
      </w:r>
      <w:proofErr w:type="spellEnd"/>
      <w:r w:rsidR="006805C8" w:rsidRPr="007F0D2F">
        <w:rPr>
          <w:rFonts w:ascii="Arial" w:hAnsi="Arial" w:cs="Arial"/>
          <w:sz w:val="22"/>
          <w:szCs w:val="22"/>
        </w:rPr>
        <w:t xml:space="preserve"> pupil. </w:t>
      </w:r>
    </w:p>
    <w:p w14:paraId="11973514"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Counselling, prescription and referral were given to various CVDs based on their ocular findings.</w:t>
      </w:r>
    </w:p>
    <w:p w14:paraId="70DBEF05" w14:textId="31FE670C" w:rsidR="006805C8" w:rsidRPr="007F0D2F" w:rsidRDefault="00BB0ABF" w:rsidP="006805C8">
      <w:pPr>
        <w:spacing w:line="480" w:lineRule="auto"/>
        <w:jc w:val="both"/>
        <w:rPr>
          <w:rFonts w:ascii="Arial" w:hAnsi="Arial" w:cs="Arial"/>
          <w:b/>
          <w:bCs/>
          <w:sz w:val="22"/>
          <w:szCs w:val="22"/>
        </w:rPr>
      </w:pPr>
      <w:r>
        <w:rPr>
          <w:rFonts w:ascii="Arial" w:hAnsi="Arial" w:cs="Arial"/>
          <w:b/>
          <w:bCs/>
          <w:sz w:val="22"/>
          <w:szCs w:val="22"/>
        </w:rPr>
        <w:t xml:space="preserve">2.3 </w:t>
      </w:r>
      <w:r w:rsidR="006805C8" w:rsidRPr="007F0D2F">
        <w:rPr>
          <w:rFonts w:ascii="Arial" w:hAnsi="Arial" w:cs="Arial"/>
          <w:b/>
          <w:bCs/>
          <w:sz w:val="22"/>
          <w:szCs w:val="22"/>
        </w:rPr>
        <w:t>Data Analysis</w:t>
      </w:r>
    </w:p>
    <w:p w14:paraId="406D79D8" w14:textId="77777777" w:rsidR="006805C8" w:rsidRPr="00746260" w:rsidRDefault="006805C8" w:rsidP="006805C8">
      <w:pPr>
        <w:spacing w:line="480" w:lineRule="auto"/>
        <w:jc w:val="both"/>
        <w:rPr>
          <w:rFonts w:ascii="Arial" w:hAnsi="Arial" w:cs="Arial"/>
          <w:sz w:val="22"/>
          <w:szCs w:val="22"/>
        </w:rPr>
      </w:pPr>
      <w:r w:rsidRPr="007F0D2F">
        <w:rPr>
          <w:rFonts w:ascii="Arial" w:hAnsi="Arial" w:cs="Arial"/>
          <w:sz w:val="22"/>
          <w:szCs w:val="22"/>
        </w:rPr>
        <w:t>Comprehensive statistical analysis was done using Statistical Package for Social Sciences (SPSS) software (IBM Corp.2017. IBM SPSS Statistics for Windows, Version 25.0 Armonk, NY: IBM Corp). Pearson’s Chi-square (χ</w:t>
      </w:r>
      <w:r w:rsidRPr="007F0D2F">
        <w:rPr>
          <w:rFonts w:ascii="Arial" w:hAnsi="Arial" w:cs="Arial"/>
          <w:sz w:val="22"/>
          <w:szCs w:val="22"/>
          <w:vertAlign w:val="superscript"/>
        </w:rPr>
        <w:t>2</w:t>
      </w:r>
      <w:r w:rsidRPr="007F0D2F">
        <w:rPr>
          <w:rFonts w:ascii="Arial" w:hAnsi="Arial" w:cs="Arial"/>
          <w:sz w:val="22"/>
          <w:szCs w:val="22"/>
        </w:rPr>
        <w:t xml:space="preserve">) test was used to </w:t>
      </w:r>
      <w:proofErr w:type="spellStart"/>
      <w:r w:rsidRPr="007F0D2F">
        <w:rPr>
          <w:rFonts w:ascii="Arial" w:hAnsi="Arial" w:cs="Arial"/>
          <w:sz w:val="22"/>
          <w:szCs w:val="22"/>
        </w:rPr>
        <w:t>analyse</w:t>
      </w:r>
      <w:proofErr w:type="spellEnd"/>
      <w:r w:rsidRPr="007F0D2F">
        <w:rPr>
          <w:rFonts w:ascii="Arial" w:hAnsi="Arial" w:cs="Arial"/>
          <w:sz w:val="22"/>
          <w:szCs w:val="22"/>
        </w:rPr>
        <w:t xml:space="preserve"> and determine the association between RTA rate and visual function parameters along with other possible confounding independent variables such as age, level of education, </w:t>
      </w:r>
      <w:r w:rsidRPr="0004782D">
        <w:rPr>
          <w:rFonts w:ascii="Arial" w:hAnsi="Arial" w:cs="Arial"/>
          <w:sz w:val="22"/>
          <w:szCs w:val="22"/>
        </w:rPr>
        <w:t xml:space="preserve">type of driver, </w:t>
      </w:r>
      <w:r w:rsidRPr="007F0D2F">
        <w:rPr>
          <w:rFonts w:ascii="Arial" w:hAnsi="Arial" w:cs="Arial"/>
          <w:sz w:val="22"/>
          <w:szCs w:val="22"/>
        </w:rPr>
        <w:t xml:space="preserve">type of vehicle and years of driving. Simple and multiple logistic regression analyses were done to determine the </w:t>
      </w:r>
      <w:r w:rsidRPr="00746260">
        <w:rPr>
          <w:rFonts w:ascii="Arial" w:hAnsi="Arial" w:cs="Arial"/>
          <w:sz w:val="22"/>
          <w:szCs w:val="22"/>
        </w:rPr>
        <w:lastRenderedPageBreak/>
        <w:t xml:space="preserve">associated </w:t>
      </w:r>
      <w:proofErr w:type="gramStart"/>
      <w:r w:rsidRPr="00746260">
        <w:rPr>
          <w:rFonts w:ascii="Arial" w:hAnsi="Arial" w:cs="Arial"/>
          <w:sz w:val="22"/>
          <w:szCs w:val="22"/>
        </w:rPr>
        <w:t>between  visual</w:t>
      </w:r>
      <w:proofErr w:type="gramEnd"/>
      <w:r w:rsidRPr="00746260">
        <w:rPr>
          <w:rFonts w:ascii="Arial" w:hAnsi="Arial" w:cs="Arial"/>
          <w:sz w:val="22"/>
          <w:szCs w:val="22"/>
        </w:rPr>
        <w:t xml:space="preserve"> function parameters and RTA as required. The level of statistical significance was set at p ˂0.05; reporting odds ratio with 95% confidence intervals in two decimal places</w:t>
      </w:r>
    </w:p>
    <w:p w14:paraId="5CEA5572" w14:textId="006C0681" w:rsidR="007E3377" w:rsidRPr="00746260" w:rsidRDefault="007E3377" w:rsidP="006805C8">
      <w:pPr>
        <w:spacing w:line="480" w:lineRule="auto"/>
        <w:jc w:val="both"/>
        <w:rPr>
          <w:rFonts w:ascii="Arial" w:hAnsi="Arial" w:cs="Arial"/>
          <w:b/>
          <w:bCs/>
          <w:sz w:val="22"/>
          <w:szCs w:val="22"/>
        </w:rPr>
      </w:pPr>
      <w:r w:rsidRPr="00746260">
        <w:rPr>
          <w:rFonts w:ascii="Arial" w:hAnsi="Arial" w:cs="Arial"/>
          <w:b/>
          <w:bCs/>
          <w:sz w:val="22"/>
          <w:szCs w:val="22"/>
        </w:rPr>
        <w:t>3. RESULTS</w:t>
      </w:r>
    </w:p>
    <w:p w14:paraId="0DD23093" w14:textId="77777777" w:rsidR="00746260" w:rsidRPr="00746260" w:rsidRDefault="00746260" w:rsidP="00746260">
      <w:pPr>
        <w:spacing w:line="480" w:lineRule="auto"/>
        <w:jc w:val="both"/>
        <w:rPr>
          <w:rFonts w:ascii="Arial" w:hAnsi="Arial" w:cs="Arial"/>
          <w:sz w:val="22"/>
          <w:szCs w:val="22"/>
        </w:rPr>
      </w:pPr>
      <w:r w:rsidRPr="00746260">
        <w:rPr>
          <w:rFonts w:ascii="Arial" w:hAnsi="Arial" w:cs="Arial"/>
          <w:sz w:val="22"/>
          <w:szCs w:val="22"/>
        </w:rPr>
        <w:t xml:space="preserve">A total of 188 CVDs participated in the study. All the participants were males with a mean age of 44.9±9.1 years. Their ages ranged from 25 to 68 years with driver age group 41 to 60 years being </w:t>
      </w:r>
      <w:proofErr w:type="gramStart"/>
      <w:r w:rsidRPr="00746260">
        <w:rPr>
          <w:rFonts w:ascii="Arial" w:hAnsi="Arial" w:cs="Arial"/>
          <w:sz w:val="22"/>
          <w:szCs w:val="22"/>
        </w:rPr>
        <w:t>the  most</w:t>
      </w:r>
      <w:proofErr w:type="gramEnd"/>
      <w:r w:rsidRPr="00746260">
        <w:rPr>
          <w:rFonts w:ascii="Arial" w:hAnsi="Arial" w:cs="Arial"/>
          <w:sz w:val="22"/>
          <w:szCs w:val="22"/>
        </w:rPr>
        <w:t xml:space="preserve"> represented (66%, n=124) </w:t>
      </w:r>
      <w:r w:rsidRPr="00746260">
        <w:rPr>
          <w:rFonts w:ascii="Arial" w:hAnsi="Arial" w:cs="Arial"/>
          <w:b/>
          <w:sz w:val="22"/>
          <w:szCs w:val="22"/>
        </w:rPr>
        <w:t>(Table 1)</w:t>
      </w:r>
      <w:r w:rsidRPr="00746260">
        <w:rPr>
          <w:rFonts w:ascii="Arial" w:hAnsi="Arial" w:cs="Arial"/>
          <w:sz w:val="22"/>
          <w:szCs w:val="22"/>
        </w:rPr>
        <w:t>.</w:t>
      </w:r>
    </w:p>
    <w:p w14:paraId="539E24CF" w14:textId="77777777" w:rsidR="00746260" w:rsidRDefault="00746260" w:rsidP="00746260">
      <w:pPr>
        <w:autoSpaceDE w:val="0"/>
        <w:autoSpaceDN w:val="0"/>
        <w:adjustRightInd w:val="0"/>
        <w:spacing w:line="480" w:lineRule="auto"/>
        <w:jc w:val="both"/>
        <w:rPr>
          <w:rFonts w:ascii="Arial" w:hAnsi="Arial" w:cs="Arial"/>
          <w:sz w:val="22"/>
          <w:szCs w:val="22"/>
        </w:rPr>
      </w:pPr>
      <w:bookmarkStart w:id="0" w:name="_Hlk130576073"/>
      <w:r w:rsidRPr="00746260">
        <w:rPr>
          <w:rFonts w:ascii="Arial" w:hAnsi="Arial" w:cs="Arial"/>
          <w:sz w:val="22"/>
          <w:szCs w:val="22"/>
        </w:rPr>
        <w:t>Four out of five drivers had formal education (81.9%, n=154)</w:t>
      </w:r>
      <w:bookmarkEnd w:id="0"/>
      <w:r w:rsidRPr="00746260">
        <w:rPr>
          <w:rFonts w:ascii="Arial" w:hAnsi="Arial" w:cs="Arial"/>
          <w:sz w:val="22"/>
          <w:szCs w:val="22"/>
        </w:rPr>
        <w:t xml:space="preserve">, which was mostly accounted for by CVDs with primary </w:t>
      </w:r>
      <w:bookmarkStart w:id="1" w:name="_Hlk130576798"/>
      <w:r w:rsidRPr="00746260">
        <w:rPr>
          <w:rFonts w:ascii="Arial" w:hAnsi="Arial" w:cs="Arial"/>
          <w:sz w:val="22"/>
          <w:szCs w:val="22"/>
        </w:rPr>
        <w:t>education (43.6%, n=82)</w:t>
      </w:r>
      <w:bookmarkEnd w:id="1"/>
      <w:r w:rsidRPr="00746260">
        <w:rPr>
          <w:rFonts w:ascii="Arial" w:hAnsi="Arial" w:cs="Arial"/>
          <w:sz w:val="22"/>
          <w:szCs w:val="22"/>
        </w:rPr>
        <w:t>. Drivers with primary education were the most visually impaired (</w:t>
      </w:r>
      <w:r w:rsidRPr="00746260">
        <w:rPr>
          <w:rFonts w:ascii="Arial" w:hAnsi="Arial" w:cs="Arial"/>
          <w:sz w:val="22"/>
          <w:szCs w:val="22"/>
          <w:lang w:eastAsia="en-GB"/>
        </w:rPr>
        <w:t>49.5%, n=54)</w:t>
      </w:r>
      <w:r w:rsidRPr="00746260">
        <w:rPr>
          <w:rFonts w:ascii="Arial" w:hAnsi="Arial" w:cs="Arial"/>
          <w:sz w:val="22"/>
          <w:szCs w:val="22"/>
        </w:rPr>
        <w:t>.</w:t>
      </w:r>
    </w:p>
    <w:p w14:paraId="5612C9A8" w14:textId="7D3FBD6A" w:rsidR="00933705" w:rsidRPr="007170E3" w:rsidRDefault="00933705" w:rsidP="00933705">
      <w:pPr>
        <w:autoSpaceDE w:val="0"/>
        <w:autoSpaceDN w:val="0"/>
        <w:adjustRightInd w:val="0"/>
        <w:spacing w:line="480" w:lineRule="auto"/>
        <w:jc w:val="both"/>
        <w:rPr>
          <w:rFonts w:ascii="Arial" w:eastAsia="Calibri" w:hAnsi="Arial" w:cs="Arial"/>
          <w:b/>
          <w:sz w:val="18"/>
          <w:szCs w:val="18"/>
        </w:rPr>
      </w:pPr>
      <w:r w:rsidRPr="007170E3">
        <w:rPr>
          <w:rFonts w:ascii="Arial" w:hAnsi="Arial" w:cs="Arial"/>
          <w:b/>
          <w:bCs/>
          <w:sz w:val="18"/>
          <w:szCs w:val="18"/>
        </w:rPr>
        <w:t>Table</w:t>
      </w:r>
      <w:proofErr w:type="gramStart"/>
      <w:r w:rsidRPr="007170E3">
        <w:rPr>
          <w:rFonts w:ascii="Arial" w:hAnsi="Arial" w:cs="Arial"/>
          <w:b/>
          <w:bCs/>
          <w:sz w:val="18"/>
          <w:szCs w:val="18"/>
        </w:rPr>
        <w:t>1:</w:t>
      </w:r>
      <w:r w:rsidRPr="007170E3">
        <w:rPr>
          <w:rFonts w:ascii="Arial" w:eastAsia="Calibri" w:hAnsi="Arial" w:cs="Arial"/>
          <w:b/>
          <w:sz w:val="18"/>
          <w:szCs w:val="18"/>
        </w:rPr>
        <w:t>Distribution</w:t>
      </w:r>
      <w:proofErr w:type="gramEnd"/>
      <w:r w:rsidRPr="007170E3">
        <w:rPr>
          <w:rFonts w:ascii="Arial" w:eastAsia="Calibri" w:hAnsi="Arial" w:cs="Arial"/>
          <w:b/>
          <w:sz w:val="18"/>
          <w:szCs w:val="18"/>
        </w:rPr>
        <w:t xml:space="preserve"> of Participants with Impaired and Normal Visual Function by Sociodemographic Characteristics</w:t>
      </w:r>
    </w:p>
    <w:tbl>
      <w:tblPr>
        <w:tblW w:w="10081" w:type="dxa"/>
        <w:tblLook w:val="04A0" w:firstRow="1" w:lastRow="0" w:firstColumn="1" w:lastColumn="0" w:noHBand="0" w:noVBand="1"/>
      </w:tblPr>
      <w:tblGrid>
        <w:gridCol w:w="2900"/>
        <w:gridCol w:w="1333"/>
        <w:gridCol w:w="1948"/>
        <w:gridCol w:w="951"/>
        <w:gridCol w:w="2009"/>
        <w:gridCol w:w="940"/>
      </w:tblGrid>
      <w:tr w:rsidR="00FE0C4F" w:rsidRPr="007170E3" w14:paraId="3F97EB87" w14:textId="77777777" w:rsidTr="00FD7082">
        <w:trPr>
          <w:trHeight w:val="315"/>
        </w:trPr>
        <w:tc>
          <w:tcPr>
            <w:tcW w:w="2900" w:type="dxa"/>
            <w:vMerge w:val="restart"/>
            <w:tcBorders>
              <w:top w:val="single" w:sz="8" w:space="0" w:color="auto"/>
              <w:left w:val="nil"/>
              <w:bottom w:val="single" w:sz="8" w:space="0" w:color="000000"/>
              <w:right w:val="nil"/>
            </w:tcBorders>
            <w:noWrap/>
            <w:vAlign w:val="center"/>
            <w:hideMark/>
          </w:tcPr>
          <w:p w14:paraId="04AF2EA5"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 Participants N= 188</w:t>
            </w:r>
          </w:p>
        </w:tc>
        <w:tc>
          <w:tcPr>
            <w:tcW w:w="3281" w:type="dxa"/>
            <w:gridSpan w:val="2"/>
            <w:tcBorders>
              <w:top w:val="single" w:sz="8" w:space="0" w:color="auto"/>
              <w:left w:val="nil"/>
              <w:bottom w:val="single" w:sz="4" w:space="0" w:color="auto"/>
              <w:right w:val="nil"/>
            </w:tcBorders>
            <w:noWrap/>
            <w:vAlign w:val="bottom"/>
            <w:hideMark/>
          </w:tcPr>
          <w:p w14:paraId="4F9D1435"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Abnormal Visual Function</w:t>
            </w:r>
          </w:p>
        </w:tc>
        <w:tc>
          <w:tcPr>
            <w:tcW w:w="2960" w:type="dxa"/>
            <w:gridSpan w:val="2"/>
            <w:tcBorders>
              <w:top w:val="single" w:sz="8" w:space="0" w:color="auto"/>
              <w:left w:val="nil"/>
              <w:bottom w:val="single" w:sz="4" w:space="0" w:color="auto"/>
              <w:right w:val="nil"/>
            </w:tcBorders>
            <w:noWrap/>
            <w:vAlign w:val="bottom"/>
            <w:hideMark/>
          </w:tcPr>
          <w:p w14:paraId="581D0BC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Normal Visual Function</w:t>
            </w:r>
          </w:p>
        </w:tc>
        <w:tc>
          <w:tcPr>
            <w:tcW w:w="940" w:type="dxa"/>
            <w:tcBorders>
              <w:top w:val="single" w:sz="8" w:space="0" w:color="auto"/>
              <w:left w:val="nil"/>
              <w:bottom w:val="nil"/>
              <w:right w:val="nil"/>
            </w:tcBorders>
            <w:noWrap/>
            <w:vAlign w:val="bottom"/>
            <w:hideMark/>
          </w:tcPr>
          <w:p w14:paraId="6D5A6314"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r>
      <w:tr w:rsidR="00FE0C4F" w:rsidRPr="007170E3" w14:paraId="0FE9F121" w14:textId="77777777" w:rsidTr="00FD7082">
        <w:trPr>
          <w:trHeight w:val="315"/>
        </w:trPr>
        <w:tc>
          <w:tcPr>
            <w:tcW w:w="2900" w:type="dxa"/>
            <w:vMerge/>
            <w:tcBorders>
              <w:top w:val="single" w:sz="8" w:space="0" w:color="auto"/>
              <w:left w:val="nil"/>
              <w:bottom w:val="single" w:sz="8" w:space="0" w:color="000000"/>
              <w:right w:val="nil"/>
            </w:tcBorders>
            <w:vAlign w:val="center"/>
            <w:hideMark/>
          </w:tcPr>
          <w:p w14:paraId="42337E39" w14:textId="77777777" w:rsidR="00FE0C4F" w:rsidRPr="007170E3" w:rsidRDefault="00FE0C4F" w:rsidP="00FD7082">
            <w:pPr>
              <w:jc w:val="both"/>
              <w:rPr>
                <w:rFonts w:ascii="Arial" w:hAnsi="Arial" w:cs="Arial"/>
                <w:b/>
                <w:bCs/>
                <w:sz w:val="18"/>
                <w:szCs w:val="18"/>
                <w:lang w:eastAsia="en-GB"/>
              </w:rPr>
            </w:pPr>
          </w:p>
        </w:tc>
        <w:tc>
          <w:tcPr>
            <w:tcW w:w="3281" w:type="dxa"/>
            <w:gridSpan w:val="2"/>
            <w:tcBorders>
              <w:top w:val="single" w:sz="4" w:space="0" w:color="auto"/>
              <w:left w:val="nil"/>
              <w:bottom w:val="single" w:sz="4" w:space="0" w:color="auto"/>
              <w:right w:val="nil"/>
            </w:tcBorders>
            <w:noWrap/>
            <w:vAlign w:val="bottom"/>
            <w:hideMark/>
          </w:tcPr>
          <w:p w14:paraId="4C7E24ED"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 109)</w:t>
            </w:r>
          </w:p>
        </w:tc>
        <w:tc>
          <w:tcPr>
            <w:tcW w:w="2960" w:type="dxa"/>
            <w:gridSpan w:val="2"/>
            <w:tcBorders>
              <w:top w:val="single" w:sz="4" w:space="0" w:color="auto"/>
              <w:left w:val="nil"/>
              <w:bottom w:val="single" w:sz="4" w:space="0" w:color="auto"/>
              <w:right w:val="nil"/>
            </w:tcBorders>
            <w:noWrap/>
            <w:vAlign w:val="bottom"/>
            <w:hideMark/>
          </w:tcPr>
          <w:p w14:paraId="1E5B783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 79)</w:t>
            </w:r>
          </w:p>
        </w:tc>
        <w:tc>
          <w:tcPr>
            <w:tcW w:w="940" w:type="dxa"/>
            <w:tcBorders>
              <w:top w:val="single" w:sz="4" w:space="0" w:color="auto"/>
              <w:left w:val="nil"/>
              <w:bottom w:val="single" w:sz="4" w:space="0" w:color="auto"/>
              <w:right w:val="nil"/>
            </w:tcBorders>
            <w:noWrap/>
            <w:vAlign w:val="bottom"/>
            <w:hideMark/>
          </w:tcPr>
          <w:p w14:paraId="36204AFF"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(n=188) </w:t>
            </w:r>
          </w:p>
        </w:tc>
      </w:tr>
      <w:tr w:rsidR="00FE0C4F" w:rsidRPr="007170E3" w14:paraId="59DA8ECC" w14:textId="77777777" w:rsidTr="00FD7082">
        <w:trPr>
          <w:trHeight w:val="330"/>
        </w:trPr>
        <w:tc>
          <w:tcPr>
            <w:tcW w:w="2900" w:type="dxa"/>
            <w:vMerge/>
            <w:tcBorders>
              <w:top w:val="single" w:sz="8" w:space="0" w:color="auto"/>
              <w:left w:val="nil"/>
              <w:bottom w:val="single" w:sz="8" w:space="0" w:color="000000"/>
              <w:right w:val="nil"/>
            </w:tcBorders>
            <w:vAlign w:val="center"/>
            <w:hideMark/>
          </w:tcPr>
          <w:p w14:paraId="1CD44653" w14:textId="77777777" w:rsidR="00FE0C4F" w:rsidRPr="007170E3" w:rsidRDefault="00FE0C4F" w:rsidP="00FD7082">
            <w:pPr>
              <w:jc w:val="both"/>
              <w:rPr>
                <w:rFonts w:ascii="Arial" w:hAnsi="Arial" w:cs="Arial"/>
                <w:b/>
                <w:bCs/>
                <w:sz w:val="18"/>
                <w:szCs w:val="18"/>
                <w:lang w:eastAsia="en-GB"/>
              </w:rPr>
            </w:pPr>
          </w:p>
        </w:tc>
        <w:tc>
          <w:tcPr>
            <w:tcW w:w="1333" w:type="dxa"/>
            <w:tcBorders>
              <w:top w:val="nil"/>
              <w:left w:val="nil"/>
              <w:bottom w:val="single" w:sz="8" w:space="0" w:color="auto"/>
              <w:right w:val="nil"/>
            </w:tcBorders>
            <w:noWrap/>
            <w:vAlign w:val="bottom"/>
            <w:hideMark/>
          </w:tcPr>
          <w:p w14:paraId="169A8EA2"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w:t>
            </w:r>
          </w:p>
        </w:tc>
        <w:tc>
          <w:tcPr>
            <w:tcW w:w="1948" w:type="dxa"/>
            <w:tcBorders>
              <w:top w:val="nil"/>
              <w:left w:val="nil"/>
              <w:bottom w:val="single" w:sz="8" w:space="0" w:color="auto"/>
              <w:right w:val="nil"/>
            </w:tcBorders>
            <w:noWrap/>
            <w:vAlign w:val="bottom"/>
            <w:hideMark/>
          </w:tcPr>
          <w:p w14:paraId="425EA455"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w:t>
            </w:r>
          </w:p>
        </w:tc>
        <w:tc>
          <w:tcPr>
            <w:tcW w:w="951" w:type="dxa"/>
            <w:tcBorders>
              <w:top w:val="nil"/>
              <w:left w:val="nil"/>
              <w:bottom w:val="single" w:sz="8" w:space="0" w:color="auto"/>
              <w:right w:val="nil"/>
            </w:tcBorders>
            <w:noWrap/>
            <w:vAlign w:val="bottom"/>
            <w:hideMark/>
          </w:tcPr>
          <w:p w14:paraId="43D335A8" w14:textId="23783DB7" w:rsidR="00FE0C4F" w:rsidRPr="007170E3" w:rsidRDefault="006763CD" w:rsidP="00FD7082">
            <w:pPr>
              <w:jc w:val="both"/>
              <w:rPr>
                <w:rFonts w:ascii="Arial" w:hAnsi="Arial" w:cs="Arial"/>
                <w:b/>
                <w:bCs/>
                <w:sz w:val="18"/>
                <w:szCs w:val="18"/>
                <w:lang w:eastAsia="en-GB"/>
              </w:rPr>
            </w:pPr>
            <w:r w:rsidRPr="007170E3">
              <w:rPr>
                <w:rFonts w:ascii="Arial" w:hAnsi="Arial" w:cs="Arial"/>
                <w:b/>
                <w:bCs/>
                <w:sz w:val="18"/>
                <w:szCs w:val="18"/>
                <w:lang w:eastAsia="en-GB"/>
              </w:rPr>
              <w:t>N</w:t>
            </w:r>
          </w:p>
        </w:tc>
        <w:tc>
          <w:tcPr>
            <w:tcW w:w="2009" w:type="dxa"/>
            <w:tcBorders>
              <w:top w:val="nil"/>
              <w:left w:val="nil"/>
              <w:bottom w:val="single" w:sz="8" w:space="0" w:color="auto"/>
              <w:right w:val="nil"/>
            </w:tcBorders>
            <w:noWrap/>
            <w:vAlign w:val="bottom"/>
            <w:hideMark/>
          </w:tcPr>
          <w:p w14:paraId="18BE53A3"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w:t>
            </w:r>
          </w:p>
        </w:tc>
        <w:tc>
          <w:tcPr>
            <w:tcW w:w="940" w:type="dxa"/>
            <w:tcBorders>
              <w:top w:val="nil"/>
              <w:left w:val="nil"/>
              <w:bottom w:val="single" w:sz="8" w:space="0" w:color="auto"/>
              <w:right w:val="nil"/>
            </w:tcBorders>
            <w:noWrap/>
            <w:vAlign w:val="bottom"/>
            <w:hideMark/>
          </w:tcPr>
          <w:p w14:paraId="589B5361"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w:t>
            </w:r>
          </w:p>
        </w:tc>
      </w:tr>
      <w:tr w:rsidR="00FE0C4F" w:rsidRPr="007170E3" w14:paraId="60553B33" w14:textId="77777777" w:rsidTr="00FD7082">
        <w:trPr>
          <w:trHeight w:val="315"/>
        </w:trPr>
        <w:tc>
          <w:tcPr>
            <w:tcW w:w="2900" w:type="dxa"/>
            <w:tcBorders>
              <w:top w:val="single" w:sz="8" w:space="0" w:color="auto"/>
              <w:left w:val="nil"/>
              <w:bottom w:val="nil"/>
              <w:right w:val="nil"/>
            </w:tcBorders>
            <w:noWrap/>
            <w:vAlign w:val="bottom"/>
            <w:hideMark/>
          </w:tcPr>
          <w:p w14:paraId="30A50ACB"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SEX</w:t>
            </w:r>
          </w:p>
        </w:tc>
        <w:tc>
          <w:tcPr>
            <w:tcW w:w="1333" w:type="dxa"/>
            <w:tcBorders>
              <w:top w:val="nil"/>
              <w:left w:val="nil"/>
              <w:bottom w:val="nil"/>
              <w:right w:val="nil"/>
            </w:tcBorders>
            <w:noWrap/>
            <w:vAlign w:val="bottom"/>
            <w:hideMark/>
          </w:tcPr>
          <w:p w14:paraId="469BC9B0" w14:textId="77777777" w:rsidR="00FE0C4F" w:rsidRPr="007170E3" w:rsidRDefault="00FE0C4F" w:rsidP="00FD7082">
            <w:pPr>
              <w:jc w:val="both"/>
              <w:rPr>
                <w:rFonts w:ascii="Arial" w:hAnsi="Arial" w:cs="Arial"/>
                <w:b/>
                <w:bCs/>
                <w:sz w:val="18"/>
                <w:szCs w:val="18"/>
                <w:lang w:eastAsia="en-GB"/>
              </w:rPr>
            </w:pPr>
          </w:p>
        </w:tc>
        <w:tc>
          <w:tcPr>
            <w:tcW w:w="1948" w:type="dxa"/>
            <w:tcBorders>
              <w:top w:val="nil"/>
              <w:left w:val="nil"/>
              <w:bottom w:val="nil"/>
              <w:right w:val="nil"/>
            </w:tcBorders>
            <w:noWrap/>
            <w:vAlign w:val="bottom"/>
            <w:hideMark/>
          </w:tcPr>
          <w:p w14:paraId="61954AC3" w14:textId="77777777" w:rsidR="00FE0C4F" w:rsidRPr="007170E3" w:rsidRDefault="00FE0C4F" w:rsidP="00FD7082">
            <w:pPr>
              <w:jc w:val="both"/>
              <w:rPr>
                <w:rFonts w:ascii="Arial" w:hAnsi="Arial" w:cs="Arial"/>
                <w:sz w:val="18"/>
                <w:szCs w:val="18"/>
                <w:lang w:eastAsia="en-GB"/>
              </w:rPr>
            </w:pPr>
          </w:p>
        </w:tc>
        <w:tc>
          <w:tcPr>
            <w:tcW w:w="951" w:type="dxa"/>
            <w:tcBorders>
              <w:top w:val="nil"/>
              <w:left w:val="nil"/>
              <w:bottom w:val="nil"/>
              <w:right w:val="nil"/>
            </w:tcBorders>
            <w:noWrap/>
            <w:vAlign w:val="bottom"/>
            <w:hideMark/>
          </w:tcPr>
          <w:p w14:paraId="37621546" w14:textId="77777777" w:rsidR="00FE0C4F" w:rsidRPr="007170E3" w:rsidRDefault="00FE0C4F" w:rsidP="00FD7082">
            <w:pPr>
              <w:jc w:val="both"/>
              <w:rPr>
                <w:rFonts w:ascii="Arial" w:hAnsi="Arial" w:cs="Arial"/>
                <w:sz w:val="18"/>
                <w:szCs w:val="18"/>
                <w:lang w:eastAsia="en-GB"/>
              </w:rPr>
            </w:pPr>
          </w:p>
        </w:tc>
        <w:tc>
          <w:tcPr>
            <w:tcW w:w="2009" w:type="dxa"/>
            <w:tcBorders>
              <w:top w:val="nil"/>
              <w:left w:val="nil"/>
              <w:bottom w:val="nil"/>
              <w:right w:val="nil"/>
            </w:tcBorders>
            <w:noWrap/>
            <w:vAlign w:val="bottom"/>
            <w:hideMark/>
          </w:tcPr>
          <w:p w14:paraId="48D6F0A0" w14:textId="77777777" w:rsidR="00FE0C4F" w:rsidRPr="007170E3" w:rsidRDefault="00FE0C4F" w:rsidP="00FD7082">
            <w:pPr>
              <w:jc w:val="both"/>
              <w:rPr>
                <w:rFonts w:ascii="Arial" w:hAnsi="Arial" w:cs="Arial"/>
                <w:sz w:val="18"/>
                <w:szCs w:val="18"/>
                <w:lang w:eastAsia="en-GB"/>
              </w:rPr>
            </w:pPr>
          </w:p>
        </w:tc>
        <w:tc>
          <w:tcPr>
            <w:tcW w:w="940" w:type="dxa"/>
            <w:tcBorders>
              <w:top w:val="nil"/>
              <w:left w:val="nil"/>
              <w:bottom w:val="nil"/>
              <w:right w:val="nil"/>
            </w:tcBorders>
            <w:noWrap/>
            <w:vAlign w:val="bottom"/>
            <w:hideMark/>
          </w:tcPr>
          <w:p w14:paraId="78DA0DED" w14:textId="77777777" w:rsidR="00FE0C4F" w:rsidRPr="007170E3" w:rsidRDefault="00FE0C4F" w:rsidP="00FD7082">
            <w:pPr>
              <w:jc w:val="both"/>
              <w:rPr>
                <w:rFonts w:ascii="Arial" w:hAnsi="Arial" w:cs="Arial"/>
                <w:sz w:val="18"/>
                <w:szCs w:val="18"/>
                <w:lang w:eastAsia="en-GB"/>
              </w:rPr>
            </w:pPr>
          </w:p>
        </w:tc>
      </w:tr>
      <w:tr w:rsidR="00FE0C4F" w:rsidRPr="007170E3" w14:paraId="4FB6CE2E" w14:textId="77777777" w:rsidTr="00FD7082">
        <w:trPr>
          <w:trHeight w:val="315"/>
        </w:trPr>
        <w:tc>
          <w:tcPr>
            <w:tcW w:w="2900" w:type="dxa"/>
            <w:tcBorders>
              <w:top w:val="nil"/>
              <w:left w:val="nil"/>
              <w:bottom w:val="nil"/>
              <w:right w:val="nil"/>
            </w:tcBorders>
            <w:noWrap/>
            <w:vAlign w:val="bottom"/>
            <w:hideMark/>
          </w:tcPr>
          <w:p w14:paraId="40CD085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Female</w:t>
            </w:r>
          </w:p>
        </w:tc>
        <w:tc>
          <w:tcPr>
            <w:tcW w:w="1333" w:type="dxa"/>
            <w:tcBorders>
              <w:top w:val="nil"/>
              <w:left w:val="nil"/>
              <w:bottom w:val="nil"/>
              <w:right w:val="nil"/>
            </w:tcBorders>
            <w:noWrap/>
            <w:vAlign w:val="bottom"/>
            <w:hideMark/>
          </w:tcPr>
          <w:p w14:paraId="14C5D244"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w:t>
            </w:r>
          </w:p>
        </w:tc>
        <w:tc>
          <w:tcPr>
            <w:tcW w:w="1948" w:type="dxa"/>
            <w:tcBorders>
              <w:top w:val="nil"/>
              <w:left w:val="nil"/>
              <w:bottom w:val="nil"/>
              <w:right w:val="nil"/>
            </w:tcBorders>
            <w:noWrap/>
            <w:vAlign w:val="bottom"/>
            <w:hideMark/>
          </w:tcPr>
          <w:p w14:paraId="04203A5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0.0</w:t>
            </w:r>
          </w:p>
        </w:tc>
        <w:tc>
          <w:tcPr>
            <w:tcW w:w="951" w:type="dxa"/>
            <w:tcBorders>
              <w:top w:val="nil"/>
              <w:left w:val="nil"/>
              <w:bottom w:val="nil"/>
              <w:right w:val="nil"/>
            </w:tcBorders>
            <w:noWrap/>
            <w:vAlign w:val="bottom"/>
            <w:hideMark/>
          </w:tcPr>
          <w:p w14:paraId="636A176E"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w:t>
            </w:r>
          </w:p>
        </w:tc>
        <w:tc>
          <w:tcPr>
            <w:tcW w:w="2009" w:type="dxa"/>
            <w:tcBorders>
              <w:top w:val="nil"/>
              <w:left w:val="nil"/>
              <w:bottom w:val="nil"/>
              <w:right w:val="nil"/>
            </w:tcBorders>
            <w:noWrap/>
            <w:vAlign w:val="bottom"/>
            <w:hideMark/>
          </w:tcPr>
          <w:p w14:paraId="7811C74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0.0</w:t>
            </w:r>
          </w:p>
        </w:tc>
        <w:tc>
          <w:tcPr>
            <w:tcW w:w="940" w:type="dxa"/>
            <w:tcBorders>
              <w:top w:val="nil"/>
              <w:left w:val="nil"/>
              <w:bottom w:val="nil"/>
              <w:right w:val="nil"/>
            </w:tcBorders>
            <w:noWrap/>
            <w:vAlign w:val="bottom"/>
            <w:hideMark/>
          </w:tcPr>
          <w:p w14:paraId="5D16D35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w:t>
            </w:r>
          </w:p>
        </w:tc>
      </w:tr>
      <w:tr w:rsidR="00FE0C4F" w:rsidRPr="007170E3" w14:paraId="42FD5951" w14:textId="77777777" w:rsidTr="00FD7082">
        <w:trPr>
          <w:trHeight w:val="315"/>
        </w:trPr>
        <w:tc>
          <w:tcPr>
            <w:tcW w:w="2900" w:type="dxa"/>
            <w:tcBorders>
              <w:top w:val="nil"/>
              <w:left w:val="nil"/>
              <w:bottom w:val="nil"/>
              <w:right w:val="nil"/>
            </w:tcBorders>
            <w:noWrap/>
            <w:vAlign w:val="bottom"/>
            <w:hideMark/>
          </w:tcPr>
          <w:p w14:paraId="3310942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Male</w:t>
            </w:r>
          </w:p>
        </w:tc>
        <w:tc>
          <w:tcPr>
            <w:tcW w:w="1333" w:type="dxa"/>
            <w:tcBorders>
              <w:top w:val="nil"/>
              <w:left w:val="nil"/>
              <w:bottom w:val="nil"/>
              <w:right w:val="nil"/>
            </w:tcBorders>
            <w:noWrap/>
            <w:vAlign w:val="bottom"/>
            <w:hideMark/>
          </w:tcPr>
          <w:p w14:paraId="1E11578B"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109</w:t>
            </w:r>
          </w:p>
        </w:tc>
        <w:tc>
          <w:tcPr>
            <w:tcW w:w="1948" w:type="dxa"/>
            <w:tcBorders>
              <w:top w:val="nil"/>
              <w:left w:val="nil"/>
              <w:bottom w:val="nil"/>
              <w:right w:val="nil"/>
            </w:tcBorders>
            <w:noWrap/>
            <w:vAlign w:val="bottom"/>
            <w:hideMark/>
          </w:tcPr>
          <w:p w14:paraId="1A58372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100.0</w:t>
            </w:r>
          </w:p>
        </w:tc>
        <w:tc>
          <w:tcPr>
            <w:tcW w:w="951" w:type="dxa"/>
            <w:tcBorders>
              <w:top w:val="nil"/>
              <w:left w:val="nil"/>
              <w:bottom w:val="nil"/>
              <w:right w:val="nil"/>
            </w:tcBorders>
            <w:noWrap/>
            <w:vAlign w:val="bottom"/>
            <w:hideMark/>
          </w:tcPr>
          <w:p w14:paraId="4547B95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79</w:t>
            </w:r>
          </w:p>
        </w:tc>
        <w:tc>
          <w:tcPr>
            <w:tcW w:w="2009" w:type="dxa"/>
            <w:tcBorders>
              <w:top w:val="nil"/>
              <w:left w:val="nil"/>
              <w:bottom w:val="nil"/>
              <w:right w:val="nil"/>
            </w:tcBorders>
            <w:noWrap/>
            <w:vAlign w:val="bottom"/>
            <w:hideMark/>
          </w:tcPr>
          <w:p w14:paraId="6B9E1BF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100.0</w:t>
            </w:r>
          </w:p>
        </w:tc>
        <w:tc>
          <w:tcPr>
            <w:tcW w:w="940" w:type="dxa"/>
            <w:tcBorders>
              <w:top w:val="nil"/>
              <w:left w:val="nil"/>
              <w:bottom w:val="nil"/>
              <w:right w:val="nil"/>
            </w:tcBorders>
            <w:noWrap/>
            <w:vAlign w:val="bottom"/>
            <w:hideMark/>
          </w:tcPr>
          <w:p w14:paraId="2BA3B90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188</w:t>
            </w:r>
          </w:p>
        </w:tc>
      </w:tr>
      <w:tr w:rsidR="00FE0C4F" w:rsidRPr="007170E3" w14:paraId="2BEA9580" w14:textId="77777777" w:rsidTr="00FD7082">
        <w:trPr>
          <w:trHeight w:val="315"/>
        </w:trPr>
        <w:tc>
          <w:tcPr>
            <w:tcW w:w="2900" w:type="dxa"/>
            <w:tcBorders>
              <w:top w:val="nil"/>
              <w:left w:val="nil"/>
              <w:bottom w:val="nil"/>
              <w:right w:val="nil"/>
            </w:tcBorders>
            <w:noWrap/>
            <w:vAlign w:val="bottom"/>
            <w:hideMark/>
          </w:tcPr>
          <w:p w14:paraId="0C585F3B"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1333" w:type="dxa"/>
            <w:tcBorders>
              <w:top w:val="nil"/>
              <w:left w:val="nil"/>
              <w:bottom w:val="nil"/>
              <w:right w:val="nil"/>
            </w:tcBorders>
            <w:noWrap/>
            <w:vAlign w:val="bottom"/>
            <w:hideMark/>
          </w:tcPr>
          <w:p w14:paraId="354A1601"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109</w:t>
            </w:r>
          </w:p>
        </w:tc>
        <w:tc>
          <w:tcPr>
            <w:tcW w:w="1948" w:type="dxa"/>
            <w:tcBorders>
              <w:top w:val="nil"/>
              <w:left w:val="nil"/>
              <w:bottom w:val="nil"/>
              <w:right w:val="nil"/>
            </w:tcBorders>
            <w:noWrap/>
            <w:vAlign w:val="bottom"/>
            <w:hideMark/>
          </w:tcPr>
          <w:p w14:paraId="763AE759"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51" w:type="dxa"/>
            <w:tcBorders>
              <w:top w:val="nil"/>
              <w:left w:val="nil"/>
              <w:bottom w:val="nil"/>
              <w:right w:val="nil"/>
            </w:tcBorders>
            <w:noWrap/>
            <w:vAlign w:val="bottom"/>
            <w:hideMark/>
          </w:tcPr>
          <w:p w14:paraId="4CCA2A02"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79</w:t>
            </w:r>
          </w:p>
        </w:tc>
        <w:tc>
          <w:tcPr>
            <w:tcW w:w="2009" w:type="dxa"/>
            <w:tcBorders>
              <w:top w:val="nil"/>
              <w:left w:val="nil"/>
              <w:bottom w:val="nil"/>
              <w:right w:val="nil"/>
            </w:tcBorders>
            <w:noWrap/>
            <w:vAlign w:val="bottom"/>
            <w:hideMark/>
          </w:tcPr>
          <w:p w14:paraId="02BA5F21"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40" w:type="dxa"/>
            <w:tcBorders>
              <w:top w:val="nil"/>
              <w:left w:val="nil"/>
              <w:bottom w:val="nil"/>
              <w:right w:val="nil"/>
            </w:tcBorders>
            <w:noWrap/>
            <w:vAlign w:val="bottom"/>
            <w:hideMark/>
          </w:tcPr>
          <w:p w14:paraId="42E024A5"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r>
      <w:tr w:rsidR="00FE0C4F" w:rsidRPr="007170E3" w14:paraId="58E846FE" w14:textId="77777777" w:rsidTr="00FD7082">
        <w:trPr>
          <w:trHeight w:val="315"/>
        </w:trPr>
        <w:tc>
          <w:tcPr>
            <w:tcW w:w="2900" w:type="dxa"/>
            <w:tcBorders>
              <w:top w:val="nil"/>
              <w:left w:val="nil"/>
              <w:bottom w:val="nil"/>
              <w:right w:val="nil"/>
            </w:tcBorders>
            <w:noWrap/>
            <w:vAlign w:val="bottom"/>
            <w:hideMark/>
          </w:tcPr>
          <w:p w14:paraId="61762BE3"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AGE GROUP</w:t>
            </w:r>
          </w:p>
        </w:tc>
        <w:tc>
          <w:tcPr>
            <w:tcW w:w="1333" w:type="dxa"/>
            <w:tcBorders>
              <w:top w:val="nil"/>
              <w:left w:val="nil"/>
              <w:bottom w:val="nil"/>
              <w:right w:val="nil"/>
            </w:tcBorders>
            <w:noWrap/>
            <w:vAlign w:val="bottom"/>
            <w:hideMark/>
          </w:tcPr>
          <w:p w14:paraId="0D7E7BE2" w14:textId="77777777" w:rsidR="00FE0C4F" w:rsidRPr="007170E3" w:rsidRDefault="00FE0C4F" w:rsidP="00FD7082">
            <w:pPr>
              <w:jc w:val="both"/>
              <w:rPr>
                <w:rFonts w:ascii="Arial" w:hAnsi="Arial" w:cs="Arial"/>
                <w:b/>
                <w:bCs/>
                <w:sz w:val="18"/>
                <w:szCs w:val="18"/>
                <w:lang w:eastAsia="en-GB"/>
              </w:rPr>
            </w:pPr>
          </w:p>
        </w:tc>
        <w:tc>
          <w:tcPr>
            <w:tcW w:w="1948" w:type="dxa"/>
            <w:tcBorders>
              <w:top w:val="nil"/>
              <w:left w:val="nil"/>
              <w:bottom w:val="nil"/>
              <w:right w:val="nil"/>
            </w:tcBorders>
            <w:noWrap/>
            <w:vAlign w:val="bottom"/>
            <w:hideMark/>
          </w:tcPr>
          <w:p w14:paraId="48634D77" w14:textId="77777777" w:rsidR="00FE0C4F" w:rsidRPr="007170E3" w:rsidRDefault="00FE0C4F" w:rsidP="00FD7082">
            <w:pPr>
              <w:jc w:val="both"/>
              <w:rPr>
                <w:rFonts w:ascii="Arial" w:hAnsi="Arial" w:cs="Arial"/>
                <w:sz w:val="18"/>
                <w:szCs w:val="18"/>
                <w:lang w:eastAsia="en-GB"/>
              </w:rPr>
            </w:pPr>
          </w:p>
        </w:tc>
        <w:tc>
          <w:tcPr>
            <w:tcW w:w="951" w:type="dxa"/>
            <w:tcBorders>
              <w:top w:val="nil"/>
              <w:left w:val="nil"/>
              <w:bottom w:val="nil"/>
              <w:right w:val="nil"/>
            </w:tcBorders>
            <w:noWrap/>
            <w:vAlign w:val="bottom"/>
            <w:hideMark/>
          </w:tcPr>
          <w:p w14:paraId="249FA932" w14:textId="77777777" w:rsidR="00FE0C4F" w:rsidRPr="007170E3" w:rsidRDefault="00FE0C4F" w:rsidP="00FD7082">
            <w:pPr>
              <w:jc w:val="both"/>
              <w:rPr>
                <w:rFonts w:ascii="Arial" w:hAnsi="Arial" w:cs="Arial"/>
                <w:sz w:val="18"/>
                <w:szCs w:val="18"/>
                <w:lang w:eastAsia="en-GB"/>
              </w:rPr>
            </w:pPr>
          </w:p>
        </w:tc>
        <w:tc>
          <w:tcPr>
            <w:tcW w:w="2009" w:type="dxa"/>
            <w:tcBorders>
              <w:top w:val="nil"/>
              <w:left w:val="nil"/>
              <w:bottom w:val="nil"/>
              <w:right w:val="nil"/>
            </w:tcBorders>
            <w:noWrap/>
            <w:vAlign w:val="bottom"/>
            <w:hideMark/>
          </w:tcPr>
          <w:p w14:paraId="1C2AAA46" w14:textId="77777777" w:rsidR="00FE0C4F" w:rsidRPr="007170E3" w:rsidRDefault="00FE0C4F" w:rsidP="00FD7082">
            <w:pPr>
              <w:jc w:val="both"/>
              <w:rPr>
                <w:rFonts w:ascii="Arial" w:hAnsi="Arial" w:cs="Arial"/>
                <w:sz w:val="18"/>
                <w:szCs w:val="18"/>
                <w:lang w:eastAsia="en-GB"/>
              </w:rPr>
            </w:pPr>
          </w:p>
        </w:tc>
        <w:tc>
          <w:tcPr>
            <w:tcW w:w="940" w:type="dxa"/>
            <w:tcBorders>
              <w:top w:val="nil"/>
              <w:left w:val="nil"/>
              <w:bottom w:val="nil"/>
              <w:right w:val="nil"/>
            </w:tcBorders>
            <w:noWrap/>
            <w:vAlign w:val="bottom"/>
            <w:hideMark/>
          </w:tcPr>
          <w:p w14:paraId="2BD3015E" w14:textId="77777777" w:rsidR="00FE0C4F" w:rsidRPr="007170E3" w:rsidRDefault="00FE0C4F" w:rsidP="00FD7082">
            <w:pPr>
              <w:jc w:val="both"/>
              <w:rPr>
                <w:rFonts w:ascii="Arial" w:hAnsi="Arial" w:cs="Arial"/>
                <w:sz w:val="18"/>
                <w:szCs w:val="18"/>
                <w:lang w:eastAsia="en-GB"/>
              </w:rPr>
            </w:pPr>
          </w:p>
        </w:tc>
      </w:tr>
      <w:tr w:rsidR="00FE0C4F" w:rsidRPr="007170E3" w14:paraId="6360470D" w14:textId="77777777" w:rsidTr="00FD7082">
        <w:trPr>
          <w:trHeight w:val="315"/>
        </w:trPr>
        <w:tc>
          <w:tcPr>
            <w:tcW w:w="2900" w:type="dxa"/>
            <w:tcBorders>
              <w:top w:val="nil"/>
              <w:left w:val="nil"/>
              <w:bottom w:val="nil"/>
              <w:right w:val="nil"/>
            </w:tcBorders>
            <w:vAlign w:val="center"/>
            <w:hideMark/>
          </w:tcPr>
          <w:p w14:paraId="61F861E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18-40 years</w:t>
            </w:r>
          </w:p>
        </w:tc>
        <w:tc>
          <w:tcPr>
            <w:tcW w:w="1333" w:type="dxa"/>
            <w:tcBorders>
              <w:top w:val="nil"/>
              <w:left w:val="nil"/>
              <w:bottom w:val="nil"/>
              <w:right w:val="nil"/>
            </w:tcBorders>
            <w:noWrap/>
            <w:vAlign w:val="bottom"/>
            <w:hideMark/>
          </w:tcPr>
          <w:p w14:paraId="10D1B145"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21</w:t>
            </w:r>
          </w:p>
        </w:tc>
        <w:tc>
          <w:tcPr>
            <w:tcW w:w="1948" w:type="dxa"/>
            <w:tcBorders>
              <w:top w:val="nil"/>
              <w:left w:val="nil"/>
              <w:bottom w:val="nil"/>
              <w:right w:val="nil"/>
            </w:tcBorders>
            <w:noWrap/>
            <w:vAlign w:val="bottom"/>
            <w:hideMark/>
          </w:tcPr>
          <w:p w14:paraId="578A545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19.3</w:t>
            </w:r>
          </w:p>
        </w:tc>
        <w:tc>
          <w:tcPr>
            <w:tcW w:w="951" w:type="dxa"/>
            <w:tcBorders>
              <w:top w:val="nil"/>
              <w:left w:val="nil"/>
              <w:bottom w:val="nil"/>
              <w:right w:val="nil"/>
            </w:tcBorders>
            <w:noWrap/>
            <w:vAlign w:val="bottom"/>
            <w:hideMark/>
          </w:tcPr>
          <w:p w14:paraId="70D1A6BA"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34</w:t>
            </w:r>
          </w:p>
        </w:tc>
        <w:tc>
          <w:tcPr>
            <w:tcW w:w="2009" w:type="dxa"/>
            <w:tcBorders>
              <w:top w:val="nil"/>
              <w:left w:val="nil"/>
              <w:bottom w:val="nil"/>
              <w:right w:val="nil"/>
            </w:tcBorders>
            <w:noWrap/>
            <w:vAlign w:val="bottom"/>
            <w:hideMark/>
          </w:tcPr>
          <w:p w14:paraId="35F61EB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43.0</w:t>
            </w:r>
          </w:p>
        </w:tc>
        <w:tc>
          <w:tcPr>
            <w:tcW w:w="940" w:type="dxa"/>
            <w:tcBorders>
              <w:top w:val="nil"/>
              <w:left w:val="nil"/>
              <w:bottom w:val="nil"/>
              <w:right w:val="nil"/>
            </w:tcBorders>
            <w:noWrap/>
            <w:vAlign w:val="bottom"/>
            <w:hideMark/>
          </w:tcPr>
          <w:p w14:paraId="3E0510BF"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55</w:t>
            </w:r>
          </w:p>
        </w:tc>
      </w:tr>
      <w:tr w:rsidR="00FE0C4F" w:rsidRPr="007170E3" w14:paraId="1DAB5E44" w14:textId="77777777" w:rsidTr="00FD7082">
        <w:trPr>
          <w:trHeight w:val="315"/>
        </w:trPr>
        <w:tc>
          <w:tcPr>
            <w:tcW w:w="2900" w:type="dxa"/>
            <w:tcBorders>
              <w:top w:val="nil"/>
              <w:left w:val="nil"/>
              <w:bottom w:val="nil"/>
              <w:right w:val="nil"/>
            </w:tcBorders>
            <w:vAlign w:val="center"/>
            <w:hideMark/>
          </w:tcPr>
          <w:p w14:paraId="7F92AB7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41-60 years</w:t>
            </w:r>
          </w:p>
        </w:tc>
        <w:tc>
          <w:tcPr>
            <w:tcW w:w="1333" w:type="dxa"/>
            <w:tcBorders>
              <w:top w:val="nil"/>
              <w:left w:val="nil"/>
              <w:bottom w:val="nil"/>
              <w:right w:val="nil"/>
            </w:tcBorders>
            <w:noWrap/>
            <w:vAlign w:val="bottom"/>
            <w:hideMark/>
          </w:tcPr>
          <w:p w14:paraId="38C9DE9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79</w:t>
            </w:r>
          </w:p>
        </w:tc>
        <w:tc>
          <w:tcPr>
            <w:tcW w:w="1948" w:type="dxa"/>
            <w:tcBorders>
              <w:top w:val="nil"/>
              <w:left w:val="nil"/>
              <w:bottom w:val="nil"/>
              <w:right w:val="nil"/>
            </w:tcBorders>
            <w:noWrap/>
            <w:vAlign w:val="bottom"/>
            <w:hideMark/>
          </w:tcPr>
          <w:p w14:paraId="336CE3DB"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72.5</w:t>
            </w:r>
          </w:p>
        </w:tc>
        <w:tc>
          <w:tcPr>
            <w:tcW w:w="951" w:type="dxa"/>
            <w:tcBorders>
              <w:top w:val="nil"/>
              <w:left w:val="nil"/>
              <w:bottom w:val="nil"/>
              <w:right w:val="nil"/>
            </w:tcBorders>
            <w:noWrap/>
            <w:vAlign w:val="bottom"/>
            <w:hideMark/>
          </w:tcPr>
          <w:p w14:paraId="736E075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45</w:t>
            </w:r>
          </w:p>
        </w:tc>
        <w:tc>
          <w:tcPr>
            <w:tcW w:w="2009" w:type="dxa"/>
            <w:tcBorders>
              <w:top w:val="nil"/>
              <w:left w:val="nil"/>
              <w:bottom w:val="nil"/>
              <w:right w:val="nil"/>
            </w:tcBorders>
            <w:noWrap/>
            <w:vAlign w:val="bottom"/>
            <w:hideMark/>
          </w:tcPr>
          <w:p w14:paraId="5F1CC369"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57.0</w:t>
            </w:r>
          </w:p>
        </w:tc>
        <w:tc>
          <w:tcPr>
            <w:tcW w:w="940" w:type="dxa"/>
            <w:tcBorders>
              <w:top w:val="nil"/>
              <w:left w:val="nil"/>
              <w:bottom w:val="nil"/>
              <w:right w:val="nil"/>
            </w:tcBorders>
            <w:noWrap/>
            <w:vAlign w:val="bottom"/>
            <w:hideMark/>
          </w:tcPr>
          <w:p w14:paraId="6D818A8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124</w:t>
            </w:r>
          </w:p>
        </w:tc>
      </w:tr>
      <w:tr w:rsidR="00FE0C4F" w:rsidRPr="007170E3" w14:paraId="66FA9B40" w14:textId="77777777" w:rsidTr="00FD7082">
        <w:trPr>
          <w:trHeight w:val="315"/>
        </w:trPr>
        <w:tc>
          <w:tcPr>
            <w:tcW w:w="2900" w:type="dxa"/>
            <w:tcBorders>
              <w:top w:val="nil"/>
              <w:left w:val="nil"/>
              <w:bottom w:val="nil"/>
              <w:right w:val="nil"/>
            </w:tcBorders>
            <w:vAlign w:val="center"/>
            <w:hideMark/>
          </w:tcPr>
          <w:p w14:paraId="524C23A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&gt;60</w:t>
            </w:r>
          </w:p>
        </w:tc>
        <w:tc>
          <w:tcPr>
            <w:tcW w:w="1333" w:type="dxa"/>
            <w:tcBorders>
              <w:top w:val="nil"/>
              <w:left w:val="nil"/>
              <w:bottom w:val="nil"/>
              <w:right w:val="nil"/>
            </w:tcBorders>
            <w:noWrap/>
            <w:vAlign w:val="bottom"/>
            <w:hideMark/>
          </w:tcPr>
          <w:p w14:paraId="4E00AC69"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9</w:t>
            </w:r>
          </w:p>
        </w:tc>
        <w:tc>
          <w:tcPr>
            <w:tcW w:w="1948" w:type="dxa"/>
            <w:tcBorders>
              <w:top w:val="nil"/>
              <w:left w:val="nil"/>
              <w:bottom w:val="nil"/>
              <w:right w:val="nil"/>
            </w:tcBorders>
            <w:noWrap/>
            <w:vAlign w:val="bottom"/>
            <w:hideMark/>
          </w:tcPr>
          <w:p w14:paraId="0AE323D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8.2</w:t>
            </w:r>
          </w:p>
        </w:tc>
        <w:tc>
          <w:tcPr>
            <w:tcW w:w="951" w:type="dxa"/>
            <w:tcBorders>
              <w:top w:val="nil"/>
              <w:left w:val="nil"/>
              <w:bottom w:val="nil"/>
              <w:right w:val="nil"/>
            </w:tcBorders>
            <w:noWrap/>
            <w:vAlign w:val="bottom"/>
            <w:hideMark/>
          </w:tcPr>
          <w:p w14:paraId="46E1E370"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w:t>
            </w:r>
          </w:p>
        </w:tc>
        <w:tc>
          <w:tcPr>
            <w:tcW w:w="2009" w:type="dxa"/>
            <w:tcBorders>
              <w:top w:val="nil"/>
              <w:left w:val="nil"/>
              <w:bottom w:val="nil"/>
              <w:right w:val="nil"/>
            </w:tcBorders>
            <w:noWrap/>
            <w:vAlign w:val="bottom"/>
            <w:hideMark/>
          </w:tcPr>
          <w:p w14:paraId="62DF29B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0.0</w:t>
            </w:r>
          </w:p>
        </w:tc>
        <w:tc>
          <w:tcPr>
            <w:tcW w:w="940" w:type="dxa"/>
            <w:tcBorders>
              <w:top w:val="nil"/>
              <w:left w:val="nil"/>
              <w:bottom w:val="nil"/>
              <w:right w:val="nil"/>
            </w:tcBorders>
            <w:noWrap/>
            <w:vAlign w:val="bottom"/>
            <w:hideMark/>
          </w:tcPr>
          <w:p w14:paraId="265005C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9</w:t>
            </w:r>
          </w:p>
        </w:tc>
      </w:tr>
      <w:tr w:rsidR="00FE0C4F" w:rsidRPr="007170E3" w14:paraId="68FDE42C" w14:textId="77777777" w:rsidTr="00FD7082">
        <w:trPr>
          <w:trHeight w:val="315"/>
        </w:trPr>
        <w:tc>
          <w:tcPr>
            <w:tcW w:w="2900" w:type="dxa"/>
            <w:tcBorders>
              <w:top w:val="nil"/>
              <w:left w:val="nil"/>
              <w:bottom w:val="nil"/>
              <w:right w:val="nil"/>
            </w:tcBorders>
            <w:noWrap/>
            <w:vAlign w:val="bottom"/>
            <w:hideMark/>
          </w:tcPr>
          <w:p w14:paraId="3722DF09"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1333" w:type="dxa"/>
            <w:tcBorders>
              <w:top w:val="nil"/>
              <w:left w:val="nil"/>
              <w:bottom w:val="nil"/>
              <w:right w:val="nil"/>
            </w:tcBorders>
            <w:noWrap/>
            <w:vAlign w:val="bottom"/>
            <w:hideMark/>
          </w:tcPr>
          <w:p w14:paraId="4FD32E9D"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109</w:t>
            </w:r>
          </w:p>
        </w:tc>
        <w:tc>
          <w:tcPr>
            <w:tcW w:w="1948" w:type="dxa"/>
            <w:tcBorders>
              <w:top w:val="nil"/>
              <w:left w:val="nil"/>
              <w:bottom w:val="nil"/>
              <w:right w:val="nil"/>
            </w:tcBorders>
            <w:noWrap/>
            <w:vAlign w:val="bottom"/>
            <w:hideMark/>
          </w:tcPr>
          <w:p w14:paraId="73B02EC6"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51" w:type="dxa"/>
            <w:tcBorders>
              <w:top w:val="nil"/>
              <w:left w:val="nil"/>
              <w:bottom w:val="nil"/>
              <w:right w:val="nil"/>
            </w:tcBorders>
            <w:noWrap/>
            <w:vAlign w:val="bottom"/>
            <w:hideMark/>
          </w:tcPr>
          <w:p w14:paraId="48FF57CB"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79</w:t>
            </w:r>
          </w:p>
        </w:tc>
        <w:tc>
          <w:tcPr>
            <w:tcW w:w="2009" w:type="dxa"/>
            <w:tcBorders>
              <w:top w:val="nil"/>
              <w:left w:val="nil"/>
              <w:bottom w:val="nil"/>
              <w:right w:val="nil"/>
            </w:tcBorders>
            <w:noWrap/>
            <w:vAlign w:val="bottom"/>
            <w:hideMark/>
          </w:tcPr>
          <w:p w14:paraId="06D7D5F3"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40" w:type="dxa"/>
            <w:tcBorders>
              <w:top w:val="nil"/>
              <w:left w:val="nil"/>
              <w:bottom w:val="nil"/>
              <w:right w:val="nil"/>
            </w:tcBorders>
            <w:noWrap/>
            <w:vAlign w:val="bottom"/>
            <w:hideMark/>
          </w:tcPr>
          <w:p w14:paraId="21377E88"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r>
      <w:tr w:rsidR="00FE0C4F" w:rsidRPr="007170E3" w14:paraId="528779C7" w14:textId="77777777" w:rsidTr="00FD7082">
        <w:trPr>
          <w:trHeight w:val="315"/>
        </w:trPr>
        <w:tc>
          <w:tcPr>
            <w:tcW w:w="2900" w:type="dxa"/>
            <w:tcBorders>
              <w:top w:val="nil"/>
              <w:left w:val="nil"/>
              <w:bottom w:val="nil"/>
              <w:right w:val="nil"/>
            </w:tcBorders>
            <w:noWrap/>
            <w:vAlign w:val="bottom"/>
            <w:hideMark/>
          </w:tcPr>
          <w:p w14:paraId="6F2751B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LEVEL OF EDUCATION</w:t>
            </w:r>
          </w:p>
        </w:tc>
        <w:tc>
          <w:tcPr>
            <w:tcW w:w="1333" w:type="dxa"/>
            <w:tcBorders>
              <w:top w:val="nil"/>
              <w:left w:val="nil"/>
              <w:bottom w:val="nil"/>
              <w:right w:val="nil"/>
            </w:tcBorders>
            <w:noWrap/>
            <w:vAlign w:val="bottom"/>
            <w:hideMark/>
          </w:tcPr>
          <w:p w14:paraId="52778CC3" w14:textId="77777777" w:rsidR="00FE0C4F" w:rsidRPr="007170E3" w:rsidRDefault="00FE0C4F" w:rsidP="00FD7082">
            <w:pPr>
              <w:jc w:val="both"/>
              <w:rPr>
                <w:rFonts w:ascii="Arial" w:hAnsi="Arial" w:cs="Arial"/>
                <w:b/>
                <w:bCs/>
                <w:sz w:val="18"/>
                <w:szCs w:val="18"/>
                <w:lang w:eastAsia="en-GB"/>
              </w:rPr>
            </w:pPr>
          </w:p>
        </w:tc>
        <w:tc>
          <w:tcPr>
            <w:tcW w:w="1948" w:type="dxa"/>
            <w:tcBorders>
              <w:top w:val="nil"/>
              <w:left w:val="nil"/>
              <w:bottom w:val="nil"/>
              <w:right w:val="nil"/>
            </w:tcBorders>
            <w:noWrap/>
            <w:vAlign w:val="bottom"/>
            <w:hideMark/>
          </w:tcPr>
          <w:p w14:paraId="4F5FEB3B" w14:textId="77777777" w:rsidR="00FE0C4F" w:rsidRPr="007170E3" w:rsidRDefault="00FE0C4F" w:rsidP="00FD7082">
            <w:pPr>
              <w:jc w:val="both"/>
              <w:rPr>
                <w:rFonts w:ascii="Arial" w:hAnsi="Arial" w:cs="Arial"/>
                <w:sz w:val="18"/>
                <w:szCs w:val="18"/>
                <w:lang w:eastAsia="en-GB"/>
              </w:rPr>
            </w:pPr>
          </w:p>
        </w:tc>
        <w:tc>
          <w:tcPr>
            <w:tcW w:w="951" w:type="dxa"/>
            <w:tcBorders>
              <w:top w:val="nil"/>
              <w:left w:val="nil"/>
              <w:bottom w:val="nil"/>
              <w:right w:val="nil"/>
            </w:tcBorders>
            <w:noWrap/>
            <w:vAlign w:val="bottom"/>
            <w:hideMark/>
          </w:tcPr>
          <w:p w14:paraId="2DD020D5" w14:textId="77777777" w:rsidR="00FE0C4F" w:rsidRPr="007170E3" w:rsidRDefault="00FE0C4F" w:rsidP="00FD7082">
            <w:pPr>
              <w:jc w:val="both"/>
              <w:rPr>
                <w:rFonts w:ascii="Arial" w:hAnsi="Arial" w:cs="Arial"/>
                <w:sz w:val="18"/>
                <w:szCs w:val="18"/>
                <w:lang w:eastAsia="en-GB"/>
              </w:rPr>
            </w:pPr>
          </w:p>
        </w:tc>
        <w:tc>
          <w:tcPr>
            <w:tcW w:w="2009" w:type="dxa"/>
            <w:tcBorders>
              <w:top w:val="nil"/>
              <w:left w:val="nil"/>
              <w:bottom w:val="nil"/>
              <w:right w:val="nil"/>
            </w:tcBorders>
            <w:noWrap/>
            <w:vAlign w:val="bottom"/>
            <w:hideMark/>
          </w:tcPr>
          <w:p w14:paraId="24886286" w14:textId="77777777" w:rsidR="00FE0C4F" w:rsidRPr="007170E3" w:rsidRDefault="00FE0C4F" w:rsidP="00FD7082">
            <w:pPr>
              <w:jc w:val="both"/>
              <w:rPr>
                <w:rFonts w:ascii="Arial" w:hAnsi="Arial" w:cs="Arial"/>
                <w:sz w:val="18"/>
                <w:szCs w:val="18"/>
                <w:lang w:eastAsia="en-GB"/>
              </w:rPr>
            </w:pPr>
          </w:p>
        </w:tc>
        <w:tc>
          <w:tcPr>
            <w:tcW w:w="940" w:type="dxa"/>
            <w:tcBorders>
              <w:top w:val="nil"/>
              <w:left w:val="nil"/>
              <w:bottom w:val="nil"/>
              <w:right w:val="nil"/>
            </w:tcBorders>
            <w:noWrap/>
            <w:vAlign w:val="bottom"/>
            <w:hideMark/>
          </w:tcPr>
          <w:p w14:paraId="1F386BAC" w14:textId="77777777" w:rsidR="00FE0C4F" w:rsidRPr="007170E3" w:rsidRDefault="00FE0C4F" w:rsidP="00FD7082">
            <w:pPr>
              <w:jc w:val="both"/>
              <w:rPr>
                <w:rFonts w:ascii="Arial" w:hAnsi="Arial" w:cs="Arial"/>
                <w:sz w:val="18"/>
                <w:szCs w:val="18"/>
                <w:lang w:eastAsia="en-GB"/>
              </w:rPr>
            </w:pPr>
          </w:p>
        </w:tc>
      </w:tr>
      <w:tr w:rsidR="00FE0C4F" w:rsidRPr="007170E3" w14:paraId="31503FFB" w14:textId="77777777" w:rsidTr="00FD7082">
        <w:trPr>
          <w:trHeight w:val="315"/>
        </w:trPr>
        <w:tc>
          <w:tcPr>
            <w:tcW w:w="2900" w:type="dxa"/>
            <w:tcBorders>
              <w:top w:val="nil"/>
              <w:left w:val="nil"/>
              <w:bottom w:val="nil"/>
              <w:right w:val="nil"/>
            </w:tcBorders>
            <w:noWrap/>
            <w:vAlign w:val="bottom"/>
            <w:hideMark/>
          </w:tcPr>
          <w:p w14:paraId="3257AE65"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Non-Formal</w:t>
            </w:r>
          </w:p>
        </w:tc>
        <w:tc>
          <w:tcPr>
            <w:tcW w:w="1333" w:type="dxa"/>
            <w:tcBorders>
              <w:top w:val="nil"/>
              <w:left w:val="nil"/>
              <w:bottom w:val="nil"/>
              <w:right w:val="nil"/>
            </w:tcBorders>
            <w:noWrap/>
            <w:vAlign w:val="bottom"/>
            <w:hideMark/>
          </w:tcPr>
          <w:p w14:paraId="68CA302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17</w:t>
            </w:r>
          </w:p>
        </w:tc>
        <w:tc>
          <w:tcPr>
            <w:tcW w:w="1948" w:type="dxa"/>
            <w:tcBorders>
              <w:top w:val="nil"/>
              <w:left w:val="nil"/>
              <w:bottom w:val="nil"/>
              <w:right w:val="nil"/>
            </w:tcBorders>
            <w:noWrap/>
            <w:vAlign w:val="bottom"/>
            <w:hideMark/>
          </w:tcPr>
          <w:p w14:paraId="2FA5613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15.6</w:t>
            </w:r>
          </w:p>
        </w:tc>
        <w:tc>
          <w:tcPr>
            <w:tcW w:w="951" w:type="dxa"/>
            <w:tcBorders>
              <w:top w:val="nil"/>
              <w:left w:val="nil"/>
              <w:bottom w:val="nil"/>
              <w:right w:val="nil"/>
            </w:tcBorders>
            <w:noWrap/>
            <w:vAlign w:val="bottom"/>
            <w:hideMark/>
          </w:tcPr>
          <w:p w14:paraId="768F652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17</w:t>
            </w:r>
          </w:p>
        </w:tc>
        <w:tc>
          <w:tcPr>
            <w:tcW w:w="2009" w:type="dxa"/>
            <w:tcBorders>
              <w:top w:val="nil"/>
              <w:left w:val="nil"/>
              <w:bottom w:val="nil"/>
              <w:right w:val="nil"/>
            </w:tcBorders>
            <w:noWrap/>
            <w:vAlign w:val="bottom"/>
            <w:hideMark/>
          </w:tcPr>
          <w:p w14:paraId="762871C4"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21.5</w:t>
            </w:r>
          </w:p>
        </w:tc>
        <w:tc>
          <w:tcPr>
            <w:tcW w:w="940" w:type="dxa"/>
            <w:tcBorders>
              <w:top w:val="nil"/>
              <w:left w:val="nil"/>
              <w:bottom w:val="nil"/>
              <w:right w:val="nil"/>
            </w:tcBorders>
            <w:noWrap/>
            <w:vAlign w:val="bottom"/>
            <w:hideMark/>
          </w:tcPr>
          <w:p w14:paraId="08A15BE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34</w:t>
            </w:r>
          </w:p>
        </w:tc>
      </w:tr>
      <w:tr w:rsidR="00FE0C4F" w:rsidRPr="007170E3" w14:paraId="2A9D74B2" w14:textId="77777777" w:rsidTr="00FD7082">
        <w:trPr>
          <w:trHeight w:val="315"/>
        </w:trPr>
        <w:tc>
          <w:tcPr>
            <w:tcW w:w="2900" w:type="dxa"/>
            <w:tcBorders>
              <w:top w:val="nil"/>
              <w:left w:val="nil"/>
              <w:bottom w:val="nil"/>
              <w:right w:val="nil"/>
            </w:tcBorders>
            <w:noWrap/>
            <w:vAlign w:val="bottom"/>
            <w:hideMark/>
          </w:tcPr>
          <w:p w14:paraId="6EB35274"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Primary</w:t>
            </w:r>
          </w:p>
        </w:tc>
        <w:tc>
          <w:tcPr>
            <w:tcW w:w="1333" w:type="dxa"/>
            <w:tcBorders>
              <w:top w:val="nil"/>
              <w:left w:val="nil"/>
              <w:bottom w:val="nil"/>
              <w:right w:val="nil"/>
            </w:tcBorders>
            <w:noWrap/>
            <w:vAlign w:val="bottom"/>
            <w:hideMark/>
          </w:tcPr>
          <w:p w14:paraId="706F16E9"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54</w:t>
            </w:r>
          </w:p>
        </w:tc>
        <w:tc>
          <w:tcPr>
            <w:tcW w:w="1948" w:type="dxa"/>
            <w:tcBorders>
              <w:top w:val="nil"/>
              <w:left w:val="nil"/>
              <w:bottom w:val="nil"/>
              <w:right w:val="nil"/>
            </w:tcBorders>
            <w:noWrap/>
            <w:vAlign w:val="bottom"/>
            <w:hideMark/>
          </w:tcPr>
          <w:p w14:paraId="70CEE2B3"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49.5</w:t>
            </w:r>
          </w:p>
        </w:tc>
        <w:tc>
          <w:tcPr>
            <w:tcW w:w="951" w:type="dxa"/>
            <w:tcBorders>
              <w:top w:val="nil"/>
              <w:left w:val="nil"/>
              <w:bottom w:val="nil"/>
              <w:right w:val="nil"/>
            </w:tcBorders>
            <w:noWrap/>
            <w:vAlign w:val="bottom"/>
            <w:hideMark/>
          </w:tcPr>
          <w:p w14:paraId="4BDBE92F"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28</w:t>
            </w:r>
          </w:p>
        </w:tc>
        <w:tc>
          <w:tcPr>
            <w:tcW w:w="2009" w:type="dxa"/>
            <w:tcBorders>
              <w:top w:val="nil"/>
              <w:left w:val="nil"/>
              <w:bottom w:val="nil"/>
              <w:right w:val="nil"/>
            </w:tcBorders>
            <w:noWrap/>
            <w:vAlign w:val="bottom"/>
            <w:hideMark/>
          </w:tcPr>
          <w:p w14:paraId="4E8D892A"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35.4</w:t>
            </w:r>
          </w:p>
        </w:tc>
        <w:tc>
          <w:tcPr>
            <w:tcW w:w="940" w:type="dxa"/>
            <w:tcBorders>
              <w:top w:val="nil"/>
              <w:left w:val="nil"/>
              <w:bottom w:val="nil"/>
              <w:right w:val="nil"/>
            </w:tcBorders>
            <w:noWrap/>
            <w:vAlign w:val="bottom"/>
            <w:hideMark/>
          </w:tcPr>
          <w:p w14:paraId="26D3E8FA"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82</w:t>
            </w:r>
          </w:p>
        </w:tc>
      </w:tr>
      <w:tr w:rsidR="00FE0C4F" w:rsidRPr="007170E3" w14:paraId="29B6768D" w14:textId="77777777" w:rsidTr="00FD7082">
        <w:trPr>
          <w:trHeight w:val="315"/>
        </w:trPr>
        <w:tc>
          <w:tcPr>
            <w:tcW w:w="2900" w:type="dxa"/>
            <w:tcBorders>
              <w:top w:val="nil"/>
              <w:left w:val="nil"/>
              <w:bottom w:val="nil"/>
              <w:right w:val="nil"/>
            </w:tcBorders>
            <w:noWrap/>
            <w:vAlign w:val="bottom"/>
            <w:hideMark/>
          </w:tcPr>
          <w:p w14:paraId="75929B24"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Secondary</w:t>
            </w:r>
          </w:p>
        </w:tc>
        <w:tc>
          <w:tcPr>
            <w:tcW w:w="1333" w:type="dxa"/>
            <w:tcBorders>
              <w:top w:val="nil"/>
              <w:left w:val="nil"/>
              <w:bottom w:val="nil"/>
              <w:right w:val="nil"/>
            </w:tcBorders>
            <w:noWrap/>
            <w:vAlign w:val="bottom"/>
            <w:hideMark/>
          </w:tcPr>
          <w:p w14:paraId="1456A30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32</w:t>
            </w:r>
          </w:p>
        </w:tc>
        <w:tc>
          <w:tcPr>
            <w:tcW w:w="1948" w:type="dxa"/>
            <w:tcBorders>
              <w:top w:val="nil"/>
              <w:left w:val="nil"/>
              <w:bottom w:val="nil"/>
              <w:right w:val="nil"/>
            </w:tcBorders>
            <w:noWrap/>
            <w:vAlign w:val="bottom"/>
            <w:hideMark/>
          </w:tcPr>
          <w:p w14:paraId="5AB9DDA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29.4</w:t>
            </w:r>
          </w:p>
        </w:tc>
        <w:tc>
          <w:tcPr>
            <w:tcW w:w="951" w:type="dxa"/>
            <w:tcBorders>
              <w:top w:val="nil"/>
              <w:left w:val="nil"/>
              <w:bottom w:val="nil"/>
              <w:right w:val="nil"/>
            </w:tcBorders>
            <w:noWrap/>
            <w:vAlign w:val="bottom"/>
            <w:hideMark/>
          </w:tcPr>
          <w:p w14:paraId="2778FE6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27</w:t>
            </w:r>
          </w:p>
        </w:tc>
        <w:tc>
          <w:tcPr>
            <w:tcW w:w="2009" w:type="dxa"/>
            <w:tcBorders>
              <w:top w:val="nil"/>
              <w:left w:val="nil"/>
              <w:bottom w:val="nil"/>
              <w:right w:val="nil"/>
            </w:tcBorders>
            <w:noWrap/>
            <w:vAlign w:val="bottom"/>
            <w:hideMark/>
          </w:tcPr>
          <w:p w14:paraId="67C55C4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34.2</w:t>
            </w:r>
          </w:p>
        </w:tc>
        <w:tc>
          <w:tcPr>
            <w:tcW w:w="940" w:type="dxa"/>
            <w:tcBorders>
              <w:top w:val="nil"/>
              <w:left w:val="nil"/>
              <w:bottom w:val="nil"/>
              <w:right w:val="nil"/>
            </w:tcBorders>
            <w:noWrap/>
            <w:vAlign w:val="bottom"/>
            <w:hideMark/>
          </w:tcPr>
          <w:p w14:paraId="197146D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59</w:t>
            </w:r>
          </w:p>
        </w:tc>
      </w:tr>
      <w:tr w:rsidR="00FE0C4F" w:rsidRPr="007170E3" w14:paraId="1D352CDA" w14:textId="77777777" w:rsidTr="00FD7082">
        <w:trPr>
          <w:trHeight w:val="315"/>
        </w:trPr>
        <w:tc>
          <w:tcPr>
            <w:tcW w:w="2900" w:type="dxa"/>
            <w:tcBorders>
              <w:top w:val="nil"/>
              <w:left w:val="nil"/>
              <w:bottom w:val="nil"/>
              <w:right w:val="nil"/>
            </w:tcBorders>
            <w:noWrap/>
            <w:vAlign w:val="bottom"/>
            <w:hideMark/>
          </w:tcPr>
          <w:p w14:paraId="57EEC2A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Tertiary</w:t>
            </w:r>
          </w:p>
        </w:tc>
        <w:tc>
          <w:tcPr>
            <w:tcW w:w="1333" w:type="dxa"/>
            <w:tcBorders>
              <w:top w:val="nil"/>
              <w:left w:val="nil"/>
              <w:bottom w:val="nil"/>
              <w:right w:val="nil"/>
            </w:tcBorders>
            <w:noWrap/>
            <w:vAlign w:val="bottom"/>
            <w:hideMark/>
          </w:tcPr>
          <w:p w14:paraId="7DAE932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6</w:t>
            </w:r>
          </w:p>
        </w:tc>
        <w:tc>
          <w:tcPr>
            <w:tcW w:w="1948" w:type="dxa"/>
            <w:tcBorders>
              <w:top w:val="nil"/>
              <w:left w:val="nil"/>
              <w:bottom w:val="nil"/>
              <w:right w:val="nil"/>
            </w:tcBorders>
            <w:noWrap/>
            <w:vAlign w:val="bottom"/>
            <w:hideMark/>
          </w:tcPr>
          <w:p w14:paraId="2D501D2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5.5</w:t>
            </w:r>
          </w:p>
        </w:tc>
        <w:tc>
          <w:tcPr>
            <w:tcW w:w="951" w:type="dxa"/>
            <w:tcBorders>
              <w:top w:val="nil"/>
              <w:left w:val="nil"/>
              <w:bottom w:val="nil"/>
              <w:right w:val="nil"/>
            </w:tcBorders>
            <w:noWrap/>
            <w:vAlign w:val="bottom"/>
            <w:hideMark/>
          </w:tcPr>
          <w:p w14:paraId="757A4C6F"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7</w:t>
            </w:r>
          </w:p>
        </w:tc>
        <w:tc>
          <w:tcPr>
            <w:tcW w:w="2009" w:type="dxa"/>
            <w:tcBorders>
              <w:top w:val="nil"/>
              <w:left w:val="nil"/>
              <w:bottom w:val="nil"/>
              <w:right w:val="nil"/>
            </w:tcBorders>
            <w:noWrap/>
            <w:vAlign w:val="bottom"/>
            <w:hideMark/>
          </w:tcPr>
          <w:p w14:paraId="6FD3292B"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8.9</w:t>
            </w:r>
          </w:p>
        </w:tc>
        <w:tc>
          <w:tcPr>
            <w:tcW w:w="940" w:type="dxa"/>
            <w:tcBorders>
              <w:top w:val="nil"/>
              <w:left w:val="nil"/>
              <w:bottom w:val="nil"/>
              <w:right w:val="nil"/>
            </w:tcBorders>
            <w:noWrap/>
            <w:vAlign w:val="bottom"/>
            <w:hideMark/>
          </w:tcPr>
          <w:p w14:paraId="12DF57BA"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13</w:t>
            </w:r>
          </w:p>
        </w:tc>
      </w:tr>
      <w:tr w:rsidR="00FE0C4F" w:rsidRPr="007170E3" w14:paraId="6987D99E" w14:textId="77777777" w:rsidTr="00FD7082">
        <w:trPr>
          <w:trHeight w:val="330"/>
        </w:trPr>
        <w:tc>
          <w:tcPr>
            <w:tcW w:w="2900" w:type="dxa"/>
            <w:tcBorders>
              <w:top w:val="nil"/>
              <w:left w:val="nil"/>
              <w:bottom w:val="single" w:sz="8" w:space="0" w:color="auto"/>
              <w:right w:val="nil"/>
            </w:tcBorders>
            <w:noWrap/>
            <w:vAlign w:val="bottom"/>
            <w:hideMark/>
          </w:tcPr>
          <w:p w14:paraId="1C06561A"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1333" w:type="dxa"/>
            <w:tcBorders>
              <w:top w:val="nil"/>
              <w:left w:val="nil"/>
              <w:bottom w:val="single" w:sz="8" w:space="0" w:color="auto"/>
              <w:right w:val="nil"/>
            </w:tcBorders>
            <w:noWrap/>
            <w:vAlign w:val="bottom"/>
            <w:hideMark/>
          </w:tcPr>
          <w:p w14:paraId="3A21F20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109</w:t>
            </w:r>
          </w:p>
        </w:tc>
        <w:tc>
          <w:tcPr>
            <w:tcW w:w="1948" w:type="dxa"/>
            <w:tcBorders>
              <w:top w:val="nil"/>
              <w:left w:val="nil"/>
              <w:bottom w:val="single" w:sz="8" w:space="0" w:color="auto"/>
              <w:right w:val="nil"/>
            </w:tcBorders>
            <w:noWrap/>
            <w:vAlign w:val="bottom"/>
            <w:hideMark/>
          </w:tcPr>
          <w:p w14:paraId="434F7E97"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51" w:type="dxa"/>
            <w:tcBorders>
              <w:top w:val="nil"/>
              <w:left w:val="nil"/>
              <w:bottom w:val="single" w:sz="8" w:space="0" w:color="auto"/>
              <w:right w:val="nil"/>
            </w:tcBorders>
            <w:noWrap/>
            <w:vAlign w:val="bottom"/>
            <w:hideMark/>
          </w:tcPr>
          <w:p w14:paraId="5BB84497"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79</w:t>
            </w:r>
          </w:p>
        </w:tc>
        <w:tc>
          <w:tcPr>
            <w:tcW w:w="2009" w:type="dxa"/>
            <w:tcBorders>
              <w:top w:val="nil"/>
              <w:left w:val="nil"/>
              <w:bottom w:val="single" w:sz="8" w:space="0" w:color="auto"/>
              <w:right w:val="nil"/>
            </w:tcBorders>
            <w:noWrap/>
            <w:vAlign w:val="bottom"/>
            <w:hideMark/>
          </w:tcPr>
          <w:p w14:paraId="472C379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40" w:type="dxa"/>
            <w:tcBorders>
              <w:top w:val="nil"/>
              <w:left w:val="nil"/>
              <w:bottom w:val="single" w:sz="8" w:space="0" w:color="auto"/>
              <w:right w:val="nil"/>
            </w:tcBorders>
            <w:noWrap/>
            <w:vAlign w:val="bottom"/>
            <w:hideMark/>
          </w:tcPr>
          <w:p w14:paraId="065E44F3"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r>
    </w:tbl>
    <w:p w14:paraId="4442CF44" w14:textId="77777777" w:rsidR="007E3377" w:rsidRPr="007170E3" w:rsidRDefault="007E3377" w:rsidP="006805C8">
      <w:pPr>
        <w:spacing w:line="480" w:lineRule="auto"/>
        <w:jc w:val="both"/>
        <w:rPr>
          <w:rFonts w:ascii="Arial" w:hAnsi="Arial" w:cs="Arial"/>
          <w:b/>
          <w:bCs/>
          <w:sz w:val="18"/>
          <w:szCs w:val="18"/>
        </w:rPr>
      </w:pPr>
    </w:p>
    <w:p w14:paraId="132BE5C6" w14:textId="02AABF69" w:rsidR="00B67B67" w:rsidRDefault="009F0004" w:rsidP="009F0004">
      <w:pPr>
        <w:spacing w:line="480" w:lineRule="auto"/>
        <w:jc w:val="both"/>
        <w:rPr>
          <w:rFonts w:ascii="Arial" w:hAnsi="Arial" w:cs="Arial"/>
          <w:sz w:val="22"/>
          <w:szCs w:val="22"/>
        </w:rPr>
      </w:pPr>
      <w:r w:rsidRPr="00B67B67">
        <w:rPr>
          <w:rFonts w:ascii="Arial" w:hAnsi="Arial" w:cs="Arial"/>
          <w:sz w:val="22"/>
          <w:szCs w:val="22"/>
        </w:rPr>
        <w:t xml:space="preserve">More than half of the participants (57.4%, n=108) had been involved in at-fault RTA since driving as a CVD. However, only about a quarter of the CVDs (22.9%, n=43) had been involved in RTA more than once within 10 years of driving. Among CVDs with history of RTA, only a quarter (25%, n=27) reported to have sustained RTA-related injuries. </w:t>
      </w:r>
      <w:bookmarkStart w:id="2" w:name="_Hlk130807965"/>
      <w:r w:rsidRPr="00B67B67">
        <w:rPr>
          <w:rFonts w:ascii="Arial" w:hAnsi="Arial" w:cs="Arial"/>
          <w:sz w:val="22"/>
          <w:szCs w:val="22"/>
        </w:rPr>
        <w:t>Most of the participants (</w:t>
      </w:r>
      <w:bookmarkStart w:id="3" w:name="_Hlk130330294"/>
      <w:r w:rsidRPr="00B67B67">
        <w:rPr>
          <w:rFonts w:ascii="Arial" w:hAnsi="Arial" w:cs="Arial"/>
          <w:sz w:val="22"/>
          <w:szCs w:val="22"/>
        </w:rPr>
        <w:t>93.1%</w:t>
      </w:r>
      <w:bookmarkEnd w:id="3"/>
      <w:r w:rsidRPr="00B67B67">
        <w:rPr>
          <w:rFonts w:ascii="Arial" w:hAnsi="Arial" w:cs="Arial"/>
          <w:sz w:val="22"/>
          <w:szCs w:val="22"/>
        </w:rPr>
        <w:t xml:space="preserve"> n=175) had dr</w:t>
      </w:r>
      <w:bookmarkEnd w:id="2"/>
      <w:r w:rsidRPr="00B67B67">
        <w:rPr>
          <w:rFonts w:ascii="Arial" w:hAnsi="Arial" w:cs="Arial"/>
          <w:sz w:val="22"/>
          <w:szCs w:val="22"/>
        </w:rPr>
        <w:t xml:space="preserve">iver’s license and more than two-third of the driver’s </w:t>
      </w:r>
      <w:r w:rsidRPr="005162DF">
        <w:rPr>
          <w:rFonts w:ascii="Arial" w:hAnsi="Arial" w:cs="Arial"/>
          <w:sz w:val="22"/>
          <w:szCs w:val="22"/>
        </w:rPr>
        <w:t>license (</w:t>
      </w:r>
      <w:bookmarkStart w:id="4" w:name="_Hlk130330391"/>
      <w:r w:rsidRPr="005162DF">
        <w:rPr>
          <w:rFonts w:ascii="Arial" w:hAnsi="Arial" w:cs="Arial"/>
          <w:sz w:val="22"/>
          <w:szCs w:val="22"/>
          <w:lang w:eastAsia="en-GB"/>
        </w:rPr>
        <w:t>80.6%,</w:t>
      </w:r>
      <w:bookmarkEnd w:id="4"/>
      <w:r w:rsidRPr="005162DF">
        <w:rPr>
          <w:rFonts w:ascii="Arial" w:hAnsi="Arial" w:cs="Arial"/>
          <w:sz w:val="22"/>
          <w:szCs w:val="22"/>
          <w:lang w:eastAsia="en-GB"/>
        </w:rPr>
        <w:t xml:space="preserve"> n=141)</w:t>
      </w:r>
      <w:r w:rsidRPr="005162DF">
        <w:rPr>
          <w:rFonts w:ascii="Arial" w:hAnsi="Arial" w:cs="Arial"/>
          <w:sz w:val="22"/>
          <w:szCs w:val="22"/>
        </w:rPr>
        <w:t xml:space="preserve"> were current. </w:t>
      </w:r>
      <w:r w:rsidRPr="005162DF">
        <w:rPr>
          <w:rFonts w:ascii="Arial" w:hAnsi="Arial" w:cs="Arial"/>
          <w:b/>
          <w:sz w:val="22"/>
          <w:szCs w:val="22"/>
        </w:rPr>
        <w:t>(Table 2)</w:t>
      </w:r>
      <w:r w:rsidRPr="005162DF">
        <w:rPr>
          <w:rFonts w:ascii="Arial" w:hAnsi="Arial" w:cs="Arial"/>
          <w:sz w:val="22"/>
          <w:szCs w:val="22"/>
        </w:rPr>
        <w:t>.</w:t>
      </w:r>
    </w:p>
    <w:p w14:paraId="4DF6FC76" w14:textId="77777777" w:rsidR="00AE005A" w:rsidRDefault="00AE005A" w:rsidP="009F0004">
      <w:pPr>
        <w:spacing w:line="480" w:lineRule="auto"/>
        <w:jc w:val="both"/>
        <w:rPr>
          <w:rFonts w:ascii="Arial" w:hAnsi="Arial" w:cs="Arial"/>
          <w:sz w:val="22"/>
          <w:szCs w:val="22"/>
        </w:rPr>
      </w:pPr>
    </w:p>
    <w:p w14:paraId="7B93EC59" w14:textId="77777777" w:rsidR="00AE005A" w:rsidRPr="005162DF" w:rsidRDefault="00AE005A" w:rsidP="009F0004">
      <w:pPr>
        <w:spacing w:line="480" w:lineRule="auto"/>
        <w:jc w:val="both"/>
        <w:rPr>
          <w:rFonts w:ascii="Arial" w:hAnsi="Arial" w:cs="Arial"/>
          <w:sz w:val="22"/>
          <w:szCs w:val="22"/>
        </w:rPr>
      </w:pPr>
    </w:p>
    <w:p w14:paraId="2D06D402" w14:textId="77777777" w:rsidR="00B67B67" w:rsidRPr="007170E3" w:rsidRDefault="00B67B67" w:rsidP="00B67B67">
      <w:pPr>
        <w:spacing w:line="480" w:lineRule="auto"/>
        <w:jc w:val="both"/>
        <w:rPr>
          <w:rFonts w:ascii="Arial" w:hAnsi="Arial" w:cs="Arial"/>
          <w:b/>
          <w:sz w:val="18"/>
          <w:szCs w:val="18"/>
        </w:rPr>
      </w:pPr>
      <w:r w:rsidRPr="007170E3">
        <w:rPr>
          <w:rFonts w:ascii="Arial" w:hAnsi="Arial" w:cs="Arial"/>
          <w:b/>
          <w:bCs/>
          <w:sz w:val="18"/>
          <w:szCs w:val="18"/>
        </w:rPr>
        <w:t>Table 2:</w:t>
      </w:r>
      <w:r w:rsidRPr="007170E3">
        <w:rPr>
          <w:rFonts w:ascii="Arial" w:hAnsi="Arial" w:cs="Arial"/>
          <w:sz w:val="18"/>
          <w:szCs w:val="18"/>
        </w:rPr>
        <w:t xml:space="preserve"> </w:t>
      </w:r>
      <w:r w:rsidRPr="007170E3">
        <w:rPr>
          <w:rFonts w:ascii="Arial" w:hAnsi="Arial" w:cs="Arial"/>
          <w:b/>
          <w:sz w:val="18"/>
          <w:szCs w:val="18"/>
        </w:rPr>
        <w:t>Distribution and Rate of Road Traffic Accident Among the Study Population</w:t>
      </w:r>
    </w:p>
    <w:tbl>
      <w:tblPr>
        <w:tblW w:w="7660" w:type="dxa"/>
        <w:tblLook w:val="04A0" w:firstRow="1" w:lastRow="0" w:firstColumn="1" w:lastColumn="0" w:noHBand="0" w:noVBand="1"/>
      </w:tblPr>
      <w:tblGrid>
        <w:gridCol w:w="1840"/>
        <w:gridCol w:w="2080"/>
        <w:gridCol w:w="3740"/>
      </w:tblGrid>
      <w:tr w:rsidR="00023426" w:rsidRPr="007170E3" w14:paraId="7B708421" w14:textId="77777777" w:rsidTr="00FD7082">
        <w:trPr>
          <w:trHeight w:val="315"/>
        </w:trPr>
        <w:tc>
          <w:tcPr>
            <w:tcW w:w="1840" w:type="dxa"/>
            <w:tcBorders>
              <w:top w:val="single" w:sz="8" w:space="0" w:color="auto"/>
              <w:left w:val="nil"/>
              <w:bottom w:val="nil"/>
              <w:right w:val="nil"/>
            </w:tcBorders>
            <w:noWrap/>
            <w:vAlign w:val="bottom"/>
            <w:hideMark/>
          </w:tcPr>
          <w:p w14:paraId="7F07727C"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VARIABLE</w:t>
            </w:r>
          </w:p>
        </w:tc>
        <w:tc>
          <w:tcPr>
            <w:tcW w:w="2080" w:type="dxa"/>
            <w:tcBorders>
              <w:top w:val="single" w:sz="8" w:space="0" w:color="auto"/>
              <w:left w:val="nil"/>
              <w:bottom w:val="nil"/>
              <w:right w:val="nil"/>
            </w:tcBorders>
            <w:noWrap/>
            <w:vAlign w:val="bottom"/>
            <w:hideMark/>
          </w:tcPr>
          <w:p w14:paraId="5BBFF189"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FREQUENCY</w:t>
            </w:r>
          </w:p>
        </w:tc>
        <w:tc>
          <w:tcPr>
            <w:tcW w:w="3740" w:type="dxa"/>
            <w:tcBorders>
              <w:top w:val="single" w:sz="8" w:space="0" w:color="auto"/>
              <w:left w:val="nil"/>
              <w:bottom w:val="nil"/>
              <w:right w:val="nil"/>
            </w:tcBorders>
            <w:noWrap/>
            <w:vAlign w:val="bottom"/>
            <w:hideMark/>
          </w:tcPr>
          <w:p w14:paraId="6DA20396"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PERCENTAGE</w:t>
            </w:r>
          </w:p>
        </w:tc>
      </w:tr>
      <w:tr w:rsidR="00023426" w:rsidRPr="007170E3" w14:paraId="3640A387" w14:textId="77777777" w:rsidTr="00FD7082">
        <w:trPr>
          <w:trHeight w:val="315"/>
        </w:trPr>
        <w:tc>
          <w:tcPr>
            <w:tcW w:w="1840" w:type="dxa"/>
            <w:tcBorders>
              <w:top w:val="nil"/>
              <w:left w:val="nil"/>
              <w:bottom w:val="single" w:sz="4" w:space="0" w:color="auto"/>
              <w:right w:val="nil"/>
            </w:tcBorders>
            <w:noWrap/>
            <w:vAlign w:val="bottom"/>
            <w:hideMark/>
          </w:tcPr>
          <w:p w14:paraId="2689E2E5" w14:textId="77777777" w:rsidR="00023426" w:rsidRPr="007170E3" w:rsidRDefault="00023426" w:rsidP="00FD7082">
            <w:pPr>
              <w:jc w:val="both"/>
              <w:rPr>
                <w:rFonts w:ascii="Arial" w:hAnsi="Arial" w:cs="Arial"/>
                <w:sz w:val="18"/>
                <w:szCs w:val="18"/>
                <w:lang w:eastAsia="en-GB"/>
              </w:rPr>
            </w:pPr>
          </w:p>
        </w:tc>
        <w:tc>
          <w:tcPr>
            <w:tcW w:w="2080" w:type="dxa"/>
            <w:tcBorders>
              <w:top w:val="nil"/>
              <w:left w:val="nil"/>
              <w:bottom w:val="single" w:sz="4" w:space="0" w:color="auto"/>
              <w:right w:val="nil"/>
            </w:tcBorders>
            <w:noWrap/>
            <w:vAlign w:val="bottom"/>
            <w:hideMark/>
          </w:tcPr>
          <w:p w14:paraId="12D23D3E"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N</w:t>
            </w:r>
          </w:p>
        </w:tc>
        <w:tc>
          <w:tcPr>
            <w:tcW w:w="3740" w:type="dxa"/>
            <w:tcBorders>
              <w:top w:val="nil"/>
              <w:left w:val="nil"/>
              <w:bottom w:val="single" w:sz="4" w:space="0" w:color="auto"/>
              <w:right w:val="nil"/>
            </w:tcBorders>
            <w:noWrap/>
            <w:vAlign w:val="bottom"/>
            <w:hideMark/>
          </w:tcPr>
          <w:p w14:paraId="26842308"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w:t>
            </w:r>
          </w:p>
        </w:tc>
      </w:tr>
      <w:tr w:rsidR="00023426" w:rsidRPr="007170E3" w14:paraId="172C35F7" w14:textId="77777777" w:rsidTr="00FD7082">
        <w:trPr>
          <w:trHeight w:val="315"/>
        </w:trPr>
        <w:tc>
          <w:tcPr>
            <w:tcW w:w="1840" w:type="dxa"/>
            <w:tcBorders>
              <w:top w:val="nil"/>
              <w:left w:val="nil"/>
              <w:bottom w:val="nil"/>
              <w:right w:val="nil"/>
            </w:tcBorders>
            <w:noWrap/>
            <w:vAlign w:val="bottom"/>
            <w:hideMark/>
          </w:tcPr>
          <w:p w14:paraId="68CE3FAB"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 xml:space="preserve">          RTA</w:t>
            </w:r>
          </w:p>
        </w:tc>
        <w:tc>
          <w:tcPr>
            <w:tcW w:w="2080" w:type="dxa"/>
            <w:tcBorders>
              <w:top w:val="nil"/>
              <w:left w:val="nil"/>
              <w:bottom w:val="nil"/>
              <w:right w:val="nil"/>
            </w:tcBorders>
            <w:noWrap/>
            <w:vAlign w:val="bottom"/>
            <w:hideMark/>
          </w:tcPr>
          <w:p w14:paraId="4B6D63DA" w14:textId="77777777" w:rsidR="00023426" w:rsidRPr="007170E3" w:rsidRDefault="00023426" w:rsidP="00FD7082">
            <w:pPr>
              <w:jc w:val="both"/>
              <w:rPr>
                <w:rFonts w:ascii="Arial" w:hAnsi="Arial" w:cs="Arial"/>
                <w:b/>
                <w:bCs/>
                <w:sz w:val="18"/>
                <w:szCs w:val="18"/>
                <w:lang w:eastAsia="en-GB"/>
              </w:rPr>
            </w:pPr>
          </w:p>
        </w:tc>
        <w:tc>
          <w:tcPr>
            <w:tcW w:w="3740" w:type="dxa"/>
            <w:tcBorders>
              <w:top w:val="nil"/>
              <w:left w:val="nil"/>
              <w:bottom w:val="nil"/>
              <w:right w:val="nil"/>
            </w:tcBorders>
            <w:noWrap/>
            <w:vAlign w:val="bottom"/>
            <w:hideMark/>
          </w:tcPr>
          <w:p w14:paraId="3E9C8F24" w14:textId="77777777" w:rsidR="00023426" w:rsidRPr="007170E3" w:rsidRDefault="00023426" w:rsidP="00FD7082">
            <w:pPr>
              <w:jc w:val="both"/>
              <w:rPr>
                <w:rFonts w:ascii="Arial" w:hAnsi="Arial" w:cs="Arial"/>
                <w:sz w:val="18"/>
                <w:szCs w:val="18"/>
                <w:lang w:eastAsia="en-GB"/>
              </w:rPr>
            </w:pPr>
          </w:p>
        </w:tc>
      </w:tr>
      <w:tr w:rsidR="00023426" w:rsidRPr="007170E3" w14:paraId="744C0A7A" w14:textId="77777777" w:rsidTr="00FD7082">
        <w:trPr>
          <w:trHeight w:val="315"/>
        </w:trPr>
        <w:tc>
          <w:tcPr>
            <w:tcW w:w="1840" w:type="dxa"/>
            <w:tcBorders>
              <w:top w:val="nil"/>
              <w:left w:val="nil"/>
              <w:bottom w:val="nil"/>
              <w:right w:val="nil"/>
            </w:tcBorders>
            <w:noWrap/>
            <w:vAlign w:val="bottom"/>
            <w:hideMark/>
          </w:tcPr>
          <w:p w14:paraId="161F0F10"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No</w:t>
            </w:r>
          </w:p>
        </w:tc>
        <w:tc>
          <w:tcPr>
            <w:tcW w:w="2080" w:type="dxa"/>
            <w:tcBorders>
              <w:top w:val="nil"/>
              <w:left w:val="nil"/>
              <w:bottom w:val="nil"/>
              <w:right w:val="nil"/>
            </w:tcBorders>
            <w:noWrap/>
            <w:vAlign w:val="center"/>
            <w:hideMark/>
          </w:tcPr>
          <w:p w14:paraId="4091937B"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80</w:t>
            </w:r>
          </w:p>
        </w:tc>
        <w:tc>
          <w:tcPr>
            <w:tcW w:w="3740" w:type="dxa"/>
            <w:tcBorders>
              <w:top w:val="nil"/>
              <w:left w:val="nil"/>
              <w:bottom w:val="nil"/>
              <w:right w:val="nil"/>
            </w:tcBorders>
            <w:noWrap/>
            <w:vAlign w:val="center"/>
            <w:hideMark/>
          </w:tcPr>
          <w:p w14:paraId="2BD3B824"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42.6%</w:t>
            </w:r>
          </w:p>
        </w:tc>
      </w:tr>
      <w:tr w:rsidR="00023426" w:rsidRPr="007170E3" w14:paraId="3E3FEA4D" w14:textId="77777777" w:rsidTr="00FD7082">
        <w:trPr>
          <w:trHeight w:val="315"/>
        </w:trPr>
        <w:tc>
          <w:tcPr>
            <w:tcW w:w="1840" w:type="dxa"/>
            <w:tcBorders>
              <w:top w:val="nil"/>
              <w:left w:val="nil"/>
              <w:bottom w:val="nil"/>
              <w:right w:val="nil"/>
            </w:tcBorders>
            <w:noWrap/>
            <w:vAlign w:val="bottom"/>
            <w:hideMark/>
          </w:tcPr>
          <w:p w14:paraId="243ADC83"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Yes</w:t>
            </w:r>
          </w:p>
        </w:tc>
        <w:tc>
          <w:tcPr>
            <w:tcW w:w="2080" w:type="dxa"/>
            <w:tcBorders>
              <w:top w:val="nil"/>
              <w:left w:val="nil"/>
              <w:bottom w:val="nil"/>
              <w:right w:val="nil"/>
            </w:tcBorders>
            <w:noWrap/>
            <w:vAlign w:val="center"/>
            <w:hideMark/>
          </w:tcPr>
          <w:p w14:paraId="012A608A"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108</w:t>
            </w:r>
          </w:p>
        </w:tc>
        <w:tc>
          <w:tcPr>
            <w:tcW w:w="3740" w:type="dxa"/>
            <w:tcBorders>
              <w:top w:val="nil"/>
              <w:left w:val="nil"/>
              <w:bottom w:val="nil"/>
              <w:right w:val="nil"/>
            </w:tcBorders>
            <w:noWrap/>
            <w:vAlign w:val="center"/>
            <w:hideMark/>
          </w:tcPr>
          <w:p w14:paraId="51C64488"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57.4%</w:t>
            </w:r>
          </w:p>
        </w:tc>
      </w:tr>
      <w:tr w:rsidR="00023426" w:rsidRPr="007170E3" w14:paraId="5E4D62CD" w14:textId="77777777" w:rsidTr="00FD7082">
        <w:trPr>
          <w:trHeight w:val="390"/>
        </w:trPr>
        <w:tc>
          <w:tcPr>
            <w:tcW w:w="1840" w:type="dxa"/>
            <w:tcBorders>
              <w:top w:val="nil"/>
              <w:left w:val="nil"/>
              <w:bottom w:val="single" w:sz="4" w:space="0" w:color="auto"/>
              <w:right w:val="nil"/>
            </w:tcBorders>
            <w:noWrap/>
            <w:vAlign w:val="bottom"/>
            <w:hideMark/>
          </w:tcPr>
          <w:p w14:paraId="350C698F"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080" w:type="dxa"/>
            <w:tcBorders>
              <w:top w:val="nil"/>
              <w:left w:val="nil"/>
              <w:bottom w:val="single" w:sz="4" w:space="0" w:color="auto"/>
              <w:right w:val="nil"/>
            </w:tcBorders>
            <w:noWrap/>
            <w:vAlign w:val="center"/>
            <w:hideMark/>
          </w:tcPr>
          <w:p w14:paraId="383A67C5"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c>
          <w:tcPr>
            <w:tcW w:w="3740" w:type="dxa"/>
            <w:tcBorders>
              <w:top w:val="nil"/>
              <w:left w:val="nil"/>
              <w:bottom w:val="single" w:sz="4" w:space="0" w:color="auto"/>
              <w:right w:val="nil"/>
            </w:tcBorders>
            <w:noWrap/>
            <w:vAlign w:val="center"/>
            <w:hideMark/>
          </w:tcPr>
          <w:p w14:paraId="33ABBBB8"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r>
      <w:tr w:rsidR="00023426" w:rsidRPr="007170E3" w14:paraId="1BDF8149" w14:textId="77777777" w:rsidTr="00FD7082">
        <w:trPr>
          <w:trHeight w:val="315"/>
        </w:trPr>
        <w:tc>
          <w:tcPr>
            <w:tcW w:w="3920" w:type="dxa"/>
            <w:gridSpan w:val="2"/>
            <w:tcBorders>
              <w:top w:val="nil"/>
              <w:left w:val="nil"/>
              <w:bottom w:val="nil"/>
              <w:right w:val="nil"/>
            </w:tcBorders>
            <w:noWrap/>
            <w:vAlign w:val="bottom"/>
            <w:hideMark/>
          </w:tcPr>
          <w:p w14:paraId="59D42DF5"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RTA RATE (RTA Count Per Person Driving Years)</w:t>
            </w:r>
          </w:p>
        </w:tc>
        <w:tc>
          <w:tcPr>
            <w:tcW w:w="3740" w:type="dxa"/>
            <w:tcBorders>
              <w:top w:val="nil"/>
              <w:left w:val="nil"/>
              <w:bottom w:val="nil"/>
              <w:right w:val="nil"/>
            </w:tcBorders>
            <w:noWrap/>
            <w:vAlign w:val="bottom"/>
            <w:hideMark/>
          </w:tcPr>
          <w:p w14:paraId="3BF407E4" w14:textId="77777777" w:rsidR="00023426" w:rsidRPr="007170E3" w:rsidRDefault="00023426" w:rsidP="00FD7082">
            <w:pPr>
              <w:jc w:val="both"/>
              <w:rPr>
                <w:rFonts w:ascii="Arial" w:hAnsi="Arial" w:cs="Arial"/>
                <w:b/>
                <w:bCs/>
                <w:sz w:val="18"/>
                <w:szCs w:val="18"/>
                <w:lang w:eastAsia="en-GB"/>
              </w:rPr>
            </w:pPr>
          </w:p>
        </w:tc>
      </w:tr>
      <w:tr w:rsidR="00023426" w:rsidRPr="007170E3" w14:paraId="2EE4DF75" w14:textId="77777777" w:rsidTr="00FD7082">
        <w:trPr>
          <w:trHeight w:val="315"/>
        </w:trPr>
        <w:tc>
          <w:tcPr>
            <w:tcW w:w="1840" w:type="dxa"/>
            <w:tcBorders>
              <w:top w:val="nil"/>
              <w:left w:val="nil"/>
              <w:bottom w:val="nil"/>
              <w:right w:val="nil"/>
            </w:tcBorders>
            <w:noWrap/>
            <w:vAlign w:val="bottom"/>
            <w:hideMark/>
          </w:tcPr>
          <w:p w14:paraId="686F7D9F"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0.00</w:t>
            </w:r>
          </w:p>
        </w:tc>
        <w:tc>
          <w:tcPr>
            <w:tcW w:w="2080" w:type="dxa"/>
            <w:tcBorders>
              <w:top w:val="nil"/>
              <w:left w:val="nil"/>
              <w:bottom w:val="nil"/>
              <w:right w:val="nil"/>
            </w:tcBorders>
            <w:noWrap/>
            <w:vAlign w:val="center"/>
            <w:hideMark/>
          </w:tcPr>
          <w:p w14:paraId="18332E22"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80</w:t>
            </w:r>
          </w:p>
        </w:tc>
        <w:tc>
          <w:tcPr>
            <w:tcW w:w="3740" w:type="dxa"/>
            <w:tcBorders>
              <w:top w:val="nil"/>
              <w:left w:val="nil"/>
              <w:bottom w:val="nil"/>
              <w:right w:val="nil"/>
            </w:tcBorders>
            <w:noWrap/>
            <w:vAlign w:val="center"/>
            <w:hideMark/>
          </w:tcPr>
          <w:p w14:paraId="7E7D7B01"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42.6%</w:t>
            </w:r>
          </w:p>
        </w:tc>
      </w:tr>
      <w:tr w:rsidR="00023426" w:rsidRPr="007170E3" w14:paraId="7BEF5DFC" w14:textId="77777777" w:rsidTr="00FD7082">
        <w:trPr>
          <w:trHeight w:val="315"/>
        </w:trPr>
        <w:tc>
          <w:tcPr>
            <w:tcW w:w="1840" w:type="dxa"/>
            <w:tcBorders>
              <w:top w:val="nil"/>
              <w:left w:val="nil"/>
              <w:bottom w:val="nil"/>
              <w:right w:val="nil"/>
            </w:tcBorders>
            <w:noWrap/>
            <w:vAlign w:val="bottom"/>
            <w:hideMark/>
          </w:tcPr>
          <w:p w14:paraId="1D5D5C5B"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&gt;0.00 to 0.10</w:t>
            </w:r>
          </w:p>
        </w:tc>
        <w:tc>
          <w:tcPr>
            <w:tcW w:w="2080" w:type="dxa"/>
            <w:tcBorders>
              <w:top w:val="nil"/>
              <w:left w:val="nil"/>
              <w:bottom w:val="nil"/>
              <w:right w:val="nil"/>
            </w:tcBorders>
            <w:noWrap/>
            <w:vAlign w:val="center"/>
            <w:hideMark/>
          </w:tcPr>
          <w:p w14:paraId="21ACC229"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65</w:t>
            </w:r>
          </w:p>
        </w:tc>
        <w:tc>
          <w:tcPr>
            <w:tcW w:w="3740" w:type="dxa"/>
            <w:tcBorders>
              <w:top w:val="nil"/>
              <w:left w:val="nil"/>
              <w:bottom w:val="nil"/>
              <w:right w:val="nil"/>
            </w:tcBorders>
            <w:noWrap/>
            <w:vAlign w:val="center"/>
            <w:hideMark/>
          </w:tcPr>
          <w:p w14:paraId="7BA17416"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34.5%</w:t>
            </w:r>
          </w:p>
        </w:tc>
      </w:tr>
      <w:tr w:rsidR="00023426" w:rsidRPr="007170E3" w14:paraId="17CD00E5" w14:textId="77777777" w:rsidTr="00FD7082">
        <w:trPr>
          <w:trHeight w:val="315"/>
        </w:trPr>
        <w:tc>
          <w:tcPr>
            <w:tcW w:w="1840" w:type="dxa"/>
            <w:tcBorders>
              <w:top w:val="nil"/>
              <w:left w:val="nil"/>
              <w:bottom w:val="nil"/>
              <w:right w:val="nil"/>
            </w:tcBorders>
            <w:vAlign w:val="center"/>
            <w:hideMark/>
          </w:tcPr>
          <w:p w14:paraId="28F57F44"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&gt;0.10</w:t>
            </w:r>
          </w:p>
        </w:tc>
        <w:tc>
          <w:tcPr>
            <w:tcW w:w="2080" w:type="dxa"/>
            <w:tcBorders>
              <w:top w:val="nil"/>
              <w:left w:val="nil"/>
              <w:bottom w:val="nil"/>
              <w:right w:val="nil"/>
            </w:tcBorders>
            <w:noWrap/>
            <w:vAlign w:val="center"/>
            <w:hideMark/>
          </w:tcPr>
          <w:p w14:paraId="6D200AC6"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43</w:t>
            </w:r>
          </w:p>
        </w:tc>
        <w:tc>
          <w:tcPr>
            <w:tcW w:w="3740" w:type="dxa"/>
            <w:tcBorders>
              <w:top w:val="nil"/>
              <w:left w:val="nil"/>
              <w:bottom w:val="nil"/>
              <w:right w:val="nil"/>
            </w:tcBorders>
            <w:noWrap/>
            <w:vAlign w:val="center"/>
            <w:hideMark/>
          </w:tcPr>
          <w:p w14:paraId="014A3B2E"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22.9%</w:t>
            </w:r>
          </w:p>
        </w:tc>
      </w:tr>
      <w:tr w:rsidR="00023426" w:rsidRPr="007170E3" w14:paraId="7D0D501B" w14:textId="77777777" w:rsidTr="00FD7082">
        <w:trPr>
          <w:trHeight w:val="450"/>
        </w:trPr>
        <w:tc>
          <w:tcPr>
            <w:tcW w:w="1840" w:type="dxa"/>
            <w:tcBorders>
              <w:top w:val="nil"/>
              <w:left w:val="nil"/>
              <w:bottom w:val="single" w:sz="8" w:space="0" w:color="auto"/>
              <w:right w:val="nil"/>
            </w:tcBorders>
            <w:noWrap/>
            <w:vAlign w:val="bottom"/>
            <w:hideMark/>
          </w:tcPr>
          <w:p w14:paraId="2EA818FA"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080" w:type="dxa"/>
            <w:tcBorders>
              <w:top w:val="nil"/>
              <w:left w:val="nil"/>
              <w:bottom w:val="single" w:sz="8" w:space="0" w:color="auto"/>
              <w:right w:val="nil"/>
            </w:tcBorders>
            <w:noWrap/>
            <w:vAlign w:val="center"/>
            <w:hideMark/>
          </w:tcPr>
          <w:p w14:paraId="01D2EE40"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c>
          <w:tcPr>
            <w:tcW w:w="3740" w:type="dxa"/>
            <w:tcBorders>
              <w:top w:val="nil"/>
              <w:left w:val="nil"/>
              <w:bottom w:val="single" w:sz="8" w:space="0" w:color="auto"/>
              <w:right w:val="nil"/>
            </w:tcBorders>
            <w:noWrap/>
            <w:vAlign w:val="center"/>
            <w:hideMark/>
          </w:tcPr>
          <w:p w14:paraId="140ACAA8"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r>
    </w:tbl>
    <w:p w14:paraId="1BBCC095" w14:textId="77777777" w:rsidR="005162DF" w:rsidRPr="007170E3" w:rsidRDefault="005162DF" w:rsidP="005162DF">
      <w:pPr>
        <w:jc w:val="both"/>
        <w:rPr>
          <w:rFonts w:ascii="Arial" w:hAnsi="Arial" w:cs="Arial"/>
          <w:sz w:val="18"/>
          <w:szCs w:val="18"/>
          <w:lang w:eastAsia="en-GB"/>
        </w:rPr>
      </w:pPr>
      <w:r w:rsidRPr="007170E3">
        <w:rPr>
          <w:rFonts w:ascii="Arial" w:hAnsi="Arial" w:cs="Arial"/>
          <w:sz w:val="18"/>
          <w:szCs w:val="18"/>
          <w:lang w:eastAsia="en-GB"/>
        </w:rPr>
        <w:t>RTA Rate of</w:t>
      </w:r>
      <w:r w:rsidRPr="007170E3">
        <w:rPr>
          <w:rFonts w:ascii="Arial" w:hAnsi="Arial" w:cs="Arial"/>
          <w:sz w:val="18"/>
          <w:szCs w:val="18"/>
        </w:rPr>
        <w:t xml:space="preserve"> </w:t>
      </w:r>
      <w:r w:rsidRPr="007170E3">
        <w:rPr>
          <w:rFonts w:ascii="Arial" w:hAnsi="Arial" w:cs="Arial"/>
          <w:bCs/>
          <w:sz w:val="18"/>
          <w:szCs w:val="18"/>
        </w:rPr>
        <w:t xml:space="preserve">0.00 - </w:t>
      </w:r>
      <w:r w:rsidRPr="007170E3">
        <w:rPr>
          <w:rFonts w:ascii="Arial" w:hAnsi="Arial" w:cs="Arial"/>
          <w:sz w:val="18"/>
          <w:szCs w:val="18"/>
          <w:lang w:eastAsia="en-GB"/>
        </w:rPr>
        <w:t>No RTA in years of driving</w:t>
      </w:r>
    </w:p>
    <w:p w14:paraId="3334D4CB" w14:textId="77777777" w:rsidR="005162DF" w:rsidRPr="007170E3" w:rsidRDefault="005162DF" w:rsidP="005162DF">
      <w:pPr>
        <w:jc w:val="both"/>
        <w:rPr>
          <w:rFonts w:ascii="Arial" w:hAnsi="Arial" w:cs="Arial"/>
          <w:bCs/>
          <w:sz w:val="18"/>
          <w:szCs w:val="18"/>
        </w:rPr>
      </w:pPr>
      <w:r w:rsidRPr="007170E3">
        <w:rPr>
          <w:rFonts w:ascii="Arial" w:hAnsi="Arial" w:cs="Arial"/>
          <w:sz w:val="18"/>
          <w:szCs w:val="18"/>
          <w:lang w:eastAsia="en-GB"/>
        </w:rPr>
        <w:t>RTA Rate of</w:t>
      </w:r>
      <w:r w:rsidRPr="007170E3">
        <w:rPr>
          <w:rFonts w:ascii="Arial" w:hAnsi="Arial" w:cs="Arial"/>
          <w:bCs/>
          <w:sz w:val="18"/>
          <w:szCs w:val="18"/>
        </w:rPr>
        <w:t xml:space="preserve"> &gt;0.00 to 0.10 – RTA not more than once in 10 years of driving</w:t>
      </w:r>
    </w:p>
    <w:p w14:paraId="0CD44039" w14:textId="77777777" w:rsidR="005162DF" w:rsidRPr="007170E3" w:rsidRDefault="005162DF" w:rsidP="005162DF">
      <w:pPr>
        <w:spacing w:line="360" w:lineRule="auto"/>
        <w:jc w:val="both"/>
        <w:rPr>
          <w:rFonts w:ascii="Arial" w:hAnsi="Arial" w:cs="Arial"/>
          <w:bCs/>
          <w:sz w:val="18"/>
          <w:szCs w:val="18"/>
        </w:rPr>
      </w:pPr>
      <w:r w:rsidRPr="007170E3">
        <w:rPr>
          <w:rFonts w:ascii="Arial" w:hAnsi="Arial" w:cs="Arial"/>
          <w:sz w:val="18"/>
          <w:szCs w:val="18"/>
          <w:lang w:eastAsia="en-GB"/>
        </w:rPr>
        <w:t>RTA Rate of</w:t>
      </w:r>
      <w:r w:rsidRPr="007170E3">
        <w:rPr>
          <w:rFonts w:ascii="Arial" w:hAnsi="Arial" w:cs="Arial"/>
          <w:bCs/>
          <w:sz w:val="18"/>
          <w:szCs w:val="18"/>
        </w:rPr>
        <w:t xml:space="preserve"> &gt;0.10 – RTA more than once in 10 years of driving.</w:t>
      </w:r>
    </w:p>
    <w:p w14:paraId="6113BACC" w14:textId="77777777" w:rsidR="00444476" w:rsidRDefault="00444476" w:rsidP="005162DF">
      <w:pPr>
        <w:spacing w:line="360" w:lineRule="auto"/>
        <w:jc w:val="both"/>
        <w:rPr>
          <w:rFonts w:ascii="Arial" w:hAnsi="Arial" w:cs="Arial"/>
          <w:bCs/>
          <w:sz w:val="22"/>
          <w:szCs w:val="22"/>
        </w:rPr>
      </w:pPr>
    </w:p>
    <w:p w14:paraId="7CDE6B78" w14:textId="77777777" w:rsidR="00444476" w:rsidRDefault="00444476" w:rsidP="005162DF">
      <w:pPr>
        <w:spacing w:line="360" w:lineRule="auto"/>
        <w:jc w:val="both"/>
        <w:rPr>
          <w:rFonts w:ascii="Arial" w:hAnsi="Arial" w:cs="Arial"/>
          <w:bCs/>
          <w:sz w:val="22"/>
          <w:szCs w:val="22"/>
        </w:rPr>
      </w:pPr>
    </w:p>
    <w:p w14:paraId="2AB337DF" w14:textId="77777777" w:rsidR="00444476" w:rsidRPr="00AE005A" w:rsidRDefault="00444476" w:rsidP="00444476">
      <w:pPr>
        <w:spacing w:line="480" w:lineRule="auto"/>
        <w:jc w:val="both"/>
        <w:rPr>
          <w:rFonts w:ascii="Arial" w:hAnsi="Arial" w:cs="Arial"/>
          <w:sz w:val="22"/>
          <w:szCs w:val="22"/>
        </w:rPr>
      </w:pPr>
      <w:r w:rsidRPr="00AE005A">
        <w:rPr>
          <w:rFonts w:ascii="Arial" w:hAnsi="Arial" w:cs="Arial"/>
          <w:sz w:val="22"/>
          <w:szCs w:val="22"/>
        </w:rPr>
        <w:t xml:space="preserve">Assessment of visual function parameters showed that 18.1% (n=34) of CVDs had abnormal visual acuity which were all Mild Vision Impairment using WHO definition. However, using FRSC definition, 21.8% (n=41) of CVDs had abnormal visual acuity. Most of the drivers had normal contrast sensitivity (92.6% n=174), normal </w:t>
      </w:r>
      <w:proofErr w:type="spellStart"/>
      <w:r w:rsidRPr="00AE005A">
        <w:rPr>
          <w:rFonts w:ascii="Arial" w:hAnsi="Arial" w:cs="Arial"/>
          <w:sz w:val="22"/>
          <w:szCs w:val="22"/>
        </w:rPr>
        <w:t>colour</w:t>
      </w:r>
      <w:proofErr w:type="spellEnd"/>
      <w:r w:rsidRPr="00AE005A">
        <w:rPr>
          <w:rFonts w:ascii="Arial" w:hAnsi="Arial" w:cs="Arial"/>
          <w:sz w:val="22"/>
          <w:szCs w:val="22"/>
        </w:rPr>
        <w:t xml:space="preserve"> vision (93.1% n=175), normal stereoacuity (52.7% n=99) and normal visual field (95.7% n=180) as shown in table 3 below.</w:t>
      </w:r>
    </w:p>
    <w:p w14:paraId="2C4D4094" w14:textId="77777777" w:rsidR="00444476" w:rsidRDefault="00444476" w:rsidP="005162DF">
      <w:pPr>
        <w:spacing w:line="360" w:lineRule="auto"/>
        <w:jc w:val="both"/>
        <w:rPr>
          <w:bCs/>
          <w:szCs w:val="24"/>
        </w:rPr>
      </w:pPr>
    </w:p>
    <w:p w14:paraId="5661BFC9" w14:textId="77777777" w:rsidR="00023426" w:rsidRPr="00B67B67" w:rsidRDefault="00023426" w:rsidP="00B67B67">
      <w:pPr>
        <w:spacing w:line="480" w:lineRule="auto"/>
        <w:jc w:val="both"/>
        <w:rPr>
          <w:rFonts w:ascii="Arial" w:hAnsi="Arial" w:cs="Arial"/>
          <w:sz w:val="22"/>
          <w:szCs w:val="22"/>
        </w:rPr>
      </w:pPr>
    </w:p>
    <w:p w14:paraId="56C9A72A" w14:textId="4DEE9A0A" w:rsidR="00CF22A7" w:rsidRPr="007F0D2F" w:rsidRDefault="00CF22A7" w:rsidP="00CF22A7">
      <w:pPr>
        <w:shd w:val="clear" w:color="auto" w:fill="FFFFFF"/>
        <w:spacing w:before="100" w:beforeAutospacing="1" w:after="100" w:afterAutospacing="1" w:line="480" w:lineRule="auto"/>
        <w:rPr>
          <w:rFonts w:ascii="Arial" w:hAnsi="Arial" w:cs="Arial"/>
          <w:b/>
          <w:bCs/>
          <w:sz w:val="22"/>
          <w:szCs w:val="22"/>
        </w:rPr>
      </w:pPr>
    </w:p>
    <w:p w14:paraId="3A79E9A3" w14:textId="55035A0E" w:rsidR="00CF22A7" w:rsidRPr="007F0D2F" w:rsidRDefault="00CF22A7" w:rsidP="00CF22A7">
      <w:pPr>
        <w:shd w:val="clear" w:color="auto" w:fill="FFFFFF"/>
        <w:spacing w:before="100" w:beforeAutospacing="1" w:after="100" w:afterAutospacing="1" w:line="480" w:lineRule="auto"/>
        <w:rPr>
          <w:rFonts w:ascii="Arial" w:hAnsi="Arial" w:cs="Arial"/>
          <w:b/>
          <w:bCs/>
          <w:sz w:val="22"/>
          <w:szCs w:val="22"/>
        </w:rPr>
      </w:pPr>
    </w:p>
    <w:p w14:paraId="3D2F46C4" w14:textId="77777777" w:rsidR="00CF22A7" w:rsidRDefault="00CF22A7" w:rsidP="00CF22A7">
      <w:pPr>
        <w:pStyle w:val="Body"/>
        <w:spacing w:after="0"/>
        <w:rPr>
          <w:rFonts w:ascii="Arial" w:hAnsi="Arial" w:cs="Arial"/>
          <w:sz w:val="22"/>
          <w:szCs w:val="22"/>
        </w:rPr>
      </w:pPr>
    </w:p>
    <w:p w14:paraId="5D916F45" w14:textId="77777777" w:rsidR="009F0004" w:rsidRDefault="009F0004" w:rsidP="00CF22A7">
      <w:pPr>
        <w:pStyle w:val="Body"/>
        <w:spacing w:after="0"/>
        <w:rPr>
          <w:rFonts w:ascii="Arial" w:hAnsi="Arial" w:cs="Arial"/>
          <w:sz w:val="22"/>
          <w:szCs w:val="22"/>
        </w:rPr>
      </w:pPr>
    </w:p>
    <w:p w14:paraId="0E6E63F6" w14:textId="77777777" w:rsidR="009F0004" w:rsidRDefault="009F0004" w:rsidP="00CF22A7">
      <w:pPr>
        <w:pStyle w:val="Body"/>
        <w:spacing w:after="0"/>
        <w:rPr>
          <w:rFonts w:ascii="Arial" w:hAnsi="Arial" w:cs="Arial"/>
          <w:sz w:val="22"/>
          <w:szCs w:val="22"/>
        </w:rPr>
      </w:pPr>
    </w:p>
    <w:p w14:paraId="07F25F69" w14:textId="77777777" w:rsidR="009F0004" w:rsidRDefault="009F0004" w:rsidP="00CF22A7">
      <w:pPr>
        <w:pStyle w:val="Body"/>
        <w:spacing w:after="0"/>
        <w:rPr>
          <w:rFonts w:ascii="Arial" w:hAnsi="Arial" w:cs="Arial"/>
          <w:sz w:val="22"/>
          <w:szCs w:val="22"/>
        </w:rPr>
      </w:pPr>
    </w:p>
    <w:p w14:paraId="3E734C21" w14:textId="77777777" w:rsidR="009F0004" w:rsidRDefault="009F0004" w:rsidP="00CF22A7">
      <w:pPr>
        <w:pStyle w:val="Body"/>
        <w:spacing w:after="0"/>
        <w:rPr>
          <w:rFonts w:ascii="Arial" w:hAnsi="Arial" w:cs="Arial"/>
          <w:sz w:val="22"/>
          <w:szCs w:val="22"/>
        </w:rPr>
      </w:pPr>
    </w:p>
    <w:p w14:paraId="6E7997EE" w14:textId="77777777" w:rsidR="009F0004" w:rsidRDefault="009F0004" w:rsidP="00CF22A7">
      <w:pPr>
        <w:pStyle w:val="Body"/>
        <w:spacing w:after="0"/>
        <w:rPr>
          <w:rFonts w:ascii="Arial" w:hAnsi="Arial" w:cs="Arial"/>
          <w:sz w:val="22"/>
          <w:szCs w:val="22"/>
        </w:rPr>
      </w:pPr>
    </w:p>
    <w:p w14:paraId="5CEEFFF0" w14:textId="77777777" w:rsidR="009F0004" w:rsidRDefault="009F0004" w:rsidP="00CF22A7">
      <w:pPr>
        <w:pStyle w:val="Body"/>
        <w:spacing w:after="0"/>
        <w:rPr>
          <w:rFonts w:ascii="Arial" w:hAnsi="Arial" w:cs="Arial"/>
          <w:sz w:val="22"/>
          <w:szCs w:val="22"/>
        </w:rPr>
      </w:pPr>
    </w:p>
    <w:p w14:paraId="69313A40" w14:textId="77777777" w:rsidR="009F0004" w:rsidRDefault="009F0004" w:rsidP="00CF22A7">
      <w:pPr>
        <w:pStyle w:val="Body"/>
        <w:spacing w:after="0"/>
        <w:rPr>
          <w:rFonts w:ascii="Arial" w:hAnsi="Arial" w:cs="Arial"/>
          <w:sz w:val="22"/>
          <w:szCs w:val="22"/>
        </w:rPr>
      </w:pPr>
    </w:p>
    <w:p w14:paraId="0107C665" w14:textId="77777777" w:rsidR="009F0004" w:rsidRDefault="009F0004" w:rsidP="00CF22A7">
      <w:pPr>
        <w:pStyle w:val="Body"/>
        <w:spacing w:after="0"/>
        <w:rPr>
          <w:rFonts w:ascii="Arial" w:hAnsi="Arial" w:cs="Arial"/>
          <w:sz w:val="22"/>
          <w:szCs w:val="22"/>
        </w:rPr>
      </w:pPr>
    </w:p>
    <w:p w14:paraId="5DC64593" w14:textId="77777777" w:rsidR="009F0004" w:rsidRDefault="009F0004" w:rsidP="00CF22A7">
      <w:pPr>
        <w:pStyle w:val="Body"/>
        <w:spacing w:after="0"/>
        <w:rPr>
          <w:rFonts w:ascii="Arial" w:hAnsi="Arial" w:cs="Arial"/>
          <w:sz w:val="22"/>
          <w:szCs w:val="22"/>
        </w:rPr>
      </w:pPr>
    </w:p>
    <w:p w14:paraId="240DD055" w14:textId="77777777" w:rsidR="009F0004" w:rsidRPr="007F0D2F" w:rsidRDefault="009F0004" w:rsidP="00CF22A7">
      <w:pPr>
        <w:pStyle w:val="Body"/>
        <w:spacing w:after="0"/>
        <w:rPr>
          <w:rFonts w:ascii="Arial" w:hAnsi="Arial" w:cs="Arial"/>
          <w:sz w:val="22"/>
          <w:szCs w:val="22"/>
        </w:rPr>
      </w:pPr>
    </w:p>
    <w:p w14:paraId="59BAA3AB" w14:textId="77777777" w:rsidR="00CF22A7" w:rsidRDefault="00CF22A7" w:rsidP="00CF22A7">
      <w:pPr>
        <w:pStyle w:val="Body"/>
        <w:spacing w:after="0"/>
        <w:rPr>
          <w:rFonts w:ascii="Arial" w:hAnsi="Arial" w:cs="Arial"/>
          <w:sz w:val="22"/>
          <w:szCs w:val="22"/>
        </w:rPr>
      </w:pPr>
    </w:p>
    <w:p w14:paraId="72124698" w14:textId="77777777" w:rsidR="000B2717" w:rsidRDefault="000B2717" w:rsidP="00CF22A7">
      <w:pPr>
        <w:pStyle w:val="Body"/>
        <w:spacing w:after="0"/>
        <w:rPr>
          <w:rFonts w:ascii="Arial" w:hAnsi="Arial" w:cs="Arial"/>
          <w:sz w:val="22"/>
          <w:szCs w:val="22"/>
        </w:rPr>
      </w:pPr>
    </w:p>
    <w:p w14:paraId="282CC156" w14:textId="77777777" w:rsidR="000B2717" w:rsidRPr="007170E3" w:rsidRDefault="000B2717" w:rsidP="000B2717">
      <w:pPr>
        <w:jc w:val="both"/>
        <w:rPr>
          <w:rFonts w:ascii="Arial" w:hAnsi="Arial" w:cs="Arial"/>
          <w:b/>
          <w:szCs w:val="24"/>
        </w:rPr>
      </w:pPr>
      <w:r w:rsidRPr="007170E3">
        <w:rPr>
          <w:rFonts w:ascii="Arial" w:hAnsi="Arial" w:cs="Arial"/>
          <w:b/>
          <w:szCs w:val="24"/>
        </w:rPr>
        <w:t>Table 3: Pattern of Visual Function Among the Study Population</w:t>
      </w:r>
    </w:p>
    <w:p w14:paraId="0E8223D9" w14:textId="77777777" w:rsidR="000B2717" w:rsidRDefault="000B2717" w:rsidP="00CF22A7">
      <w:pPr>
        <w:pStyle w:val="Body"/>
        <w:spacing w:after="0"/>
        <w:rPr>
          <w:rFonts w:ascii="Arial" w:hAnsi="Arial" w:cs="Arial"/>
          <w:sz w:val="22"/>
          <w:szCs w:val="22"/>
        </w:rPr>
      </w:pPr>
    </w:p>
    <w:tbl>
      <w:tblPr>
        <w:tblW w:w="8355" w:type="dxa"/>
        <w:tblLook w:val="04A0" w:firstRow="1" w:lastRow="0" w:firstColumn="1" w:lastColumn="0" w:noHBand="0" w:noVBand="1"/>
      </w:tblPr>
      <w:tblGrid>
        <w:gridCol w:w="3895"/>
        <w:gridCol w:w="2454"/>
        <w:gridCol w:w="2006"/>
      </w:tblGrid>
      <w:tr w:rsidR="007170E3" w:rsidRPr="007170E3" w14:paraId="39DD2AA9" w14:textId="77777777" w:rsidTr="00FD7082">
        <w:trPr>
          <w:trHeight w:val="267"/>
        </w:trPr>
        <w:tc>
          <w:tcPr>
            <w:tcW w:w="3895" w:type="dxa"/>
            <w:tcBorders>
              <w:top w:val="single" w:sz="8" w:space="0" w:color="auto"/>
              <w:left w:val="nil"/>
              <w:bottom w:val="nil"/>
              <w:right w:val="nil"/>
            </w:tcBorders>
            <w:noWrap/>
            <w:vAlign w:val="center"/>
            <w:hideMark/>
          </w:tcPr>
          <w:p w14:paraId="06F454BE"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VARIABLE</w:t>
            </w:r>
          </w:p>
        </w:tc>
        <w:tc>
          <w:tcPr>
            <w:tcW w:w="2454" w:type="dxa"/>
            <w:tcBorders>
              <w:top w:val="single" w:sz="8" w:space="0" w:color="auto"/>
              <w:left w:val="nil"/>
              <w:bottom w:val="nil"/>
              <w:right w:val="nil"/>
            </w:tcBorders>
            <w:noWrap/>
            <w:vAlign w:val="center"/>
            <w:hideMark/>
          </w:tcPr>
          <w:p w14:paraId="6663B7D7"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FREQUENCY (n=188)</w:t>
            </w:r>
          </w:p>
        </w:tc>
        <w:tc>
          <w:tcPr>
            <w:tcW w:w="2006" w:type="dxa"/>
            <w:tcBorders>
              <w:top w:val="single" w:sz="8" w:space="0" w:color="auto"/>
              <w:left w:val="nil"/>
              <w:bottom w:val="nil"/>
              <w:right w:val="nil"/>
            </w:tcBorders>
            <w:noWrap/>
            <w:vAlign w:val="center"/>
            <w:hideMark/>
          </w:tcPr>
          <w:p w14:paraId="1A90A380"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PERCENTAGE</w:t>
            </w:r>
          </w:p>
        </w:tc>
      </w:tr>
      <w:tr w:rsidR="007170E3" w:rsidRPr="007170E3" w14:paraId="7B6BB3C0" w14:textId="77777777" w:rsidTr="00FD7082">
        <w:trPr>
          <w:trHeight w:val="267"/>
        </w:trPr>
        <w:tc>
          <w:tcPr>
            <w:tcW w:w="3895" w:type="dxa"/>
            <w:tcBorders>
              <w:top w:val="nil"/>
              <w:left w:val="nil"/>
              <w:bottom w:val="single" w:sz="4" w:space="0" w:color="auto"/>
              <w:right w:val="nil"/>
            </w:tcBorders>
            <w:noWrap/>
            <w:vAlign w:val="bottom"/>
            <w:hideMark/>
          </w:tcPr>
          <w:p w14:paraId="74BA61F8"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 </w:t>
            </w:r>
          </w:p>
        </w:tc>
        <w:tc>
          <w:tcPr>
            <w:tcW w:w="2454" w:type="dxa"/>
            <w:tcBorders>
              <w:top w:val="nil"/>
              <w:left w:val="nil"/>
              <w:bottom w:val="single" w:sz="4" w:space="0" w:color="auto"/>
              <w:right w:val="nil"/>
            </w:tcBorders>
            <w:noWrap/>
            <w:vAlign w:val="bottom"/>
            <w:hideMark/>
          </w:tcPr>
          <w:p w14:paraId="2D4D595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 </w:t>
            </w:r>
          </w:p>
        </w:tc>
        <w:tc>
          <w:tcPr>
            <w:tcW w:w="2006" w:type="dxa"/>
            <w:tcBorders>
              <w:top w:val="nil"/>
              <w:left w:val="nil"/>
              <w:bottom w:val="single" w:sz="4" w:space="0" w:color="auto"/>
              <w:right w:val="nil"/>
            </w:tcBorders>
            <w:noWrap/>
            <w:vAlign w:val="bottom"/>
            <w:hideMark/>
          </w:tcPr>
          <w:p w14:paraId="0B69F86A"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 </w:t>
            </w:r>
          </w:p>
        </w:tc>
      </w:tr>
      <w:tr w:rsidR="007170E3" w:rsidRPr="007170E3" w14:paraId="0067CE9C" w14:textId="77777777" w:rsidTr="00FD7082">
        <w:trPr>
          <w:trHeight w:val="267"/>
        </w:trPr>
        <w:tc>
          <w:tcPr>
            <w:tcW w:w="3895" w:type="dxa"/>
            <w:tcBorders>
              <w:top w:val="nil"/>
              <w:left w:val="nil"/>
              <w:bottom w:val="nil"/>
              <w:right w:val="nil"/>
            </w:tcBorders>
            <w:noWrap/>
            <w:vAlign w:val="bottom"/>
            <w:hideMark/>
          </w:tcPr>
          <w:p w14:paraId="6DDBC442"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VISUAL FUNCTION (combined)</w:t>
            </w:r>
          </w:p>
        </w:tc>
        <w:tc>
          <w:tcPr>
            <w:tcW w:w="2454" w:type="dxa"/>
            <w:tcBorders>
              <w:top w:val="nil"/>
              <w:left w:val="nil"/>
              <w:bottom w:val="nil"/>
              <w:right w:val="nil"/>
            </w:tcBorders>
            <w:noWrap/>
            <w:vAlign w:val="bottom"/>
            <w:hideMark/>
          </w:tcPr>
          <w:p w14:paraId="23050D64"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13DF8115" w14:textId="77777777" w:rsidR="007170E3" w:rsidRPr="007170E3" w:rsidRDefault="007170E3" w:rsidP="00FD7082">
            <w:pPr>
              <w:jc w:val="both"/>
              <w:rPr>
                <w:rFonts w:ascii="Arial" w:hAnsi="Arial" w:cs="Arial"/>
                <w:sz w:val="18"/>
                <w:szCs w:val="18"/>
                <w:lang w:eastAsia="en-GB"/>
              </w:rPr>
            </w:pPr>
          </w:p>
        </w:tc>
      </w:tr>
      <w:tr w:rsidR="007170E3" w:rsidRPr="007170E3" w14:paraId="01BFD8A7" w14:textId="77777777" w:rsidTr="00FD7082">
        <w:trPr>
          <w:trHeight w:val="267"/>
        </w:trPr>
        <w:tc>
          <w:tcPr>
            <w:tcW w:w="3895" w:type="dxa"/>
            <w:tcBorders>
              <w:top w:val="nil"/>
              <w:left w:val="nil"/>
              <w:bottom w:val="nil"/>
              <w:right w:val="nil"/>
            </w:tcBorders>
            <w:noWrap/>
            <w:vAlign w:val="bottom"/>
            <w:hideMark/>
          </w:tcPr>
          <w:p w14:paraId="296DF131"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79CAB951"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109</w:t>
            </w:r>
          </w:p>
        </w:tc>
        <w:tc>
          <w:tcPr>
            <w:tcW w:w="2006" w:type="dxa"/>
            <w:tcBorders>
              <w:top w:val="nil"/>
              <w:left w:val="nil"/>
              <w:bottom w:val="nil"/>
              <w:right w:val="nil"/>
            </w:tcBorders>
            <w:noWrap/>
            <w:vAlign w:val="center"/>
            <w:hideMark/>
          </w:tcPr>
          <w:p w14:paraId="713462D1"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58%</w:t>
            </w:r>
          </w:p>
        </w:tc>
      </w:tr>
      <w:tr w:rsidR="007170E3" w:rsidRPr="007170E3" w14:paraId="3E096933" w14:textId="77777777" w:rsidTr="00FD7082">
        <w:trPr>
          <w:trHeight w:val="267"/>
        </w:trPr>
        <w:tc>
          <w:tcPr>
            <w:tcW w:w="3895" w:type="dxa"/>
            <w:tcBorders>
              <w:top w:val="nil"/>
              <w:left w:val="nil"/>
              <w:bottom w:val="nil"/>
              <w:right w:val="nil"/>
            </w:tcBorders>
            <w:noWrap/>
            <w:vAlign w:val="bottom"/>
            <w:hideMark/>
          </w:tcPr>
          <w:p w14:paraId="37E7215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38F7A416"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79</w:t>
            </w:r>
          </w:p>
        </w:tc>
        <w:tc>
          <w:tcPr>
            <w:tcW w:w="2006" w:type="dxa"/>
            <w:tcBorders>
              <w:top w:val="nil"/>
              <w:left w:val="nil"/>
              <w:bottom w:val="nil"/>
              <w:right w:val="nil"/>
            </w:tcBorders>
            <w:noWrap/>
            <w:vAlign w:val="center"/>
            <w:hideMark/>
          </w:tcPr>
          <w:p w14:paraId="0F5EAC6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42%</w:t>
            </w:r>
          </w:p>
        </w:tc>
      </w:tr>
      <w:tr w:rsidR="007170E3" w:rsidRPr="007170E3" w14:paraId="6CCBA2F1" w14:textId="77777777" w:rsidTr="00FD7082">
        <w:trPr>
          <w:trHeight w:val="267"/>
        </w:trPr>
        <w:tc>
          <w:tcPr>
            <w:tcW w:w="3895" w:type="dxa"/>
            <w:tcBorders>
              <w:top w:val="nil"/>
              <w:left w:val="nil"/>
              <w:bottom w:val="nil"/>
              <w:right w:val="nil"/>
            </w:tcBorders>
            <w:noWrap/>
            <w:vAlign w:val="bottom"/>
            <w:hideMark/>
          </w:tcPr>
          <w:p w14:paraId="0A15ABB0"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nil"/>
              <w:right w:val="nil"/>
            </w:tcBorders>
            <w:noWrap/>
            <w:vAlign w:val="bottom"/>
            <w:hideMark/>
          </w:tcPr>
          <w:p w14:paraId="7C683076"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c>
          <w:tcPr>
            <w:tcW w:w="2006" w:type="dxa"/>
            <w:tcBorders>
              <w:top w:val="nil"/>
              <w:left w:val="nil"/>
              <w:bottom w:val="single" w:sz="4" w:space="0" w:color="auto"/>
              <w:right w:val="nil"/>
            </w:tcBorders>
            <w:noWrap/>
            <w:vAlign w:val="bottom"/>
            <w:hideMark/>
          </w:tcPr>
          <w:p w14:paraId="4418218B"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w:t>
            </w:r>
          </w:p>
        </w:tc>
      </w:tr>
      <w:tr w:rsidR="007170E3" w:rsidRPr="007170E3" w14:paraId="0079645E" w14:textId="77777777" w:rsidTr="00FD7082">
        <w:trPr>
          <w:trHeight w:val="267"/>
        </w:trPr>
        <w:tc>
          <w:tcPr>
            <w:tcW w:w="3895" w:type="dxa"/>
            <w:tcBorders>
              <w:top w:val="single" w:sz="4" w:space="0" w:color="auto"/>
              <w:left w:val="nil"/>
              <w:right w:val="nil"/>
            </w:tcBorders>
            <w:noWrap/>
            <w:vAlign w:val="bottom"/>
            <w:hideMark/>
          </w:tcPr>
          <w:p w14:paraId="5B36E266"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VISUAL ACUITY</w:t>
            </w:r>
          </w:p>
        </w:tc>
        <w:tc>
          <w:tcPr>
            <w:tcW w:w="2454" w:type="dxa"/>
            <w:tcBorders>
              <w:top w:val="single" w:sz="4" w:space="0" w:color="auto"/>
              <w:left w:val="nil"/>
              <w:bottom w:val="nil"/>
              <w:right w:val="nil"/>
            </w:tcBorders>
            <w:noWrap/>
            <w:vAlign w:val="bottom"/>
            <w:hideMark/>
          </w:tcPr>
          <w:p w14:paraId="63983DCA"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 </w:t>
            </w:r>
          </w:p>
        </w:tc>
        <w:tc>
          <w:tcPr>
            <w:tcW w:w="2006" w:type="dxa"/>
            <w:tcBorders>
              <w:top w:val="nil"/>
              <w:left w:val="nil"/>
              <w:bottom w:val="nil"/>
              <w:right w:val="nil"/>
            </w:tcBorders>
            <w:noWrap/>
            <w:vAlign w:val="bottom"/>
            <w:hideMark/>
          </w:tcPr>
          <w:p w14:paraId="62876D4F" w14:textId="77777777" w:rsidR="007170E3" w:rsidRPr="007170E3" w:rsidRDefault="007170E3" w:rsidP="00FD7082">
            <w:pPr>
              <w:jc w:val="both"/>
              <w:rPr>
                <w:rFonts w:ascii="Arial" w:hAnsi="Arial" w:cs="Arial"/>
                <w:sz w:val="18"/>
                <w:szCs w:val="18"/>
                <w:lang w:eastAsia="en-GB"/>
              </w:rPr>
            </w:pPr>
          </w:p>
        </w:tc>
      </w:tr>
      <w:tr w:rsidR="007170E3" w:rsidRPr="007170E3" w14:paraId="7CD4D8AC" w14:textId="77777777" w:rsidTr="00FD7082">
        <w:trPr>
          <w:trHeight w:val="267"/>
        </w:trPr>
        <w:tc>
          <w:tcPr>
            <w:tcW w:w="3895" w:type="dxa"/>
            <w:tcBorders>
              <w:top w:val="nil"/>
              <w:left w:val="nil"/>
              <w:right w:val="nil"/>
            </w:tcBorders>
            <w:noWrap/>
            <w:vAlign w:val="bottom"/>
            <w:hideMark/>
          </w:tcPr>
          <w:p w14:paraId="4C0C1681"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WHO Definition</w:t>
            </w:r>
          </w:p>
        </w:tc>
        <w:tc>
          <w:tcPr>
            <w:tcW w:w="2454" w:type="dxa"/>
            <w:tcBorders>
              <w:top w:val="nil"/>
              <w:left w:val="nil"/>
              <w:bottom w:val="nil"/>
              <w:right w:val="nil"/>
            </w:tcBorders>
            <w:vAlign w:val="center"/>
            <w:hideMark/>
          </w:tcPr>
          <w:p w14:paraId="06C84116" w14:textId="77777777" w:rsidR="007170E3" w:rsidRPr="007170E3" w:rsidRDefault="007170E3" w:rsidP="00FD7082">
            <w:pPr>
              <w:jc w:val="both"/>
              <w:rPr>
                <w:rFonts w:ascii="Arial" w:hAnsi="Arial" w:cs="Arial"/>
                <w:bCs/>
                <w:sz w:val="18"/>
                <w:szCs w:val="18"/>
                <w:lang w:eastAsia="en-GB"/>
              </w:rPr>
            </w:pPr>
          </w:p>
        </w:tc>
        <w:tc>
          <w:tcPr>
            <w:tcW w:w="2006" w:type="dxa"/>
            <w:tcBorders>
              <w:top w:val="nil"/>
              <w:left w:val="nil"/>
              <w:bottom w:val="nil"/>
              <w:right w:val="nil"/>
            </w:tcBorders>
            <w:noWrap/>
            <w:vAlign w:val="center"/>
            <w:hideMark/>
          </w:tcPr>
          <w:p w14:paraId="4B75AF59" w14:textId="77777777" w:rsidR="007170E3" w:rsidRPr="007170E3" w:rsidRDefault="007170E3" w:rsidP="00FD7082">
            <w:pPr>
              <w:jc w:val="both"/>
              <w:rPr>
                <w:rFonts w:ascii="Arial" w:hAnsi="Arial" w:cs="Arial"/>
                <w:sz w:val="18"/>
                <w:szCs w:val="18"/>
                <w:lang w:eastAsia="en-GB"/>
              </w:rPr>
            </w:pPr>
          </w:p>
        </w:tc>
      </w:tr>
      <w:tr w:rsidR="007170E3" w:rsidRPr="007170E3" w14:paraId="1CA6366A" w14:textId="77777777" w:rsidTr="00FD7082">
        <w:trPr>
          <w:trHeight w:val="267"/>
        </w:trPr>
        <w:tc>
          <w:tcPr>
            <w:tcW w:w="3895" w:type="dxa"/>
            <w:tcBorders>
              <w:left w:val="nil"/>
              <w:bottom w:val="nil"/>
              <w:right w:val="nil"/>
            </w:tcBorders>
            <w:noWrap/>
            <w:vAlign w:val="bottom"/>
            <w:hideMark/>
          </w:tcPr>
          <w:p w14:paraId="0C893B8B"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 (Mild Vision Impairment)</w:t>
            </w:r>
          </w:p>
        </w:tc>
        <w:tc>
          <w:tcPr>
            <w:tcW w:w="2454" w:type="dxa"/>
            <w:tcBorders>
              <w:top w:val="nil"/>
              <w:left w:val="nil"/>
              <w:bottom w:val="nil"/>
              <w:right w:val="nil"/>
            </w:tcBorders>
            <w:noWrap/>
            <w:vAlign w:val="center"/>
            <w:hideMark/>
          </w:tcPr>
          <w:p w14:paraId="07BDFD1F"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34</w:t>
            </w:r>
          </w:p>
        </w:tc>
        <w:tc>
          <w:tcPr>
            <w:tcW w:w="2006" w:type="dxa"/>
            <w:tcBorders>
              <w:top w:val="nil"/>
              <w:left w:val="nil"/>
              <w:bottom w:val="nil"/>
              <w:right w:val="nil"/>
            </w:tcBorders>
            <w:noWrap/>
            <w:vAlign w:val="center"/>
            <w:hideMark/>
          </w:tcPr>
          <w:p w14:paraId="1EA43587" w14:textId="77777777" w:rsidR="007170E3" w:rsidRPr="007170E3" w:rsidRDefault="007170E3" w:rsidP="00FD7082">
            <w:pPr>
              <w:jc w:val="both"/>
              <w:rPr>
                <w:rFonts w:ascii="Arial" w:hAnsi="Arial" w:cs="Arial"/>
                <w:sz w:val="18"/>
                <w:szCs w:val="18"/>
                <w:lang w:eastAsia="en-GB"/>
              </w:rPr>
            </w:pPr>
            <w:bookmarkStart w:id="5" w:name="_Hlk130618612"/>
            <w:r w:rsidRPr="007170E3">
              <w:rPr>
                <w:rFonts w:ascii="Arial" w:hAnsi="Arial" w:cs="Arial"/>
                <w:sz w:val="18"/>
                <w:szCs w:val="18"/>
                <w:lang w:eastAsia="en-GB"/>
              </w:rPr>
              <w:t>18.1%</w:t>
            </w:r>
            <w:bookmarkEnd w:id="5"/>
          </w:p>
        </w:tc>
      </w:tr>
      <w:tr w:rsidR="007170E3" w:rsidRPr="007170E3" w14:paraId="6E0D033A" w14:textId="77777777" w:rsidTr="00FD7082">
        <w:trPr>
          <w:trHeight w:val="267"/>
        </w:trPr>
        <w:tc>
          <w:tcPr>
            <w:tcW w:w="3895" w:type="dxa"/>
            <w:tcBorders>
              <w:top w:val="nil"/>
              <w:left w:val="nil"/>
              <w:bottom w:val="nil"/>
              <w:right w:val="nil"/>
            </w:tcBorders>
            <w:noWrap/>
            <w:vAlign w:val="bottom"/>
            <w:hideMark/>
          </w:tcPr>
          <w:p w14:paraId="2F824717"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33EE1B3E"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154</w:t>
            </w:r>
          </w:p>
        </w:tc>
        <w:tc>
          <w:tcPr>
            <w:tcW w:w="2006" w:type="dxa"/>
            <w:tcBorders>
              <w:top w:val="nil"/>
              <w:left w:val="nil"/>
              <w:right w:val="nil"/>
            </w:tcBorders>
            <w:noWrap/>
            <w:vAlign w:val="center"/>
            <w:hideMark/>
          </w:tcPr>
          <w:p w14:paraId="5097E3DA"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81.9%</w:t>
            </w:r>
          </w:p>
        </w:tc>
      </w:tr>
      <w:tr w:rsidR="007170E3" w:rsidRPr="007170E3" w14:paraId="68D34840" w14:textId="77777777" w:rsidTr="00FD7082">
        <w:trPr>
          <w:trHeight w:val="267"/>
        </w:trPr>
        <w:tc>
          <w:tcPr>
            <w:tcW w:w="3895" w:type="dxa"/>
            <w:tcBorders>
              <w:top w:val="nil"/>
              <w:left w:val="nil"/>
              <w:right w:val="nil"/>
            </w:tcBorders>
            <w:noWrap/>
            <w:vAlign w:val="bottom"/>
            <w:hideMark/>
          </w:tcPr>
          <w:p w14:paraId="0441AA88"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nil"/>
              <w:right w:val="nil"/>
            </w:tcBorders>
            <w:noWrap/>
            <w:vAlign w:val="center"/>
            <w:hideMark/>
          </w:tcPr>
          <w:p w14:paraId="6637CA97"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c>
          <w:tcPr>
            <w:tcW w:w="2006" w:type="dxa"/>
            <w:tcBorders>
              <w:top w:val="nil"/>
              <w:left w:val="nil"/>
              <w:right w:val="nil"/>
            </w:tcBorders>
            <w:noWrap/>
            <w:vAlign w:val="bottom"/>
            <w:hideMark/>
          </w:tcPr>
          <w:p w14:paraId="056402FD"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67FD8AFC" w14:textId="77777777" w:rsidTr="00FD7082">
        <w:trPr>
          <w:trHeight w:val="267"/>
        </w:trPr>
        <w:tc>
          <w:tcPr>
            <w:tcW w:w="3895" w:type="dxa"/>
            <w:tcBorders>
              <w:top w:val="nil"/>
              <w:right w:val="nil"/>
            </w:tcBorders>
            <w:noWrap/>
            <w:vAlign w:val="bottom"/>
            <w:hideMark/>
          </w:tcPr>
          <w:p w14:paraId="0C879CC4"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FRSC Definition</w:t>
            </w:r>
          </w:p>
        </w:tc>
        <w:tc>
          <w:tcPr>
            <w:tcW w:w="2454" w:type="dxa"/>
            <w:tcBorders>
              <w:top w:val="nil"/>
              <w:left w:val="nil"/>
              <w:bottom w:val="nil"/>
              <w:right w:val="nil"/>
            </w:tcBorders>
            <w:noWrap/>
            <w:vAlign w:val="center"/>
            <w:hideMark/>
          </w:tcPr>
          <w:p w14:paraId="4995B2B1" w14:textId="77777777" w:rsidR="007170E3" w:rsidRPr="007170E3" w:rsidRDefault="007170E3" w:rsidP="00FD7082">
            <w:pPr>
              <w:jc w:val="both"/>
              <w:rPr>
                <w:rFonts w:ascii="Arial" w:hAnsi="Arial" w:cs="Arial"/>
                <w:b/>
                <w:bCs/>
                <w:sz w:val="18"/>
                <w:szCs w:val="18"/>
                <w:lang w:eastAsia="en-GB"/>
              </w:rPr>
            </w:pPr>
          </w:p>
        </w:tc>
        <w:tc>
          <w:tcPr>
            <w:tcW w:w="2006" w:type="dxa"/>
            <w:tcBorders>
              <w:left w:val="nil"/>
              <w:bottom w:val="nil"/>
              <w:right w:val="nil"/>
            </w:tcBorders>
            <w:noWrap/>
            <w:vAlign w:val="center"/>
            <w:hideMark/>
          </w:tcPr>
          <w:p w14:paraId="0EF4FF94" w14:textId="77777777" w:rsidR="007170E3" w:rsidRPr="007170E3" w:rsidRDefault="007170E3" w:rsidP="00FD7082">
            <w:pPr>
              <w:jc w:val="both"/>
              <w:rPr>
                <w:rFonts w:ascii="Arial" w:hAnsi="Arial" w:cs="Arial"/>
                <w:sz w:val="18"/>
                <w:szCs w:val="18"/>
                <w:lang w:eastAsia="en-GB"/>
              </w:rPr>
            </w:pPr>
          </w:p>
        </w:tc>
      </w:tr>
      <w:tr w:rsidR="007170E3" w:rsidRPr="007170E3" w14:paraId="51CDEE86" w14:textId="77777777" w:rsidTr="00FD7082">
        <w:trPr>
          <w:trHeight w:val="267"/>
        </w:trPr>
        <w:tc>
          <w:tcPr>
            <w:tcW w:w="3895" w:type="dxa"/>
            <w:tcBorders>
              <w:left w:val="nil"/>
              <w:bottom w:val="nil"/>
              <w:right w:val="nil"/>
            </w:tcBorders>
            <w:noWrap/>
            <w:vAlign w:val="bottom"/>
            <w:hideMark/>
          </w:tcPr>
          <w:p w14:paraId="04C9C48F"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4B8661B6"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41</w:t>
            </w:r>
          </w:p>
        </w:tc>
        <w:tc>
          <w:tcPr>
            <w:tcW w:w="2006" w:type="dxa"/>
            <w:tcBorders>
              <w:top w:val="nil"/>
              <w:left w:val="nil"/>
              <w:bottom w:val="nil"/>
              <w:right w:val="nil"/>
            </w:tcBorders>
            <w:noWrap/>
            <w:vAlign w:val="center"/>
            <w:hideMark/>
          </w:tcPr>
          <w:p w14:paraId="7D5F730E" w14:textId="77777777" w:rsidR="007170E3" w:rsidRPr="007170E3" w:rsidRDefault="007170E3" w:rsidP="00FD7082">
            <w:pPr>
              <w:jc w:val="both"/>
              <w:rPr>
                <w:rFonts w:ascii="Arial" w:hAnsi="Arial" w:cs="Arial"/>
                <w:sz w:val="18"/>
                <w:szCs w:val="18"/>
                <w:lang w:eastAsia="en-GB"/>
              </w:rPr>
            </w:pPr>
            <w:bookmarkStart w:id="6" w:name="_Hlk130618674"/>
            <w:r w:rsidRPr="007170E3">
              <w:rPr>
                <w:rFonts w:ascii="Arial" w:hAnsi="Arial" w:cs="Arial"/>
                <w:sz w:val="18"/>
                <w:szCs w:val="18"/>
                <w:lang w:eastAsia="en-GB"/>
              </w:rPr>
              <w:t>21.8%</w:t>
            </w:r>
            <w:bookmarkEnd w:id="6"/>
          </w:p>
        </w:tc>
      </w:tr>
      <w:tr w:rsidR="007170E3" w:rsidRPr="007170E3" w14:paraId="4B92596C" w14:textId="77777777" w:rsidTr="00FD7082">
        <w:trPr>
          <w:trHeight w:val="267"/>
        </w:trPr>
        <w:tc>
          <w:tcPr>
            <w:tcW w:w="3895" w:type="dxa"/>
            <w:tcBorders>
              <w:top w:val="nil"/>
              <w:left w:val="nil"/>
              <w:bottom w:val="nil"/>
              <w:right w:val="nil"/>
            </w:tcBorders>
            <w:noWrap/>
            <w:vAlign w:val="bottom"/>
            <w:hideMark/>
          </w:tcPr>
          <w:p w14:paraId="6444700E"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308BC013"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147</w:t>
            </w:r>
          </w:p>
        </w:tc>
        <w:tc>
          <w:tcPr>
            <w:tcW w:w="2006" w:type="dxa"/>
            <w:tcBorders>
              <w:top w:val="nil"/>
              <w:left w:val="nil"/>
              <w:bottom w:val="nil"/>
              <w:right w:val="nil"/>
            </w:tcBorders>
            <w:noWrap/>
            <w:vAlign w:val="center"/>
            <w:hideMark/>
          </w:tcPr>
          <w:p w14:paraId="7C545D75"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78.2%</w:t>
            </w:r>
          </w:p>
        </w:tc>
      </w:tr>
      <w:tr w:rsidR="007170E3" w:rsidRPr="007170E3" w14:paraId="6C181DE1" w14:textId="77777777" w:rsidTr="00FD7082">
        <w:trPr>
          <w:trHeight w:val="267"/>
        </w:trPr>
        <w:tc>
          <w:tcPr>
            <w:tcW w:w="3895" w:type="dxa"/>
            <w:tcBorders>
              <w:top w:val="nil"/>
              <w:left w:val="nil"/>
              <w:bottom w:val="single" w:sz="4" w:space="0" w:color="auto"/>
              <w:right w:val="nil"/>
            </w:tcBorders>
            <w:noWrap/>
            <w:vAlign w:val="bottom"/>
            <w:hideMark/>
          </w:tcPr>
          <w:p w14:paraId="487D7141"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4" w:space="0" w:color="auto"/>
              <w:right w:val="nil"/>
            </w:tcBorders>
            <w:noWrap/>
            <w:vAlign w:val="bottom"/>
            <w:hideMark/>
          </w:tcPr>
          <w:p w14:paraId="0F6EAF78"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4" w:space="0" w:color="auto"/>
              <w:right w:val="nil"/>
            </w:tcBorders>
            <w:noWrap/>
            <w:vAlign w:val="bottom"/>
            <w:hideMark/>
          </w:tcPr>
          <w:p w14:paraId="244E54CE"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0EB6F80B" w14:textId="77777777" w:rsidTr="00FD7082">
        <w:trPr>
          <w:trHeight w:val="267"/>
        </w:trPr>
        <w:tc>
          <w:tcPr>
            <w:tcW w:w="3895" w:type="dxa"/>
            <w:tcBorders>
              <w:top w:val="nil"/>
              <w:left w:val="nil"/>
              <w:bottom w:val="nil"/>
              <w:right w:val="nil"/>
            </w:tcBorders>
            <w:noWrap/>
            <w:vAlign w:val="bottom"/>
            <w:hideMark/>
          </w:tcPr>
          <w:p w14:paraId="743F1FAB"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CONTRAST SENSITIVITY</w:t>
            </w:r>
          </w:p>
        </w:tc>
        <w:tc>
          <w:tcPr>
            <w:tcW w:w="2454" w:type="dxa"/>
            <w:tcBorders>
              <w:top w:val="nil"/>
              <w:left w:val="nil"/>
              <w:bottom w:val="nil"/>
              <w:right w:val="nil"/>
            </w:tcBorders>
            <w:noWrap/>
            <w:vAlign w:val="bottom"/>
            <w:hideMark/>
          </w:tcPr>
          <w:p w14:paraId="34AEE8B8"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3522AF97" w14:textId="77777777" w:rsidR="007170E3" w:rsidRPr="007170E3" w:rsidRDefault="007170E3" w:rsidP="00FD7082">
            <w:pPr>
              <w:jc w:val="both"/>
              <w:rPr>
                <w:rFonts w:ascii="Arial" w:hAnsi="Arial" w:cs="Arial"/>
                <w:sz w:val="18"/>
                <w:szCs w:val="18"/>
                <w:lang w:eastAsia="en-GB"/>
              </w:rPr>
            </w:pPr>
          </w:p>
        </w:tc>
      </w:tr>
      <w:tr w:rsidR="007170E3" w:rsidRPr="007170E3" w14:paraId="0DF5F962" w14:textId="77777777" w:rsidTr="00FD7082">
        <w:trPr>
          <w:trHeight w:val="267"/>
        </w:trPr>
        <w:tc>
          <w:tcPr>
            <w:tcW w:w="3895" w:type="dxa"/>
            <w:tcBorders>
              <w:top w:val="nil"/>
              <w:left w:val="nil"/>
              <w:bottom w:val="nil"/>
              <w:right w:val="nil"/>
            </w:tcBorders>
            <w:noWrap/>
            <w:vAlign w:val="bottom"/>
            <w:hideMark/>
          </w:tcPr>
          <w:p w14:paraId="1C567CB7"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3CFB2D3B"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14</w:t>
            </w:r>
          </w:p>
        </w:tc>
        <w:tc>
          <w:tcPr>
            <w:tcW w:w="2006" w:type="dxa"/>
            <w:tcBorders>
              <w:top w:val="nil"/>
              <w:left w:val="nil"/>
              <w:bottom w:val="nil"/>
              <w:right w:val="nil"/>
            </w:tcBorders>
            <w:noWrap/>
            <w:vAlign w:val="center"/>
            <w:hideMark/>
          </w:tcPr>
          <w:p w14:paraId="0B03057B"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7.4%</w:t>
            </w:r>
          </w:p>
        </w:tc>
      </w:tr>
      <w:tr w:rsidR="007170E3" w:rsidRPr="007170E3" w14:paraId="72BB25CB" w14:textId="77777777" w:rsidTr="00FD7082">
        <w:trPr>
          <w:trHeight w:val="267"/>
        </w:trPr>
        <w:tc>
          <w:tcPr>
            <w:tcW w:w="3895" w:type="dxa"/>
            <w:tcBorders>
              <w:top w:val="nil"/>
              <w:left w:val="nil"/>
              <w:bottom w:val="nil"/>
              <w:right w:val="nil"/>
            </w:tcBorders>
            <w:noWrap/>
            <w:vAlign w:val="bottom"/>
            <w:hideMark/>
          </w:tcPr>
          <w:p w14:paraId="306CD2D5"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59E111FD"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174</w:t>
            </w:r>
          </w:p>
        </w:tc>
        <w:tc>
          <w:tcPr>
            <w:tcW w:w="2006" w:type="dxa"/>
            <w:tcBorders>
              <w:top w:val="nil"/>
              <w:left w:val="nil"/>
              <w:bottom w:val="nil"/>
              <w:right w:val="nil"/>
            </w:tcBorders>
            <w:noWrap/>
            <w:vAlign w:val="center"/>
            <w:hideMark/>
          </w:tcPr>
          <w:p w14:paraId="2A7C043B" w14:textId="77777777" w:rsidR="007170E3" w:rsidRPr="007170E3" w:rsidRDefault="007170E3" w:rsidP="00FD7082">
            <w:pPr>
              <w:jc w:val="both"/>
              <w:rPr>
                <w:rFonts w:ascii="Arial" w:hAnsi="Arial" w:cs="Arial"/>
                <w:sz w:val="18"/>
                <w:szCs w:val="18"/>
                <w:lang w:eastAsia="en-GB"/>
              </w:rPr>
            </w:pPr>
            <w:bookmarkStart w:id="7" w:name="_Hlk130626627"/>
            <w:r w:rsidRPr="007170E3">
              <w:rPr>
                <w:rFonts w:ascii="Arial" w:hAnsi="Arial" w:cs="Arial"/>
                <w:sz w:val="18"/>
                <w:szCs w:val="18"/>
                <w:lang w:eastAsia="en-GB"/>
              </w:rPr>
              <w:t>92.6%</w:t>
            </w:r>
            <w:bookmarkEnd w:id="7"/>
          </w:p>
        </w:tc>
      </w:tr>
      <w:tr w:rsidR="007170E3" w:rsidRPr="007170E3" w14:paraId="0F893453" w14:textId="77777777" w:rsidTr="00FD7082">
        <w:trPr>
          <w:trHeight w:val="267"/>
        </w:trPr>
        <w:tc>
          <w:tcPr>
            <w:tcW w:w="3895" w:type="dxa"/>
            <w:tcBorders>
              <w:top w:val="nil"/>
              <w:left w:val="nil"/>
              <w:bottom w:val="single" w:sz="4" w:space="0" w:color="auto"/>
              <w:right w:val="nil"/>
            </w:tcBorders>
            <w:noWrap/>
            <w:vAlign w:val="bottom"/>
            <w:hideMark/>
          </w:tcPr>
          <w:p w14:paraId="10A5DF33"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4" w:space="0" w:color="auto"/>
              <w:right w:val="nil"/>
            </w:tcBorders>
            <w:noWrap/>
            <w:vAlign w:val="bottom"/>
            <w:hideMark/>
          </w:tcPr>
          <w:p w14:paraId="46706425"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4" w:space="0" w:color="auto"/>
              <w:right w:val="nil"/>
            </w:tcBorders>
            <w:noWrap/>
            <w:vAlign w:val="bottom"/>
            <w:hideMark/>
          </w:tcPr>
          <w:p w14:paraId="60BEB741"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12254E31" w14:textId="77777777" w:rsidTr="00FD7082">
        <w:trPr>
          <w:trHeight w:val="267"/>
        </w:trPr>
        <w:tc>
          <w:tcPr>
            <w:tcW w:w="3895" w:type="dxa"/>
            <w:tcBorders>
              <w:top w:val="nil"/>
              <w:left w:val="nil"/>
              <w:bottom w:val="nil"/>
              <w:right w:val="nil"/>
            </w:tcBorders>
            <w:noWrap/>
            <w:vAlign w:val="bottom"/>
            <w:hideMark/>
          </w:tcPr>
          <w:p w14:paraId="1DA9035C"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COLOUR VISION</w:t>
            </w:r>
          </w:p>
        </w:tc>
        <w:tc>
          <w:tcPr>
            <w:tcW w:w="2454" w:type="dxa"/>
            <w:tcBorders>
              <w:top w:val="nil"/>
              <w:left w:val="nil"/>
              <w:bottom w:val="nil"/>
              <w:right w:val="nil"/>
            </w:tcBorders>
            <w:noWrap/>
            <w:vAlign w:val="bottom"/>
            <w:hideMark/>
          </w:tcPr>
          <w:p w14:paraId="77F2A487"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329ED384" w14:textId="77777777" w:rsidR="007170E3" w:rsidRPr="007170E3" w:rsidRDefault="007170E3" w:rsidP="00FD7082">
            <w:pPr>
              <w:jc w:val="both"/>
              <w:rPr>
                <w:rFonts w:ascii="Arial" w:hAnsi="Arial" w:cs="Arial"/>
                <w:sz w:val="18"/>
                <w:szCs w:val="18"/>
                <w:lang w:eastAsia="en-GB"/>
              </w:rPr>
            </w:pPr>
          </w:p>
        </w:tc>
      </w:tr>
      <w:tr w:rsidR="007170E3" w:rsidRPr="007170E3" w14:paraId="552AFBFF" w14:textId="77777777" w:rsidTr="00FD7082">
        <w:trPr>
          <w:trHeight w:val="267"/>
        </w:trPr>
        <w:tc>
          <w:tcPr>
            <w:tcW w:w="3895" w:type="dxa"/>
            <w:tcBorders>
              <w:top w:val="nil"/>
              <w:left w:val="nil"/>
              <w:bottom w:val="nil"/>
              <w:right w:val="nil"/>
            </w:tcBorders>
            <w:noWrap/>
            <w:vAlign w:val="bottom"/>
            <w:hideMark/>
          </w:tcPr>
          <w:p w14:paraId="3C355C1B"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661B5B63"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13</w:t>
            </w:r>
          </w:p>
        </w:tc>
        <w:tc>
          <w:tcPr>
            <w:tcW w:w="2006" w:type="dxa"/>
            <w:tcBorders>
              <w:top w:val="nil"/>
              <w:left w:val="nil"/>
              <w:bottom w:val="nil"/>
              <w:right w:val="nil"/>
            </w:tcBorders>
            <w:noWrap/>
            <w:vAlign w:val="center"/>
            <w:hideMark/>
          </w:tcPr>
          <w:p w14:paraId="428DCE2A" w14:textId="77777777" w:rsidR="007170E3" w:rsidRPr="007170E3" w:rsidRDefault="007170E3" w:rsidP="00FD7082">
            <w:pPr>
              <w:jc w:val="both"/>
              <w:rPr>
                <w:rFonts w:ascii="Arial" w:hAnsi="Arial" w:cs="Arial"/>
                <w:sz w:val="18"/>
                <w:szCs w:val="18"/>
                <w:lang w:eastAsia="en-GB"/>
              </w:rPr>
            </w:pPr>
            <w:bookmarkStart w:id="8" w:name="_Hlk130648623"/>
            <w:r w:rsidRPr="007170E3">
              <w:rPr>
                <w:rFonts w:ascii="Arial" w:hAnsi="Arial" w:cs="Arial"/>
                <w:sz w:val="18"/>
                <w:szCs w:val="18"/>
                <w:lang w:eastAsia="en-GB"/>
              </w:rPr>
              <w:t>6.9%</w:t>
            </w:r>
            <w:bookmarkEnd w:id="8"/>
          </w:p>
        </w:tc>
      </w:tr>
      <w:tr w:rsidR="007170E3" w:rsidRPr="007170E3" w14:paraId="0A9F557C" w14:textId="77777777" w:rsidTr="00FD7082">
        <w:trPr>
          <w:trHeight w:val="267"/>
        </w:trPr>
        <w:tc>
          <w:tcPr>
            <w:tcW w:w="3895" w:type="dxa"/>
            <w:tcBorders>
              <w:top w:val="nil"/>
              <w:left w:val="nil"/>
              <w:bottom w:val="nil"/>
              <w:right w:val="nil"/>
            </w:tcBorders>
            <w:noWrap/>
            <w:vAlign w:val="bottom"/>
            <w:hideMark/>
          </w:tcPr>
          <w:p w14:paraId="6D123E33"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6FE91F30"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175</w:t>
            </w:r>
          </w:p>
        </w:tc>
        <w:tc>
          <w:tcPr>
            <w:tcW w:w="2006" w:type="dxa"/>
            <w:tcBorders>
              <w:top w:val="nil"/>
              <w:left w:val="nil"/>
              <w:bottom w:val="nil"/>
              <w:right w:val="nil"/>
            </w:tcBorders>
            <w:noWrap/>
            <w:vAlign w:val="center"/>
            <w:hideMark/>
          </w:tcPr>
          <w:p w14:paraId="5D5E6D98"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93.1%</w:t>
            </w:r>
          </w:p>
        </w:tc>
      </w:tr>
      <w:tr w:rsidR="007170E3" w:rsidRPr="007170E3" w14:paraId="0802A726" w14:textId="77777777" w:rsidTr="00FD7082">
        <w:trPr>
          <w:trHeight w:val="267"/>
        </w:trPr>
        <w:tc>
          <w:tcPr>
            <w:tcW w:w="3895" w:type="dxa"/>
            <w:tcBorders>
              <w:top w:val="nil"/>
              <w:left w:val="nil"/>
              <w:bottom w:val="single" w:sz="4" w:space="0" w:color="auto"/>
              <w:right w:val="nil"/>
            </w:tcBorders>
            <w:noWrap/>
            <w:vAlign w:val="bottom"/>
            <w:hideMark/>
          </w:tcPr>
          <w:p w14:paraId="1D9F33CA"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4" w:space="0" w:color="auto"/>
              <w:right w:val="nil"/>
            </w:tcBorders>
            <w:noWrap/>
            <w:vAlign w:val="bottom"/>
            <w:hideMark/>
          </w:tcPr>
          <w:p w14:paraId="7F9299A1"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4" w:space="0" w:color="auto"/>
              <w:right w:val="nil"/>
            </w:tcBorders>
            <w:noWrap/>
            <w:vAlign w:val="bottom"/>
            <w:hideMark/>
          </w:tcPr>
          <w:p w14:paraId="361CC01B"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5774289A" w14:textId="77777777" w:rsidTr="00FD7082">
        <w:trPr>
          <w:trHeight w:val="267"/>
        </w:trPr>
        <w:tc>
          <w:tcPr>
            <w:tcW w:w="3895" w:type="dxa"/>
            <w:tcBorders>
              <w:top w:val="nil"/>
              <w:left w:val="nil"/>
              <w:bottom w:val="nil"/>
              <w:right w:val="nil"/>
            </w:tcBorders>
            <w:noWrap/>
            <w:vAlign w:val="bottom"/>
            <w:hideMark/>
          </w:tcPr>
          <w:p w14:paraId="68D32063"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STEREOACUITY</w:t>
            </w:r>
          </w:p>
        </w:tc>
        <w:tc>
          <w:tcPr>
            <w:tcW w:w="2454" w:type="dxa"/>
            <w:tcBorders>
              <w:top w:val="nil"/>
              <w:left w:val="nil"/>
              <w:bottom w:val="nil"/>
              <w:right w:val="nil"/>
            </w:tcBorders>
            <w:noWrap/>
            <w:vAlign w:val="bottom"/>
            <w:hideMark/>
          </w:tcPr>
          <w:p w14:paraId="068E7007"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216C6BE6" w14:textId="77777777" w:rsidR="007170E3" w:rsidRPr="007170E3" w:rsidRDefault="007170E3" w:rsidP="00FD7082">
            <w:pPr>
              <w:jc w:val="both"/>
              <w:rPr>
                <w:rFonts w:ascii="Arial" w:hAnsi="Arial" w:cs="Arial"/>
                <w:sz w:val="18"/>
                <w:szCs w:val="18"/>
                <w:lang w:eastAsia="en-GB"/>
              </w:rPr>
            </w:pPr>
          </w:p>
        </w:tc>
      </w:tr>
      <w:tr w:rsidR="007170E3" w:rsidRPr="007170E3" w14:paraId="4B70F5C7" w14:textId="77777777" w:rsidTr="00FD7082">
        <w:trPr>
          <w:trHeight w:val="267"/>
        </w:trPr>
        <w:tc>
          <w:tcPr>
            <w:tcW w:w="3895" w:type="dxa"/>
            <w:tcBorders>
              <w:top w:val="nil"/>
              <w:left w:val="nil"/>
              <w:bottom w:val="nil"/>
              <w:right w:val="nil"/>
            </w:tcBorders>
            <w:noWrap/>
            <w:vAlign w:val="bottom"/>
            <w:hideMark/>
          </w:tcPr>
          <w:p w14:paraId="1E4671D1"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0F89188D"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89</w:t>
            </w:r>
          </w:p>
        </w:tc>
        <w:tc>
          <w:tcPr>
            <w:tcW w:w="2006" w:type="dxa"/>
            <w:tcBorders>
              <w:top w:val="nil"/>
              <w:left w:val="nil"/>
              <w:bottom w:val="nil"/>
              <w:right w:val="nil"/>
            </w:tcBorders>
            <w:noWrap/>
            <w:vAlign w:val="center"/>
            <w:hideMark/>
          </w:tcPr>
          <w:p w14:paraId="197F807D"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47.3%</w:t>
            </w:r>
          </w:p>
        </w:tc>
      </w:tr>
      <w:tr w:rsidR="007170E3" w:rsidRPr="007170E3" w14:paraId="1F5210F9" w14:textId="77777777" w:rsidTr="00FD7082">
        <w:trPr>
          <w:trHeight w:val="267"/>
        </w:trPr>
        <w:tc>
          <w:tcPr>
            <w:tcW w:w="3895" w:type="dxa"/>
            <w:tcBorders>
              <w:top w:val="nil"/>
              <w:left w:val="nil"/>
              <w:bottom w:val="nil"/>
              <w:right w:val="nil"/>
            </w:tcBorders>
            <w:noWrap/>
            <w:vAlign w:val="bottom"/>
            <w:hideMark/>
          </w:tcPr>
          <w:p w14:paraId="4791C03D"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3D88C20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99</w:t>
            </w:r>
          </w:p>
        </w:tc>
        <w:tc>
          <w:tcPr>
            <w:tcW w:w="2006" w:type="dxa"/>
            <w:tcBorders>
              <w:top w:val="nil"/>
              <w:left w:val="nil"/>
              <w:bottom w:val="nil"/>
              <w:right w:val="nil"/>
            </w:tcBorders>
            <w:noWrap/>
            <w:vAlign w:val="center"/>
            <w:hideMark/>
          </w:tcPr>
          <w:p w14:paraId="428910B0"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52.7%</w:t>
            </w:r>
          </w:p>
        </w:tc>
      </w:tr>
      <w:tr w:rsidR="007170E3" w:rsidRPr="007170E3" w14:paraId="74EE1E95" w14:textId="77777777" w:rsidTr="00FD7082">
        <w:trPr>
          <w:trHeight w:val="267"/>
        </w:trPr>
        <w:tc>
          <w:tcPr>
            <w:tcW w:w="3895" w:type="dxa"/>
            <w:tcBorders>
              <w:top w:val="nil"/>
              <w:left w:val="nil"/>
              <w:bottom w:val="single" w:sz="4" w:space="0" w:color="auto"/>
              <w:right w:val="nil"/>
            </w:tcBorders>
            <w:noWrap/>
            <w:vAlign w:val="bottom"/>
            <w:hideMark/>
          </w:tcPr>
          <w:p w14:paraId="2A61DC8D"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4" w:space="0" w:color="auto"/>
              <w:right w:val="nil"/>
            </w:tcBorders>
            <w:noWrap/>
            <w:vAlign w:val="bottom"/>
            <w:hideMark/>
          </w:tcPr>
          <w:p w14:paraId="0756DAA1"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4" w:space="0" w:color="auto"/>
              <w:right w:val="nil"/>
            </w:tcBorders>
            <w:noWrap/>
            <w:vAlign w:val="bottom"/>
            <w:hideMark/>
          </w:tcPr>
          <w:p w14:paraId="2A0DF7F4"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5777B2D2" w14:textId="77777777" w:rsidTr="00FD7082">
        <w:trPr>
          <w:trHeight w:val="267"/>
        </w:trPr>
        <w:tc>
          <w:tcPr>
            <w:tcW w:w="3895" w:type="dxa"/>
            <w:tcBorders>
              <w:top w:val="nil"/>
              <w:left w:val="nil"/>
              <w:bottom w:val="nil"/>
              <w:right w:val="nil"/>
            </w:tcBorders>
            <w:noWrap/>
            <w:vAlign w:val="bottom"/>
            <w:hideMark/>
          </w:tcPr>
          <w:p w14:paraId="6E183D40"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VISUAL FIELD</w:t>
            </w:r>
          </w:p>
        </w:tc>
        <w:tc>
          <w:tcPr>
            <w:tcW w:w="2454" w:type="dxa"/>
            <w:tcBorders>
              <w:top w:val="nil"/>
              <w:left w:val="nil"/>
              <w:bottom w:val="nil"/>
              <w:right w:val="nil"/>
            </w:tcBorders>
            <w:noWrap/>
            <w:vAlign w:val="bottom"/>
            <w:hideMark/>
          </w:tcPr>
          <w:p w14:paraId="32F2BBA8"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2515FC2B" w14:textId="77777777" w:rsidR="007170E3" w:rsidRPr="007170E3" w:rsidRDefault="007170E3" w:rsidP="00FD7082">
            <w:pPr>
              <w:jc w:val="both"/>
              <w:rPr>
                <w:rFonts w:ascii="Arial" w:hAnsi="Arial" w:cs="Arial"/>
                <w:sz w:val="18"/>
                <w:szCs w:val="18"/>
                <w:lang w:eastAsia="en-GB"/>
              </w:rPr>
            </w:pPr>
          </w:p>
        </w:tc>
      </w:tr>
      <w:tr w:rsidR="007170E3" w:rsidRPr="007170E3" w14:paraId="51604C98" w14:textId="77777777" w:rsidTr="00FD7082">
        <w:trPr>
          <w:trHeight w:val="267"/>
        </w:trPr>
        <w:tc>
          <w:tcPr>
            <w:tcW w:w="3895" w:type="dxa"/>
            <w:tcBorders>
              <w:top w:val="nil"/>
              <w:left w:val="nil"/>
              <w:bottom w:val="nil"/>
              <w:right w:val="nil"/>
            </w:tcBorders>
            <w:noWrap/>
            <w:vAlign w:val="bottom"/>
            <w:hideMark/>
          </w:tcPr>
          <w:p w14:paraId="2613FAC8"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678891F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8</w:t>
            </w:r>
          </w:p>
        </w:tc>
        <w:tc>
          <w:tcPr>
            <w:tcW w:w="2006" w:type="dxa"/>
            <w:tcBorders>
              <w:top w:val="nil"/>
              <w:left w:val="nil"/>
              <w:bottom w:val="nil"/>
              <w:right w:val="nil"/>
            </w:tcBorders>
            <w:noWrap/>
            <w:vAlign w:val="center"/>
            <w:hideMark/>
          </w:tcPr>
          <w:p w14:paraId="7D556DC0"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4.3%</w:t>
            </w:r>
          </w:p>
        </w:tc>
      </w:tr>
      <w:tr w:rsidR="007170E3" w:rsidRPr="007170E3" w14:paraId="3D6642B8" w14:textId="77777777" w:rsidTr="00FD7082">
        <w:trPr>
          <w:trHeight w:val="267"/>
        </w:trPr>
        <w:tc>
          <w:tcPr>
            <w:tcW w:w="3895" w:type="dxa"/>
            <w:tcBorders>
              <w:top w:val="nil"/>
              <w:left w:val="nil"/>
              <w:bottom w:val="nil"/>
              <w:right w:val="nil"/>
            </w:tcBorders>
            <w:noWrap/>
            <w:vAlign w:val="bottom"/>
            <w:hideMark/>
          </w:tcPr>
          <w:p w14:paraId="76674825"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7347A6FA"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180</w:t>
            </w:r>
          </w:p>
        </w:tc>
        <w:tc>
          <w:tcPr>
            <w:tcW w:w="2006" w:type="dxa"/>
            <w:tcBorders>
              <w:top w:val="nil"/>
              <w:left w:val="nil"/>
              <w:bottom w:val="nil"/>
              <w:right w:val="nil"/>
            </w:tcBorders>
            <w:noWrap/>
            <w:vAlign w:val="center"/>
            <w:hideMark/>
          </w:tcPr>
          <w:p w14:paraId="1EDDC89F"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95.7%</w:t>
            </w:r>
          </w:p>
        </w:tc>
      </w:tr>
      <w:tr w:rsidR="007170E3" w:rsidRPr="007170E3" w14:paraId="573D2670" w14:textId="77777777" w:rsidTr="00FD7082">
        <w:trPr>
          <w:trHeight w:val="45"/>
        </w:trPr>
        <w:tc>
          <w:tcPr>
            <w:tcW w:w="3895" w:type="dxa"/>
            <w:tcBorders>
              <w:top w:val="nil"/>
              <w:left w:val="nil"/>
              <w:bottom w:val="single" w:sz="8" w:space="0" w:color="auto"/>
              <w:right w:val="nil"/>
            </w:tcBorders>
            <w:noWrap/>
            <w:vAlign w:val="bottom"/>
            <w:hideMark/>
          </w:tcPr>
          <w:p w14:paraId="171A6736"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8" w:space="0" w:color="auto"/>
              <w:right w:val="nil"/>
            </w:tcBorders>
            <w:noWrap/>
            <w:vAlign w:val="bottom"/>
            <w:hideMark/>
          </w:tcPr>
          <w:p w14:paraId="6AF63857"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8" w:space="0" w:color="auto"/>
              <w:right w:val="nil"/>
            </w:tcBorders>
            <w:noWrap/>
            <w:vAlign w:val="bottom"/>
            <w:hideMark/>
          </w:tcPr>
          <w:p w14:paraId="02DC4484"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bl>
    <w:p w14:paraId="494CF3AB" w14:textId="77777777" w:rsidR="000B2717" w:rsidRDefault="000B2717" w:rsidP="00CF22A7">
      <w:pPr>
        <w:pStyle w:val="Body"/>
        <w:spacing w:after="0"/>
        <w:rPr>
          <w:rFonts w:ascii="Arial" w:hAnsi="Arial" w:cs="Arial"/>
          <w:sz w:val="22"/>
          <w:szCs w:val="22"/>
        </w:rPr>
      </w:pPr>
    </w:p>
    <w:p w14:paraId="6FAB508A" w14:textId="77777777" w:rsidR="00F22637" w:rsidRDefault="00F22637" w:rsidP="00CF22A7">
      <w:pPr>
        <w:pStyle w:val="Body"/>
        <w:spacing w:after="0"/>
        <w:rPr>
          <w:rFonts w:ascii="Arial" w:hAnsi="Arial" w:cs="Arial"/>
          <w:sz w:val="22"/>
          <w:szCs w:val="22"/>
        </w:rPr>
      </w:pPr>
    </w:p>
    <w:p w14:paraId="3E6066BD" w14:textId="77777777" w:rsidR="00F22637" w:rsidRPr="00F22637" w:rsidRDefault="00F22637" w:rsidP="00F22637">
      <w:pPr>
        <w:spacing w:line="480" w:lineRule="auto"/>
        <w:jc w:val="both"/>
        <w:rPr>
          <w:rFonts w:ascii="Arial" w:hAnsi="Arial" w:cs="Arial"/>
          <w:sz w:val="22"/>
          <w:szCs w:val="22"/>
        </w:rPr>
      </w:pPr>
      <w:r w:rsidRPr="00F22637">
        <w:rPr>
          <w:rFonts w:ascii="Arial" w:hAnsi="Arial" w:cs="Arial"/>
          <w:sz w:val="22"/>
          <w:szCs w:val="22"/>
        </w:rPr>
        <w:t xml:space="preserve">Figure 1 below shows that Most of the causes of impaired visual function among the study population (56% n=59) were undetermined. However, Refractive error, Glaucoma and Corneal opacity accounted for 19% (n=20), 11% (n=12) and 7% (n=8) of impaired visual function respectively.   </w:t>
      </w:r>
    </w:p>
    <w:p w14:paraId="49D927BC" w14:textId="77777777" w:rsidR="00F22637" w:rsidRDefault="00F22637" w:rsidP="00CF22A7">
      <w:pPr>
        <w:pStyle w:val="Body"/>
        <w:spacing w:after="0"/>
        <w:rPr>
          <w:rFonts w:ascii="Arial" w:hAnsi="Arial" w:cs="Arial"/>
          <w:sz w:val="22"/>
          <w:szCs w:val="22"/>
        </w:rPr>
      </w:pPr>
    </w:p>
    <w:p w14:paraId="78192703" w14:textId="77777777" w:rsidR="00F22637" w:rsidRDefault="00F22637" w:rsidP="00CF22A7">
      <w:pPr>
        <w:pStyle w:val="Body"/>
        <w:spacing w:after="0"/>
        <w:rPr>
          <w:rFonts w:ascii="Arial" w:hAnsi="Arial" w:cs="Arial"/>
          <w:sz w:val="22"/>
          <w:szCs w:val="22"/>
        </w:rPr>
      </w:pPr>
    </w:p>
    <w:p w14:paraId="612ABC83" w14:textId="77777777" w:rsidR="00F22637" w:rsidRDefault="00F22637" w:rsidP="00CF22A7">
      <w:pPr>
        <w:pStyle w:val="Body"/>
        <w:spacing w:after="0"/>
        <w:rPr>
          <w:rFonts w:ascii="Arial" w:hAnsi="Arial" w:cs="Arial"/>
          <w:sz w:val="22"/>
          <w:szCs w:val="22"/>
        </w:rPr>
      </w:pPr>
    </w:p>
    <w:p w14:paraId="643210DF" w14:textId="77777777" w:rsidR="00F22637" w:rsidRDefault="00F22637" w:rsidP="00CF22A7">
      <w:pPr>
        <w:pStyle w:val="Body"/>
        <w:spacing w:after="0"/>
        <w:rPr>
          <w:rFonts w:ascii="Arial" w:hAnsi="Arial" w:cs="Arial"/>
          <w:sz w:val="22"/>
          <w:szCs w:val="22"/>
        </w:rPr>
      </w:pPr>
    </w:p>
    <w:p w14:paraId="6D51DCEA" w14:textId="77777777" w:rsidR="00F22637" w:rsidRDefault="00F22637" w:rsidP="00CF22A7">
      <w:pPr>
        <w:pStyle w:val="Body"/>
        <w:spacing w:after="0"/>
        <w:rPr>
          <w:rFonts w:ascii="Arial" w:hAnsi="Arial" w:cs="Arial"/>
          <w:sz w:val="22"/>
          <w:szCs w:val="22"/>
        </w:rPr>
      </w:pPr>
    </w:p>
    <w:p w14:paraId="01BB0C4E" w14:textId="77777777" w:rsidR="00F22637" w:rsidRDefault="00F22637" w:rsidP="00CF22A7">
      <w:pPr>
        <w:pStyle w:val="Body"/>
        <w:spacing w:after="0"/>
        <w:rPr>
          <w:rFonts w:ascii="Arial" w:hAnsi="Arial" w:cs="Arial"/>
          <w:sz w:val="22"/>
          <w:szCs w:val="22"/>
        </w:rPr>
      </w:pPr>
    </w:p>
    <w:p w14:paraId="7B274C93" w14:textId="77777777" w:rsidR="00F22637" w:rsidRDefault="00F22637" w:rsidP="00CF22A7">
      <w:pPr>
        <w:pStyle w:val="Body"/>
        <w:spacing w:after="0"/>
        <w:rPr>
          <w:rFonts w:ascii="Arial" w:hAnsi="Arial" w:cs="Arial"/>
          <w:sz w:val="22"/>
          <w:szCs w:val="22"/>
        </w:rPr>
      </w:pPr>
    </w:p>
    <w:p w14:paraId="145F71BB" w14:textId="77777777" w:rsidR="00F22637" w:rsidRDefault="00F22637" w:rsidP="00CF22A7">
      <w:pPr>
        <w:pStyle w:val="Body"/>
        <w:spacing w:after="0"/>
        <w:rPr>
          <w:rFonts w:ascii="Arial" w:hAnsi="Arial" w:cs="Arial"/>
          <w:sz w:val="22"/>
          <w:szCs w:val="22"/>
        </w:rPr>
      </w:pPr>
    </w:p>
    <w:p w14:paraId="476FEAB0" w14:textId="6A41C369" w:rsidR="00F22637" w:rsidRDefault="00820CCC" w:rsidP="00CF22A7">
      <w:pPr>
        <w:pStyle w:val="Body"/>
        <w:spacing w:after="0"/>
        <w:rPr>
          <w:rFonts w:ascii="Arial" w:hAnsi="Arial" w:cs="Arial"/>
          <w:sz w:val="22"/>
          <w:szCs w:val="22"/>
        </w:rPr>
      </w:pPr>
      <w:r w:rsidRPr="009575F3">
        <w:rPr>
          <w:noProof/>
          <w:szCs w:val="24"/>
          <w:lang w:eastAsia="en-GB"/>
        </w:rPr>
        <w:drawing>
          <wp:inline distT="0" distB="0" distL="0" distR="0" wp14:anchorId="77F28136" wp14:editId="2D53EE4D">
            <wp:extent cx="4291330" cy="2030754"/>
            <wp:effectExtent l="0" t="0" r="13970" b="7620"/>
            <wp:docPr id="11" name="Chart 16">
              <a:extLst xmlns:a="http://schemas.openxmlformats.org/drawingml/2006/main">
                <a:ext uri="{FF2B5EF4-FFF2-40B4-BE49-F238E27FC236}">
                  <a16:creationId xmlns:a16="http://schemas.microsoft.com/office/drawing/2014/main" id="{3F972211-EB53-CF0A-741A-312A1E90D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781C56" w14:textId="77777777" w:rsidR="00F22637" w:rsidRPr="00F170C9" w:rsidRDefault="00F22637" w:rsidP="00CF22A7">
      <w:pPr>
        <w:pStyle w:val="Body"/>
        <w:spacing w:after="0"/>
        <w:rPr>
          <w:rFonts w:ascii="Arial" w:hAnsi="Arial" w:cs="Arial"/>
          <w:sz w:val="22"/>
          <w:szCs w:val="22"/>
        </w:rPr>
      </w:pPr>
    </w:p>
    <w:p w14:paraId="5B982C76" w14:textId="77777777" w:rsidR="00F170C9" w:rsidRPr="00F170C9" w:rsidRDefault="00F170C9" w:rsidP="00F170C9">
      <w:pPr>
        <w:spacing w:line="480" w:lineRule="auto"/>
        <w:jc w:val="both"/>
        <w:rPr>
          <w:rFonts w:ascii="Arial" w:hAnsi="Arial" w:cs="Arial"/>
          <w:b/>
          <w:szCs w:val="24"/>
        </w:rPr>
      </w:pPr>
      <w:r w:rsidRPr="00F170C9">
        <w:rPr>
          <w:rFonts w:ascii="Arial" w:hAnsi="Arial" w:cs="Arial"/>
          <w:b/>
          <w:szCs w:val="24"/>
        </w:rPr>
        <w:t>Figure 1: Causes of Impaired Visual Function Among the Study Population</w:t>
      </w:r>
    </w:p>
    <w:p w14:paraId="62776344" w14:textId="77777777" w:rsidR="00820CCC" w:rsidRDefault="00820CCC" w:rsidP="00CF22A7">
      <w:pPr>
        <w:pStyle w:val="Body"/>
        <w:spacing w:after="0"/>
        <w:rPr>
          <w:rFonts w:ascii="Arial" w:hAnsi="Arial" w:cs="Arial"/>
          <w:sz w:val="22"/>
          <w:szCs w:val="22"/>
        </w:rPr>
      </w:pPr>
    </w:p>
    <w:p w14:paraId="69B50313" w14:textId="77777777" w:rsidR="00820CCC" w:rsidRDefault="00820CCC" w:rsidP="00CF22A7">
      <w:pPr>
        <w:pStyle w:val="Body"/>
        <w:spacing w:after="0"/>
        <w:rPr>
          <w:rFonts w:ascii="Arial" w:hAnsi="Arial" w:cs="Arial"/>
          <w:sz w:val="22"/>
          <w:szCs w:val="22"/>
        </w:rPr>
      </w:pPr>
    </w:p>
    <w:p w14:paraId="332BEB3A" w14:textId="77777777" w:rsidR="007344D5" w:rsidRPr="007344D5" w:rsidRDefault="007344D5" w:rsidP="007344D5">
      <w:pPr>
        <w:spacing w:before="240" w:line="480" w:lineRule="auto"/>
        <w:jc w:val="both"/>
        <w:rPr>
          <w:rFonts w:ascii="Arial" w:hAnsi="Arial" w:cs="Arial"/>
          <w:sz w:val="22"/>
          <w:szCs w:val="22"/>
        </w:rPr>
      </w:pPr>
      <w:bookmarkStart w:id="9" w:name="_Hlk130737246"/>
      <w:r w:rsidRPr="007344D5">
        <w:rPr>
          <w:rFonts w:ascii="Arial" w:hAnsi="Arial" w:cs="Arial"/>
          <w:sz w:val="22"/>
          <w:szCs w:val="22"/>
        </w:rPr>
        <w:t>Only 73</w:t>
      </w:r>
      <w:bookmarkEnd w:id="9"/>
      <w:r w:rsidRPr="007344D5">
        <w:rPr>
          <w:rFonts w:ascii="Arial" w:hAnsi="Arial" w:cs="Arial"/>
          <w:sz w:val="22"/>
          <w:szCs w:val="22"/>
        </w:rPr>
        <w:t xml:space="preserve"> participants (38.8</w:t>
      </w:r>
      <w:proofErr w:type="gramStart"/>
      <w:r w:rsidRPr="007344D5">
        <w:rPr>
          <w:rFonts w:ascii="Arial" w:hAnsi="Arial" w:cs="Arial"/>
          <w:sz w:val="22"/>
          <w:szCs w:val="22"/>
        </w:rPr>
        <w:t>% )</w:t>
      </w:r>
      <w:proofErr w:type="gramEnd"/>
      <w:r w:rsidRPr="007344D5">
        <w:rPr>
          <w:rFonts w:ascii="Arial" w:hAnsi="Arial" w:cs="Arial"/>
          <w:sz w:val="22"/>
          <w:szCs w:val="22"/>
        </w:rPr>
        <w:t xml:space="preserve"> reported  having had eye complaints. Majority of the complaints reported were difficulty with reading small prints (67.1%, n=49) while other complaints, included itching, grittiness and red eye, accounting for 32.9%, n=24). Of the participants reporting eye complaints only 30% (n = 22) had visited a hospital for eye check. </w:t>
      </w:r>
    </w:p>
    <w:p w14:paraId="36EBCBF0" w14:textId="77777777" w:rsidR="007344D5" w:rsidRPr="007344D5" w:rsidRDefault="007344D5" w:rsidP="007344D5">
      <w:pPr>
        <w:spacing w:line="480" w:lineRule="auto"/>
        <w:jc w:val="both"/>
        <w:rPr>
          <w:rFonts w:ascii="Arial" w:hAnsi="Arial" w:cs="Arial"/>
          <w:b/>
          <w:sz w:val="22"/>
          <w:szCs w:val="22"/>
        </w:rPr>
      </w:pPr>
      <w:r w:rsidRPr="007344D5">
        <w:rPr>
          <w:rFonts w:ascii="Arial" w:hAnsi="Arial" w:cs="Arial"/>
          <w:b/>
          <w:sz w:val="22"/>
          <w:szCs w:val="22"/>
        </w:rPr>
        <w:t>Table 4 below</w:t>
      </w:r>
      <w:r w:rsidRPr="007344D5">
        <w:rPr>
          <w:rFonts w:ascii="Arial" w:hAnsi="Arial" w:cs="Arial"/>
          <w:sz w:val="22"/>
          <w:szCs w:val="22"/>
        </w:rPr>
        <w:t xml:space="preserve"> shows that there was significant association between age group (</w:t>
      </w:r>
      <w:r w:rsidRPr="007344D5">
        <w:rPr>
          <w:rFonts w:ascii="Arial" w:hAnsi="Arial" w:cs="Arial"/>
          <w:b/>
          <w:bCs/>
          <w:sz w:val="22"/>
          <w:szCs w:val="22"/>
          <w:lang w:eastAsia="en-GB"/>
        </w:rPr>
        <w:t>χ</w:t>
      </w:r>
      <w:r w:rsidRPr="007344D5">
        <w:rPr>
          <w:rFonts w:ascii="Arial" w:hAnsi="Arial" w:cs="Arial"/>
          <w:b/>
          <w:bCs/>
          <w:sz w:val="22"/>
          <w:szCs w:val="22"/>
          <w:vertAlign w:val="superscript"/>
          <w:lang w:eastAsia="en-GB"/>
        </w:rPr>
        <w:t>2</w:t>
      </w:r>
      <w:r w:rsidRPr="007344D5">
        <w:rPr>
          <w:rFonts w:ascii="Arial" w:hAnsi="Arial" w:cs="Arial"/>
          <w:sz w:val="22"/>
          <w:szCs w:val="22"/>
        </w:rPr>
        <w:t xml:space="preserve"> = 14.709, p = 0.005), type of driver (</w:t>
      </w:r>
      <w:r w:rsidRPr="007344D5">
        <w:rPr>
          <w:rFonts w:ascii="Arial" w:hAnsi="Arial" w:cs="Arial"/>
          <w:b/>
          <w:bCs/>
          <w:sz w:val="22"/>
          <w:szCs w:val="22"/>
          <w:lang w:eastAsia="en-GB"/>
        </w:rPr>
        <w:t>χ</w:t>
      </w:r>
      <w:r w:rsidRPr="007344D5">
        <w:rPr>
          <w:rFonts w:ascii="Arial" w:hAnsi="Arial" w:cs="Arial"/>
          <w:b/>
          <w:bCs/>
          <w:sz w:val="22"/>
          <w:szCs w:val="22"/>
          <w:vertAlign w:val="superscript"/>
          <w:lang w:eastAsia="en-GB"/>
        </w:rPr>
        <w:t>2</w:t>
      </w:r>
      <w:r w:rsidRPr="007344D5">
        <w:rPr>
          <w:rFonts w:ascii="Arial" w:hAnsi="Arial" w:cs="Arial"/>
          <w:sz w:val="22"/>
          <w:szCs w:val="22"/>
        </w:rPr>
        <w:t xml:space="preserve"> = </w:t>
      </w:r>
      <w:r w:rsidRPr="007344D5">
        <w:rPr>
          <w:rFonts w:ascii="Arial" w:hAnsi="Arial" w:cs="Arial"/>
          <w:sz w:val="22"/>
          <w:szCs w:val="22"/>
          <w:lang w:eastAsia="en-GB"/>
        </w:rPr>
        <w:t>25.214</w:t>
      </w:r>
      <w:r w:rsidRPr="007344D5">
        <w:rPr>
          <w:rFonts w:ascii="Arial" w:hAnsi="Arial" w:cs="Arial"/>
          <w:sz w:val="22"/>
          <w:szCs w:val="22"/>
        </w:rPr>
        <w:t>, p = 0.000), type of vehicle (</w:t>
      </w:r>
      <w:r w:rsidRPr="007344D5">
        <w:rPr>
          <w:rFonts w:ascii="Arial" w:hAnsi="Arial" w:cs="Arial"/>
          <w:b/>
          <w:bCs/>
          <w:sz w:val="22"/>
          <w:szCs w:val="22"/>
          <w:lang w:eastAsia="en-GB"/>
        </w:rPr>
        <w:t>χ</w:t>
      </w:r>
      <w:r w:rsidRPr="007344D5">
        <w:rPr>
          <w:rFonts w:ascii="Arial" w:hAnsi="Arial" w:cs="Arial"/>
          <w:b/>
          <w:bCs/>
          <w:sz w:val="22"/>
          <w:szCs w:val="22"/>
          <w:vertAlign w:val="superscript"/>
          <w:lang w:eastAsia="en-GB"/>
        </w:rPr>
        <w:t>2</w:t>
      </w:r>
      <w:r w:rsidRPr="007344D5">
        <w:rPr>
          <w:rFonts w:ascii="Arial" w:hAnsi="Arial" w:cs="Arial"/>
          <w:sz w:val="22"/>
          <w:szCs w:val="22"/>
        </w:rPr>
        <w:t xml:space="preserve"> = </w:t>
      </w:r>
      <w:r w:rsidRPr="007344D5">
        <w:rPr>
          <w:rFonts w:ascii="Arial" w:hAnsi="Arial" w:cs="Arial"/>
          <w:sz w:val="22"/>
          <w:szCs w:val="22"/>
          <w:lang w:eastAsia="en-GB"/>
        </w:rPr>
        <w:t>8.641</w:t>
      </w:r>
      <w:r w:rsidRPr="007344D5">
        <w:rPr>
          <w:rFonts w:ascii="Arial" w:hAnsi="Arial" w:cs="Arial"/>
          <w:sz w:val="22"/>
          <w:szCs w:val="22"/>
        </w:rPr>
        <w:t>, p = 0.013), years of driving (</w:t>
      </w:r>
      <w:r w:rsidRPr="007344D5">
        <w:rPr>
          <w:rFonts w:ascii="Arial" w:hAnsi="Arial" w:cs="Arial"/>
          <w:b/>
          <w:bCs/>
          <w:sz w:val="22"/>
          <w:szCs w:val="22"/>
          <w:lang w:eastAsia="en-GB"/>
        </w:rPr>
        <w:t>χ</w:t>
      </w:r>
      <w:r w:rsidRPr="007344D5">
        <w:rPr>
          <w:rFonts w:ascii="Arial" w:hAnsi="Arial" w:cs="Arial"/>
          <w:b/>
          <w:bCs/>
          <w:sz w:val="22"/>
          <w:szCs w:val="22"/>
          <w:vertAlign w:val="superscript"/>
          <w:lang w:eastAsia="en-GB"/>
        </w:rPr>
        <w:t>2</w:t>
      </w:r>
      <w:r w:rsidRPr="007344D5">
        <w:rPr>
          <w:rFonts w:ascii="Arial" w:hAnsi="Arial" w:cs="Arial"/>
          <w:sz w:val="22"/>
          <w:szCs w:val="22"/>
        </w:rPr>
        <w:t xml:space="preserve"> = </w:t>
      </w:r>
      <w:r w:rsidRPr="007344D5">
        <w:rPr>
          <w:rFonts w:ascii="Arial" w:hAnsi="Arial" w:cs="Arial"/>
          <w:sz w:val="22"/>
          <w:szCs w:val="22"/>
          <w:lang w:eastAsia="en-GB"/>
        </w:rPr>
        <w:t>71.707</w:t>
      </w:r>
      <w:r w:rsidRPr="007344D5">
        <w:rPr>
          <w:rFonts w:ascii="Arial" w:hAnsi="Arial" w:cs="Arial"/>
          <w:sz w:val="22"/>
          <w:szCs w:val="22"/>
        </w:rPr>
        <w:t>, p = 0.000) and rate of RTA</w:t>
      </w:r>
      <w:r w:rsidRPr="007344D5">
        <w:rPr>
          <w:rFonts w:ascii="Arial" w:hAnsi="Arial" w:cs="Arial"/>
          <w:b/>
          <w:sz w:val="22"/>
          <w:szCs w:val="22"/>
        </w:rPr>
        <w:t xml:space="preserve">. </w:t>
      </w:r>
    </w:p>
    <w:p w14:paraId="25DE35D5" w14:textId="77777777" w:rsidR="00820CCC" w:rsidRDefault="00820CCC" w:rsidP="00CF22A7">
      <w:pPr>
        <w:pStyle w:val="Body"/>
        <w:spacing w:after="0"/>
        <w:rPr>
          <w:rFonts w:ascii="Arial" w:hAnsi="Arial" w:cs="Arial"/>
          <w:sz w:val="22"/>
          <w:szCs w:val="22"/>
        </w:rPr>
      </w:pPr>
    </w:p>
    <w:p w14:paraId="705544DD" w14:textId="77777777" w:rsidR="00820CCC" w:rsidRDefault="00820CCC" w:rsidP="00CF22A7">
      <w:pPr>
        <w:pStyle w:val="Body"/>
        <w:spacing w:after="0"/>
        <w:rPr>
          <w:rFonts w:ascii="Arial" w:hAnsi="Arial" w:cs="Arial"/>
          <w:sz w:val="22"/>
          <w:szCs w:val="22"/>
        </w:rPr>
      </w:pPr>
    </w:p>
    <w:p w14:paraId="314D8744" w14:textId="77777777" w:rsidR="00820CCC" w:rsidRDefault="00820CCC" w:rsidP="00CF22A7">
      <w:pPr>
        <w:pStyle w:val="Body"/>
        <w:spacing w:after="0"/>
        <w:rPr>
          <w:rFonts w:ascii="Arial" w:hAnsi="Arial" w:cs="Arial"/>
          <w:sz w:val="22"/>
          <w:szCs w:val="22"/>
        </w:rPr>
      </w:pPr>
    </w:p>
    <w:p w14:paraId="0A46DE82" w14:textId="77777777" w:rsidR="00820CCC" w:rsidRDefault="00820CCC" w:rsidP="00CF22A7">
      <w:pPr>
        <w:pStyle w:val="Body"/>
        <w:spacing w:after="0"/>
        <w:rPr>
          <w:rFonts w:ascii="Arial" w:hAnsi="Arial" w:cs="Arial"/>
          <w:sz w:val="22"/>
          <w:szCs w:val="22"/>
        </w:rPr>
      </w:pPr>
    </w:p>
    <w:p w14:paraId="41033CE7" w14:textId="77777777" w:rsidR="00820CCC" w:rsidRDefault="00820CCC" w:rsidP="00CF22A7">
      <w:pPr>
        <w:pStyle w:val="Body"/>
        <w:spacing w:after="0"/>
        <w:rPr>
          <w:rFonts w:ascii="Arial" w:hAnsi="Arial" w:cs="Arial"/>
          <w:sz w:val="22"/>
          <w:szCs w:val="22"/>
        </w:rPr>
      </w:pPr>
    </w:p>
    <w:p w14:paraId="36EE7D6C" w14:textId="77777777" w:rsidR="00820CCC" w:rsidRDefault="00820CCC" w:rsidP="00CF22A7">
      <w:pPr>
        <w:pStyle w:val="Body"/>
        <w:spacing w:after="0"/>
        <w:rPr>
          <w:rFonts w:ascii="Arial" w:hAnsi="Arial" w:cs="Arial"/>
          <w:sz w:val="22"/>
          <w:szCs w:val="22"/>
        </w:rPr>
      </w:pPr>
    </w:p>
    <w:p w14:paraId="375918A8" w14:textId="77777777" w:rsidR="00820CCC" w:rsidRDefault="00820CCC" w:rsidP="00CF22A7">
      <w:pPr>
        <w:pStyle w:val="Body"/>
        <w:spacing w:after="0"/>
        <w:rPr>
          <w:rFonts w:ascii="Arial" w:hAnsi="Arial" w:cs="Arial"/>
          <w:sz w:val="22"/>
          <w:szCs w:val="22"/>
        </w:rPr>
      </w:pPr>
    </w:p>
    <w:p w14:paraId="4054C545" w14:textId="77777777" w:rsidR="00820CCC" w:rsidRDefault="00820CCC" w:rsidP="00CF22A7">
      <w:pPr>
        <w:pStyle w:val="Body"/>
        <w:spacing w:after="0"/>
        <w:rPr>
          <w:rFonts w:ascii="Arial" w:hAnsi="Arial" w:cs="Arial"/>
          <w:sz w:val="22"/>
          <w:szCs w:val="22"/>
        </w:rPr>
      </w:pPr>
    </w:p>
    <w:p w14:paraId="778AA9A3" w14:textId="77777777" w:rsidR="00820CCC" w:rsidRDefault="00820CCC" w:rsidP="00CF22A7">
      <w:pPr>
        <w:pStyle w:val="Body"/>
        <w:spacing w:after="0"/>
        <w:rPr>
          <w:rFonts w:ascii="Arial" w:hAnsi="Arial" w:cs="Arial"/>
          <w:sz w:val="22"/>
          <w:szCs w:val="22"/>
        </w:rPr>
      </w:pPr>
    </w:p>
    <w:p w14:paraId="58FCD3CE" w14:textId="77777777" w:rsidR="00820CCC" w:rsidRDefault="00820CCC" w:rsidP="00CF22A7">
      <w:pPr>
        <w:pStyle w:val="Body"/>
        <w:spacing w:after="0"/>
        <w:rPr>
          <w:rFonts w:ascii="Arial" w:hAnsi="Arial" w:cs="Arial"/>
          <w:sz w:val="22"/>
          <w:szCs w:val="22"/>
        </w:rPr>
      </w:pPr>
    </w:p>
    <w:p w14:paraId="6BCF13F0" w14:textId="77777777" w:rsidR="00820CCC" w:rsidRDefault="00820CCC" w:rsidP="00CF22A7">
      <w:pPr>
        <w:pStyle w:val="Body"/>
        <w:spacing w:after="0"/>
        <w:rPr>
          <w:rFonts w:ascii="Arial" w:hAnsi="Arial" w:cs="Arial"/>
          <w:sz w:val="22"/>
          <w:szCs w:val="22"/>
        </w:rPr>
      </w:pPr>
    </w:p>
    <w:p w14:paraId="72830736" w14:textId="77777777" w:rsidR="00820CCC" w:rsidRDefault="00820CCC" w:rsidP="00CF22A7">
      <w:pPr>
        <w:pStyle w:val="Body"/>
        <w:spacing w:after="0"/>
        <w:rPr>
          <w:rFonts w:ascii="Arial" w:hAnsi="Arial" w:cs="Arial"/>
          <w:sz w:val="22"/>
          <w:szCs w:val="22"/>
        </w:rPr>
      </w:pPr>
    </w:p>
    <w:p w14:paraId="71AFD682" w14:textId="77777777" w:rsidR="00820CCC" w:rsidRDefault="00820CCC" w:rsidP="00CF22A7">
      <w:pPr>
        <w:pStyle w:val="Body"/>
        <w:spacing w:after="0"/>
        <w:rPr>
          <w:rFonts w:ascii="Arial" w:hAnsi="Arial" w:cs="Arial"/>
          <w:sz w:val="22"/>
          <w:szCs w:val="22"/>
        </w:rPr>
      </w:pPr>
    </w:p>
    <w:p w14:paraId="0738D720" w14:textId="77777777" w:rsidR="00820CCC" w:rsidRDefault="00820CCC" w:rsidP="00CF22A7">
      <w:pPr>
        <w:pStyle w:val="Body"/>
        <w:spacing w:after="0"/>
        <w:rPr>
          <w:rFonts w:ascii="Arial" w:hAnsi="Arial" w:cs="Arial"/>
          <w:sz w:val="22"/>
          <w:szCs w:val="22"/>
        </w:rPr>
      </w:pPr>
    </w:p>
    <w:p w14:paraId="171743CB" w14:textId="77777777" w:rsidR="00820CCC" w:rsidRDefault="00820CCC" w:rsidP="00CF22A7">
      <w:pPr>
        <w:pStyle w:val="Body"/>
        <w:spacing w:after="0"/>
        <w:rPr>
          <w:rFonts w:ascii="Arial" w:hAnsi="Arial" w:cs="Arial"/>
          <w:sz w:val="22"/>
          <w:szCs w:val="22"/>
        </w:rPr>
      </w:pPr>
    </w:p>
    <w:p w14:paraId="2A18B5B2" w14:textId="77777777" w:rsidR="00820CCC" w:rsidRDefault="00820CCC" w:rsidP="00CF22A7">
      <w:pPr>
        <w:pStyle w:val="Body"/>
        <w:spacing w:after="0"/>
        <w:rPr>
          <w:rFonts w:ascii="Arial" w:hAnsi="Arial" w:cs="Arial"/>
          <w:sz w:val="22"/>
          <w:szCs w:val="22"/>
        </w:rPr>
      </w:pPr>
    </w:p>
    <w:p w14:paraId="2BC5F8C7" w14:textId="77777777" w:rsidR="00820CCC" w:rsidRDefault="00820CCC" w:rsidP="00CF22A7">
      <w:pPr>
        <w:pStyle w:val="Body"/>
        <w:spacing w:after="0"/>
        <w:rPr>
          <w:rFonts w:ascii="Arial" w:hAnsi="Arial" w:cs="Arial"/>
          <w:sz w:val="22"/>
          <w:szCs w:val="22"/>
        </w:rPr>
      </w:pPr>
    </w:p>
    <w:p w14:paraId="5DA7DDC3" w14:textId="77777777" w:rsidR="00820CCC" w:rsidRDefault="00820CCC" w:rsidP="00CF22A7">
      <w:pPr>
        <w:pStyle w:val="Body"/>
        <w:spacing w:after="0"/>
        <w:rPr>
          <w:rFonts w:ascii="Arial" w:hAnsi="Arial" w:cs="Arial"/>
          <w:sz w:val="22"/>
          <w:szCs w:val="22"/>
        </w:rPr>
      </w:pPr>
    </w:p>
    <w:p w14:paraId="216F1C0B" w14:textId="77777777" w:rsidR="00820CCC" w:rsidRDefault="00820CCC" w:rsidP="00CF22A7">
      <w:pPr>
        <w:pStyle w:val="Body"/>
        <w:spacing w:after="0"/>
        <w:rPr>
          <w:rFonts w:ascii="Arial" w:hAnsi="Arial" w:cs="Arial"/>
          <w:sz w:val="22"/>
          <w:szCs w:val="22"/>
        </w:rPr>
      </w:pPr>
    </w:p>
    <w:p w14:paraId="3F70E23B" w14:textId="77777777" w:rsidR="00820CCC" w:rsidRDefault="00820CCC" w:rsidP="00CF22A7">
      <w:pPr>
        <w:pStyle w:val="Body"/>
        <w:spacing w:after="0"/>
        <w:rPr>
          <w:rFonts w:ascii="Arial" w:hAnsi="Arial" w:cs="Arial"/>
          <w:sz w:val="22"/>
          <w:szCs w:val="22"/>
        </w:rPr>
      </w:pPr>
    </w:p>
    <w:p w14:paraId="55BCC3DA" w14:textId="77777777" w:rsidR="000513EF" w:rsidRPr="000513EF" w:rsidRDefault="000513EF" w:rsidP="000513EF">
      <w:pPr>
        <w:jc w:val="both"/>
        <w:rPr>
          <w:rFonts w:ascii="Arial" w:hAnsi="Arial" w:cs="Arial"/>
          <w:b/>
          <w:szCs w:val="24"/>
        </w:rPr>
      </w:pPr>
      <w:r w:rsidRPr="000513EF">
        <w:rPr>
          <w:rFonts w:ascii="Arial" w:hAnsi="Arial" w:cs="Arial"/>
          <w:b/>
          <w:szCs w:val="24"/>
        </w:rPr>
        <w:t>Table 4: RTA Rate and Association with Age Group, Level of Education, Type of Driver, Type of Vehicle, Years of Driving and Pre-License Eye Test (Pearson chi-Square Test)</w:t>
      </w:r>
    </w:p>
    <w:p w14:paraId="6B5BB4E6" w14:textId="77777777" w:rsidR="00820CCC" w:rsidRDefault="00820CCC" w:rsidP="00CF22A7">
      <w:pPr>
        <w:pStyle w:val="Body"/>
        <w:spacing w:after="0"/>
        <w:rPr>
          <w:rFonts w:ascii="Arial" w:hAnsi="Arial" w:cs="Arial"/>
          <w:sz w:val="22"/>
          <w:szCs w:val="22"/>
        </w:rPr>
      </w:pPr>
    </w:p>
    <w:tbl>
      <w:tblPr>
        <w:tblW w:w="10260" w:type="dxa"/>
        <w:tblLook w:val="04A0" w:firstRow="1" w:lastRow="0" w:firstColumn="1" w:lastColumn="0" w:noHBand="0" w:noVBand="1"/>
      </w:tblPr>
      <w:tblGrid>
        <w:gridCol w:w="2231"/>
        <w:gridCol w:w="1390"/>
        <w:gridCol w:w="1661"/>
        <w:gridCol w:w="1389"/>
        <w:gridCol w:w="1495"/>
        <w:gridCol w:w="1194"/>
        <w:gridCol w:w="900"/>
      </w:tblGrid>
      <w:tr w:rsidR="001E69A9" w:rsidRPr="00980795" w14:paraId="04FF2A97" w14:textId="77777777" w:rsidTr="00FD7082">
        <w:trPr>
          <w:trHeight w:val="315"/>
        </w:trPr>
        <w:tc>
          <w:tcPr>
            <w:tcW w:w="2231" w:type="dxa"/>
            <w:vMerge w:val="restart"/>
            <w:tcBorders>
              <w:top w:val="single" w:sz="8" w:space="0" w:color="auto"/>
              <w:left w:val="nil"/>
              <w:bottom w:val="single" w:sz="8" w:space="0" w:color="000000"/>
              <w:right w:val="nil"/>
            </w:tcBorders>
            <w:noWrap/>
            <w:vAlign w:val="center"/>
            <w:hideMark/>
          </w:tcPr>
          <w:p w14:paraId="7C064E3E" w14:textId="77777777" w:rsidR="001E69A9" w:rsidRPr="00980795" w:rsidRDefault="001E69A9" w:rsidP="00FD7082">
            <w:pPr>
              <w:jc w:val="both"/>
              <w:rPr>
                <w:b/>
                <w:bCs/>
                <w:sz w:val="16"/>
                <w:szCs w:val="16"/>
                <w:lang w:eastAsia="en-GB"/>
              </w:rPr>
            </w:pPr>
            <w:r w:rsidRPr="00980795">
              <w:rPr>
                <w:b/>
                <w:bCs/>
                <w:sz w:val="16"/>
                <w:szCs w:val="16"/>
                <w:lang w:eastAsia="en-GB"/>
              </w:rPr>
              <w:t>VARIABLE</w:t>
            </w:r>
          </w:p>
        </w:tc>
        <w:tc>
          <w:tcPr>
            <w:tcW w:w="4440" w:type="dxa"/>
            <w:gridSpan w:val="3"/>
            <w:vMerge w:val="restart"/>
            <w:tcBorders>
              <w:top w:val="single" w:sz="8" w:space="0" w:color="auto"/>
              <w:left w:val="nil"/>
              <w:bottom w:val="single" w:sz="8" w:space="0" w:color="000000"/>
              <w:right w:val="nil"/>
            </w:tcBorders>
            <w:noWrap/>
            <w:vAlign w:val="center"/>
            <w:hideMark/>
          </w:tcPr>
          <w:p w14:paraId="18F48AA0" w14:textId="77777777" w:rsidR="001E69A9" w:rsidRPr="00980795" w:rsidRDefault="001E69A9" w:rsidP="00FD7082">
            <w:pPr>
              <w:jc w:val="both"/>
              <w:rPr>
                <w:b/>
                <w:bCs/>
                <w:sz w:val="16"/>
                <w:szCs w:val="16"/>
                <w:lang w:eastAsia="en-GB"/>
              </w:rPr>
            </w:pPr>
            <w:r w:rsidRPr="00980795">
              <w:rPr>
                <w:b/>
                <w:bCs/>
                <w:sz w:val="16"/>
                <w:szCs w:val="16"/>
                <w:lang w:eastAsia="en-GB"/>
              </w:rPr>
              <w:t>RTA RATE</w:t>
            </w:r>
          </w:p>
          <w:p w14:paraId="7876D764" w14:textId="77777777" w:rsidR="001E69A9" w:rsidRPr="00980795" w:rsidRDefault="001E69A9" w:rsidP="00FD7082">
            <w:pPr>
              <w:jc w:val="both"/>
              <w:rPr>
                <w:b/>
                <w:bCs/>
                <w:sz w:val="16"/>
                <w:szCs w:val="16"/>
                <w:lang w:eastAsia="en-GB"/>
              </w:rPr>
            </w:pPr>
            <w:r w:rsidRPr="00980795">
              <w:rPr>
                <w:b/>
                <w:bCs/>
                <w:sz w:val="16"/>
                <w:szCs w:val="16"/>
                <w:lang w:eastAsia="en-GB"/>
              </w:rPr>
              <w:t xml:space="preserve">(RTA Count Per Person Driving Years) </w:t>
            </w:r>
          </w:p>
        </w:tc>
        <w:tc>
          <w:tcPr>
            <w:tcW w:w="1495" w:type="dxa"/>
            <w:vMerge w:val="restart"/>
            <w:tcBorders>
              <w:top w:val="single" w:sz="8" w:space="0" w:color="auto"/>
              <w:left w:val="nil"/>
              <w:bottom w:val="single" w:sz="8" w:space="0" w:color="000000"/>
              <w:right w:val="nil"/>
            </w:tcBorders>
            <w:vAlign w:val="center"/>
            <w:hideMark/>
          </w:tcPr>
          <w:p w14:paraId="02320B2C" w14:textId="77777777" w:rsidR="001E69A9" w:rsidRPr="00980795" w:rsidRDefault="001E69A9" w:rsidP="00FD7082">
            <w:pPr>
              <w:jc w:val="both"/>
              <w:rPr>
                <w:b/>
                <w:bCs/>
                <w:sz w:val="16"/>
                <w:szCs w:val="16"/>
                <w:lang w:eastAsia="en-GB"/>
              </w:rPr>
            </w:pPr>
            <w:r w:rsidRPr="00980795">
              <w:rPr>
                <w:b/>
                <w:bCs/>
                <w:sz w:val="16"/>
                <w:szCs w:val="16"/>
                <w:lang w:eastAsia="en-GB"/>
              </w:rPr>
              <w:t>Total</w:t>
            </w:r>
          </w:p>
        </w:tc>
        <w:tc>
          <w:tcPr>
            <w:tcW w:w="1194" w:type="dxa"/>
            <w:vMerge w:val="restart"/>
            <w:tcBorders>
              <w:top w:val="single" w:sz="8" w:space="0" w:color="auto"/>
              <w:left w:val="nil"/>
              <w:bottom w:val="single" w:sz="8" w:space="0" w:color="000000"/>
              <w:right w:val="nil"/>
            </w:tcBorders>
            <w:vAlign w:val="center"/>
            <w:hideMark/>
          </w:tcPr>
          <w:p w14:paraId="54E34391" w14:textId="77777777" w:rsidR="001E69A9" w:rsidRPr="00980795" w:rsidRDefault="001E69A9" w:rsidP="00FD7082">
            <w:pPr>
              <w:jc w:val="both"/>
              <w:rPr>
                <w:b/>
                <w:bCs/>
                <w:sz w:val="16"/>
                <w:szCs w:val="16"/>
                <w:lang w:eastAsia="en-GB"/>
              </w:rPr>
            </w:pPr>
            <w:r w:rsidRPr="00980795">
              <w:rPr>
                <w:b/>
                <w:bCs/>
                <w:sz w:val="16"/>
                <w:szCs w:val="16"/>
                <w:lang w:eastAsia="en-GB"/>
              </w:rPr>
              <w:t>χ</w:t>
            </w:r>
            <w:r w:rsidRPr="00980795">
              <w:rPr>
                <w:b/>
                <w:bCs/>
                <w:sz w:val="16"/>
                <w:szCs w:val="16"/>
                <w:vertAlign w:val="superscript"/>
                <w:lang w:eastAsia="en-GB"/>
              </w:rPr>
              <w:t>2</w:t>
            </w:r>
          </w:p>
        </w:tc>
        <w:tc>
          <w:tcPr>
            <w:tcW w:w="900" w:type="dxa"/>
            <w:tcBorders>
              <w:top w:val="single" w:sz="8" w:space="0" w:color="auto"/>
              <w:left w:val="nil"/>
              <w:bottom w:val="nil"/>
              <w:right w:val="nil"/>
            </w:tcBorders>
            <w:vAlign w:val="center"/>
            <w:hideMark/>
          </w:tcPr>
          <w:p w14:paraId="2DA3EE71" w14:textId="77777777" w:rsidR="001E69A9" w:rsidRPr="00980795" w:rsidRDefault="001E69A9" w:rsidP="00FD7082">
            <w:pPr>
              <w:jc w:val="both"/>
              <w:rPr>
                <w:b/>
                <w:bCs/>
                <w:sz w:val="16"/>
                <w:szCs w:val="16"/>
                <w:lang w:eastAsia="en-GB"/>
              </w:rPr>
            </w:pPr>
            <w:r w:rsidRPr="00980795">
              <w:rPr>
                <w:b/>
                <w:bCs/>
                <w:sz w:val="16"/>
                <w:szCs w:val="16"/>
                <w:lang w:eastAsia="en-GB"/>
              </w:rPr>
              <w:t>P</w:t>
            </w:r>
          </w:p>
        </w:tc>
      </w:tr>
      <w:tr w:rsidR="001E69A9" w:rsidRPr="00980795" w14:paraId="1D5602A8" w14:textId="77777777" w:rsidTr="00FD7082">
        <w:trPr>
          <w:trHeight w:val="330"/>
        </w:trPr>
        <w:tc>
          <w:tcPr>
            <w:tcW w:w="2231" w:type="dxa"/>
            <w:vMerge/>
            <w:tcBorders>
              <w:top w:val="single" w:sz="8" w:space="0" w:color="auto"/>
              <w:left w:val="nil"/>
              <w:bottom w:val="single" w:sz="8" w:space="0" w:color="000000"/>
              <w:right w:val="nil"/>
            </w:tcBorders>
            <w:vAlign w:val="center"/>
            <w:hideMark/>
          </w:tcPr>
          <w:p w14:paraId="4C11858C" w14:textId="77777777" w:rsidR="001E69A9" w:rsidRPr="00980795" w:rsidRDefault="001E69A9" w:rsidP="00FD7082">
            <w:pPr>
              <w:jc w:val="both"/>
              <w:rPr>
                <w:b/>
                <w:bCs/>
                <w:sz w:val="16"/>
                <w:szCs w:val="16"/>
                <w:lang w:eastAsia="en-GB"/>
              </w:rPr>
            </w:pPr>
          </w:p>
        </w:tc>
        <w:tc>
          <w:tcPr>
            <w:tcW w:w="4440" w:type="dxa"/>
            <w:gridSpan w:val="3"/>
            <w:vMerge/>
            <w:tcBorders>
              <w:top w:val="single" w:sz="8" w:space="0" w:color="auto"/>
              <w:left w:val="nil"/>
              <w:bottom w:val="single" w:sz="8" w:space="0" w:color="000000"/>
              <w:right w:val="nil"/>
            </w:tcBorders>
            <w:vAlign w:val="center"/>
            <w:hideMark/>
          </w:tcPr>
          <w:p w14:paraId="573D2985" w14:textId="77777777" w:rsidR="001E69A9" w:rsidRPr="00980795" w:rsidRDefault="001E69A9" w:rsidP="00FD7082">
            <w:pPr>
              <w:jc w:val="both"/>
              <w:rPr>
                <w:b/>
                <w:bCs/>
                <w:sz w:val="16"/>
                <w:szCs w:val="16"/>
                <w:lang w:eastAsia="en-GB"/>
              </w:rPr>
            </w:pPr>
          </w:p>
        </w:tc>
        <w:tc>
          <w:tcPr>
            <w:tcW w:w="1495" w:type="dxa"/>
            <w:vMerge/>
            <w:tcBorders>
              <w:top w:val="single" w:sz="8" w:space="0" w:color="auto"/>
              <w:left w:val="nil"/>
              <w:bottom w:val="single" w:sz="8" w:space="0" w:color="000000"/>
              <w:right w:val="nil"/>
            </w:tcBorders>
            <w:vAlign w:val="center"/>
            <w:hideMark/>
          </w:tcPr>
          <w:p w14:paraId="606EAF1A" w14:textId="77777777" w:rsidR="001E69A9" w:rsidRPr="00980795" w:rsidRDefault="001E69A9" w:rsidP="00FD7082">
            <w:pPr>
              <w:jc w:val="both"/>
              <w:rPr>
                <w:b/>
                <w:bCs/>
                <w:sz w:val="16"/>
                <w:szCs w:val="16"/>
                <w:lang w:eastAsia="en-GB"/>
              </w:rPr>
            </w:pPr>
          </w:p>
        </w:tc>
        <w:tc>
          <w:tcPr>
            <w:tcW w:w="1194" w:type="dxa"/>
            <w:vMerge/>
            <w:tcBorders>
              <w:top w:val="single" w:sz="8" w:space="0" w:color="auto"/>
              <w:left w:val="nil"/>
              <w:bottom w:val="single" w:sz="8" w:space="0" w:color="000000"/>
              <w:right w:val="nil"/>
            </w:tcBorders>
            <w:vAlign w:val="center"/>
            <w:hideMark/>
          </w:tcPr>
          <w:p w14:paraId="114065D8" w14:textId="77777777" w:rsidR="001E69A9" w:rsidRPr="00980795" w:rsidRDefault="001E69A9" w:rsidP="00FD7082">
            <w:pPr>
              <w:jc w:val="both"/>
              <w:rPr>
                <w:b/>
                <w:bCs/>
                <w:sz w:val="16"/>
                <w:szCs w:val="16"/>
                <w:lang w:eastAsia="en-GB"/>
              </w:rPr>
            </w:pPr>
          </w:p>
        </w:tc>
        <w:tc>
          <w:tcPr>
            <w:tcW w:w="900" w:type="dxa"/>
            <w:tcBorders>
              <w:top w:val="nil"/>
              <w:left w:val="nil"/>
              <w:bottom w:val="single" w:sz="8" w:space="0" w:color="auto"/>
              <w:right w:val="nil"/>
            </w:tcBorders>
            <w:vAlign w:val="center"/>
            <w:hideMark/>
          </w:tcPr>
          <w:p w14:paraId="6E8FCA6F" w14:textId="77777777" w:rsidR="001E69A9" w:rsidRPr="00980795" w:rsidRDefault="001E69A9" w:rsidP="00FD7082">
            <w:pPr>
              <w:jc w:val="both"/>
              <w:rPr>
                <w:b/>
                <w:bCs/>
                <w:sz w:val="16"/>
                <w:szCs w:val="16"/>
                <w:lang w:eastAsia="en-GB"/>
              </w:rPr>
            </w:pPr>
            <w:r w:rsidRPr="00980795">
              <w:rPr>
                <w:b/>
                <w:bCs/>
                <w:sz w:val="16"/>
                <w:szCs w:val="16"/>
                <w:lang w:eastAsia="en-GB"/>
              </w:rPr>
              <w:t>VALUE</w:t>
            </w:r>
          </w:p>
        </w:tc>
      </w:tr>
      <w:tr w:rsidR="001E69A9" w:rsidRPr="00980795" w14:paraId="15F16E3B" w14:textId="77777777" w:rsidTr="00FD7082">
        <w:trPr>
          <w:trHeight w:val="330"/>
        </w:trPr>
        <w:tc>
          <w:tcPr>
            <w:tcW w:w="2231" w:type="dxa"/>
            <w:tcBorders>
              <w:top w:val="nil"/>
              <w:left w:val="nil"/>
              <w:bottom w:val="nil"/>
              <w:right w:val="nil"/>
            </w:tcBorders>
            <w:noWrap/>
            <w:vAlign w:val="bottom"/>
            <w:hideMark/>
          </w:tcPr>
          <w:p w14:paraId="07B0A41A" w14:textId="77777777" w:rsidR="001E69A9" w:rsidRPr="00980795" w:rsidRDefault="001E69A9" w:rsidP="00FD7082">
            <w:pPr>
              <w:jc w:val="both"/>
              <w:rPr>
                <w:b/>
                <w:bCs/>
                <w:sz w:val="16"/>
                <w:szCs w:val="16"/>
                <w:lang w:eastAsia="en-GB"/>
              </w:rPr>
            </w:pPr>
          </w:p>
        </w:tc>
        <w:tc>
          <w:tcPr>
            <w:tcW w:w="1390" w:type="dxa"/>
            <w:tcBorders>
              <w:top w:val="nil"/>
              <w:left w:val="nil"/>
              <w:bottom w:val="single" w:sz="8" w:space="0" w:color="auto"/>
              <w:right w:val="nil"/>
            </w:tcBorders>
            <w:noWrap/>
            <w:vAlign w:val="center"/>
            <w:hideMark/>
          </w:tcPr>
          <w:p w14:paraId="1E942E59" w14:textId="77777777" w:rsidR="001E69A9" w:rsidRPr="00980795" w:rsidRDefault="001E69A9" w:rsidP="00FD7082">
            <w:pPr>
              <w:jc w:val="both"/>
              <w:rPr>
                <w:b/>
                <w:bCs/>
                <w:sz w:val="16"/>
                <w:szCs w:val="16"/>
                <w:lang w:eastAsia="en-GB"/>
              </w:rPr>
            </w:pPr>
            <w:r w:rsidRPr="00980795">
              <w:rPr>
                <w:b/>
                <w:bCs/>
                <w:sz w:val="16"/>
                <w:szCs w:val="16"/>
                <w:lang w:eastAsia="en-GB"/>
              </w:rPr>
              <w:t>0.00</w:t>
            </w:r>
          </w:p>
        </w:tc>
        <w:tc>
          <w:tcPr>
            <w:tcW w:w="1661" w:type="dxa"/>
            <w:tcBorders>
              <w:top w:val="nil"/>
              <w:left w:val="nil"/>
              <w:bottom w:val="single" w:sz="8" w:space="0" w:color="auto"/>
              <w:right w:val="nil"/>
            </w:tcBorders>
            <w:noWrap/>
            <w:vAlign w:val="center"/>
            <w:hideMark/>
          </w:tcPr>
          <w:p w14:paraId="35C2C8F3" w14:textId="77777777" w:rsidR="001E69A9" w:rsidRPr="00980795" w:rsidRDefault="001E69A9" w:rsidP="00FD7082">
            <w:pPr>
              <w:jc w:val="both"/>
              <w:rPr>
                <w:b/>
                <w:bCs/>
                <w:sz w:val="16"/>
                <w:szCs w:val="16"/>
                <w:lang w:eastAsia="en-GB"/>
              </w:rPr>
            </w:pPr>
            <w:r w:rsidRPr="00980795">
              <w:rPr>
                <w:b/>
                <w:bCs/>
                <w:sz w:val="16"/>
                <w:szCs w:val="16"/>
                <w:lang w:eastAsia="en-GB"/>
              </w:rPr>
              <w:t>&gt;0.00 to 0.10</w:t>
            </w:r>
          </w:p>
        </w:tc>
        <w:tc>
          <w:tcPr>
            <w:tcW w:w="1389" w:type="dxa"/>
            <w:tcBorders>
              <w:top w:val="nil"/>
              <w:left w:val="nil"/>
              <w:bottom w:val="single" w:sz="8" w:space="0" w:color="auto"/>
              <w:right w:val="nil"/>
            </w:tcBorders>
            <w:noWrap/>
            <w:vAlign w:val="center"/>
            <w:hideMark/>
          </w:tcPr>
          <w:p w14:paraId="0CA3EA19" w14:textId="77777777" w:rsidR="001E69A9" w:rsidRPr="00980795" w:rsidRDefault="001E69A9" w:rsidP="00FD7082">
            <w:pPr>
              <w:jc w:val="both"/>
              <w:rPr>
                <w:b/>
                <w:bCs/>
                <w:sz w:val="16"/>
                <w:szCs w:val="16"/>
                <w:lang w:eastAsia="en-GB"/>
              </w:rPr>
            </w:pPr>
            <w:r w:rsidRPr="00980795">
              <w:rPr>
                <w:b/>
                <w:bCs/>
                <w:sz w:val="16"/>
                <w:szCs w:val="16"/>
                <w:lang w:eastAsia="en-GB"/>
              </w:rPr>
              <w:t>&gt;0.10</w:t>
            </w:r>
          </w:p>
        </w:tc>
        <w:tc>
          <w:tcPr>
            <w:tcW w:w="1495" w:type="dxa"/>
            <w:tcBorders>
              <w:top w:val="nil"/>
              <w:left w:val="nil"/>
              <w:bottom w:val="nil"/>
              <w:right w:val="nil"/>
            </w:tcBorders>
            <w:vAlign w:val="center"/>
            <w:hideMark/>
          </w:tcPr>
          <w:p w14:paraId="07587011" w14:textId="77777777" w:rsidR="001E69A9" w:rsidRPr="00980795" w:rsidRDefault="001E69A9" w:rsidP="00FD7082">
            <w:pPr>
              <w:jc w:val="both"/>
              <w:rPr>
                <w:b/>
                <w:bCs/>
                <w:sz w:val="16"/>
                <w:szCs w:val="16"/>
                <w:lang w:eastAsia="en-GB"/>
              </w:rPr>
            </w:pPr>
          </w:p>
        </w:tc>
        <w:tc>
          <w:tcPr>
            <w:tcW w:w="1194" w:type="dxa"/>
            <w:tcBorders>
              <w:top w:val="nil"/>
              <w:left w:val="nil"/>
              <w:bottom w:val="nil"/>
              <w:right w:val="nil"/>
            </w:tcBorders>
            <w:noWrap/>
            <w:vAlign w:val="bottom"/>
            <w:hideMark/>
          </w:tcPr>
          <w:p w14:paraId="66CFEB61"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bottom"/>
            <w:hideMark/>
          </w:tcPr>
          <w:p w14:paraId="5185D2B6" w14:textId="77777777" w:rsidR="001E69A9" w:rsidRPr="00980795" w:rsidRDefault="001E69A9" w:rsidP="00FD7082">
            <w:pPr>
              <w:jc w:val="both"/>
              <w:rPr>
                <w:sz w:val="16"/>
                <w:szCs w:val="16"/>
                <w:lang w:eastAsia="en-GB"/>
              </w:rPr>
            </w:pPr>
          </w:p>
        </w:tc>
      </w:tr>
      <w:tr w:rsidR="001E69A9" w:rsidRPr="00980795" w14:paraId="266539FA" w14:textId="77777777" w:rsidTr="00FD7082">
        <w:trPr>
          <w:trHeight w:val="315"/>
        </w:trPr>
        <w:tc>
          <w:tcPr>
            <w:tcW w:w="2231" w:type="dxa"/>
            <w:tcBorders>
              <w:top w:val="nil"/>
              <w:left w:val="nil"/>
              <w:bottom w:val="nil"/>
              <w:right w:val="nil"/>
            </w:tcBorders>
            <w:noWrap/>
            <w:vAlign w:val="bottom"/>
            <w:hideMark/>
          </w:tcPr>
          <w:p w14:paraId="6A1E864D" w14:textId="77777777" w:rsidR="001E69A9" w:rsidRPr="00980795" w:rsidRDefault="001E69A9" w:rsidP="00FD7082">
            <w:pPr>
              <w:jc w:val="both"/>
              <w:rPr>
                <w:sz w:val="16"/>
                <w:szCs w:val="16"/>
                <w:lang w:eastAsia="en-GB"/>
              </w:rPr>
            </w:pPr>
          </w:p>
        </w:tc>
        <w:tc>
          <w:tcPr>
            <w:tcW w:w="4440" w:type="dxa"/>
            <w:gridSpan w:val="3"/>
            <w:tcBorders>
              <w:top w:val="single" w:sz="8" w:space="0" w:color="auto"/>
              <w:left w:val="nil"/>
              <w:bottom w:val="nil"/>
              <w:right w:val="nil"/>
            </w:tcBorders>
            <w:noWrap/>
            <w:vAlign w:val="center"/>
            <w:hideMark/>
          </w:tcPr>
          <w:p w14:paraId="30133302" w14:textId="77777777" w:rsidR="001E69A9" w:rsidRPr="00980795" w:rsidRDefault="001E69A9" w:rsidP="00FD7082">
            <w:pPr>
              <w:jc w:val="both"/>
              <w:rPr>
                <w:b/>
                <w:bCs/>
                <w:sz w:val="16"/>
                <w:szCs w:val="16"/>
                <w:lang w:eastAsia="en-GB"/>
              </w:rPr>
            </w:pPr>
            <w:r w:rsidRPr="00980795">
              <w:rPr>
                <w:b/>
                <w:bCs/>
                <w:sz w:val="16"/>
                <w:szCs w:val="16"/>
                <w:lang w:eastAsia="en-GB"/>
              </w:rPr>
              <w:t>Frequency (%)</w:t>
            </w:r>
          </w:p>
        </w:tc>
        <w:tc>
          <w:tcPr>
            <w:tcW w:w="1495" w:type="dxa"/>
            <w:tcBorders>
              <w:top w:val="nil"/>
              <w:left w:val="nil"/>
              <w:bottom w:val="nil"/>
              <w:right w:val="nil"/>
            </w:tcBorders>
            <w:vAlign w:val="center"/>
            <w:hideMark/>
          </w:tcPr>
          <w:p w14:paraId="6B9890F1" w14:textId="77777777" w:rsidR="001E69A9" w:rsidRPr="00980795" w:rsidRDefault="001E69A9" w:rsidP="00FD7082">
            <w:pPr>
              <w:jc w:val="both"/>
              <w:rPr>
                <w:b/>
                <w:bCs/>
                <w:sz w:val="16"/>
                <w:szCs w:val="16"/>
                <w:lang w:eastAsia="en-GB"/>
              </w:rPr>
            </w:pPr>
          </w:p>
        </w:tc>
        <w:tc>
          <w:tcPr>
            <w:tcW w:w="1194" w:type="dxa"/>
            <w:tcBorders>
              <w:top w:val="nil"/>
              <w:left w:val="nil"/>
              <w:bottom w:val="nil"/>
              <w:right w:val="nil"/>
            </w:tcBorders>
            <w:noWrap/>
            <w:vAlign w:val="bottom"/>
            <w:hideMark/>
          </w:tcPr>
          <w:p w14:paraId="56FD56C0"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bottom"/>
            <w:hideMark/>
          </w:tcPr>
          <w:p w14:paraId="4FF5DE7D" w14:textId="77777777" w:rsidR="001E69A9" w:rsidRPr="00980795" w:rsidRDefault="001E69A9" w:rsidP="00FD7082">
            <w:pPr>
              <w:jc w:val="both"/>
              <w:rPr>
                <w:sz w:val="16"/>
                <w:szCs w:val="16"/>
                <w:lang w:eastAsia="en-GB"/>
              </w:rPr>
            </w:pPr>
          </w:p>
        </w:tc>
      </w:tr>
      <w:tr w:rsidR="001E69A9" w:rsidRPr="00980795" w14:paraId="38C7C51D" w14:textId="77777777" w:rsidTr="00FD7082">
        <w:trPr>
          <w:trHeight w:val="315"/>
        </w:trPr>
        <w:tc>
          <w:tcPr>
            <w:tcW w:w="2231" w:type="dxa"/>
            <w:tcBorders>
              <w:top w:val="nil"/>
              <w:left w:val="nil"/>
              <w:bottom w:val="nil"/>
              <w:right w:val="nil"/>
            </w:tcBorders>
            <w:noWrap/>
            <w:vAlign w:val="center"/>
            <w:hideMark/>
          </w:tcPr>
          <w:p w14:paraId="146DFA20" w14:textId="77777777" w:rsidR="001E69A9" w:rsidRPr="00980795" w:rsidRDefault="001E69A9" w:rsidP="00FD7082">
            <w:pPr>
              <w:jc w:val="both"/>
              <w:rPr>
                <w:b/>
                <w:bCs/>
                <w:sz w:val="16"/>
                <w:szCs w:val="16"/>
                <w:lang w:eastAsia="en-GB"/>
              </w:rPr>
            </w:pPr>
            <w:r w:rsidRPr="00980795">
              <w:rPr>
                <w:b/>
                <w:bCs/>
                <w:sz w:val="16"/>
                <w:szCs w:val="16"/>
                <w:lang w:eastAsia="en-GB"/>
              </w:rPr>
              <w:t>AGE GROUP</w:t>
            </w:r>
          </w:p>
        </w:tc>
        <w:tc>
          <w:tcPr>
            <w:tcW w:w="1390" w:type="dxa"/>
            <w:tcBorders>
              <w:top w:val="nil"/>
              <w:left w:val="nil"/>
              <w:bottom w:val="nil"/>
              <w:right w:val="nil"/>
            </w:tcBorders>
            <w:noWrap/>
            <w:vAlign w:val="center"/>
            <w:hideMark/>
          </w:tcPr>
          <w:p w14:paraId="5A2149FB" w14:textId="77777777" w:rsidR="001E69A9" w:rsidRPr="00980795" w:rsidRDefault="001E69A9" w:rsidP="00FD7082">
            <w:pPr>
              <w:jc w:val="both"/>
              <w:rPr>
                <w:b/>
                <w:bCs/>
                <w:sz w:val="16"/>
                <w:szCs w:val="16"/>
                <w:lang w:eastAsia="en-GB"/>
              </w:rPr>
            </w:pPr>
          </w:p>
        </w:tc>
        <w:tc>
          <w:tcPr>
            <w:tcW w:w="1661" w:type="dxa"/>
            <w:tcBorders>
              <w:top w:val="nil"/>
              <w:left w:val="nil"/>
              <w:bottom w:val="nil"/>
              <w:right w:val="nil"/>
            </w:tcBorders>
            <w:noWrap/>
            <w:vAlign w:val="center"/>
            <w:hideMark/>
          </w:tcPr>
          <w:p w14:paraId="4A201067"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center"/>
            <w:hideMark/>
          </w:tcPr>
          <w:p w14:paraId="4B2220AD"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vAlign w:val="center"/>
            <w:hideMark/>
          </w:tcPr>
          <w:p w14:paraId="774C5DD8"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center"/>
            <w:hideMark/>
          </w:tcPr>
          <w:p w14:paraId="47B90EDF"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217C4DF7" w14:textId="77777777" w:rsidR="001E69A9" w:rsidRPr="00980795" w:rsidRDefault="001E69A9" w:rsidP="00FD7082">
            <w:pPr>
              <w:jc w:val="both"/>
              <w:rPr>
                <w:sz w:val="16"/>
                <w:szCs w:val="16"/>
                <w:lang w:eastAsia="en-GB"/>
              </w:rPr>
            </w:pPr>
          </w:p>
        </w:tc>
      </w:tr>
      <w:tr w:rsidR="001E69A9" w:rsidRPr="00980795" w14:paraId="5AF8BF59" w14:textId="77777777" w:rsidTr="00FD7082">
        <w:trPr>
          <w:trHeight w:val="315"/>
        </w:trPr>
        <w:tc>
          <w:tcPr>
            <w:tcW w:w="2231" w:type="dxa"/>
            <w:tcBorders>
              <w:top w:val="nil"/>
              <w:left w:val="nil"/>
              <w:bottom w:val="nil"/>
              <w:right w:val="nil"/>
            </w:tcBorders>
            <w:vAlign w:val="center"/>
            <w:hideMark/>
          </w:tcPr>
          <w:p w14:paraId="62E1AED8" w14:textId="77777777" w:rsidR="001E69A9" w:rsidRPr="00980795" w:rsidRDefault="001E69A9" w:rsidP="00FD7082">
            <w:pPr>
              <w:jc w:val="both"/>
              <w:rPr>
                <w:sz w:val="16"/>
                <w:szCs w:val="16"/>
                <w:lang w:eastAsia="en-GB"/>
              </w:rPr>
            </w:pPr>
            <w:r w:rsidRPr="00980795">
              <w:rPr>
                <w:sz w:val="16"/>
                <w:szCs w:val="16"/>
                <w:lang w:eastAsia="en-GB"/>
              </w:rPr>
              <w:t>18-40 years</w:t>
            </w:r>
          </w:p>
        </w:tc>
        <w:tc>
          <w:tcPr>
            <w:tcW w:w="1390" w:type="dxa"/>
            <w:tcBorders>
              <w:top w:val="nil"/>
              <w:left w:val="nil"/>
              <w:bottom w:val="nil"/>
              <w:right w:val="nil"/>
            </w:tcBorders>
            <w:noWrap/>
            <w:vAlign w:val="center"/>
            <w:hideMark/>
          </w:tcPr>
          <w:p w14:paraId="06FD6EFC" w14:textId="77777777" w:rsidR="001E69A9" w:rsidRPr="00980795" w:rsidRDefault="001E69A9" w:rsidP="00FD7082">
            <w:pPr>
              <w:jc w:val="both"/>
              <w:rPr>
                <w:sz w:val="16"/>
                <w:szCs w:val="16"/>
                <w:lang w:eastAsia="en-GB"/>
              </w:rPr>
            </w:pPr>
            <w:r w:rsidRPr="00980795">
              <w:rPr>
                <w:sz w:val="16"/>
                <w:szCs w:val="16"/>
                <w:lang w:eastAsia="en-GB"/>
              </w:rPr>
              <w:t>28 (50.9%)</w:t>
            </w:r>
          </w:p>
        </w:tc>
        <w:tc>
          <w:tcPr>
            <w:tcW w:w="1661" w:type="dxa"/>
            <w:tcBorders>
              <w:top w:val="nil"/>
              <w:left w:val="nil"/>
              <w:bottom w:val="nil"/>
              <w:right w:val="nil"/>
            </w:tcBorders>
            <w:noWrap/>
            <w:vAlign w:val="center"/>
            <w:hideMark/>
          </w:tcPr>
          <w:p w14:paraId="43977D35" w14:textId="77777777" w:rsidR="001E69A9" w:rsidRPr="00980795" w:rsidRDefault="001E69A9" w:rsidP="00FD7082">
            <w:pPr>
              <w:jc w:val="both"/>
              <w:rPr>
                <w:sz w:val="16"/>
                <w:szCs w:val="16"/>
                <w:lang w:eastAsia="en-GB"/>
              </w:rPr>
            </w:pPr>
            <w:r w:rsidRPr="00980795">
              <w:rPr>
                <w:sz w:val="16"/>
                <w:szCs w:val="16"/>
                <w:lang w:eastAsia="en-GB"/>
              </w:rPr>
              <w:t>16 (29.1%)</w:t>
            </w:r>
          </w:p>
        </w:tc>
        <w:tc>
          <w:tcPr>
            <w:tcW w:w="1389" w:type="dxa"/>
            <w:tcBorders>
              <w:top w:val="nil"/>
              <w:left w:val="nil"/>
              <w:bottom w:val="nil"/>
              <w:right w:val="nil"/>
            </w:tcBorders>
            <w:noWrap/>
            <w:vAlign w:val="center"/>
            <w:hideMark/>
          </w:tcPr>
          <w:p w14:paraId="25AB34EB" w14:textId="77777777" w:rsidR="001E69A9" w:rsidRPr="00980795" w:rsidRDefault="001E69A9" w:rsidP="00FD7082">
            <w:pPr>
              <w:jc w:val="both"/>
              <w:rPr>
                <w:sz w:val="16"/>
                <w:szCs w:val="16"/>
                <w:lang w:eastAsia="en-GB"/>
              </w:rPr>
            </w:pPr>
            <w:r w:rsidRPr="00980795">
              <w:rPr>
                <w:sz w:val="16"/>
                <w:szCs w:val="16"/>
                <w:lang w:eastAsia="en-GB"/>
              </w:rPr>
              <w:t>11 (20.0%)</w:t>
            </w:r>
          </w:p>
        </w:tc>
        <w:tc>
          <w:tcPr>
            <w:tcW w:w="1495" w:type="dxa"/>
            <w:tcBorders>
              <w:top w:val="nil"/>
              <w:left w:val="nil"/>
              <w:bottom w:val="nil"/>
              <w:right w:val="nil"/>
            </w:tcBorders>
            <w:vAlign w:val="center"/>
            <w:hideMark/>
          </w:tcPr>
          <w:p w14:paraId="3419ECF8" w14:textId="77777777" w:rsidR="001E69A9" w:rsidRPr="00980795" w:rsidRDefault="001E69A9" w:rsidP="00FD7082">
            <w:pPr>
              <w:jc w:val="both"/>
              <w:rPr>
                <w:sz w:val="16"/>
                <w:szCs w:val="16"/>
                <w:lang w:eastAsia="en-GB"/>
              </w:rPr>
            </w:pPr>
            <w:r w:rsidRPr="00980795">
              <w:rPr>
                <w:sz w:val="16"/>
                <w:szCs w:val="16"/>
                <w:lang w:eastAsia="en-GB"/>
              </w:rPr>
              <w:t>55 (100%)</w:t>
            </w:r>
          </w:p>
        </w:tc>
        <w:tc>
          <w:tcPr>
            <w:tcW w:w="1194" w:type="dxa"/>
            <w:tcBorders>
              <w:top w:val="nil"/>
              <w:left w:val="nil"/>
              <w:bottom w:val="nil"/>
              <w:right w:val="nil"/>
            </w:tcBorders>
            <w:noWrap/>
            <w:vAlign w:val="center"/>
            <w:hideMark/>
          </w:tcPr>
          <w:p w14:paraId="61A4B883" w14:textId="77777777" w:rsidR="001E69A9" w:rsidRPr="00980795" w:rsidRDefault="001E69A9" w:rsidP="00FD7082">
            <w:pPr>
              <w:jc w:val="both"/>
              <w:rPr>
                <w:sz w:val="16"/>
                <w:szCs w:val="16"/>
                <w:lang w:eastAsia="en-GB"/>
              </w:rPr>
            </w:pPr>
            <w:r w:rsidRPr="00980795">
              <w:rPr>
                <w:sz w:val="16"/>
                <w:szCs w:val="16"/>
                <w:lang w:eastAsia="en-GB"/>
              </w:rPr>
              <w:t>14.709</w:t>
            </w:r>
          </w:p>
        </w:tc>
        <w:tc>
          <w:tcPr>
            <w:tcW w:w="900" w:type="dxa"/>
            <w:tcBorders>
              <w:top w:val="nil"/>
              <w:left w:val="nil"/>
              <w:bottom w:val="nil"/>
              <w:right w:val="nil"/>
            </w:tcBorders>
            <w:noWrap/>
            <w:vAlign w:val="center"/>
            <w:hideMark/>
          </w:tcPr>
          <w:p w14:paraId="0747724E" w14:textId="77777777" w:rsidR="001E69A9" w:rsidRPr="00980795" w:rsidRDefault="001E69A9" w:rsidP="00FD7082">
            <w:pPr>
              <w:jc w:val="both"/>
              <w:rPr>
                <w:sz w:val="16"/>
                <w:szCs w:val="16"/>
                <w:lang w:eastAsia="en-GB"/>
              </w:rPr>
            </w:pPr>
            <w:r w:rsidRPr="00980795">
              <w:rPr>
                <w:sz w:val="16"/>
                <w:szCs w:val="16"/>
                <w:lang w:eastAsia="en-GB"/>
              </w:rPr>
              <w:t>0.005*</w:t>
            </w:r>
          </w:p>
        </w:tc>
      </w:tr>
      <w:tr w:rsidR="001E69A9" w:rsidRPr="00980795" w14:paraId="78162C7E" w14:textId="77777777" w:rsidTr="00FD7082">
        <w:trPr>
          <w:trHeight w:val="315"/>
        </w:trPr>
        <w:tc>
          <w:tcPr>
            <w:tcW w:w="2231" w:type="dxa"/>
            <w:tcBorders>
              <w:top w:val="nil"/>
              <w:left w:val="nil"/>
              <w:bottom w:val="nil"/>
              <w:right w:val="nil"/>
            </w:tcBorders>
            <w:vAlign w:val="center"/>
            <w:hideMark/>
          </w:tcPr>
          <w:p w14:paraId="13D1AF32" w14:textId="77777777" w:rsidR="001E69A9" w:rsidRPr="00980795" w:rsidRDefault="001E69A9" w:rsidP="00FD7082">
            <w:pPr>
              <w:jc w:val="both"/>
              <w:rPr>
                <w:sz w:val="16"/>
                <w:szCs w:val="16"/>
                <w:lang w:eastAsia="en-GB"/>
              </w:rPr>
            </w:pPr>
            <w:r w:rsidRPr="00980795">
              <w:rPr>
                <w:sz w:val="16"/>
                <w:szCs w:val="16"/>
                <w:lang w:eastAsia="en-GB"/>
              </w:rPr>
              <w:t>41-60 years</w:t>
            </w:r>
          </w:p>
        </w:tc>
        <w:tc>
          <w:tcPr>
            <w:tcW w:w="1390" w:type="dxa"/>
            <w:tcBorders>
              <w:top w:val="nil"/>
              <w:left w:val="nil"/>
              <w:bottom w:val="nil"/>
              <w:right w:val="nil"/>
            </w:tcBorders>
            <w:noWrap/>
            <w:vAlign w:val="center"/>
            <w:hideMark/>
          </w:tcPr>
          <w:p w14:paraId="6E3AE049" w14:textId="77777777" w:rsidR="001E69A9" w:rsidRPr="00980795" w:rsidRDefault="001E69A9" w:rsidP="00FD7082">
            <w:pPr>
              <w:jc w:val="both"/>
              <w:rPr>
                <w:sz w:val="16"/>
                <w:szCs w:val="16"/>
                <w:lang w:eastAsia="en-GB"/>
              </w:rPr>
            </w:pPr>
            <w:r w:rsidRPr="00980795">
              <w:rPr>
                <w:sz w:val="16"/>
                <w:szCs w:val="16"/>
                <w:lang w:eastAsia="en-GB"/>
              </w:rPr>
              <w:t>52 (41.9%)</w:t>
            </w:r>
          </w:p>
        </w:tc>
        <w:tc>
          <w:tcPr>
            <w:tcW w:w="1661" w:type="dxa"/>
            <w:tcBorders>
              <w:top w:val="nil"/>
              <w:left w:val="nil"/>
              <w:bottom w:val="nil"/>
              <w:right w:val="nil"/>
            </w:tcBorders>
            <w:noWrap/>
            <w:vAlign w:val="center"/>
            <w:hideMark/>
          </w:tcPr>
          <w:p w14:paraId="63BB4987" w14:textId="77777777" w:rsidR="001E69A9" w:rsidRPr="00980795" w:rsidRDefault="001E69A9" w:rsidP="00FD7082">
            <w:pPr>
              <w:jc w:val="both"/>
              <w:rPr>
                <w:sz w:val="16"/>
                <w:szCs w:val="16"/>
                <w:lang w:eastAsia="en-GB"/>
              </w:rPr>
            </w:pPr>
            <w:r w:rsidRPr="00980795">
              <w:rPr>
                <w:sz w:val="16"/>
                <w:szCs w:val="16"/>
                <w:lang w:eastAsia="en-GB"/>
              </w:rPr>
              <w:t>25 (20.2%)</w:t>
            </w:r>
          </w:p>
        </w:tc>
        <w:tc>
          <w:tcPr>
            <w:tcW w:w="1389" w:type="dxa"/>
            <w:tcBorders>
              <w:top w:val="nil"/>
              <w:left w:val="nil"/>
              <w:bottom w:val="nil"/>
              <w:right w:val="nil"/>
            </w:tcBorders>
            <w:noWrap/>
            <w:vAlign w:val="center"/>
            <w:hideMark/>
          </w:tcPr>
          <w:p w14:paraId="2300A75F" w14:textId="77777777" w:rsidR="001E69A9" w:rsidRPr="00980795" w:rsidRDefault="001E69A9" w:rsidP="00FD7082">
            <w:pPr>
              <w:jc w:val="both"/>
              <w:rPr>
                <w:sz w:val="16"/>
                <w:szCs w:val="16"/>
                <w:lang w:eastAsia="en-GB"/>
              </w:rPr>
            </w:pPr>
            <w:r w:rsidRPr="00980795">
              <w:rPr>
                <w:sz w:val="16"/>
                <w:szCs w:val="16"/>
                <w:lang w:eastAsia="en-GB"/>
              </w:rPr>
              <w:t>47 (37.9%)</w:t>
            </w:r>
          </w:p>
        </w:tc>
        <w:tc>
          <w:tcPr>
            <w:tcW w:w="1495" w:type="dxa"/>
            <w:tcBorders>
              <w:top w:val="nil"/>
              <w:left w:val="nil"/>
              <w:bottom w:val="nil"/>
              <w:right w:val="nil"/>
            </w:tcBorders>
            <w:vAlign w:val="center"/>
            <w:hideMark/>
          </w:tcPr>
          <w:p w14:paraId="6B21AD7E" w14:textId="77777777" w:rsidR="001E69A9" w:rsidRPr="00980795" w:rsidRDefault="001E69A9" w:rsidP="00FD7082">
            <w:pPr>
              <w:jc w:val="both"/>
              <w:rPr>
                <w:sz w:val="16"/>
                <w:szCs w:val="16"/>
                <w:lang w:eastAsia="en-GB"/>
              </w:rPr>
            </w:pPr>
            <w:r w:rsidRPr="00980795">
              <w:rPr>
                <w:sz w:val="16"/>
                <w:szCs w:val="16"/>
                <w:lang w:eastAsia="en-GB"/>
              </w:rPr>
              <w:t>124 (100%)</w:t>
            </w:r>
          </w:p>
        </w:tc>
        <w:tc>
          <w:tcPr>
            <w:tcW w:w="1194" w:type="dxa"/>
            <w:tcBorders>
              <w:top w:val="nil"/>
              <w:left w:val="nil"/>
              <w:bottom w:val="nil"/>
              <w:right w:val="nil"/>
            </w:tcBorders>
            <w:noWrap/>
            <w:vAlign w:val="center"/>
            <w:hideMark/>
          </w:tcPr>
          <w:p w14:paraId="0609ADA4"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3C573196" w14:textId="77777777" w:rsidR="001E69A9" w:rsidRPr="00980795" w:rsidRDefault="001E69A9" w:rsidP="00FD7082">
            <w:pPr>
              <w:jc w:val="both"/>
              <w:rPr>
                <w:sz w:val="16"/>
                <w:szCs w:val="16"/>
                <w:lang w:eastAsia="en-GB"/>
              </w:rPr>
            </w:pPr>
          </w:p>
        </w:tc>
      </w:tr>
      <w:tr w:rsidR="001E69A9" w:rsidRPr="00980795" w14:paraId="2AC8F2EA" w14:textId="77777777" w:rsidTr="00FD7082">
        <w:trPr>
          <w:trHeight w:val="330"/>
        </w:trPr>
        <w:tc>
          <w:tcPr>
            <w:tcW w:w="2231" w:type="dxa"/>
            <w:tcBorders>
              <w:top w:val="nil"/>
              <w:left w:val="nil"/>
              <w:bottom w:val="single" w:sz="8" w:space="0" w:color="auto"/>
              <w:right w:val="nil"/>
            </w:tcBorders>
            <w:vAlign w:val="center"/>
            <w:hideMark/>
          </w:tcPr>
          <w:p w14:paraId="05B5D849" w14:textId="77777777" w:rsidR="001E69A9" w:rsidRPr="00980795" w:rsidRDefault="001E69A9" w:rsidP="00FD7082">
            <w:pPr>
              <w:jc w:val="both"/>
              <w:rPr>
                <w:sz w:val="16"/>
                <w:szCs w:val="16"/>
                <w:lang w:eastAsia="en-GB"/>
              </w:rPr>
            </w:pPr>
            <w:r w:rsidRPr="00980795">
              <w:rPr>
                <w:sz w:val="16"/>
                <w:szCs w:val="16"/>
                <w:lang w:eastAsia="en-GB"/>
              </w:rPr>
              <w:t>&gt;60</w:t>
            </w:r>
          </w:p>
        </w:tc>
        <w:tc>
          <w:tcPr>
            <w:tcW w:w="1390" w:type="dxa"/>
            <w:tcBorders>
              <w:top w:val="nil"/>
              <w:left w:val="nil"/>
              <w:bottom w:val="nil"/>
              <w:right w:val="nil"/>
            </w:tcBorders>
            <w:noWrap/>
            <w:vAlign w:val="center"/>
            <w:hideMark/>
          </w:tcPr>
          <w:p w14:paraId="2C371B66" w14:textId="77777777" w:rsidR="001E69A9" w:rsidRPr="00980795" w:rsidRDefault="001E69A9" w:rsidP="00FD7082">
            <w:pPr>
              <w:jc w:val="both"/>
              <w:rPr>
                <w:sz w:val="16"/>
                <w:szCs w:val="16"/>
                <w:lang w:eastAsia="en-GB"/>
              </w:rPr>
            </w:pPr>
            <w:r w:rsidRPr="00980795">
              <w:rPr>
                <w:sz w:val="16"/>
                <w:szCs w:val="16"/>
                <w:lang w:eastAsia="en-GB"/>
              </w:rPr>
              <w:t>0 (0.0%)</w:t>
            </w:r>
          </w:p>
        </w:tc>
        <w:tc>
          <w:tcPr>
            <w:tcW w:w="1661" w:type="dxa"/>
            <w:tcBorders>
              <w:top w:val="nil"/>
              <w:left w:val="nil"/>
              <w:bottom w:val="nil"/>
              <w:right w:val="nil"/>
            </w:tcBorders>
            <w:noWrap/>
            <w:vAlign w:val="center"/>
            <w:hideMark/>
          </w:tcPr>
          <w:p w14:paraId="5922D858" w14:textId="77777777" w:rsidR="001E69A9" w:rsidRPr="00980795" w:rsidRDefault="001E69A9" w:rsidP="00FD7082">
            <w:pPr>
              <w:jc w:val="both"/>
              <w:rPr>
                <w:sz w:val="16"/>
                <w:szCs w:val="16"/>
                <w:lang w:eastAsia="en-GB"/>
              </w:rPr>
            </w:pPr>
            <w:r w:rsidRPr="00980795">
              <w:rPr>
                <w:sz w:val="16"/>
                <w:szCs w:val="16"/>
                <w:lang w:eastAsia="en-GB"/>
              </w:rPr>
              <w:t>2 (22.2%)</w:t>
            </w:r>
          </w:p>
        </w:tc>
        <w:tc>
          <w:tcPr>
            <w:tcW w:w="1389" w:type="dxa"/>
            <w:tcBorders>
              <w:top w:val="nil"/>
              <w:left w:val="nil"/>
              <w:bottom w:val="nil"/>
              <w:right w:val="nil"/>
            </w:tcBorders>
            <w:noWrap/>
            <w:vAlign w:val="center"/>
            <w:hideMark/>
          </w:tcPr>
          <w:p w14:paraId="28D27BF7" w14:textId="77777777" w:rsidR="001E69A9" w:rsidRPr="00980795" w:rsidRDefault="001E69A9" w:rsidP="00FD7082">
            <w:pPr>
              <w:jc w:val="both"/>
              <w:rPr>
                <w:sz w:val="16"/>
                <w:szCs w:val="16"/>
                <w:lang w:eastAsia="en-GB"/>
              </w:rPr>
            </w:pPr>
            <w:r w:rsidRPr="00980795">
              <w:rPr>
                <w:sz w:val="16"/>
                <w:szCs w:val="16"/>
                <w:lang w:eastAsia="en-GB"/>
              </w:rPr>
              <w:t>7 (77.8%)</w:t>
            </w:r>
          </w:p>
        </w:tc>
        <w:tc>
          <w:tcPr>
            <w:tcW w:w="1495" w:type="dxa"/>
            <w:tcBorders>
              <w:top w:val="nil"/>
              <w:left w:val="nil"/>
              <w:bottom w:val="nil"/>
              <w:right w:val="nil"/>
            </w:tcBorders>
            <w:vAlign w:val="center"/>
            <w:hideMark/>
          </w:tcPr>
          <w:p w14:paraId="2DEA7DF6" w14:textId="77777777" w:rsidR="001E69A9" w:rsidRPr="00980795" w:rsidRDefault="001E69A9" w:rsidP="00FD7082">
            <w:pPr>
              <w:jc w:val="both"/>
              <w:rPr>
                <w:sz w:val="16"/>
                <w:szCs w:val="16"/>
                <w:lang w:eastAsia="en-GB"/>
              </w:rPr>
            </w:pPr>
            <w:r w:rsidRPr="00980795">
              <w:rPr>
                <w:sz w:val="16"/>
                <w:szCs w:val="16"/>
                <w:lang w:eastAsia="en-GB"/>
              </w:rPr>
              <w:t>9 (100%)</w:t>
            </w:r>
          </w:p>
        </w:tc>
        <w:tc>
          <w:tcPr>
            <w:tcW w:w="1194" w:type="dxa"/>
            <w:tcBorders>
              <w:top w:val="nil"/>
              <w:left w:val="nil"/>
              <w:bottom w:val="nil"/>
              <w:right w:val="nil"/>
            </w:tcBorders>
            <w:noWrap/>
            <w:vAlign w:val="center"/>
            <w:hideMark/>
          </w:tcPr>
          <w:p w14:paraId="17EF07EF"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48100CD4" w14:textId="77777777" w:rsidR="001E69A9" w:rsidRPr="00980795" w:rsidRDefault="001E69A9" w:rsidP="00FD7082">
            <w:pPr>
              <w:jc w:val="both"/>
              <w:rPr>
                <w:sz w:val="16"/>
                <w:szCs w:val="16"/>
                <w:lang w:eastAsia="en-GB"/>
              </w:rPr>
            </w:pPr>
          </w:p>
        </w:tc>
      </w:tr>
      <w:tr w:rsidR="001E69A9" w:rsidRPr="00980795" w14:paraId="4571D662" w14:textId="77777777" w:rsidTr="00FD7082">
        <w:trPr>
          <w:trHeight w:val="630"/>
        </w:trPr>
        <w:tc>
          <w:tcPr>
            <w:tcW w:w="2231" w:type="dxa"/>
            <w:tcBorders>
              <w:top w:val="nil"/>
              <w:left w:val="nil"/>
              <w:bottom w:val="nil"/>
              <w:right w:val="nil"/>
            </w:tcBorders>
            <w:vAlign w:val="center"/>
            <w:hideMark/>
          </w:tcPr>
          <w:p w14:paraId="7A1BC2F0" w14:textId="77777777" w:rsidR="001E69A9" w:rsidRPr="00980795" w:rsidRDefault="001E69A9" w:rsidP="00FD7082">
            <w:pPr>
              <w:jc w:val="both"/>
              <w:rPr>
                <w:b/>
                <w:bCs/>
                <w:sz w:val="16"/>
                <w:szCs w:val="16"/>
                <w:lang w:eastAsia="en-GB"/>
              </w:rPr>
            </w:pPr>
            <w:r w:rsidRPr="00980795">
              <w:rPr>
                <w:b/>
                <w:bCs/>
                <w:sz w:val="16"/>
                <w:szCs w:val="16"/>
                <w:lang w:eastAsia="en-GB"/>
              </w:rPr>
              <w:t>LEVEL OF EDUCATION</w:t>
            </w:r>
          </w:p>
        </w:tc>
        <w:tc>
          <w:tcPr>
            <w:tcW w:w="1390" w:type="dxa"/>
            <w:tcBorders>
              <w:top w:val="nil"/>
              <w:left w:val="nil"/>
              <w:bottom w:val="nil"/>
              <w:right w:val="nil"/>
            </w:tcBorders>
            <w:noWrap/>
            <w:vAlign w:val="center"/>
            <w:hideMark/>
          </w:tcPr>
          <w:p w14:paraId="1612596A" w14:textId="77777777" w:rsidR="001E69A9" w:rsidRPr="00980795" w:rsidRDefault="001E69A9" w:rsidP="00FD7082">
            <w:pPr>
              <w:jc w:val="both"/>
              <w:rPr>
                <w:b/>
                <w:bCs/>
                <w:sz w:val="16"/>
                <w:szCs w:val="16"/>
                <w:lang w:eastAsia="en-GB"/>
              </w:rPr>
            </w:pPr>
          </w:p>
        </w:tc>
        <w:tc>
          <w:tcPr>
            <w:tcW w:w="1661" w:type="dxa"/>
            <w:tcBorders>
              <w:top w:val="nil"/>
              <w:left w:val="nil"/>
              <w:bottom w:val="nil"/>
              <w:right w:val="nil"/>
            </w:tcBorders>
            <w:noWrap/>
            <w:vAlign w:val="center"/>
            <w:hideMark/>
          </w:tcPr>
          <w:p w14:paraId="58FD0475"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center"/>
            <w:hideMark/>
          </w:tcPr>
          <w:p w14:paraId="7DA0EB3F"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noWrap/>
            <w:vAlign w:val="center"/>
            <w:hideMark/>
          </w:tcPr>
          <w:p w14:paraId="216DBB90"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center"/>
            <w:hideMark/>
          </w:tcPr>
          <w:p w14:paraId="09C1378B"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547C73C3" w14:textId="77777777" w:rsidR="001E69A9" w:rsidRPr="00980795" w:rsidRDefault="001E69A9" w:rsidP="00FD7082">
            <w:pPr>
              <w:jc w:val="both"/>
              <w:rPr>
                <w:sz w:val="16"/>
                <w:szCs w:val="16"/>
                <w:lang w:eastAsia="en-GB"/>
              </w:rPr>
            </w:pPr>
          </w:p>
        </w:tc>
      </w:tr>
      <w:tr w:rsidR="001E69A9" w:rsidRPr="00980795" w14:paraId="39D8DB9F" w14:textId="77777777" w:rsidTr="00FD7082">
        <w:trPr>
          <w:trHeight w:val="315"/>
        </w:trPr>
        <w:tc>
          <w:tcPr>
            <w:tcW w:w="2231" w:type="dxa"/>
            <w:tcBorders>
              <w:top w:val="nil"/>
              <w:left w:val="nil"/>
              <w:bottom w:val="nil"/>
              <w:right w:val="nil"/>
            </w:tcBorders>
            <w:vAlign w:val="center"/>
            <w:hideMark/>
          </w:tcPr>
          <w:p w14:paraId="3B3A3F93" w14:textId="77777777" w:rsidR="001E69A9" w:rsidRPr="00980795" w:rsidRDefault="001E69A9" w:rsidP="00FD7082">
            <w:pPr>
              <w:jc w:val="both"/>
              <w:rPr>
                <w:sz w:val="16"/>
                <w:szCs w:val="16"/>
                <w:lang w:eastAsia="en-GB"/>
              </w:rPr>
            </w:pPr>
            <w:r w:rsidRPr="00980795">
              <w:rPr>
                <w:sz w:val="16"/>
                <w:szCs w:val="16"/>
                <w:lang w:eastAsia="en-GB"/>
              </w:rPr>
              <w:t>Non-Formal</w:t>
            </w:r>
          </w:p>
        </w:tc>
        <w:tc>
          <w:tcPr>
            <w:tcW w:w="1390" w:type="dxa"/>
            <w:tcBorders>
              <w:top w:val="nil"/>
              <w:left w:val="nil"/>
              <w:bottom w:val="nil"/>
              <w:right w:val="nil"/>
            </w:tcBorders>
            <w:noWrap/>
            <w:vAlign w:val="center"/>
            <w:hideMark/>
          </w:tcPr>
          <w:p w14:paraId="44A5B94D" w14:textId="77777777" w:rsidR="001E69A9" w:rsidRPr="00980795" w:rsidRDefault="001E69A9" w:rsidP="00FD7082">
            <w:pPr>
              <w:jc w:val="both"/>
              <w:rPr>
                <w:sz w:val="16"/>
                <w:szCs w:val="16"/>
                <w:lang w:eastAsia="en-GB"/>
              </w:rPr>
            </w:pPr>
            <w:r w:rsidRPr="00980795">
              <w:rPr>
                <w:sz w:val="16"/>
                <w:szCs w:val="16"/>
                <w:lang w:eastAsia="en-GB"/>
              </w:rPr>
              <w:t>16 (47.1%)</w:t>
            </w:r>
          </w:p>
        </w:tc>
        <w:tc>
          <w:tcPr>
            <w:tcW w:w="1661" w:type="dxa"/>
            <w:tcBorders>
              <w:top w:val="nil"/>
              <w:left w:val="nil"/>
              <w:bottom w:val="nil"/>
              <w:right w:val="nil"/>
            </w:tcBorders>
            <w:noWrap/>
            <w:vAlign w:val="center"/>
            <w:hideMark/>
          </w:tcPr>
          <w:p w14:paraId="24C2A314" w14:textId="77777777" w:rsidR="001E69A9" w:rsidRPr="00980795" w:rsidRDefault="001E69A9" w:rsidP="00FD7082">
            <w:pPr>
              <w:jc w:val="both"/>
              <w:rPr>
                <w:sz w:val="16"/>
                <w:szCs w:val="16"/>
                <w:lang w:eastAsia="en-GB"/>
              </w:rPr>
            </w:pPr>
            <w:r w:rsidRPr="00980795">
              <w:rPr>
                <w:sz w:val="16"/>
                <w:szCs w:val="16"/>
                <w:lang w:eastAsia="en-GB"/>
              </w:rPr>
              <w:t>9 (26.5%)</w:t>
            </w:r>
          </w:p>
        </w:tc>
        <w:tc>
          <w:tcPr>
            <w:tcW w:w="1389" w:type="dxa"/>
            <w:tcBorders>
              <w:top w:val="nil"/>
              <w:left w:val="nil"/>
              <w:bottom w:val="nil"/>
              <w:right w:val="nil"/>
            </w:tcBorders>
            <w:noWrap/>
            <w:vAlign w:val="center"/>
            <w:hideMark/>
          </w:tcPr>
          <w:p w14:paraId="59F70384" w14:textId="77777777" w:rsidR="001E69A9" w:rsidRPr="00980795" w:rsidRDefault="001E69A9" w:rsidP="00FD7082">
            <w:pPr>
              <w:jc w:val="both"/>
              <w:rPr>
                <w:sz w:val="16"/>
                <w:szCs w:val="16"/>
                <w:lang w:eastAsia="en-GB"/>
              </w:rPr>
            </w:pPr>
            <w:r w:rsidRPr="00980795">
              <w:rPr>
                <w:sz w:val="16"/>
                <w:szCs w:val="16"/>
                <w:lang w:eastAsia="en-GB"/>
              </w:rPr>
              <w:t>9 (26.5%)</w:t>
            </w:r>
          </w:p>
        </w:tc>
        <w:tc>
          <w:tcPr>
            <w:tcW w:w="1495" w:type="dxa"/>
            <w:tcBorders>
              <w:top w:val="nil"/>
              <w:left w:val="nil"/>
              <w:bottom w:val="nil"/>
              <w:right w:val="nil"/>
            </w:tcBorders>
            <w:noWrap/>
            <w:vAlign w:val="center"/>
            <w:hideMark/>
          </w:tcPr>
          <w:p w14:paraId="744EC334" w14:textId="77777777" w:rsidR="001E69A9" w:rsidRPr="00980795" w:rsidRDefault="001E69A9" w:rsidP="00FD7082">
            <w:pPr>
              <w:jc w:val="both"/>
              <w:rPr>
                <w:sz w:val="16"/>
                <w:szCs w:val="16"/>
                <w:lang w:eastAsia="en-GB"/>
              </w:rPr>
            </w:pPr>
            <w:r w:rsidRPr="00980795">
              <w:rPr>
                <w:sz w:val="16"/>
                <w:szCs w:val="16"/>
                <w:lang w:eastAsia="en-GB"/>
              </w:rPr>
              <w:t>34 (100%)</w:t>
            </w:r>
          </w:p>
        </w:tc>
        <w:tc>
          <w:tcPr>
            <w:tcW w:w="1194" w:type="dxa"/>
            <w:tcBorders>
              <w:top w:val="nil"/>
              <w:left w:val="nil"/>
              <w:bottom w:val="nil"/>
              <w:right w:val="nil"/>
            </w:tcBorders>
            <w:noWrap/>
            <w:vAlign w:val="center"/>
            <w:hideMark/>
          </w:tcPr>
          <w:p w14:paraId="0CA3A372" w14:textId="77777777" w:rsidR="001E69A9" w:rsidRPr="00980795" w:rsidRDefault="001E69A9" w:rsidP="00FD7082">
            <w:pPr>
              <w:jc w:val="both"/>
              <w:rPr>
                <w:sz w:val="16"/>
                <w:szCs w:val="16"/>
                <w:lang w:eastAsia="en-GB"/>
              </w:rPr>
            </w:pPr>
            <w:r w:rsidRPr="00980795">
              <w:rPr>
                <w:sz w:val="16"/>
                <w:szCs w:val="16"/>
                <w:lang w:eastAsia="en-GB"/>
              </w:rPr>
              <w:t>5.153</w:t>
            </w:r>
          </w:p>
        </w:tc>
        <w:tc>
          <w:tcPr>
            <w:tcW w:w="900" w:type="dxa"/>
            <w:tcBorders>
              <w:top w:val="nil"/>
              <w:left w:val="nil"/>
              <w:bottom w:val="nil"/>
              <w:right w:val="nil"/>
            </w:tcBorders>
            <w:noWrap/>
            <w:vAlign w:val="center"/>
            <w:hideMark/>
          </w:tcPr>
          <w:p w14:paraId="7CC20222" w14:textId="77777777" w:rsidR="001E69A9" w:rsidRPr="00980795" w:rsidRDefault="001E69A9" w:rsidP="00FD7082">
            <w:pPr>
              <w:jc w:val="both"/>
              <w:rPr>
                <w:sz w:val="16"/>
                <w:szCs w:val="16"/>
                <w:lang w:eastAsia="en-GB"/>
              </w:rPr>
            </w:pPr>
            <w:r w:rsidRPr="00980795">
              <w:rPr>
                <w:sz w:val="16"/>
                <w:szCs w:val="16"/>
                <w:lang w:eastAsia="en-GB"/>
              </w:rPr>
              <w:t>0.524</w:t>
            </w:r>
          </w:p>
        </w:tc>
      </w:tr>
      <w:tr w:rsidR="001E69A9" w:rsidRPr="00980795" w14:paraId="2A559D45" w14:textId="77777777" w:rsidTr="00FD7082">
        <w:trPr>
          <w:trHeight w:val="315"/>
        </w:trPr>
        <w:tc>
          <w:tcPr>
            <w:tcW w:w="2231" w:type="dxa"/>
            <w:tcBorders>
              <w:top w:val="nil"/>
              <w:left w:val="nil"/>
              <w:bottom w:val="nil"/>
              <w:right w:val="nil"/>
            </w:tcBorders>
            <w:vAlign w:val="center"/>
            <w:hideMark/>
          </w:tcPr>
          <w:p w14:paraId="4F6E339C" w14:textId="77777777" w:rsidR="001E69A9" w:rsidRPr="00980795" w:rsidRDefault="001E69A9" w:rsidP="00FD7082">
            <w:pPr>
              <w:jc w:val="both"/>
              <w:rPr>
                <w:sz w:val="16"/>
                <w:szCs w:val="16"/>
                <w:lang w:eastAsia="en-GB"/>
              </w:rPr>
            </w:pPr>
            <w:r w:rsidRPr="00980795">
              <w:rPr>
                <w:sz w:val="16"/>
                <w:szCs w:val="16"/>
                <w:lang w:eastAsia="en-GB"/>
              </w:rPr>
              <w:t>Primary</w:t>
            </w:r>
          </w:p>
        </w:tc>
        <w:tc>
          <w:tcPr>
            <w:tcW w:w="1390" w:type="dxa"/>
            <w:tcBorders>
              <w:top w:val="nil"/>
              <w:left w:val="nil"/>
              <w:bottom w:val="nil"/>
              <w:right w:val="nil"/>
            </w:tcBorders>
            <w:noWrap/>
            <w:vAlign w:val="center"/>
            <w:hideMark/>
          </w:tcPr>
          <w:p w14:paraId="51BEC123" w14:textId="77777777" w:rsidR="001E69A9" w:rsidRPr="00980795" w:rsidRDefault="001E69A9" w:rsidP="00FD7082">
            <w:pPr>
              <w:jc w:val="both"/>
              <w:rPr>
                <w:sz w:val="16"/>
                <w:szCs w:val="16"/>
                <w:lang w:eastAsia="en-GB"/>
              </w:rPr>
            </w:pPr>
            <w:r w:rsidRPr="00980795">
              <w:rPr>
                <w:sz w:val="16"/>
                <w:szCs w:val="16"/>
                <w:lang w:eastAsia="en-GB"/>
              </w:rPr>
              <w:t>30 (36.6%)</w:t>
            </w:r>
          </w:p>
        </w:tc>
        <w:tc>
          <w:tcPr>
            <w:tcW w:w="1661" w:type="dxa"/>
            <w:tcBorders>
              <w:top w:val="nil"/>
              <w:left w:val="nil"/>
              <w:bottom w:val="nil"/>
              <w:right w:val="nil"/>
            </w:tcBorders>
            <w:noWrap/>
            <w:vAlign w:val="center"/>
            <w:hideMark/>
          </w:tcPr>
          <w:p w14:paraId="1E0430E9" w14:textId="77777777" w:rsidR="001E69A9" w:rsidRPr="00980795" w:rsidRDefault="001E69A9" w:rsidP="00FD7082">
            <w:pPr>
              <w:jc w:val="both"/>
              <w:rPr>
                <w:sz w:val="16"/>
                <w:szCs w:val="16"/>
                <w:lang w:eastAsia="en-GB"/>
              </w:rPr>
            </w:pPr>
            <w:r w:rsidRPr="00980795">
              <w:rPr>
                <w:sz w:val="16"/>
                <w:szCs w:val="16"/>
                <w:lang w:eastAsia="en-GB"/>
              </w:rPr>
              <w:t>19 (23.2%)</w:t>
            </w:r>
          </w:p>
        </w:tc>
        <w:tc>
          <w:tcPr>
            <w:tcW w:w="1389" w:type="dxa"/>
            <w:tcBorders>
              <w:top w:val="nil"/>
              <w:left w:val="nil"/>
              <w:bottom w:val="nil"/>
              <w:right w:val="nil"/>
            </w:tcBorders>
            <w:noWrap/>
            <w:vAlign w:val="center"/>
            <w:hideMark/>
          </w:tcPr>
          <w:p w14:paraId="21D52247" w14:textId="77777777" w:rsidR="001E69A9" w:rsidRPr="00980795" w:rsidRDefault="001E69A9" w:rsidP="00FD7082">
            <w:pPr>
              <w:jc w:val="both"/>
              <w:rPr>
                <w:sz w:val="16"/>
                <w:szCs w:val="16"/>
                <w:lang w:eastAsia="en-GB"/>
              </w:rPr>
            </w:pPr>
            <w:r w:rsidRPr="00980795">
              <w:rPr>
                <w:sz w:val="16"/>
                <w:szCs w:val="16"/>
                <w:lang w:eastAsia="en-GB"/>
              </w:rPr>
              <w:t>33 (40.2%)</w:t>
            </w:r>
          </w:p>
        </w:tc>
        <w:tc>
          <w:tcPr>
            <w:tcW w:w="1495" w:type="dxa"/>
            <w:tcBorders>
              <w:top w:val="nil"/>
              <w:left w:val="nil"/>
              <w:bottom w:val="nil"/>
              <w:right w:val="nil"/>
            </w:tcBorders>
            <w:noWrap/>
            <w:vAlign w:val="center"/>
            <w:hideMark/>
          </w:tcPr>
          <w:p w14:paraId="0890CA26" w14:textId="77777777" w:rsidR="001E69A9" w:rsidRPr="00980795" w:rsidRDefault="001E69A9" w:rsidP="00FD7082">
            <w:pPr>
              <w:jc w:val="both"/>
              <w:rPr>
                <w:sz w:val="16"/>
                <w:szCs w:val="16"/>
                <w:lang w:eastAsia="en-GB"/>
              </w:rPr>
            </w:pPr>
            <w:r w:rsidRPr="00980795">
              <w:rPr>
                <w:sz w:val="16"/>
                <w:szCs w:val="16"/>
                <w:lang w:eastAsia="en-GB"/>
              </w:rPr>
              <w:t>82 (100%)</w:t>
            </w:r>
          </w:p>
        </w:tc>
        <w:tc>
          <w:tcPr>
            <w:tcW w:w="1194" w:type="dxa"/>
            <w:tcBorders>
              <w:top w:val="nil"/>
              <w:left w:val="nil"/>
              <w:bottom w:val="nil"/>
              <w:right w:val="nil"/>
            </w:tcBorders>
            <w:noWrap/>
            <w:vAlign w:val="center"/>
            <w:hideMark/>
          </w:tcPr>
          <w:p w14:paraId="35A7CACE"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011C00C1" w14:textId="77777777" w:rsidR="001E69A9" w:rsidRPr="00980795" w:rsidRDefault="001E69A9" w:rsidP="00FD7082">
            <w:pPr>
              <w:jc w:val="both"/>
              <w:rPr>
                <w:sz w:val="16"/>
                <w:szCs w:val="16"/>
                <w:lang w:eastAsia="en-GB"/>
              </w:rPr>
            </w:pPr>
          </w:p>
        </w:tc>
      </w:tr>
      <w:tr w:rsidR="001E69A9" w:rsidRPr="00980795" w14:paraId="74AD316B" w14:textId="77777777" w:rsidTr="00FD7082">
        <w:trPr>
          <w:trHeight w:val="315"/>
        </w:trPr>
        <w:tc>
          <w:tcPr>
            <w:tcW w:w="2231" w:type="dxa"/>
            <w:tcBorders>
              <w:top w:val="nil"/>
              <w:left w:val="nil"/>
              <w:bottom w:val="nil"/>
              <w:right w:val="nil"/>
            </w:tcBorders>
            <w:vAlign w:val="center"/>
            <w:hideMark/>
          </w:tcPr>
          <w:p w14:paraId="317F198A" w14:textId="77777777" w:rsidR="001E69A9" w:rsidRPr="00980795" w:rsidRDefault="001E69A9" w:rsidP="00FD7082">
            <w:pPr>
              <w:jc w:val="both"/>
              <w:rPr>
                <w:sz w:val="16"/>
                <w:szCs w:val="16"/>
                <w:lang w:eastAsia="en-GB"/>
              </w:rPr>
            </w:pPr>
            <w:r w:rsidRPr="00980795">
              <w:rPr>
                <w:sz w:val="16"/>
                <w:szCs w:val="16"/>
                <w:lang w:eastAsia="en-GB"/>
              </w:rPr>
              <w:t>Secondary</w:t>
            </w:r>
          </w:p>
        </w:tc>
        <w:tc>
          <w:tcPr>
            <w:tcW w:w="1390" w:type="dxa"/>
            <w:tcBorders>
              <w:top w:val="nil"/>
              <w:left w:val="nil"/>
              <w:bottom w:val="nil"/>
              <w:right w:val="nil"/>
            </w:tcBorders>
            <w:noWrap/>
            <w:vAlign w:val="center"/>
            <w:hideMark/>
          </w:tcPr>
          <w:p w14:paraId="74038E52" w14:textId="77777777" w:rsidR="001E69A9" w:rsidRPr="00980795" w:rsidRDefault="001E69A9" w:rsidP="00FD7082">
            <w:pPr>
              <w:jc w:val="both"/>
              <w:rPr>
                <w:sz w:val="16"/>
                <w:szCs w:val="16"/>
                <w:lang w:eastAsia="en-GB"/>
              </w:rPr>
            </w:pPr>
            <w:r w:rsidRPr="00980795">
              <w:rPr>
                <w:sz w:val="16"/>
                <w:szCs w:val="16"/>
                <w:lang w:eastAsia="en-GB"/>
              </w:rPr>
              <w:t>26 (44.1%)</w:t>
            </w:r>
          </w:p>
        </w:tc>
        <w:tc>
          <w:tcPr>
            <w:tcW w:w="1661" w:type="dxa"/>
            <w:tcBorders>
              <w:top w:val="nil"/>
              <w:left w:val="nil"/>
              <w:bottom w:val="nil"/>
              <w:right w:val="nil"/>
            </w:tcBorders>
            <w:noWrap/>
            <w:vAlign w:val="center"/>
            <w:hideMark/>
          </w:tcPr>
          <w:p w14:paraId="4777D769" w14:textId="77777777" w:rsidR="001E69A9" w:rsidRPr="00980795" w:rsidRDefault="001E69A9" w:rsidP="00FD7082">
            <w:pPr>
              <w:jc w:val="both"/>
              <w:rPr>
                <w:sz w:val="16"/>
                <w:szCs w:val="16"/>
                <w:lang w:eastAsia="en-GB"/>
              </w:rPr>
            </w:pPr>
            <w:r w:rsidRPr="00980795">
              <w:rPr>
                <w:sz w:val="16"/>
                <w:szCs w:val="16"/>
                <w:lang w:eastAsia="en-GB"/>
              </w:rPr>
              <w:t>12 (20.3%)</w:t>
            </w:r>
          </w:p>
        </w:tc>
        <w:tc>
          <w:tcPr>
            <w:tcW w:w="1389" w:type="dxa"/>
            <w:tcBorders>
              <w:top w:val="nil"/>
              <w:left w:val="nil"/>
              <w:bottom w:val="nil"/>
              <w:right w:val="nil"/>
            </w:tcBorders>
            <w:noWrap/>
            <w:vAlign w:val="center"/>
            <w:hideMark/>
          </w:tcPr>
          <w:p w14:paraId="5B8FC3DD" w14:textId="77777777" w:rsidR="001E69A9" w:rsidRPr="00980795" w:rsidRDefault="001E69A9" w:rsidP="00FD7082">
            <w:pPr>
              <w:jc w:val="both"/>
              <w:rPr>
                <w:sz w:val="16"/>
                <w:szCs w:val="16"/>
                <w:lang w:eastAsia="en-GB"/>
              </w:rPr>
            </w:pPr>
            <w:r w:rsidRPr="00980795">
              <w:rPr>
                <w:sz w:val="16"/>
                <w:szCs w:val="16"/>
                <w:lang w:eastAsia="en-GB"/>
              </w:rPr>
              <w:t>21 (35.6%)</w:t>
            </w:r>
          </w:p>
        </w:tc>
        <w:tc>
          <w:tcPr>
            <w:tcW w:w="1495" w:type="dxa"/>
            <w:tcBorders>
              <w:top w:val="nil"/>
              <w:left w:val="nil"/>
              <w:bottom w:val="nil"/>
              <w:right w:val="nil"/>
            </w:tcBorders>
            <w:noWrap/>
            <w:vAlign w:val="center"/>
            <w:hideMark/>
          </w:tcPr>
          <w:p w14:paraId="3559E4A1" w14:textId="77777777" w:rsidR="001E69A9" w:rsidRPr="00980795" w:rsidRDefault="001E69A9" w:rsidP="00FD7082">
            <w:pPr>
              <w:jc w:val="both"/>
              <w:rPr>
                <w:sz w:val="16"/>
                <w:szCs w:val="16"/>
                <w:lang w:eastAsia="en-GB"/>
              </w:rPr>
            </w:pPr>
            <w:r w:rsidRPr="00980795">
              <w:rPr>
                <w:sz w:val="16"/>
                <w:szCs w:val="16"/>
                <w:lang w:eastAsia="en-GB"/>
              </w:rPr>
              <w:t>59 (100%)</w:t>
            </w:r>
          </w:p>
        </w:tc>
        <w:tc>
          <w:tcPr>
            <w:tcW w:w="1194" w:type="dxa"/>
            <w:tcBorders>
              <w:top w:val="nil"/>
              <w:left w:val="nil"/>
              <w:bottom w:val="nil"/>
              <w:right w:val="nil"/>
            </w:tcBorders>
            <w:noWrap/>
            <w:vAlign w:val="center"/>
            <w:hideMark/>
          </w:tcPr>
          <w:p w14:paraId="54A4CB2E"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5113839E" w14:textId="77777777" w:rsidR="001E69A9" w:rsidRPr="00980795" w:rsidRDefault="001E69A9" w:rsidP="00FD7082">
            <w:pPr>
              <w:jc w:val="both"/>
              <w:rPr>
                <w:sz w:val="16"/>
                <w:szCs w:val="16"/>
                <w:lang w:eastAsia="en-GB"/>
              </w:rPr>
            </w:pPr>
          </w:p>
        </w:tc>
      </w:tr>
      <w:tr w:rsidR="001E69A9" w:rsidRPr="00980795" w14:paraId="1CFEDD8C" w14:textId="77777777" w:rsidTr="00FD7082">
        <w:trPr>
          <w:trHeight w:val="315"/>
        </w:trPr>
        <w:tc>
          <w:tcPr>
            <w:tcW w:w="2231" w:type="dxa"/>
            <w:tcBorders>
              <w:top w:val="nil"/>
              <w:left w:val="nil"/>
              <w:bottom w:val="single" w:sz="4" w:space="0" w:color="auto"/>
              <w:right w:val="nil"/>
            </w:tcBorders>
            <w:vAlign w:val="center"/>
            <w:hideMark/>
          </w:tcPr>
          <w:p w14:paraId="334DBABA" w14:textId="77777777" w:rsidR="001E69A9" w:rsidRPr="00980795" w:rsidRDefault="001E69A9" w:rsidP="00FD7082">
            <w:pPr>
              <w:jc w:val="both"/>
              <w:rPr>
                <w:sz w:val="16"/>
                <w:szCs w:val="16"/>
                <w:lang w:eastAsia="en-GB"/>
              </w:rPr>
            </w:pPr>
            <w:r w:rsidRPr="00980795">
              <w:rPr>
                <w:sz w:val="16"/>
                <w:szCs w:val="16"/>
                <w:lang w:eastAsia="en-GB"/>
              </w:rPr>
              <w:t>Tertiary</w:t>
            </w:r>
          </w:p>
        </w:tc>
        <w:tc>
          <w:tcPr>
            <w:tcW w:w="1390" w:type="dxa"/>
            <w:tcBorders>
              <w:top w:val="nil"/>
              <w:left w:val="nil"/>
              <w:bottom w:val="nil"/>
              <w:right w:val="nil"/>
            </w:tcBorders>
            <w:noWrap/>
            <w:vAlign w:val="center"/>
            <w:hideMark/>
          </w:tcPr>
          <w:p w14:paraId="480137EE" w14:textId="77777777" w:rsidR="001E69A9" w:rsidRPr="00980795" w:rsidRDefault="001E69A9" w:rsidP="00FD7082">
            <w:pPr>
              <w:jc w:val="both"/>
              <w:rPr>
                <w:sz w:val="16"/>
                <w:szCs w:val="16"/>
                <w:lang w:eastAsia="en-GB"/>
              </w:rPr>
            </w:pPr>
            <w:r w:rsidRPr="00980795">
              <w:rPr>
                <w:sz w:val="16"/>
                <w:szCs w:val="16"/>
                <w:lang w:eastAsia="en-GB"/>
              </w:rPr>
              <w:t>8 (61.5%)</w:t>
            </w:r>
          </w:p>
        </w:tc>
        <w:tc>
          <w:tcPr>
            <w:tcW w:w="1661" w:type="dxa"/>
            <w:tcBorders>
              <w:top w:val="nil"/>
              <w:left w:val="nil"/>
              <w:bottom w:val="nil"/>
              <w:right w:val="nil"/>
            </w:tcBorders>
            <w:noWrap/>
            <w:vAlign w:val="center"/>
            <w:hideMark/>
          </w:tcPr>
          <w:p w14:paraId="71CB6E70" w14:textId="77777777" w:rsidR="001E69A9" w:rsidRPr="00980795" w:rsidRDefault="001E69A9" w:rsidP="00FD7082">
            <w:pPr>
              <w:jc w:val="both"/>
              <w:rPr>
                <w:sz w:val="16"/>
                <w:szCs w:val="16"/>
                <w:lang w:eastAsia="en-GB"/>
              </w:rPr>
            </w:pPr>
            <w:r w:rsidRPr="00980795">
              <w:rPr>
                <w:sz w:val="16"/>
                <w:szCs w:val="16"/>
                <w:lang w:eastAsia="en-GB"/>
              </w:rPr>
              <w:t>3 (23.1%)</w:t>
            </w:r>
          </w:p>
        </w:tc>
        <w:tc>
          <w:tcPr>
            <w:tcW w:w="1389" w:type="dxa"/>
            <w:tcBorders>
              <w:top w:val="nil"/>
              <w:left w:val="nil"/>
              <w:bottom w:val="nil"/>
              <w:right w:val="nil"/>
            </w:tcBorders>
            <w:noWrap/>
            <w:vAlign w:val="center"/>
            <w:hideMark/>
          </w:tcPr>
          <w:p w14:paraId="2458BBBF" w14:textId="77777777" w:rsidR="001E69A9" w:rsidRPr="00980795" w:rsidRDefault="001E69A9" w:rsidP="00FD7082">
            <w:pPr>
              <w:jc w:val="both"/>
              <w:rPr>
                <w:sz w:val="16"/>
                <w:szCs w:val="16"/>
                <w:lang w:eastAsia="en-GB"/>
              </w:rPr>
            </w:pPr>
            <w:r w:rsidRPr="00980795">
              <w:rPr>
                <w:sz w:val="16"/>
                <w:szCs w:val="16"/>
                <w:lang w:eastAsia="en-GB"/>
              </w:rPr>
              <w:t>2 (15.4%)</w:t>
            </w:r>
          </w:p>
        </w:tc>
        <w:tc>
          <w:tcPr>
            <w:tcW w:w="1495" w:type="dxa"/>
            <w:tcBorders>
              <w:top w:val="nil"/>
              <w:left w:val="nil"/>
              <w:bottom w:val="nil"/>
              <w:right w:val="nil"/>
            </w:tcBorders>
            <w:noWrap/>
            <w:vAlign w:val="center"/>
            <w:hideMark/>
          </w:tcPr>
          <w:p w14:paraId="7B274801" w14:textId="77777777" w:rsidR="001E69A9" w:rsidRPr="00980795" w:rsidRDefault="001E69A9" w:rsidP="00FD7082">
            <w:pPr>
              <w:jc w:val="both"/>
              <w:rPr>
                <w:sz w:val="16"/>
                <w:szCs w:val="16"/>
                <w:lang w:eastAsia="en-GB"/>
              </w:rPr>
            </w:pPr>
            <w:r w:rsidRPr="00980795">
              <w:rPr>
                <w:sz w:val="16"/>
                <w:szCs w:val="16"/>
                <w:lang w:eastAsia="en-GB"/>
              </w:rPr>
              <w:t>13 (100%)</w:t>
            </w:r>
          </w:p>
        </w:tc>
        <w:tc>
          <w:tcPr>
            <w:tcW w:w="1194" w:type="dxa"/>
            <w:tcBorders>
              <w:top w:val="nil"/>
              <w:left w:val="nil"/>
              <w:bottom w:val="nil"/>
              <w:right w:val="nil"/>
            </w:tcBorders>
            <w:noWrap/>
            <w:vAlign w:val="center"/>
            <w:hideMark/>
          </w:tcPr>
          <w:p w14:paraId="2D02425B"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4AB8576D" w14:textId="77777777" w:rsidR="001E69A9" w:rsidRPr="00980795" w:rsidRDefault="001E69A9" w:rsidP="00FD7082">
            <w:pPr>
              <w:jc w:val="both"/>
              <w:rPr>
                <w:sz w:val="16"/>
                <w:szCs w:val="16"/>
                <w:lang w:eastAsia="en-GB"/>
              </w:rPr>
            </w:pPr>
          </w:p>
        </w:tc>
      </w:tr>
      <w:tr w:rsidR="001E69A9" w:rsidRPr="00980795" w14:paraId="48D8C512" w14:textId="77777777" w:rsidTr="00FD7082">
        <w:trPr>
          <w:trHeight w:val="315"/>
        </w:trPr>
        <w:tc>
          <w:tcPr>
            <w:tcW w:w="2231" w:type="dxa"/>
            <w:tcBorders>
              <w:top w:val="nil"/>
              <w:left w:val="nil"/>
              <w:bottom w:val="nil"/>
              <w:right w:val="nil"/>
            </w:tcBorders>
            <w:noWrap/>
            <w:vAlign w:val="center"/>
            <w:hideMark/>
          </w:tcPr>
          <w:p w14:paraId="7885FB61" w14:textId="77777777" w:rsidR="001E69A9" w:rsidRPr="00980795" w:rsidRDefault="001E69A9" w:rsidP="00FD7082">
            <w:pPr>
              <w:jc w:val="both"/>
              <w:rPr>
                <w:b/>
                <w:bCs/>
                <w:sz w:val="16"/>
                <w:szCs w:val="16"/>
                <w:lang w:eastAsia="en-GB"/>
              </w:rPr>
            </w:pPr>
            <w:r w:rsidRPr="00980795">
              <w:rPr>
                <w:b/>
                <w:bCs/>
                <w:sz w:val="16"/>
                <w:szCs w:val="16"/>
                <w:lang w:eastAsia="en-GB"/>
              </w:rPr>
              <w:t>TYPE OF DRIVER</w:t>
            </w:r>
          </w:p>
        </w:tc>
        <w:tc>
          <w:tcPr>
            <w:tcW w:w="1390" w:type="dxa"/>
            <w:tcBorders>
              <w:top w:val="nil"/>
              <w:left w:val="nil"/>
              <w:bottom w:val="nil"/>
              <w:right w:val="nil"/>
            </w:tcBorders>
            <w:noWrap/>
            <w:vAlign w:val="center"/>
            <w:hideMark/>
          </w:tcPr>
          <w:p w14:paraId="4709A8EE" w14:textId="77777777" w:rsidR="001E69A9" w:rsidRPr="00980795" w:rsidRDefault="001E69A9" w:rsidP="00FD7082">
            <w:pPr>
              <w:jc w:val="both"/>
              <w:rPr>
                <w:b/>
                <w:bCs/>
                <w:sz w:val="16"/>
                <w:szCs w:val="16"/>
                <w:lang w:eastAsia="en-GB"/>
              </w:rPr>
            </w:pPr>
          </w:p>
        </w:tc>
        <w:tc>
          <w:tcPr>
            <w:tcW w:w="1661" w:type="dxa"/>
            <w:tcBorders>
              <w:top w:val="nil"/>
              <w:left w:val="nil"/>
              <w:bottom w:val="nil"/>
              <w:right w:val="nil"/>
            </w:tcBorders>
            <w:noWrap/>
            <w:vAlign w:val="center"/>
            <w:hideMark/>
          </w:tcPr>
          <w:p w14:paraId="58A2937E"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center"/>
            <w:hideMark/>
          </w:tcPr>
          <w:p w14:paraId="70012B3A"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vAlign w:val="center"/>
            <w:hideMark/>
          </w:tcPr>
          <w:p w14:paraId="77E443D5"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center"/>
            <w:hideMark/>
          </w:tcPr>
          <w:p w14:paraId="0B0B34A6"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47EF77EE" w14:textId="77777777" w:rsidR="001E69A9" w:rsidRPr="00980795" w:rsidRDefault="001E69A9" w:rsidP="00FD7082">
            <w:pPr>
              <w:jc w:val="both"/>
              <w:rPr>
                <w:sz w:val="16"/>
                <w:szCs w:val="16"/>
                <w:lang w:eastAsia="en-GB"/>
              </w:rPr>
            </w:pPr>
          </w:p>
        </w:tc>
      </w:tr>
      <w:tr w:rsidR="001E69A9" w:rsidRPr="00980795" w14:paraId="4F1B01A7" w14:textId="77777777" w:rsidTr="00FD7082">
        <w:trPr>
          <w:trHeight w:val="315"/>
        </w:trPr>
        <w:tc>
          <w:tcPr>
            <w:tcW w:w="2231" w:type="dxa"/>
            <w:tcBorders>
              <w:top w:val="nil"/>
              <w:left w:val="nil"/>
              <w:bottom w:val="nil"/>
              <w:right w:val="nil"/>
            </w:tcBorders>
            <w:noWrap/>
            <w:vAlign w:val="center"/>
            <w:hideMark/>
          </w:tcPr>
          <w:p w14:paraId="3F0D14B0" w14:textId="77777777" w:rsidR="001E69A9" w:rsidRPr="00980795" w:rsidRDefault="001E69A9" w:rsidP="00FD7082">
            <w:pPr>
              <w:jc w:val="both"/>
              <w:rPr>
                <w:sz w:val="16"/>
                <w:szCs w:val="16"/>
                <w:lang w:eastAsia="en-GB"/>
              </w:rPr>
            </w:pPr>
            <w:r w:rsidRPr="00980795">
              <w:rPr>
                <w:sz w:val="16"/>
                <w:szCs w:val="16"/>
                <w:lang w:eastAsia="en-GB"/>
              </w:rPr>
              <w:t>Both</w:t>
            </w:r>
          </w:p>
        </w:tc>
        <w:tc>
          <w:tcPr>
            <w:tcW w:w="1390" w:type="dxa"/>
            <w:tcBorders>
              <w:top w:val="nil"/>
              <w:left w:val="nil"/>
              <w:bottom w:val="nil"/>
              <w:right w:val="nil"/>
            </w:tcBorders>
            <w:noWrap/>
            <w:vAlign w:val="center"/>
            <w:hideMark/>
          </w:tcPr>
          <w:p w14:paraId="73DF72E9" w14:textId="77777777" w:rsidR="001E69A9" w:rsidRPr="00980795" w:rsidRDefault="001E69A9" w:rsidP="00FD7082">
            <w:pPr>
              <w:jc w:val="both"/>
              <w:rPr>
                <w:sz w:val="16"/>
                <w:szCs w:val="16"/>
                <w:lang w:eastAsia="en-GB"/>
              </w:rPr>
            </w:pPr>
            <w:r w:rsidRPr="00980795">
              <w:rPr>
                <w:sz w:val="16"/>
                <w:szCs w:val="16"/>
                <w:lang w:eastAsia="en-GB"/>
              </w:rPr>
              <w:t>7 (17.1%)</w:t>
            </w:r>
          </w:p>
        </w:tc>
        <w:tc>
          <w:tcPr>
            <w:tcW w:w="1661" w:type="dxa"/>
            <w:tcBorders>
              <w:top w:val="nil"/>
              <w:left w:val="nil"/>
              <w:bottom w:val="nil"/>
              <w:right w:val="nil"/>
            </w:tcBorders>
            <w:noWrap/>
            <w:vAlign w:val="center"/>
            <w:hideMark/>
          </w:tcPr>
          <w:p w14:paraId="5E483FB7" w14:textId="77777777" w:rsidR="001E69A9" w:rsidRPr="00980795" w:rsidRDefault="001E69A9" w:rsidP="00FD7082">
            <w:pPr>
              <w:jc w:val="both"/>
              <w:rPr>
                <w:sz w:val="16"/>
                <w:szCs w:val="16"/>
                <w:lang w:eastAsia="en-GB"/>
              </w:rPr>
            </w:pPr>
            <w:r w:rsidRPr="00980795">
              <w:rPr>
                <w:sz w:val="16"/>
                <w:szCs w:val="16"/>
                <w:lang w:eastAsia="en-GB"/>
              </w:rPr>
              <w:t>7 (17.1%)</w:t>
            </w:r>
          </w:p>
        </w:tc>
        <w:tc>
          <w:tcPr>
            <w:tcW w:w="1389" w:type="dxa"/>
            <w:tcBorders>
              <w:top w:val="nil"/>
              <w:left w:val="nil"/>
              <w:bottom w:val="nil"/>
              <w:right w:val="nil"/>
            </w:tcBorders>
            <w:noWrap/>
            <w:vAlign w:val="center"/>
            <w:hideMark/>
          </w:tcPr>
          <w:p w14:paraId="14C13F0D" w14:textId="77777777" w:rsidR="001E69A9" w:rsidRPr="00980795" w:rsidRDefault="001E69A9" w:rsidP="00FD7082">
            <w:pPr>
              <w:jc w:val="both"/>
              <w:rPr>
                <w:sz w:val="16"/>
                <w:szCs w:val="16"/>
                <w:lang w:eastAsia="en-GB"/>
              </w:rPr>
            </w:pPr>
            <w:r w:rsidRPr="00980795">
              <w:rPr>
                <w:sz w:val="16"/>
                <w:szCs w:val="16"/>
                <w:lang w:eastAsia="en-GB"/>
              </w:rPr>
              <w:t>27 (65.9%)</w:t>
            </w:r>
          </w:p>
        </w:tc>
        <w:tc>
          <w:tcPr>
            <w:tcW w:w="1495" w:type="dxa"/>
            <w:tcBorders>
              <w:top w:val="nil"/>
              <w:left w:val="nil"/>
              <w:bottom w:val="nil"/>
              <w:right w:val="nil"/>
            </w:tcBorders>
            <w:vAlign w:val="center"/>
            <w:hideMark/>
          </w:tcPr>
          <w:p w14:paraId="549C9AF5" w14:textId="77777777" w:rsidR="001E69A9" w:rsidRPr="00980795" w:rsidRDefault="001E69A9" w:rsidP="00FD7082">
            <w:pPr>
              <w:jc w:val="both"/>
              <w:rPr>
                <w:sz w:val="16"/>
                <w:szCs w:val="16"/>
                <w:lang w:eastAsia="en-GB"/>
              </w:rPr>
            </w:pPr>
            <w:r w:rsidRPr="00980795">
              <w:rPr>
                <w:sz w:val="16"/>
                <w:szCs w:val="16"/>
                <w:lang w:eastAsia="en-GB"/>
              </w:rPr>
              <w:t>41 (100%)</w:t>
            </w:r>
          </w:p>
        </w:tc>
        <w:tc>
          <w:tcPr>
            <w:tcW w:w="1194" w:type="dxa"/>
            <w:tcBorders>
              <w:top w:val="nil"/>
              <w:left w:val="nil"/>
              <w:bottom w:val="nil"/>
              <w:right w:val="nil"/>
            </w:tcBorders>
            <w:noWrap/>
            <w:vAlign w:val="center"/>
            <w:hideMark/>
          </w:tcPr>
          <w:p w14:paraId="16F17C8D" w14:textId="77777777" w:rsidR="001E69A9" w:rsidRPr="00980795" w:rsidRDefault="001E69A9" w:rsidP="00FD7082">
            <w:pPr>
              <w:jc w:val="both"/>
              <w:rPr>
                <w:sz w:val="16"/>
                <w:szCs w:val="16"/>
                <w:lang w:eastAsia="en-GB"/>
              </w:rPr>
            </w:pPr>
            <w:r w:rsidRPr="00980795">
              <w:rPr>
                <w:sz w:val="16"/>
                <w:szCs w:val="16"/>
                <w:lang w:eastAsia="en-GB"/>
              </w:rPr>
              <w:t>25.214</w:t>
            </w:r>
          </w:p>
        </w:tc>
        <w:tc>
          <w:tcPr>
            <w:tcW w:w="900" w:type="dxa"/>
            <w:tcBorders>
              <w:top w:val="nil"/>
              <w:left w:val="nil"/>
              <w:bottom w:val="nil"/>
              <w:right w:val="nil"/>
            </w:tcBorders>
            <w:noWrap/>
            <w:vAlign w:val="center"/>
            <w:hideMark/>
          </w:tcPr>
          <w:p w14:paraId="4943F501" w14:textId="77777777" w:rsidR="001E69A9" w:rsidRPr="00980795" w:rsidRDefault="001E69A9" w:rsidP="00FD7082">
            <w:pPr>
              <w:jc w:val="both"/>
              <w:rPr>
                <w:sz w:val="16"/>
                <w:szCs w:val="16"/>
                <w:lang w:eastAsia="en-GB"/>
              </w:rPr>
            </w:pPr>
            <w:r w:rsidRPr="00980795">
              <w:rPr>
                <w:sz w:val="16"/>
                <w:szCs w:val="16"/>
                <w:lang w:eastAsia="en-GB"/>
              </w:rPr>
              <w:t>0.000*</w:t>
            </w:r>
          </w:p>
        </w:tc>
      </w:tr>
      <w:tr w:rsidR="001E69A9" w:rsidRPr="00980795" w14:paraId="4398191E" w14:textId="77777777" w:rsidTr="00FD7082">
        <w:trPr>
          <w:trHeight w:val="315"/>
        </w:trPr>
        <w:tc>
          <w:tcPr>
            <w:tcW w:w="2231" w:type="dxa"/>
            <w:tcBorders>
              <w:top w:val="nil"/>
              <w:left w:val="nil"/>
              <w:bottom w:val="nil"/>
              <w:right w:val="nil"/>
            </w:tcBorders>
            <w:noWrap/>
            <w:vAlign w:val="center"/>
            <w:hideMark/>
          </w:tcPr>
          <w:p w14:paraId="5A1B38C9" w14:textId="77777777" w:rsidR="001E69A9" w:rsidRPr="00980795" w:rsidRDefault="001E69A9" w:rsidP="00FD7082">
            <w:pPr>
              <w:jc w:val="both"/>
              <w:rPr>
                <w:sz w:val="16"/>
                <w:szCs w:val="16"/>
                <w:lang w:eastAsia="en-GB"/>
              </w:rPr>
            </w:pPr>
            <w:r w:rsidRPr="00980795">
              <w:rPr>
                <w:sz w:val="16"/>
                <w:szCs w:val="16"/>
                <w:lang w:eastAsia="en-GB"/>
              </w:rPr>
              <w:t>Intercity</w:t>
            </w:r>
          </w:p>
        </w:tc>
        <w:tc>
          <w:tcPr>
            <w:tcW w:w="1390" w:type="dxa"/>
            <w:tcBorders>
              <w:top w:val="nil"/>
              <w:left w:val="nil"/>
              <w:bottom w:val="nil"/>
              <w:right w:val="nil"/>
            </w:tcBorders>
            <w:noWrap/>
            <w:vAlign w:val="center"/>
            <w:hideMark/>
          </w:tcPr>
          <w:p w14:paraId="615E5E0B" w14:textId="77777777" w:rsidR="001E69A9" w:rsidRPr="00980795" w:rsidRDefault="001E69A9" w:rsidP="00FD7082">
            <w:pPr>
              <w:jc w:val="both"/>
              <w:rPr>
                <w:sz w:val="16"/>
                <w:szCs w:val="16"/>
                <w:lang w:eastAsia="en-GB"/>
              </w:rPr>
            </w:pPr>
            <w:r w:rsidRPr="00980795">
              <w:rPr>
                <w:sz w:val="16"/>
                <w:szCs w:val="16"/>
                <w:lang w:eastAsia="en-GB"/>
              </w:rPr>
              <w:t>23 (48.9%)</w:t>
            </w:r>
          </w:p>
        </w:tc>
        <w:tc>
          <w:tcPr>
            <w:tcW w:w="1661" w:type="dxa"/>
            <w:tcBorders>
              <w:top w:val="nil"/>
              <w:left w:val="nil"/>
              <w:bottom w:val="nil"/>
              <w:right w:val="nil"/>
            </w:tcBorders>
            <w:noWrap/>
            <w:vAlign w:val="center"/>
            <w:hideMark/>
          </w:tcPr>
          <w:p w14:paraId="7C4AC2D4" w14:textId="77777777" w:rsidR="001E69A9" w:rsidRPr="00980795" w:rsidRDefault="001E69A9" w:rsidP="00FD7082">
            <w:pPr>
              <w:jc w:val="both"/>
              <w:rPr>
                <w:sz w:val="16"/>
                <w:szCs w:val="16"/>
                <w:lang w:eastAsia="en-GB"/>
              </w:rPr>
            </w:pPr>
            <w:r w:rsidRPr="00980795">
              <w:rPr>
                <w:sz w:val="16"/>
                <w:szCs w:val="16"/>
                <w:lang w:eastAsia="en-GB"/>
              </w:rPr>
              <w:t>9 (19.2%)</w:t>
            </w:r>
          </w:p>
        </w:tc>
        <w:tc>
          <w:tcPr>
            <w:tcW w:w="1389" w:type="dxa"/>
            <w:tcBorders>
              <w:top w:val="nil"/>
              <w:left w:val="nil"/>
              <w:bottom w:val="nil"/>
              <w:right w:val="nil"/>
            </w:tcBorders>
            <w:noWrap/>
            <w:vAlign w:val="center"/>
            <w:hideMark/>
          </w:tcPr>
          <w:p w14:paraId="5B21425D" w14:textId="77777777" w:rsidR="001E69A9" w:rsidRPr="00980795" w:rsidRDefault="001E69A9" w:rsidP="00FD7082">
            <w:pPr>
              <w:jc w:val="both"/>
              <w:rPr>
                <w:sz w:val="16"/>
                <w:szCs w:val="16"/>
                <w:lang w:eastAsia="en-GB"/>
              </w:rPr>
            </w:pPr>
            <w:r w:rsidRPr="00980795">
              <w:rPr>
                <w:sz w:val="16"/>
                <w:szCs w:val="16"/>
                <w:lang w:eastAsia="en-GB"/>
              </w:rPr>
              <w:t>15 (31.9%)</w:t>
            </w:r>
          </w:p>
        </w:tc>
        <w:tc>
          <w:tcPr>
            <w:tcW w:w="1495" w:type="dxa"/>
            <w:tcBorders>
              <w:top w:val="nil"/>
              <w:left w:val="nil"/>
              <w:bottom w:val="nil"/>
              <w:right w:val="nil"/>
            </w:tcBorders>
            <w:vAlign w:val="center"/>
            <w:hideMark/>
          </w:tcPr>
          <w:p w14:paraId="25FBD3A9" w14:textId="77777777" w:rsidR="001E69A9" w:rsidRPr="00980795" w:rsidRDefault="001E69A9" w:rsidP="00FD7082">
            <w:pPr>
              <w:jc w:val="both"/>
              <w:rPr>
                <w:sz w:val="16"/>
                <w:szCs w:val="16"/>
                <w:lang w:eastAsia="en-GB"/>
              </w:rPr>
            </w:pPr>
            <w:r w:rsidRPr="00980795">
              <w:rPr>
                <w:sz w:val="16"/>
                <w:szCs w:val="16"/>
                <w:lang w:eastAsia="en-GB"/>
              </w:rPr>
              <w:t>47 (100%)</w:t>
            </w:r>
          </w:p>
        </w:tc>
        <w:tc>
          <w:tcPr>
            <w:tcW w:w="1194" w:type="dxa"/>
            <w:tcBorders>
              <w:top w:val="nil"/>
              <w:left w:val="nil"/>
              <w:bottom w:val="nil"/>
              <w:right w:val="nil"/>
            </w:tcBorders>
            <w:noWrap/>
            <w:vAlign w:val="center"/>
            <w:hideMark/>
          </w:tcPr>
          <w:p w14:paraId="48F3C71F"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4B2ACA1A" w14:textId="77777777" w:rsidR="001E69A9" w:rsidRPr="00980795" w:rsidRDefault="001E69A9" w:rsidP="00FD7082">
            <w:pPr>
              <w:jc w:val="both"/>
              <w:rPr>
                <w:sz w:val="16"/>
                <w:szCs w:val="16"/>
                <w:lang w:eastAsia="en-GB"/>
              </w:rPr>
            </w:pPr>
          </w:p>
        </w:tc>
      </w:tr>
      <w:tr w:rsidR="001E69A9" w:rsidRPr="00980795" w14:paraId="5D3ED397" w14:textId="77777777" w:rsidTr="00FD7082">
        <w:trPr>
          <w:trHeight w:val="330"/>
        </w:trPr>
        <w:tc>
          <w:tcPr>
            <w:tcW w:w="2231" w:type="dxa"/>
            <w:tcBorders>
              <w:top w:val="nil"/>
              <w:left w:val="nil"/>
              <w:bottom w:val="single" w:sz="8" w:space="0" w:color="auto"/>
              <w:right w:val="nil"/>
            </w:tcBorders>
            <w:noWrap/>
            <w:vAlign w:val="center"/>
            <w:hideMark/>
          </w:tcPr>
          <w:p w14:paraId="3D086D4A" w14:textId="77777777" w:rsidR="001E69A9" w:rsidRPr="00980795" w:rsidRDefault="001E69A9" w:rsidP="00FD7082">
            <w:pPr>
              <w:jc w:val="both"/>
              <w:rPr>
                <w:sz w:val="16"/>
                <w:szCs w:val="16"/>
                <w:lang w:eastAsia="en-GB"/>
              </w:rPr>
            </w:pPr>
            <w:r w:rsidRPr="00980795">
              <w:rPr>
                <w:sz w:val="16"/>
                <w:szCs w:val="16"/>
                <w:lang w:eastAsia="en-GB"/>
              </w:rPr>
              <w:t>Intracity</w:t>
            </w:r>
          </w:p>
        </w:tc>
        <w:tc>
          <w:tcPr>
            <w:tcW w:w="1390" w:type="dxa"/>
            <w:tcBorders>
              <w:top w:val="nil"/>
              <w:left w:val="nil"/>
              <w:bottom w:val="nil"/>
              <w:right w:val="nil"/>
            </w:tcBorders>
            <w:noWrap/>
            <w:vAlign w:val="center"/>
            <w:hideMark/>
          </w:tcPr>
          <w:p w14:paraId="07557E1D" w14:textId="77777777" w:rsidR="001E69A9" w:rsidRPr="00980795" w:rsidRDefault="001E69A9" w:rsidP="00FD7082">
            <w:pPr>
              <w:jc w:val="both"/>
              <w:rPr>
                <w:sz w:val="16"/>
                <w:szCs w:val="16"/>
                <w:lang w:eastAsia="en-GB"/>
              </w:rPr>
            </w:pPr>
            <w:r w:rsidRPr="00980795">
              <w:rPr>
                <w:sz w:val="16"/>
                <w:szCs w:val="16"/>
                <w:lang w:eastAsia="en-GB"/>
              </w:rPr>
              <w:t>50 (50.0%)</w:t>
            </w:r>
          </w:p>
        </w:tc>
        <w:tc>
          <w:tcPr>
            <w:tcW w:w="1661" w:type="dxa"/>
            <w:tcBorders>
              <w:top w:val="nil"/>
              <w:left w:val="nil"/>
              <w:bottom w:val="nil"/>
              <w:right w:val="nil"/>
            </w:tcBorders>
            <w:noWrap/>
            <w:vAlign w:val="center"/>
            <w:hideMark/>
          </w:tcPr>
          <w:p w14:paraId="75D3C3EC" w14:textId="77777777" w:rsidR="001E69A9" w:rsidRPr="00980795" w:rsidRDefault="001E69A9" w:rsidP="00FD7082">
            <w:pPr>
              <w:jc w:val="both"/>
              <w:rPr>
                <w:sz w:val="16"/>
                <w:szCs w:val="16"/>
                <w:lang w:eastAsia="en-GB"/>
              </w:rPr>
            </w:pPr>
            <w:r w:rsidRPr="00980795">
              <w:rPr>
                <w:sz w:val="16"/>
                <w:szCs w:val="16"/>
                <w:lang w:eastAsia="en-GB"/>
              </w:rPr>
              <w:t>27 (27.0%)</w:t>
            </w:r>
          </w:p>
        </w:tc>
        <w:tc>
          <w:tcPr>
            <w:tcW w:w="1389" w:type="dxa"/>
            <w:tcBorders>
              <w:top w:val="nil"/>
              <w:left w:val="nil"/>
              <w:bottom w:val="nil"/>
              <w:right w:val="nil"/>
            </w:tcBorders>
            <w:noWrap/>
            <w:vAlign w:val="center"/>
            <w:hideMark/>
          </w:tcPr>
          <w:p w14:paraId="58102713" w14:textId="77777777" w:rsidR="001E69A9" w:rsidRPr="00980795" w:rsidRDefault="001E69A9" w:rsidP="00FD7082">
            <w:pPr>
              <w:jc w:val="both"/>
              <w:rPr>
                <w:sz w:val="16"/>
                <w:szCs w:val="16"/>
                <w:lang w:eastAsia="en-GB"/>
              </w:rPr>
            </w:pPr>
            <w:r w:rsidRPr="00980795">
              <w:rPr>
                <w:sz w:val="16"/>
                <w:szCs w:val="16"/>
                <w:lang w:eastAsia="en-GB"/>
              </w:rPr>
              <w:t>23 (23.0%)</w:t>
            </w:r>
          </w:p>
        </w:tc>
        <w:tc>
          <w:tcPr>
            <w:tcW w:w="1495" w:type="dxa"/>
            <w:tcBorders>
              <w:top w:val="nil"/>
              <w:left w:val="nil"/>
              <w:bottom w:val="nil"/>
              <w:right w:val="nil"/>
            </w:tcBorders>
            <w:vAlign w:val="center"/>
            <w:hideMark/>
          </w:tcPr>
          <w:p w14:paraId="7EB7E4EE" w14:textId="77777777" w:rsidR="001E69A9" w:rsidRPr="00980795" w:rsidRDefault="001E69A9" w:rsidP="00FD7082">
            <w:pPr>
              <w:jc w:val="both"/>
              <w:rPr>
                <w:sz w:val="16"/>
                <w:szCs w:val="16"/>
                <w:lang w:eastAsia="en-GB"/>
              </w:rPr>
            </w:pPr>
            <w:r w:rsidRPr="00980795">
              <w:rPr>
                <w:sz w:val="16"/>
                <w:szCs w:val="16"/>
                <w:lang w:eastAsia="en-GB"/>
              </w:rPr>
              <w:t>100 (100%)</w:t>
            </w:r>
          </w:p>
        </w:tc>
        <w:tc>
          <w:tcPr>
            <w:tcW w:w="1194" w:type="dxa"/>
            <w:tcBorders>
              <w:top w:val="nil"/>
              <w:left w:val="nil"/>
              <w:bottom w:val="nil"/>
              <w:right w:val="nil"/>
            </w:tcBorders>
            <w:noWrap/>
            <w:vAlign w:val="center"/>
            <w:hideMark/>
          </w:tcPr>
          <w:p w14:paraId="6FD68747"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1410A2B6" w14:textId="77777777" w:rsidR="001E69A9" w:rsidRPr="00980795" w:rsidRDefault="001E69A9" w:rsidP="00FD7082">
            <w:pPr>
              <w:jc w:val="both"/>
              <w:rPr>
                <w:sz w:val="16"/>
                <w:szCs w:val="16"/>
                <w:lang w:eastAsia="en-GB"/>
              </w:rPr>
            </w:pPr>
          </w:p>
        </w:tc>
      </w:tr>
      <w:tr w:rsidR="001E69A9" w:rsidRPr="00980795" w14:paraId="0CEE1705" w14:textId="77777777" w:rsidTr="00FD7082">
        <w:trPr>
          <w:trHeight w:val="315"/>
        </w:trPr>
        <w:tc>
          <w:tcPr>
            <w:tcW w:w="2231" w:type="dxa"/>
            <w:tcBorders>
              <w:top w:val="nil"/>
              <w:left w:val="nil"/>
              <w:bottom w:val="nil"/>
              <w:right w:val="nil"/>
            </w:tcBorders>
            <w:noWrap/>
            <w:vAlign w:val="center"/>
            <w:hideMark/>
          </w:tcPr>
          <w:p w14:paraId="4E483FE4" w14:textId="77777777" w:rsidR="001E69A9" w:rsidRPr="00980795" w:rsidRDefault="001E69A9" w:rsidP="00FD7082">
            <w:pPr>
              <w:jc w:val="both"/>
              <w:rPr>
                <w:b/>
                <w:bCs/>
                <w:sz w:val="16"/>
                <w:szCs w:val="16"/>
                <w:lang w:eastAsia="en-GB"/>
              </w:rPr>
            </w:pPr>
            <w:r w:rsidRPr="00980795">
              <w:rPr>
                <w:b/>
                <w:bCs/>
                <w:sz w:val="16"/>
                <w:szCs w:val="16"/>
                <w:lang w:eastAsia="en-GB"/>
              </w:rPr>
              <w:t>TYPE OF VEHICLE</w:t>
            </w:r>
          </w:p>
        </w:tc>
        <w:tc>
          <w:tcPr>
            <w:tcW w:w="1390" w:type="dxa"/>
            <w:tcBorders>
              <w:top w:val="nil"/>
              <w:left w:val="nil"/>
              <w:bottom w:val="nil"/>
              <w:right w:val="nil"/>
            </w:tcBorders>
            <w:noWrap/>
            <w:vAlign w:val="center"/>
            <w:hideMark/>
          </w:tcPr>
          <w:p w14:paraId="44C7E738" w14:textId="77777777" w:rsidR="001E69A9" w:rsidRPr="00980795" w:rsidRDefault="001E69A9" w:rsidP="00FD7082">
            <w:pPr>
              <w:jc w:val="both"/>
              <w:rPr>
                <w:b/>
                <w:bCs/>
                <w:sz w:val="16"/>
                <w:szCs w:val="16"/>
                <w:lang w:eastAsia="en-GB"/>
              </w:rPr>
            </w:pPr>
          </w:p>
        </w:tc>
        <w:tc>
          <w:tcPr>
            <w:tcW w:w="1661" w:type="dxa"/>
            <w:tcBorders>
              <w:top w:val="nil"/>
              <w:left w:val="nil"/>
              <w:bottom w:val="nil"/>
              <w:right w:val="nil"/>
            </w:tcBorders>
            <w:noWrap/>
            <w:vAlign w:val="center"/>
            <w:hideMark/>
          </w:tcPr>
          <w:p w14:paraId="43FE1D92"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center"/>
            <w:hideMark/>
          </w:tcPr>
          <w:p w14:paraId="06C135CC"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vAlign w:val="center"/>
            <w:hideMark/>
          </w:tcPr>
          <w:p w14:paraId="3D3978B9"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center"/>
            <w:hideMark/>
          </w:tcPr>
          <w:p w14:paraId="60D93216"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076370E1" w14:textId="77777777" w:rsidR="001E69A9" w:rsidRPr="00980795" w:rsidRDefault="001E69A9" w:rsidP="00FD7082">
            <w:pPr>
              <w:jc w:val="both"/>
              <w:rPr>
                <w:sz w:val="16"/>
                <w:szCs w:val="16"/>
                <w:lang w:eastAsia="en-GB"/>
              </w:rPr>
            </w:pPr>
          </w:p>
        </w:tc>
      </w:tr>
      <w:tr w:rsidR="001E69A9" w:rsidRPr="00980795" w14:paraId="418D0556" w14:textId="77777777" w:rsidTr="00FD7082">
        <w:trPr>
          <w:trHeight w:val="315"/>
        </w:trPr>
        <w:tc>
          <w:tcPr>
            <w:tcW w:w="2231" w:type="dxa"/>
            <w:tcBorders>
              <w:top w:val="nil"/>
              <w:left w:val="nil"/>
              <w:bottom w:val="nil"/>
              <w:right w:val="nil"/>
            </w:tcBorders>
            <w:noWrap/>
            <w:vAlign w:val="center"/>
            <w:hideMark/>
          </w:tcPr>
          <w:p w14:paraId="24F5E5E6" w14:textId="77777777" w:rsidR="001E69A9" w:rsidRPr="00980795" w:rsidRDefault="001E69A9" w:rsidP="00FD7082">
            <w:pPr>
              <w:jc w:val="both"/>
              <w:rPr>
                <w:sz w:val="16"/>
                <w:szCs w:val="16"/>
                <w:lang w:eastAsia="en-GB"/>
              </w:rPr>
            </w:pPr>
            <w:r w:rsidRPr="00980795">
              <w:rPr>
                <w:sz w:val="16"/>
                <w:szCs w:val="16"/>
                <w:lang w:eastAsia="en-GB"/>
              </w:rPr>
              <w:t>Bus</w:t>
            </w:r>
          </w:p>
        </w:tc>
        <w:tc>
          <w:tcPr>
            <w:tcW w:w="1390" w:type="dxa"/>
            <w:tcBorders>
              <w:top w:val="nil"/>
              <w:left w:val="nil"/>
              <w:bottom w:val="nil"/>
              <w:right w:val="nil"/>
            </w:tcBorders>
            <w:noWrap/>
            <w:vAlign w:val="center"/>
            <w:hideMark/>
          </w:tcPr>
          <w:p w14:paraId="08815C2F" w14:textId="77777777" w:rsidR="001E69A9" w:rsidRPr="00980795" w:rsidRDefault="001E69A9" w:rsidP="00FD7082">
            <w:pPr>
              <w:jc w:val="both"/>
              <w:rPr>
                <w:sz w:val="16"/>
                <w:szCs w:val="16"/>
                <w:lang w:eastAsia="en-GB"/>
              </w:rPr>
            </w:pPr>
            <w:r w:rsidRPr="00980795">
              <w:rPr>
                <w:sz w:val="16"/>
                <w:szCs w:val="16"/>
                <w:lang w:eastAsia="en-GB"/>
              </w:rPr>
              <w:t>17 (30.4%)</w:t>
            </w:r>
          </w:p>
        </w:tc>
        <w:tc>
          <w:tcPr>
            <w:tcW w:w="1661" w:type="dxa"/>
            <w:tcBorders>
              <w:top w:val="nil"/>
              <w:left w:val="nil"/>
              <w:bottom w:val="nil"/>
              <w:right w:val="nil"/>
            </w:tcBorders>
            <w:noWrap/>
            <w:vAlign w:val="center"/>
            <w:hideMark/>
          </w:tcPr>
          <w:p w14:paraId="65BA3051" w14:textId="77777777" w:rsidR="001E69A9" w:rsidRPr="00980795" w:rsidRDefault="001E69A9" w:rsidP="00FD7082">
            <w:pPr>
              <w:jc w:val="both"/>
              <w:rPr>
                <w:sz w:val="16"/>
                <w:szCs w:val="16"/>
                <w:lang w:eastAsia="en-GB"/>
              </w:rPr>
            </w:pPr>
            <w:r w:rsidRPr="00980795">
              <w:rPr>
                <w:sz w:val="16"/>
                <w:szCs w:val="16"/>
                <w:lang w:eastAsia="en-GB"/>
              </w:rPr>
              <w:t>11 (19.6%)</w:t>
            </w:r>
          </w:p>
        </w:tc>
        <w:tc>
          <w:tcPr>
            <w:tcW w:w="1389" w:type="dxa"/>
            <w:tcBorders>
              <w:top w:val="nil"/>
              <w:left w:val="nil"/>
              <w:bottom w:val="nil"/>
              <w:right w:val="nil"/>
            </w:tcBorders>
            <w:noWrap/>
            <w:vAlign w:val="center"/>
            <w:hideMark/>
          </w:tcPr>
          <w:p w14:paraId="32DC8AF0" w14:textId="77777777" w:rsidR="001E69A9" w:rsidRPr="00980795" w:rsidRDefault="001E69A9" w:rsidP="00FD7082">
            <w:pPr>
              <w:jc w:val="both"/>
              <w:rPr>
                <w:sz w:val="16"/>
                <w:szCs w:val="16"/>
                <w:lang w:eastAsia="en-GB"/>
              </w:rPr>
            </w:pPr>
            <w:r w:rsidRPr="00980795">
              <w:rPr>
                <w:sz w:val="16"/>
                <w:szCs w:val="16"/>
                <w:lang w:eastAsia="en-GB"/>
              </w:rPr>
              <w:t>28 (50.0%)</w:t>
            </w:r>
          </w:p>
        </w:tc>
        <w:tc>
          <w:tcPr>
            <w:tcW w:w="1495" w:type="dxa"/>
            <w:tcBorders>
              <w:top w:val="nil"/>
              <w:left w:val="nil"/>
              <w:bottom w:val="nil"/>
              <w:right w:val="nil"/>
            </w:tcBorders>
            <w:vAlign w:val="center"/>
            <w:hideMark/>
          </w:tcPr>
          <w:p w14:paraId="51CAE829" w14:textId="77777777" w:rsidR="001E69A9" w:rsidRPr="00980795" w:rsidRDefault="001E69A9" w:rsidP="00FD7082">
            <w:pPr>
              <w:jc w:val="both"/>
              <w:rPr>
                <w:sz w:val="16"/>
                <w:szCs w:val="16"/>
                <w:lang w:eastAsia="en-GB"/>
              </w:rPr>
            </w:pPr>
            <w:r w:rsidRPr="00980795">
              <w:rPr>
                <w:sz w:val="16"/>
                <w:szCs w:val="16"/>
                <w:lang w:eastAsia="en-GB"/>
              </w:rPr>
              <w:t>56 (100%)</w:t>
            </w:r>
          </w:p>
        </w:tc>
        <w:tc>
          <w:tcPr>
            <w:tcW w:w="1194" w:type="dxa"/>
            <w:tcBorders>
              <w:top w:val="nil"/>
              <w:left w:val="nil"/>
              <w:bottom w:val="nil"/>
              <w:right w:val="nil"/>
            </w:tcBorders>
            <w:noWrap/>
            <w:vAlign w:val="center"/>
            <w:hideMark/>
          </w:tcPr>
          <w:p w14:paraId="703957F7" w14:textId="77777777" w:rsidR="001E69A9" w:rsidRPr="00980795" w:rsidRDefault="001E69A9" w:rsidP="00FD7082">
            <w:pPr>
              <w:jc w:val="both"/>
              <w:rPr>
                <w:sz w:val="16"/>
                <w:szCs w:val="16"/>
                <w:lang w:eastAsia="en-GB"/>
              </w:rPr>
            </w:pPr>
            <w:r w:rsidRPr="00980795">
              <w:rPr>
                <w:sz w:val="16"/>
                <w:szCs w:val="16"/>
                <w:lang w:eastAsia="en-GB"/>
              </w:rPr>
              <w:t>8.641</w:t>
            </w:r>
          </w:p>
        </w:tc>
        <w:tc>
          <w:tcPr>
            <w:tcW w:w="900" w:type="dxa"/>
            <w:tcBorders>
              <w:top w:val="nil"/>
              <w:left w:val="nil"/>
              <w:bottom w:val="nil"/>
              <w:right w:val="nil"/>
            </w:tcBorders>
            <w:noWrap/>
            <w:vAlign w:val="center"/>
            <w:hideMark/>
          </w:tcPr>
          <w:p w14:paraId="62F08E39" w14:textId="77777777" w:rsidR="001E69A9" w:rsidRPr="00980795" w:rsidRDefault="001E69A9" w:rsidP="00FD7082">
            <w:pPr>
              <w:jc w:val="both"/>
              <w:rPr>
                <w:sz w:val="16"/>
                <w:szCs w:val="16"/>
                <w:lang w:eastAsia="en-GB"/>
              </w:rPr>
            </w:pPr>
            <w:r w:rsidRPr="00980795">
              <w:rPr>
                <w:sz w:val="16"/>
                <w:szCs w:val="16"/>
                <w:lang w:eastAsia="en-GB"/>
              </w:rPr>
              <w:t>0.013*</w:t>
            </w:r>
          </w:p>
        </w:tc>
      </w:tr>
      <w:tr w:rsidR="001E69A9" w:rsidRPr="00980795" w14:paraId="5E07B95B" w14:textId="77777777" w:rsidTr="00FD7082">
        <w:trPr>
          <w:trHeight w:val="330"/>
        </w:trPr>
        <w:tc>
          <w:tcPr>
            <w:tcW w:w="2231" w:type="dxa"/>
            <w:tcBorders>
              <w:top w:val="nil"/>
              <w:left w:val="nil"/>
              <w:bottom w:val="single" w:sz="8" w:space="0" w:color="auto"/>
              <w:right w:val="nil"/>
            </w:tcBorders>
            <w:noWrap/>
            <w:vAlign w:val="center"/>
            <w:hideMark/>
          </w:tcPr>
          <w:p w14:paraId="5A128BE8" w14:textId="77777777" w:rsidR="001E69A9" w:rsidRPr="00980795" w:rsidRDefault="001E69A9" w:rsidP="00FD7082">
            <w:pPr>
              <w:jc w:val="both"/>
              <w:rPr>
                <w:sz w:val="16"/>
                <w:szCs w:val="16"/>
                <w:lang w:eastAsia="en-GB"/>
              </w:rPr>
            </w:pPr>
            <w:r w:rsidRPr="00980795">
              <w:rPr>
                <w:sz w:val="16"/>
                <w:szCs w:val="16"/>
                <w:lang w:eastAsia="en-GB"/>
              </w:rPr>
              <w:t>Car</w:t>
            </w:r>
          </w:p>
        </w:tc>
        <w:tc>
          <w:tcPr>
            <w:tcW w:w="1390" w:type="dxa"/>
            <w:tcBorders>
              <w:top w:val="nil"/>
              <w:left w:val="nil"/>
              <w:bottom w:val="nil"/>
              <w:right w:val="nil"/>
            </w:tcBorders>
            <w:noWrap/>
            <w:vAlign w:val="center"/>
            <w:hideMark/>
          </w:tcPr>
          <w:p w14:paraId="148E310E" w14:textId="77777777" w:rsidR="001E69A9" w:rsidRPr="00980795" w:rsidRDefault="001E69A9" w:rsidP="00FD7082">
            <w:pPr>
              <w:jc w:val="both"/>
              <w:rPr>
                <w:sz w:val="16"/>
                <w:szCs w:val="16"/>
                <w:lang w:eastAsia="en-GB"/>
              </w:rPr>
            </w:pPr>
            <w:r w:rsidRPr="00980795">
              <w:rPr>
                <w:sz w:val="16"/>
                <w:szCs w:val="16"/>
                <w:lang w:eastAsia="en-GB"/>
              </w:rPr>
              <w:t>63 (47.7%)</w:t>
            </w:r>
          </w:p>
        </w:tc>
        <w:tc>
          <w:tcPr>
            <w:tcW w:w="1661" w:type="dxa"/>
            <w:tcBorders>
              <w:top w:val="nil"/>
              <w:left w:val="nil"/>
              <w:bottom w:val="nil"/>
              <w:right w:val="nil"/>
            </w:tcBorders>
            <w:noWrap/>
            <w:vAlign w:val="center"/>
            <w:hideMark/>
          </w:tcPr>
          <w:p w14:paraId="2DFC9D89" w14:textId="77777777" w:rsidR="001E69A9" w:rsidRPr="00980795" w:rsidRDefault="001E69A9" w:rsidP="00FD7082">
            <w:pPr>
              <w:jc w:val="both"/>
              <w:rPr>
                <w:sz w:val="16"/>
                <w:szCs w:val="16"/>
                <w:lang w:eastAsia="en-GB"/>
              </w:rPr>
            </w:pPr>
            <w:r w:rsidRPr="00980795">
              <w:rPr>
                <w:sz w:val="16"/>
                <w:szCs w:val="16"/>
                <w:lang w:eastAsia="en-GB"/>
              </w:rPr>
              <w:t>32 (24.3%)</w:t>
            </w:r>
          </w:p>
        </w:tc>
        <w:tc>
          <w:tcPr>
            <w:tcW w:w="1389" w:type="dxa"/>
            <w:tcBorders>
              <w:top w:val="nil"/>
              <w:left w:val="nil"/>
              <w:bottom w:val="nil"/>
              <w:right w:val="nil"/>
            </w:tcBorders>
            <w:noWrap/>
            <w:vAlign w:val="center"/>
            <w:hideMark/>
          </w:tcPr>
          <w:p w14:paraId="4F345421" w14:textId="77777777" w:rsidR="001E69A9" w:rsidRPr="00980795" w:rsidRDefault="001E69A9" w:rsidP="00FD7082">
            <w:pPr>
              <w:jc w:val="both"/>
              <w:rPr>
                <w:sz w:val="16"/>
                <w:szCs w:val="16"/>
                <w:lang w:eastAsia="en-GB"/>
              </w:rPr>
            </w:pPr>
            <w:r w:rsidRPr="00980795">
              <w:rPr>
                <w:sz w:val="16"/>
                <w:szCs w:val="16"/>
                <w:lang w:eastAsia="en-GB"/>
              </w:rPr>
              <w:t>37 (28.0%)</w:t>
            </w:r>
          </w:p>
        </w:tc>
        <w:tc>
          <w:tcPr>
            <w:tcW w:w="1495" w:type="dxa"/>
            <w:tcBorders>
              <w:top w:val="nil"/>
              <w:left w:val="nil"/>
              <w:bottom w:val="nil"/>
              <w:right w:val="nil"/>
            </w:tcBorders>
            <w:vAlign w:val="center"/>
            <w:hideMark/>
          </w:tcPr>
          <w:p w14:paraId="258C5B25" w14:textId="77777777" w:rsidR="001E69A9" w:rsidRPr="00980795" w:rsidRDefault="001E69A9" w:rsidP="00FD7082">
            <w:pPr>
              <w:jc w:val="both"/>
              <w:rPr>
                <w:sz w:val="16"/>
                <w:szCs w:val="16"/>
                <w:lang w:eastAsia="en-GB"/>
              </w:rPr>
            </w:pPr>
            <w:r w:rsidRPr="00980795">
              <w:rPr>
                <w:sz w:val="16"/>
                <w:szCs w:val="16"/>
                <w:lang w:eastAsia="en-GB"/>
              </w:rPr>
              <w:t>132 (100%)</w:t>
            </w:r>
          </w:p>
        </w:tc>
        <w:tc>
          <w:tcPr>
            <w:tcW w:w="1194" w:type="dxa"/>
            <w:tcBorders>
              <w:top w:val="nil"/>
              <w:left w:val="nil"/>
              <w:bottom w:val="nil"/>
              <w:right w:val="nil"/>
            </w:tcBorders>
            <w:noWrap/>
            <w:vAlign w:val="center"/>
            <w:hideMark/>
          </w:tcPr>
          <w:p w14:paraId="1491562A"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26A333D2" w14:textId="77777777" w:rsidR="001E69A9" w:rsidRPr="00980795" w:rsidRDefault="001E69A9" w:rsidP="00FD7082">
            <w:pPr>
              <w:jc w:val="both"/>
              <w:rPr>
                <w:sz w:val="16"/>
                <w:szCs w:val="16"/>
                <w:lang w:eastAsia="en-GB"/>
              </w:rPr>
            </w:pPr>
          </w:p>
        </w:tc>
      </w:tr>
      <w:tr w:rsidR="001E69A9" w:rsidRPr="00980795" w14:paraId="51CA8FE6" w14:textId="77777777" w:rsidTr="00FD7082">
        <w:trPr>
          <w:trHeight w:val="315"/>
        </w:trPr>
        <w:tc>
          <w:tcPr>
            <w:tcW w:w="2231" w:type="dxa"/>
            <w:tcBorders>
              <w:top w:val="nil"/>
              <w:left w:val="nil"/>
              <w:bottom w:val="nil"/>
              <w:right w:val="nil"/>
            </w:tcBorders>
            <w:vAlign w:val="center"/>
            <w:hideMark/>
          </w:tcPr>
          <w:p w14:paraId="695ECF7E" w14:textId="77777777" w:rsidR="001E69A9" w:rsidRPr="00980795" w:rsidRDefault="001E69A9" w:rsidP="00FD7082">
            <w:pPr>
              <w:jc w:val="both"/>
              <w:rPr>
                <w:b/>
                <w:bCs/>
                <w:sz w:val="16"/>
                <w:szCs w:val="16"/>
                <w:lang w:eastAsia="en-GB"/>
              </w:rPr>
            </w:pPr>
            <w:r w:rsidRPr="00980795">
              <w:rPr>
                <w:b/>
                <w:bCs/>
                <w:sz w:val="16"/>
                <w:szCs w:val="16"/>
                <w:lang w:eastAsia="en-GB"/>
              </w:rPr>
              <w:t>YEARS OF</w:t>
            </w:r>
          </w:p>
        </w:tc>
        <w:tc>
          <w:tcPr>
            <w:tcW w:w="1390" w:type="dxa"/>
            <w:vMerge w:val="restart"/>
            <w:tcBorders>
              <w:top w:val="nil"/>
              <w:left w:val="nil"/>
              <w:bottom w:val="nil"/>
              <w:right w:val="nil"/>
            </w:tcBorders>
            <w:noWrap/>
            <w:vAlign w:val="center"/>
            <w:hideMark/>
          </w:tcPr>
          <w:p w14:paraId="754B0324" w14:textId="77777777" w:rsidR="001E69A9" w:rsidRPr="00980795" w:rsidRDefault="001E69A9" w:rsidP="00FD7082">
            <w:pPr>
              <w:jc w:val="both"/>
              <w:rPr>
                <w:b/>
                <w:bCs/>
                <w:sz w:val="16"/>
                <w:szCs w:val="16"/>
                <w:lang w:eastAsia="en-GB"/>
              </w:rPr>
            </w:pPr>
          </w:p>
        </w:tc>
        <w:tc>
          <w:tcPr>
            <w:tcW w:w="1661" w:type="dxa"/>
            <w:vMerge w:val="restart"/>
            <w:tcBorders>
              <w:top w:val="nil"/>
              <w:left w:val="nil"/>
              <w:bottom w:val="nil"/>
              <w:right w:val="nil"/>
            </w:tcBorders>
            <w:noWrap/>
            <w:vAlign w:val="center"/>
            <w:hideMark/>
          </w:tcPr>
          <w:p w14:paraId="59C46B45" w14:textId="77777777" w:rsidR="001E69A9" w:rsidRPr="00980795" w:rsidRDefault="001E69A9" w:rsidP="00FD7082">
            <w:pPr>
              <w:jc w:val="both"/>
              <w:rPr>
                <w:sz w:val="16"/>
                <w:szCs w:val="16"/>
                <w:lang w:eastAsia="en-GB"/>
              </w:rPr>
            </w:pPr>
          </w:p>
        </w:tc>
        <w:tc>
          <w:tcPr>
            <w:tcW w:w="1389" w:type="dxa"/>
            <w:vMerge w:val="restart"/>
            <w:tcBorders>
              <w:top w:val="nil"/>
              <w:left w:val="nil"/>
              <w:bottom w:val="nil"/>
              <w:right w:val="nil"/>
            </w:tcBorders>
            <w:noWrap/>
            <w:vAlign w:val="center"/>
            <w:hideMark/>
          </w:tcPr>
          <w:p w14:paraId="5F54252F" w14:textId="77777777" w:rsidR="001E69A9" w:rsidRPr="00980795" w:rsidRDefault="001E69A9" w:rsidP="00FD7082">
            <w:pPr>
              <w:jc w:val="both"/>
              <w:rPr>
                <w:sz w:val="16"/>
                <w:szCs w:val="16"/>
                <w:lang w:eastAsia="en-GB"/>
              </w:rPr>
            </w:pPr>
          </w:p>
        </w:tc>
        <w:tc>
          <w:tcPr>
            <w:tcW w:w="1495" w:type="dxa"/>
            <w:vMerge w:val="restart"/>
            <w:tcBorders>
              <w:top w:val="nil"/>
              <w:left w:val="nil"/>
              <w:bottom w:val="nil"/>
              <w:right w:val="nil"/>
            </w:tcBorders>
            <w:vAlign w:val="center"/>
            <w:hideMark/>
          </w:tcPr>
          <w:p w14:paraId="3A23643A" w14:textId="77777777" w:rsidR="001E69A9" w:rsidRPr="00980795" w:rsidRDefault="001E69A9" w:rsidP="00FD7082">
            <w:pPr>
              <w:jc w:val="both"/>
              <w:rPr>
                <w:sz w:val="16"/>
                <w:szCs w:val="16"/>
                <w:lang w:eastAsia="en-GB"/>
              </w:rPr>
            </w:pPr>
          </w:p>
        </w:tc>
        <w:tc>
          <w:tcPr>
            <w:tcW w:w="1194" w:type="dxa"/>
            <w:vMerge w:val="restart"/>
            <w:tcBorders>
              <w:top w:val="nil"/>
              <w:left w:val="nil"/>
              <w:bottom w:val="nil"/>
              <w:right w:val="nil"/>
            </w:tcBorders>
            <w:noWrap/>
            <w:vAlign w:val="center"/>
            <w:hideMark/>
          </w:tcPr>
          <w:p w14:paraId="7AC8CAFA" w14:textId="77777777" w:rsidR="001E69A9" w:rsidRPr="00980795" w:rsidRDefault="001E69A9" w:rsidP="00FD7082">
            <w:pPr>
              <w:jc w:val="both"/>
              <w:rPr>
                <w:sz w:val="16"/>
                <w:szCs w:val="16"/>
                <w:lang w:eastAsia="en-GB"/>
              </w:rPr>
            </w:pPr>
          </w:p>
        </w:tc>
        <w:tc>
          <w:tcPr>
            <w:tcW w:w="900" w:type="dxa"/>
            <w:vMerge w:val="restart"/>
            <w:tcBorders>
              <w:top w:val="nil"/>
              <w:left w:val="nil"/>
              <w:bottom w:val="nil"/>
              <w:right w:val="nil"/>
            </w:tcBorders>
            <w:noWrap/>
            <w:vAlign w:val="center"/>
            <w:hideMark/>
          </w:tcPr>
          <w:p w14:paraId="041FC4B9" w14:textId="77777777" w:rsidR="001E69A9" w:rsidRPr="00980795" w:rsidRDefault="001E69A9" w:rsidP="00FD7082">
            <w:pPr>
              <w:jc w:val="both"/>
              <w:rPr>
                <w:sz w:val="16"/>
                <w:szCs w:val="16"/>
                <w:lang w:eastAsia="en-GB"/>
              </w:rPr>
            </w:pPr>
          </w:p>
        </w:tc>
      </w:tr>
      <w:tr w:rsidR="001E69A9" w:rsidRPr="00980795" w14:paraId="042E21DE" w14:textId="77777777" w:rsidTr="00FD7082">
        <w:trPr>
          <w:trHeight w:val="315"/>
        </w:trPr>
        <w:tc>
          <w:tcPr>
            <w:tcW w:w="2231" w:type="dxa"/>
            <w:tcBorders>
              <w:top w:val="nil"/>
              <w:left w:val="nil"/>
              <w:bottom w:val="nil"/>
              <w:right w:val="nil"/>
            </w:tcBorders>
            <w:vAlign w:val="center"/>
            <w:hideMark/>
          </w:tcPr>
          <w:p w14:paraId="62FF4837" w14:textId="77777777" w:rsidR="001E69A9" w:rsidRPr="00980795" w:rsidRDefault="001E69A9" w:rsidP="00FD7082">
            <w:pPr>
              <w:jc w:val="both"/>
              <w:rPr>
                <w:b/>
                <w:bCs/>
                <w:sz w:val="16"/>
                <w:szCs w:val="16"/>
                <w:lang w:eastAsia="en-GB"/>
              </w:rPr>
            </w:pPr>
            <w:r w:rsidRPr="00980795">
              <w:rPr>
                <w:b/>
                <w:bCs/>
                <w:sz w:val="16"/>
                <w:szCs w:val="16"/>
                <w:lang w:eastAsia="en-GB"/>
              </w:rPr>
              <w:t>DRIVING</w:t>
            </w:r>
          </w:p>
        </w:tc>
        <w:tc>
          <w:tcPr>
            <w:tcW w:w="1390" w:type="dxa"/>
            <w:vMerge/>
            <w:tcBorders>
              <w:top w:val="nil"/>
              <w:left w:val="nil"/>
              <w:bottom w:val="nil"/>
              <w:right w:val="nil"/>
            </w:tcBorders>
            <w:vAlign w:val="center"/>
            <w:hideMark/>
          </w:tcPr>
          <w:p w14:paraId="768241C4" w14:textId="77777777" w:rsidR="001E69A9" w:rsidRPr="00980795" w:rsidRDefault="001E69A9" w:rsidP="00FD7082">
            <w:pPr>
              <w:jc w:val="both"/>
              <w:rPr>
                <w:b/>
                <w:bCs/>
                <w:sz w:val="16"/>
                <w:szCs w:val="16"/>
                <w:lang w:eastAsia="en-GB"/>
              </w:rPr>
            </w:pPr>
          </w:p>
        </w:tc>
        <w:tc>
          <w:tcPr>
            <w:tcW w:w="1661" w:type="dxa"/>
            <w:vMerge/>
            <w:tcBorders>
              <w:top w:val="nil"/>
              <w:left w:val="nil"/>
              <w:bottom w:val="nil"/>
              <w:right w:val="nil"/>
            </w:tcBorders>
            <w:vAlign w:val="center"/>
            <w:hideMark/>
          </w:tcPr>
          <w:p w14:paraId="7E21E998" w14:textId="77777777" w:rsidR="001E69A9" w:rsidRPr="00980795" w:rsidRDefault="001E69A9" w:rsidP="00FD7082">
            <w:pPr>
              <w:jc w:val="both"/>
              <w:rPr>
                <w:sz w:val="16"/>
                <w:szCs w:val="16"/>
                <w:lang w:eastAsia="en-GB"/>
              </w:rPr>
            </w:pPr>
          </w:p>
        </w:tc>
        <w:tc>
          <w:tcPr>
            <w:tcW w:w="1389" w:type="dxa"/>
            <w:vMerge/>
            <w:tcBorders>
              <w:top w:val="nil"/>
              <w:left w:val="nil"/>
              <w:bottom w:val="nil"/>
              <w:right w:val="nil"/>
            </w:tcBorders>
            <w:vAlign w:val="center"/>
            <w:hideMark/>
          </w:tcPr>
          <w:p w14:paraId="760B73E9" w14:textId="77777777" w:rsidR="001E69A9" w:rsidRPr="00980795" w:rsidRDefault="001E69A9" w:rsidP="00FD7082">
            <w:pPr>
              <w:jc w:val="both"/>
              <w:rPr>
                <w:sz w:val="16"/>
                <w:szCs w:val="16"/>
                <w:lang w:eastAsia="en-GB"/>
              </w:rPr>
            </w:pPr>
          </w:p>
        </w:tc>
        <w:tc>
          <w:tcPr>
            <w:tcW w:w="1495" w:type="dxa"/>
            <w:vMerge/>
            <w:tcBorders>
              <w:top w:val="nil"/>
              <w:left w:val="nil"/>
              <w:bottom w:val="nil"/>
              <w:right w:val="nil"/>
            </w:tcBorders>
            <w:vAlign w:val="center"/>
            <w:hideMark/>
          </w:tcPr>
          <w:p w14:paraId="306AB00D" w14:textId="77777777" w:rsidR="001E69A9" w:rsidRPr="00980795" w:rsidRDefault="001E69A9" w:rsidP="00FD7082">
            <w:pPr>
              <w:jc w:val="both"/>
              <w:rPr>
                <w:sz w:val="16"/>
                <w:szCs w:val="16"/>
                <w:lang w:eastAsia="en-GB"/>
              </w:rPr>
            </w:pPr>
          </w:p>
        </w:tc>
        <w:tc>
          <w:tcPr>
            <w:tcW w:w="1194" w:type="dxa"/>
            <w:vMerge/>
            <w:tcBorders>
              <w:top w:val="nil"/>
              <w:left w:val="nil"/>
              <w:bottom w:val="nil"/>
              <w:right w:val="nil"/>
            </w:tcBorders>
            <w:vAlign w:val="center"/>
            <w:hideMark/>
          </w:tcPr>
          <w:p w14:paraId="07F0A6B0" w14:textId="77777777" w:rsidR="001E69A9" w:rsidRPr="00980795" w:rsidRDefault="001E69A9" w:rsidP="00FD7082">
            <w:pPr>
              <w:jc w:val="both"/>
              <w:rPr>
                <w:sz w:val="16"/>
                <w:szCs w:val="16"/>
                <w:lang w:eastAsia="en-GB"/>
              </w:rPr>
            </w:pPr>
          </w:p>
        </w:tc>
        <w:tc>
          <w:tcPr>
            <w:tcW w:w="900" w:type="dxa"/>
            <w:vMerge/>
            <w:tcBorders>
              <w:top w:val="nil"/>
              <w:left w:val="nil"/>
              <w:bottom w:val="nil"/>
              <w:right w:val="nil"/>
            </w:tcBorders>
            <w:vAlign w:val="center"/>
            <w:hideMark/>
          </w:tcPr>
          <w:p w14:paraId="363757C0" w14:textId="77777777" w:rsidR="001E69A9" w:rsidRPr="00980795" w:rsidRDefault="001E69A9" w:rsidP="00FD7082">
            <w:pPr>
              <w:jc w:val="both"/>
              <w:rPr>
                <w:sz w:val="16"/>
                <w:szCs w:val="16"/>
                <w:lang w:eastAsia="en-GB"/>
              </w:rPr>
            </w:pPr>
          </w:p>
        </w:tc>
      </w:tr>
      <w:tr w:rsidR="001E69A9" w:rsidRPr="00980795" w14:paraId="18B20F04" w14:textId="77777777" w:rsidTr="00FD7082">
        <w:trPr>
          <w:trHeight w:val="315"/>
        </w:trPr>
        <w:tc>
          <w:tcPr>
            <w:tcW w:w="2231" w:type="dxa"/>
            <w:tcBorders>
              <w:top w:val="nil"/>
              <w:left w:val="nil"/>
              <w:bottom w:val="nil"/>
              <w:right w:val="nil"/>
            </w:tcBorders>
            <w:noWrap/>
            <w:vAlign w:val="center"/>
            <w:hideMark/>
          </w:tcPr>
          <w:p w14:paraId="78D5EF34" w14:textId="77777777" w:rsidR="001E69A9" w:rsidRPr="00980795" w:rsidRDefault="001E69A9" w:rsidP="00FD7082">
            <w:pPr>
              <w:jc w:val="both"/>
              <w:rPr>
                <w:sz w:val="16"/>
                <w:szCs w:val="16"/>
                <w:lang w:eastAsia="en-GB"/>
              </w:rPr>
            </w:pPr>
            <w:r w:rsidRPr="00980795">
              <w:rPr>
                <w:sz w:val="16"/>
                <w:szCs w:val="16"/>
                <w:lang w:eastAsia="en-GB"/>
              </w:rPr>
              <w:t>1 -10</w:t>
            </w:r>
          </w:p>
        </w:tc>
        <w:tc>
          <w:tcPr>
            <w:tcW w:w="1390" w:type="dxa"/>
            <w:tcBorders>
              <w:top w:val="nil"/>
              <w:left w:val="nil"/>
              <w:bottom w:val="nil"/>
              <w:right w:val="nil"/>
            </w:tcBorders>
            <w:noWrap/>
            <w:vAlign w:val="center"/>
            <w:hideMark/>
          </w:tcPr>
          <w:p w14:paraId="42468884" w14:textId="77777777" w:rsidR="001E69A9" w:rsidRPr="00980795" w:rsidRDefault="001E69A9" w:rsidP="00FD7082">
            <w:pPr>
              <w:jc w:val="both"/>
              <w:rPr>
                <w:sz w:val="16"/>
                <w:szCs w:val="16"/>
                <w:lang w:eastAsia="en-GB"/>
              </w:rPr>
            </w:pPr>
            <w:r w:rsidRPr="00980795">
              <w:rPr>
                <w:sz w:val="16"/>
                <w:szCs w:val="16"/>
                <w:lang w:eastAsia="en-GB"/>
              </w:rPr>
              <w:t>55 (69.6%)</w:t>
            </w:r>
          </w:p>
        </w:tc>
        <w:tc>
          <w:tcPr>
            <w:tcW w:w="1661" w:type="dxa"/>
            <w:tcBorders>
              <w:top w:val="nil"/>
              <w:left w:val="nil"/>
              <w:bottom w:val="nil"/>
              <w:right w:val="nil"/>
            </w:tcBorders>
            <w:noWrap/>
            <w:vAlign w:val="center"/>
            <w:hideMark/>
          </w:tcPr>
          <w:p w14:paraId="26EFF5B7" w14:textId="77777777" w:rsidR="001E69A9" w:rsidRPr="00980795" w:rsidRDefault="001E69A9" w:rsidP="00FD7082">
            <w:pPr>
              <w:jc w:val="both"/>
              <w:rPr>
                <w:sz w:val="16"/>
                <w:szCs w:val="16"/>
                <w:lang w:eastAsia="en-GB"/>
              </w:rPr>
            </w:pPr>
            <w:r w:rsidRPr="00980795">
              <w:rPr>
                <w:sz w:val="16"/>
                <w:szCs w:val="16"/>
                <w:lang w:eastAsia="en-GB"/>
              </w:rPr>
              <w:t>22 (27.9%)</w:t>
            </w:r>
          </w:p>
        </w:tc>
        <w:tc>
          <w:tcPr>
            <w:tcW w:w="1389" w:type="dxa"/>
            <w:tcBorders>
              <w:top w:val="nil"/>
              <w:left w:val="nil"/>
              <w:bottom w:val="nil"/>
              <w:right w:val="nil"/>
            </w:tcBorders>
            <w:noWrap/>
            <w:vAlign w:val="center"/>
            <w:hideMark/>
          </w:tcPr>
          <w:p w14:paraId="5EB22513" w14:textId="77777777" w:rsidR="001E69A9" w:rsidRPr="00980795" w:rsidRDefault="001E69A9" w:rsidP="00FD7082">
            <w:pPr>
              <w:jc w:val="both"/>
              <w:rPr>
                <w:sz w:val="16"/>
                <w:szCs w:val="16"/>
                <w:lang w:eastAsia="en-GB"/>
              </w:rPr>
            </w:pPr>
            <w:r w:rsidRPr="00980795">
              <w:rPr>
                <w:sz w:val="16"/>
                <w:szCs w:val="16"/>
                <w:lang w:eastAsia="en-GB"/>
              </w:rPr>
              <w:t>2 (2.5%)</w:t>
            </w:r>
          </w:p>
        </w:tc>
        <w:tc>
          <w:tcPr>
            <w:tcW w:w="1495" w:type="dxa"/>
            <w:tcBorders>
              <w:top w:val="nil"/>
              <w:left w:val="nil"/>
              <w:bottom w:val="nil"/>
              <w:right w:val="nil"/>
            </w:tcBorders>
            <w:vAlign w:val="center"/>
            <w:hideMark/>
          </w:tcPr>
          <w:p w14:paraId="7345418F" w14:textId="77777777" w:rsidR="001E69A9" w:rsidRPr="00980795" w:rsidRDefault="001E69A9" w:rsidP="00FD7082">
            <w:pPr>
              <w:jc w:val="both"/>
              <w:rPr>
                <w:sz w:val="16"/>
                <w:szCs w:val="16"/>
                <w:lang w:eastAsia="en-GB"/>
              </w:rPr>
            </w:pPr>
            <w:r w:rsidRPr="00980795">
              <w:rPr>
                <w:sz w:val="16"/>
                <w:szCs w:val="16"/>
                <w:lang w:eastAsia="en-GB"/>
              </w:rPr>
              <w:t>79 (100%)</w:t>
            </w:r>
          </w:p>
        </w:tc>
        <w:tc>
          <w:tcPr>
            <w:tcW w:w="1194" w:type="dxa"/>
            <w:tcBorders>
              <w:top w:val="nil"/>
              <w:left w:val="nil"/>
              <w:bottom w:val="nil"/>
              <w:right w:val="nil"/>
            </w:tcBorders>
            <w:noWrap/>
            <w:vAlign w:val="center"/>
            <w:hideMark/>
          </w:tcPr>
          <w:p w14:paraId="42F10E39" w14:textId="77777777" w:rsidR="001E69A9" w:rsidRPr="00980795" w:rsidRDefault="001E69A9" w:rsidP="00FD7082">
            <w:pPr>
              <w:jc w:val="both"/>
              <w:rPr>
                <w:sz w:val="16"/>
                <w:szCs w:val="16"/>
                <w:lang w:eastAsia="en-GB"/>
              </w:rPr>
            </w:pPr>
            <w:r w:rsidRPr="00980795">
              <w:rPr>
                <w:sz w:val="16"/>
                <w:szCs w:val="16"/>
                <w:lang w:eastAsia="en-GB"/>
              </w:rPr>
              <w:t>71.707</w:t>
            </w:r>
          </w:p>
        </w:tc>
        <w:tc>
          <w:tcPr>
            <w:tcW w:w="900" w:type="dxa"/>
            <w:tcBorders>
              <w:top w:val="nil"/>
              <w:left w:val="nil"/>
              <w:bottom w:val="nil"/>
              <w:right w:val="nil"/>
            </w:tcBorders>
            <w:noWrap/>
            <w:vAlign w:val="center"/>
            <w:hideMark/>
          </w:tcPr>
          <w:p w14:paraId="34BB838A" w14:textId="77777777" w:rsidR="001E69A9" w:rsidRPr="00980795" w:rsidRDefault="001E69A9" w:rsidP="00FD7082">
            <w:pPr>
              <w:jc w:val="both"/>
              <w:rPr>
                <w:sz w:val="16"/>
                <w:szCs w:val="16"/>
                <w:lang w:eastAsia="en-GB"/>
              </w:rPr>
            </w:pPr>
            <w:r w:rsidRPr="00980795">
              <w:rPr>
                <w:sz w:val="16"/>
                <w:szCs w:val="16"/>
                <w:lang w:eastAsia="en-GB"/>
              </w:rPr>
              <w:t>0.000*</w:t>
            </w:r>
          </w:p>
        </w:tc>
      </w:tr>
      <w:tr w:rsidR="001E69A9" w:rsidRPr="00980795" w14:paraId="5CA6BA91" w14:textId="77777777" w:rsidTr="00FD7082">
        <w:trPr>
          <w:trHeight w:val="315"/>
        </w:trPr>
        <w:tc>
          <w:tcPr>
            <w:tcW w:w="2231" w:type="dxa"/>
            <w:tcBorders>
              <w:top w:val="nil"/>
              <w:left w:val="nil"/>
              <w:bottom w:val="nil"/>
              <w:right w:val="nil"/>
            </w:tcBorders>
            <w:noWrap/>
            <w:vAlign w:val="center"/>
            <w:hideMark/>
          </w:tcPr>
          <w:p w14:paraId="01F6C3AE" w14:textId="77777777" w:rsidR="001E69A9" w:rsidRPr="00980795" w:rsidRDefault="001E69A9" w:rsidP="00FD7082">
            <w:pPr>
              <w:jc w:val="both"/>
              <w:rPr>
                <w:sz w:val="16"/>
                <w:szCs w:val="16"/>
                <w:lang w:eastAsia="en-GB"/>
              </w:rPr>
            </w:pPr>
            <w:r w:rsidRPr="00980795">
              <w:rPr>
                <w:sz w:val="16"/>
                <w:szCs w:val="16"/>
                <w:lang w:eastAsia="en-GB"/>
              </w:rPr>
              <w:t>11 – 20</w:t>
            </w:r>
          </w:p>
        </w:tc>
        <w:tc>
          <w:tcPr>
            <w:tcW w:w="1390" w:type="dxa"/>
            <w:tcBorders>
              <w:top w:val="nil"/>
              <w:left w:val="nil"/>
              <w:bottom w:val="nil"/>
              <w:right w:val="nil"/>
            </w:tcBorders>
            <w:noWrap/>
            <w:vAlign w:val="center"/>
            <w:hideMark/>
          </w:tcPr>
          <w:p w14:paraId="72BD98AA" w14:textId="77777777" w:rsidR="001E69A9" w:rsidRPr="00980795" w:rsidRDefault="001E69A9" w:rsidP="00FD7082">
            <w:pPr>
              <w:jc w:val="both"/>
              <w:rPr>
                <w:sz w:val="16"/>
                <w:szCs w:val="16"/>
                <w:lang w:eastAsia="en-GB"/>
              </w:rPr>
            </w:pPr>
            <w:r w:rsidRPr="00980795">
              <w:rPr>
                <w:sz w:val="16"/>
                <w:szCs w:val="16"/>
                <w:lang w:eastAsia="en-GB"/>
              </w:rPr>
              <w:t>19 (30.6%)</w:t>
            </w:r>
          </w:p>
        </w:tc>
        <w:tc>
          <w:tcPr>
            <w:tcW w:w="1661" w:type="dxa"/>
            <w:tcBorders>
              <w:top w:val="nil"/>
              <w:left w:val="nil"/>
              <w:bottom w:val="nil"/>
              <w:right w:val="nil"/>
            </w:tcBorders>
            <w:noWrap/>
            <w:vAlign w:val="center"/>
            <w:hideMark/>
          </w:tcPr>
          <w:p w14:paraId="6E96A346" w14:textId="77777777" w:rsidR="001E69A9" w:rsidRPr="00980795" w:rsidRDefault="001E69A9" w:rsidP="00FD7082">
            <w:pPr>
              <w:jc w:val="both"/>
              <w:rPr>
                <w:sz w:val="16"/>
                <w:szCs w:val="16"/>
                <w:lang w:eastAsia="en-GB"/>
              </w:rPr>
            </w:pPr>
            <w:r w:rsidRPr="00980795">
              <w:rPr>
                <w:sz w:val="16"/>
                <w:szCs w:val="16"/>
                <w:lang w:eastAsia="en-GB"/>
              </w:rPr>
              <w:t>13 (21.0%)</w:t>
            </w:r>
          </w:p>
        </w:tc>
        <w:tc>
          <w:tcPr>
            <w:tcW w:w="1389" w:type="dxa"/>
            <w:tcBorders>
              <w:top w:val="nil"/>
              <w:left w:val="nil"/>
              <w:bottom w:val="nil"/>
              <w:right w:val="nil"/>
            </w:tcBorders>
            <w:noWrap/>
            <w:vAlign w:val="center"/>
            <w:hideMark/>
          </w:tcPr>
          <w:p w14:paraId="2402AC64" w14:textId="77777777" w:rsidR="001E69A9" w:rsidRPr="00980795" w:rsidRDefault="001E69A9" w:rsidP="00FD7082">
            <w:pPr>
              <w:jc w:val="both"/>
              <w:rPr>
                <w:sz w:val="16"/>
                <w:szCs w:val="16"/>
                <w:lang w:eastAsia="en-GB"/>
              </w:rPr>
            </w:pPr>
            <w:r w:rsidRPr="00980795">
              <w:rPr>
                <w:sz w:val="16"/>
                <w:szCs w:val="16"/>
                <w:lang w:eastAsia="en-GB"/>
              </w:rPr>
              <w:t>30 (48.4%)</w:t>
            </w:r>
          </w:p>
        </w:tc>
        <w:tc>
          <w:tcPr>
            <w:tcW w:w="1495" w:type="dxa"/>
            <w:tcBorders>
              <w:top w:val="nil"/>
              <w:left w:val="nil"/>
              <w:bottom w:val="nil"/>
              <w:right w:val="nil"/>
            </w:tcBorders>
            <w:vAlign w:val="center"/>
            <w:hideMark/>
          </w:tcPr>
          <w:p w14:paraId="159C4AD4" w14:textId="77777777" w:rsidR="001E69A9" w:rsidRPr="00980795" w:rsidRDefault="001E69A9" w:rsidP="00FD7082">
            <w:pPr>
              <w:jc w:val="both"/>
              <w:rPr>
                <w:sz w:val="16"/>
                <w:szCs w:val="16"/>
                <w:lang w:eastAsia="en-GB"/>
              </w:rPr>
            </w:pPr>
            <w:r w:rsidRPr="00980795">
              <w:rPr>
                <w:sz w:val="16"/>
                <w:szCs w:val="16"/>
                <w:lang w:eastAsia="en-GB"/>
              </w:rPr>
              <w:t>62 (100%)</w:t>
            </w:r>
          </w:p>
        </w:tc>
        <w:tc>
          <w:tcPr>
            <w:tcW w:w="1194" w:type="dxa"/>
            <w:tcBorders>
              <w:top w:val="nil"/>
              <w:left w:val="nil"/>
              <w:bottom w:val="nil"/>
              <w:right w:val="nil"/>
            </w:tcBorders>
            <w:noWrap/>
            <w:vAlign w:val="center"/>
            <w:hideMark/>
          </w:tcPr>
          <w:p w14:paraId="27EF59F8"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245B465A" w14:textId="77777777" w:rsidR="001E69A9" w:rsidRPr="00980795" w:rsidRDefault="001E69A9" w:rsidP="00FD7082">
            <w:pPr>
              <w:jc w:val="both"/>
              <w:rPr>
                <w:sz w:val="16"/>
                <w:szCs w:val="16"/>
                <w:lang w:eastAsia="en-GB"/>
              </w:rPr>
            </w:pPr>
          </w:p>
        </w:tc>
      </w:tr>
      <w:tr w:rsidR="001E69A9" w:rsidRPr="00980795" w14:paraId="1DFFD9C2" w14:textId="77777777" w:rsidTr="00FD7082">
        <w:trPr>
          <w:trHeight w:val="315"/>
        </w:trPr>
        <w:tc>
          <w:tcPr>
            <w:tcW w:w="2231" w:type="dxa"/>
            <w:tcBorders>
              <w:top w:val="nil"/>
              <w:left w:val="nil"/>
              <w:bottom w:val="nil"/>
              <w:right w:val="nil"/>
            </w:tcBorders>
            <w:noWrap/>
            <w:vAlign w:val="center"/>
            <w:hideMark/>
          </w:tcPr>
          <w:p w14:paraId="03503EA5" w14:textId="77777777" w:rsidR="001E69A9" w:rsidRPr="00980795" w:rsidRDefault="001E69A9" w:rsidP="00FD7082">
            <w:pPr>
              <w:jc w:val="both"/>
              <w:rPr>
                <w:sz w:val="16"/>
                <w:szCs w:val="16"/>
                <w:lang w:eastAsia="en-GB"/>
              </w:rPr>
            </w:pPr>
            <w:r w:rsidRPr="00980795">
              <w:rPr>
                <w:sz w:val="16"/>
                <w:szCs w:val="16"/>
                <w:lang w:eastAsia="en-GB"/>
              </w:rPr>
              <w:t>21 – 30</w:t>
            </w:r>
          </w:p>
        </w:tc>
        <w:tc>
          <w:tcPr>
            <w:tcW w:w="1390" w:type="dxa"/>
            <w:tcBorders>
              <w:top w:val="nil"/>
              <w:left w:val="nil"/>
              <w:bottom w:val="nil"/>
              <w:right w:val="nil"/>
            </w:tcBorders>
            <w:noWrap/>
            <w:vAlign w:val="center"/>
            <w:hideMark/>
          </w:tcPr>
          <w:p w14:paraId="387FFDFC" w14:textId="77777777" w:rsidR="001E69A9" w:rsidRPr="00980795" w:rsidRDefault="001E69A9" w:rsidP="00FD7082">
            <w:pPr>
              <w:jc w:val="both"/>
              <w:rPr>
                <w:sz w:val="16"/>
                <w:szCs w:val="16"/>
                <w:lang w:eastAsia="en-GB"/>
              </w:rPr>
            </w:pPr>
            <w:r w:rsidRPr="00980795">
              <w:rPr>
                <w:sz w:val="16"/>
                <w:szCs w:val="16"/>
                <w:lang w:eastAsia="en-GB"/>
              </w:rPr>
              <w:t>3 (9.7%)</w:t>
            </w:r>
          </w:p>
        </w:tc>
        <w:tc>
          <w:tcPr>
            <w:tcW w:w="1661" w:type="dxa"/>
            <w:tcBorders>
              <w:top w:val="nil"/>
              <w:left w:val="nil"/>
              <w:bottom w:val="nil"/>
              <w:right w:val="nil"/>
            </w:tcBorders>
            <w:noWrap/>
            <w:vAlign w:val="center"/>
            <w:hideMark/>
          </w:tcPr>
          <w:p w14:paraId="213F6F50" w14:textId="77777777" w:rsidR="001E69A9" w:rsidRPr="00980795" w:rsidRDefault="001E69A9" w:rsidP="00FD7082">
            <w:pPr>
              <w:jc w:val="both"/>
              <w:rPr>
                <w:sz w:val="16"/>
                <w:szCs w:val="16"/>
                <w:lang w:eastAsia="en-GB"/>
              </w:rPr>
            </w:pPr>
            <w:r w:rsidRPr="00980795">
              <w:rPr>
                <w:sz w:val="16"/>
                <w:szCs w:val="16"/>
                <w:lang w:eastAsia="en-GB"/>
              </w:rPr>
              <w:t>6 (19.4%)</w:t>
            </w:r>
          </w:p>
        </w:tc>
        <w:tc>
          <w:tcPr>
            <w:tcW w:w="1389" w:type="dxa"/>
            <w:tcBorders>
              <w:top w:val="nil"/>
              <w:left w:val="nil"/>
              <w:bottom w:val="nil"/>
              <w:right w:val="nil"/>
            </w:tcBorders>
            <w:noWrap/>
            <w:vAlign w:val="center"/>
            <w:hideMark/>
          </w:tcPr>
          <w:p w14:paraId="199E147A" w14:textId="77777777" w:rsidR="001E69A9" w:rsidRPr="00980795" w:rsidRDefault="001E69A9" w:rsidP="00FD7082">
            <w:pPr>
              <w:jc w:val="both"/>
              <w:rPr>
                <w:sz w:val="16"/>
                <w:szCs w:val="16"/>
                <w:lang w:eastAsia="en-GB"/>
              </w:rPr>
            </w:pPr>
            <w:r w:rsidRPr="00980795">
              <w:rPr>
                <w:sz w:val="16"/>
                <w:szCs w:val="16"/>
                <w:lang w:eastAsia="en-GB"/>
              </w:rPr>
              <w:t>22 (70.9%)</w:t>
            </w:r>
          </w:p>
        </w:tc>
        <w:tc>
          <w:tcPr>
            <w:tcW w:w="1495" w:type="dxa"/>
            <w:tcBorders>
              <w:top w:val="nil"/>
              <w:left w:val="nil"/>
              <w:bottom w:val="nil"/>
              <w:right w:val="nil"/>
            </w:tcBorders>
            <w:vAlign w:val="center"/>
            <w:hideMark/>
          </w:tcPr>
          <w:p w14:paraId="60843993" w14:textId="77777777" w:rsidR="001E69A9" w:rsidRPr="00980795" w:rsidRDefault="001E69A9" w:rsidP="00FD7082">
            <w:pPr>
              <w:jc w:val="both"/>
              <w:rPr>
                <w:sz w:val="16"/>
                <w:szCs w:val="16"/>
                <w:lang w:eastAsia="en-GB"/>
              </w:rPr>
            </w:pPr>
            <w:r w:rsidRPr="00980795">
              <w:rPr>
                <w:sz w:val="16"/>
                <w:szCs w:val="16"/>
                <w:lang w:eastAsia="en-GB"/>
              </w:rPr>
              <w:t>31 (100%)</w:t>
            </w:r>
          </w:p>
        </w:tc>
        <w:tc>
          <w:tcPr>
            <w:tcW w:w="1194" w:type="dxa"/>
            <w:tcBorders>
              <w:top w:val="nil"/>
              <w:left w:val="nil"/>
              <w:bottom w:val="nil"/>
              <w:right w:val="nil"/>
            </w:tcBorders>
            <w:noWrap/>
            <w:vAlign w:val="center"/>
            <w:hideMark/>
          </w:tcPr>
          <w:p w14:paraId="4BA1B184"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1523EB20" w14:textId="77777777" w:rsidR="001E69A9" w:rsidRPr="00980795" w:rsidRDefault="001E69A9" w:rsidP="00FD7082">
            <w:pPr>
              <w:jc w:val="both"/>
              <w:rPr>
                <w:sz w:val="16"/>
                <w:szCs w:val="16"/>
                <w:lang w:eastAsia="en-GB"/>
              </w:rPr>
            </w:pPr>
          </w:p>
        </w:tc>
      </w:tr>
      <w:tr w:rsidR="001E69A9" w:rsidRPr="00980795" w14:paraId="4FBF9568" w14:textId="77777777" w:rsidTr="00FD7082">
        <w:trPr>
          <w:trHeight w:val="330"/>
        </w:trPr>
        <w:tc>
          <w:tcPr>
            <w:tcW w:w="2231" w:type="dxa"/>
            <w:tcBorders>
              <w:top w:val="nil"/>
              <w:left w:val="nil"/>
              <w:bottom w:val="single" w:sz="8" w:space="0" w:color="auto"/>
              <w:right w:val="nil"/>
            </w:tcBorders>
            <w:noWrap/>
            <w:vAlign w:val="center"/>
            <w:hideMark/>
          </w:tcPr>
          <w:p w14:paraId="7B51A49D" w14:textId="77777777" w:rsidR="001E69A9" w:rsidRPr="00980795" w:rsidRDefault="001E69A9" w:rsidP="00FD7082">
            <w:pPr>
              <w:jc w:val="both"/>
              <w:rPr>
                <w:sz w:val="16"/>
                <w:szCs w:val="16"/>
                <w:lang w:eastAsia="en-GB"/>
              </w:rPr>
            </w:pPr>
            <w:r w:rsidRPr="00980795">
              <w:rPr>
                <w:sz w:val="16"/>
                <w:szCs w:val="16"/>
                <w:lang w:eastAsia="en-GB"/>
              </w:rPr>
              <w:t>31 – 40</w:t>
            </w:r>
          </w:p>
        </w:tc>
        <w:tc>
          <w:tcPr>
            <w:tcW w:w="1390" w:type="dxa"/>
            <w:tcBorders>
              <w:top w:val="nil"/>
              <w:left w:val="nil"/>
              <w:bottom w:val="nil"/>
              <w:right w:val="nil"/>
            </w:tcBorders>
            <w:noWrap/>
            <w:vAlign w:val="center"/>
            <w:hideMark/>
          </w:tcPr>
          <w:p w14:paraId="062523A2" w14:textId="77777777" w:rsidR="001E69A9" w:rsidRPr="00980795" w:rsidRDefault="001E69A9" w:rsidP="00FD7082">
            <w:pPr>
              <w:jc w:val="both"/>
              <w:rPr>
                <w:sz w:val="16"/>
                <w:szCs w:val="16"/>
                <w:lang w:eastAsia="en-GB"/>
              </w:rPr>
            </w:pPr>
            <w:r w:rsidRPr="00980795">
              <w:rPr>
                <w:sz w:val="16"/>
                <w:szCs w:val="16"/>
                <w:lang w:eastAsia="en-GB"/>
              </w:rPr>
              <w:t>3 (18.8%)</w:t>
            </w:r>
          </w:p>
        </w:tc>
        <w:tc>
          <w:tcPr>
            <w:tcW w:w="1661" w:type="dxa"/>
            <w:tcBorders>
              <w:top w:val="nil"/>
              <w:left w:val="nil"/>
              <w:bottom w:val="nil"/>
              <w:right w:val="nil"/>
            </w:tcBorders>
            <w:noWrap/>
            <w:vAlign w:val="center"/>
            <w:hideMark/>
          </w:tcPr>
          <w:p w14:paraId="59D4B66C" w14:textId="77777777" w:rsidR="001E69A9" w:rsidRPr="00980795" w:rsidRDefault="001E69A9" w:rsidP="00FD7082">
            <w:pPr>
              <w:jc w:val="both"/>
              <w:rPr>
                <w:sz w:val="16"/>
                <w:szCs w:val="16"/>
                <w:lang w:eastAsia="en-GB"/>
              </w:rPr>
            </w:pPr>
            <w:r w:rsidRPr="00980795">
              <w:rPr>
                <w:sz w:val="16"/>
                <w:szCs w:val="16"/>
                <w:lang w:eastAsia="en-GB"/>
              </w:rPr>
              <w:t>2 (12.5%)</w:t>
            </w:r>
          </w:p>
        </w:tc>
        <w:tc>
          <w:tcPr>
            <w:tcW w:w="1389" w:type="dxa"/>
            <w:tcBorders>
              <w:top w:val="nil"/>
              <w:left w:val="nil"/>
              <w:bottom w:val="nil"/>
              <w:right w:val="nil"/>
            </w:tcBorders>
            <w:noWrap/>
            <w:vAlign w:val="center"/>
            <w:hideMark/>
          </w:tcPr>
          <w:p w14:paraId="50672C65" w14:textId="77777777" w:rsidR="001E69A9" w:rsidRPr="00980795" w:rsidRDefault="001E69A9" w:rsidP="00FD7082">
            <w:pPr>
              <w:jc w:val="both"/>
              <w:rPr>
                <w:sz w:val="16"/>
                <w:szCs w:val="16"/>
                <w:lang w:eastAsia="en-GB"/>
              </w:rPr>
            </w:pPr>
            <w:r w:rsidRPr="00980795">
              <w:rPr>
                <w:sz w:val="16"/>
                <w:szCs w:val="16"/>
                <w:lang w:eastAsia="en-GB"/>
              </w:rPr>
              <w:t>11 (68.7%)</w:t>
            </w:r>
          </w:p>
        </w:tc>
        <w:tc>
          <w:tcPr>
            <w:tcW w:w="1495" w:type="dxa"/>
            <w:tcBorders>
              <w:top w:val="nil"/>
              <w:left w:val="nil"/>
              <w:bottom w:val="nil"/>
              <w:right w:val="nil"/>
            </w:tcBorders>
            <w:vAlign w:val="center"/>
            <w:hideMark/>
          </w:tcPr>
          <w:p w14:paraId="211EEC65" w14:textId="77777777" w:rsidR="001E69A9" w:rsidRPr="00980795" w:rsidRDefault="001E69A9" w:rsidP="00FD7082">
            <w:pPr>
              <w:jc w:val="both"/>
              <w:rPr>
                <w:sz w:val="16"/>
                <w:szCs w:val="16"/>
                <w:lang w:eastAsia="en-GB"/>
              </w:rPr>
            </w:pPr>
            <w:r w:rsidRPr="00980795">
              <w:rPr>
                <w:sz w:val="16"/>
                <w:szCs w:val="16"/>
                <w:lang w:eastAsia="en-GB"/>
              </w:rPr>
              <w:t>16 (100%)</w:t>
            </w:r>
          </w:p>
        </w:tc>
        <w:tc>
          <w:tcPr>
            <w:tcW w:w="1194" w:type="dxa"/>
            <w:tcBorders>
              <w:top w:val="nil"/>
              <w:left w:val="nil"/>
              <w:bottom w:val="nil"/>
              <w:right w:val="nil"/>
            </w:tcBorders>
            <w:noWrap/>
            <w:vAlign w:val="center"/>
            <w:hideMark/>
          </w:tcPr>
          <w:p w14:paraId="3A5FA008"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bottom"/>
            <w:hideMark/>
          </w:tcPr>
          <w:p w14:paraId="018B155F" w14:textId="77777777" w:rsidR="001E69A9" w:rsidRPr="00980795" w:rsidRDefault="001E69A9" w:rsidP="00FD7082">
            <w:pPr>
              <w:jc w:val="both"/>
              <w:rPr>
                <w:sz w:val="16"/>
                <w:szCs w:val="16"/>
                <w:lang w:eastAsia="en-GB"/>
              </w:rPr>
            </w:pPr>
          </w:p>
        </w:tc>
      </w:tr>
      <w:tr w:rsidR="001E69A9" w:rsidRPr="00980795" w14:paraId="6F9F393D" w14:textId="77777777" w:rsidTr="00FD7082">
        <w:trPr>
          <w:trHeight w:val="315"/>
        </w:trPr>
        <w:tc>
          <w:tcPr>
            <w:tcW w:w="2231" w:type="dxa"/>
            <w:tcBorders>
              <w:top w:val="nil"/>
              <w:left w:val="nil"/>
              <w:bottom w:val="nil"/>
              <w:right w:val="nil"/>
            </w:tcBorders>
            <w:vAlign w:val="center"/>
            <w:hideMark/>
          </w:tcPr>
          <w:p w14:paraId="03D3A3F5" w14:textId="77777777" w:rsidR="001E69A9" w:rsidRPr="00980795" w:rsidRDefault="001E69A9" w:rsidP="00FD7082">
            <w:pPr>
              <w:jc w:val="both"/>
              <w:rPr>
                <w:b/>
                <w:bCs/>
                <w:sz w:val="16"/>
                <w:szCs w:val="16"/>
                <w:lang w:eastAsia="en-GB"/>
              </w:rPr>
            </w:pPr>
            <w:r w:rsidRPr="00980795">
              <w:rPr>
                <w:b/>
                <w:bCs/>
                <w:sz w:val="16"/>
                <w:szCs w:val="16"/>
                <w:lang w:eastAsia="en-GB"/>
              </w:rPr>
              <w:t>PRE-LICENSE EYE</w:t>
            </w:r>
          </w:p>
        </w:tc>
        <w:tc>
          <w:tcPr>
            <w:tcW w:w="1390" w:type="dxa"/>
            <w:vMerge w:val="restart"/>
            <w:tcBorders>
              <w:top w:val="nil"/>
              <w:left w:val="nil"/>
              <w:bottom w:val="nil"/>
              <w:right w:val="nil"/>
            </w:tcBorders>
            <w:noWrap/>
            <w:vAlign w:val="center"/>
            <w:hideMark/>
          </w:tcPr>
          <w:p w14:paraId="69459F88" w14:textId="77777777" w:rsidR="001E69A9" w:rsidRPr="00980795" w:rsidRDefault="001E69A9" w:rsidP="00FD7082">
            <w:pPr>
              <w:jc w:val="both"/>
              <w:rPr>
                <w:b/>
                <w:bCs/>
                <w:sz w:val="16"/>
                <w:szCs w:val="16"/>
                <w:lang w:eastAsia="en-GB"/>
              </w:rPr>
            </w:pPr>
          </w:p>
        </w:tc>
        <w:tc>
          <w:tcPr>
            <w:tcW w:w="1661" w:type="dxa"/>
            <w:vMerge w:val="restart"/>
            <w:tcBorders>
              <w:top w:val="nil"/>
              <w:left w:val="nil"/>
              <w:bottom w:val="nil"/>
              <w:right w:val="nil"/>
            </w:tcBorders>
            <w:noWrap/>
            <w:vAlign w:val="center"/>
            <w:hideMark/>
          </w:tcPr>
          <w:p w14:paraId="2F0600B8" w14:textId="77777777" w:rsidR="001E69A9" w:rsidRPr="00980795" w:rsidRDefault="001E69A9" w:rsidP="00FD7082">
            <w:pPr>
              <w:jc w:val="both"/>
              <w:rPr>
                <w:sz w:val="16"/>
                <w:szCs w:val="16"/>
                <w:lang w:eastAsia="en-GB"/>
              </w:rPr>
            </w:pPr>
          </w:p>
        </w:tc>
        <w:tc>
          <w:tcPr>
            <w:tcW w:w="1389" w:type="dxa"/>
            <w:vMerge w:val="restart"/>
            <w:tcBorders>
              <w:top w:val="nil"/>
              <w:left w:val="nil"/>
              <w:bottom w:val="nil"/>
              <w:right w:val="nil"/>
            </w:tcBorders>
            <w:noWrap/>
            <w:vAlign w:val="center"/>
            <w:hideMark/>
          </w:tcPr>
          <w:p w14:paraId="1456644B" w14:textId="77777777" w:rsidR="001E69A9" w:rsidRPr="00980795" w:rsidRDefault="001E69A9" w:rsidP="00FD7082">
            <w:pPr>
              <w:jc w:val="both"/>
              <w:rPr>
                <w:sz w:val="16"/>
                <w:szCs w:val="16"/>
                <w:lang w:eastAsia="en-GB"/>
              </w:rPr>
            </w:pPr>
          </w:p>
        </w:tc>
        <w:tc>
          <w:tcPr>
            <w:tcW w:w="1495" w:type="dxa"/>
            <w:vMerge w:val="restart"/>
            <w:tcBorders>
              <w:top w:val="nil"/>
              <w:left w:val="nil"/>
              <w:bottom w:val="nil"/>
              <w:right w:val="nil"/>
            </w:tcBorders>
            <w:vAlign w:val="center"/>
            <w:hideMark/>
          </w:tcPr>
          <w:p w14:paraId="515255BB" w14:textId="77777777" w:rsidR="001E69A9" w:rsidRPr="00980795" w:rsidRDefault="001E69A9" w:rsidP="00FD7082">
            <w:pPr>
              <w:jc w:val="both"/>
              <w:rPr>
                <w:sz w:val="16"/>
                <w:szCs w:val="16"/>
                <w:lang w:eastAsia="en-GB"/>
              </w:rPr>
            </w:pPr>
          </w:p>
        </w:tc>
        <w:tc>
          <w:tcPr>
            <w:tcW w:w="1194" w:type="dxa"/>
            <w:vMerge w:val="restart"/>
            <w:tcBorders>
              <w:top w:val="nil"/>
              <w:left w:val="nil"/>
              <w:bottom w:val="nil"/>
              <w:right w:val="nil"/>
            </w:tcBorders>
            <w:noWrap/>
            <w:vAlign w:val="center"/>
            <w:hideMark/>
          </w:tcPr>
          <w:p w14:paraId="5EAFC185" w14:textId="77777777" w:rsidR="001E69A9" w:rsidRPr="00980795" w:rsidRDefault="001E69A9" w:rsidP="00FD7082">
            <w:pPr>
              <w:jc w:val="both"/>
              <w:rPr>
                <w:sz w:val="16"/>
                <w:szCs w:val="16"/>
                <w:lang w:eastAsia="en-GB"/>
              </w:rPr>
            </w:pPr>
          </w:p>
        </w:tc>
        <w:tc>
          <w:tcPr>
            <w:tcW w:w="900" w:type="dxa"/>
            <w:vMerge w:val="restart"/>
            <w:tcBorders>
              <w:top w:val="nil"/>
              <w:left w:val="nil"/>
              <w:bottom w:val="nil"/>
              <w:right w:val="nil"/>
            </w:tcBorders>
            <w:noWrap/>
            <w:vAlign w:val="center"/>
            <w:hideMark/>
          </w:tcPr>
          <w:p w14:paraId="179FFC50" w14:textId="77777777" w:rsidR="001E69A9" w:rsidRPr="00980795" w:rsidRDefault="001E69A9" w:rsidP="00FD7082">
            <w:pPr>
              <w:jc w:val="both"/>
              <w:rPr>
                <w:sz w:val="16"/>
                <w:szCs w:val="16"/>
                <w:lang w:eastAsia="en-GB"/>
              </w:rPr>
            </w:pPr>
          </w:p>
        </w:tc>
      </w:tr>
      <w:tr w:rsidR="001E69A9" w:rsidRPr="00980795" w14:paraId="11B1F729" w14:textId="77777777" w:rsidTr="00FD7082">
        <w:trPr>
          <w:trHeight w:val="315"/>
        </w:trPr>
        <w:tc>
          <w:tcPr>
            <w:tcW w:w="2231" w:type="dxa"/>
            <w:tcBorders>
              <w:top w:val="nil"/>
              <w:left w:val="nil"/>
              <w:bottom w:val="nil"/>
              <w:right w:val="nil"/>
            </w:tcBorders>
            <w:vAlign w:val="center"/>
            <w:hideMark/>
          </w:tcPr>
          <w:p w14:paraId="4A63D17F" w14:textId="77777777" w:rsidR="001E69A9" w:rsidRPr="00980795" w:rsidRDefault="001E69A9" w:rsidP="00FD7082">
            <w:pPr>
              <w:jc w:val="both"/>
              <w:rPr>
                <w:b/>
                <w:bCs/>
                <w:sz w:val="16"/>
                <w:szCs w:val="16"/>
                <w:lang w:eastAsia="en-GB"/>
              </w:rPr>
            </w:pPr>
            <w:r w:rsidRPr="00980795">
              <w:rPr>
                <w:b/>
                <w:bCs/>
                <w:sz w:val="16"/>
                <w:szCs w:val="16"/>
                <w:lang w:eastAsia="en-GB"/>
              </w:rPr>
              <w:t>TEST</w:t>
            </w:r>
          </w:p>
        </w:tc>
        <w:tc>
          <w:tcPr>
            <w:tcW w:w="1390" w:type="dxa"/>
            <w:vMerge/>
            <w:tcBorders>
              <w:top w:val="nil"/>
              <w:left w:val="nil"/>
              <w:bottom w:val="nil"/>
              <w:right w:val="nil"/>
            </w:tcBorders>
            <w:vAlign w:val="center"/>
            <w:hideMark/>
          </w:tcPr>
          <w:p w14:paraId="7268C42F" w14:textId="77777777" w:rsidR="001E69A9" w:rsidRPr="00980795" w:rsidRDefault="001E69A9" w:rsidP="00FD7082">
            <w:pPr>
              <w:jc w:val="both"/>
              <w:rPr>
                <w:b/>
                <w:bCs/>
                <w:sz w:val="16"/>
                <w:szCs w:val="16"/>
                <w:lang w:eastAsia="en-GB"/>
              </w:rPr>
            </w:pPr>
          </w:p>
        </w:tc>
        <w:tc>
          <w:tcPr>
            <w:tcW w:w="1661" w:type="dxa"/>
            <w:vMerge/>
            <w:tcBorders>
              <w:top w:val="nil"/>
              <w:left w:val="nil"/>
              <w:bottom w:val="nil"/>
              <w:right w:val="nil"/>
            </w:tcBorders>
            <w:vAlign w:val="center"/>
            <w:hideMark/>
          </w:tcPr>
          <w:p w14:paraId="383B311E" w14:textId="77777777" w:rsidR="001E69A9" w:rsidRPr="00980795" w:rsidRDefault="001E69A9" w:rsidP="00FD7082">
            <w:pPr>
              <w:jc w:val="both"/>
              <w:rPr>
                <w:sz w:val="16"/>
                <w:szCs w:val="16"/>
                <w:lang w:eastAsia="en-GB"/>
              </w:rPr>
            </w:pPr>
          </w:p>
        </w:tc>
        <w:tc>
          <w:tcPr>
            <w:tcW w:w="1389" w:type="dxa"/>
            <w:vMerge/>
            <w:tcBorders>
              <w:top w:val="nil"/>
              <w:left w:val="nil"/>
              <w:bottom w:val="nil"/>
              <w:right w:val="nil"/>
            </w:tcBorders>
            <w:vAlign w:val="center"/>
            <w:hideMark/>
          </w:tcPr>
          <w:p w14:paraId="51D8110E" w14:textId="77777777" w:rsidR="001E69A9" w:rsidRPr="00980795" w:rsidRDefault="001E69A9" w:rsidP="00FD7082">
            <w:pPr>
              <w:jc w:val="both"/>
              <w:rPr>
                <w:sz w:val="16"/>
                <w:szCs w:val="16"/>
                <w:lang w:eastAsia="en-GB"/>
              </w:rPr>
            </w:pPr>
          </w:p>
        </w:tc>
        <w:tc>
          <w:tcPr>
            <w:tcW w:w="1495" w:type="dxa"/>
            <w:vMerge/>
            <w:tcBorders>
              <w:top w:val="nil"/>
              <w:left w:val="nil"/>
              <w:bottom w:val="nil"/>
              <w:right w:val="nil"/>
            </w:tcBorders>
            <w:vAlign w:val="center"/>
            <w:hideMark/>
          </w:tcPr>
          <w:p w14:paraId="69133906" w14:textId="77777777" w:rsidR="001E69A9" w:rsidRPr="00980795" w:rsidRDefault="001E69A9" w:rsidP="00FD7082">
            <w:pPr>
              <w:jc w:val="both"/>
              <w:rPr>
                <w:sz w:val="16"/>
                <w:szCs w:val="16"/>
                <w:lang w:eastAsia="en-GB"/>
              </w:rPr>
            </w:pPr>
          </w:p>
        </w:tc>
        <w:tc>
          <w:tcPr>
            <w:tcW w:w="1194" w:type="dxa"/>
            <w:vMerge/>
            <w:tcBorders>
              <w:top w:val="nil"/>
              <w:left w:val="nil"/>
              <w:bottom w:val="nil"/>
              <w:right w:val="nil"/>
            </w:tcBorders>
            <w:vAlign w:val="center"/>
            <w:hideMark/>
          </w:tcPr>
          <w:p w14:paraId="217F8D73" w14:textId="77777777" w:rsidR="001E69A9" w:rsidRPr="00980795" w:rsidRDefault="001E69A9" w:rsidP="00FD7082">
            <w:pPr>
              <w:jc w:val="both"/>
              <w:rPr>
                <w:sz w:val="16"/>
                <w:szCs w:val="16"/>
                <w:lang w:eastAsia="en-GB"/>
              </w:rPr>
            </w:pPr>
          </w:p>
        </w:tc>
        <w:tc>
          <w:tcPr>
            <w:tcW w:w="900" w:type="dxa"/>
            <w:vMerge/>
            <w:tcBorders>
              <w:top w:val="nil"/>
              <w:left w:val="nil"/>
              <w:bottom w:val="nil"/>
              <w:right w:val="nil"/>
            </w:tcBorders>
            <w:vAlign w:val="center"/>
            <w:hideMark/>
          </w:tcPr>
          <w:p w14:paraId="35622854" w14:textId="77777777" w:rsidR="001E69A9" w:rsidRPr="00980795" w:rsidRDefault="001E69A9" w:rsidP="00FD7082">
            <w:pPr>
              <w:jc w:val="both"/>
              <w:rPr>
                <w:sz w:val="16"/>
                <w:szCs w:val="16"/>
                <w:lang w:eastAsia="en-GB"/>
              </w:rPr>
            </w:pPr>
          </w:p>
        </w:tc>
      </w:tr>
      <w:tr w:rsidR="001E69A9" w:rsidRPr="00980795" w14:paraId="57BFA3CB" w14:textId="77777777" w:rsidTr="00FD7082">
        <w:trPr>
          <w:trHeight w:val="315"/>
        </w:trPr>
        <w:tc>
          <w:tcPr>
            <w:tcW w:w="2231" w:type="dxa"/>
            <w:tcBorders>
              <w:top w:val="nil"/>
              <w:left w:val="nil"/>
              <w:bottom w:val="nil"/>
              <w:right w:val="nil"/>
            </w:tcBorders>
            <w:noWrap/>
            <w:vAlign w:val="center"/>
            <w:hideMark/>
          </w:tcPr>
          <w:p w14:paraId="73638ECC" w14:textId="77777777" w:rsidR="001E69A9" w:rsidRPr="00980795" w:rsidRDefault="001E69A9" w:rsidP="00FD7082">
            <w:pPr>
              <w:jc w:val="both"/>
              <w:rPr>
                <w:sz w:val="16"/>
                <w:szCs w:val="16"/>
                <w:lang w:eastAsia="en-GB"/>
              </w:rPr>
            </w:pPr>
            <w:r w:rsidRPr="00980795">
              <w:rPr>
                <w:sz w:val="16"/>
                <w:szCs w:val="16"/>
                <w:lang w:eastAsia="en-GB"/>
              </w:rPr>
              <w:t>No</w:t>
            </w:r>
          </w:p>
        </w:tc>
        <w:tc>
          <w:tcPr>
            <w:tcW w:w="1390" w:type="dxa"/>
            <w:tcBorders>
              <w:top w:val="nil"/>
              <w:left w:val="nil"/>
              <w:bottom w:val="nil"/>
              <w:right w:val="nil"/>
            </w:tcBorders>
            <w:noWrap/>
            <w:vAlign w:val="center"/>
            <w:hideMark/>
          </w:tcPr>
          <w:p w14:paraId="4D6A1D12" w14:textId="77777777" w:rsidR="001E69A9" w:rsidRPr="00980795" w:rsidRDefault="001E69A9" w:rsidP="00FD7082">
            <w:pPr>
              <w:jc w:val="both"/>
              <w:rPr>
                <w:sz w:val="16"/>
                <w:szCs w:val="16"/>
                <w:lang w:eastAsia="en-GB"/>
              </w:rPr>
            </w:pPr>
            <w:r w:rsidRPr="00980795">
              <w:rPr>
                <w:sz w:val="16"/>
                <w:szCs w:val="16"/>
                <w:lang w:eastAsia="en-GB"/>
              </w:rPr>
              <w:t>68 (43.9%)</w:t>
            </w:r>
          </w:p>
        </w:tc>
        <w:tc>
          <w:tcPr>
            <w:tcW w:w="1661" w:type="dxa"/>
            <w:tcBorders>
              <w:top w:val="nil"/>
              <w:left w:val="nil"/>
              <w:bottom w:val="nil"/>
              <w:right w:val="nil"/>
            </w:tcBorders>
            <w:noWrap/>
            <w:vAlign w:val="center"/>
            <w:hideMark/>
          </w:tcPr>
          <w:p w14:paraId="7AEA2A34" w14:textId="77777777" w:rsidR="001E69A9" w:rsidRPr="00980795" w:rsidRDefault="001E69A9" w:rsidP="00FD7082">
            <w:pPr>
              <w:jc w:val="both"/>
              <w:rPr>
                <w:sz w:val="16"/>
                <w:szCs w:val="16"/>
                <w:lang w:eastAsia="en-GB"/>
              </w:rPr>
            </w:pPr>
            <w:r w:rsidRPr="00980795">
              <w:rPr>
                <w:sz w:val="16"/>
                <w:szCs w:val="16"/>
                <w:lang w:eastAsia="en-GB"/>
              </w:rPr>
              <w:t>37 (23.9%)</w:t>
            </w:r>
          </w:p>
        </w:tc>
        <w:tc>
          <w:tcPr>
            <w:tcW w:w="1389" w:type="dxa"/>
            <w:tcBorders>
              <w:top w:val="nil"/>
              <w:left w:val="nil"/>
              <w:bottom w:val="nil"/>
              <w:right w:val="nil"/>
            </w:tcBorders>
            <w:noWrap/>
            <w:vAlign w:val="center"/>
            <w:hideMark/>
          </w:tcPr>
          <w:p w14:paraId="046217F6" w14:textId="77777777" w:rsidR="001E69A9" w:rsidRPr="00980795" w:rsidRDefault="001E69A9" w:rsidP="00FD7082">
            <w:pPr>
              <w:jc w:val="both"/>
              <w:rPr>
                <w:sz w:val="16"/>
                <w:szCs w:val="16"/>
                <w:lang w:eastAsia="en-GB"/>
              </w:rPr>
            </w:pPr>
            <w:r w:rsidRPr="00980795">
              <w:rPr>
                <w:sz w:val="16"/>
                <w:szCs w:val="16"/>
                <w:lang w:eastAsia="en-GB"/>
              </w:rPr>
              <w:t>50 (32.2%)</w:t>
            </w:r>
          </w:p>
        </w:tc>
        <w:tc>
          <w:tcPr>
            <w:tcW w:w="1495" w:type="dxa"/>
            <w:tcBorders>
              <w:top w:val="nil"/>
              <w:left w:val="nil"/>
              <w:bottom w:val="nil"/>
              <w:right w:val="nil"/>
            </w:tcBorders>
            <w:vAlign w:val="center"/>
            <w:hideMark/>
          </w:tcPr>
          <w:p w14:paraId="423DF0A3" w14:textId="77777777" w:rsidR="001E69A9" w:rsidRPr="00980795" w:rsidRDefault="001E69A9" w:rsidP="00FD7082">
            <w:pPr>
              <w:jc w:val="both"/>
              <w:rPr>
                <w:sz w:val="16"/>
                <w:szCs w:val="16"/>
                <w:lang w:eastAsia="en-GB"/>
              </w:rPr>
            </w:pPr>
            <w:r w:rsidRPr="00980795">
              <w:rPr>
                <w:sz w:val="16"/>
                <w:szCs w:val="16"/>
                <w:lang w:eastAsia="en-GB"/>
              </w:rPr>
              <w:t>155 (100%)</w:t>
            </w:r>
          </w:p>
        </w:tc>
        <w:tc>
          <w:tcPr>
            <w:tcW w:w="1194" w:type="dxa"/>
            <w:tcBorders>
              <w:top w:val="nil"/>
              <w:left w:val="nil"/>
              <w:bottom w:val="nil"/>
              <w:right w:val="nil"/>
            </w:tcBorders>
            <w:noWrap/>
            <w:vAlign w:val="center"/>
            <w:hideMark/>
          </w:tcPr>
          <w:p w14:paraId="5D4586DD" w14:textId="77777777" w:rsidR="001E69A9" w:rsidRPr="00980795" w:rsidRDefault="001E69A9" w:rsidP="00FD7082">
            <w:pPr>
              <w:jc w:val="both"/>
              <w:rPr>
                <w:sz w:val="16"/>
                <w:szCs w:val="16"/>
                <w:lang w:eastAsia="en-GB"/>
              </w:rPr>
            </w:pPr>
            <w:r w:rsidRPr="00980795">
              <w:rPr>
                <w:sz w:val="16"/>
                <w:szCs w:val="16"/>
                <w:lang w:eastAsia="en-GB"/>
              </w:rPr>
              <w:t>2.116</w:t>
            </w:r>
          </w:p>
        </w:tc>
        <w:tc>
          <w:tcPr>
            <w:tcW w:w="900" w:type="dxa"/>
            <w:tcBorders>
              <w:top w:val="nil"/>
              <w:left w:val="nil"/>
              <w:bottom w:val="nil"/>
              <w:right w:val="nil"/>
            </w:tcBorders>
            <w:noWrap/>
            <w:vAlign w:val="center"/>
            <w:hideMark/>
          </w:tcPr>
          <w:p w14:paraId="4F53AA78" w14:textId="77777777" w:rsidR="001E69A9" w:rsidRPr="00980795" w:rsidRDefault="001E69A9" w:rsidP="00FD7082">
            <w:pPr>
              <w:jc w:val="both"/>
              <w:rPr>
                <w:sz w:val="16"/>
                <w:szCs w:val="16"/>
                <w:lang w:eastAsia="en-GB"/>
              </w:rPr>
            </w:pPr>
            <w:r w:rsidRPr="00980795">
              <w:rPr>
                <w:sz w:val="16"/>
                <w:szCs w:val="16"/>
                <w:lang w:eastAsia="en-GB"/>
              </w:rPr>
              <w:t>0.347</w:t>
            </w:r>
          </w:p>
        </w:tc>
      </w:tr>
      <w:tr w:rsidR="001E69A9" w:rsidRPr="00980795" w14:paraId="20924BB1" w14:textId="77777777" w:rsidTr="00FD7082">
        <w:trPr>
          <w:trHeight w:val="330"/>
        </w:trPr>
        <w:tc>
          <w:tcPr>
            <w:tcW w:w="2231" w:type="dxa"/>
            <w:tcBorders>
              <w:top w:val="nil"/>
              <w:left w:val="nil"/>
              <w:bottom w:val="single" w:sz="8" w:space="0" w:color="auto"/>
              <w:right w:val="nil"/>
            </w:tcBorders>
            <w:noWrap/>
            <w:vAlign w:val="center"/>
            <w:hideMark/>
          </w:tcPr>
          <w:p w14:paraId="6DFB99A8" w14:textId="77777777" w:rsidR="001E69A9" w:rsidRPr="00980795" w:rsidRDefault="001E69A9" w:rsidP="00FD7082">
            <w:pPr>
              <w:jc w:val="both"/>
              <w:rPr>
                <w:sz w:val="16"/>
                <w:szCs w:val="16"/>
                <w:lang w:eastAsia="en-GB"/>
              </w:rPr>
            </w:pPr>
            <w:r w:rsidRPr="00980795">
              <w:rPr>
                <w:sz w:val="16"/>
                <w:szCs w:val="16"/>
                <w:lang w:eastAsia="en-GB"/>
              </w:rPr>
              <w:t>Yes</w:t>
            </w:r>
          </w:p>
        </w:tc>
        <w:tc>
          <w:tcPr>
            <w:tcW w:w="1390" w:type="dxa"/>
            <w:tcBorders>
              <w:top w:val="nil"/>
              <w:left w:val="nil"/>
              <w:bottom w:val="single" w:sz="8" w:space="0" w:color="auto"/>
              <w:right w:val="nil"/>
            </w:tcBorders>
            <w:noWrap/>
            <w:vAlign w:val="center"/>
            <w:hideMark/>
          </w:tcPr>
          <w:p w14:paraId="6842A5FC" w14:textId="77777777" w:rsidR="001E69A9" w:rsidRPr="00980795" w:rsidRDefault="001E69A9" w:rsidP="00FD7082">
            <w:pPr>
              <w:jc w:val="both"/>
              <w:rPr>
                <w:sz w:val="16"/>
                <w:szCs w:val="16"/>
                <w:lang w:eastAsia="en-GB"/>
              </w:rPr>
            </w:pPr>
            <w:r w:rsidRPr="00980795">
              <w:rPr>
                <w:sz w:val="16"/>
                <w:szCs w:val="16"/>
                <w:lang w:eastAsia="en-GB"/>
              </w:rPr>
              <w:t>12 (36.4%)</w:t>
            </w:r>
          </w:p>
        </w:tc>
        <w:tc>
          <w:tcPr>
            <w:tcW w:w="1661" w:type="dxa"/>
            <w:tcBorders>
              <w:top w:val="nil"/>
              <w:left w:val="nil"/>
              <w:bottom w:val="single" w:sz="8" w:space="0" w:color="auto"/>
              <w:right w:val="nil"/>
            </w:tcBorders>
            <w:noWrap/>
            <w:vAlign w:val="center"/>
            <w:hideMark/>
          </w:tcPr>
          <w:p w14:paraId="5FE69A5F" w14:textId="77777777" w:rsidR="001E69A9" w:rsidRPr="00980795" w:rsidRDefault="001E69A9" w:rsidP="00FD7082">
            <w:pPr>
              <w:jc w:val="both"/>
              <w:rPr>
                <w:sz w:val="16"/>
                <w:szCs w:val="16"/>
                <w:lang w:eastAsia="en-GB"/>
              </w:rPr>
            </w:pPr>
            <w:r w:rsidRPr="00980795">
              <w:rPr>
                <w:sz w:val="16"/>
                <w:szCs w:val="16"/>
                <w:lang w:eastAsia="en-GB"/>
              </w:rPr>
              <w:t>6 (18.2%)</w:t>
            </w:r>
          </w:p>
        </w:tc>
        <w:tc>
          <w:tcPr>
            <w:tcW w:w="1389" w:type="dxa"/>
            <w:tcBorders>
              <w:top w:val="nil"/>
              <w:left w:val="nil"/>
              <w:bottom w:val="single" w:sz="8" w:space="0" w:color="auto"/>
              <w:right w:val="nil"/>
            </w:tcBorders>
            <w:noWrap/>
            <w:vAlign w:val="center"/>
            <w:hideMark/>
          </w:tcPr>
          <w:p w14:paraId="2CBD28F2" w14:textId="77777777" w:rsidR="001E69A9" w:rsidRPr="00980795" w:rsidRDefault="001E69A9" w:rsidP="00FD7082">
            <w:pPr>
              <w:jc w:val="both"/>
              <w:rPr>
                <w:sz w:val="16"/>
                <w:szCs w:val="16"/>
                <w:lang w:eastAsia="en-GB"/>
              </w:rPr>
            </w:pPr>
            <w:r w:rsidRPr="00980795">
              <w:rPr>
                <w:sz w:val="16"/>
                <w:szCs w:val="16"/>
                <w:lang w:eastAsia="en-GB"/>
              </w:rPr>
              <w:t>15 (45.4%)</w:t>
            </w:r>
          </w:p>
        </w:tc>
        <w:tc>
          <w:tcPr>
            <w:tcW w:w="1495" w:type="dxa"/>
            <w:tcBorders>
              <w:top w:val="nil"/>
              <w:left w:val="nil"/>
              <w:bottom w:val="single" w:sz="8" w:space="0" w:color="auto"/>
              <w:right w:val="nil"/>
            </w:tcBorders>
            <w:vAlign w:val="center"/>
            <w:hideMark/>
          </w:tcPr>
          <w:p w14:paraId="6FD89E1C" w14:textId="77777777" w:rsidR="001E69A9" w:rsidRPr="00980795" w:rsidRDefault="001E69A9" w:rsidP="00FD7082">
            <w:pPr>
              <w:jc w:val="both"/>
              <w:rPr>
                <w:sz w:val="16"/>
                <w:szCs w:val="16"/>
                <w:lang w:eastAsia="en-GB"/>
              </w:rPr>
            </w:pPr>
            <w:r w:rsidRPr="00980795">
              <w:rPr>
                <w:sz w:val="16"/>
                <w:szCs w:val="16"/>
                <w:lang w:eastAsia="en-GB"/>
              </w:rPr>
              <w:t>33 (100%)</w:t>
            </w:r>
          </w:p>
        </w:tc>
        <w:tc>
          <w:tcPr>
            <w:tcW w:w="1194" w:type="dxa"/>
            <w:tcBorders>
              <w:top w:val="nil"/>
              <w:left w:val="nil"/>
              <w:bottom w:val="single" w:sz="8" w:space="0" w:color="auto"/>
              <w:right w:val="nil"/>
            </w:tcBorders>
            <w:noWrap/>
            <w:vAlign w:val="center"/>
            <w:hideMark/>
          </w:tcPr>
          <w:p w14:paraId="64367BF9" w14:textId="77777777" w:rsidR="001E69A9" w:rsidRPr="00980795" w:rsidRDefault="001E69A9" w:rsidP="00FD7082">
            <w:pPr>
              <w:jc w:val="both"/>
              <w:rPr>
                <w:sz w:val="16"/>
                <w:szCs w:val="16"/>
                <w:lang w:eastAsia="en-GB"/>
              </w:rPr>
            </w:pPr>
            <w:r w:rsidRPr="00980795">
              <w:rPr>
                <w:sz w:val="16"/>
                <w:szCs w:val="16"/>
                <w:lang w:eastAsia="en-GB"/>
              </w:rPr>
              <w:t> </w:t>
            </w:r>
          </w:p>
        </w:tc>
        <w:tc>
          <w:tcPr>
            <w:tcW w:w="900" w:type="dxa"/>
            <w:tcBorders>
              <w:top w:val="nil"/>
              <w:left w:val="nil"/>
              <w:bottom w:val="single" w:sz="8" w:space="0" w:color="auto"/>
              <w:right w:val="nil"/>
            </w:tcBorders>
            <w:noWrap/>
            <w:vAlign w:val="center"/>
            <w:hideMark/>
          </w:tcPr>
          <w:p w14:paraId="193EFD90" w14:textId="77777777" w:rsidR="001E69A9" w:rsidRPr="00980795" w:rsidRDefault="001E69A9" w:rsidP="00FD7082">
            <w:pPr>
              <w:jc w:val="both"/>
              <w:rPr>
                <w:sz w:val="16"/>
                <w:szCs w:val="16"/>
                <w:lang w:eastAsia="en-GB"/>
              </w:rPr>
            </w:pPr>
            <w:r w:rsidRPr="00980795">
              <w:rPr>
                <w:sz w:val="16"/>
                <w:szCs w:val="16"/>
                <w:lang w:eastAsia="en-GB"/>
              </w:rPr>
              <w:t> </w:t>
            </w:r>
          </w:p>
        </w:tc>
      </w:tr>
      <w:tr w:rsidR="001E69A9" w:rsidRPr="00980795" w14:paraId="603EC54A" w14:textId="77777777" w:rsidTr="00FD7082">
        <w:trPr>
          <w:trHeight w:val="315"/>
        </w:trPr>
        <w:tc>
          <w:tcPr>
            <w:tcW w:w="2231" w:type="dxa"/>
            <w:tcBorders>
              <w:top w:val="nil"/>
              <w:left w:val="nil"/>
              <w:bottom w:val="nil"/>
              <w:right w:val="nil"/>
            </w:tcBorders>
            <w:noWrap/>
            <w:vAlign w:val="center"/>
            <w:hideMark/>
          </w:tcPr>
          <w:p w14:paraId="276E78A1" w14:textId="77777777" w:rsidR="001E69A9" w:rsidRPr="00980795" w:rsidRDefault="001E69A9" w:rsidP="00FD7082">
            <w:pPr>
              <w:jc w:val="both"/>
              <w:rPr>
                <w:sz w:val="16"/>
                <w:szCs w:val="16"/>
                <w:lang w:eastAsia="en-GB"/>
              </w:rPr>
            </w:pPr>
            <w:r w:rsidRPr="00980795">
              <w:rPr>
                <w:sz w:val="16"/>
                <w:szCs w:val="16"/>
                <w:lang w:eastAsia="en-GB"/>
              </w:rPr>
              <w:t>*significant at p&lt; 0.05</w:t>
            </w:r>
          </w:p>
        </w:tc>
        <w:tc>
          <w:tcPr>
            <w:tcW w:w="1390" w:type="dxa"/>
            <w:tcBorders>
              <w:top w:val="nil"/>
              <w:left w:val="nil"/>
              <w:bottom w:val="nil"/>
              <w:right w:val="nil"/>
            </w:tcBorders>
            <w:noWrap/>
            <w:vAlign w:val="bottom"/>
            <w:hideMark/>
          </w:tcPr>
          <w:p w14:paraId="54167C39" w14:textId="77777777" w:rsidR="001E69A9" w:rsidRPr="00980795" w:rsidRDefault="001E69A9" w:rsidP="00FD7082">
            <w:pPr>
              <w:jc w:val="both"/>
              <w:rPr>
                <w:sz w:val="16"/>
                <w:szCs w:val="16"/>
                <w:lang w:eastAsia="en-GB"/>
              </w:rPr>
            </w:pPr>
          </w:p>
        </w:tc>
        <w:tc>
          <w:tcPr>
            <w:tcW w:w="1661" w:type="dxa"/>
            <w:tcBorders>
              <w:top w:val="nil"/>
              <w:left w:val="nil"/>
              <w:bottom w:val="nil"/>
              <w:right w:val="nil"/>
            </w:tcBorders>
            <w:noWrap/>
            <w:vAlign w:val="bottom"/>
            <w:hideMark/>
          </w:tcPr>
          <w:p w14:paraId="7DA87856"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bottom"/>
            <w:hideMark/>
          </w:tcPr>
          <w:p w14:paraId="431D6F15"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vAlign w:val="center"/>
            <w:hideMark/>
          </w:tcPr>
          <w:p w14:paraId="5B3B4B93"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bottom"/>
            <w:hideMark/>
          </w:tcPr>
          <w:p w14:paraId="0CCF232B"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bottom"/>
            <w:hideMark/>
          </w:tcPr>
          <w:p w14:paraId="0184D728" w14:textId="77777777" w:rsidR="001E69A9" w:rsidRPr="00980795" w:rsidRDefault="001E69A9" w:rsidP="00FD7082">
            <w:pPr>
              <w:jc w:val="both"/>
              <w:rPr>
                <w:sz w:val="16"/>
                <w:szCs w:val="16"/>
                <w:lang w:eastAsia="en-GB"/>
              </w:rPr>
            </w:pPr>
          </w:p>
        </w:tc>
      </w:tr>
      <w:tr w:rsidR="001E69A9" w:rsidRPr="00980795" w14:paraId="235814FD" w14:textId="77777777" w:rsidTr="00FD7082">
        <w:trPr>
          <w:trHeight w:val="315"/>
        </w:trPr>
        <w:tc>
          <w:tcPr>
            <w:tcW w:w="10260" w:type="dxa"/>
            <w:gridSpan w:val="7"/>
            <w:tcBorders>
              <w:top w:val="nil"/>
              <w:left w:val="nil"/>
              <w:bottom w:val="nil"/>
              <w:right w:val="nil"/>
            </w:tcBorders>
            <w:noWrap/>
            <w:vAlign w:val="bottom"/>
            <w:hideMark/>
          </w:tcPr>
          <w:p w14:paraId="632384B8" w14:textId="77777777" w:rsidR="001E69A9" w:rsidRPr="00980795" w:rsidRDefault="001E69A9" w:rsidP="00FD7082">
            <w:pPr>
              <w:jc w:val="both"/>
              <w:rPr>
                <w:sz w:val="16"/>
                <w:szCs w:val="16"/>
                <w:lang w:eastAsia="en-GB"/>
              </w:rPr>
            </w:pPr>
            <w:r w:rsidRPr="00980795">
              <w:rPr>
                <w:sz w:val="16"/>
                <w:szCs w:val="16"/>
                <w:lang w:eastAsia="en-GB"/>
              </w:rPr>
              <w:t>Key: χ2 – Chi square value, RTA - Road Traffic Accident,</w:t>
            </w:r>
          </w:p>
          <w:p w14:paraId="64A76E2B" w14:textId="77777777" w:rsidR="001E69A9" w:rsidRPr="00980795" w:rsidRDefault="001E69A9" w:rsidP="00FD7082">
            <w:pPr>
              <w:jc w:val="both"/>
              <w:rPr>
                <w:sz w:val="16"/>
                <w:szCs w:val="16"/>
                <w:lang w:eastAsia="en-GB"/>
              </w:rPr>
            </w:pPr>
            <w:r w:rsidRPr="00980795">
              <w:rPr>
                <w:sz w:val="16"/>
                <w:szCs w:val="16"/>
                <w:lang w:eastAsia="en-GB"/>
              </w:rPr>
              <w:t>RTA Rate of</w:t>
            </w:r>
            <w:r w:rsidRPr="00980795">
              <w:rPr>
                <w:sz w:val="16"/>
                <w:szCs w:val="16"/>
              </w:rPr>
              <w:t xml:space="preserve"> </w:t>
            </w:r>
            <w:r w:rsidRPr="00980795">
              <w:rPr>
                <w:bCs/>
                <w:sz w:val="16"/>
                <w:szCs w:val="16"/>
              </w:rPr>
              <w:t xml:space="preserve">0.00 - </w:t>
            </w:r>
            <w:r w:rsidRPr="00980795">
              <w:rPr>
                <w:sz w:val="16"/>
                <w:szCs w:val="16"/>
                <w:lang w:eastAsia="en-GB"/>
              </w:rPr>
              <w:t>No RTA in years of driving</w:t>
            </w:r>
          </w:p>
          <w:p w14:paraId="063A53F9" w14:textId="77777777" w:rsidR="001E69A9" w:rsidRPr="00980795" w:rsidRDefault="001E69A9" w:rsidP="00FD7082">
            <w:pPr>
              <w:jc w:val="both"/>
              <w:rPr>
                <w:bCs/>
                <w:sz w:val="16"/>
                <w:szCs w:val="16"/>
              </w:rPr>
            </w:pPr>
            <w:r w:rsidRPr="00980795">
              <w:rPr>
                <w:sz w:val="16"/>
                <w:szCs w:val="16"/>
                <w:lang w:eastAsia="en-GB"/>
              </w:rPr>
              <w:t>RTA Rate of</w:t>
            </w:r>
            <w:r w:rsidRPr="00980795">
              <w:rPr>
                <w:bCs/>
                <w:sz w:val="16"/>
                <w:szCs w:val="16"/>
              </w:rPr>
              <w:t xml:space="preserve"> &gt;0.00 to 0.10 – RTA not more than once in 10 years of driving</w:t>
            </w:r>
          </w:p>
          <w:p w14:paraId="06B41D99" w14:textId="77777777" w:rsidR="001E69A9" w:rsidRPr="00980795" w:rsidRDefault="001E69A9" w:rsidP="00FD7082">
            <w:pPr>
              <w:jc w:val="both"/>
              <w:rPr>
                <w:sz w:val="16"/>
                <w:szCs w:val="16"/>
                <w:lang w:eastAsia="en-GB"/>
              </w:rPr>
            </w:pPr>
            <w:r w:rsidRPr="00980795">
              <w:rPr>
                <w:sz w:val="16"/>
                <w:szCs w:val="16"/>
                <w:lang w:eastAsia="en-GB"/>
              </w:rPr>
              <w:t>RTA Rate of</w:t>
            </w:r>
            <w:r w:rsidRPr="00980795">
              <w:rPr>
                <w:bCs/>
                <w:sz w:val="16"/>
                <w:szCs w:val="16"/>
              </w:rPr>
              <w:t xml:space="preserve"> &gt;0.10 – RTA more than once in 10 years of driving</w:t>
            </w:r>
          </w:p>
          <w:p w14:paraId="46E03B84" w14:textId="77777777" w:rsidR="001E69A9" w:rsidRPr="00980795" w:rsidRDefault="001E69A9" w:rsidP="00FD7082">
            <w:pPr>
              <w:jc w:val="both"/>
              <w:rPr>
                <w:sz w:val="16"/>
                <w:szCs w:val="16"/>
                <w:lang w:eastAsia="en-GB"/>
              </w:rPr>
            </w:pPr>
          </w:p>
        </w:tc>
      </w:tr>
    </w:tbl>
    <w:p w14:paraId="4D72E736" w14:textId="77777777" w:rsidR="00820CCC" w:rsidRDefault="00820CCC" w:rsidP="00CF22A7">
      <w:pPr>
        <w:pStyle w:val="Body"/>
        <w:spacing w:after="0"/>
        <w:rPr>
          <w:rFonts w:ascii="Arial" w:hAnsi="Arial" w:cs="Arial"/>
          <w:sz w:val="22"/>
          <w:szCs w:val="22"/>
        </w:rPr>
      </w:pPr>
    </w:p>
    <w:p w14:paraId="0C4A8EC5" w14:textId="77777777" w:rsidR="00820CCC" w:rsidRDefault="00820CCC" w:rsidP="00CF22A7">
      <w:pPr>
        <w:pStyle w:val="Body"/>
        <w:spacing w:after="0"/>
        <w:rPr>
          <w:rFonts w:ascii="Arial" w:hAnsi="Arial" w:cs="Arial"/>
          <w:sz w:val="22"/>
          <w:szCs w:val="22"/>
        </w:rPr>
      </w:pPr>
    </w:p>
    <w:p w14:paraId="645CA696" w14:textId="77777777" w:rsidR="00820CCC" w:rsidRDefault="00820CCC" w:rsidP="00CF22A7">
      <w:pPr>
        <w:pStyle w:val="Body"/>
        <w:spacing w:after="0"/>
        <w:rPr>
          <w:rFonts w:ascii="Arial" w:hAnsi="Arial" w:cs="Arial"/>
          <w:sz w:val="22"/>
          <w:szCs w:val="22"/>
        </w:rPr>
      </w:pPr>
    </w:p>
    <w:p w14:paraId="42CD4763" w14:textId="77777777" w:rsidR="00820CCC" w:rsidRDefault="00820CCC" w:rsidP="00CF22A7">
      <w:pPr>
        <w:pStyle w:val="Body"/>
        <w:spacing w:after="0"/>
        <w:rPr>
          <w:rFonts w:ascii="Arial" w:hAnsi="Arial" w:cs="Arial"/>
          <w:sz w:val="22"/>
          <w:szCs w:val="22"/>
        </w:rPr>
      </w:pPr>
    </w:p>
    <w:p w14:paraId="09EBA117" w14:textId="77777777" w:rsidR="00820CCC" w:rsidRDefault="00820CCC" w:rsidP="00CF22A7">
      <w:pPr>
        <w:pStyle w:val="Body"/>
        <w:spacing w:after="0"/>
        <w:rPr>
          <w:rFonts w:ascii="Arial" w:hAnsi="Arial" w:cs="Arial"/>
          <w:sz w:val="22"/>
          <w:szCs w:val="22"/>
        </w:rPr>
      </w:pPr>
    </w:p>
    <w:p w14:paraId="334A03DB" w14:textId="77777777" w:rsidR="00820CCC" w:rsidRDefault="00820CCC" w:rsidP="00CF22A7">
      <w:pPr>
        <w:pStyle w:val="Body"/>
        <w:spacing w:after="0"/>
        <w:rPr>
          <w:rFonts w:ascii="Arial" w:hAnsi="Arial" w:cs="Arial"/>
          <w:sz w:val="22"/>
          <w:szCs w:val="22"/>
        </w:rPr>
      </w:pPr>
    </w:p>
    <w:p w14:paraId="663DCDAF" w14:textId="77777777" w:rsidR="00820CCC" w:rsidRDefault="00820CCC" w:rsidP="00CF22A7">
      <w:pPr>
        <w:pStyle w:val="Body"/>
        <w:spacing w:after="0"/>
        <w:rPr>
          <w:rFonts w:ascii="Arial" w:hAnsi="Arial" w:cs="Arial"/>
          <w:sz w:val="22"/>
          <w:szCs w:val="22"/>
        </w:rPr>
      </w:pPr>
    </w:p>
    <w:p w14:paraId="23244076" w14:textId="77777777" w:rsidR="00820CCC" w:rsidRDefault="00820CCC" w:rsidP="00CF22A7">
      <w:pPr>
        <w:pStyle w:val="Body"/>
        <w:spacing w:after="0"/>
        <w:rPr>
          <w:rFonts w:ascii="Arial" w:hAnsi="Arial" w:cs="Arial"/>
          <w:sz w:val="22"/>
          <w:szCs w:val="22"/>
        </w:rPr>
      </w:pPr>
    </w:p>
    <w:p w14:paraId="0100FA54" w14:textId="77777777" w:rsidR="00CB4E83" w:rsidRPr="00CB4E83" w:rsidRDefault="00CB4E83" w:rsidP="00CB4E83">
      <w:pPr>
        <w:spacing w:line="480" w:lineRule="auto"/>
        <w:jc w:val="both"/>
        <w:rPr>
          <w:rFonts w:ascii="Arial" w:hAnsi="Arial" w:cs="Arial"/>
          <w:b/>
          <w:sz w:val="22"/>
          <w:szCs w:val="22"/>
          <w:lang w:eastAsia="en-GB"/>
        </w:rPr>
      </w:pPr>
      <w:r w:rsidRPr="00CB4E83">
        <w:rPr>
          <w:rFonts w:ascii="Arial" w:hAnsi="Arial" w:cs="Arial"/>
          <w:b/>
          <w:sz w:val="22"/>
          <w:szCs w:val="22"/>
        </w:rPr>
        <w:t xml:space="preserve">Table </w:t>
      </w:r>
      <w:proofErr w:type="gramStart"/>
      <w:r w:rsidRPr="00CB4E83">
        <w:rPr>
          <w:rFonts w:ascii="Arial" w:hAnsi="Arial" w:cs="Arial"/>
          <w:b/>
          <w:sz w:val="22"/>
          <w:szCs w:val="22"/>
        </w:rPr>
        <w:t xml:space="preserve">5  </w:t>
      </w:r>
      <w:r w:rsidRPr="00CB4E83">
        <w:rPr>
          <w:rFonts w:ascii="Arial" w:hAnsi="Arial" w:cs="Arial"/>
          <w:sz w:val="22"/>
          <w:szCs w:val="22"/>
        </w:rPr>
        <w:t>shows</w:t>
      </w:r>
      <w:proofErr w:type="gramEnd"/>
      <w:r w:rsidRPr="00CB4E83">
        <w:rPr>
          <w:rFonts w:ascii="Arial" w:hAnsi="Arial" w:cs="Arial"/>
          <w:sz w:val="22"/>
          <w:szCs w:val="22"/>
        </w:rPr>
        <w:t xml:space="preserve"> the association between some visual function parameters and RTA rate. Most of the CVDs with abnormal visual acuity by WHO definition </w:t>
      </w:r>
      <w:r w:rsidRPr="00CB4E83">
        <w:rPr>
          <w:rFonts w:ascii="Arial" w:hAnsi="Arial" w:cs="Arial"/>
          <w:sz w:val="22"/>
          <w:szCs w:val="22"/>
          <w:lang w:eastAsia="en-GB"/>
        </w:rPr>
        <w:t>(58.8%, n=20)</w:t>
      </w:r>
      <w:r w:rsidRPr="00CB4E83">
        <w:rPr>
          <w:rFonts w:ascii="Arial" w:hAnsi="Arial" w:cs="Arial"/>
          <w:sz w:val="22"/>
          <w:szCs w:val="22"/>
        </w:rPr>
        <w:t xml:space="preserve">, </w:t>
      </w:r>
      <w:r w:rsidRPr="00CB4E83">
        <w:rPr>
          <w:rFonts w:ascii="Arial" w:hAnsi="Arial" w:cs="Arial"/>
          <w:sz w:val="22"/>
          <w:szCs w:val="22"/>
          <w:lang w:eastAsia="en-GB"/>
        </w:rPr>
        <w:t xml:space="preserve">were involved in RTA not more than once in 10 years of driving (RTA Rate: </w:t>
      </w:r>
      <w:r w:rsidRPr="00CB4E83">
        <w:rPr>
          <w:rFonts w:ascii="Arial" w:hAnsi="Arial" w:cs="Arial"/>
          <w:b/>
          <w:bCs/>
          <w:sz w:val="22"/>
          <w:szCs w:val="22"/>
          <w:lang w:eastAsia="en-GB"/>
        </w:rPr>
        <w:t>&gt;</w:t>
      </w:r>
      <w:r w:rsidRPr="00CB4E83">
        <w:rPr>
          <w:rFonts w:ascii="Arial" w:hAnsi="Arial" w:cs="Arial"/>
          <w:bCs/>
          <w:sz w:val="22"/>
          <w:szCs w:val="22"/>
          <w:lang w:eastAsia="en-GB"/>
        </w:rPr>
        <w:t>0.00 to 0.10</w:t>
      </w:r>
      <w:r w:rsidRPr="00CB4E83">
        <w:rPr>
          <w:rFonts w:ascii="Arial" w:hAnsi="Arial" w:cs="Arial"/>
          <w:sz w:val="22"/>
          <w:szCs w:val="22"/>
          <w:lang w:eastAsia="en-GB"/>
        </w:rPr>
        <w:t xml:space="preserve">) while most of the drivers with normal vision by WHO definition (51.3%, n=79) were not involved in RTA in their years of driving. Similarly, using FRSC definition, </w:t>
      </w:r>
      <w:r w:rsidRPr="00CB4E83">
        <w:rPr>
          <w:rFonts w:ascii="Arial" w:hAnsi="Arial" w:cs="Arial"/>
          <w:sz w:val="22"/>
          <w:szCs w:val="22"/>
        </w:rPr>
        <w:t xml:space="preserve">most of the CVDs with abnormal visual acuity </w:t>
      </w:r>
      <w:r w:rsidRPr="00CB4E83">
        <w:rPr>
          <w:rFonts w:ascii="Arial" w:hAnsi="Arial" w:cs="Arial"/>
          <w:sz w:val="22"/>
          <w:szCs w:val="22"/>
          <w:lang w:eastAsia="en-GB"/>
        </w:rPr>
        <w:t>(53.7%, n=22)</w:t>
      </w:r>
      <w:r w:rsidRPr="00CB4E83">
        <w:rPr>
          <w:rFonts w:ascii="Arial" w:hAnsi="Arial" w:cs="Arial"/>
          <w:sz w:val="22"/>
          <w:szCs w:val="22"/>
        </w:rPr>
        <w:t xml:space="preserve">, </w:t>
      </w:r>
      <w:r w:rsidRPr="00CB4E83">
        <w:rPr>
          <w:rFonts w:ascii="Arial" w:hAnsi="Arial" w:cs="Arial"/>
          <w:sz w:val="22"/>
          <w:szCs w:val="22"/>
          <w:lang w:eastAsia="en-GB"/>
        </w:rPr>
        <w:t xml:space="preserve">were involved in RTA not more than once in 10 years of driving whereas, most of the drivers with normal vision (53.7%, n=79) were not involved in RTA in their years of driving </w:t>
      </w:r>
    </w:p>
    <w:p w14:paraId="1D9029EE" w14:textId="77777777" w:rsidR="00CB4E83" w:rsidRDefault="00CB4E83" w:rsidP="00CB4E83">
      <w:pPr>
        <w:spacing w:line="480" w:lineRule="auto"/>
        <w:jc w:val="both"/>
        <w:rPr>
          <w:rFonts w:ascii="Arial" w:hAnsi="Arial" w:cs="Arial"/>
          <w:b/>
          <w:sz w:val="22"/>
          <w:szCs w:val="22"/>
        </w:rPr>
      </w:pPr>
      <w:r w:rsidRPr="00CB4E83">
        <w:rPr>
          <w:rFonts w:ascii="Arial" w:hAnsi="Arial" w:cs="Arial"/>
          <w:sz w:val="22"/>
          <w:szCs w:val="22"/>
        </w:rPr>
        <w:t>The table also showed that there was a significant association between RTA rate and visual acuity as defined by both WHO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38.921</w:t>
      </w:r>
      <w:r w:rsidRPr="00CB4E83">
        <w:rPr>
          <w:rFonts w:ascii="Arial" w:hAnsi="Arial" w:cs="Arial"/>
          <w:sz w:val="22"/>
          <w:szCs w:val="22"/>
        </w:rPr>
        <w:t>, p = 0.000) and FRSC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42.876</w:t>
      </w:r>
      <w:r w:rsidRPr="00CB4E83">
        <w:rPr>
          <w:rFonts w:ascii="Arial" w:hAnsi="Arial" w:cs="Arial"/>
          <w:sz w:val="22"/>
          <w:szCs w:val="22"/>
        </w:rPr>
        <w:t>, p = 0.000). There was also significant association between contrast sensitivity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8.534</w:t>
      </w:r>
      <w:r w:rsidRPr="00CB4E83">
        <w:rPr>
          <w:rFonts w:ascii="Arial" w:hAnsi="Arial" w:cs="Arial"/>
          <w:sz w:val="22"/>
          <w:szCs w:val="22"/>
        </w:rPr>
        <w:t>, p = 0.014), stereoacuity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22.142</w:t>
      </w:r>
      <w:r w:rsidRPr="00CB4E83">
        <w:rPr>
          <w:rFonts w:ascii="Arial" w:hAnsi="Arial" w:cs="Arial"/>
          <w:sz w:val="22"/>
          <w:szCs w:val="22"/>
        </w:rPr>
        <w:t>, p = 0.000), visual field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6.819</w:t>
      </w:r>
      <w:r w:rsidRPr="00CB4E83">
        <w:rPr>
          <w:rFonts w:ascii="Arial" w:hAnsi="Arial" w:cs="Arial"/>
          <w:sz w:val="22"/>
          <w:szCs w:val="22"/>
        </w:rPr>
        <w:t>, p = 0.033) and RTA rate</w:t>
      </w:r>
      <w:r w:rsidRPr="00CB4E83">
        <w:rPr>
          <w:rFonts w:ascii="Arial" w:hAnsi="Arial" w:cs="Arial"/>
          <w:b/>
          <w:sz w:val="22"/>
          <w:szCs w:val="22"/>
        </w:rPr>
        <w:t xml:space="preserve">. </w:t>
      </w:r>
    </w:p>
    <w:p w14:paraId="05E12CE3" w14:textId="77777777" w:rsidR="005229CC" w:rsidRDefault="005229CC" w:rsidP="00CB4E83">
      <w:pPr>
        <w:spacing w:line="480" w:lineRule="auto"/>
        <w:jc w:val="both"/>
        <w:rPr>
          <w:rFonts w:ascii="Arial" w:hAnsi="Arial" w:cs="Arial"/>
          <w:b/>
          <w:sz w:val="22"/>
          <w:szCs w:val="22"/>
        </w:rPr>
      </w:pPr>
    </w:p>
    <w:p w14:paraId="1A8F4B3C" w14:textId="77777777" w:rsidR="005229CC" w:rsidRDefault="005229CC" w:rsidP="00CB4E83">
      <w:pPr>
        <w:spacing w:line="480" w:lineRule="auto"/>
        <w:jc w:val="both"/>
        <w:rPr>
          <w:rFonts w:ascii="Arial" w:hAnsi="Arial" w:cs="Arial"/>
          <w:b/>
          <w:sz w:val="22"/>
          <w:szCs w:val="22"/>
        </w:rPr>
      </w:pPr>
    </w:p>
    <w:p w14:paraId="434DA88B" w14:textId="77777777" w:rsidR="005229CC" w:rsidRDefault="005229CC" w:rsidP="00CB4E83">
      <w:pPr>
        <w:spacing w:line="480" w:lineRule="auto"/>
        <w:jc w:val="both"/>
        <w:rPr>
          <w:rFonts w:ascii="Arial" w:hAnsi="Arial" w:cs="Arial"/>
          <w:b/>
          <w:sz w:val="22"/>
          <w:szCs w:val="22"/>
        </w:rPr>
      </w:pPr>
    </w:p>
    <w:p w14:paraId="7A30BE2A" w14:textId="77777777" w:rsidR="005229CC" w:rsidRDefault="005229CC" w:rsidP="00CB4E83">
      <w:pPr>
        <w:spacing w:line="480" w:lineRule="auto"/>
        <w:jc w:val="both"/>
        <w:rPr>
          <w:rFonts w:ascii="Arial" w:hAnsi="Arial" w:cs="Arial"/>
          <w:b/>
          <w:sz w:val="22"/>
          <w:szCs w:val="22"/>
        </w:rPr>
      </w:pPr>
    </w:p>
    <w:p w14:paraId="78F9B9C9" w14:textId="77777777" w:rsidR="005229CC" w:rsidRDefault="005229CC" w:rsidP="00CB4E83">
      <w:pPr>
        <w:spacing w:line="480" w:lineRule="auto"/>
        <w:jc w:val="both"/>
        <w:rPr>
          <w:rFonts w:ascii="Arial" w:hAnsi="Arial" w:cs="Arial"/>
          <w:b/>
          <w:sz w:val="22"/>
          <w:szCs w:val="22"/>
        </w:rPr>
      </w:pPr>
    </w:p>
    <w:p w14:paraId="40E701B1" w14:textId="77777777" w:rsidR="005229CC" w:rsidRDefault="005229CC" w:rsidP="00CB4E83">
      <w:pPr>
        <w:spacing w:line="480" w:lineRule="auto"/>
        <w:jc w:val="both"/>
        <w:rPr>
          <w:rFonts w:ascii="Arial" w:hAnsi="Arial" w:cs="Arial"/>
          <w:b/>
          <w:sz w:val="22"/>
          <w:szCs w:val="22"/>
        </w:rPr>
      </w:pPr>
    </w:p>
    <w:p w14:paraId="12916AAC" w14:textId="77777777" w:rsidR="005229CC" w:rsidRDefault="005229CC" w:rsidP="00CB4E83">
      <w:pPr>
        <w:spacing w:line="480" w:lineRule="auto"/>
        <w:jc w:val="both"/>
        <w:rPr>
          <w:rFonts w:ascii="Arial" w:hAnsi="Arial" w:cs="Arial"/>
          <w:b/>
          <w:sz w:val="22"/>
          <w:szCs w:val="22"/>
        </w:rPr>
      </w:pPr>
    </w:p>
    <w:p w14:paraId="3652FE3A" w14:textId="77777777" w:rsidR="005229CC" w:rsidRDefault="005229CC" w:rsidP="00CB4E83">
      <w:pPr>
        <w:spacing w:line="480" w:lineRule="auto"/>
        <w:jc w:val="both"/>
        <w:rPr>
          <w:rFonts w:ascii="Arial" w:hAnsi="Arial" w:cs="Arial"/>
          <w:b/>
          <w:sz w:val="22"/>
          <w:szCs w:val="22"/>
        </w:rPr>
      </w:pPr>
    </w:p>
    <w:p w14:paraId="10AA694A" w14:textId="77777777" w:rsidR="005229CC" w:rsidRDefault="005229CC" w:rsidP="00CB4E83">
      <w:pPr>
        <w:spacing w:line="480" w:lineRule="auto"/>
        <w:jc w:val="both"/>
        <w:rPr>
          <w:rFonts w:ascii="Arial" w:hAnsi="Arial" w:cs="Arial"/>
          <w:b/>
          <w:sz w:val="22"/>
          <w:szCs w:val="22"/>
        </w:rPr>
      </w:pPr>
    </w:p>
    <w:p w14:paraId="37572ABB" w14:textId="77777777" w:rsidR="005229CC" w:rsidRDefault="005229CC" w:rsidP="00CB4E83">
      <w:pPr>
        <w:spacing w:line="480" w:lineRule="auto"/>
        <w:jc w:val="both"/>
        <w:rPr>
          <w:rFonts w:ascii="Arial" w:hAnsi="Arial" w:cs="Arial"/>
          <w:b/>
          <w:sz w:val="22"/>
          <w:szCs w:val="22"/>
        </w:rPr>
      </w:pPr>
    </w:p>
    <w:p w14:paraId="2EAEEDAC" w14:textId="77777777" w:rsidR="005229CC" w:rsidRDefault="005229CC" w:rsidP="00CB4E83">
      <w:pPr>
        <w:spacing w:line="480" w:lineRule="auto"/>
        <w:jc w:val="both"/>
        <w:rPr>
          <w:rFonts w:ascii="Arial" w:hAnsi="Arial" w:cs="Arial"/>
          <w:b/>
          <w:sz w:val="22"/>
          <w:szCs w:val="22"/>
        </w:rPr>
      </w:pPr>
    </w:p>
    <w:p w14:paraId="4EDCE8BE" w14:textId="77777777" w:rsidR="005229CC" w:rsidRDefault="005229CC" w:rsidP="00CB4E83">
      <w:pPr>
        <w:spacing w:line="480" w:lineRule="auto"/>
        <w:jc w:val="both"/>
        <w:rPr>
          <w:rFonts w:ascii="Arial" w:hAnsi="Arial" w:cs="Arial"/>
          <w:b/>
          <w:sz w:val="22"/>
          <w:szCs w:val="22"/>
        </w:rPr>
      </w:pPr>
    </w:p>
    <w:p w14:paraId="38B1C3F4" w14:textId="77777777" w:rsidR="005229CC" w:rsidRDefault="005229CC" w:rsidP="00CB4E83">
      <w:pPr>
        <w:spacing w:line="480" w:lineRule="auto"/>
        <w:jc w:val="both"/>
        <w:rPr>
          <w:rFonts w:ascii="Arial" w:hAnsi="Arial" w:cs="Arial"/>
          <w:b/>
          <w:sz w:val="22"/>
          <w:szCs w:val="22"/>
        </w:rPr>
      </w:pPr>
    </w:p>
    <w:p w14:paraId="0FB998F6" w14:textId="77777777" w:rsidR="005229CC" w:rsidRDefault="005229CC" w:rsidP="00CB4E83">
      <w:pPr>
        <w:spacing w:line="480" w:lineRule="auto"/>
        <w:jc w:val="both"/>
        <w:rPr>
          <w:rFonts w:ascii="Arial" w:hAnsi="Arial" w:cs="Arial"/>
          <w:b/>
          <w:sz w:val="22"/>
          <w:szCs w:val="22"/>
        </w:rPr>
      </w:pPr>
    </w:p>
    <w:p w14:paraId="1F6D41E6" w14:textId="77777777" w:rsidR="005229CC" w:rsidRDefault="005229CC" w:rsidP="00CB4E83">
      <w:pPr>
        <w:spacing w:line="480" w:lineRule="auto"/>
        <w:jc w:val="both"/>
        <w:rPr>
          <w:rFonts w:ascii="Arial" w:hAnsi="Arial" w:cs="Arial"/>
          <w:b/>
          <w:sz w:val="22"/>
          <w:szCs w:val="22"/>
        </w:rPr>
      </w:pPr>
    </w:p>
    <w:p w14:paraId="2CC278E2" w14:textId="77777777" w:rsidR="005229CC" w:rsidRPr="00CB4E83" w:rsidRDefault="005229CC" w:rsidP="00CB4E83">
      <w:pPr>
        <w:spacing w:line="480" w:lineRule="auto"/>
        <w:jc w:val="both"/>
        <w:rPr>
          <w:rFonts w:ascii="Arial" w:hAnsi="Arial" w:cs="Arial"/>
          <w:b/>
          <w:sz w:val="22"/>
          <w:szCs w:val="22"/>
        </w:rPr>
      </w:pPr>
    </w:p>
    <w:p w14:paraId="146B445D" w14:textId="77777777" w:rsidR="00820CCC" w:rsidRDefault="00820CCC" w:rsidP="00CF22A7">
      <w:pPr>
        <w:pStyle w:val="Body"/>
        <w:spacing w:after="0"/>
        <w:rPr>
          <w:rFonts w:ascii="Arial" w:hAnsi="Arial" w:cs="Arial"/>
          <w:sz w:val="22"/>
          <w:szCs w:val="22"/>
        </w:rPr>
      </w:pPr>
    </w:p>
    <w:p w14:paraId="772CF3A3" w14:textId="77777777" w:rsidR="00C205DF" w:rsidRPr="009575F3" w:rsidRDefault="00C205DF" w:rsidP="00C205DF">
      <w:pPr>
        <w:jc w:val="both"/>
        <w:rPr>
          <w:b/>
          <w:szCs w:val="24"/>
        </w:rPr>
      </w:pPr>
      <w:r w:rsidRPr="009575F3">
        <w:rPr>
          <w:b/>
          <w:szCs w:val="24"/>
        </w:rPr>
        <w:t>Table 5: RTA and Association with Visual Function Parameters (Pearson Chi-Square Test)</w:t>
      </w:r>
    </w:p>
    <w:p w14:paraId="61228BD1" w14:textId="77777777" w:rsidR="00820CCC" w:rsidRDefault="00820CCC" w:rsidP="00CF22A7">
      <w:pPr>
        <w:pStyle w:val="Body"/>
        <w:spacing w:after="0"/>
        <w:rPr>
          <w:rFonts w:ascii="Arial" w:hAnsi="Arial" w:cs="Arial"/>
          <w:sz w:val="22"/>
          <w:szCs w:val="22"/>
        </w:rPr>
      </w:pPr>
    </w:p>
    <w:p w14:paraId="02F6EBA3" w14:textId="77777777" w:rsidR="00820CCC" w:rsidRDefault="00820CCC" w:rsidP="00CF22A7">
      <w:pPr>
        <w:pStyle w:val="Body"/>
        <w:spacing w:after="0"/>
        <w:rPr>
          <w:rFonts w:ascii="Arial" w:hAnsi="Arial" w:cs="Arial"/>
          <w:sz w:val="22"/>
          <w:szCs w:val="22"/>
        </w:rPr>
      </w:pPr>
    </w:p>
    <w:p w14:paraId="6E993CC8" w14:textId="77777777" w:rsidR="00820CCC" w:rsidRDefault="00820CCC" w:rsidP="00CF22A7">
      <w:pPr>
        <w:pStyle w:val="Body"/>
        <w:spacing w:after="0"/>
        <w:rPr>
          <w:rFonts w:ascii="Arial" w:hAnsi="Arial" w:cs="Arial"/>
          <w:sz w:val="22"/>
          <w:szCs w:val="22"/>
        </w:rPr>
      </w:pPr>
    </w:p>
    <w:tbl>
      <w:tblPr>
        <w:tblW w:w="10300" w:type="dxa"/>
        <w:tblLook w:val="04A0" w:firstRow="1" w:lastRow="0" w:firstColumn="1" w:lastColumn="0" w:noHBand="0" w:noVBand="1"/>
      </w:tblPr>
      <w:tblGrid>
        <w:gridCol w:w="2280"/>
        <w:gridCol w:w="1390"/>
        <w:gridCol w:w="1661"/>
        <w:gridCol w:w="1389"/>
        <w:gridCol w:w="1560"/>
        <w:gridCol w:w="1120"/>
        <w:gridCol w:w="900"/>
      </w:tblGrid>
      <w:tr w:rsidR="00645118" w:rsidRPr="00980795" w14:paraId="57240746" w14:textId="77777777" w:rsidTr="00FD7082">
        <w:trPr>
          <w:trHeight w:val="630"/>
        </w:trPr>
        <w:tc>
          <w:tcPr>
            <w:tcW w:w="2280" w:type="dxa"/>
            <w:tcBorders>
              <w:top w:val="single" w:sz="8" w:space="0" w:color="auto"/>
              <w:left w:val="nil"/>
              <w:bottom w:val="single" w:sz="4" w:space="0" w:color="auto"/>
              <w:right w:val="nil"/>
            </w:tcBorders>
            <w:noWrap/>
            <w:vAlign w:val="center"/>
            <w:hideMark/>
          </w:tcPr>
          <w:p w14:paraId="1D320839" w14:textId="77777777" w:rsidR="00645118" w:rsidRPr="00980795" w:rsidRDefault="00645118" w:rsidP="00FD7082">
            <w:pPr>
              <w:jc w:val="both"/>
              <w:rPr>
                <w:b/>
                <w:bCs/>
                <w:sz w:val="16"/>
                <w:szCs w:val="16"/>
                <w:lang w:eastAsia="en-GB"/>
              </w:rPr>
            </w:pPr>
            <w:r w:rsidRPr="00980795">
              <w:rPr>
                <w:b/>
                <w:bCs/>
                <w:sz w:val="16"/>
                <w:szCs w:val="16"/>
                <w:lang w:eastAsia="en-GB"/>
              </w:rPr>
              <w:t>VARIABLE</w:t>
            </w:r>
          </w:p>
        </w:tc>
        <w:tc>
          <w:tcPr>
            <w:tcW w:w="4440" w:type="dxa"/>
            <w:gridSpan w:val="3"/>
            <w:tcBorders>
              <w:top w:val="single" w:sz="8" w:space="0" w:color="auto"/>
              <w:left w:val="nil"/>
              <w:bottom w:val="single" w:sz="4" w:space="0" w:color="auto"/>
              <w:right w:val="nil"/>
            </w:tcBorders>
            <w:noWrap/>
            <w:vAlign w:val="center"/>
            <w:hideMark/>
          </w:tcPr>
          <w:p w14:paraId="23723BEA" w14:textId="77777777" w:rsidR="00645118" w:rsidRPr="00980795" w:rsidRDefault="00645118" w:rsidP="00FD7082">
            <w:pPr>
              <w:jc w:val="both"/>
              <w:rPr>
                <w:b/>
                <w:bCs/>
                <w:sz w:val="16"/>
                <w:szCs w:val="16"/>
                <w:lang w:eastAsia="en-GB"/>
              </w:rPr>
            </w:pPr>
            <w:r w:rsidRPr="00980795">
              <w:rPr>
                <w:b/>
                <w:bCs/>
                <w:sz w:val="16"/>
                <w:szCs w:val="16"/>
                <w:lang w:eastAsia="en-GB"/>
              </w:rPr>
              <w:t>RTA RATE</w:t>
            </w:r>
          </w:p>
          <w:p w14:paraId="7071453D" w14:textId="77777777" w:rsidR="00645118" w:rsidRPr="00980795" w:rsidRDefault="00645118" w:rsidP="00FD7082">
            <w:pPr>
              <w:jc w:val="both"/>
              <w:rPr>
                <w:b/>
                <w:bCs/>
                <w:sz w:val="16"/>
                <w:szCs w:val="16"/>
                <w:lang w:eastAsia="en-GB"/>
              </w:rPr>
            </w:pPr>
            <w:r w:rsidRPr="00980795">
              <w:rPr>
                <w:b/>
                <w:bCs/>
                <w:sz w:val="16"/>
                <w:szCs w:val="16"/>
                <w:lang w:eastAsia="en-GB"/>
              </w:rPr>
              <w:t>(RTA Count Per Person Driving Years)</w:t>
            </w:r>
          </w:p>
        </w:tc>
        <w:tc>
          <w:tcPr>
            <w:tcW w:w="1560" w:type="dxa"/>
            <w:tcBorders>
              <w:top w:val="single" w:sz="8" w:space="0" w:color="auto"/>
              <w:left w:val="nil"/>
              <w:bottom w:val="single" w:sz="4" w:space="0" w:color="auto"/>
              <w:right w:val="nil"/>
            </w:tcBorders>
            <w:noWrap/>
            <w:vAlign w:val="center"/>
            <w:hideMark/>
          </w:tcPr>
          <w:p w14:paraId="447A2F12" w14:textId="77777777" w:rsidR="00645118" w:rsidRPr="00980795" w:rsidRDefault="00645118" w:rsidP="00FD7082">
            <w:pPr>
              <w:jc w:val="both"/>
              <w:rPr>
                <w:b/>
                <w:bCs/>
                <w:sz w:val="16"/>
                <w:szCs w:val="16"/>
                <w:lang w:eastAsia="en-GB"/>
              </w:rPr>
            </w:pPr>
            <w:r w:rsidRPr="00980795">
              <w:rPr>
                <w:b/>
                <w:bCs/>
                <w:sz w:val="16"/>
                <w:szCs w:val="16"/>
                <w:lang w:eastAsia="en-GB"/>
              </w:rPr>
              <w:t>TOTAL</w:t>
            </w:r>
          </w:p>
        </w:tc>
        <w:tc>
          <w:tcPr>
            <w:tcW w:w="1120" w:type="dxa"/>
            <w:tcBorders>
              <w:top w:val="single" w:sz="8" w:space="0" w:color="auto"/>
              <w:left w:val="nil"/>
              <w:bottom w:val="single" w:sz="4" w:space="0" w:color="auto"/>
              <w:right w:val="nil"/>
            </w:tcBorders>
            <w:vAlign w:val="center"/>
            <w:hideMark/>
          </w:tcPr>
          <w:p w14:paraId="1E6C8D66" w14:textId="77777777" w:rsidR="00645118" w:rsidRPr="00980795" w:rsidRDefault="00645118" w:rsidP="00FD7082">
            <w:pPr>
              <w:jc w:val="both"/>
              <w:rPr>
                <w:b/>
                <w:bCs/>
                <w:sz w:val="16"/>
                <w:szCs w:val="16"/>
                <w:lang w:eastAsia="en-GB"/>
              </w:rPr>
            </w:pPr>
            <w:r w:rsidRPr="00980795">
              <w:rPr>
                <w:b/>
                <w:bCs/>
                <w:sz w:val="16"/>
                <w:szCs w:val="16"/>
                <w:lang w:eastAsia="en-GB"/>
              </w:rPr>
              <w:t>χ2</w:t>
            </w:r>
          </w:p>
        </w:tc>
        <w:tc>
          <w:tcPr>
            <w:tcW w:w="900" w:type="dxa"/>
            <w:tcBorders>
              <w:top w:val="single" w:sz="8" w:space="0" w:color="auto"/>
              <w:left w:val="nil"/>
              <w:bottom w:val="single" w:sz="4" w:space="0" w:color="auto"/>
              <w:right w:val="nil"/>
            </w:tcBorders>
            <w:vAlign w:val="center"/>
            <w:hideMark/>
          </w:tcPr>
          <w:p w14:paraId="45793CF3" w14:textId="77777777" w:rsidR="00645118" w:rsidRPr="00980795" w:rsidRDefault="00645118" w:rsidP="00FD7082">
            <w:pPr>
              <w:jc w:val="both"/>
              <w:rPr>
                <w:b/>
                <w:bCs/>
                <w:sz w:val="16"/>
                <w:szCs w:val="16"/>
                <w:lang w:eastAsia="en-GB"/>
              </w:rPr>
            </w:pPr>
            <w:r w:rsidRPr="00980795">
              <w:rPr>
                <w:b/>
                <w:bCs/>
                <w:sz w:val="16"/>
                <w:szCs w:val="16"/>
                <w:lang w:eastAsia="en-GB"/>
              </w:rPr>
              <w:t>p</w:t>
            </w:r>
            <w:r w:rsidRPr="00980795">
              <w:rPr>
                <w:b/>
                <w:bCs/>
                <w:sz w:val="16"/>
                <w:szCs w:val="16"/>
                <w:lang w:eastAsia="en-GB"/>
              </w:rPr>
              <w:br/>
              <w:t>VALUE</w:t>
            </w:r>
          </w:p>
        </w:tc>
      </w:tr>
      <w:tr w:rsidR="00645118" w:rsidRPr="00980795" w14:paraId="2AEE4B26" w14:textId="77777777" w:rsidTr="00FD7082">
        <w:trPr>
          <w:trHeight w:val="315"/>
        </w:trPr>
        <w:tc>
          <w:tcPr>
            <w:tcW w:w="2280" w:type="dxa"/>
            <w:tcBorders>
              <w:top w:val="nil"/>
              <w:left w:val="nil"/>
              <w:bottom w:val="nil"/>
              <w:right w:val="nil"/>
            </w:tcBorders>
            <w:noWrap/>
            <w:vAlign w:val="bottom"/>
            <w:hideMark/>
          </w:tcPr>
          <w:p w14:paraId="1C37EFD5" w14:textId="77777777" w:rsidR="00645118" w:rsidRPr="00980795" w:rsidRDefault="00645118" w:rsidP="00FD7082">
            <w:pPr>
              <w:jc w:val="both"/>
              <w:rPr>
                <w:b/>
                <w:bCs/>
                <w:sz w:val="16"/>
                <w:szCs w:val="16"/>
                <w:lang w:eastAsia="en-GB"/>
              </w:rPr>
            </w:pPr>
          </w:p>
        </w:tc>
        <w:tc>
          <w:tcPr>
            <w:tcW w:w="1390" w:type="dxa"/>
            <w:tcBorders>
              <w:top w:val="nil"/>
              <w:left w:val="nil"/>
              <w:bottom w:val="single" w:sz="4" w:space="0" w:color="auto"/>
              <w:right w:val="nil"/>
            </w:tcBorders>
            <w:noWrap/>
            <w:vAlign w:val="bottom"/>
            <w:hideMark/>
          </w:tcPr>
          <w:p w14:paraId="28F88B55" w14:textId="77777777" w:rsidR="00645118" w:rsidRPr="00980795" w:rsidRDefault="00645118" w:rsidP="00FD7082">
            <w:pPr>
              <w:jc w:val="both"/>
              <w:rPr>
                <w:b/>
                <w:bCs/>
                <w:sz w:val="16"/>
                <w:szCs w:val="16"/>
                <w:lang w:eastAsia="en-GB"/>
              </w:rPr>
            </w:pPr>
            <w:r w:rsidRPr="00980795">
              <w:rPr>
                <w:b/>
                <w:bCs/>
                <w:sz w:val="16"/>
                <w:szCs w:val="16"/>
                <w:lang w:eastAsia="en-GB"/>
              </w:rPr>
              <w:t>0.00</w:t>
            </w:r>
          </w:p>
        </w:tc>
        <w:tc>
          <w:tcPr>
            <w:tcW w:w="1661" w:type="dxa"/>
            <w:tcBorders>
              <w:top w:val="nil"/>
              <w:left w:val="nil"/>
              <w:bottom w:val="single" w:sz="4" w:space="0" w:color="auto"/>
              <w:right w:val="nil"/>
            </w:tcBorders>
            <w:noWrap/>
            <w:vAlign w:val="bottom"/>
            <w:hideMark/>
          </w:tcPr>
          <w:p w14:paraId="62060442" w14:textId="77777777" w:rsidR="00645118" w:rsidRPr="00980795" w:rsidRDefault="00645118" w:rsidP="00FD7082">
            <w:pPr>
              <w:jc w:val="both"/>
              <w:rPr>
                <w:b/>
                <w:bCs/>
                <w:sz w:val="16"/>
                <w:szCs w:val="16"/>
                <w:lang w:eastAsia="en-GB"/>
              </w:rPr>
            </w:pPr>
            <w:r w:rsidRPr="00980795">
              <w:rPr>
                <w:b/>
                <w:bCs/>
                <w:sz w:val="16"/>
                <w:szCs w:val="16"/>
                <w:lang w:eastAsia="en-GB"/>
              </w:rPr>
              <w:t>&gt;0.00 to 0.10</w:t>
            </w:r>
          </w:p>
        </w:tc>
        <w:tc>
          <w:tcPr>
            <w:tcW w:w="1389" w:type="dxa"/>
            <w:tcBorders>
              <w:top w:val="nil"/>
              <w:left w:val="nil"/>
              <w:bottom w:val="single" w:sz="4" w:space="0" w:color="auto"/>
              <w:right w:val="nil"/>
            </w:tcBorders>
            <w:noWrap/>
            <w:vAlign w:val="bottom"/>
            <w:hideMark/>
          </w:tcPr>
          <w:p w14:paraId="1BDE43A7" w14:textId="77777777" w:rsidR="00645118" w:rsidRPr="00980795" w:rsidRDefault="00645118" w:rsidP="00FD7082">
            <w:pPr>
              <w:jc w:val="both"/>
              <w:rPr>
                <w:b/>
                <w:bCs/>
                <w:sz w:val="16"/>
                <w:szCs w:val="16"/>
                <w:lang w:eastAsia="en-GB"/>
              </w:rPr>
            </w:pPr>
            <w:r w:rsidRPr="00980795">
              <w:rPr>
                <w:b/>
                <w:bCs/>
                <w:sz w:val="16"/>
                <w:szCs w:val="16"/>
                <w:lang w:eastAsia="en-GB"/>
              </w:rPr>
              <w:t>&gt;0.10</w:t>
            </w:r>
          </w:p>
        </w:tc>
        <w:tc>
          <w:tcPr>
            <w:tcW w:w="1560" w:type="dxa"/>
            <w:tcBorders>
              <w:top w:val="nil"/>
              <w:left w:val="nil"/>
              <w:bottom w:val="nil"/>
              <w:right w:val="nil"/>
            </w:tcBorders>
            <w:noWrap/>
            <w:vAlign w:val="bottom"/>
            <w:hideMark/>
          </w:tcPr>
          <w:p w14:paraId="38D611D2" w14:textId="77777777" w:rsidR="00645118" w:rsidRPr="00980795" w:rsidRDefault="00645118" w:rsidP="00FD7082">
            <w:pPr>
              <w:jc w:val="both"/>
              <w:rPr>
                <w:b/>
                <w:bCs/>
                <w:sz w:val="16"/>
                <w:szCs w:val="16"/>
                <w:lang w:eastAsia="en-GB"/>
              </w:rPr>
            </w:pPr>
          </w:p>
        </w:tc>
        <w:tc>
          <w:tcPr>
            <w:tcW w:w="1120" w:type="dxa"/>
            <w:tcBorders>
              <w:top w:val="nil"/>
              <w:left w:val="nil"/>
              <w:bottom w:val="nil"/>
              <w:right w:val="nil"/>
            </w:tcBorders>
            <w:noWrap/>
            <w:vAlign w:val="bottom"/>
            <w:hideMark/>
          </w:tcPr>
          <w:p w14:paraId="077668F4"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64A50CF0" w14:textId="77777777" w:rsidR="00645118" w:rsidRPr="00980795" w:rsidRDefault="00645118" w:rsidP="00FD7082">
            <w:pPr>
              <w:jc w:val="both"/>
              <w:rPr>
                <w:sz w:val="16"/>
                <w:szCs w:val="16"/>
                <w:lang w:eastAsia="en-GB"/>
              </w:rPr>
            </w:pPr>
          </w:p>
        </w:tc>
      </w:tr>
      <w:tr w:rsidR="00645118" w:rsidRPr="00980795" w14:paraId="20E3DC06" w14:textId="77777777" w:rsidTr="00FD7082">
        <w:trPr>
          <w:trHeight w:val="315"/>
        </w:trPr>
        <w:tc>
          <w:tcPr>
            <w:tcW w:w="2280" w:type="dxa"/>
            <w:tcBorders>
              <w:top w:val="nil"/>
              <w:left w:val="nil"/>
              <w:bottom w:val="nil"/>
              <w:right w:val="nil"/>
            </w:tcBorders>
            <w:noWrap/>
            <w:vAlign w:val="bottom"/>
            <w:hideMark/>
          </w:tcPr>
          <w:p w14:paraId="12C5C33B" w14:textId="77777777" w:rsidR="00645118" w:rsidRPr="00980795" w:rsidRDefault="00645118" w:rsidP="00FD7082">
            <w:pPr>
              <w:jc w:val="both"/>
              <w:rPr>
                <w:sz w:val="16"/>
                <w:szCs w:val="16"/>
                <w:lang w:eastAsia="en-GB"/>
              </w:rPr>
            </w:pPr>
          </w:p>
        </w:tc>
        <w:tc>
          <w:tcPr>
            <w:tcW w:w="4440" w:type="dxa"/>
            <w:gridSpan w:val="3"/>
            <w:tcBorders>
              <w:top w:val="nil"/>
              <w:left w:val="nil"/>
              <w:bottom w:val="nil"/>
              <w:right w:val="nil"/>
            </w:tcBorders>
            <w:noWrap/>
            <w:vAlign w:val="bottom"/>
            <w:hideMark/>
          </w:tcPr>
          <w:p w14:paraId="47DF5A6B" w14:textId="77777777" w:rsidR="00645118" w:rsidRPr="00980795" w:rsidRDefault="00645118" w:rsidP="00FD7082">
            <w:pPr>
              <w:jc w:val="both"/>
              <w:rPr>
                <w:b/>
                <w:bCs/>
                <w:sz w:val="16"/>
                <w:szCs w:val="16"/>
                <w:lang w:eastAsia="en-GB"/>
              </w:rPr>
            </w:pPr>
            <w:r w:rsidRPr="00980795">
              <w:rPr>
                <w:b/>
                <w:bCs/>
                <w:sz w:val="16"/>
                <w:szCs w:val="16"/>
                <w:lang w:eastAsia="en-GB"/>
              </w:rPr>
              <w:t>Frequency (%)</w:t>
            </w:r>
          </w:p>
        </w:tc>
        <w:tc>
          <w:tcPr>
            <w:tcW w:w="1560" w:type="dxa"/>
            <w:tcBorders>
              <w:top w:val="nil"/>
              <w:left w:val="nil"/>
              <w:bottom w:val="nil"/>
              <w:right w:val="nil"/>
            </w:tcBorders>
            <w:noWrap/>
            <w:vAlign w:val="bottom"/>
            <w:hideMark/>
          </w:tcPr>
          <w:p w14:paraId="5E9C863F" w14:textId="77777777" w:rsidR="00645118" w:rsidRPr="00980795" w:rsidRDefault="00645118" w:rsidP="00FD7082">
            <w:pPr>
              <w:jc w:val="both"/>
              <w:rPr>
                <w:b/>
                <w:bCs/>
                <w:sz w:val="16"/>
                <w:szCs w:val="16"/>
                <w:lang w:eastAsia="en-GB"/>
              </w:rPr>
            </w:pPr>
          </w:p>
        </w:tc>
        <w:tc>
          <w:tcPr>
            <w:tcW w:w="1120" w:type="dxa"/>
            <w:tcBorders>
              <w:top w:val="nil"/>
              <w:left w:val="nil"/>
              <w:bottom w:val="nil"/>
              <w:right w:val="nil"/>
            </w:tcBorders>
            <w:noWrap/>
            <w:vAlign w:val="bottom"/>
            <w:hideMark/>
          </w:tcPr>
          <w:p w14:paraId="35D714C0"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1743D8E1" w14:textId="77777777" w:rsidR="00645118" w:rsidRPr="00980795" w:rsidRDefault="00645118" w:rsidP="00FD7082">
            <w:pPr>
              <w:jc w:val="both"/>
              <w:rPr>
                <w:sz w:val="16"/>
                <w:szCs w:val="16"/>
                <w:lang w:eastAsia="en-GB"/>
              </w:rPr>
            </w:pPr>
          </w:p>
        </w:tc>
      </w:tr>
      <w:tr w:rsidR="00645118" w:rsidRPr="00980795" w14:paraId="695EC54B" w14:textId="77777777" w:rsidTr="00FD7082">
        <w:trPr>
          <w:trHeight w:val="315"/>
        </w:trPr>
        <w:tc>
          <w:tcPr>
            <w:tcW w:w="2280" w:type="dxa"/>
            <w:tcBorders>
              <w:top w:val="single" w:sz="4" w:space="0" w:color="auto"/>
              <w:left w:val="nil"/>
              <w:bottom w:val="nil"/>
              <w:right w:val="nil"/>
            </w:tcBorders>
            <w:noWrap/>
            <w:vAlign w:val="bottom"/>
            <w:hideMark/>
          </w:tcPr>
          <w:p w14:paraId="607C9311" w14:textId="77777777" w:rsidR="00645118" w:rsidRPr="00980795" w:rsidRDefault="00645118" w:rsidP="00FD7082">
            <w:pPr>
              <w:jc w:val="both"/>
              <w:rPr>
                <w:b/>
                <w:bCs/>
                <w:sz w:val="16"/>
                <w:szCs w:val="16"/>
                <w:lang w:eastAsia="en-GB"/>
              </w:rPr>
            </w:pPr>
            <w:r w:rsidRPr="00980795">
              <w:rPr>
                <w:b/>
                <w:bCs/>
                <w:sz w:val="16"/>
                <w:szCs w:val="16"/>
                <w:lang w:eastAsia="en-GB"/>
              </w:rPr>
              <w:t>VISUAL ACUITY</w:t>
            </w:r>
          </w:p>
        </w:tc>
        <w:tc>
          <w:tcPr>
            <w:tcW w:w="1390" w:type="dxa"/>
            <w:tcBorders>
              <w:top w:val="nil"/>
              <w:left w:val="nil"/>
              <w:bottom w:val="nil"/>
              <w:right w:val="nil"/>
            </w:tcBorders>
            <w:noWrap/>
            <w:vAlign w:val="bottom"/>
            <w:hideMark/>
          </w:tcPr>
          <w:p w14:paraId="2622D88E"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bottom"/>
            <w:hideMark/>
          </w:tcPr>
          <w:p w14:paraId="21DA9036"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bottom"/>
            <w:hideMark/>
          </w:tcPr>
          <w:p w14:paraId="58DB2C2D"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bottom"/>
            <w:hideMark/>
          </w:tcPr>
          <w:p w14:paraId="6B3A9BE7"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bottom"/>
            <w:hideMark/>
          </w:tcPr>
          <w:p w14:paraId="427BD9CA"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245EF160" w14:textId="77777777" w:rsidR="00645118" w:rsidRPr="00980795" w:rsidRDefault="00645118" w:rsidP="00FD7082">
            <w:pPr>
              <w:jc w:val="both"/>
              <w:rPr>
                <w:sz w:val="16"/>
                <w:szCs w:val="16"/>
                <w:lang w:eastAsia="en-GB"/>
              </w:rPr>
            </w:pPr>
          </w:p>
        </w:tc>
      </w:tr>
      <w:tr w:rsidR="00645118" w:rsidRPr="00980795" w14:paraId="58230225" w14:textId="77777777" w:rsidTr="00FD7082">
        <w:trPr>
          <w:trHeight w:val="315"/>
        </w:trPr>
        <w:tc>
          <w:tcPr>
            <w:tcW w:w="2280" w:type="dxa"/>
            <w:tcBorders>
              <w:top w:val="nil"/>
              <w:left w:val="nil"/>
              <w:bottom w:val="nil"/>
              <w:right w:val="nil"/>
            </w:tcBorders>
            <w:noWrap/>
            <w:vAlign w:val="bottom"/>
            <w:hideMark/>
          </w:tcPr>
          <w:p w14:paraId="73C3AAC8" w14:textId="77777777" w:rsidR="00645118" w:rsidRPr="00980795" w:rsidRDefault="00645118" w:rsidP="00FD7082">
            <w:pPr>
              <w:jc w:val="both"/>
              <w:rPr>
                <w:b/>
                <w:bCs/>
                <w:sz w:val="16"/>
                <w:szCs w:val="16"/>
                <w:lang w:eastAsia="en-GB"/>
              </w:rPr>
            </w:pPr>
            <w:r w:rsidRPr="00980795">
              <w:rPr>
                <w:b/>
                <w:bCs/>
                <w:sz w:val="16"/>
                <w:szCs w:val="16"/>
                <w:lang w:eastAsia="en-GB"/>
              </w:rPr>
              <w:t>WHO Definition</w:t>
            </w:r>
          </w:p>
        </w:tc>
        <w:tc>
          <w:tcPr>
            <w:tcW w:w="1390" w:type="dxa"/>
            <w:tcBorders>
              <w:top w:val="nil"/>
              <w:left w:val="nil"/>
              <w:bottom w:val="nil"/>
              <w:right w:val="nil"/>
            </w:tcBorders>
            <w:noWrap/>
            <w:vAlign w:val="bottom"/>
            <w:hideMark/>
          </w:tcPr>
          <w:p w14:paraId="347BA102"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bottom"/>
            <w:hideMark/>
          </w:tcPr>
          <w:p w14:paraId="05DCA85D"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bottom"/>
            <w:hideMark/>
          </w:tcPr>
          <w:p w14:paraId="7D33BB11"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bottom"/>
            <w:hideMark/>
          </w:tcPr>
          <w:p w14:paraId="449C7FB9"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bottom"/>
            <w:hideMark/>
          </w:tcPr>
          <w:p w14:paraId="42DCC27C"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2A1DE691" w14:textId="77777777" w:rsidR="00645118" w:rsidRPr="00980795" w:rsidRDefault="00645118" w:rsidP="00FD7082">
            <w:pPr>
              <w:jc w:val="both"/>
              <w:rPr>
                <w:sz w:val="16"/>
                <w:szCs w:val="16"/>
                <w:lang w:eastAsia="en-GB"/>
              </w:rPr>
            </w:pPr>
          </w:p>
        </w:tc>
      </w:tr>
      <w:tr w:rsidR="00645118" w:rsidRPr="00980795" w14:paraId="3CEFE48F" w14:textId="77777777" w:rsidTr="00FD7082">
        <w:trPr>
          <w:trHeight w:val="315"/>
        </w:trPr>
        <w:tc>
          <w:tcPr>
            <w:tcW w:w="2280" w:type="dxa"/>
            <w:tcBorders>
              <w:top w:val="nil"/>
              <w:left w:val="nil"/>
              <w:bottom w:val="nil"/>
              <w:right w:val="nil"/>
            </w:tcBorders>
            <w:noWrap/>
            <w:vAlign w:val="bottom"/>
            <w:hideMark/>
          </w:tcPr>
          <w:p w14:paraId="52162B7E"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378F69C0" w14:textId="77777777" w:rsidR="00645118" w:rsidRPr="00980795" w:rsidRDefault="00645118" w:rsidP="00FD7082">
            <w:pPr>
              <w:jc w:val="both"/>
              <w:rPr>
                <w:sz w:val="16"/>
                <w:szCs w:val="16"/>
                <w:lang w:eastAsia="en-GB"/>
              </w:rPr>
            </w:pPr>
            <w:r w:rsidRPr="00980795">
              <w:rPr>
                <w:sz w:val="16"/>
                <w:szCs w:val="16"/>
                <w:lang w:eastAsia="en-GB"/>
              </w:rPr>
              <w:t>1 (2.9%)</w:t>
            </w:r>
          </w:p>
        </w:tc>
        <w:tc>
          <w:tcPr>
            <w:tcW w:w="1661" w:type="dxa"/>
            <w:tcBorders>
              <w:top w:val="nil"/>
              <w:left w:val="nil"/>
              <w:bottom w:val="nil"/>
              <w:right w:val="nil"/>
            </w:tcBorders>
            <w:noWrap/>
            <w:vAlign w:val="center"/>
            <w:hideMark/>
          </w:tcPr>
          <w:p w14:paraId="13D8B096" w14:textId="77777777" w:rsidR="00645118" w:rsidRPr="00980795" w:rsidRDefault="00645118" w:rsidP="00FD7082">
            <w:pPr>
              <w:jc w:val="both"/>
              <w:rPr>
                <w:sz w:val="16"/>
                <w:szCs w:val="16"/>
                <w:lang w:eastAsia="en-GB"/>
              </w:rPr>
            </w:pPr>
            <w:r w:rsidRPr="00980795">
              <w:rPr>
                <w:sz w:val="16"/>
                <w:szCs w:val="16"/>
                <w:lang w:eastAsia="en-GB"/>
              </w:rPr>
              <w:t>20 (58.8%)</w:t>
            </w:r>
          </w:p>
        </w:tc>
        <w:tc>
          <w:tcPr>
            <w:tcW w:w="1389" w:type="dxa"/>
            <w:tcBorders>
              <w:top w:val="nil"/>
              <w:left w:val="nil"/>
              <w:bottom w:val="nil"/>
              <w:right w:val="nil"/>
            </w:tcBorders>
            <w:noWrap/>
            <w:vAlign w:val="center"/>
            <w:hideMark/>
          </w:tcPr>
          <w:p w14:paraId="7AFB290E" w14:textId="77777777" w:rsidR="00645118" w:rsidRPr="00980795" w:rsidRDefault="00645118" w:rsidP="00FD7082">
            <w:pPr>
              <w:jc w:val="both"/>
              <w:rPr>
                <w:sz w:val="16"/>
                <w:szCs w:val="16"/>
                <w:lang w:eastAsia="en-GB"/>
              </w:rPr>
            </w:pPr>
            <w:r w:rsidRPr="00980795">
              <w:rPr>
                <w:sz w:val="16"/>
                <w:szCs w:val="16"/>
                <w:lang w:eastAsia="en-GB"/>
              </w:rPr>
              <w:t>13 (38.2%)</w:t>
            </w:r>
          </w:p>
        </w:tc>
        <w:tc>
          <w:tcPr>
            <w:tcW w:w="1560" w:type="dxa"/>
            <w:tcBorders>
              <w:top w:val="nil"/>
              <w:left w:val="nil"/>
              <w:bottom w:val="nil"/>
              <w:right w:val="nil"/>
            </w:tcBorders>
            <w:noWrap/>
            <w:vAlign w:val="center"/>
            <w:hideMark/>
          </w:tcPr>
          <w:p w14:paraId="1062F1A1" w14:textId="77777777" w:rsidR="00645118" w:rsidRPr="00980795" w:rsidRDefault="00645118" w:rsidP="00FD7082">
            <w:pPr>
              <w:jc w:val="both"/>
              <w:rPr>
                <w:sz w:val="16"/>
                <w:szCs w:val="16"/>
                <w:lang w:eastAsia="en-GB"/>
              </w:rPr>
            </w:pPr>
            <w:r w:rsidRPr="00980795">
              <w:rPr>
                <w:sz w:val="16"/>
                <w:szCs w:val="16"/>
                <w:lang w:eastAsia="en-GB"/>
              </w:rPr>
              <w:t>34 (100.0%)</w:t>
            </w:r>
          </w:p>
        </w:tc>
        <w:tc>
          <w:tcPr>
            <w:tcW w:w="1120" w:type="dxa"/>
            <w:tcBorders>
              <w:top w:val="nil"/>
              <w:left w:val="nil"/>
              <w:bottom w:val="nil"/>
              <w:right w:val="nil"/>
            </w:tcBorders>
            <w:noWrap/>
            <w:vAlign w:val="center"/>
            <w:hideMark/>
          </w:tcPr>
          <w:p w14:paraId="3EDC6490" w14:textId="77777777" w:rsidR="00645118" w:rsidRPr="00980795" w:rsidRDefault="00645118" w:rsidP="00FD7082">
            <w:pPr>
              <w:jc w:val="both"/>
              <w:rPr>
                <w:sz w:val="16"/>
                <w:szCs w:val="16"/>
                <w:lang w:eastAsia="en-GB"/>
              </w:rPr>
            </w:pPr>
            <w:r w:rsidRPr="00980795">
              <w:rPr>
                <w:sz w:val="16"/>
                <w:szCs w:val="16"/>
                <w:lang w:eastAsia="en-GB"/>
              </w:rPr>
              <w:t>38.921</w:t>
            </w:r>
          </w:p>
        </w:tc>
        <w:tc>
          <w:tcPr>
            <w:tcW w:w="900" w:type="dxa"/>
            <w:tcBorders>
              <w:top w:val="nil"/>
              <w:left w:val="nil"/>
              <w:bottom w:val="nil"/>
              <w:right w:val="nil"/>
            </w:tcBorders>
            <w:noWrap/>
            <w:vAlign w:val="center"/>
            <w:hideMark/>
          </w:tcPr>
          <w:p w14:paraId="280AAF32" w14:textId="77777777" w:rsidR="00645118" w:rsidRPr="00980795" w:rsidRDefault="00645118" w:rsidP="00FD7082">
            <w:pPr>
              <w:jc w:val="both"/>
              <w:rPr>
                <w:sz w:val="16"/>
                <w:szCs w:val="16"/>
                <w:lang w:eastAsia="en-GB"/>
              </w:rPr>
            </w:pPr>
            <w:r w:rsidRPr="00980795">
              <w:rPr>
                <w:sz w:val="16"/>
                <w:szCs w:val="16"/>
                <w:lang w:eastAsia="en-GB"/>
              </w:rPr>
              <w:t>0.000*</w:t>
            </w:r>
          </w:p>
        </w:tc>
      </w:tr>
      <w:tr w:rsidR="00645118" w:rsidRPr="00980795" w14:paraId="525A3570" w14:textId="77777777" w:rsidTr="00FD7082">
        <w:trPr>
          <w:trHeight w:val="315"/>
        </w:trPr>
        <w:tc>
          <w:tcPr>
            <w:tcW w:w="2280" w:type="dxa"/>
            <w:tcBorders>
              <w:top w:val="nil"/>
              <w:left w:val="nil"/>
              <w:bottom w:val="nil"/>
              <w:right w:val="nil"/>
            </w:tcBorders>
            <w:noWrap/>
            <w:vAlign w:val="bottom"/>
            <w:hideMark/>
          </w:tcPr>
          <w:p w14:paraId="5A202228"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1DCB3B10" w14:textId="77777777" w:rsidR="00645118" w:rsidRPr="00980795" w:rsidRDefault="00645118" w:rsidP="00FD7082">
            <w:pPr>
              <w:jc w:val="both"/>
              <w:rPr>
                <w:sz w:val="16"/>
                <w:szCs w:val="16"/>
                <w:lang w:eastAsia="en-GB"/>
              </w:rPr>
            </w:pPr>
            <w:r w:rsidRPr="00980795">
              <w:rPr>
                <w:sz w:val="16"/>
                <w:szCs w:val="16"/>
                <w:lang w:eastAsia="en-GB"/>
              </w:rPr>
              <w:t>79 (51.3%)</w:t>
            </w:r>
          </w:p>
        </w:tc>
        <w:tc>
          <w:tcPr>
            <w:tcW w:w="1661" w:type="dxa"/>
            <w:tcBorders>
              <w:top w:val="nil"/>
              <w:left w:val="nil"/>
              <w:bottom w:val="nil"/>
              <w:right w:val="nil"/>
            </w:tcBorders>
            <w:noWrap/>
            <w:vAlign w:val="center"/>
            <w:hideMark/>
          </w:tcPr>
          <w:p w14:paraId="18A5A92F" w14:textId="77777777" w:rsidR="00645118" w:rsidRPr="00980795" w:rsidRDefault="00645118" w:rsidP="00FD7082">
            <w:pPr>
              <w:jc w:val="both"/>
              <w:rPr>
                <w:sz w:val="16"/>
                <w:szCs w:val="16"/>
                <w:lang w:eastAsia="en-GB"/>
              </w:rPr>
            </w:pPr>
            <w:r w:rsidRPr="00980795">
              <w:rPr>
                <w:sz w:val="16"/>
                <w:szCs w:val="16"/>
                <w:lang w:eastAsia="en-GB"/>
              </w:rPr>
              <w:t>23 (14.9%)</w:t>
            </w:r>
          </w:p>
        </w:tc>
        <w:tc>
          <w:tcPr>
            <w:tcW w:w="1389" w:type="dxa"/>
            <w:tcBorders>
              <w:top w:val="nil"/>
              <w:left w:val="nil"/>
              <w:bottom w:val="nil"/>
              <w:right w:val="nil"/>
            </w:tcBorders>
            <w:noWrap/>
            <w:vAlign w:val="center"/>
            <w:hideMark/>
          </w:tcPr>
          <w:p w14:paraId="265837C8" w14:textId="77777777" w:rsidR="00645118" w:rsidRPr="00980795" w:rsidRDefault="00645118" w:rsidP="00FD7082">
            <w:pPr>
              <w:jc w:val="both"/>
              <w:rPr>
                <w:sz w:val="16"/>
                <w:szCs w:val="16"/>
                <w:lang w:eastAsia="en-GB"/>
              </w:rPr>
            </w:pPr>
            <w:r w:rsidRPr="00980795">
              <w:rPr>
                <w:sz w:val="16"/>
                <w:szCs w:val="16"/>
                <w:lang w:eastAsia="en-GB"/>
              </w:rPr>
              <w:t>52 (33.8%)</w:t>
            </w:r>
          </w:p>
        </w:tc>
        <w:tc>
          <w:tcPr>
            <w:tcW w:w="1560" w:type="dxa"/>
            <w:tcBorders>
              <w:top w:val="nil"/>
              <w:left w:val="nil"/>
              <w:bottom w:val="nil"/>
              <w:right w:val="nil"/>
            </w:tcBorders>
            <w:noWrap/>
            <w:vAlign w:val="center"/>
            <w:hideMark/>
          </w:tcPr>
          <w:p w14:paraId="2160C6FB" w14:textId="77777777" w:rsidR="00645118" w:rsidRPr="00980795" w:rsidRDefault="00645118" w:rsidP="00FD7082">
            <w:pPr>
              <w:jc w:val="both"/>
              <w:rPr>
                <w:sz w:val="16"/>
                <w:szCs w:val="16"/>
                <w:lang w:eastAsia="en-GB"/>
              </w:rPr>
            </w:pPr>
            <w:r w:rsidRPr="00980795">
              <w:rPr>
                <w:sz w:val="16"/>
                <w:szCs w:val="16"/>
                <w:lang w:eastAsia="en-GB"/>
              </w:rPr>
              <w:t>154 (100.0%)</w:t>
            </w:r>
          </w:p>
        </w:tc>
        <w:tc>
          <w:tcPr>
            <w:tcW w:w="1120" w:type="dxa"/>
            <w:tcBorders>
              <w:top w:val="nil"/>
              <w:left w:val="nil"/>
              <w:bottom w:val="nil"/>
              <w:right w:val="nil"/>
            </w:tcBorders>
            <w:noWrap/>
            <w:vAlign w:val="center"/>
            <w:hideMark/>
          </w:tcPr>
          <w:p w14:paraId="18BE3E10"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555FAC1A" w14:textId="77777777" w:rsidR="00645118" w:rsidRPr="00980795" w:rsidRDefault="00645118" w:rsidP="00FD7082">
            <w:pPr>
              <w:jc w:val="both"/>
              <w:rPr>
                <w:sz w:val="16"/>
                <w:szCs w:val="16"/>
                <w:lang w:eastAsia="en-GB"/>
              </w:rPr>
            </w:pPr>
          </w:p>
        </w:tc>
      </w:tr>
      <w:tr w:rsidR="00645118" w:rsidRPr="00980795" w14:paraId="61E2A140" w14:textId="77777777" w:rsidTr="00FD7082">
        <w:trPr>
          <w:trHeight w:val="315"/>
        </w:trPr>
        <w:tc>
          <w:tcPr>
            <w:tcW w:w="2280" w:type="dxa"/>
            <w:tcBorders>
              <w:top w:val="nil"/>
              <w:left w:val="nil"/>
              <w:bottom w:val="nil"/>
              <w:right w:val="nil"/>
            </w:tcBorders>
            <w:noWrap/>
            <w:vAlign w:val="bottom"/>
            <w:hideMark/>
          </w:tcPr>
          <w:p w14:paraId="69C0FB47" w14:textId="77777777" w:rsidR="00645118" w:rsidRPr="00980795" w:rsidRDefault="00645118" w:rsidP="00FD7082">
            <w:pPr>
              <w:jc w:val="both"/>
              <w:rPr>
                <w:sz w:val="16"/>
                <w:szCs w:val="16"/>
                <w:lang w:eastAsia="en-GB"/>
              </w:rPr>
            </w:pPr>
          </w:p>
        </w:tc>
        <w:tc>
          <w:tcPr>
            <w:tcW w:w="1390" w:type="dxa"/>
            <w:tcBorders>
              <w:top w:val="nil"/>
              <w:left w:val="nil"/>
              <w:bottom w:val="nil"/>
              <w:right w:val="nil"/>
            </w:tcBorders>
            <w:noWrap/>
            <w:vAlign w:val="center"/>
            <w:hideMark/>
          </w:tcPr>
          <w:p w14:paraId="2B74BAB8" w14:textId="77777777" w:rsidR="00645118" w:rsidRPr="00980795" w:rsidRDefault="00645118" w:rsidP="00FD7082">
            <w:pPr>
              <w:jc w:val="both"/>
              <w:rPr>
                <w:sz w:val="16"/>
                <w:szCs w:val="16"/>
                <w:lang w:eastAsia="en-GB"/>
              </w:rPr>
            </w:pPr>
          </w:p>
        </w:tc>
        <w:tc>
          <w:tcPr>
            <w:tcW w:w="1661" w:type="dxa"/>
            <w:tcBorders>
              <w:top w:val="nil"/>
              <w:left w:val="nil"/>
              <w:bottom w:val="nil"/>
              <w:right w:val="nil"/>
            </w:tcBorders>
            <w:noWrap/>
            <w:vAlign w:val="center"/>
            <w:hideMark/>
          </w:tcPr>
          <w:p w14:paraId="382BFC36"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0A777584"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23E410E3"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7F689653"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6A5BE164" w14:textId="77777777" w:rsidR="00645118" w:rsidRPr="00980795" w:rsidRDefault="00645118" w:rsidP="00FD7082">
            <w:pPr>
              <w:jc w:val="both"/>
              <w:rPr>
                <w:sz w:val="16"/>
                <w:szCs w:val="16"/>
                <w:lang w:eastAsia="en-GB"/>
              </w:rPr>
            </w:pPr>
          </w:p>
        </w:tc>
      </w:tr>
      <w:tr w:rsidR="00645118" w:rsidRPr="00980795" w14:paraId="70336C7A" w14:textId="77777777" w:rsidTr="00FD7082">
        <w:trPr>
          <w:trHeight w:val="315"/>
        </w:trPr>
        <w:tc>
          <w:tcPr>
            <w:tcW w:w="2280" w:type="dxa"/>
            <w:tcBorders>
              <w:top w:val="nil"/>
              <w:left w:val="nil"/>
              <w:bottom w:val="nil"/>
              <w:right w:val="nil"/>
            </w:tcBorders>
            <w:noWrap/>
            <w:vAlign w:val="bottom"/>
            <w:hideMark/>
          </w:tcPr>
          <w:p w14:paraId="4E5111FB" w14:textId="77777777" w:rsidR="00645118" w:rsidRPr="00980795" w:rsidRDefault="00645118" w:rsidP="00FD7082">
            <w:pPr>
              <w:jc w:val="both"/>
              <w:rPr>
                <w:b/>
                <w:bCs/>
                <w:sz w:val="16"/>
                <w:szCs w:val="16"/>
                <w:lang w:eastAsia="en-GB"/>
              </w:rPr>
            </w:pPr>
            <w:r w:rsidRPr="00980795">
              <w:rPr>
                <w:b/>
                <w:bCs/>
                <w:sz w:val="16"/>
                <w:szCs w:val="16"/>
                <w:lang w:eastAsia="en-GB"/>
              </w:rPr>
              <w:t>FRSC Definition</w:t>
            </w:r>
          </w:p>
        </w:tc>
        <w:tc>
          <w:tcPr>
            <w:tcW w:w="1390" w:type="dxa"/>
            <w:tcBorders>
              <w:top w:val="nil"/>
              <w:left w:val="nil"/>
              <w:bottom w:val="nil"/>
              <w:right w:val="nil"/>
            </w:tcBorders>
            <w:noWrap/>
            <w:vAlign w:val="center"/>
            <w:hideMark/>
          </w:tcPr>
          <w:p w14:paraId="172B9C15"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7F0F998E"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1482EB2D"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7D84EA4C"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6F1D545A"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5339EC84" w14:textId="77777777" w:rsidR="00645118" w:rsidRPr="00980795" w:rsidRDefault="00645118" w:rsidP="00FD7082">
            <w:pPr>
              <w:jc w:val="both"/>
              <w:rPr>
                <w:sz w:val="16"/>
                <w:szCs w:val="16"/>
                <w:lang w:eastAsia="en-GB"/>
              </w:rPr>
            </w:pPr>
          </w:p>
        </w:tc>
      </w:tr>
      <w:tr w:rsidR="00645118" w:rsidRPr="00980795" w14:paraId="3060D9BC" w14:textId="77777777" w:rsidTr="00FD7082">
        <w:trPr>
          <w:trHeight w:val="315"/>
        </w:trPr>
        <w:tc>
          <w:tcPr>
            <w:tcW w:w="2280" w:type="dxa"/>
            <w:tcBorders>
              <w:top w:val="nil"/>
              <w:left w:val="nil"/>
              <w:bottom w:val="nil"/>
              <w:right w:val="nil"/>
            </w:tcBorders>
            <w:noWrap/>
            <w:vAlign w:val="bottom"/>
            <w:hideMark/>
          </w:tcPr>
          <w:p w14:paraId="7FD56D11"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39C622FB" w14:textId="77777777" w:rsidR="00645118" w:rsidRPr="00980795" w:rsidRDefault="00645118" w:rsidP="00FD7082">
            <w:pPr>
              <w:jc w:val="both"/>
              <w:rPr>
                <w:sz w:val="16"/>
                <w:szCs w:val="16"/>
                <w:lang w:eastAsia="en-GB"/>
              </w:rPr>
            </w:pPr>
            <w:r w:rsidRPr="00980795">
              <w:rPr>
                <w:sz w:val="16"/>
                <w:szCs w:val="16"/>
                <w:lang w:eastAsia="en-GB"/>
              </w:rPr>
              <w:t>1 (2.4%)</w:t>
            </w:r>
          </w:p>
        </w:tc>
        <w:tc>
          <w:tcPr>
            <w:tcW w:w="1661" w:type="dxa"/>
            <w:tcBorders>
              <w:top w:val="nil"/>
              <w:left w:val="nil"/>
              <w:bottom w:val="nil"/>
              <w:right w:val="nil"/>
            </w:tcBorders>
            <w:noWrap/>
            <w:vAlign w:val="center"/>
            <w:hideMark/>
          </w:tcPr>
          <w:p w14:paraId="0138D021" w14:textId="77777777" w:rsidR="00645118" w:rsidRPr="00980795" w:rsidRDefault="00645118" w:rsidP="00FD7082">
            <w:pPr>
              <w:jc w:val="both"/>
              <w:rPr>
                <w:sz w:val="16"/>
                <w:szCs w:val="16"/>
                <w:lang w:eastAsia="en-GB"/>
              </w:rPr>
            </w:pPr>
            <w:r w:rsidRPr="00980795">
              <w:rPr>
                <w:sz w:val="16"/>
                <w:szCs w:val="16"/>
                <w:lang w:eastAsia="en-GB"/>
              </w:rPr>
              <w:t>22 (53.7%)</w:t>
            </w:r>
          </w:p>
        </w:tc>
        <w:tc>
          <w:tcPr>
            <w:tcW w:w="1389" w:type="dxa"/>
            <w:tcBorders>
              <w:top w:val="nil"/>
              <w:left w:val="nil"/>
              <w:bottom w:val="nil"/>
              <w:right w:val="nil"/>
            </w:tcBorders>
            <w:noWrap/>
            <w:vAlign w:val="center"/>
            <w:hideMark/>
          </w:tcPr>
          <w:p w14:paraId="7B952666" w14:textId="77777777" w:rsidR="00645118" w:rsidRPr="00980795" w:rsidRDefault="00645118" w:rsidP="00FD7082">
            <w:pPr>
              <w:jc w:val="both"/>
              <w:rPr>
                <w:sz w:val="16"/>
                <w:szCs w:val="16"/>
                <w:lang w:eastAsia="en-GB"/>
              </w:rPr>
            </w:pPr>
            <w:r w:rsidRPr="00980795">
              <w:rPr>
                <w:sz w:val="16"/>
                <w:szCs w:val="16"/>
                <w:lang w:eastAsia="en-GB"/>
              </w:rPr>
              <w:t>18 (43.9%)</w:t>
            </w:r>
          </w:p>
        </w:tc>
        <w:tc>
          <w:tcPr>
            <w:tcW w:w="1560" w:type="dxa"/>
            <w:tcBorders>
              <w:top w:val="nil"/>
              <w:left w:val="nil"/>
              <w:bottom w:val="nil"/>
              <w:right w:val="nil"/>
            </w:tcBorders>
            <w:noWrap/>
            <w:vAlign w:val="center"/>
            <w:hideMark/>
          </w:tcPr>
          <w:p w14:paraId="23EF21E6" w14:textId="77777777" w:rsidR="00645118" w:rsidRPr="00980795" w:rsidRDefault="00645118" w:rsidP="00FD7082">
            <w:pPr>
              <w:jc w:val="both"/>
              <w:rPr>
                <w:sz w:val="16"/>
                <w:szCs w:val="16"/>
                <w:lang w:eastAsia="en-GB"/>
              </w:rPr>
            </w:pPr>
            <w:r w:rsidRPr="00980795">
              <w:rPr>
                <w:sz w:val="16"/>
                <w:szCs w:val="16"/>
                <w:lang w:eastAsia="en-GB"/>
              </w:rPr>
              <w:t>41 (100.0%)</w:t>
            </w:r>
          </w:p>
        </w:tc>
        <w:tc>
          <w:tcPr>
            <w:tcW w:w="1120" w:type="dxa"/>
            <w:tcBorders>
              <w:top w:val="nil"/>
              <w:left w:val="nil"/>
              <w:bottom w:val="nil"/>
              <w:right w:val="nil"/>
            </w:tcBorders>
            <w:noWrap/>
            <w:vAlign w:val="center"/>
            <w:hideMark/>
          </w:tcPr>
          <w:p w14:paraId="27F449E6" w14:textId="77777777" w:rsidR="00645118" w:rsidRPr="00980795" w:rsidRDefault="00645118" w:rsidP="00FD7082">
            <w:pPr>
              <w:jc w:val="both"/>
              <w:rPr>
                <w:sz w:val="16"/>
                <w:szCs w:val="16"/>
                <w:lang w:eastAsia="en-GB"/>
              </w:rPr>
            </w:pPr>
            <w:r w:rsidRPr="00980795">
              <w:rPr>
                <w:sz w:val="16"/>
                <w:szCs w:val="16"/>
                <w:lang w:eastAsia="en-GB"/>
              </w:rPr>
              <w:t>42.876</w:t>
            </w:r>
          </w:p>
        </w:tc>
        <w:tc>
          <w:tcPr>
            <w:tcW w:w="900" w:type="dxa"/>
            <w:tcBorders>
              <w:top w:val="nil"/>
              <w:left w:val="nil"/>
              <w:bottom w:val="nil"/>
              <w:right w:val="nil"/>
            </w:tcBorders>
            <w:noWrap/>
            <w:vAlign w:val="center"/>
            <w:hideMark/>
          </w:tcPr>
          <w:p w14:paraId="61C3D21F" w14:textId="77777777" w:rsidR="00645118" w:rsidRPr="00980795" w:rsidRDefault="00645118" w:rsidP="00FD7082">
            <w:pPr>
              <w:jc w:val="both"/>
              <w:rPr>
                <w:sz w:val="16"/>
                <w:szCs w:val="16"/>
                <w:lang w:eastAsia="en-GB"/>
              </w:rPr>
            </w:pPr>
            <w:r w:rsidRPr="00980795">
              <w:rPr>
                <w:sz w:val="16"/>
                <w:szCs w:val="16"/>
                <w:lang w:eastAsia="en-GB"/>
              </w:rPr>
              <w:t>0.000*</w:t>
            </w:r>
          </w:p>
        </w:tc>
      </w:tr>
      <w:tr w:rsidR="00645118" w:rsidRPr="00980795" w14:paraId="1EFEF76A" w14:textId="77777777" w:rsidTr="00FD7082">
        <w:trPr>
          <w:trHeight w:val="315"/>
        </w:trPr>
        <w:tc>
          <w:tcPr>
            <w:tcW w:w="2280" w:type="dxa"/>
            <w:tcBorders>
              <w:top w:val="nil"/>
              <w:left w:val="nil"/>
              <w:bottom w:val="single" w:sz="4" w:space="0" w:color="auto"/>
              <w:right w:val="nil"/>
            </w:tcBorders>
            <w:noWrap/>
            <w:vAlign w:val="bottom"/>
            <w:hideMark/>
          </w:tcPr>
          <w:p w14:paraId="0E8DDF69"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73C07803" w14:textId="77777777" w:rsidR="00645118" w:rsidRPr="00980795" w:rsidRDefault="00645118" w:rsidP="00FD7082">
            <w:pPr>
              <w:jc w:val="both"/>
              <w:rPr>
                <w:sz w:val="16"/>
                <w:szCs w:val="16"/>
                <w:lang w:eastAsia="en-GB"/>
              </w:rPr>
            </w:pPr>
            <w:r w:rsidRPr="00980795">
              <w:rPr>
                <w:sz w:val="16"/>
                <w:szCs w:val="16"/>
                <w:lang w:eastAsia="en-GB"/>
              </w:rPr>
              <w:t>79 (53.7%)</w:t>
            </w:r>
          </w:p>
        </w:tc>
        <w:tc>
          <w:tcPr>
            <w:tcW w:w="1661" w:type="dxa"/>
            <w:tcBorders>
              <w:top w:val="nil"/>
              <w:left w:val="nil"/>
              <w:bottom w:val="nil"/>
              <w:right w:val="nil"/>
            </w:tcBorders>
            <w:noWrap/>
            <w:vAlign w:val="center"/>
            <w:hideMark/>
          </w:tcPr>
          <w:p w14:paraId="39C9061F" w14:textId="77777777" w:rsidR="00645118" w:rsidRPr="00980795" w:rsidRDefault="00645118" w:rsidP="00FD7082">
            <w:pPr>
              <w:jc w:val="both"/>
              <w:rPr>
                <w:sz w:val="16"/>
                <w:szCs w:val="16"/>
                <w:lang w:eastAsia="en-GB"/>
              </w:rPr>
            </w:pPr>
            <w:r w:rsidRPr="00980795">
              <w:rPr>
                <w:sz w:val="16"/>
                <w:szCs w:val="16"/>
                <w:lang w:eastAsia="en-GB"/>
              </w:rPr>
              <w:t>21 (14.3%)</w:t>
            </w:r>
          </w:p>
        </w:tc>
        <w:tc>
          <w:tcPr>
            <w:tcW w:w="1389" w:type="dxa"/>
            <w:tcBorders>
              <w:top w:val="nil"/>
              <w:left w:val="nil"/>
              <w:bottom w:val="nil"/>
              <w:right w:val="nil"/>
            </w:tcBorders>
            <w:noWrap/>
            <w:vAlign w:val="center"/>
            <w:hideMark/>
          </w:tcPr>
          <w:p w14:paraId="6FFCB6FD" w14:textId="77777777" w:rsidR="00645118" w:rsidRPr="00980795" w:rsidRDefault="00645118" w:rsidP="00FD7082">
            <w:pPr>
              <w:jc w:val="both"/>
              <w:rPr>
                <w:sz w:val="16"/>
                <w:szCs w:val="16"/>
                <w:lang w:eastAsia="en-GB"/>
              </w:rPr>
            </w:pPr>
            <w:r w:rsidRPr="00980795">
              <w:rPr>
                <w:sz w:val="16"/>
                <w:szCs w:val="16"/>
                <w:lang w:eastAsia="en-GB"/>
              </w:rPr>
              <w:t>47 (32.0%)</w:t>
            </w:r>
          </w:p>
        </w:tc>
        <w:tc>
          <w:tcPr>
            <w:tcW w:w="1560" w:type="dxa"/>
            <w:tcBorders>
              <w:top w:val="nil"/>
              <w:left w:val="nil"/>
              <w:bottom w:val="nil"/>
              <w:right w:val="nil"/>
            </w:tcBorders>
            <w:noWrap/>
            <w:vAlign w:val="center"/>
            <w:hideMark/>
          </w:tcPr>
          <w:p w14:paraId="4D04FF0C" w14:textId="77777777" w:rsidR="00645118" w:rsidRPr="00980795" w:rsidRDefault="00645118" w:rsidP="00FD7082">
            <w:pPr>
              <w:jc w:val="both"/>
              <w:rPr>
                <w:sz w:val="16"/>
                <w:szCs w:val="16"/>
                <w:lang w:eastAsia="en-GB"/>
              </w:rPr>
            </w:pPr>
            <w:r w:rsidRPr="00980795">
              <w:rPr>
                <w:sz w:val="16"/>
                <w:szCs w:val="16"/>
                <w:lang w:eastAsia="en-GB"/>
              </w:rPr>
              <w:t>147 (100.0%)</w:t>
            </w:r>
          </w:p>
        </w:tc>
        <w:tc>
          <w:tcPr>
            <w:tcW w:w="1120" w:type="dxa"/>
            <w:tcBorders>
              <w:top w:val="nil"/>
              <w:left w:val="nil"/>
              <w:bottom w:val="nil"/>
              <w:right w:val="nil"/>
            </w:tcBorders>
            <w:noWrap/>
            <w:vAlign w:val="center"/>
            <w:hideMark/>
          </w:tcPr>
          <w:p w14:paraId="53B94201"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0526079E" w14:textId="77777777" w:rsidR="00645118" w:rsidRPr="00980795" w:rsidRDefault="00645118" w:rsidP="00FD7082">
            <w:pPr>
              <w:jc w:val="both"/>
              <w:rPr>
                <w:sz w:val="16"/>
                <w:szCs w:val="16"/>
                <w:lang w:eastAsia="en-GB"/>
              </w:rPr>
            </w:pPr>
          </w:p>
        </w:tc>
      </w:tr>
      <w:tr w:rsidR="00645118" w:rsidRPr="00980795" w14:paraId="4F70A95E" w14:textId="77777777" w:rsidTr="00FD7082">
        <w:trPr>
          <w:trHeight w:val="630"/>
        </w:trPr>
        <w:tc>
          <w:tcPr>
            <w:tcW w:w="2280" w:type="dxa"/>
            <w:tcBorders>
              <w:top w:val="nil"/>
              <w:left w:val="nil"/>
              <w:bottom w:val="nil"/>
              <w:right w:val="nil"/>
            </w:tcBorders>
            <w:vAlign w:val="bottom"/>
            <w:hideMark/>
          </w:tcPr>
          <w:p w14:paraId="36666E22" w14:textId="77777777" w:rsidR="00645118" w:rsidRPr="00980795" w:rsidRDefault="00645118" w:rsidP="00FD7082">
            <w:pPr>
              <w:jc w:val="both"/>
              <w:rPr>
                <w:b/>
                <w:bCs/>
                <w:sz w:val="16"/>
                <w:szCs w:val="16"/>
                <w:lang w:eastAsia="en-GB"/>
              </w:rPr>
            </w:pPr>
            <w:r w:rsidRPr="00980795">
              <w:rPr>
                <w:b/>
                <w:bCs/>
                <w:sz w:val="16"/>
                <w:szCs w:val="16"/>
                <w:lang w:eastAsia="en-GB"/>
              </w:rPr>
              <w:t>CONTRAST</w:t>
            </w:r>
            <w:r w:rsidRPr="00980795">
              <w:rPr>
                <w:b/>
                <w:bCs/>
                <w:sz w:val="16"/>
                <w:szCs w:val="16"/>
                <w:lang w:eastAsia="en-GB"/>
              </w:rPr>
              <w:br/>
              <w:t>SENSITIVITY</w:t>
            </w:r>
          </w:p>
        </w:tc>
        <w:tc>
          <w:tcPr>
            <w:tcW w:w="1390" w:type="dxa"/>
            <w:tcBorders>
              <w:top w:val="nil"/>
              <w:left w:val="nil"/>
              <w:bottom w:val="nil"/>
              <w:right w:val="nil"/>
            </w:tcBorders>
            <w:noWrap/>
            <w:vAlign w:val="center"/>
            <w:hideMark/>
          </w:tcPr>
          <w:p w14:paraId="129BD2EA"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7EF71633"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681B8F65"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0459130D"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683C88C7"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755816D4" w14:textId="77777777" w:rsidR="00645118" w:rsidRPr="00980795" w:rsidRDefault="00645118" w:rsidP="00FD7082">
            <w:pPr>
              <w:jc w:val="both"/>
              <w:rPr>
                <w:sz w:val="16"/>
                <w:szCs w:val="16"/>
                <w:lang w:eastAsia="en-GB"/>
              </w:rPr>
            </w:pPr>
          </w:p>
        </w:tc>
      </w:tr>
      <w:tr w:rsidR="00645118" w:rsidRPr="00980795" w14:paraId="7012743C" w14:textId="77777777" w:rsidTr="00FD7082">
        <w:trPr>
          <w:trHeight w:val="315"/>
        </w:trPr>
        <w:tc>
          <w:tcPr>
            <w:tcW w:w="2280" w:type="dxa"/>
            <w:tcBorders>
              <w:top w:val="nil"/>
              <w:left w:val="nil"/>
              <w:bottom w:val="nil"/>
              <w:right w:val="nil"/>
            </w:tcBorders>
            <w:noWrap/>
            <w:vAlign w:val="bottom"/>
            <w:hideMark/>
          </w:tcPr>
          <w:p w14:paraId="301E59C9"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1767374F" w14:textId="77777777" w:rsidR="00645118" w:rsidRPr="00980795" w:rsidRDefault="00645118" w:rsidP="00FD7082">
            <w:pPr>
              <w:jc w:val="both"/>
              <w:rPr>
                <w:sz w:val="16"/>
                <w:szCs w:val="16"/>
                <w:lang w:eastAsia="en-GB"/>
              </w:rPr>
            </w:pPr>
            <w:r w:rsidRPr="00980795">
              <w:rPr>
                <w:sz w:val="16"/>
                <w:szCs w:val="16"/>
                <w:lang w:eastAsia="en-GB"/>
              </w:rPr>
              <w:t>1 (7.1%)</w:t>
            </w:r>
          </w:p>
        </w:tc>
        <w:tc>
          <w:tcPr>
            <w:tcW w:w="1661" w:type="dxa"/>
            <w:tcBorders>
              <w:top w:val="nil"/>
              <w:left w:val="nil"/>
              <w:bottom w:val="nil"/>
              <w:right w:val="nil"/>
            </w:tcBorders>
            <w:noWrap/>
            <w:vAlign w:val="center"/>
            <w:hideMark/>
          </w:tcPr>
          <w:p w14:paraId="6DC18985" w14:textId="77777777" w:rsidR="00645118" w:rsidRPr="00980795" w:rsidRDefault="00645118" w:rsidP="00FD7082">
            <w:pPr>
              <w:jc w:val="both"/>
              <w:rPr>
                <w:sz w:val="16"/>
                <w:szCs w:val="16"/>
                <w:lang w:eastAsia="en-GB"/>
              </w:rPr>
            </w:pPr>
            <w:r w:rsidRPr="00980795">
              <w:rPr>
                <w:sz w:val="16"/>
                <w:szCs w:val="16"/>
                <w:lang w:eastAsia="en-GB"/>
              </w:rPr>
              <w:t>4 (28.6%)</w:t>
            </w:r>
          </w:p>
        </w:tc>
        <w:tc>
          <w:tcPr>
            <w:tcW w:w="1389" w:type="dxa"/>
            <w:tcBorders>
              <w:top w:val="nil"/>
              <w:left w:val="nil"/>
              <w:bottom w:val="nil"/>
              <w:right w:val="nil"/>
            </w:tcBorders>
            <w:noWrap/>
            <w:vAlign w:val="center"/>
            <w:hideMark/>
          </w:tcPr>
          <w:p w14:paraId="34C59985" w14:textId="77777777" w:rsidR="00645118" w:rsidRPr="00980795" w:rsidRDefault="00645118" w:rsidP="00FD7082">
            <w:pPr>
              <w:jc w:val="both"/>
              <w:rPr>
                <w:sz w:val="16"/>
                <w:szCs w:val="16"/>
                <w:lang w:eastAsia="en-GB"/>
              </w:rPr>
            </w:pPr>
            <w:r w:rsidRPr="00980795">
              <w:rPr>
                <w:sz w:val="16"/>
                <w:szCs w:val="16"/>
                <w:lang w:eastAsia="en-GB"/>
              </w:rPr>
              <w:t>9 (64.3%)</w:t>
            </w:r>
          </w:p>
        </w:tc>
        <w:tc>
          <w:tcPr>
            <w:tcW w:w="1560" w:type="dxa"/>
            <w:tcBorders>
              <w:top w:val="nil"/>
              <w:left w:val="nil"/>
              <w:bottom w:val="nil"/>
              <w:right w:val="nil"/>
            </w:tcBorders>
            <w:noWrap/>
            <w:vAlign w:val="center"/>
            <w:hideMark/>
          </w:tcPr>
          <w:p w14:paraId="1B9F53DE" w14:textId="77777777" w:rsidR="00645118" w:rsidRPr="00980795" w:rsidRDefault="00645118" w:rsidP="00FD7082">
            <w:pPr>
              <w:jc w:val="both"/>
              <w:rPr>
                <w:sz w:val="16"/>
                <w:szCs w:val="16"/>
                <w:lang w:eastAsia="en-GB"/>
              </w:rPr>
            </w:pPr>
            <w:r w:rsidRPr="00980795">
              <w:rPr>
                <w:sz w:val="16"/>
                <w:szCs w:val="16"/>
                <w:lang w:eastAsia="en-GB"/>
              </w:rPr>
              <w:t>14 (100.0%)</w:t>
            </w:r>
          </w:p>
        </w:tc>
        <w:tc>
          <w:tcPr>
            <w:tcW w:w="1120" w:type="dxa"/>
            <w:tcBorders>
              <w:top w:val="nil"/>
              <w:left w:val="nil"/>
              <w:bottom w:val="nil"/>
              <w:right w:val="nil"/>
            </w:tcBorders>
            <w:noWrap/>
            <w:vAlign w:val="center"/>
            <w:hideMark/>
          </w:tcPr>
          <w:p w14:paraId="4A61293D" w14:textId="77777777" w:rsidR="00645118" w:rsidRPr="00980795" w:rsidRDefault="00645118" w:rsidP="00FD7082">
            <w:pPr>
              <w:jc w:val="both"/>
              <w:rPr>
                <w:sz w:val="16"/>
                <w:szCs w:val="16"/>
                <w:lang w:eastAsia="en-GB"/>
              </w:rPr>
            </w:pPr>
            <w:r w:rsidRPr="00980795">
              <w:rPr>
                <w:sz w:val="16"/>
                <w:szCs w:val="16"/>
                <w:lang w:eastAsia="en-GB"/>
              </w:rPr>
              <w:t>8.534</w:t>
            </w:r>
          </w:p>
        </w:tc>
        <w:tc>
          <w:tcPr>
            <w:tcW w:w="900" w:type="dxa"/>
            <w:tcBorders>
              <w:top w:val="nil"/>
              <w:left w:val="nil"/>
              <w:bottom w:val="nil"/>
              <w:right w:val="nil"/>
            </w:tcBorders>
            <w:noWrap/>
            <w:vAlign w:val="center"/>
            <w:hideMark/>
          </w:tcPr>
          <w:p w14:paraId="0C77EED7" w14:textId="77777777" w:rsidR="00645118" w:rsidRPr="00980795" w:rsidRDefault="00645118" w:rsidP="00FD7082">
            <w:pPr>
              <w:jc w:val="both"/>
              <w:rPr>
                <w:sz w:val="16"/>
                <w:szCs w:val="16"/>
                <w:lang w:eastAsia="en-GB"/>
              </w:rPr>
            </w:pPr>
            <w:r w:rsidRPr="00980795">
              <w:rPr>
                <w:sz w:val="16"/>
                <w:szCs w:val="16"/>
                <w:lang w:eastAsia="en-GB"/>
              </w:rPr>
              <w:t>0.014*</w:t>
            </w:r>
          </w:p>
        </w:tc>
      </w:tr>
      <w:tr w:rsidR="00645118" w:rsidRPr="00980795" w14:paraId="4F9E1B61" w14:textId="77777777" w:rsidTr="00FD7082">
        <w:trPr>
          <w:trHeight w:val="315"/>
        </w:trPr>
        <w:tc>
          <w:tcPr>
            <w:tcW w:w="2280" w:type="dxa"/>
            <w:tcBorders>
              <w:top w:val="nil"/>
              <w:left w:val="nil"/>
              <w:bottom w:val="single" w:sz="4" w:space="0" w:color="auto"/>
              <w:right w:val="nil"/>
            </w:tcBorders>
            <w:noWrap/>
            <w:vAlign w:val="bottom"/>
            <w:hideMark/>
          </w:tcPr>
          <w:p w14:paraId="0F02229A"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5FF62AB6" w14:textId="77777777" w:rsidR="00645118" w:rsidRPr="00980795" w:rsidRDefault="00645118" w:rsidP="00FD7082">
            <w:pPr>
              <w:jc w:val="both"/>
              <w:rPr>
                <w:sz w:val="16"/>
                <w:szCs w:val="16"/>
                <w:lang w:eastAsia="en-GB"/>
              </w:rPr>
            </w:pPr>
            <w:r w:rsidRPr="00980795">
              <w:rPr>
                <w:sz w:val="16"/>
                <w:szCs w:val="16"/>
                <w:lang w:eastAsia="en-GB"/>
              </w:rPr>
              <w:t>79 (45.4%)</w:t>
            </w:r>
          </w:p>
        </w:tc>
        <w:tc>
          <w:tcPr>
            <w:tcW w:w="1661" w:type="dxa"/>
            <w:tcBorders>
              <w:top w:val="nil"/>
              <w:left w:val="nil"/>
              <w:bottom w:val="nil"/>
              <w:right w:val="nil"/>
            </w:tcBorders>
            <w:noWrap/>
            <w:vAlign w:val="center"/>
            <w:hideMark/>
          </w:tcPr>
          <w:p w14:paraId="01D16DE0" w14:textId="77777777" w:rsidR="00645118" w:rsidRPr="00980795" w:rsidRDefault="00645118" w:rsidP="00FD7082">
            <w:pPr>
              <w:jc w:val="both"/>
              <w:rPr>
                <w:sz w:val="16"/>
                <w:szCs w:val="16"/>
                <w:lang w:eastAsia="en-GB"/>
              </w:rPr>
            </w:pPr>
            <w:r w:rsidRPr="00980795">
              <w:rPr>
                <w:sz w:val="16"/>
                <w:szCs w:val="16"/>
                <w:lang w:eastAsia="en-GB"/>
              </w:rPr>
              <w:t>39 (22.4%)</w:t>
            </w:r>
          </w:p>
        </w:tc>
        <w:tc>
          <w:tcPr>
            <w:tcW w:w="1389" w:type="dxa"/>
            <w:tcBorders>
              <w:top w:val="nil"/>
              <w:left w:val="nil"/>
              <w:bottom w:val="nil"/>
              <w:right w:val="nil"/>
            </w:tcBorders>
            <w:noWrap/>
            <w:vAlign w:val="center"/>
            <w:hideMark/>
          </w:tcPr>
          <w:p w14:paraId="5A70D11D" w14:textId="77777777" w:rsidR="00645118" w:rsidRPr="00980795" w:rsidRDefault="00645118" w:rsidP="00FD7082">
            <w:pPr>
              <w:jc w:val="both"/>
              <w:rPr>
                <w:sz w:val="16"/>
                <w:szCs w:val="16"/>
                <w:lang w:eastAsia="en-GB"/>
              </w:rPr>
            </w:pPr>
            <w:r w:rsidRPr="00980795">
              <w:rPr>
                <w:sz w:val="16"/>
                <w:szCs w:val="16"/>
                <w:lang w:eastAsia="en-GB"/>
              </w:rPr>
              <w:t>56 (32.2%)</w:t>
            </w:r>
          </w:p>
        </w:tc>
        <w:tc>
          <w:tcPr>
            <w:tcW w:w="1560" w:type="dxa"/>
            <w:tcBorders>
              <w:top w:val="nil"/>
              <w:left w:val="nil"/>
              <w:bottom w:val="nil"/>
              <w:right w:val="nil"/>
            </w:tcBorders>
            <w:noWrap/>
            <w:vAlign w:val="center"/>
            <w:hideMark/>
          </w:tcPr>
          <w:p w14:paraId="35131BDB" w14:textId="77777777" w:rsidR="00645118" w:rsidRPr="00980795" w:rsidRDefault="00645118" w:rsidP="00FD7082">
            <w:pPr>
              <w:jc w:val="both"/>
              <w:rPr>
                <w:sz w:val="16"/>
                <w:szCs w:val="16"/>
                <w:lang w:eastAsia="en-GB"/>
              </w:rPr>
            </w:pPr>
            <w:r w:rsidRPr="00980795">
              <w:rPr>
                <w:sz w:val="16"/>
                <w:szCs w:val="16"/>
                <w:lang w:eastAsia="en-GB"/>
              </w:rPr>
              <w:t>174 (100.0%)</w:t>
            </w:r>
          </w:p>
        </w:tc>
        <w:tc>
          <w:tcPr>
            <w:tcW w:w="1120" w:type="dxa"/>
            <w:tcBorders>
              <w:top w:val="nil"/>
              <w:left w:val="nil"/>
              <w:bottom w:val="nil"/>
              <w:right w:val="nil"/>
            </w:tcBorders>
            <w:noWrap/>
            <w:vAlign w:val="center"/>
            <w:hideMark/>
          </w:tcPr>
          <w:p w14:paraId="392074A1"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2D2716B0" w14:textId="77777777" w:rsidR="00645118" w:rsidRPr="00980795" w:rsidRDefault="00645118" w:rsidP="00FD7082">
            <w:pPr>
              <w:jc w:val="both"/>
              <w:rPr>
                <w:sz w:val="16"/>
                <w:szCs w:val="16"/>
                <w:lang w:eastAsia="en-GB"/>
              </w:rPr>
            </w:pPr>
          </w:p>
        </w:tc>
      </w:tr>
      <w:tr w:rsidR="00645118" w:rsidRPr="00980795" w14:paraId="70EE1B4E" w14:textId="77777777" w:rsidTr="00FD7082">
        <w:trPr>
          <w:trHeight w:val="315"/>
        </w:trPr>
        <w:tc>
          <w:tcPr>
            <w:tcW w:w="2280" w:type="dxa"/>
            <w:tcBorders>
              <w:top w:val="nil"/>
              <w:left w:val="nil"/>
              <w:bottom w:val="nil"/>
              <w:right w:val="nil"/>
            </w:tcBorders>
            <w:noWrap/>
            <w:vAlign w:val="bottom"/>
            <w:hideMark/>
          </w:tcPr>
          <w:p w14:paraId="7F8D2FFA" w14:textId="77777777" w:rsidR="00645118" w:rsidRPr="00980795" w:rsidRDefault="00645118" w:rsidP="00FD7082">
            <w:pPr>
              <w:jc w:val="both"/>
              <w:rPr>
                <w:b/>
                <w:bCs/>
                <w:sz w:val="16"/>
                <w:szCs w:val="16"/>
                <w:lang w:eastAsia="en-GB"/>
              </w:rPr>
            </w:pPr>
            <w:r w:rsidRPr="00980795">
              <w:rPr>
                <w:b/>
                <w:bCs/>
                <w:sz w:val="16"/>
                <w:szCs w:val="16"/>
                <w:lang w:eastAsia="en-GB"/>
              </w:rPr>
              <w:t>COLOUR VISION</w:t>
            </w:r>
          </w:p>
        </w:tc>
        <w:tc>
          <w:tcPr>
            <w:tcW w:w="1390" w:type="dxa"/>
            <w:tcBorders>
              <w:top w:val="nil"/>
              <w:left w:val="nil"/>
              <w:bottom w:val="nil"/>
              <w:right w:val="nil"/>
            </w:tcBorders>
            <w:noWrap/>
            <w:vAlign w:val="center"/>
            <w:hideMark/>
          </w:tcPr>
          <w:p w14:paraId="66767E8E"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6AE20DC9"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7D37D00D"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613582A0"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5CE1105C"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413D8A44" w14:textId="77777777" w:rsidR="00645118" w:rsidRPr="00980795" w:rsidRDefault="00645118" w:rsidP="00FD7082">
            <w:pPr>
              <w:jc w:val="both"/>
              <w:rPr>
                <w:sz w:val="16"/>
                <w:szCs w:val="16"/>
                <w:lang w:eastAsia="en-GB"/>
              </w:rPr>
            </w:pPr>
          </w:p>
        </w:tc>
      </w:tr>
      <w:tr w:rsidR="00645118" w:rsidRPr="00980795" w14:paraId="1FACDD40" w14:textId="77777777" w:rsidTr="00FD7082">
        <w:trPr>
          <w:trHeight w:val="315"/>
        </w:trPr>
        <w:tc>
          <w:tcPr>
            <w:tcW w:w="2280" w:type="dxa"/>
            <w:tcBorders>
              <w:top w:val="nil"/>
              <w:left w:val="nil"/>
              <w:bottom w:val="nil"/>
              <w:right w:val="nil"/>
            </w:tcBorders>
            <w:noWrap/>
            <w:vAlign w:val="bottom"/>
            <w:hideMark/>
          </w:tcPr>
          <w:p w14:paraId="799A7FE9"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372A0229" w14:textId="77777777" w:rsidR="00645118" w:rsidRPr="00980795" w:rsidRDefault="00645118" w:rsidP="00FD7082">
            <w:pPr>
              <w:jc w:val="both"/>
              <w:rPr>
                <w:sz w:val="16"/>
                <w:szCs w:val="16"/>
                <w:lang w:eastAsia="en-GB"/>
              </w:rPr>
            </w:pPr>
            <w:r w:rsidRPr="00980795">
              <w:rPr>
                <w:sz w:val="16"/>
                <w:szCs w:val="16"/>
                <w:lang w:eastAsia="en-GB"/>
              </w:rPr>
              <w:t>3 (23.1%)</w:t>
            </w:r>
          </w:p>
        </w:tc>
        <w:tc>
          <w:tcPr>
            <w:tcW w:w="1661" w:type="dxa"/>
            <w:tcBorders>
              <w:top w:val="nil"/>
              <w:left w:val="nil"/>
              <w:bottom w:val="nil"/>
              <w:right w:val="nil"/>
            </w:tcBorders>
            <w:noWrap/>
            <w:vAlign w:val="center"/>
            <w:hideMark/>
          </w:tcPr>
          <w:p w14:paraId="61A1A3C0" w14:textId="77777777" w:rsidR="00645118" w:rsidRPr="00980795" w:rsidRDefault="00645118" w:rsidP="00FD7082">
            <w:pPr>
              <w:jc w:val="both"/>
              <w:rPr>
                <w:sz w:val="16"/>
                <w:szCs w:val="16"/>
                <w:lang w:eastAsia="en-GB"/>
              </w:rPr>
            </w:pPr>
            <w:r w:rsidRPr="00980795">
              <w:rPr>
                <w:sz w:val="16"/>
                <w:szCs w:val="16"/>
                <w:lang w:eastAsia="en-GB"/>
              </w:rPr>
              <w:t>6 (46.2%)</w:t>
            </w:r>
          </w:p>
        </w:tc>
        <w:tc>
          <w:tcPr>
            <w:tcW w:w="1389" w:type="dxa"/>
            <w:tcBorders>
              <w:top w:val="nil"/>
              <w:left w:val="nil"/>
              <w:bottom w:val="nil"/>
              <w:right w:val="nil"/>
            </w:tcBorders>
            <w:noWrap/>
            <w:vAlign w:val="center"/>
            <w:hideMark/>
          </w:tcPr>
          <w:p w14:paraId="1113FA2F" w14:textId="77777777" w:rsidR="00645118" w:rsidRPr="00980795" w:rsidRDefault="00645118" w:rsidP="00FD7082">
            <w:pPr>
              <w:jc w:val="both"/>
              <w:rPr>
                <w:sz w:val="16"/>
                <w:szCs w:val="16"/>
                <w:lang w:eastAsia="en-GB"/>
              </w:rPr>
            </w:pPr>
            <w:r w:rsidRPr="00980795">
              <w:rPr>
                <w:sz w:val="16"/>
                <w:szCs w:val="16"/>
                <w:lang w:eastAsia="en-GB"/>
              </w:rPr>
              <w:t>4 (30.8%)</w:t>
            </w:r>
          </w:p>
        </w:tc>
        <w:tc>
          <w:tcPr>
            <w:tcW w:w="1560" w:type="dxa"/>
            <w:tcBorders>
              <w:top w:val="nil"/>
              <w:left w:val="nil"/>
              <w:bottom w:val="nil"/>
              <w:right w:val="nil"/>
            </w:tcBorders>
            <w:noWrap/>
            <w:vAlign w:val="center"/>
            <w:hideMark/>
          </w:tcPr>
          <w:p w14:paraId="46719319" w14:textId="77777777" w:rsidR="00645118" w:rsidRPr="00980795" w:rsidRDefault="00645118" w:rsidP="00FD7082">
            <w:pPr>
              <w:jc w:val="both"/>
              <w:rPr>
                <w:sz w:val="16"/>
                <w:szCs w:val="16"/>
                <w:lang w:eastAsia="en-GB"/>
              </w:rPr>
            </w:pPr>
            <w:r w:rsidRPr="00980795">
              <w:rPr>
                <w:sz w:val="16"/>
                <w:szCs w:val="16"/>
                <w:lang w:eastAsia="en-GB"/>
              </w:rPr>
              <w:t>13 (100.0%)</w:t>
            </w:r>
          </w:p>
        </w:tc>
        <w:tc>
          <w:tcPr>
            <w:tcW w:w="1120" w:type="dxa"/>
            <w:tcBorders>
              <w:top w:val="nil"/>
              <w:left w:val="nil"/>
              <w:bottom w:val="nil"/>
              <w:right w:val="nil"/>
            </w:tcBorders>
            <w:noWrap/>
            <w:vAlign w:val="center"/>
            <w:hideMark/>
          </w:tcPr>
          <w:p w14:paraId="0E24FE80" w14:textId="77777777" w:rsidR="00645118" w:rsidRPr="00980795" w:rsidRDefault="00645118" w:rsidP="00FD7082">
            <w:pPr>
              <w:jc w:val="both"/>
              <w:rPr>
                <w:sz w:val="16"/>
                <w:szCs w:val="16"/>
                <w:lang w:eastAsia="en-GB"/>
              </w:rPr>
            </w:pPr>
            <w:r w:rsidRPr="00980795">
              <w:rPr>
                <w:sz w:val="16"/>
                <w:szCs w:val="16"/>
                <w:lang w:eastAsia="en-GB"/>
              </w:rPr>
              <w:t>4.613</w:t>
            </w:r>
          </w:p>
        </w:tc>
        <w:tc>
          <w:tcPr>
            <w:tcW w:w="900" w:type="dxa"/>
            <w:tcBorders>
              <w:top w:val="nil"/>
              <w:left w:val="nil"/>
              <w:bottom w:val="nil"/>
              <w:right w:val="nil"/>
            </w:tcBorders>
            <w:noWrap/>
            <w:vAlign w:val="bottom"/>
            <w:hideMark/>
          </w:tcPr>
          <w:p w14:paraId="3C4434DD" w14:textId="77777777" w:rsidR="00645118" w:rsidRPr="00980795" w:rsidRDefault="00645118" w:rsidP="00FD7082">
            <w:pPr>
              <w:jc w:val="both"/>
              <w:rPr>
                <w:sz w:val="16"/>
                <w:szCs w:val="16"/>
                <w:lang w:eastAsia="en-GB"/>
              </w:rPr>
            </w:pPr>
            <w:r w:rsidRPr="00980795">
              <w:rPr>
                <w:sz w:val="16"/>
                <w:szCs w:val="16"/>
                <w:lang w:eastAsia="en-GB"/>
              </w:rPr>
              <w:t>0.100</w:t>
            </w:r>
          </w:p>
        </w:tc>
      </w:tr>
      <w:tr w:rsidR="00645118" w:rsidRPr="00980795" w14:paraId="09C6E7B5" w14:textId="77777777" w:rsidTr="00FD7082">
        <w:trPr>
          <w:trHeight w:val="315"/>
        </w:trPr>
        <w:tc>
          <w:tcPr>
            <w:tcW w:w="2280" w:type="dxa"/>
            <w:tcBorders>
              <w:top w:val="nil"/>
              <w:left w:val="nil"/>
              <w:bottom w:val="single" w:sz="4" w:space="0" w:color="auto"/>
              <w:right w:val="nil"/>
            </w:tcBorders>
            <w:noWrap/>
            <w:vAlign w:val="bottom"/>
            <w:hideMark/>
          </w:tcPr>
          <w:p w14:paraId="45B0A75B"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2511365C" w14:textId="77777777" w:rsidR="00645118" w:rsidRPr="00980795" w:rsidRDefault="00645118" w:rsidP="00FD7082">
            <w:pPr>
              <w:jc w:val="both"/>
              <w:rPr>
                <w:sz w:val="16"/>
                <w:szCs w:val="16"/>
                <w:lang w:eastAsia="en-GB"/>
              </w:rPr>
            </w:pPr>
            <w:r w:rsidRPr="00980795">
              <w:rPr>
                <w:sz w:val="16"/>
                <w:szCs w:val="16"/>
                <w:lang w:eastAsia="en-GB"/>
              </w:rPr>
              <w:t>77 (44.0%)</w:t>
            </w:r>
          </w:p>
        </w:tc>
        <w:tc>
          <w:tcPr>
            <w:tcW w:w="1661" w:type="dxa"/>
            <w:tcBorders>
              <w:top w:val="nil"/>
              <w:left w:val="nil"/>
              <w:bottom w:val="nil"/>
              <w:right w:val="nil"/>
            </w:tcBorders>
            <w:noWrap/>
            <w:vAlign w:val="center"/>
            <w:hideMark/>
          </w:tcPr>
          <w:p w14:paraId="205F3B45" w14:textId="77777777" w:rsidR="00645118" w:rsidRPr="00980795" w:rsidRDefault="00645118" w:rsidP="00FD7082">
            <w:pPr>
              <w:jc w:val="both"/>
              <w:rPr>
                <w:sz w:val="16"/>
                <w:szCs w:val="16"/>
                <w:lang w:eastAsia="en-GB"/>
              </w:rPr>
            </w:pPr>
            <w:r w:rsidRPr="00980795">
              <w:rPr>
                <w:sz w:val="16"/>
                <w:szCs w:val="16"/>
                <w:lang w:eastAsia="en-GB"/>
              </w:rPr>
              <w:t>37 (21.1%)</w:t>
            </w:r>
          </w:p>
        </w:tc>
        <w:tc>
          <w:tcPr>
            <w:tcW w:w="1389" w:type="dxa"/>
            <w:tcBorders>
              <w:top w:val="nil"/>
              <w:left w:val="nil"/>
              <w:bottom w:val="nil"/>
              <w:right w:val="nil"/>
            </w:tcBorders>
            <w:noWrap/>
            <w:vAlign w:val="center"/>
            <w:hideMark/>
          </w:tcPr>
          <w:p w14:paraId="0071835D" w14:textId="77777777" w:rsidR="00645118" w:rsidRPr="00980795" w:rsidRDefault="00645118" w:rsidP="00FD7082">
            <w:pPr>
              <w:jc w:val="both"/>
              <w:rPr>
                <w:sz w:val="16"/>
                <w:szCs w:val="16"/>
                <w:lang w:eastAsia="en-GB"/>
              </w:rPr>
            </w:pPr>
            <w:r w:rsidRPr="00980795">
              <w:rPr>
                <w:sz w:val="16"/>
                <w:szCs w:val="16"/>
                <w:lang w:eastAsia="en-GB"/>
              </w:rPr>
              <w:t>61 (34.9%)</w:t>
            </w:r>
          </w:p>
        </w:tc>
        <w:tc>
          <w:tcPr>
            <w:tcW w:w="1560" w:type="dxa"/>
            <w:tcBorders>
              <w:top w:val="nil"/>
              <w:left w:val="nil"/>
              <w:bottom w:val="nil"/>
              <w:right w:val="nil"/>
            </w:tcBorders>
            <w:noWrap/>
            <w:vAlign w:val="center"/>
            <w:hideMark/>
          </w:tcPr>
          <w:p w14:paraId="1DC92A3B" w14:textId="77777777" w:rsidR="00645118" w:rsidRPr="00980795" w:rsidRDefault="00645118" w:rsidP="00FD7082">
            <w:pPr>
              <w:jc w:val="both"/>
              <w:rPr>
                <w:sz w:val="16"/>
                <w:szCs w:val="16"/>
                <w:lang w:eastAsia="en-GB"/>
              </w:rPr>
            </w:pPr>
            <w:r w:rsidRPr="00980795">
              <w:rPr>
                <w:sz w:val="16"/>
                <w:szCs w:val="16"/>
                <w:lang w:eastAsia="en-GB"/>
              </w:rPr>
              <w:t>175 (100.0%)</w:t>
            </w:r>
          </w:p>
        </w:tc>
        <w:tc>
          <w:tcPr>
            <w:tcW w:w="1120" w:type="dxa"/>
            <w:tcBorders>
              <w:top w:val="nil"/>
              <w:left w:val="nil"/>
              <w:bottom w:val="nil"/>
              <w:right w:val="nil"/>
            </w:tcBorders>
            <w:noWrap/>
            <w:vAlign w:val="center"/>
            <w:hideMark/>
          </w:tcPr>
          <w:p w14:paraId="4965C9B0"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60F74961" w14:textId="77777777" w:rsidR="00645118" w:rsidRPr="00980795" w:rsidRDefault="00645118" w:rsidP="00FD7082">
            <w:pPr>
              <w:jc w:val="both"/>
              <w:rPr>
                <w:sz w:val="16"/>
                <w:szCs w:val="16"/>
                <w:lang w:eastAsia="en-GB"/>
              </w:rPr>
            </w:pPr>
          </w:p>
        </w:tc>
      </w:tr>
      <w:tr w:rsidR="00645118" w:rsidRPr="00980795" w14:paraId="775D85E7" w14:textId="77777777" w:rsidTr="00FD7082">
        <w:trPr>
          <w:trHeight w:val="315"/>
        </w:trPr>
        <w:tc>
          <w:tcPr>
            <w:tcW w:w="2280" w:type="dxa"/>
            <w:tcBorders>
              <w:top w:val="nil"/>
              <w:left w:val="nil"/>
              <w:bottom w:val="nil"/>
              <w:right w:val="nil"/>
            </w:tcBorders>
            <w:noWrap/>
            <w:vAlign w:val="bottom"/>
            <w:hideMark/>
          </w:tcPr>
          <w:p w14:paraId="2EB3B996" w14:textId="77777777" w:rsidR="00645118" w:rsidRPr="00980795" w:rsidRDefault="00645118" w:rsidP="00FD7082">
            <w:pPr>
              <w:jc w:val="both"/>
              <w:rPr>
                <w:b/>
                <w:bCs/>
                <w:sz w:val="16"/>
                <w:szCs w:val="16"/>
                <w:lang w:eastAsia="en-GB"/>
              </w:rPr>
            </w:pPr>
            <w:r w:rsidRPr="00980795">
              <w:rPr>
                <w:b/>
                <w:bCs/>
                <w:sz w:val="16"/>
                <w:szCs w:val="16"/>
                <w:lang w:eastAsia="en-GB"/>
              </w:rPr>
              <w:t>STEREOACUITY</w:t>
            </w:r>
          </w:p>
        </w:tc>
        <w:tc>
          <w:tcPr>
            <w:tcW w:w="1390" w:type="dxa"/>
            <w:tcBorders>
              <w:top w:val="nil"/>
              <w:left w:val="nil"/>
              <w:bottom w:val="nil"/>
              <w:right w:val="nil"/>
            </w:tcBorders>
            <w:noWrap/>
            <w:vAlign w:val="center"/>
            <w:hideMark/>
          </w:tcPr>
          <w:p w14:paraId="3FE37720"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145DD2FB"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6E739E2E"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648830FC"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57CC3180"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4F93E24D" w14:textId="77777777" w:rsidR="00645118" w:rsidRPr="00980795" w:rsidRDefault="00645118" w:rsidP="00FD7082">
            <w:pPr>
              <w:jc w:val="both"/>
              <w:rPr>
                <w:sz w:val="16"/>
                <w:szCs w:val="16"/>
                <w:lang w:eastAsia="en-GB"/>
              </w:rPr>
            </w:pPr>
          </w:p>
        </w:tc>
      </w:tr>
      <w:tr w:rsidR="00645118" w:rsidRPr="00980795" w14:paraId="0CABB696" w14:textId="77777777" w:rsidTr="00FD7082">
        <w:trPr>
          <w:trHeight w:val="315"/>
        </w:trPr>
        <w:tc>
          <w:tcPr>
            <w:tcW w:w="2280" w:type="dxa"/>
            <w:tcBorders>
              <w:top w:val="nil"/>
              <w:left w:val="nil"/>
              <w:bottom w:val="nil"/>
              <w:right w:val="nil"/>
            </w:tcBorders>
            <w:noWrap/>
            <w:vAlign w:val="bottom"/>
            <w:hideMark/>
          </w:tcPr>
          <w:p w14:paraId="59E6D844"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08039188" w14:textId="77777777" w:rsidR="00645118" w:rsidRPr="00980795" w:rsidRDefault="00645118" w:rsidP="00FD7082">
            <w:pPr>
              <w:jc w:val="both"/>
              <w:rPr>
                <w:sz w:val="16"/>
                <w:szCs w:val="16"/>
                <w:lang w:eastAsia="en-GB"/>
              </w:rPr>
            </w:pPr>
            <w:r w:rsidRPr="00980795">
              <w:rPr>
                <w:sz w:val="16"/>
                <w:szCs w:val="16"/>
                <w:lang w:eastAsia="en-GB"/>
              </w:rPr>
              <w:t>23 (25.8%)</w:t>
            </w:r>
          </w:p>
        </w:tc>
        <w:tc>
          <w:tcPr>
            <w:tcW w:w="1661" w:type="dxa"/>
            <w:tcBorders>
              <w:top w:val="nil"/>
              <w:left w:val="nil"/>
              <w:bottom w:val="nil"/>
              <w:right w:val="nil"/>
            </w:tcBorders>
            <w:noWrap/>
            <w:vAlign w:val="center"/>
            <w:hideMark/>
          </w:tcPr>
          <w:p w14:paraId="0BF2C64E" w14:textId="77777777" w:rsidR="00645118" w:rsidRPr="00980795" w:rsidRDefault="00645118" w:rsidP="00FD7082">
            <w:pPr>
              <w:jc w:val="both"/>
              <w:rPr>
                <w:sz w:val="16"/>
                <w:szCs w:val="16"/>
                <w:lang w:eastAsia="en-GB"/>
              </w:rPr>
            </w:pPr>
            <w:r w:rsidRPr="00980795">
              <w:rPr>
                <w:sz w:val="16"/>
                <w:szCs w:val="16"/>
                <w:lang w:eastAsia="en-GB"/>
              </w:rPr>
              <w:t>22 (24.7%)</w:t>
            </w:r>
          </w:p>
        </w:tc>
        <w:tc>
          <w:tcPr>
            <w:tcW w:w="1389" w:type="dxa"/>
            <w:tcBorders>
              <w:top w:val="nil"/>
              <w:left w:val="nil"/>
              <w:bottom w:val="nil"/>
              <w:right w:val="nil"/>
            </w:tcBorders>
            <w:noWrap/>
            <w:vAlign w:val="center"/>
            <w:hideMark/>
          </w:tcPr>
          <w:p w14:paraId="7BAE6524" w14:textId="77777777" w:rsidR="00645118" w:rsidRPr="00980795" w:rsidRDefault="00645118" w:rsidP="00FD7082">
            <w:pPr>
              <w:jc w:val="both"/>
              <w:rPr>
                <w:sz w:val="16"/>
                <w:szCs w:val="16"/>
                <w:lang w:eastAsia="en-GB"/>
              </w:rPr>
            </w:pPr>
            <w:r w:rsidRPr="00980795">
              <w:rPr>
                <w:sz w:val="16"/>
                <w:szCs w:val="16"/>
                <w:lang w:eastAsia="en-GB"/>
              </w:rPr>
              <w:t>44 (49.5%)</w:t>
            </w:r>
          </w:p>
        </w:tc>
        <w:tc>
          <w:tcPr>
            <w:tcW w:w="1560" w:type="dxa"/>
            <w:tcBorders>
              <w:top w:val="nil"/>
              <w:left w:val="nil"/>
              <w:bottom w:val="nil"/>
              <w:right w:val="nil"/>
            </w:tcBorders>
            <w:noWrap/>
            <w:vAlign w:val="center"/>
            <w:hideMark/>
          </w:tcPr>
          <w:p w14:paraId="6C6B08DE" w14:textId="77777777" w:rsidR="00645118" w:rsidRPr="00980795" w:rsidRDefault="00645118" w:rsidP="00FD7082">
            <w:pPr>
              <w:jc w:val="both"/>
              <w:rPr>
                <w:sz w:val="16"/>
                <w:szCs w:val="16"/>
                <w:lang w:eastAsia="en-GB"/>
              </w:rPr>
            </w:pPr>
            <w:r w:rsidRPr="00980795">
              <w:rPr>
                <w:sz w:val="16"/>
                <w:szCs w:val="16"/>
                <w:lang w:eastAsia="en-GB"/>
              </w:rPr>
              <w:t>89 (100.0%)</w:t>
            </w:r>
          </w:p>
        </w:tc>
        <w:tc>
          <w:tcPr>
            <w:tcW w:w="1120" w:type="dxa"/>
            <w:tcBorders>
              <w:top w:val="nil"/>
              <w:left w:val="nil"/>
              <w:bottom w:val="nil"/>
              <w:right w:val="nil"/>
            </w:tcBorders>
            <w:noWrap/>
            <w:vAlign w:val="center"/>
            <w:hideMark/>
          </w:tcPr>
          <w:p w14:paraId="614010FA" w14:textId="77777777" w:rsidR="00645118" w:rsidRPr="00980795" w:rsidRDefault="00645118" w:rsidP="00FD7082">
            <w:pPr>
              <w:jc w:val="both"/>
              <w:rPr>
                <w:sz w:val="16"/>
                <w:szCs w:val="16"/>
                <w:lang w:eastAsia="en-GB"/>
              </w:rPr>
            </w:pPr>
            <w:r w:rsidRPr="00980795">
              <w:rPr>
                <w:sz w:val="16"/>
                <w:szCs w:val="16"/>
                <w:lang w:eastAsia="en-GB"/>
              </w:rPr>
              <w:t>22.142</w:t>
            </w:r>
          </w:p>
        </w:tc>
        <w:tc>
          <w:tcPr>
            <w:tcW w:w="900" w:type="dxa"/>
            <w:tcBorders>
              <w:top w:val="nil"/>
              <w:left w:val="nil"/>
              <w:bottom w:val="nil"/>
              <w:right w:val="nil"/>
            </w:tcBorders>
            <w:noWrap/>
            <w:vAlign w:val="center"/>
            <w:hideMark/>
          </w:tcPr>
          <w:p w14:paraId="71D8290C" w14:textId="77777777" w:rsidR="00645118" w:rsidRPr="00980795" w:rsidRDefault="00645118" w:rsidP="00FD7082">
            <w:pPr>
              <w:jc w:val="both"/>
              <w:rPr>
                <w:sz w:val="16"/>
                <w:szCs w:val="16"/>
                <w:lang w:eastAsia="en-GB"/>
              </w:rPr>
            </w:pPr>
            <w:r w:rsidRPr="00980795">
              <w:rPr>
                <w:sz w:val="16"/>
                <w:szCs w:val="16"/>
                <w:lang w:eastAsia="en-GB"/>
              </w:rPr>
              <w:t>0.000*</w:t>
            </w:r>
          </w:p>
        </w:tc>
      </w:tr>
      <w:tr w:rsidR="00645118" w:rsidRPr="00980795" w14:paraId="655C2E07" w14:textId="77777777" w:rsidTr="00FD7082">
        <w:trPr>
          <w:trHeight w:val="315"/>
        </w:trPr>
        <w:tc>
          <w:tcPr>
            <w:tcW w:w="2280" w:type="dxa"/>
            <w:tcBorders>
              <w:top w:val="nil"/>
              <w:left w:val="nil"/>
              <w:bottom w:val="single" w:sz="4" w:space="0" w:color="auto"/>
              <w:right w:val="nil"/>
            </w:tcBorders>
            <w:noWrap/>
            <w:vAlign w:val="bottom"/>
            <w:hideMark/>
          </w:tcPr>
          <w:p w14:paraId="32884A78"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319DBD5A" w14:textId="77777777" w:rsidR="00645118" w:rsidRPr="00980795" w:rsidRDefault="00645118" w:rsidP="00FD7082">
            <w:pPr>
              <w:jc w:val="both"/>
              <w:rPr>
                <w:sz w:val="16"/>
                <w:szCs w:val="16"/>
                <w:lang w:eastAsia="en-GB"/>
              </w:rPr>
            </w:pPr>
            <w:r w:rsidRPr="00980795">
              <w:rPr>
                <w:sz w:val="16"/>
                <w:szCs w:val="16"/>
                <w:lang w:eastAsia="en-GB"/>
              </w:rPr>
              <w:t>57 (57.6%)</w:t>
            </w:r>
          </w:p>
        </w:tc>
        <w:tc>
          <w:tcPr>
            <w:tcW w:w="1661" w:type="dxa"/>
            <w:tcBorders>
              <w:top w:val="nil"/>
              <w:left w:val="nil"/>
              <w:bottom w:val="nil"/>
              <w:right w:val="nil"/>
            </w:tcBorders>
            <w:noWrap/>
            <w:vAlign w:val="center"/>
            <w:hideMark/>
          </w:tcPr>
          <w:p w14:paraId="0B7604C8" w14:textId="77777777" w:rsidR="00645118" w:rsidRPr="00980795" w:rsidRDefault="00645118" w:rsidP="00FD7082">
            <w:pPr>
              <w:jc w:val="both"/>
              <w:rPr>
                <w:sz w:val="16"/>
                <w:szCs w:val="16"/>
                <w:lang w:eastAsia="en-GB"/>
              </w:rPr>
            </w:pPr>
            <w:r w:rsidRPr="00980795">
              <w:rPr>
                <w:sz w:val="16"/>
                <w:szCs w:val="16"/>
                <w:lang w:eastAsia="en-GB"/>
              </w:rPr>
              <w:t>21 (21.2%)</w:t>
            </w:r>
          </w:p>
        </w:tc>
        <w:tc>
          <w:tcPr>
            <w:tcW w:w="1389" w:type="dxa"/>
            <w:tcBorders>
              <w:top w:val="nil"/>
              <w:left w:val="nil"/>
              <w:bottom w:val="nil"/>
              <w:right w:val="nil"/>
            </w:tcBorders>
            <w:noWrap/>
            <w:vAlign w:val="center"/>
            <w:hideMark/>
          </w:tcPr>
          <w:p w14:paraId="49A23363" w14:textId="77777777" w:rsidR="00645118" w:rsidRPr="00980795" w:rsidRDefault="00645118" w:rsidP="00FD7082">
            <w:pPr>
              <w:jc w:val="both"/>
              <w:rPr>
                <w:sz w:val="16"/>
                <w:szCs w:val="16"/>
                <w:lang w:eastAsia="en-GB"/>
              </w:rPr>
            </w:pPr>
            <w:r w:rsidRPr="00980795">
              <w:rPr>
                <w:sz w:val="16"/>
                <w:szCs w:val="16"/>
                <w:lang w:eastAsia="en-GB"/>
              </w:rPr>
              <w:t>21 (21.2%)</w:t>
            </w:r>
          </w:p>
        </w:tc>
        <w:tc>
          <w:tcPr>
            <w:tcW w:w="1560" w:type="dxa"/>
            <w:tcBorders>
              <w:top w:val="nil"/>
              <w:left w:val="nil"/>
              <w:bottom w:val="nil"/>
              <w:right w:val="nil"/>
            </w:tcBorders>
            <w:noWrap/>
            <w:vAlign w:val="center"/>
            <w:hideMark/>
          </w:tcPr>
          <w:p w14:paraId="6E9A48C9" w14:textId="77777777" w:rsidR="00645118" w:rsidRPr="00980795" w:rsidRDefault="00645118" w:rsidP="00FD7082">
            <w:pPr>
              <w:jc w:val="both"/>
              <w:rPr>
                <w:sz w:val="16"/>
                <w:szCs w:val="16"/>
                <w:lang w:eastAsia="en-GB"/>
              </w:rPr>
            </w:pPr>
            <w:r w:rsidRPr="00980795">
              <w:rPr>
                <w:sz w:val="16"/>
                <w:szCs w:val="16"/>
                <w:lang w:eastAsia="en-GB"/>
              </w:rPr>
              <w:t>99 (100.0%)</w:t>
            </w:r>
          </w:p>
        </w:tc>
        <w:tc>
          <w:tcPr>
            <w:tcW w:w="1120" w:type="dxa"/>
            <w:tcBorders>
              <w:top w:val="nil"/>
              <w:left w:val="nil"/>
              <w:bottom w:val="nil"/>
              <w:right w:val="nil"/>
            </w:tcBorders>
            <w:noWrap/>
            <w:vAlign w:val="center"/>
            <w:hideMark/>
          </w:tcPr>
          <w:p w14:paraId="2FE72F79"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5314F086" w14:textId="77777777" w:rsidR="00645118" w:rsidRPr="00980795" w:rsidRDefault="00645118" w:rsidP="00FD7082">
            <w:pPr>
              <w:jc w:val="both"/>
              <w:rPr>
                <w:sz w:val="16"/>
                <w:szCs w:val="16"/>
                <w:lang w:eastAsia="en-GB"/>
              </w:rPr>
            </w:pPr>
          </w:p>
        </w:tc>
      </w:tr>
      <w:tr w:rsidR="00645118" w:rsidRPr="00980795" w14:paraId="57B5D596" w14:textId="77777777" w:rsidTr="00FD7082">
        <w:trPr>
          <w:trHeight w:val="315"/>
        </w:trPr>
        <w:tc>
          <w:tcPr>
            <w:tcW w:w="2280" w:type="dxa"/>
            <w:tcBorders>
              <w:top w:val="nil"/>
              <w:left w:val="nil"/>
              <w:bottom w:val="nil"/>
              <w:right w:val="nil"/>
            </w:tcBorders>
            <w:noWrap/>
            <w:vAlign w:val="bottom"/>
            <w:hideMark/>
          </w:tcPr>
          <w:p w14:paraId="1C5EAB38" w14:textId="77777777" w:rsidR="00645118" w:rsidRPr="00980795" w:rsidRDefault="00645118" w:rsidP="00FD7082">
            <w:pPr>
              <w:jc w:val="both"/>
              <w:rPr>
                <w:b/>
                <w:bCs/>
                <w:sz w:val="16"/>
                <w:szCs w:val="16"/>
                <w:lang w:eastAsia="en-GB"/>
              </w:rPr>
            </w:pPr>
            <w:r w:rsidRPr="00980795">
              <w:rPr>
                <w:b/>
                <w:bCs/>
                <w:sz w:val="16"/>
                <w:szCs w:val="16"/>
                <w:lang w:eastAsia="en-GB"/>
              </w:rPr>
              <w:t>VISUAL FIELD</w:t>
            </w:r>
          </w:p>
        </w:tc>
        <w:tc>
          <w:tcPr>
            <w:tcW w:w="1390" w:type="dxa"/>
            <w:tcBorders>
              <w:top w:val="nil"/>
              <w:left w:val="nil"/>
              <w:bottom w:val="nil"/>
              <w:right w:val="nil"/>
            </w:tcBorders>
            <w:noWrap/>
            <w:vAlign w:val="center"/>
            <w:hideMark/>
          </w:tcPr>
          <w:p w14:paraId="76DB53AA"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5725962B"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57FEE1BC"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6826DBA3"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35C4DD19"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5C62DC9A" w14:textId="77777777" w:rsidR="00645118" w:rsidRPr="00980795" w:rsidRDefault="00645118" w:rsidP="00FD7082">
            <w:pPr>
              <w:jc w:val="both"/>
              <w:rPr>
                <w:sz w:val="16"/>
                <w:szCs w:val="16"/>
                <w:lang w:eastAsia="en-GB"/>
              </w:rPr>
            </w:pPr>
          </w:p>
        </w:tc>
      </w:tr>
      <w:tr w:rsidR="00645118" w:rsidRPr="00980795" w14:paraId="091F5211" w14:textId="77777777" w:rsidTr="00FD7082">
        <w:trPr>
          <w:trHeight w:val="315"/>
        </w:trPr>
        <w:tc>
          <w:tcPr>
            <w:tcW w:w="2280" w:type="dxa"/>
            <w:tcBorders>
              <w:top w:val="nil"/>
              <w:left w:val="nil"/>
              <w:bottom w:val="nil"/>
              <w:right w:val="nil"/>
            </w:tcBorders>
            <w:noWrap/>
            <w:vAlign w:val="bottom"/>
            <w:hideMark/>
          </w:tcPr>
          <w:p w14:paraId="75CFCCEE"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3FF5C6D0" w14:textId="77777777" w:rsidR="00645118" w:rsidRPr="00980795" w:rsidRDefault="00645118" w:rsidP="00FD7082">
            <w:pPr>
              <w:jc w:val="both"/>
              <w:rPr>
                <w:sz w:val="16"/>
                <w:szCs w:val="16"/>
                <w:lang w:eastAsia="en-GB"/>
              </w:rPr>
            </w:pPr>
            <w:r w:rsidRPr="00980795">
              <w:rPr>
                <w:sz w:val="16"/>
                <w:szCs w:val="16"/>
                <w:lang w:eastAsia="en-GB"/>
              </w:rPr>
              <w:t>0 (0.0%)</w:t>
            </w:r>
          </w:p>
        </w:tc>
        <w:tc>
          <w:tcPr>
            <w:tcW w:w="1661" w:type="dxa"/>
            <w:tcBorders>
              <w:top w:val="nil"/>
              <w:left w:val="nil"/>
              <w:bottom w:val="nil"/>
              <w:right w:val="nil"/>
            </w:tcBorders>
            <w:noWrap/>
            <w:vAlign w:val="center"/>
            <w:hideMark/>
          </w:tcPr>
          <w:p w14:paraId="52D8F93F" w14:textId="77777777" w:rsidR="00645118" w:rsidRPr="00980795" w:rsidRDefault="00645118" w:rsidP="00FD7082">
            <w:pPr>
              <w:jc w:val="both"/>
              <w:rPr>
                <w:sz w:val="16"/>
                <w:szCs w:val="16"/>
                <w:lang w:eastAsia="en-GB"/>
              </w:rPr>
            </w:pPr>
            <w:r w:rsidRPr="00980795">
              <w:rPr>
                <w:sz w:val="16"/>
                <w:szCs w:val="16"/>
                <w:lang w:eastAsia="en-GB"/>
              </w:rPr>
              <w:t>4 (50.0%)</w:t>
            </w:r>
          </w:p>
        </w:tc>
        <w:tc>
          <w:tcPr>
            <w:tcW w:w="1389" w:type="dxa"/>
            <w:tcBorders>
              <w:top w:val="nil"/>
              <w:left w:val="nil"/>
              <w:bottom w:val="nil"/>
              <w:right w:val="nil"/>
            </w:tcBorders>
            <w:noWrap/>
            <w:vAlign w:val="center"/>
            <w:hideMark/>
          </w:tcPr>
          <w:p w14:paraId="68DEBE00" w14:textId="77777777" w:rsidR="00645118" w:rsidRPr="00980795" w:rsidRDefault="00645118" w:rsidP="00FD7082">
            <w:pPr>
              <w:jc w:val="both"/>
              <w:rPr>
                <w:sz w:val="16"/>
                <w:szCs w:val="16"/>
                <w:lang w:eastAsia="en-GB"/>
              </w:rPr>
            </w:pPr>
            <w:r w:rsidRPr="00980795">
              <w:rPr>
                <w:sz w:val="16"/>
                <w:szCs w:val="16"/>
                <w:lang w:eastAsia="en-GB"/>
              </w:rPr>
              <w:t>4 (50.0%)</w:t>
            </w:r>
          </w:p>
        </w:tc>
        <w:tc>
          <w:tcPr>
            <w:tcW w:w="1560" w:type="dxa"/>
            <w:tcBorders>
              <w:top w:val="nil"/>
              <w:left w:val="nil"/>
              <w:bottom w:val="nil"/>
              <w:right w:val="nil"/>
            </w:tcBorders>
            <w:noWrap/>
            <w:vAlign w:val="center"/>
            <w:hideMark/>
          </w:tcPr>
          <w:p w14:paraId="442BF737" w14:textId="77777777" w:rsidR="00645118" w:rsidRPr="00980795" w:rsidRDefault="00645118" w:rsidP="00FD7082">
            <w:pPr>
              <w:jc w:val="both"/>
              <w:rPr>
                <w:sz w:val="16"/>
                <w:szCs w:val="16"/>
                <w:lang w:eastAsia="en-GB"/>
              </w:rPr>
            </w:pPr>
            <w:r w:rsidRPr="00980795">
              <w:rPr>
                <w:sz w:val="16"/>
                <w:szCs w:val="16"/>
                <w:lang w:eastAsia="en-GB"/>
              </w:rPr>
              <w:t>8 (100.0%)</w:t>
            </w:r>
          </w:p>
        </w:tc>
        <w:tc>
          <w:tcPr>
            <w:tcW w:w="1120" w:type="dxa"/>
            <w:tcBorders>
              <w:top w:val="nil"/>
              <w:left w:val="nil"/>
              <w:bottom w:val="nil"/>
              <w:right w:val="nil"/>
            </w:tcBorders>
            <w:noWrap/>
            <w:vAlign w:val="center"/>
            <w:hideMark/>
          </w:tcPr>
          <w:p w14:paraId="65B7E46D" w14:textId="77777777" w:rsidR="00645118" w:rsidRPr="00980795" w:rsidRDefault="00645118" w:rsidP="00FD7082">
            <w:pPr>
              <w:jc w:val="both"/>
              <w:rPr>
                <w:sz w:val="16"/>
                <w:szCs w:val="16"/>
                <w:lang w:eastAsia="en-GB"/>
              </w:rPr>
            </w:pPr>
            <w:r w:rsidRPr="00980795">
              <w:rPr>
                <w:sz w:val="16"/>
                <w:szCs w:val="16"/>
                <w:lang w:eastAsia="en-GB"/>
              </w:rPr>
              <w:t>6.819</w:t>
            </w:r>
          </w:p>
        </w:tc>
        <w:tc>
          <w:tcPr>
            <w:tcW w:w="900" w:type="dxa"/>
            <w:tcBorders>
              <w:top w:val="nil"/>
              <w:left w:val="nil"/>
              <w:bottom w:val="nil"/>
              <w:right w:val="nil"/>
            </w:tcBorders>
            <w:noWrap/>
            <w:vAlign w:val="center"/>
            <w:hideMark/>
          </w:tcPr>
          <w:p w14:paraId="5AC31591" w14:textId="77777777" w:rsidR="00645118" w:rsidRPr="00980795" w:rsidRDefault="00645118" w:rsidP="00FD7082">
            <w:pPr>
              <w:jc w:val="both"/>
              <w:rPr>
                <w:sz w:val="16"/>
                <w:szCs w:val="16"/>
                <w:lang w:eastAsia="en-GB"/>
              </w:rPr>
            </w:pPr>
            <w:r w:rsidRPr="00980795">
              <w:rPr>
                <w:sz w:val="16"/>
                <w:szCs w:val="16"/>
                <w:lang w:eastAsia="en-GB"/>
              </w:rPr>
              <w:t>0.033*</w:t>
            </w:r>
          </w:p>
        </w:tc>
      </w:tr>
      <w:tr w:rsidR="00645118" w:rsidRPr="00980795" w14:paraId="58F8CD69" w14:textId="77777777" w:rsidTr="00FD7082">
        <w:trPr>
          <w:trHeight w:val="330"/>
        </w:trPr>
        <w:tc>
          <w:tcPr>
            <w:tcW w:w="2280" w:type="dxa"/>
            <w:tcBorders>
              <w:top w:val="nil"/>
              <w:left w:val="nil"/>
              <w:bottom w:val="single" w:sz="8" w:space="0" w:color="auto"/>
              <w:right w:val="nil"/>
            </w:tcBorders>
            <w:noWrap/>
            <w:vAlign w:val="bottom"/>
            <w:hideMark/>
          </w:tcPr>
          <w:p w14:paraId="119C095B"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single" w:sz="8" w:space="0" w:color="auto"/>
              <w:right w:val="nil"/>
            </w:tcBorders>
            <w:noWrap/>
            <w:vAlign w:val="center"/>
            <w:hideMark/>
          </w:tcPr>
          <w:p w14:paraId="2A1F9DDC" w14:textId="77777777" w:rsidR="00645118" w:rsidRPr="00980795" w:rsidRDefault="00645118" w:rsidP="00FD7082">
            <w:pPr>
              <w:jc w:val="both"/>
              <w:rPr>
                <w:sz w:val="16"/>
                <w:szCs w:val="16"/>
                <w:lang w:eastAsia="en-GB"/>
              </w:rPr>
            </w:pPr>
            <w:r w:rsidRPr="00980795">
              <w:rPr>
                <w:sz w:val="16"/>
                <w:szCs w:val="16"/>
                <w:lang w:eastAsia="en-GB"/>
              </w:rPr>
              <w:t>80 (44.4%)</w:t>
            </w:r>
          </w:p>
        </w:tc>
        <w:tc>
          <w:tcPr>
            <w:tcW w:w="1661" w:type="dxa"/>
            <w:tcBorders>
              <w:top w:val="nil"/>
              <w:left w:val="nil"/>
              <w:bottom w:val="single" w:sz="8" w:space="0" w:color="auto"/>
              <w:right w:val="nil"/>
            </w:tcBorders>
            <w:noWrap/>
            <w:vAlign w:val="center"/>
            <w:hideMark/>
          </w:tcPr>
          <w:p w14:paraId="19F7C46F" w14:textId="77777777" w:rsidR="00645118" w:rsidRPr="00980795" w:rsidRDefault="00645118" w:rsidP="00FD7082">
            <w:pPr>
              <w:jc w:val="both"/>
              <w:rPr>
                <w:sz w:val="16"/>
                <w:szCs w:val="16"/>
                <w:lang w:eastAsia="en-GB"/>
              </w:rPr>
            </w:pPr>
            <w:r w:rsidRPr="00980795">
              <w:rPr>
                <w:sz w:val="16"/>
                <w:szCs w:val="16"/>
                <w:lang w:eastAsia="en-GB"/>
              </w:rPr>
              <w:t>39 (21.7%)</w:t>
            </w:r>
          </w:p>
        </w:tc>
        <w:tc>
          <w:tcPr>
            <w:tcW w:w="1389" w:type="dxa"/>
            <w:tcBorders>
              <w:top w:val="nil"/>
              <w:left w:val="nil"/>
              <w:bottom w:val="single" w:sz="8" w:space="0" w:color="auto"/>
              <w:right w:val="nil"/>
            </w:tcBorders>
            <w:noWrap/>
            <w:vAlign w:val="center"/>
            <w:hideMark/>
          </w:tcPr>
          <w:p w14:paraId="5137A30D" w14:textId="77777777" w:rsidR="00645118" w:rsidRPr="00980795" w:rsidRDefault="00645118" w:rsidP="00FD7082">
            <w:pPr>
              <w:jc w:val="both"/>
              <w:rPr>
                <w:sz w:val="16"/>
                <w:szCs w:val="16"/>
                <w:lang w:eastAsia="en-GB"/>
              </w:rPr>
            </w:pPr>
            <w:r w:rsidRPr="00980795">
              <w:rPr>
                <w:sz w:val="16"/>
                <w:szCs w:val="16"/>
                <w:lang w:eastAsia="en-GB"/>
              </w:rPr>
              <w:t>61 (33.9%)</w:t>
            </w:r>
          </w:p>
        </w:tc>
        <w:tc>
          <w:tcPr>
            <w:tcW w:w="1560" w:type="dxa"/>
            <w:tcBorders>
              <w:top w:val="nil"/>
              <w:left w:val="nil"/>
              <w:bottom w:val="single" w:sz="8" w:space="0" w:color="auto"/>
              <w:right w:val="nil"/>
            </w:tcBorders>
            <w:noWrap/>
            <w:vAlign w:val="center"/>
            <w:hideMark/>
          </w:tcPr>
          <w:p w14:paraId="5E77038F" w14:textId="77777777" w:rsidR="00645118" w:rsidRPr="00980795" w:rsidRDefault="00645118" w:rsidP="00FD7082">
            <w:pPr>
              <w:jc w:val="both"/>
              <w:rPr>
                <w:sz w:val="16"/>
                <w:szCs w:val="16"/>
                <w:lang w:eastAsia="en-GB"/>
              </w:rPr>
            </w:pPr>
            <w:r w:rsidRPr="00980795">
              <w:rPr>
                <w:sz w:val="16"/>
                <w:szCs w:val="16"/>
                <w:lang w:eastAsia="en-GB"/>
              </w:rPr>
              <w:t>180 (100.0%)</w:t>
            </w:r>
          </w:p>
        </w:tc>
        <w:tc>
          <w:tcPr>
            <w:tcW w:w="1120" w:type="dxa"/>
            <w:tcBorders>
              <w:top w:val="nil"/>
              <w:left w:val="nil"/>
              <w:bottom w:val="single" w:sz="8" w:space="0" w:color="auto"/>
              <w:right w:val="nil"/>
            </w:tcBorders>
            <w:noWrap/>
            <w:vAlign w:val="center"/>
            <w:hideMark/>
          </w:tcPr>
          <w:p w14:paraId="16D07CFD" w14:textId="77777777" w:rsidR="00645118" w:rsidRPr="00980795" w:rsidRDefault="00645118" w:rsidP="00FD7082">
            <w:pPr>
              <w:jc w:val="both"/>
              <w:rPr>
                <w:sz w:val="16"/>
                <w:szCs w:val="16"/>
                <w:lang w:eastAsia="en-GB"/>
              </w:rPr>
            </w:pPr>
            <w:r w:rsidRPr="00980795">
              <w:rPr>
                <w:sz w:val="16"/>
                <w:szCs w:val="16"/>
                <w:lang w:eastAsia="en-GB"/>
              </w:rPr>
              <w:t> </w:t>
            </w:r>
          </w:p>
        </w:tc>
        <w:tc>
          <w:tcPr>
            <w:tcW w:w="900" w:type="dxa"/>
            <w:tcBorders>
              <w:top w:val="nil"/>
              <w:left w:val="nil"/>
              <w:bottom w:val="single" w:sz="8" w:space="0" w:color="auto"/>
              <w:right w:val="nil"/>
            </w:tcBorders>
            <w:noWrap/>
            <w:vAlign w:val="center"/>
            <w:hideMark/>
          </w:tcPr>
          <w:p w14:paraId="5757A8EF" w14:textId="77777777" w:rsidR="00645118" w:rsidRPr="00980795" w:rsidRDefault="00645118" w:rsidP="00FD7082">
            <w:pPr>
              <w:jc w:val="both"/>
              <w:rPr>
                <w:sz w:val="16"/>
                <w:szCs w:val="16"/>
                <w:lang w:eastAsia="en-GB"/>
              </w:rPr>
            </w:pPr>
            <w:r w:rsidRPr="00980795">
              <w:rPr>
                <w:sz w:val="16"/>
                <w:szCs w:val="16"/>
                <w:lang w:eastAsia="en-GB"/>
              </w:rPr>
              <w:t> </w:t>
            </w:r>
          </w:p>
        </w:tc>
      </w:tr>
      <w:tr w:rsidR="00645118" w:rsidRPr="00980795" w14:paraId="65DEC6E7" w14:textId="77777777" w:rsidTr="00FD7082">
        <w:trPr>
          <w:trHeight w:val="300"/>
        </w:trPr>
        <w:tc>
          <w:tcPr>
            <w:tcW w:w="2280" w:type="dxa"/>
            <w:tcBorders>
              <w:top w:val="nil"/>
              <w:left w:val="nil"/>
              <w:bottom w:val="nil"/>
              <w:right w:val="nil"/>
            </w:tcBorders>
            <w:noWrap/>
            <w:vAlign w:val="bottom"/>
            <w:hideMark/>
          </w:tcPr>
          <w:p w14:paraId="5BED2742" w14:textId="77777777" w:rsidR="00645118" w:rsidRPr="00980795" w:rsidRDefault="00645118" w:rsidP="00FD7082">
            <w:pPr>
              <w:jc w:val="both"/>
              <w:rPr>
                <w:sz w:val="16"/>
                <w:szCs w:val="16"/>
                <w:lang w:eastAsia="en-GB"/>
              </w:rPr>
            </w:pPr>
            <w:r w:rsidRPr="00980795">
              <w:rPr>
                <w:sz w:val="16"/>
                <w:szCs w:val="16"/>
                <w:lang w:eastAsia="en-GB"/>
              </w:rPr>
              <w:t>*significant at p &lt; 0.05</w:t>
            </w:r>
          </w:p>
        </w:tc>
        <w:tc>
          <w:tcPr>
            <w:tcW w:w="1390" w:type="dxa"/>
            <w:tcBorders>
              <w:top w:val="nil"/>
              <w:left w:val="nil"/>
              <w:bottom w:val="nil"/>
              <w:right w:val="nil"/>
            </w:tcBorders>
            <w:noWrap/>
            <w:vAlign w:val="bottom"/>
            <w:hideMark/>
          </w:tcPr>
          <w:p w14:paraId="34080151" w14:textId="77777777" w:rsidR="00645118" w:rsidRPr="00980795" w:rsidRDefault="00645118" w:rsidP="00FD7082">
            <w:pPr>
              <w:jc w:val="both"/>
              <w:rPr>
                <w:sz w:val="16"/>
                <w:szCs w:val="16"/>
                <w:lang w:eastAsia="en-GB"/>
              </w:rPr>
            </w:pPr>
          </w:p>
        </w:tc>
        <w:tc>
          <w:tcPr>
            <w:tcW w:w="1661" w:type="dxa"/>
            <w:tcBorders>
              <w:top w:val="nil"/>
              <w:left w:val="nil"/>
              <w:bottom w:val="nil"/>
              <w:right w:val="nil"/>
            </w:tcBorders>
            <w:noWrap/>
            <w:vAlign w:val="bottom"/>
            <w:hideMark/>
          </w:tcPr>
          <w:p w14:paraId="3227614F"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bottom"/>
            <w:hideMark/>
          </w:tcPr>
          <w:p w14:paraId="2BCCE838"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bottom"/>
            <w:hideMark/>
          </w:tcPr>
          <w:p w14:paraId="6EF581FC"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bottom"/>
            <w:hideMark/>
          </w:tcPr>
          <w:p w14:paraId="5B8891FD"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2155710D" w14:textId="77777777" w:rsidR="00645118" w:rsidRPr="00980795" w:rsidRDefault="00645118" w:rsidP="00FD7082">
            <w:pPr>
              <w:jc w:val="both"/>
              <w:rPr>
                <w:sz w:val="16"/>
                <w:szCs w:val="16"/>
                <w:lang w:eastAsia="en-GB"/>
              </w:rPr>
            </w:pPr>
          </w:p>
        </w:tc>
      </w:tr>
      <w:tr w:rsidR="00645118" w:rsidRPr="00980795" w14:paraId="58DA0B9D" w14:textId="77777777" w:rsidTr="00FD7082">
        <w:trPr>
          <w:trHeight w:val="315"/>
        </w:trPr>
        <w:tc>
          <w:tcPr>
            <w:tcW w:w="10300" w:type="dxa"/>
            <w:gridSpan w:val="7"/>
            <w:tcBorders>
              <w:top w:val="nil"/>
              <w:left w:val="nil"/>
              <w:bottom w:val="nil"/>
              <w:right w:val="nil"/>
            </w:tcBorders>
            <w:noWrap/>
            <w:vAlign w:val="bottom"/>
            <w:hideMark/>
          </w:tcPr>
          <w:p w14:paraId="2E817B30" w14:textId="77777777" w:rsidR="00645118" w:rsidRPr="00980795" w:rsidRDefault="00645118" w:rsidP="00FD7082">
            <w:pPr>
              <w:jc w:val="both"/>
              <w:rPr>
                <w:sz w:val="16"/>
                <w:szCs w:val="16"/>
                <w:lang w:eastAsia="en-GB"/>
              </w:rPr>
            </w:pPr>
            <w:r w:rsidRPr="00980795">
              <w:rPr>
                <w:sz w:val="16"/>
                <w:szCs w:val="16"/>
                <w:lang w:eastAsia="en-GB"/>
              </w:rPr>
              <w:t>Key: χ2 – Chi square value, RTA - Road Traffic Accident, RTA Rate of</w:t>
            </w:r>
            <w:r w:rsidRPr="00980795">
              <w:rPr>
                <w:sz w:val="16"/>
                <w:szCs w:val="16"/>
              </w:rPr>
              <w:t xml:space="preserve"> </w:t>
            </w:r>
            <w:r w:rsidRPr="00980795">
              <w:rPr>
                <w:bCs/>
                <w:sz w:val="16"/>
                <w:szCs w:val="16"/>
              </w:rPr>
              <w:t xml:space="preserve">0.00 - </w:t>
            </w:r>
            <w:r w:rsidRPr="00980795">
              <w:rPr>
                <w:sz w:val="16"/>
                <w:szCs w:val="16"/>
                <w:lang w:eastAsia="en-GB"/>
              </w:rPr>
              <w:t>No RTA in years of driving</w:t>
            </w:r>
          </w:p>
          <w:p w14:paraId="385FB029" w14:textId="77777777" w:rsidR="00645118" w:rsidRPr="00980795" w:rsidRDefault="00645118" w:rsidP="00FD7082">
            <w:pPr>
              <w:jc w:val="both"/>
              <w:rPr>
                <w:bCs/>
                <w:sz w:val="16"/>
                <w:szCs w:val="16"/>
              </w:rPr>
            </w:pPr>
            <w:r w:rsidRPr="00980795">
              <w:rPr>
                <w:sz w:val="16"/>
                <w:szCs w:val="16"/>
                <w:lang w:eastAsia="en-GB"/>
              </w:rPr>
              <w:t>RTA Rate of</w:t>
            </w:r>
            <w:r w:rsidRPr="00980795">
              <w:rPr>
                <w:bCs/>
                <w:sz w:val="16"/>
                <w:szCs w:val="16"/>
              </w:rPr>
              <w:t xml:space="preserve"> &gt;0.00 to 0.10 – RTA not more than once in 10 years of driving</w:t>
            </w:r>
          </w:p>
          <w:p w14:paraId="49F5F8EC" w14:textId="77777777" w:rsidR="00645118" w:rsidRPr="00980795" w:rsidRDefault="00645118" w:rsidP="00FD7082">
            <w:pPr>
              <w:jc w:val="both"/>
              <w:rPr>
                <w:sz w:val="16"/>
                <w:szCs w:val="16"/>
                <w:lang w:eastAsia="en-GB"/>
              </w:rPr>
            </w:pPr>
            <w:r w:rsidRPr="00980795">
              <w:rPr>
                <w:sz w:val="16"/>
                <w:szCs w:val="16"/>
                <w:lang w:eastAsia="en-GB"/>
              </w:rPr>
              <w:t>RTA Rate of</w:t>
            </w:r>
            <w:r w:rsidRPr="00980795">
              <w:rPr>
                <w:bCs/>
                <w:sz w:val="16"/>
                <w:szCs w:val="16"/>
              </w:rPr>
              <w:t xml:space="preserve"> &gt;0.10 – RTA more than once in 10 years of driving</w:t>
            </w:r>
          </w:p>
          <w:p w14:paraId="7C5B6261" w14:textId="77777777" w:rsidR="00645118" w:rsidRPr="00980795" w:rsidRDefault="00645118" w:rsidP="00FD7082">
            <w:pPr>
              <w:jc w:val="both"/>
              <w:rPr>
                <w:sz w:val="16"/>
                <w:szCs w:val="16"/>
                <w:lang w:eastAsia="en-GB"/>
              </w:rPr>
            </w:pPr>
          </w:p>
        </w:tc>
      </w:tr>
    </w:tbl>
    <w:p w14:paraId="16BD17AB" w14:textId="77777777" w:rsidR="00820CCC" w:rsidRDefault="00820CCC" w:rsidP="00CF22A7">
      <w:pPr>
        <w:pStyle w:val="Body"/>
        <w:spacing w:after="0"/>
        <w:rPr>
          <w:rFonts w:ascii="Arial" w:hAnsi="Arial" w:cs="Arial"/>
          <w:sz w:val="22"/>
          <w:szCs w:val="22"/>
        </w:rPr>
      </w:pPr>
    </w:p>
    <w:p w14:paraId="47918135" w14:textId="77777777" w:rsidR="00820CCC" w:rsidRDefault="00820CCC" w:rsidP="00CF22A7">
      <w:pPr>
        <w:pStyle w:val="Body"/>
        <w:spacing w:after="0"/>
        <w:rPr>
          <w:rFonts w:ascii="Arial" w:hAnsi="Arial" w:cs="Arial"/>
          <w:sz w:val="22"/>
          <w:szCs w:val="22"/>
        </w:rPr>
      </w:pPr>
    </w:p>
    <w:p w14:paraId="60E38890" w14:textId="77777777" w:rsidR="009E1949" w:rsidRPr="009E1949" w:rsidRDefault="009E1949" w:rsidP="009E1949">
      <w:pPr>
        <w:pStyle w:val="Heading3"/>
        <w:spacing w:line="360" w:lineRule="auto"/>
        <w:jc w:val="both"/>
        <w:rPr>
          <w:rFonts w:ascii="Arial" w:hAnsi="Arial" w:cs="Arial"/>
          <w:color w:val="auto"/>
          <w:sz w:val="22"/>
          <w:szCs w:val="22"/>
        </w:rPr>
      </w:pPr>
    </w:p>
    <w:p w14:paraId="13FADA80" w14:textId="77777777" w:rsidR="009E1949" w:rsidRPr="009E1949" w:rsidRDefault="009E1949" w:rsidP="009E1949">
      <w:pPr>
        <w:spacing w:line="480" w:lineRule="auto"/>
        <w:jc w:val="both"/>
        <w:rPr>
          <w:rFonts w:ascii="Arial" w:eastAsia="Calibri" w:hAnsi="Arial" w:cs="Arial"/>
          <w:sz w:val="22"/>
          <w:szCs w:val="22"/>
        </w:rPr>
      </w:pPr>
      <w:r w:rsidRPr="009E1949">
        <w:rPr>
          <w:rFonts w:ascii="Arial" w:hAnsi="Arial" w:cs="Arial"/>
          <w:b/>
          <w:sz w:val="22"/>
          <w:szCs w:val="22"/>
        </w:rPr>
        <w:t>Table 6</w:t>
      </w:r>
      <w:r w:rsidRPr="009E1949">
        <w:rPr>
          <w:rFonts w:ascii="Arial" w:hAnsi="Arial" w:cs="Arial"/>
          <w:sz w:val="22"/>
          <w:szCs w:val="22"/>
        </w:rPr>
        <w:t xml:space="preserve"> shows that </w:t>
      </w:r>
      <w:r w:rsidRPr="009E1949">
        <w:rPr>
          <w:rFonts w:ascii="Arial" w:eastAsia="Calibri" w:hAnsi="Arial" w:cs="Arial"/>
          <w:sz w:val="22"/>
          <w:szCs w:val="22"/>
        </w:rPr>
        <w:t xml:space="preserve">abnormal visual acuity as defined by WHO was significantly associated with RTA Rate (OR=2.69, 95% CI: </w:t>
      </w:r>
      <w:r w:rsidRPr="009E1949">
        <w:rPr>
          <w:rFonts w:ascii="Arial" w:hAnsi="Arial" w:cs="Arial"/>
          <w:sz w:val="22"/>
          <w:szCs w:val="22"/>
          <w:lang w:eastAsia="en-GB"/>
        </w:rPr>
        <w:t>1.33 - 5.49, p=0.006</w:t>
      </w:r>
      <w:r w:rsidRPr="009E1949">
        <w:rPr>
          <w:rFonts w:ascii="Arial" w:eastAsia="Calibri" w:hAnsi="Arial" w:cs="Arial"/>
          <w:sz w:val="22"/>
          <w:szCs w:val="22"/>
        </w:rPr>
        <w:t xml:space="preserve">), as was abnormal visual acuity as defined by FRSC (OR=3.44, 95% CI: </w:t>
      </w:r>
      <w:r w:rsidRPr="009E1949">
        <w:rPr>
          <w:rFonts w:ascii="Arial" w:hAnsi="Arial" w:cs="Arial"/>
          <w:sz w:val="22"/>
          <w:szCs w:val="22"/>
          <w:lang w:eastAsia="en-GB"/>
        </w:rPr>
        <w:t>1.76 - 6.73, p=0.000</w:t>
      </w:r>
      <w:r w:rsidRPr="009E1949">
        <w:rPr>
          <w:rFonts w:ascii="Arial" w:eastAsia="Calibri" w:hAnsi="Arial" w:cs="Arial"/>
          <w:sz w:val="22"/>
          <w:szCs w:val="22"/>
        </w:rPr>
        <w:t xml:space="preserve">), abnormal contrast sensitivity (OR=4.48, 95% CI: </w:t>
      </w:r>
      <w:r w:rsidRPr="009E1949">
        <w:rPr>
          <w:rFonts w:ascii="Arial" w:hAnsi="Arial" w:cs="Arial"/>
          <w:sz w:val="22"/>
          <w:szCs w:val="22"/>
          <w:lang w:eastAsia="en-GB"/>
        </w:rPr>
        <w:t>1.44 - 13.96, p=0.010</w:t>
      </w:r>
      <w:r w:rsidRPr="009E1949">
        <w:rPr>
          <w:rFonts w:ascii="Arial" w:eastAsia="Calibri" w:hAnsi="Arial" w:cs="Arial"/>
          <w:sz w:val="22"/>
          <w:szCs w:val="22"/>
        </w:rPr>
        <w:t xml:space="preserve">) and abnormal stereoacuity (OR=3.77, 95% CI: </w:t>
      </w:r>
      <w:r w:rsidRPr="009E1949">
        <w:rPr>
          <w:rFonts w:ascii="Arial" w:hAnsi="Arial" w:cs="Arial"/>
          <w:sz w:val="22"/>
          <w:szCs w:val="22"/>
          <w:lang w:eastAsia="en-GB"/>
        </w:rPr>
        <w:t>2.16 - 6.60, p=0.000</w:t>
      </w:r>
      <w:r w:rsidRPr="009E1949">
        <w:rPr>
          <w:rFonts w:ascii="Arial" w:eastAsia="Calibri" w:hAnsi="Arial" w:cs="Arial"/>
          <w:sz w:val="22"/>
          <w:szCs w:val="22"/>
        </w:rPr>
        <w:t xml:space="preserve">). No significant association existed between abnormal visual field and RTA Rate (OR=3.05, 95% CI: </w:t>
      </w:r>
      <w:r w:rsidRPr="009E1949">
        <w:rPr>
          <w:rFonts w:ascii="Arial" w:hAnsi="Arial" w:cs="Arial"/>
          <w:sz w:val="22"/>
          <w:szCs w:val="22"/>
          <w:lang w:eastAsia="en-GB"/>
        </w:rPr>
        <w:t>0.75 - 12.37, p=0.119</w:t>
      </w:r>
      <w:r w:rsidRPr="009E1949">
        <w:rPr>
          <w:rFonts w:ascii="Arial" w:eastAsia="Calibri" w:hAnsi="Arial" w:cs="Arial"/>
          <w:sz w:val="22"/>
          <w:szCs w:val="22"/>
        </w:rPr>
        <w:t xml:space="preserve">). Drivers with abnormal visual acuity as </w:t>
      </w:r>
      <w:r w:rsidRPr="009E1949">
        <w:rPr>
          <w:rFonts w:ascii="Arial" w:eastAsia="Calibri" w:hAnsi="Arial" w:cs="Arial"/>
          <w:sz w:val="22"/>
          <w:szCs w:val="22"/>
        </w:rPr>
        <w:lastRenderedPageBreak/>
        <w:t xml:space="preserve">defined by WHO and FRSC, were 2.7 times and 3.4 times more likely to have RTA per year of driving than drivers with normal visual acuity respectively. </w:t>
      </w:r>
      <w:bookmarkStart w:id="10" w:name="_Hlk130813875"/>
      <w:r w:rsidRPr="009E1949">
        <w:rPr>
          <w:rFonts w:ascii="Arial" w:eastAsia="Calibri" w:hAnsi="Arial" w:cs="Arial"/>
          <w:sz w:val="22"/>
          <w:szCs w:val="22"/>
        </w:rPr>
        <w:t xml:space="preserve">Drivers with abnormal contrast sensitivity </w:t>
      </w:r>
      <w:proofErr w:type="gramStart"/>
      <w:r w:rsidRPr="009E1949">
        <w:rPr>
          <w:rFonts w:ascii="Arial" w:eastAsia="Calibri" w:hAnsi="Arial" w:cs="Arial"/>
          <w:sz w:val="22"/>
          <w:szCs w:val="22"/>
        </w:rPr>
        <w:t>and  stereoacuity</w:t>
      </w:r>
      <w:proofErr w:type="gramEnd"/>
      <w:r w:rsidRPr="009E1949">
        <w:rPr>
          <w:rFonts w:ascii="Arial" w:eastAsia="Calibri" w:hAnsi="Arial" w:cs="Arial"/>
          <w:sz w:val="22"/>
          <w:szCs w:val="22"/>
        </w:rPr>
        <w:t xml:space="preserve"> were 4.5 times and 3.8 times more likely to have RTA per year of driving than CVDs with normal contrast sensitivity and stereoacuity</w:t>
      </w:r>
      <w:bookmarkEnd w:id="10"/>
      <w:r w:rsidRPr="009E1949">
        <w:rPr>
          <w:rFonts w:ascii="Arial" w:eastAsia="Calibri" w:hAnsi="Arial" w:cs="Arial"/>
          <w:sz w:val="22"/>
          <w:szCs w:val="22"/>
        </w:rPr>
        <w:t xml:space="preserve"> respectively.</w:t>
      </w:r>
    </w:p>
    <w:p w14:paraId="7797C759" w14:textId="672D630A" w:rsidR="00820CCC" w:rsidRDefault="009E1949" w:rsidP="005229CC">
      <w:pPr>
        <w:spacing w:line="480" w:lineRule="auto"/>
        <w:jc w:val="both"/>
        <w:rPr>
          <w:rFonts w:ascii="Arial" w:eastAsia="Calibri" w:hAnsi="Arial" w:cs="Arial"/>
          <w:sz w:val="22"/>
          <w:szCs w:val="22"/>
        </w:rPr>
      </w:pPr>
      <w:r w:rsidRPr="009E1949">
        <w:rPr>
          <w:rFonts w:ascii="Arial" w:eastAsia="Calibri" w:hAnsi="Arial" w:cs="Arial"/>
          <w:sz w:val="22"/>
          <w:szCs w:val="22"/>
        </w:rPr>
        <w:t xml:space="preserve">Table 6 also showed that after multiple regression analyses, drivers </w:t>
      </w:r>
      <w:proofErr w:type="gramStart"/>
      <w:r w:rsidRPr="009E1949">
        <w:rPr>
          <w:rFonts w:ascii="Arial" w:eastAsia="Calibri" w:hAnsi="Arial" w:cs="Arial"/>
          <w:sz w:val="22"/>
          <w:szCs w:val="22"/>
        </w:rPr>
        <w:t>with  abnormal</w:t>
      </w:r>
      <w:proofErr w:type="gramEnd"/>
      <w:r w:rsidRPr="009E1949">
        <w:rPr>
          <w:rFonts w:ascii="Arial" w:eastAsia="Calibri" w:hAnsi="Arial" w:cs="Arial"/>
          <w:sz w:val="22"/>
          <w:szCs w:val="22"/>
        </w:rPr>
        <w:t xml:space="preserve"> visual acuity as defined by FRSC, and abnormal stereoacuity independently had higher odds for RTA rate [(OR=12.47, 95% CI: </w:t>
      </w:r>
      <w:r w:rsidRPr="009E1949">
        <w:rPr>
          <w:rFonts w:ascii="Arial" w:hAnsi="Arial" w:cs="Arial"/>
          <w:sz w:val="22"/>
          <w:szCs w:val="22"/>
          <w:lang w:eastAsia="en-GB"/>
        </w:rPr>
        <w:t>1.05 - 147.51, p=0.045] and</w:t>
      </w:r>
      <w:r w:rsidRPr="009E1949">
        <w:rPr>
          <w:rFonts w:ascii="Arial" w:eastAsia="Calibri" w:hAnsi="Arial" w:cs="Arial"/>
          <w:sz w:val="22"/>
          <w:szCs w:val="22"/>
        </w:rPr>
        <w:t xml:space="preserve"> (OR=2.37, 95% CI: </w:t>
      </w:r>
      <w:r w:rsidRPr="009E1949">
        <w:rPr>
          <w:rFonts w:ascii="Arial" w:hAnsi="Arial" w:cs="Arial"/>
          <w:sz w:val="22"/>
          <w:szCs w:val="22"/>
          <w:lang w:eastAsia="en-GB"/>
        </w:rPr>
        <w:t>1.18 - 4.76, p=0.016</w:t>
      </w:r>
      <w:r w:rsidRPr="009E1949">
        <w:rPr>
          <w:rFonts w:ascii="Arial" w:eastAsia="Calibri" w:hAnsi="Arial" w:cs="Arial"/>
          <w:sz w:val="22"/>
          <w:szCs w:val="22"/>
        </w:rPr>
        <w:t>) respectively</w:t>
      </w:r>
      <w:r w:rsidRPr="009E1949">
        <w:rPr>
          <w:rFonts w:ascii="Arial" w:hAnsi="Arial" w:cs="Arial"/>
          <w:sz w:val="22"/>
          <w:szCs w:val="22"/>
          <w:lang w:eastAsia="en-GB"/>
        </w:rPr>
        <w:t>]</w:t>
      </w:r>
      <w:r w:rsidRPr="009E1949">
        <w:rPr>
          <w:rFonts w:ascii="Arial" w:eastAsia="Calibri" w:hAnsi="Arial" w:cs="Arial"/>
          <w:sz w:val="22"/>
          <w:szCs w:val="22"/>
        </w:rPr>
        <w:t xml:space="preserve">. Also, age group 18 - 40 years was positively associated with RTA Rate (OR=2.60, 95% CI: </w:t>
      </w:r>
      <w:r w:rsidRPr="009E1949">
        <w:rPr>
          <w:rFonts w:ascii="Arial" w:hAnsi="Arial" w:cs="Arial"/>
          <w:sz w:val="22"/>
          <w:szCs w:val="22"/>
          <w:lang w:eastAsia="en-GB"/>
        </w:rPr>
        <w:t>1.12 - 6.04, p=0.026</w:t>
      </w:r>
      <w:r w:rsidRPr="009E1949">
        <w:rPr>
          <w:rFonts w:ascii="Arial" w:eastAsia="Calibri" w:hAnsi="Arial" w:cs="Arial"/>
          <w:sz w:val="22"/>
          <w:szCs w:val="22"/>
        </w:rPr>
        <w:t xml:space="preserve">) while driving for 1 – 10 years was negatively associated with RTA rate (OR=0.03, 95% CI: </w:t>
      </w:r>
      <w:r w:rsidRPr="009E1949">
        <w:rPr>
          <w:rFonts w:ascii="Arial" w:hAnsi="Arial" w:cs="Arial"/>
          <w:sz w:val="22"/>
          <w:szCs w:val="22"/>
          <w:lang w:eastAsia="en-GB"/>
        </w:rPr>
        <w:t>0.01 - 0.19, p=0.000</w:t>
      </w:r>
      <w:r w:rsidRPr="009E1949">
        <w:rPr>
          <w:rFonts w:ascii="Arial" w:eastAsia="Calibri" w:hAnsi="Arial" w:cs="Arial"/>
          <w:sz w:val="22"/>
          <w:szCs w:val="22"/>
        </w:rPr>
        <w:t xml:space="preserve">). Abnormal visual acuity as defined by FRSC showed 12.5 times higher likelihood of RTA per year of driving than CVDs with normal visual acuity whereas, abnormal stereoacuity showed 2.4 times higher likelihood of RTA per year of driving than drivers with normal stereoacuity.  </w:t>
      </w:r>
      <w:bookmarkStart w:id="11" w:name="_Hlk130814393"/>
      <w:r w:rsidRPr="009E1949">
        <w:rPr>
          <w:rFonts w:ascii="Arial" w:eastAsia="Calibri" w:hAnsi="Arial" w:cs="Arial"/>
          <w:sz w:val="22"/>
          <w:szCs w:val="22"/>
        </w:rPr>
        <w:t xml:space="preserve">Drivers who were 18-40 years old showed 2.6 times higher likelihood of having RTA per year of driving (OR=2.6, 95% CI: </w:t>
      </w:r>
      <w:r w:rsidRPr="009E1949">
        <w:rPr>
          <w:rFonts w:ascii="Arial" w:hAnsi="Arial" w:cs="Arial"/>
          <w:sz w:val="22"/>
          <w:szCs w:val="22"/>
          <w:lang w:eastAsia="en-GB"/>
        </w:rPr>
        <w:t>1.1 - 6.0, p=0.026</w:t>
      </w:r>
      <w:r w:rsidRPr="009E1949">
        <w:rPr>
          <w:rFonts w:ascii="Arial" w:eastAsia="Calibri" w:hAnsi="Arial" w:cs="Arial"/>
          <w:sz w:val="22"/>
          <w:szCs w:val="22"/>
        </w:rPr>
        <w:t xml:space="preserve">) than those above 60 years. Also, CVDs driving for 1-10 years showed 97% lesser likelihood of having RTA per year of driving (OR= </w:t>
      </w:r>
      <w:r w:rsidRPr="009E1949">
        <w:rPr>
          <w:rFonts w:ascii="Arial" w:hAnsi="Arial" w:cs="Arial"/>
          <w:sz w:val="22"/>
          <w:szCs w:val="22"/>
          <w:lang w:eastAsia="en-GB"/>
        </w:rPr>
        <w:t>0.03</w:t>
      </w:r>
      <w:r w:rsidRPr="009E1949">
        <w:rPr>
          <w:rFonts w:ascii="Arial" w:eastAsia="Calibri" w:hAnsi="Arial" w:cs="Arial"/>
          <w:sz w:val="22"/>
          <w:szCs w:val="22"/>
        </w:rPr>
        <w:t xml:space="preserve">, 95% CI: </w:t>
      </w:r>
      <w:r w:rsidRPr="009E1949">
        <w:rPr>
          <w:rFonts w:ascii="Arial" w:hAnsi="Arial" w:cs="Arial"/>
          <w:sz w:val="22"/>
          <w:szCs w:val="22"/>
          <w:lang w:eastAsia="en-GB"/>
        </w:rPr>
        <w:t xml:space="preserve">0.01 - 0.19, </w:t>
      </w:r>
      <w:bookmarkStart w:id="12" w:name="_Hlk130591098"/>
      <w:r w:rsidRPr="009E1949">
        <w:rPr>
          <w:rFonts w:ascii="Arial" w:hAnsi="Arial" w:cs="Arial"/>
          <w:sz w:val="22"/>
          <w:szCs w:val="22"/>
          <w:lang w:eastAsia="en-GB"/>
        </w:rPr>
        <w:t>p=0.000</w:t>
      </w:r>
      <w:bookmarkEnd w:id="12"/>
      <w:r w:rsidRPr="009E1949">
        <w:rPr>
          <w:rFonts w:ascii="Arial" w:eastAsia="Calibri" w:hAnsi="Arial" w:cs="Arial"/>
          <w:sz w:val="22"/>
          <w:szCs w:val="22"/>
        </w:rPr>
        <w:t>) than CVDs driving for 31 – 40 years</w:t>
      </w:r>
      <w:bookmarkEnd w:id="11"/>
      <w:r w:rsidRPr="009E1949">
        <w:rPr>
          <w:rFonts w:ascii="Arial" w:eastAsia="Calibri" w:hAnsi="Arial" w:cs="Arial"/>
          <w:sz w:val="22"/>
          <w:szCs w:val="22"/>
        </w:rPr>
        <w:t xml:space="preserve"> (</w:t>
      </w:r>
      <w:r w:rsidRPr="009E1949">
        <w:rPr>
          <w:rFonts w:ascii="Arial" w:hAnsi="Arial" w:cs="Arial"/>
          <w:b/>
          <w:sz w:val="22"/>
          <w:szCs w:val="22"/>
        </w:rPr>
        <w:t>Table 6).</w:t>
      </w:r>
      <w:r w:rsidRPr="009E1949">
        <w:rPr>
          <w:rFonts w:ascii="Arial" w:eastAsia="Calibri" w:hAnsi="Arial" w:cs="Arial"/>
          <w:sz w:val="22"/>
          <w:szCs w:val="22"/>
        </w:rPr>
        <w:t xml:space="preserve"> </w:t>
      </w:r>
    </w:p>
    <w:p w14:paraId="4CAF07EA" w14:textId="77777777" w:rsidR="005229CC" w:rsidRDefault="005229CC" w:rsidP="005229CC">
      <w:pPr>
        <w:spacing w:line="480" w:lineRule="auto"/>
        <w:jc w:val="both"/>
        <w:rPr>
          <w:rFonts w:ascii="Arial" w:eastAsia="Calibri" w:hAnsi="Arial" w:cs="Arial"/>
          <w:sz w:val="22"/>
          <w:szCs w:val="22"/>
        </w:rPr>
      </w:pPr>
    </w:p>
    <w:p w14:paraId="40810524" w14:textId="77777777" w:rsidR="005229CC" w:rsidRDefault="005229CC" w:rsidP="005229CC">
      <w:pPr>
        <w:spacing w:line="480" w:lineRule="auto"/>
        <w:jc w:val="both"/>
        <w:rPr>
          <w:rFonts w:ascii="Arial" w:eastAsia="Calibri" w:hAnsi="Arial" w:cs="Arial"/>
          <w:sz w:val="22"/>
          <w:szCs w:val="22"/>
        </w:rPr>
      </w:pPr>
    </w:p>
    <w:p w14:paraId="457B8DA2" w14:textId="77777777" w:rsidR="005229CC" w:rsidRDefault="005229CC" w:rsidP="005229CC">
      <w:pPr>
        <w:spacing w:line="480" w:lineRule="auto"/>
        <w:jc w:val="both"/>
        <w:rPr>
          <w:rFonts w:ascii="Arial" w:eastAsia="Calibri" w:hAnsi="Arial" w:cs="Arial"/>
          <w:sz w:val="22"/>
          <w:szCs w:val="22"/>
        </w:rPr>
      </w:pPr>
    </w:p>
    <w:p w14:paraId="702E879C" w14:textId="77777777" w:rsidR="005229CC" w:rsidRDefault="005229CC" w:rsidP="005229CC">
      <w:pPr>
        <w:spacing w:line="480" w:lineRule="auto"/>
        <w:jc w:val="both"/>
        <w:rPr>
          <w:rFonts w:ascii="Arial" w:eastAsia="Calibri" w:hAnsi="Arial" w:cs="Arial"/>
          <w:sz w:val="22"/>
          <w:szCs w:val="22"/>
        </w:rPr>
      </w:pPr>
    </w:p>
    <w:p w14:paraId="0584BA5E" w14:textId="77777777" w:rsidR="005229CC" w:rsidRDefault="005229CC" w:rsidP="005229CC">
      <w:pPr>
        <w:spacing w:line="480" w:lineRule="auto"/>
        <w:jc w:val="both"/>
        <w:rPr>
          <w:rFonts w:ascii="Arial" w:eastAsia="Calibri" w:hAnsi="Arial" w:cs="Arial"/>
          <w:sz w:val="22"/>
          <w:szCs w:val="22"/>
        </w:rPr>
      </w:pPr>
    </w:p>
    <w:p w14:paraId="04A88D09" w14:textId="77777777" w:rsidR="005229CC" w:rsidRDefault="005229CC" w:rsidP="005229CC">
      <w:pPr>
        <w:spacing w:line="480" w:lineRule="auto"/>
        <w:jc w:val="both"/>
        <w:rPr>
          <w:rFonts w:ascii="Arial" w:eastAsia="Calibri" w:hAnsi="Arial" w:cs="Arial"/>
          <w:sz w:val="22"/>
          <w:szCs w:val="22"/>
        </w:rPr>
      </w:pPr>
    </w:p>
    <w:p w14:paraId="5141D922" w14:textId="77777777" w:rsidR="005229CC" w:rsidRDefault="005229CC" w:rsidP="005229CC">
      <w:pPr>
        <w:spacing w:line="480" w:lineRule="auto"/>
        <w:jc w:val="both"/>
        <w:rPr>
          <w:rFonts w:ascii="Arial" w:eastAsia="Calibri" w:hAnsi="Arial" w:cs="Arial"/>
          <w:sz w:val="22"/>
          <w:szCs w:val="22"/>
        </w:rPr>
      </w:pPr>
    </w:p>
    <w:p w14:paraId="6EBD6E52" w14:textId="77777777" w:rsidR="005229CC" w:rsidRDefault="005229CC" w:rsidP="005229CC">
      <w:pPr>
        <w:spacing w:line="480" w:lineRule="auto"/>
        <w:jc w:val="both"/>
        <w:rPr>
          <w:rFonts w:ascii="Arial" w:eastAsia="Calibri" w:hAnsi="Arial" w:cs="Arial"/>
          <w:sz w:val="22"/>
          <w:szCs w:val="22"/>
        </w:rPr>
      </w:pPr>
    </w:p>
    <w:p w14:paraId="0F21D360" w14:textId="77777777" w:rsidR="005229CC" w:rsidRDefault="005229CC" w:rsidP="005229CC">
      <w:pPr>
        <w:spacing w:line="480" w:lineRule="auto"/>
        <w:jc w:val="both"/>
        <w:rPr>
          <w:rFonts w:ascii="Arial" w:eastAsia="Calibri" w:hAnsi="Arial" w:cs="Arial"/>
          <w:sz w:val="22"/>
          <w:szCs w:val="22"/>
        </w:rPr>
      </w:pPr>
    </w:p>
    <w:p w14:paraId="43BB52A4" w14:textId="77777777" w:rsidR="005229CC" w:rsidRDefault="005229CC" w:rsidP="005229CC">
      <w:pPr>
        <w:spacing w:line="480" w:lineRule="auto"/>
        <w:jc w:val="both"/>
        <w:rPr>
          <w:rFonts w:ascii="Arial" w:eastAsia="Calibri" w:hAnsi="Arial" w:cs="Arial"/>
          <w:sz w:val="22"/>
          <w:szCs w:val="22"/>
        </w:rPr>
      </w:pPr>
    </w:p>
    <w:p w14:paraId="2A8437F2" w14:textId="77777777" w:rsidR="005229CC" w:rsidRDefault="005229CC" w:rsidP="005229CC">
      <w:pPr>
        <w:spacing w:line="480" w:lineRule="auto"/>
        <w:jc w:val="both"/>
        <w:rPr>
          <w:rFonts w:ascii="Arial" w:eastAsia="Calibri" w:hAnsi="Arial" w:cs="Arial"/>
          <w:sz w:val="22"/>
          <w:szCs w:val="22"/>
        </w:rPr>
      </w:pPr>
    </w:p>
    <w:p w14:paraId="64D3A4CA" w14:textId="77777777" w:rsidR="00487A9A" w:rsidRPr="005229CC" w:rsidRDefault="00487A9A" w:rsidP="005229CC">
      <w:pPr>
        <w:spacing w:line="480" w:lineRule="auto"/>
        <w:jc w:val="both"/>
        <w:rPr>
          <w:rFonts w:ascii="Arial" w:eastAsia="Calibri" w:hAnsi="Arial" w:cs="Arial"/>
          <w:sz w:val="22"/>
          <w:szCs w:val="22"/>
        </w:rPr>
      </w:pPr>
    </w:p>
    <w:p w14:paraId="4798AD05" w14:textId="77777777" w:rsidR="00820CCC" w:rsidRDefault="00820CCC" w:rsidP="00CF22A7">
      <w:pPr>
        <w:pStyle w:val="Body"/>
        <w:spacing w:after="0"/>
        <w:rPr>
          <w:rFonts w:ascii="Arial" w:hAnsi="Arial" w:cs="Arial"/>
          <w:sz w:val="22"/>
          <w:szCs w:val="22"/>
        </w:rPr>
      </w:pPr>
    </w:p>
    <w:p w14:paraId="4CCC430C" w14:textId="77777777" w:rsidR="00937836" w:rsidRPr="009575F3" w:rsidRDefault="00937836" w:rsidP="00937836">
      <w:pPr>
        <w:jc w:val="both"/>
        <w:rPr>
          <w:rFonts w:eastAsia="Calibri"/>
          <w:szCs w:val="24"/>
        </w:rPr>
      </w:pPr>
      <w:r w:rsidRPr="009575F3">
        <w:rPr>
          <w:b/>
          <w:szCs w:val="24"/>
        </w:rPr>
        <w:t>Table 6: RTA Rate and Strength of Association with Visual Function Parameters and other Confounders (Simple and Multiple Logistic Regression)</w:t>
      </w:r>
    </w:p>
    <w:tbl>
      <w:tblPr>
        <w:tblW w:w="10328" w:type="dxa"/>
        <w:tblLook w:val="04A0" w:firstRow="1" w:lastRow="0" w:firstColumn="1" w:lastColumn="0" w:noHBand="0" w:noVBand="1"/>
      </w:tblPr>
      <w:tblGrid>
        <w:gridCol w:w="1681"/>
        <w:gridCol w:w="1118"/>
        <w:gridCol w:w="1029"/>
        <w:gridCol w:w="567"/>
        <w:gridCol w:w="1295"/>
        <w:gridCol w:w="771"/>
        <w:gridCol w:w="1070"/>
        <w:gridCol w:w="711"/>
        <w:gridCol w:w="1285"/>
        <w:gridCol w:w="801"/>
      </w:tblGrid>
      <w:tr w:rsidR="00022330" w:rsidRPr="009575F3" w14:paraId="71663CF7" w14:textId="77777777" w:rsidTr="00FD7082">
        <w:trPr>
          <w:trHeight w:val="1110"/>
        </w:trPr>
        <w:tc>
          <w:tcPr>
            <w:tcW w:w="1681" w:type="dxa"/>
            <w:tcBorders>
              <w:top w:val="single" w:sz="8" w:space="0" w:color="auto"/>
              <w:left w:val="nil"/>
              <w:bottom w:val="nil"/>
              <w:right w:val="nil"/>
            </w:tcBorders>
            <w:noWrap/>
            <w:vAlign w:val="center"/>
            <w:hideMark/>
          </w:tcPr>
          <w:p w14:paraId="4E2B0FB8" w14:textId="77777777" w:rsidR="00022330" w:rsidRPr="009575F3" w:rsidRDefault="00022330" w:rsidP="00FD7082">
            <w:pPr>
              <w:jc w:val="both"/>
              <w:rPr>
                <w:b/>
                <w:bCs/>
                <w:sz w:val="16"/>
                <w:szCs w:val="16"/>
                <w:lang w:eastAsia="en-GB"/>
              </w:rPr>
            </w:pPr>
            <w:r w:rsidRPr="009575F3">
              <w:rPr>
                <w:b/>
                <w:bCs/>
                <w:sz w:val="16"/>
                <w:szCs w:val="16"/>
                <w:lang w:eastAsia="en-GB"/>
              </w:rPr>
              <w:t>VARIABLE</w:t>
            </w:r>
          </w:p>
        </w:tc>
        <w:tc>
          <w:tcPr>
            <w:tcW w:w="1118" w:type="dxa"/>
            <w:tcBorders>
              <w:top w:val="single" w:sz="8" w:space="0" w:color="auto"/>
              <w:left w:val="nil"/>
              <w:bottom w:val="nil"/>
              <w:right w:val="nil"/>
            </w:tcBorders>
            <w:vAlign w:val="center"/>
            <w:hideMark/>
          </w:tcPr>
          <w:p w14:paraId="6506E3BA" w14:textId="77777777" w:rsidR="00022330" w:rsidRPr="009575F3" w:rsidRDefault="00022330" w:rsidP="00FD7082">
            <w:pPr>
              <w:jc w:val="both"/>
              <w:rPr>
                <w:b/>
                <w:bCs/>
                <w:sz w:val="16"/>
                <w:szCs w:val="16"/>
                <w:lang w:eastAsia="en-GB"/>
              </w:rPr>
            </w:pPr>
            <w:r w:rsidRPr="009575F3">
              <w:rPr>
                <w:b/>
                <w:bCs/>
                <w:sz w:val="16"/>
                <w:szCs w:val="16"/>
                <w:lang w:eastAsia="en-GB"/>
              </w:rPr>
              <w:t>RTA RATE</w:t>
            </w:r>
            <w:r w:rsidRPr="009575F3">
              <w:rPr>
                <w:b/>
                <w:bCs/>
                <w:sz w:val="16"/>
                <w:szCs w:val="16"/>
                <w:lang w:eastAsia="en-GB"/>
              </w:rPr>
              <w:br/>
              <w:t>(&gt;0.00 per year of driving)</w:t>
            </w:r>
          </w:p>
        </w:tc>
        <w:tc>
          <w:tcPr>
            <w:tcW w:w="3662" w:type="dxa"/>
            <w:gridSpan w:val="4"/>
            <w:tcBorders>
              <w:top w:val="single" w:sz="8" w:space="0" w:color="auto"/>
              <w:left w:val="nil"/>
              <w:bottom w:val="single" w:sz="4" w:space="0" w:color="auto"/>
              <w:right w:val="nil"/>
            </w:tcBorders>
            <w:noWrap/>
            <w:vAlign w:val="center"/>
            <w:hideMark/>
          </w:tcPr>
          <w:p w14:paraId="545B4743" w14:textId="77777777" w:rsidR="00022330" w:rsidRPr="009575F3" w:rsidRDefault="00022330" w:rsidP="00FD7082">
            <w:pPr>
              <w:jc w:val="both"/>
              <w:rPr>
                <w:b/>
                <w:bCs/>
                <w:sz w:val="16"/>
                <w:szCs w:val="16"/>
                <w:lang w:eastAsia="en-GB"/>
              </w:rPr>
            </w:pPr>
            <w:r w:rsidRPr="009575F3">
              <w:rPr>
                <w:b/>
                <w:bCs/>
                <w:sz w:val="16"/>
                <w:szCs w:val="16"/>
                <w:lang w:eastAsia="en-GB"/>
              </w:rPr>
              <w:t>SIMPLE LOGISTIC REGRESSION</w:t>
            </w:r>
          </w:p>
        </w:tc>
        <w:tc>
          <w:tcPr>
            <w:tcW w:w="3867" w:type="dxa"/>
            <w:gridSpan w:val="4"/>
            <w:tcBorders>
              <w:top w:val="single" w:sz="8" w:space="0" w:color="auto"/>
              <w:left w:val="nil"/>
              <w:bottom w:val="single" w:sz="4" w:space="0" w:color="auto"/>
              <w:right w:val="nil"/>
            </w:tcBorders>
            <w:noWrap/>
            <w:vAlign w:val="center"/>
            <w:hideMark/>
          </w:tcPr>
          <w:p w14:paraId="4CC9B65F" w14:textId="77777777" w:rsidR="00022330" w:rsidRPr="009575F3" w:rsidRDefault="00022330" w:rsidP="00FD7082">
            <w:pPr>
              <w:jc w:val="both"/>
              <w:rPr>
                <w:b/>
                <w:bCs/>
                <w:sz w:val="16"/>
                <w:szCs w:val="16"/>
                <w:lang w:eastAsia="en-GB"/>
              </w:rPr>
            </w:pPr>
            <w:r w:rsidRPr="009575F3">
              <w:rPr>
                <w:b/>
                <w:bCs/>
                <w:sz w:val="16"/>
                <w:szCs w:val="16"/>
                <w:lang w:eastAsia="en-GB"/>
              </w:rPr>
              <w:t>MULTIPLE LOGISTIC REGRESSION</w:t>
            </w:r>
          </w:p>
        </w:tc>
      </w:tr>
      <w:tr w:rsidR="00022330" w:rsidRPr="009575F3" w14:paraId="4C326C1E" w14:textId="77777777" w:rsidTr="00FD7082">
        <w:trPr>
          <w:trHeight w:val="510"/>
        </w:trPr>
        <w:tc>
          <w:tcPr>
            <w:tcW w:w="1681" w:type="dxa"/>
            <w:tcBorders>
              <w:top w:val="single" w:sz="4" w:space="0" w:color="auto"/>
              <w:left w:val="nil"/>
              <w:bottom w:val="single" w:sz="8" w:space="0" w:color="auto"/>
              <w:right w:val="nil"/>
            </w:tcBorders>
            <w:noWrap/>
            <w:vAlign w:val="bottom"/>
            <w:hideMark/>
          </w:tcPr>
          <w:p w14:paraId="7A3DC37E" w14:textId="77777777" w:rsidR="00022330" w:rsidRPr="009575F3" w:rsidRDefault="00022330" w:rsidP="00FD7082">
            <w:pPr>
              <w:jc w:val="both"/>
              <w:rPr>
                <w:sz w:val="16"/>
                <w:szCs w:val="16"/>
                <w:lang w:eastAsia="en-GB"/>
              </w:rPr>
            </w:pPr>
            <w:r w:rsidRPr="009575F3">
              <w:rPr>
                <w:sz w:val="16"/>
                <w:szCs w:val="16"/>
                <w:lang w:eastAsia="en-GB"/>
              </w:rPr>
              <w:t> </w:t>
            </w:r>
          </w:p>
        </w:tc>
        <w:tc>
          <w:tcPr>
            <w:tcW w:w="1118" w:type="dxa"/>
            <w:tcBorders>
              <w:top w:val="single" w:sz="4" w:space="0" w:color="auto"/>
              <w:left w:val="nil"/>
              <w:bottom w:val="single" w:sz="8" w:space="0" w:color="auto"/>
              <w:right w:val="nil"/>
            </w:tcBorders>
            <w:noWrap/>
            <w:hideMark/>
          </w:tcPr>
          <w:p w14:paraId="2E81AB0A" w14:textId="77777777" w:rsidR="00022330" w:rsidRPr="009575F3" w:rsidRDefault="00022330" w:rsidP="00FD7082">
            <w:pPr>
              <w:jc w:val="both"/>
              <w:rPr>
                <w:b/>
                <w:bCs/>
                <w:sz w:val="16"/>
                <w:szCs w:val="16"/>
                <w:lang w:eastAsia="en-GB"/>
              </w:rPr>
            </w:pPr>
            <w:r w:rsidRPr="009575F3">
              <w:rPr>
                <w:b/>
                <w:bCs/>
                <w:sz w:val="16"/>
                <w:szCs w:val="16"/>
                <w:lang w:eastAsia="en-GB"/>
              </w:rPr>
              <w:t>n (%)</w:t>
            </w:r>
          </w:p>
        </w:tc>
        <w:tc>
          <w:tcPr>
            <w:tcW w:w="1029" w:type="dxa"/>
            <w:tcBorders>
              <w:top w:val="nil"/>
              <w:left w:val="nil"/>
              <w:bottom w:val="single" w:sz="8" w:space="0" w:color="auto"/>
              <w:right w:val="nil"/>
            </w:tcBorders>
            <w:noWrap/>
            <w:hideMark/>
          </w:tcPr>
          <w:p w14:paraId="3F8B789F" w14:textId="77777777" w:rsidR="00022330" w:rsidRPr="009575F3" w:rsidRDefault="00022330" w:rsidP="00FD7082">
            <w:pPr>
              <w:jc w:val="both"/>
              <w:rPr>
                <w:b/>
                <w:bCs/>
                <w:sz w:val="16"/>
                <w:szCs w:val="16"/>
                <w:lang w:eastAsia="en-GB"/>
              </w:rPr>
            </w:pPr>
            <w:r w:rsidRPr="009575F3">
              <w:rPr>
                <w:b/>
                <w:bCs/>
                <w:sz w:val="16"/>
                <w:szCs w:val="16"/>
                <w:lang w:eastAsia="en-GB"/>
              </w:rPr>
              <w:t>Test Value</w:t>
            </w:r>
          </w:p>
        </w:tc>
        <w:tc>
          <w:tcPr>
            <w:tcW w:w="567" w:type="dxa"/>
            <w:tcBorders>
              <w:top w:val="nil"/>
              <w:left w:val="nil"/>
              <w:bottom w:val="single" w:sz="8" w:space="0" w:color="auto"/>
              <w:right w:val="nil"/>
            </w:tcBorders>
            <w:noWrap/>
            <w:hideMark/>
          </w:tcPr>
          <w:p w14:paraId="649F4B5E" w14:textId="77777777" w:rsidR="00022330" w:rsidRPr="009575F3" w:rsidRDefault="00022330" w:rsidP="00FD7082">
            <w:pPr>
              <w:jc w:val="both"/>
              <w:rPr>
                <w:b/>
                <w:bCs/>
                <w:sz w:val="16"/>
                <w:szCs w:val="16"/>
                <w:lang w:eastAsia="en-GB"/>
              </w:rPr>
            </w:pPr>
            <w:r w:rsidRPr="009575F3">
              <w:rPr>
                <w:b/>
                <w:bCs/>
                <w:sz w:val="16"/>
                <w:szCs w:val="16"/>
                <w:lang w:eastAsia="en-GB"/>
              </w:rPr>
              <w:t>OR</w:t>
            </w:r>
          </w:p>
        </w:tc>
        <w:tc>
          <w:tcPr>
            <w:tcW w:w="1295" w:type="dxa"/>
            <w:tcBorders>
              <w:top w:val="nil"/>
              <w:left w:val="nil"/>
              <w:bottom w:val="single" w:sz="8" w:space="0" w:color="auto"/>
              <w:right w:val="nil"/>
            </w:tcBorders>
            <w:noWrap/>
            <w:hideMark/>
          </w:tcPr>
          <w:p w14:paraId="4E1B4CA9" w14:textId="77777777" w:rsidR="00022330" w:rsidRPr="009575F3" w:rsidRDefault="00022330" w:rsidP="00FD7082">
            <w:pPr>
              <w:jc w:val="both"/>
              <w:rPr>
                <w:b/>
                <w:bCs/>
                <w:sz w:val="16"/>
                <w:szCs w:val="16"/>
                <w:lang w:eastAsia="en-GB"/>
              </w:rPr>
            </w:pPr>
            <w:r w:rsidRPr="009575F3">
              <w:rPr>
                <w:b/>
                <w:bCs/>
                <w:sz w:val="16"/>
                <w:szCs w:val="16"/>
                <w:lang w:eastAsia="en-GB"/>
              </w:rPr>
              <w:t>95% CI</w:t>
            </w:r>
          </w:p>
        </w:tc>
        <w:tc>
          <w:tcPr>
            <w:tcW w:w="771" w:type="dxa"/>
            <w:tcBorders>
              <w:top w:val="nil"/>
              <w:left w:val="nil"/>
              <w:bottom w:val="single" w:sz="8" w:space="0" w:color="auto"/>
              <w:right w:val="nil"/>
            </w:tcBorders>
            <w:noWrap/>
            <w:hideMark/>
          </w:tcPr>
          <w:p w14:paraId="0858BE5F" w14:textId="77777777" w:rsidR="00022330" w:rsidRPr="009575F3" w:rsidRDefault="00022330" w:rsidP="00FD7082">
            <w:pPr>
              <w:jc w:val="both"/>
              <w:rPr>
                <w:b/>
                <w:bCs/>
                <w:sz w:val="16"/>
                <w:szCs w:val="16"/>
                <w:lang w:eastAsia="en-GB"/>
              </w:rPr>
            </w:pPr>
            <w:r w:rsidRPr="009575F3">
              <w:rPr>
                <w:b/>
                <w:bCs/>
                <w:sz w:val="16"/>
                <w:szCs w:val="16"/>
                <w:lang w:eastAsia="en-GB"/>
              </w:rPr>
              <w:t>p-Value</w:t>
            </w:r>
          </w:p>
        </w:tc>
        <w:tc>
          <w:tcPr>
            <w:tcW w:w="1070" w:type="dxa"/>
            <w:tcBorders>
              <w:top w:val="nil"/>
              <w:left w:val="nil"/>
              <w:bottom w:val="single" w:sz="8" w:space="0" w:color="auto"/>
              <w:right w:val="nil"/>
            </w:tcBorders>
            <w:noWrap/>
            <w:hideMark/>
          </w:tcPr>
          <w:p w14:paraId="4F8C0738" w14:textId="77777777" w:rsidR="00022330" w:rsidRPr="009575F3" w:rsidRDefault="00022330" w:rsidP="00FD7082">
            <w:pPr>
              <w:jc w:val="both"/>
              <w:rPr>
                <w:b/>
                <w:bCs/>
                <w:sz w:val="16"/>
                <w:szCs w:val="16"/>
                <w:lang w:eastAsia="en-GB"/>
              </w:rPr>
            </w:pPr>
            <w:r w:rsidRPr="009575F3">
              <w:rPr>
                <w:b/>
                <w:bCs/>
                <w:sz w:val="16"/>
                <w:szCs w:val="16"/>
                <w:lang w:eastAsia="en-GB"/>
              </w:rPr>
              <w:t>Test Value</w:t>
            </w:r>
          </w:p>
        </w:tc>
        <w:tc>
          <w:tcPr>
            <w:tcW w:w="711" w:type="dxa"/>
            <w:tcBorders>
              <w:top w:val="nil"/>
              <w:left w:val="nil"/>
              <w:bottom w:val="single" w:sz="8" w:space="0" w:color="auto"/>
              <w:right w:val="nil"/>
            </w:tcBorders>
            <w:noWrap/>
            <w:hideMark/>
          </w:tcPr>
          <w:p w14:paraId="49FDDED6" w14:textId="77777777" w:rsidR="00022330" w:rsidRPr="009575F3" w:rsidRDefault="00022330" w:rsidP="00FD7082">
            <w:pPr>
              <w:jc w:val="both"/>
              <w:rPr>
                <w:b/>
                <w:bCs/>
                <w:sz w:val="16"/>
                <w:szCs w:val="16"/>
                <w:lang w:eastAsia="en-GB"/>
              </w:rPr>
            </w:pPr>
            <w:r w:rsidRPr="009575F3">
              <w:rPr>
                <w:b/>
                <w:bCs/>
                <w:sz w:val="16"/>
                <w:szCs w:val="16"/>
                <w:lang w:eastAsia="en-GB"/>
              </w:rPr>
              <w:t>OR</w:t>
            </w:r>
          </w:p>
        </w:tc>
        <w:tc>
          <w:tcPr>
            <w:tcW w:w="1285" w:type="dxa"/>
            <w:tcBorders>
              <w:top w:val="nil"/>
              <w:left w:val="nil"/>
              <w:bottom w:val="single" w:sz="8" w:space="0" w:color="auto"/>
              <w:right w:val="nil"/>
            </w:tcBorders>
            <w:noWrap/>
            <w:hideMark/>
          </w:tcPr>
          <w:p w14:paraId="2B5A9C5F" w14:textId="77777777" w:rsidR="00022330" w:rsidRPr="009575F3" w:rsidRDefault="00022330" w:rsidP="00FD7082">
            <w:pPr>
              <w:jc w:val="both"/>
              <w:rPr>
                <w:b/>
                <w:bCs/>
                <w:sz w:val="16"/>
                <w:szCs w:val="16"/>
                <w:lang w:eastAsia="en-GB"/>
              </w:rPr>
            </w:pPr>
            <w:r w:rsidRPr="009575F3">
              <w:rPr>
                <w:b/>
                <w:bCs/>
                <w:sz w:val="16"/>
                <w:szCs w:val="16"/>
                <w:lang w:eastAsia="en-GB"/>
              </w:rPr>
              <w:t>95% CI</w:t>
            </w:r>
          </w:p>
        </w:tc>
        <w:tc>
          <w:tcPr>
            <w:tcW w:w="801" w:type="dxa"/>
            <w:tcBorders>
              <w:top w:val="nil"/>
              <w:left w:val="nil"/>
              <w:bottom w:val="single" w:sz="8" w:space="0" w:color="auto"/>
              <w:right w:val="nil"/>
            </w:tcBorders>
            <w:noWrap/>
            <w:hideMark/>
          </w:tcPr>
          <w:p w14:paraId="4E2DC02D" w14:textId="77777777" w:rsidR="00022330" w:rsidRPr="009575F3" w:rsidRDefault="00022330" w:rsidP="00FD7082">
            <w:pPr>
              <w:jc w:val="both"/>
              <w:rPr>
                <w:b/>
                <w:bCs/>
                <w:sz w:val="16"/>
                <w:szCs w:val="16"/>
                <w:lang w:eastAsia="en-GB"/>
              </w:rPr>
            </w:pPr>
            <w:r w:rsidRPr="009575F3">
              <w:rPr>
                <w:b/>
                <w:bCs/>
                <w:sz w:val="16"/>
                <w:szCs w:val="16"/>
                <w:lang w:eastAsia="en-GB"/>
              </w:rPr>
              <w:t>p-Value</w:t>
            </w:r>
          </w:p>
        </w:tc>
      </w:tr>
      <w:tr w:rsidR="00022330" w:rsidRPr="009575F3" w14:paraId="0FFBC117" w14:textId="77777777" w:rsidTr="00FD7082">
        <w:trPr>
          <w:trHeight w:val="315"/>
        </w:trPr>
        <w:tc>
          <w:tcPr>
            <w:tcW w:w="1681" w:type="dxa"/>
            <w:tcBorders>
              <w:top w:val="nil"/>
              <w:left w:val="nil"/>
              <w:bottom w:val="nil"/>
              <w:right w:val="nil"/>
            </w:tcBorders>
            <w:noWrap/>
            <w:vAlign w:val="bottom"/>
            <w:hideMark/>
          </w:tcPr>
          <w:p w14:paraId="456A98B5" w14:textId="77777777" w:rsidR="00022330" w:rsidRPr="009575F3" w:rsidRDefault="00022330" w:rsidP="00FD7082">
            <w:pPr>
              <w:jc w:val="both"/>
              <w:rPr>
                <w:b/>
                <w:bCs/>
                <w:sz w:val="16"/>
                <w:szCs w:val="16"/>
                <w:lang w:eastAsia="en-GB"/>
              </w:rPr>
            </w:pPr>
            <w:r w:rsidRPr="009575F3">
              <w:rPr>
                <w:b/>
                <w:bCs/>
                <w:sz w:val="16"/>
                <w:szCs w:val="16"/>
                <w:lang w:eastAsia="en-GB"/>
              </w:rPr>
              <w:t>VISUAL ACUITY</w:t>
            </w:r>
          </w:p>
        </w:tc>
        <w:tc>
          <w:tcPr>
            <w:tcW w:w="1118" w:type="dxa"/>
            <w:tcBorders>
              <w:top w:val="nil"/>
              <w:left w:val="nil"/>
              <w:bottom w:val="nil"/>
              <w:right w:val="nil"/>
            </w:tcBorders>
            <w:noWrap/>
            <w:vAlign w:val="bottom"/>
            <w:hideMark/>
          </w:tcPr>
          <w:p w14:paraId="2571417B" w14:textId="77777777" w:rsidR="00022330" w:rsidRPr="009575F3" w:rsidRDefault="00022330" w:rsidP="00FD7082">
            <w:pPr>
              <w:jc w:val="both"/>
              <w:rPr>
                <w:b/>
                <w:bCs/>
                <w:sz w:val="16"/>
                <w:szCs w:val="16"/>
                <w:lang w:eastAsia="en-GB"/>
              </w:rPr>
            </w:pPr>
          </w:p>
        </w:tc>
        <w:tc>
          <w:tcPr>
            <w:tcW w:w="1029" w:type="dxa"/>
            <w:tcBorders>
              <w:top w:val="nil"/>
              <w:left w:val="nil"/>
              <w:bottom w:val="nil"/>
              <w:right w:val="nil"/>
            </w:tcBorders>
            <w:noWrap/>
            <w:vAlign w:val="bottom"/>
            <w:hideMark/>
          </w:tcPr>
          <w:p w14:paraId="04E9CA7A" w14:textId="77777777" w:rsidR="00022330" w:rsidRPr="009575F3" w:rsidRDefault="00022330" w:rsidP="00FD7082">
            <w:pPr>
              <w:jc w:val="both"/>
              <w:rPr>
                <w:sz w:val="16"/>
                <w:szCs w:val="16"/>
                <w:lang w:eastAsia="en-GB"/>
              </w:rPr>
            </w:pPr>
          </w:p>
        </w:tc>
        <w:tc>
          <w:tcPr>
            <w:tcW w:w="567" w:type="dxa"/>
            <w:tcBorders>
              <w:top w:val="nil"/>
              <w:left w:val="nil"/>
              <w:bottom w:val="nil"/>
              <w:right w:val="nil"/>
            </w:tcBorders>
            <w:noWrap/>
            <w:vAlign w:val="bottom"/>
            <w:hideMark/>
          </w:tcPr>
          <w:p w14:paraId="1809660A"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3B9C5E8E"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78E44E04"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6991E6E3" w14:textId="77777777" w:rsidR="00022330" w:rsidRPr="009575F3" w:rsidRDefault="00022330" w:rsidP="00FD7082">
            <w:pPr>
              <w:jc w:val="both"/>
              <w:rPr>
                <w:sz w:val="16"/>
                <w:szCs w:val="16"/>
                <w:lang w:eastAsia="en-GB"/>
              </w:rPr>
            </w:pPr>
          </w:p>
        </w:tc>
        <w:tc>
          <w:tcPr>
            <w:tcW w:w="711" w:type="dxa"/>
            <w:tcBorders>
              <w:top w:val="nil"/>
              <w:left w:val="nil"/>
              <w:bottom w:val="nil"/>
              <w:right w:val="nil"/>
            </w:tcBorders>
            <w:noWrap/>
            <w:vAlign w:val="bottom"/>
            <w:hideMark/>
          </w:tcPr>
          <w:p w14:paraId="1D5380FD" w14:textId="77777777" w:rsidR="00022330" w:rsidRPr="009575F3" w:rsidRDefault="00022330" w:rsidP="00FD7082">
            <w:pPr>
              <w:jc w:val="both"/>
              <w:rPr>
                <w:sz w:val="16"/>
                <w:szCs w:val="16"/>
                <w:lang w:eastAsia="en-GB"/>
              </w:rPr>
            </w:pPr>
          </w:p>
        </w:tc>
        <w:tc>
          <w:tcPr>
            <w:tcW w:w="1285" w:type="dxa"/>
            <w:tcBorders>
              <w:top w:val="nil"/>
              <w:left w:val="nil"/>
              <w:bottom w:val="nil"/>
              <w:right w:val="nil"/>
            </w:tcBorders>
            <w:noWrap/>
            <w:vAlign w:val="bottom"/>
            <w:hideMark/>
          </w:tcPr>
          <w:p w14:paraId="27881A51" w14:textId="77777777" w:rsidR="00022330" w:rsidRPr="009575F3" w:rsidRDefault="00022330" w:rsidP="00FD7082">
            <w:pPr>
              <w:jc w:val="both"/>
              <w:rPr>
                <w:sz w:val="16"/>
                <w:szCs w:val="16"/>
                <w:lang w:eastAsia="en-GB"/>
              </w:rPr>
            </w:pPr>
          </w:p>
        </w:tc>
        <w:tc>
          <w:tcPr>
            <w:tcW w:w="801" w:type="dxa"/>
            <w:tcBorders>
              <w:top w:val="nil"/>
              <w:left w:val="nil"/>
              <w:bottom w:val="nil"/>
              <w:right w:val="nil"/>
            </w:tcBorders>
            <w:noWrap/>
            <w:vAlign w:val="bottom"/>
            <w:hideMark/>
          </w:tcPr>
          <w:p w14:paraId="2B6655F1" w14:textId="77777777" w:rsidR="00022330" w:rsidRPr="009575F3" w:rsidRDefault="00022330" w:rsidP="00FD7082">
            <w:pPr>
              <w:jc w:val="both"/>
              <w:rPr>
                <w:sz w:val="16"/>
                <w:szCs w:val="16"/>
                <w:lang w:eastAsia="en-GB"/>
              </w:rPr>
            </w:pPr>
          </w:p>
        </w:tc>
      </w:tr>
      <w:tr w:rsidR="00022330" w:rsidRPr="009575F3" w14:paraId="42130C56" w14:textId="77777777" w:rsidTr="00FD7082">
        <w:trPr>
          <w:trHeight w:val="315"/>
        </w:trPr>
        <w:tc>
          <w:tcPr>
            <w:tcW w:w="1681" w:type="dxa"/>
            <w:tcBorders>
              <w:top w:val="nil"/>
              <w:left w:val="nil"/>
              <w:bottom w:val="nil"/>
              <w:right w:val="nil"/>
            </w:tcBorders>
            <w:noWrap/>
            <w:vAlign w:val="bottom"/>
            <w:hideMark/>
          </w:tcPr>
          <w:p w14:paraId="482B4E38" w14:textId="77777777" w:rsidR="00022330" w:rsidRPr="009575F3" w:rsidRDefault="00022330" w:rsidP="00FD7082">
            <w:pPr>
              <w:jc w:val="both"/>
              <w:rPr>
                <w:b/>
                <w:bCs/>
                <w:sz w:val="16"/>
                <w:szCs w:val="16"/>
                <w:lang w:eastAsia="en-GB"/>
              </w:rPr>
            </w:pPr>
            <w:r w:rsidRPr="009575F3">
              <w:rPr>
                <w:b/>
                <w:bCs/>
                <w:sz w:val="16"/>
                <w:szCs w:val="16"/>
                <w:lang w:eastAsia="en-GB"/>
              </w:rPr>
              <w:t>WHO Definition</w:t>
            </w:r>
          </w:p>
        </w:tc>
        <w:tc>
          <w:tcPr>
            <w:tcW w:w="1118" w:type="dxa"/>
            <w:tcBorders>
              <w:top w:val="nil"/>
              <w:left w:val="nil"/>
              <w:bottom w:val="nil"/>
              <w:right w:val="nil"/>
            </w:tcBorders>
            <w:noWrap/>
            <w:vAlign w:val="bottom"/>
            <w:hideMark/>
          </w:tcPr>
          <w:p w14:paraId="4064A365" w14:textId="77777777" w:rsidR="00022330" w:rsidRPr="009575F3" w:rsidRDefault="00022330" w:rsidP="00FD7082">
            <w:pPr>
              <w:jc w:val="both"/>
              <w:rPr>
                <w:b/>
                <w:bCs/>
                <w:sz w:val="16"/>
                <w:szCs w:val="16"/>
                <w:lang w:eastAsia="en-GB"/>
              </w:rPr>
            </w:pPr>
          </w:p>
        </w:tc>
        <w:tc>
          <w:tcPr>
            <w:tcW w:w="1029" w:type="dxa"/>
            <w:tcBorders>
              <w:top w:val="nil"/>
              <w:left w:val="nil"/>
              <w:bottom w:val="nil"/>
              <w:right w:val="nil"/>
            </w:tcBorders>
            <w:noWrap/>
            <w:vAlign w:val="bottom"/>
            <w:hideMark/>
          </w:tcPr>
          <w:p w14:paraId="6FDD267E" w14:textId="77777777" w:rsidR="00022330" w:rsidRPr="009575F3" w:rsidRDefault="00022330" w:rsidP="00FD7082">
            <w:pPr>
              <w:jc w:val="both"/>
              <w:rPr>
                <w:sz w:val="16"/>
                <w:szCs w:val="16"/>
                <w:lang w:eastAsia="en-GB"/>
              </w:rPr>
            </w:pPr>
          </w:p>
        </w:tc>
        <w:tc>
          <w:tcPr>
            <w:tcW w:w="567" w:type="dxa"/>
            <w:tcBorders>
              <w:top w:val="nil"/>
              <w:left w:val="nil"/>
              <w:bottom w:val="nil"/>
              <w:right w:val="nil"/>
            </w:tcBorders>
            <w:noWrap/>
            <w:vAlign w:val="bottom"/>
            <w:hideMark/>
          </w:tcPr>
          <w:p w14:paraId="121A9095"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202971AF"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70FAF9F9"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6754B686" w14:textId="77777777" w:rsidR="00022330" w:rsidRPr="009575F3" w:rsidRDefault="00022330" w:rsidP="00FD7082">
            <w:pPr>
              <w:jc w:val="both"/>
              <w:rPr>
                <w:sz w:val="16"/>
                <w:szCs w:val="16"/>
                <w:lang w:eastAsia="en-GB"/>
              </w:rPr>
            </w:pPr>
          </w:p>
        </w:tc>
        <w:tc>
          <w:tcPr>
            <w:tcW w:w="711" w:type="dxa"/>
            <w:tcBorders>
              <w:top w:val="nil"/>
              <w:left w:val="nil"/>
              <w:bottom w:val="nil"/>
              <w:right w:val="nil"/>
            </w:tcBorders>
            <w:noWrap/>
            <w:vAlign w:val="bottom"/>
            <w:hideMark/>
          </w:tcPr>
          <w:p w14:paraId="37EB1044" w14:textId="77777777" w:rsidR="00022330" w:rsidRPr="009575F3" w:rsidRDefault="00022330" w:rsidP="00FD7082">
            <w:pPr>
              <w:jc w:val="both"/>
              <w:rPr>
                <w:sz w:val="16"/>
                <w:szCs w:val="16"/>
                <w:lang w:eastAsia="en-GB"/>
              </w:rPr>
            </w:pPr>
          </w:p>
        </w:tc>
        <w:tc>
          <w:tcPr>
            <w:tcW w:w="1285" w:type="dxa"/>
            <w:tcBorders>
              <w:top w:val="nil"/>
              <w:left w:val="nil"/>
              <w:bottom w:val="nil"/>
              <w:right w:val="nil"/>
            </w:tcBorders>
            <w:noWrap/>
            <w:vAlign w:val="bottom"/>
            <w:hideMark/>
          </w:tcPr>
          <w:p w14:paraId="4FDBD585" w14:textId="77777777" w:rsidR="00022330" w:rsidRPr="009575F3" w:rsidRDefault="00022330" w:rsidP="00FD7082">
            <w:pPr>
              <w:jc w:val="both"/>
              <w:rPr>
                <w:sz w:val="16"/>
                <w:szCs w:val="16"/>
                <w:lang w:eastAsia="en-GB"/>
              </w:rPr>
            </w:pPr>
          </w:p>
        </w:tc>
        <w:tc>
          <w:tcPr>
            <w:tcW w:w="801" w:type="dxa"/>
            <w:tcBorders>
              <w:top w:val="nil"/>
              <w:left w:val="nil"/>
              <w:bottom w:val="nil"/>
              <w:right w:val="nil"/>
            </w:tcBorders>
            <w:noWrap/>
            <w:vAlign w:val="bottom"/>
            <w:hideMark/>
          </w:tcPr>
          <w:p w14:paraId="3F9B40D5" w14:textId="77777777" w:rsidR="00022330" w:rsidRPr="009575F3" w:rsidRDefault="00022330" w:rsidP="00FD7082">
            <w:pPr>
              <w:jc w:val="both"/>
              <w:rPr>
                <w:sz w:val="16"/>
                <w:szCs w:val="16"/>
                <w:lang w:eastAsia="en-GB"/>
              </w:rPr>
            </w:pPr>
          </w:p>
        </w:tc>
      </w:tr>
      <w:tr w:rsidR="00022330" w:rsidRPr="009575F3" w14:paraId="2C732996" w14:textId="77777777" w:rsidTr="00FD7082">
        <w:trPr>
          <w:trHeight w:val="315"/>
        </w:trPr>
        <w:tc>
          <w:tcPr>
            <w:tcW w:w="1681" w:type="dxa"/>
            <w:tcBorders>
              <w:top w:val="nil"/>
              <w:left w:val="nil"/>
              <w:bottom w:val="nil"/>
              <w:right w:val="nil"/>
            </w:tcBorders>
            <w:noWrap/>
            <w:vAlign w:val="bottom"/>
            <w:hideMark/>
          </w:tcPr>
          <w:p w14:paraId="6FCD1ABA"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2A874975" w14:textId="77777777" w:rsidR="00022330" w:rsidRPr="009575F3" w:rsidRDefault="00022330" w:rsidP="00FD7082">
            <w:pPr>
              <w:jc w:val="both"/>
              <w:rPr>
                <w:sz w:val="16"/>
                <w:szCs w:val="16"/>
                <w:lang w:eastAsia="en-GB"/>
              </w:rPr>
            </w:pPr>
            <w:r w:rsidRPr="009575F3">
              <w:rPr>
                <w:sz w:val="16"/>
                <w:szCs w:val="16"/>
                <w:lang w:eastAsia="en-GB"/>
              </w:rPr>
              <w:t>33 (97.0)</w:t>
            </w:r>
          </w:p>
        </w:tc>
        <w:tc>
          <w:tcPr>
            <w:tcW w:w="1029" w:type="dxa"/>
            <w:tcBorders>
              <w:top w:val="nil"/>
              <w:left w:val="nil"/>
              <w:bottom w:val="nil"/>
              <w:right w:val="nil"/>
            </w:tcBorders>
            <w:noWrap/>
            <w:vAlign w:val="bottom"/>
            <w:hideMark/>
          </w:tcPr>
          <w:p w14:paraId="2319D8F5" w14:textId="77777777" w:rsidR="00022330" w:rsidRPr="009575F3" w:rsidRDefault="00022330" w:rsidP="00FD7082">
            <w:pPr>
              <w:jc w:val="both"/>
              <w:rPr>
                <w:sz w:val="16"/>
                <w:szCs w:val="16"/>
                <w:lang w:eastAsia="en-GB"/>
              </w:rPr>
            </w:pPr>
            <w:r w:rsidRPr="009575F3">
              <w:rPr>
                <w:sz w:val="16"/>
                <w:szCs w:val="16"/>
                <w:lang w:eastAsia="en-GB"/>
              </w:rPr>
              <w:t>7.523</w:t>
            </w:r>
          </w:p>
        </w:tc>
        <w:tc>
          <w:tcPr>
            <w:tcW w:w="567" w:type="dxa"/>
            <w:tcBorders>
              <w:top w:val="nil"/>
              <w:left w:val="nil"/>
              <w:bottom w:val="nil"/>
              <w:right w:val="nil"/>
            </w:tcBorders>
            <w:noWrap/>
            <w:vAlign w:val="bottom"/>
            <w:hideMark/>
          </w:tcPr>
          <w:p w14:paraId="31A50579" w14:textId="77777777" w:rsidR="00022330" w:rsidRPr="009575F3" w:rsidRDefault="00022330" w:rsidP="00FD7082">
            <w:pPr>
              <w:jc w:val="both"/>
              <w:rPr>
                <w:sz w:val="16"/>
                <w:szCs w:val="16"/>
                <w:lang w:eastAsia="en-GB"/>
              </w:rPr>
            </w:pPr>
            <w:r w:rsidRPr="009575F3">
              <w:rPr>
                <w:sz w:val="16"/>
                <w:szCs w:val="16"/>
                <w:lang w:eastAsia="en-GB"/>
              </w:rPr>
              <w:t>2.70</w:t>
            </w:r>
          </w:p>
        </w:tc>
        <w:tc>
          <w:tcPr>
            <w:tcW w:w="1295" w:type="dxa"/>
            <w:tcBorders>
              <w:top w:val="nil"/>
              <w:left w:val="nil"/>
              <w:bottom w:val="nil"/>
              <w:right w:val="nil"/>
            </w:tcBorders>
            <w:noWrap/>
            <w:vAlign w:val="bottom"/>
            <w:hideMark/>
          </w:tcPr>
          <w:p w14:paraId="22CFBDF6" w14:textId="77777777" w:rsidR="00022330" w:rsidRPr="009575F3" w:rsidRDefault="00022330" w:rsidP="00FD7082">
            <w:pPr>
              <w:jc w:val="both"/>
              <w:rPr>
                <w:sz w:val="16"/>
                <w:szCs w:val="16"/>
                <w:lang w:eastAsia="en-GB"/>
              </w:rPr>
            </w:pPr>
            <w:r w:rsidRPr="009575F3">
              <w:rPr>
                <w:sz w:val="16"/>
                <w:szCs w:val="16"/>
                <w:lang w:eastAsia="en-GB"/>
              </w:rPr>
              <w:t>1.33 - 5.49</w:t>
            </w:r>
          </w:p>
        </w:tc>
        <w:tc>
          <w:tcPr>
            <w:tcW w:w="771" w:type="dxa"/>
            <w:tcBorders>
              <w:top w:val="nil"/>
              <w:left w:val="nil"/>
              <w:bottom w:val="nil"/>
              <w:right w:val="nil"/>
            </w:tcBorders>
            <w:noWrap/>
            <w:vAlign w:val="bottom"/>
            <w:hideMark/>
          </w:tcPr>
          <w:p w14:paraId="16B75964" w14:textId="77777777" w:rsidR="00022330" w:rsidRPr="009575F3" w:rsidRDefault="00022330" w:rsidP="00FD7082">
            <w:pPr>
              <w:jc w:val="both"/>
              <w:rPr>
                <w:sz w:val="16"/>
                <w:szCs w:val="16"/>
                <w:lang w:eastAsia="en-GB"/>
              </w:rPr>
            </w:pPr>
            <w:r w:rsidRPr="009575F3">
              <w:rPr>
                <w:sz w:val="16"/>
                <w:szCs w:val="16"/>
                <w:lang w:eastAsia="en-GB"/>
              </w:rPr>
              <w:t>0.006*</w:t>
            </w:r>
          </w:p>
        </w:tc>
        <w:tc>
          <w:tcPr>
            <w:tcW w:w="1070" w:type="dxa"/>
            <w:tcBorders>
              <w:top w:val="nil"/>
              <w:left w:val="nil"/>
              <w:bottom w:val="nil"/>
              <w:right w:val="nil"/>
            </w:tcBorders>
            <w:noWrap/>
            <w:vAlign w:val="bottom"/>
            <w:hideMark/>
          </w:tcPr>
          <w:p w14:paraId="12ED0EB3" w14:textId="77777777" w:rsidR="00022330" w:rsidRPr="009575F3" w:rsidRDefault="00022330" w:rsidP="00FD7082">
            <w:pPr>
              <w:jc w:val="both"/>
              <w:rPr>
                <w:sz w:val="16"/>
                <w:szCs w:val="16"/>
                <w:lang w:eastAsia="en-GB"/>
              </w:rPr>
            </w:pPr>
            <w:r w:rsidRPr="009575F3">
              <w:rPr>
                <w:sz w:val="16"/>
                <w:szCs w:val="16"/>
                <w:lang w:eastAsia="en-GB"/>
              </w:rPr>
              <w:t>1.476</w:t>
            </w:r>
          </w:p>
        </w:tc>
        <w:tc>
          <w:tcPr>
            <w:tcW w:w="711" w:type="dxa"/>
            <w:tcBorders>
              <w:top w:val="nil"/>
              <w:left w:val="nil"/>
              <w:bottom w:val="nil"/>
              <w:right w:val="nil"/>
            </w:tcBorders>
            <w:noWrap/>
            <w:vAlign w:val="bottom"/>
            <w:hideMark/>
          </w:tcPr>
          <w:p w14:paraId="2B599370" w14:textId="77777777" w:rsidR="00022330" w:rsidRPr="009575F3" w:rsidRDefault="00022330" w:rsidP="00FD7082">
            <w:pPr>
              <w:jc w:val="both"/>
              <w:rPr>
                <w:sz w:val="16"/>
                <w:szCs w:val="16"/>
                <w:lang w:eastAsia="en-GB"/>
              </w:rPr>
            </w:pPr>
            <w:r w:rsidRPr="009575F3">
              <w:rPr>
                <w:sz w:val="16"/>
                <w:szCs w:val="16"/>
                <w:lang w:eastAsia="en-GB"/>
              </w:rPr>
              <w:t>0.22</w:t>
            </w:r>
          </w:p>
        </w:tc>
        <w:tc>
          <w:tcPr>
            <w:tcW w:w="1285" w:type="dxa"/>
            <w:tcBorders>
              <w:top w:val="nil"/>
              <w:left w:val="nil"/>
              <w:bottom w:val="nil"/>
              <w:right w:val="nil"/>
            </w:tcBorders>
            <w:noWrap/>
            <w:vAlign w:val="bottom"/>
            <w:hideMark/>
          </w:tcPr>
          <w:p w14:paraId="267A022F" w14:textId="77777777" w:rsidR="00022330" w:rsidRPr="009575F3" w:rsidRDefault="00022330" w:rsidP="00FD7082">
            <w:pPr>
              <w:jc w:val="both"/>
              <w:rPr>
                <w:sz w:val="16"/>
                <w:szCs w:val="16"/>
                <w:lang w:eastAsia="en-GB"/>
              </w:rPr>
            </w:pPr>
            <w:r w:rsidRPr="009575F3">
              <w:rPr>
                <w:sz w:val="16"/>
                <w:szCs w:val="16"/>
                <w:lang w:eastAsia="en-GB"/>
              </w:rPr>
              <w:t>0.02 - 2.56</w:t>
            </w:r>
          </w:p>
        </w:tc>
        <w:tc>
          <w:tcPr>
            <w:tcW w:w="801" w:type="dxa"/>
            <w:tcBorders>
              <w:top w:val="nil"/>
              <w:left w:val="nil"/>
              <w:bottom w:val="nil"/>
              <w:right w:val="nil"/>
            </w:tcBorders>
            <w:noWrap/>
            <w:vAlign w:val="bottom"/>
            <w:hideMark/>
          </w:tcPr>
          <w:p w14:paraId="31B29E64" w14:textId="77777777" w:rsidR="00022330" w:rsidRPr="009575F3" w:rsidRDefault="00022330" w:rsidP="00FD7082">
            <w:pPr>
              <w:jc w:val="both"/>
              <w:rPr>
                <w:sz w:val="16"/>
                <w:szCs w:val="16"/>
                <w:lang w:eastAsia="en-GB"/>
              </w:rPr>
            </w:pPr>
            <w:r w:rsidRPr="009575F3">
              <w:rPr>
                <w:sz w:val="16"/>
                <w:szCs w:val="16"/>
                <w:lang w:eastAsia="en-GB"/>
              </w:rPr>
              <w:t>0.224</w:t>
            </w:r>
          </w:p>
        </w:tc>
      </w:tr>
      <w:tr w:rsidR="00022330" w:rsidRPr="009575F3" w14:paraId="5E8325D7" w14:textId="77777777" w:rsidTr="00FD7082">
        <w:trPr>
          <w:trHeight w:val="206"/>
        </w:trPr>
        <w:tc>
          <w:tcPr>
            <w:tcW w:w="1681" w:type="dxa"/>
            <w:tcBorders>
              <w:top w:val="nil"/>
              <w:left w:val="nil"/>
              <w:bottom w:val="single" w:sz="4" w:space="0" w:color="auto"/>
              <w:right w:val="nil"/>
            </w:tcBorders>
            <w:noWrap/>
            <w:vAlign w:val="bottom"/>
            <w:hideMark/>
          </w:tcPr>
          <w:p w14:paraId="590F2F5D"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3698F4C1" w14:textId="77777777" w:rsidR="00022330" w:rsidRPr="009575F3" w:rsidRDefault="00022330" w:rsidP="00FD7082">
            <w:pPr>
              <w:jc w:val="both"/>
              <w:rPr>
                <w:sz w:val="16"/>
                <w:szCs w:val="16"/>
                <w:lang w:eastAsia="en-GB"/>
              </w:rPr>
            </w:pPr>
            <w:r w:rsidRPr="009575F3">
              <w:rPr>
                <w:sz w:val="16"/>
                <w:szCs w:val="16"/>
                <w:lang w:eastAsia="en-GB"/>
              </w:rPr>
              <w:t>75 (48.7)</w:t>
            </w:r>
          </w:p>
        </w:tc>
        <w:tc>
          <w:tcPr>
            <w:tcW w:w="1029" w:type="dxa"/>
            <w:tcBorders>
              <w:top w:val="nil"/>
              <w:left w:val="nil"/>
              <w:bottom w:val="single" w:sz="4" w:space="0" w:color="auto"/>
              <w:right w:val="nil"/>
            </w:tcBorders>
            <w:noWrap/>
            <w:vAlign w:val="bottom"/>
            <w:hideMark/>
          </w:tcPr>
          <w:p w14:paraId="24F24E28"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7EAD174A"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51636C04"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6E33B249"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504B9CBF"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7FC91989"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60E587EA"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609C129E" w14:textId="77777777" w:rsidR="00022330" w:rsidRPr="009575F3" w:rsidRDefault="00022330" w:rsidP="00FD7082">
            <w:pPr>
              <w:jc w:val="both"/>
              <w:rPr>
                <w:sz w:val="16"/>
                <w:szCs w:val="16"/>
                <w:lang w:eastAsia="en-GB"/>
              </w:rPr>
            </w:pPr>
          </w:p>
        </w:tc>
      </w:tr>
      <w:tr w:rsidR="00022330" w:rsidRPr="009575F3" w14:paraId="3E0D397F" w14:textId="77777777" w:rsidTr="00FD7082">
        <w:trPr>
          <w:trHeight w:val="315"/>
        </w:trPr>
        <w:tc>
          <w:tcPr>
            <w:tcW w:w="1681" w:type="dxa"/>
            <w:tcBorders>
              <w:top w:val="single" w:sz="4" w:space="0" w:color="auto"/>
              <w:left w:val="nil"/>
              <w:bottom w:val="nil"/>
              <w:right w:val="nil"/>
            </w:tcBorders>
            <w:noWrap/>
            <w:vAlign w:val="bottom"/>
            <w:hideMark/>
          </w:tcPr>
          <w:p w14:paraId="684F9F44" w14:textId="77777777" w:rsidR="00022330" w:rsidRPr="009575F3" w:rsidRDefault="00022330" w:rsidP="00FD7082">
            <w:pPr>
              <w:jc w:val="both"/>
              <w:rPr>
                <w:b/>
                <w:bCs/>
                <w:sz w:val="16"/>
                <w:szCs w:val="16"/>
                <w:lang w:eastAsia="en-GB"/>
              </w:rPr>
            </w:pPr>
            <w:r w:rsidRPr="009575F3">
              <w:rPr>
                <w:b/>
                <w:bCs/>
                <w:sz w:val="16"/>
                <w:szCs w:val="16"/>
                <w:lang w:eastAsia="en-GB"/>
              </w:rPr>
              <w:t>FRSC Definition</w:t>
            </w:r>
          </w:p>
        </w:tc>
        <w:tc>
          <w:tcPr>
            <w:tcW w:w="1118" w:type="dxa"/>
            <w:tcBorders>
              <w:top w:val="single" w:sz="4" w:space="0" w:color="auto"/>
              <w:left w:val="nil"/>
              <w:bottom w:val="nil"/>
              <w:right w:val="nil"/>
            </w:tcBorders>
            <w:noWrap/>
            <w:vAlign w:val="bottom"/>
            <w:hideMark/>
          </w:tcPr>
          <w:p w14:paraId="519DDEB3"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3075618E"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222C46F9"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17AB95C0"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2C9CB1AE"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12592C44"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0203EE32"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6BD59E32"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7D22E08B" w14:textId="77777777" w:rsidR="00022330" w:rsidRPr="009575F3" w:rsidRDefault="00022330" w:rsidP="00FD7082">
            <w:pPr>
              <w:jc w:val="both"/>
              <w:rPr>
                <w:sz w:val="16"/>
                <w:szCs w:val="16"/>
                <w:lang w:eastAsia="en-GB"/>
              </w:rPr>
            </w:pPr>
          </w:p>
        </w:tc>
      </w:tr>
      <w:tr w:rsidR="00022330" w:rsidRPr="009575F3" w14:paraId="3C757A71" w14:textId="77777777" w:rsidTr="00FD7082">
        <w:trPr>
          <w:trHeight w:val="390"/>
        </w:trPr>
        <w:tc>
          <w:tcPr>
            <w:tcW w:w="1681" w:type="dxa"/>
            <w:tcBorders>
              <w:top w:val="nil"/>
              <w:left w:val="nil"/>
              <w:bottom w:val="nil"/>
              <w:right w:val="nil"/>
            </w:tcBorders>
            <w:noWrap/>
            <w:vAlign w:val="bottom"/>
            <w:hideMark/>
          </w:tcPr>
          <w:p w14:paraId="1C638080"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30456D4B" w14:textId="77777777" w:rsidR="00022330" w:rsidRPr="009575F3" w:rsidRDefault="00022330" w:rsidP="00FD7082">
            <w:pPr>
              <w:jc w:val="both"/>
              <w:rPr>
                <w:sz w:val="16"/>
                <w:szCs w:val="16"/>
                <w:lang w:eastAsia="en-GB"/>
              </w:rPr>
            </w:pPr>
            <w:r w:rsidRPr="009575F3">
              <w:rPr>
                <w:sz w:val="16"/>
                <w:szCs w:val="16"/>
                <w:lang w:eastAsia="en-GB"/>
              </w:rPr>
              <w:t>40 (97.6)</w:t>
            </w:r>
          </w:p>
        </w:tc>
        <w:tc>
          <w:tcPr>
            <w:tcW w:w="1029" w:type="dxa"/>
            <w:tcBorders>
              <w:top w:val="nil"/>
              <w:left w:val="nil"/>
              <w:bottom w:val="nil"/>
              <w:right w:val="nil"/>
            </w:tcBorders>
            <w:noWrap/>
            <w:vAlign w:val="bottom"/>
            <w:hideMark/>
          </w:tcPr>
          <w:p w14:paraId="727E91F6" w14:textId="77777777" w:rsidR="00022330" w:rsidRPr="009575F3" w:rsidRDefault="00022330" w:rsidP="00FD7082">
            <w:pPr>
              <w:jc w:val="both"/>
              <w:rPr>
                <w:sz w:val="16"/>
                <w:szCs w:val="16"/>
                <w:lang w:eastAsia="en-GB"/>
              </w:rPr>
            </w:pPr>
            <w:r w:rsidRPr="009575F3">
              <w:rPr>
                <w:sz w:val="16"/>
                <w:szCs w:val="16"/>
                <w:lang w:eastAsia="en-GB"/>
              </w:rPr>
              <w:t>12.967</w:t>
            </w:r>
          </w:p>
        </w:tc>
        <w:tc>
          <w:tcPr>
            <w:tcW w:w="567" w:type="dxa"/>
            <w:tcBorders>
              <w:top w:val="nil"/>
              <w:left w:val="nil"/>
              <w:bottom w:val="nil"/>
              <w:right w:val="nil"/>
            </w:tcBorders>
            <w:noWrap/>
            <w:vAlign w:val="bottom"/>
            <w:hideMark/>
          </w:tcPr>
          <w:p w14:paraId="7CB281A6" w14:textId="77777777" w:rsidR="00022330" w:rsidRPr="009575F3" w:rsidRDefault="00022330" w:rsidP="00FD7082">
            <w:pPr>
              <w:jc w:val="both"/>
              <w:rPr>
                <w:sz w:val="16"/>
                <w:szCs w:val="16"/>
                <w:lang w:eastAsia="en-GB"/>
              </w:rPr>
            </w:pPr>
            <w:r w:rsidRPr="009575F3">
              <w:rPr>
                <w:sz w:val="16"/>
                <w:szCs w:val="16"/>
                <w:lang w:eastAsia="en-GB"/>
              </w:rPr>
              <w:t>3.44</w:t>
            </w:r>
          </w:p>
        </w:tc>
        <w:tc>
          <w:tcPr>
            <w:tcW w:w="1295" w:type="dxa"/>
            <w:tcBorders>
              <w:top w:val="nil"/>
              <w:left w:val="nil"/>
              <w:bottom w:val="nil"/>
              <w:right w:val="nil"/>
            </w:tcBorders>
            <w:noWrap/>
            <w:vAlign w:val="bottom"/>
            <w:hideMark/>
          </w:tcPr>
          <w:p w14:paraId="6724C419" w14:textId="77777777" w:rsidR="00022330" w:rsidRPr="009575F3" w:rsidRDefault="00022330" w:rsidP="00FD7082">
            <w:pPr>
              <w:jc w:val="both"/>
              <w:rPr>
                <w:sz w:val="16"/>
                <w:szCs w:val="16"/>
                <w:lang w:eastAsia="en-GB"/>
              </w:rPr>
            </w:pPr>
            <w:r w:rsidRPr="009575F3">
              <w:rPr>
                <w:sz w:val="16"/>
                <w:szCs w:val="16"/>
                <w:lang w:eastAsia="en-GB"/>
              </w:rPr>
              <w:t>1.76 - 6.72</w:t>
            </w:r>
          </w:p>
        </w:tc>
        <w:tc>
          <w:tcPr>
            <w:tcW w:w="771" w:type="dxa"/>
            <w:tcBorders>
              <w:top w:val="nil"/>
              <w:left w:val="nil"/>
              <w:bottom w:val="nil"/>
              <w:right w:val="nil"/>
            </w:tcBorders>
            <w:noWrap/>
            <w:vAlign w:val="bottom"/>
            <w:hideMark/>
          </w:tcPr>
          <w:p w14:paraId="0883EA99" w14:textId="77777777" w:rsidR="00022330" w:rsidRPr="009575F3" w:rsidRDefault="00022330" w:rsidP="00FD7082">
            <w:pPr>
              <w:jc w:val="both"/>
              <w:rPr>
                <w:sz w:val="16"/>
                <w:szCs w:val="16"/>
                <w:lang w:eastAsia="en-GB"/>
              </w:rPr>
            </w:pPr>
            <w:r w:rsidRPr="009575F3">
              <w:rPr>
                <w:sz w:val="16"/>
                <w:szCs w:val="16"/>
                <w:lang w:eastAsia="en-GB"/>
              </w:rPr>
              <w:t>0.000*</w:t>
            </w:r>
          </w:p>
        </w:tc>
        <w:tc>
          <w:tcPr>
            <w:tcW w:w="1070" w:type="dxa"/>
            <w:tcBorders>
              <w:top w:val="nil"/>
              <w:left w:val="nil"/>
              <w:bottom w:val="nil"/>
              <w:right w:val="nil"/>
            </w:tcBorders>
            <w:noWrap/>
            <w:vAlign w:val="bottom"/>
            <w:hideMark/>
          </w:tcPr>
          <w:p w14:paraId="47CB9831" w14:textId="77777777" w:rsidR="00022330" w:rsidRPr="009575F3" w:rsidRDefault="00022330" w:rsidP="00FD7082">
            <w:pPr>
              <w:jc w:val="both"/>
              <w:rPr>
                <w:sz w:val="16"/>
                <w:szCs w:val="16"/>
                <w:lang w:eastAsia="en-GB"/>
              </w:rPr>
            </w:pPr>
            <w:r w:rsidRPr="009575F3">
              <w:rPr>
                <w:sz w:val="16"/>
                <w:szCs w:val="16"/>
                <w:lang w:eastAsia="en-GB"/>
              </w:rPr>
              <w:t>4.007</w:t>
            </w:r>
          </w:p>
        </w:tc>
        <w:tc>
          <w:tcPr>
            <w:tcW w:w="711" w:type="dxa"/>
            <w:tcBorders>
              <w:top w:val="nil"/>
              <w:left w:val="nil"/>
              <w:bottom w:val="nil"/>
              <w:right w:val="nil"/>
            </w:tcBorders>
            <w:noWrap/>
            <w:vAlign w:val="bottom"/>
            <w:hideMark/>
          </w:tcPr>
          <w:p w14:paraId="689A7ADF" w14:textId="77777777" w:rsidR="00022330" w:rsidRPr="009575F3" w:rsidRDefault="00022330" w:rsidP="00FD7082">
            <w:pPr>
              <w:jc w:val="both"/>
              <w:rPr>
                <w:sz w:val="16"/>
                <w:szCs w:val="16"/>
                <w:lang w:eastAsia="en-GB"/>
              </w:rPr>
            </w:pPr>
            <w:r w:rsidRPr="009575F3">
              <w:rPr>
                <w:sz w:val="16"/>
                <w:szCs w:val="16"/>
                <w:lang w:eastAsia="en-GB"/>
              </w:rPr>
              <w:t>12.47</w:t>
            </w:r>
          </w:p>
        </w:tc>
        <w:tc>
          <w:tcPr>
            <w:tcW w:w="1285" w:type="dxa"/>
            <w:tcBorders>
              <w:top w:val="nil"/>
              <w:left w:val="nil"/>
              <w:bottom w:val="nil"/>
              <w:right w:val="nil"/>
            </w:tcBorders>
            <w:noWrap/>
            <w:vAlign w:val="bottom"/>
            <w:hideMark/>
          </w:tcPr>
          <w:p w14:paraId="0968AC82" w14:textId="77777777" w:rsidR="00022330" w:rsidRPr="009575F3" w:rsidRDefault="00022330" w:rsidP="00FD7082">
            <w:pPr>
              <w:jc w:val="both"/>
              <w:rPr>
                <w:sz w:val="16"/>
                <w:szCs w:val="16"/>
                <w:lang w:eastAsia="en-GB"/>
              </w:rPr>
            </w:pPr>
            <w:r w:rsidRPr="009575F3">
              <w:rPr>
                <w:sz w:val="16"/>
                <w:szCs w:val="16"/>
                <w:lang w:eastAsia="en-GB"/>
              </w:rPr>
              <w:t>1.05 - 147.51</w:t>
            </w:r>
          </w:p>
        </w:tc>
        <w:tc>
          <w:tcPr>
            <w:tcW w:w="801" w:type="dxa"/>
            <w:tcBorders>
              <w:top w:val="nil"/>
              <w:left w:val="nil"/>
              <w:bottom w:val="nil"/>
              <w:right w:val="nil"/>
            </w:tcBorders>
            <w:noWrap/>
            <w:vAlign w:val="bottom"/>
            <w:hideMark/>
          </w:tcPr>
          <w:p w14:paraId="0FAEB57F" w14:textId="77777777" w:rsidR="00022330" w:rsidRPr="009575F3" w:rsidRDefault="00022330" w:rsidP="00FD7082">
            <w:pPr>
              <w:jc w:val="both"/>
              <w:rPr>
                <w:sz w:val="16"/>
                <w:szCs w:val="16"/>
                <w:lang w:eastAsia="en-GB"/>
              </w:rPr>
            </w:pPr>
            <w:r w:rsidRPr="009575F3">
              <w:rPr>
                <w:sz w:val="16"/>
                <w:szCs w:val="16"/>
                <w:lang w:eastAsia="en-GB"/>
              </w:rPr>
              <w:t>0.045*</w:t>
            </w:r>
          </w:p>
        </w:tc>
      </w:tr>
      <w:tr w:rsidR="00022330" w:rsidRPr="009575F3" w14:paraId="49DD5663" w14:textId="77777777" w:rsidTr="00FD7082">
        <w:trPr>
          <w:trHeight w:val="134"/>
        </w:trPr>
        <w:tc>
          <w:tcPr>
            <w:tcW w:w="1681" w:type="dxa"/>
            <w:tcBorders>
              <w:top w:val="nil"/>
              <w:left w:val="nil"/>
              <w:bottom w:val="single" w:sz="4" w:space="0" w:color="auto"/>
              <w:right w:val="nil"/>
            </w:tcBorders>
            <w:noWrap/>
            <w:vAlign w:val="center"/>
            <w:hideMark/>
          </w:tcPr>
          <w:p w14:paraId="01E70876"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173C4E51" w14:textId="77777777" w:rsidR="00022330" w:rsidRPr="009575F3" w:rsidRDefault="00022330" w:rsidP="00FD7082">
            <w:pPr>
              <w:jc w:val="both"/>
              <w:rPr>
                <w:sz w:val="16"/>
                <w:szCs w:val="16"/>
                <w:lang w:eastAsia="en-GB"/>
              </w:rPr>
            </w:pPr>
            <w:r w:rsidRPr="009575F3">
              <w:rPr>
                <w:sz w:val="16"/>
                <w:szCs w:val="16"/>
                <w:lang w:eastAsia="en-GB"/>
              </w:rPr>
              <w:t>68 (46.3)</w:t>
            </w:r>
          </w:p>
        </w:tc>
        <w:tc>
          <w:tcPr>
            <w:tcW w:w="1029" w:type="dxa"/>
            <w:tcBorders>
              <w:top w:val="nil"/>
              <w:left w:val="nil"/>
              <w:bottom w:val="single" w:sz="4" w:space="0" w:color="auto"/>
              <w:right w:val="nil"/>
            </w:tcBorders>
            <w:noWrap/>
            <w:vAlign w:val="bottom"/>
            <w:hideMark/>
          </w:tcPr>
          <w:p w14:paraId="7F953CC9"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1B49E72E"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7D36826F"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2F36DB67"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668BDAA7"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1E502983"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04554F33"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57CC0B60" w14:textId="77777777" w:rsidR="00022330" w:rsidRPr="009575F3" w:rsidRDefault="00022330" w:rsidP="00FD7082">
            <w:pPr>
              <w:jc w:val="both"/>
              <w:rPr>
                <w:sz w:val="16"/>
                <w:szCs w:val="16"/>
                <w:lang w:eastAsia="en-GB"/>
              </w:rPr>
            </w:pPr>
          </w:p>
        </w:tc>
      </w:tr>
      <w:tr w:rsidR="00022330" w:rsidRPr="009575F3" w14:paraId="2AD6B44E" w14:textId="77777777" w:rsidTr="00FD7082">
        <w:trPr>
          <w:trHeight w:val="495"/>
        </w:trPr>
        <w:tc>
          <w:tcPr>
            <w:tcW w:w="1681" w:type="dxa"/>
            <w:tcBorders>
              <w:top w:val="nil"/>
              <w:left w:val="nil"/>
              <w:bottom w:val="nil"/>
              <w:right w:val="nil"/>
            </w:tcBorders>
            <w:vAlign w:val="bottom"/>
            <w:hideMark/>
          </w:tcPr>
          <w:p w14:paraId="4B47FF1D" w14:textId="77777777" w:rsidR="00022330" w:rsidRPr="009575F3" w:rsidRDefault="00022330" w:rsidP="00FD7082">
            <w:pPr>
              <w:jc w:val="both"/>
              <w:rPr>
                <w:b/>
                <w:bCs/>
                <w:sz w:val="16"/>
                <w:szCs w:val="16"/>
                <w:lang w:eastAsia="en-GB"/>
              </w:rPr>
            </w:pPr>
            <w:r w:rsidRPr="009575F3">
              <w:rPr>
                <w:b/>
                <w:bCs/>
                <w:sz w:val="16"/>
                <w:szCs w:val="16"/>
                <w:lang w:eastAsia="en-GB"/>
              </w:rPr>
              <w:t>CONTRAST</w:t>
            </w:r>
            <w:r w:rsidRPr="009575F3">
              <w:rPr>
                <w:b/>
                <w:bCs/>
                <w:sz w:val="16"/>
                <w:szCs w:val="16"/>
                <w:lang w:eastAsia="en-GB"/>
              </w:rPr>
              <w:br/>
              <w:t>SENSITIVITY</w:t>
            </w:r>
          </w:p>
        </w:tc>
        <w:tc>
          <w:tcPr>
            <w:tcW w:w="1118" w:type="dxa"/>
            <w:tcBorders>
              <w:top w:val="single" w:sz="4" w:space="0" w:color="auto"/>
              <w:left w:val="nil"/>
              <w:bottom w:val="nil"/>
              <w:right w:val="nil"/>
            </w:tcBorders>
            <w:noWrap/>
            <w:vAlign w:val="bottom"/>
            <w:hideMark/>
          </w:tcPr>
          <w:p w14:paraId="2412CBA3"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001AE65D"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23042F77"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729DAC1D"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25E0D27E"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3CF7EC4A"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0E30956C"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78E10F19"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6D0D1B21" w14:textId="77777777" w:rsidR="00022330" w:rsidRPr="009575F3" w:rsidRDefault="00022330" w:rsidP="00FD7082">
            <w:pPr>
              <w:jc w:val="both"/>
              <w:rPr>
                <w:sz w:val="16"/>
                <w:szCs w:val="16"/>
                <w:lang w:eastAsia="en-GB"/>
              </w:rPr>
            </w:pPr>
          </w:p>
        </w:tc>
      </w:tr>
      <w:tr w:rsidR="00022330" w:rsidRPr="009575F3" w14:paraId="513008DE" w14:textId="77777777" w:rsidTr="00FD7082">
        <w:trPr>
          <w:trHeight w:val="315"/>
        </w:trPr>
        <w:tc>
          <w:tcPr>
            <w:tcW w:w="1681" w:type="dxa"/>
            <w:tcBorders>
              <w:top w:val="nil"/>
              <w:left w:val="nil"/>
              <w:bottom w:val="nil"/>
              <w:right w:val="nil"/>
            </w:tcBorders>
            <w:noWrap/>
            <w:vAlign w:val="bottom"/>
            <w:hideMark/>
          </w:tcPr>
          <w:p w14:paraId="09CFDCCC"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06562407" w14:textId="77777777" w:rsidR="00022330" w:rsidRPr="009575F3" w:rsidRDefault="00022330" w:rsidP="00FD7082">
            <w:pPr>
              <w:jc w:val="both"/>
              <w:rPr>
                <w:sz w:val="16"/>
                <w:szCs w:val="16"/>
                <w:lang w:eastAsia="en-GB"/>
              </w:rPr>
            </w:pPr>
            <w:r w:rsidRPr="009575F3">
              <w:rPr>
                <w:sz w:val="16"/>
                <w:szCs w:val="16"/>
                <w:lang w:eastAsia="en-GB"/>
              </w:rPr>
              <w:t>13 (92.9)</w:t>
            </w:r>
          </w:p>
        </w:tc>
        <w:tc>
          <w:tcPr>
            <w:tcW w:w="1029" w:type="dxa"/>
            <w:tcBorders>
              <w:top w:val="nil"/>
              <w:left w:val="nil"/>
              <w:bottom w:val="nil"/>
              <w:right w:val="nil"/>
            </w:tcBorders>
            <w:noWrap/>
            <w:vAlign w:val="bottom"/>
            <w:hideMark/>
          </w:tcPr>
          <w:p w14:paraId="31B0D093" w14:textId="77777777" w:rsidR="00022330" w:rsidRPr="009575F3" w:rsidRDefault="00022330" w:rsidP="00FD7082">
            <w:pPr>
              <w:jc w:val="both"/>
              <w:rPr>
                <w:sz w:val="16"/>
                <w:szCs w:val="16"/>
                <w:lang w:eastAsia="en-GB"/>
              </w:rPr>
            </w:pPr>
            <w:r w:rsidRPr="009575F3">
              <w:rPr>
                <w:sz w:val="16"/>
                <w:szCs w:val="16"/>
                <w:lang w:eastAsia="en-GB"/>
              </w:rPr>
              <w:t>6.692</w:t>
            </w:r>
          </w:p>
        </w:tc>
        <w:tc>
          <w:tcPr>
            <w:tcW w:w="567" w:type="dxa"/>
            <w:tcBorders>
              <w:top w:val="nil"/>
              <w:left w:val="nil"/>
              <w:bottom w:val="nil"/>
              <w:right w:val="nil"/>
            </w:tcBorders>
            <w:noWrap/>
            <w:vAlign w:val="bottom"/>
            <w:hideMark/>
          </w:tcPr>
          <w:p w14:paraId="673E5B6F" w14:textId="77777777" w:rsidR="00022330" w:rsidRPr="009575F3" w:rsidRDefault="00022330" w:rsidP="00FD7082">
            <w:pPr>
              <w:jc w:val="both"/>
              <w:rPr>
                <w:sz w:val="16"/>
                <w:szCs w:val="16"/>
                <w:lang w:eastAsia="en-GB"/>
              </w:rPr>
            </w:pPr>
            <w:r w:rsidRPr="009575F3">
              <w:rPr>
                <w:sz w:val="16"/>
                <w:szCs w:val="16"/>
                <w:lang w:eastAsia="en-GB"/>
              </w:rPr>
              <w:t>4.48</w:t>
            </w:r>
          </w:p>
        </w:tc>
        <w:tc>
          <w:tcPr>
            <w:tcW w:w="1295" w:type="dxa"/>
            <w:tcBorders>
              <w:top w:val="nil"/>
              <w:left w:val="nil"/>
              <w:bottom w:val="nil"/>
              <w:right w:val="nil"/>
            </w:tcBorders>
            <w:noWrap/>
            <w:vAlign w:val="bottom"/>
            <w:hideMark/>
          </w:tcPr>
          <w:p w14:paraId="5E46AED4" w14:textId="77777777" w:rsidR="00022330" w:rsidRPr="009575F3" w:rsidRDefault="00022330" w:rsidP="00FD7082">
            <w:pPr>
              <w:jc w:val="both"/>
              <w:rPr>
                <w:sz w:val="16"/>
                <w:szCs w:val="16"/>
                <w:lang w:eastAsia="en-GB"/>
              </w:rPr>
            </w:pPr>
            <w:r w:rsidRPr="009575F3">
              <w:rPr>
                <w:sz w:val="16"/>
                <w:szCs w:val="16"/>
                <w:lang w:eastAsia="en-GB"/>
              </w:rPr>
              <w:t>1.44 - 13.96</w:t>
            </w:r>
          </w:p>
        </w:tc>
        <w:tc>
          <w:tcPr>
            <w:tcW w:w="771" w:type="dxa"/>
            <w:tcBorders>
              <w:top w:val="nil"/>
              <w:left w:val="nil"/>
              <w:bottom w:val="nil"/>
              <w:right w:val="nil"/>
            </w:tcBorders>
            <w:noWrap/>
            <w:vAlign w:val="bottom"/>
            <w:hideMark/>
          </w:tcPr>
          <w:p w14:paraId="58ADDE5F" w14:textId="77777777" w:rsidR="00022330" w:rsidRPr="009575F3" w:rsidRDefault="00022330" w:rsidP="00FD7082">
            <w:pPr>
              <w:jc w:val="both"/>
              <w:rPr>
                <w:sz w:val="16"/>
                <w:szCs w:val="16"/>
                <w:lang w:eastAsia="en-GB"/>
              </w:rPr>
            </w:pPr>
            <w:r w:rsidRPr="009575F3">
              <w:rPr>
                <w:sz w:val="16"/>
                <w:szCs w:val="16"/>
                <w:lang w:eastAsia="en-GB"/>
              </w:rPr>
              <w:t>0.010*</w:t>
            </w:r>
          </w:p>
        </w:tc>
        <w:tc>
          <w:tcPr>
            <w:tcW w:w="1070" w:type="dxa"/>
            <w:tcBorders>
              <w:top w:val="nil"/>
              <w:left w:val="nil"/>
              <w:bottom w:val="nil"/>
              <w:right w:val="nil"/>
            </w:tcBorders>
            <w:noWrap/>
            <w:vAlign w:val="bottom"/>
            <w:hideMark/>
          </w:tcPr>
          <w:p w14:paraId="2138B6CF" w14:textId="77777777" w:rsidR="00022330" w:rsidRPr="009575F3" w:rsidRDefault="00022330" w:rsidP="00FD7082">
            <w:pPr>
              <w:jc w:val="both"/>
              <w:rPr>
                <w:sz w:val="16"/>
                <w:szCs w:val="16"/>
                <w:lang w:eastAsia="en-GB"/>
              </w:rPr>
            </w:pPr>
            <w:r w:rsidRPr="009575F3">
              <w:rPr>
                <w:sz w:val="16"/>
                <w:szCs w:val="16"/>
                <w:lang w:eastAsia="en-GB"/>
              </w:rPr>
              <w:t>1.958</w:t>
            </w:r>
          </w:p>
        </w:tc>
        <w:tc>
          <w:tcPr>
            <w:tcW w:w="711" w:type="dxa"/>
            <w:tcBorders>
              <w:top w:val="nil"/>
              <w:left w:val="nil"/>
              <w:bottom w:val="nil"/>
              <w:right w:val="nil"/>
            </w:tcBorders>
            <w:noWrap/>
            <w:vAlign w:val="bottom"/>
            <w:hideMark/>
          </w:tcPr>
          <w:p w14:paraId="17C9E3F1" w14:textId="77777777" w:rsidR="00022330" w:rsidRPr="009575F3" w:rsidRDefault="00022330" w:rsidP="00FD7082">
            <w:pPr>
              <w:jc w:val="both"/>
              <w:rPr>
                <w:sz w:val="16"/>
                <w:szCs w:val="16"/>
                <w:lang w:eastAsia="en-GB"/>
              </w:rPr>
            </w:pPr>
            <w:r w:rsidRPr="009575F3">
              <w:rPr>
                <w:sz w:val="16"/>
                <w:szCs w:val="16"/>
                <w:lang w:eastAsia="en-GB"/>
              </w:rPr>
              <w:t>2.69</w:t>
            </w:r>
          </w:p>
        </w:tc>
        <w:tc>
          <w:tcPr>
            <w:tcW w:w="1285" w:type="dxa"/>
            <w:tcBorders>
              <w:top w:val="nil"/>
              <w:left w:val="nil"/>
              <w:bottom w:val="nil"/>
              <w:right w:val="nil"/>
            </w:tcBorders>
            <w:noWrap/>
            <w:vAlign w:val="bottom"/>
            <w:hideMark/>
          </w:tcPr>
          <w:p w14:paraId="373A45A1" w14:textId="77777777" w:rsidR="00022330" w:rsidRPr="009575F3" w:rsidRDefault="00022330" w:rsidP="00FD7082">
            <w:pPr>
              <w:jc w:val="both"/>
              <w:rPr>
                <w:sz w:val="16"/>
                <w:szCs w:val="16"/>
                <w:lang w:eastAsia="en-GB"/>
              </w:rPr>
            </w:pPr>
            <w:r w:rsidRPr="009575F3">
              <w:rPr>
                <w:sz w:val="16"/>
                <w:szCs w:val="16"/>
                <w:lang w:eastAsia="en-GB"/>
              </w:rPr>
              <w:t>0.67 - 10.77</w:t>
            </w:r>
          </w:p>
        </w:tc>
        <w:tc>
          <w:tcPr>
            <w:tcW w:w="801" w:type="dxa"/>
            <w:tcBorders>
              <w:top w:val="nil"/>
              <w:left w:val="nil"/>
              <w:bottom w:val="nil"/>
              <w:right w:val="nil"/>
            </w:tcBorders>
            <w:noWrap/>
            <w:vAlign w:val="bottom"/>
            <w:hideMark/>
          </w:tcPr>
          <w:p w14:paraId="518E0A5A" w14:textId="77777777" w:rsidR="00022330" w:rsidRPr="009575F3" w:rsidRDefault="00022330" w:rsidP="00FD7082">
            <w:pPr>
              <w:jc w:val="both"/>
              <w:rPr>
                <w:sz w:val="16"/>
                <w:szCs w:val="16"/>
                <w:lang w:eastAsia="en-GB"/>
              </w:rPr>
            </w:pPr>
            <w:r w:rsidRPr="009575F3">
              <w:rPr>
                <w:sz w:val="16"/>
                <w:szCs w:val="16"/>
                <w:lang w:eastAsia="en-GB"/>
              </w:rPr>
              <w:t>0.162</w:t>
            </w:r>
          </w:p>
        </w:tc>
      </w:tr>
      <w:tr w:rsidR="00022330" w:rsidRPr="009575F3" w14:paraId="5F2588BC" w14:textId="77777777" w:rsidTr="00FD7082">
        <w:trPr>
          <w:trHeight w:val="315"/>
        </w:trPr>
        <w:tc>
          <w:tcPr>
            <w:tcW w:w="1681" w:type="dxa"/>
            <w:tcBorders>
              <w:top w:val="nil"/>
              <w:left w:val="nil"/>
              <w:bottom w:val="single" w:sz="4" w:space="0" w:color="auto"/>
              <w:right w:val="nil"/>
            </w:tcBorders>
            <w:noWrap/>
            <w:vAlign w:val="bottom"/>
            <w:hideMark/>
          </w:tcPr>
          <w:p w14:paraId="3AD11540"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0229019C" w14:textId="77777777" w:rsidR="00022330" w:rsidRPr="009575F3" w:rsidRDefault="00022330" w:rsidP="00FD7082">
            <w:pPr>
              <w:jc w:val="both"/>
              <w:rPr>
                <w:sz w:val="16"/>
                <w:szCs w:val="16"/>
                <w:lang w:eastAsia="en-GB"/>
              </w:rPr>
            </w:pPr>
            <w:r w:rsidRPr="009575F3">
              <w:rPr>
                <w:sz w:val="16"/>
                <w:szCs w:val="16"/>
                <w:lang w:eastAsia="en-GB"/>
              </w:rPr>
              <w:t>95 (54.6)</w:t>
            </w:r>
          </w:p>
        </w:tc>
        <w:tc>
          <w:tcPr>
            <w:tcW w:w="1029" w:type="dxa"/>
            <w:tcBorders>
              <w:top w:val="nil"/>
              <w:left w:val="nil"/>
              <w:bottom w:val="single" w:sz="4" w:space="0" w:color="auto"/>
              <w:right w:val="nil"/>
            </w:tcBorders>
            <w:noWrap/>
            <w:vAlign w:val="bottom"/>
            <w:hideMark/>
          </w:tcPr>
          <w:p w14:paraId="7A2F6A7A"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0814BBFE"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1E7CB872"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31BCB798"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2FDC1551"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292A88C3"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5FCD6D7D"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66EE4DA4" w14:textId="77777777" w:rsidR="00022330" w:rsidRPr="009575F3" w:rsidRDefault="00022330" w:rsidP="00FD7082">
            <w:pPr>
              <w:jc w:val="both"/>
              <w:rPr>
                <w:sz w:val="16"/>
                <w:szCs w:val="16"/>
                <w:lang w:eastAsia="en-GB"/>
              </w:rPr>
            </w:pPr>
          </w:p>
        </w:tc>
      </w:tr>
      <w:tr w:rsidR="00022330" w:rsidRPr="009575F3" w14:paraId="430136F9" w14:textId="77777777" w:rsidTr="00FD7082">
        <w:trPr>
          <w:trHeight w:val="315"/>
        </w:trPr>
        <w:tc>
          <w:tcPr>
            <w:tcW w:w="1681" w:type="dxa"/>
            <w:tcBorders>
              <w:top w:val="nil"/>
              <w:left w:val="nil"/>
              <w:bottom w:val="nil"/>
              <w:right w:val="nil"/>
            </w:tcBorders>
            <w:noWrap/>
            <w:vAlign w:val="bottom"/>
            <w:hideMark/>
          </w:tcPr>
          <w:p w14:paraId="3DFB6D50" w14:textId="77777777" w:rsidR="00022330" w:rsidRPr="009575F3" w:rsidRDefault="00022330" w:rsidP="00FD7082">
            <w:pPr>
              <w:jc w:val="both"/>
              <w:rPr>
                <w:b/>
                <w:bCs/>
                <w:sz w:val="16"/>
                <w:szCs w:val="16"/>
                <w:lang w:eastAsia="en-GB"/>
              </w:rPr>
            </w:pPr>
            <w:r w:rsidRPr="009575F3">
              <w:rPr>
                <w:b/>
                <w:bCs/>
                <w:sz w:val="16"/>
                <w:szCs w:val="16"/>
                <w:lang w:eastAsia="en-GB"/>
              </w:rPr>
              <w:t>STEREOACUITY</w:t>
            </w:r>
          </w:p>
        </w:tc>
        <w:tc>
          <w:tcPr>
            <w:tcW w:w="1118" w:type="dxa"/>
            <w:tcBorders>
              <w:top w:val="single" w:sz="4" w:space="0" w:color="auto"/>
              <w:left w:val="nil"/>
              <w:bottom w:val="nil"/>
              <w:right w:val="nil"/>
            </w:tcBorders>
            <w:noWrap/>
            <w:vAlign w:val="bottom"/>
            <w:hideMark/>
          </w:tcPr>
          <w:p w14:paraId="719D67CE"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3EA4508F"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40B34834"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38E5CCF5"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62F49337"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5BC0985E"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06A243DD"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1A12367A"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47C09AD8" w14:textId="77777777" w:rsidR="00022330" w:rsidRPr="009575F3" w:rsidRDefault="00022330" w:rsidP="00FD7082">
            <w:pPr>
              <w:jc w:val="both"/>
              <w:rPr>
                <w:sz w:val="16"/>
                <w:szCs w:val="16"/>
                <w:lang w:eastAsia="en-GB"/>
              </w:rPr>
            </w:pPr>
          </w:p>
        </w:tc>
      </w:tr>
      <w:tr w:rsidR="00022330" w:rsidRPr="009575F3" w14:paraId="6557CC63" w14:textId="77777777" w:rsidTr="00FD7082">
        <w:trPr>
          <w:trHeight w:val="315"/>
        </w:trPr>
        <w:tc>
          <w:tcPr>
            <w:tcW w:w="1681" w:type="dxa"/>
            <w:tcBorders>
              <w:top w:val="nil"/>
              <w:left w:val="nil"/>
              <w:bottom w:val="nil"/>
              <w:right w:val="nil"/>
            </w:tcBorders>
            <w:noWrap/>
            <w:vAlign w:val="bottom"/>
            <w:hideMark/>
          </w:tcPr>
          <w:p w14:paraId="20A6B484"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3667FF6D" w14:textId="77777777" w:rsidR="00022330" w:rsidRPr="009575F3" w:rsidRDefault="00022330" w:rsidP="00FD7082">
            <w:pPr>
              <w:jc w:val="both"/>
              <w:rPr>
                <w:sz w:val="16"/>
                <w:szCs w:val="16"/>
                <w:lang w:eastAsia="en-GB"/>
              </w:rPr>
            </w:pPr>
            <w:r w:rsidRPr="009575F3">
              <w:rPr>
                <w:sz w:val="16"/>
                <w:szCs w:val="16"/>
                <w:lang w:eastAsia="en-GB"/>
              </w:rPr>
              <w:t>66 (74.2)</w:t>
            </w:r>
          </w:p>
        </w:tc>
        <w:tc>
          <w:tcPr>
            <w:tcW w:w="1029" w:type="dxa"/>
            <w:tcBorders>
              <w:top w:val="nil"/>
              <w:left w:val="nil"/>
              <w:bottom w:val="nil"/>
              <w:right w:val="nil"/>
            </w:tcBorders>
            <w:noWrap/>
            <w:vAlign w:val="bottom"/>
            <w:hideMark/>
          </w:tcPr>
          <w:p w14:paraId="4EBEB969" w14:textId="77777777" w:rsidR="00022330" w:rsidRPr="009575F3" w:rsidRDefault="00022330" w:rsidP="00FD7082">
            <w:pPr>
              <w:jc w:val="both"/>
              <w:rPr>
                <w:sz w:val="16"/>
                <w:szCs w:val="16"/>
                <w:lang w:eastAsia="en-GB"/>
              </w:rPr>
            </w:pPr>
            <w:r w:rsidRPr="009575F3">
              <w:rPr>
                <w:sz w:val="16"/>
                <w:szCs w:val="16"/>
                <w:lang w:eastAsia="en-GB"/>
              </w:rPr>
              <w:t>21.654</w:t>
            </w:r>
          </w:p>
        </w:tc>
        <w:tc>
          <w:tcPr>
            <w:tcW w:w="567" w:type="dxa"/>
            <w:tcBorders>
              <w:top w:val="nil"/>
              <w:left w:val="nil"/>
              <w:bottom w:val="nil"/>
              <w:right w:val="nil"/>
            </w:tcBorders>
            <w:noWrap/>
            <w:vAlign w:val="bottom"/>
            <w:hideMark/>
          </w:tcPr>
          <w:p w14:paraId="05DBCF8F" w14:textId="77777777" w:rsidR="00022330" w:rsidRPr="009575F3" w:rsidRDefault="00022330" w:rsidP="00FD7082">
            <w:pPr>
              <w:jc w:val="both"/>
              <w:rPr>
                <w:sz w:val="16"/>
                <w:szCs w:val="16"/>
                <w:lang w:eastAsia="en-GB"/>
              </w:rPr>
            </w:pPr>
            <w:r w:rsidRPr="009575F3">
              <w:rPr>
                <w:sz w:val="16"/>
                <w:szCs w:val="16"/>
                <w:lang w:eastAsia="en-GB"/>
              </w:rPr>
              <w:t>3.77</w:t>
            </w:r>
          </w:p>
        </w:tc>
        <w:tc>
          <w:tcPr>
            <w:tcW w:w="1295" w:type="dxa"/>
            <w:tcBorders>
              <w:top w:val="nil"/>
              <w:left w:val="nil"/>
              <w:bottom w:val="nil"/>
              <w:right w:val="nil"/>
            </w:tcBorders>
            <w:noWrap/>
            <w:vAlign w:val="bottom"/>
            <w:hideMark/>
          </w:tcPr>
          <w:p w14:paraId="5CB64F54" w14:textId="77777777" w:rsidR="00022330" w:rsidRPr="009575F3" w:rsidRDefault="00022330" w:rsidP="00FD7082">
            <w:pPr>
              <w:jc w:val="both"/>
              <w:rPr>
                <w:sz w:val="16"/>
                <w:szCs w:val="16"/>
                <w:lang w:eastAsia="en-GB"/>
              </w:rPr>
            </w:pPr>
            <w:r w:rsidRPr="009575F3">
              <w:rPr>
                <w:sz w:val="16"/>
                <w:szCs w:val="16"/>
                <w:lang w:eastAsia="en-GB"/>
              </w:rPr>
              <w:t>2.16 - 6.60</w:t>
            </w:r>
          </w:p>
        </w:tc>
        <w:tc>
          <w:tcPr>
            <w:tcW w:w="771" w:type="dxa"/>
            <w:tcBorders>
              <w:top w:val="nil"/>
              <w:left w:val="nil"/>
              <w:bottom w:val="nil"/>
              <w:right w:val="nil"/>
            </w:tcBorders>
            <w:noWrap/>
            <w:vAlign w:val="bottom"/>
            <w:hideMark/>
          </w:tcPr>
          <w:p w14:paraId="590E3410" w14:textId="77777777" w:rsidR="00022330" w:rsidRPr="009575F3" w:rsidRDefault="00022330" w:rsidP="00FD7082">
            <w:pPr>
              <w:jc w:val="both"/>
              <w:rPr>
                <w:sz w:val="16"/>
                <w:szCs w:val="16"/>
                <w:lang w:eastAsia="en-GB"/>
              </w:rPr>
            </w:pPr>
            <w:r w:rsidRPr="009575F3">
              <w:rPr>
                <w:sz w:val="16"/>
                <w:szCs w:val="16"/>
                <w:lang w:eastAsia="en-GB"/>
              </w:rPr>
              <w:t>0.000*</w:t>
            </w:r>
          </w:p>
        </w:tc>
        <w:tc>
          <w:tcPr>
            <w:tcW w:w="1070" w:type="dxa"/>
            <w:tcBorders>
              <w:top w:val="nil"/>
              <w:left w:val="nil"/>
              <w:bottom w:val="nil"/>
              <w:right w:val="nil"/>
            </w:tcBorders>
            <w:noWrap/>
            <w:vAlign w:val="bottom"/>
            <w:hideMark/>
          </w:tcPr>
          <w:p w14:paraId="10F02EE5" w14:textId="77777777" w:rsidR="00022330" w:rsidRPr="009575F3" w:rsidRDefault="00022330" w:rsidP="00FD7082">
            <w:pPr>
              <w:jc w:val="both"/>
              <w:rPr>
                <w:sz w:val="16"/>
                <w:szCs w:val="16"/>
                <w:lang w:eastAsia="en-GB"/>
              </w:rPr>
            </w:pPr>
            <w:r w:rsidRPr="009575F3">
              <w:rPr>
                <w:sz w:val="16"/>
                <w:szCs w:val="16"/>
                <w:lang w:eastAsia="en-GB"/>
              </w:rPr>
              <w:t>5.857</w:t>
            </w:r>
          </w:p>
        </w:tc>
        <w:tc>
          <w:tcPr>
            <w:tcW w:w="711" w:type="dxa"/>
            <w:tcBorders>
              <w:top w:val="nil"/>
              <w:left w:val="nil"/>
              <w:bottom w:val="nil"/>
              <w:right w:val="nil"/>
            </w:tcBorders>
            <w:noWrap/>
            <w:vAlign w:val="bottom"/>
            <w:hideMark/>
          </w:tcPr>
          <w:p w14:paraId="6943BBF0" w14:textId="77777777" w:rsidR="00022330" w:rsidRPr="009575F3" w:rsidRDefault="00022330" w:rsidP="00FD7082">
            <w:pPr>
              <w:jc w:val="both"/>
              <w:rPr>
                <w:sz w:val="16"/>
                <w:szCs w:val="16"/>
                <w:lang w:eastAsia="en-GB"/>
              </w:rPr>
            </w:pPr>
            <w:r w:rsidRPr="009575F3">
              <w:rPr>
                <w:sz w:val="16"/>
                <w:szCs w:val="16"/>
                <w:lang w:eastAsia="en-GB"/>
              </w:rPr>
              <w:t>2.37</w:t>
            </w:r>
          </w:p>
        </w:tc>
        <w:tc>
          <w:tcPr>
            <w:tcW w:w="1285" w:type="dxa"/>
            <w:tcBorders>
              <w:top w:val="nil"/>
              <w:left w:val="nil"/>
              <w:bottom w:val="nil"/>
              <w:right w:val="nil"/>
            </w:tcBorders>
            <w:noWrap/>
            <w:vAlign w:val="bottom"/>
            <w:hideMark/>
          </w:tcPr>
          <w:p w14:paraId="668DE198" w14:textId="77777777" w:rsidR="00022330" w:rsidRPr="009575F3" w:rsidRDefault="00022330" w:rsidP="00FD7082">
            <w:pPr>
              <w:jc w:val="both"/>
              <w:rPr>
                <w:sz w:val="16"/>
                <w:szCs w:val="16"/>
                <w:lang w:eastAsia="en-GB"/>
              </w:rPr>
            </w:pPr>
            <w:r w:rsidRPr="009575F3">
              <w:rPr>
                <w:sz w:val="16"/>
                <w:szCs w:val="16"/>
                <w:lang w:eastAsia="en-GB"/>
              </w:rPr>
              <w:t>1.18 - 4.76</w:t>
            </w:r>
          </w:p>
        </w:tc>
        <w:tc>
          <w:tcPr>
            <w:tcW w:w="801" w:type="dxa"/>
            <w:tcBorders>
              <w:top w:val="nil"/>
              <w:left w:val="nil"/>
              <w:bottom w:val="nil"/>
              <w:right w:val="nil"/>
            </w:tcBorders>
            <w:noWrap/>
            <w:vAlign w:val="bottom"/>
            <w:hideMark/>
          </w:tcPr>
          <w:p w14:paraId="6C146446" w14:textId="77777777" w:rsidR="00022330" w:rsidRPr="009575F3" w:rsidRDefault="00022330" w:rsidP="00FD7082">
            <w:pPr>
              <w:jc w:val="both"/>
              <w:rPr>
                <w:sz w:val="16"/>
                <w:szCs w:val="16"/>
                <w:lang w:eastAsia="en-GB"/>
              </w:rPr>
            </w:pPr>
            <w:r w:rsidRPr="009575F3">
              <w:rPr>
                <w:sz w:val="16"/>
                <w:szCs w:val="16"/>
                <w:lang w:eastAsia="en-GB"/>
              </w:rPr>
              <w:t>0.016*</w:t>
            </w:r>
          </w:p>
        </w:tc>
      </w:tr>
      <w:tr w:rsidR="00022330" w:rsidRPr="009575F3" w14:paraId="1A6F7659" w14:textId="77777777" w:rsidTr="00FD7082">
        <w:trPr>
          <w:trHeight w:val="315"/>
        </w:trPr>
        <w:tc>
          <w:tcPr>
            <w:tcW w:w="1681" w:type="dxa"/>
            <w:tcBorders>
              <w:top w:val="nil"/>
              <w:left w:val="nil"/>
              <w:bottom w:val="single" w:sz="4" w:space="0" w:color="auto"/>
              <w:right w:val="nil"/>
            </w:tcBorders>
            <w:noWrap/>
            <w:vAlign w:val="bottom"/>
            <w:hideMark/>
          </w:tcPr>
          <w:p w14:paraId="7448CEA6"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282CAA98" w14:textId="77777777" w:rsidR="00022330" w:rsidRPr="009575F3" w:rsidRDefault="00022330" w:rsidP="00FD7082">
            <w:pPr>
              <w:jc w:val="both"/>
              <w:rPr>
                <w:sz w:val="16"/>
                <w:szCs w:val="16"/>
                <w:lang w:eastAsia="en-GB"/>
              </w:rPr>
            </w:pPr>
            <w:r w:rsidRPr="009575F3">
              <w:rPr>
                <w:sz w:val="16"/>
                <w:szCs w:val="16"/>
                <w:lang w:eastAsia="en-GB"/>
              </w:rPr>
              <w:t>42 (42.4)</w:t>
            </w:r>
          </w:p>
        </w:tc>
        <w:tc>
          <w:tcPr>
            <w:tcW w:w="1029" w:type="dxa"/>
            <w:tcBorders>
              <w:top w:val="nil"/>
              <w:left w:val="nil"/>
              <w:bottom w:val="single" w:sz="4" w:space="0" w:color="auto"/>
              <w:right w:val="nil"/>
            </w:tcBorders>
            <w:noWrap/>
            <w:vAlign w:val="bottom"/>
            <w:hideMark/>
          </w:tcPr>
          <w:p w14:paraId="54995F76"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1AF00E55"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06628BE7"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0D9DD92A"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7BA0D53B"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64212261"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6630DD72"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7BAC4211" w14:textId="77777777" w:rsidR="00022330" w:rsidRPr="009575F3" w:rsidRDefault="00022330" w:rsidP="00FD7082">
            <w:pPr>
              <w:jc w:val="both"/>
              <w:rPr>
                <w:sz w:val="16"/>
                <w:szCs w:val="16"/>
                <w:lang w:eastAsia="en-GB"/>
              </w:rPr>
            </w:pPr>
          </w:p>
        </w:tc>
      </w:tr>
      <w:tr w:rsidR="00022330" w:rsidRPr="009575F3" w14:paraId="31C3C1CB" w14:textId="77777777" w:rsidTr="00FD7082">
        <w:trPr>
          <w:trHeight w:val="315"/>
        </w:trPr>
        <w:tc>
          <w:tcPr>
            <w:tcW w:w="1681" w:type="dxa"/>
            <w:tcBorders>
              <w:top w:val="nil"/>
              <w:left w:val="nil"/>
              <w:bottom w:val="nil"/>
              <w:right w:val="nil"/>
            </w:tcBorders>
            <w:noWrap/>
            <w:vAlign w:val="bottom"/>
            <w:hideMark/>
          </w:tcPr>
          <w:p w14:paraId="411BE4A9" w14:textId="77777777" w:rsidR="00022330" w:rsidRPr="009575F3" w:rsidRDefault="00022330" w:rsidP="00FD7082">
            <w:pPr>
              <w:jc w:val="both"/>
              <w:rPr>
                <w:b/>
                <w:bCs/>
                <w:sz w:val="16"/>
                <w:szCs w:val="16"/>
                <w:lang w:eastAsia="en-GB"/>
              </w:rPr>
            </w:pPr>
            <w:r w:rsidRPr="009575F3">
              <w:rPr>
                <w:b/>
                <w:bCs/>
                <w:sz w:val="16"/>
                <w:szCs w:val="16"/>
                <w:lang w:eastAsia="en-GB"/>
              </w:rPr>
              <w:t>VISUAL FIELD</w:t>
            </w:r>
          </w:p>
        </w:tc>
        <w:tc>
          <w:tcPr>
            <w:tcW w:w="1118" w:type="dxa"/>
            <w:tcBorders>
              <w:top w:val="nil"/>
              <w:left w:val="nil"/>
              <w:bottom w:val="nil"/>
              <w:right w:val="nil"/>
            </w:tcBorders>
            <w:noWrap/>
            <w:vAlign w:val="bottom"/>
            <w:hideMark/>
          </w:tcPr>
          <w:p w14:paraId="6620074D" w14:textId="77777777" w:rsidR="00022330" w:rsidRPr="009575F3" w:rsidRDefault="00022330" w:rsidP="00FD7082">
            <w:pPr>
              <w:jc w:val="both"/>
              <w:rPr>
                <w:b/>
                <w:bCs/>
                <w:sz w:val="16"/>
                <w:szCs w:val="16"/>
                <w:lang w:eastAsia="en-GB"/>
              </w:rPr>
            </w:pPr>
          </w:p>
        </w:tc>
        <w:tc>
          <w:tcPr>
            <w:tcW w:w="1029" w:type="dxa"/>
            <w:tcBorders>
              <w:top w:val="nil"/>
              <w:left w:val="nil"/>
              <w:bottom w:val="nil"/>
              <w:right w:val="nil"/>
            </w:tcBorders>
            <w:noWrap/>
            <w:vAlign w:val="bottom"/>
            <w:hideMark/>
          </w:tcPr>
          <w:p w14:paraId="75C501FE" w14:textId="77777777" w:rsidR="00022330" w:rsidRPr="009575F3" w:rsidRDefault="00022330" w:rsidP="00FD7082">
            <w:pPr>
              <w:jc w:val="both"/>
              <w:rPr>
                <w:sz w:val="16"/>
                <w:szCs w:val="16"/>
                <w:lang w:eastAsia="en-GB"/>
              </w:rPr>
            </w:pPr>
          </w:p>
        </w:tc>
        <w:tc>
          <w:tcPr>
            <w:tcW w:w="567" w:type="dxa"/>
            <w:tcBorders>
              <w:top w:val="nil"/>
              <w:left w:val="nil"/>
              <w:bottom w:val="nil"/>
              <w:right w:val="nil"/>
            </w:tcBorders>
            <w:noWrap/>
            <w:vAlign w:val="bottom"/>
            <w:hideMark/>
          </w:tcPr>
          <w:p w14:paraId="21EA5221"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355D8259"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5F5E5950"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419528C1" w14:textId="77777777" w:rsidR="00022330" w:rsidRPr="009575F3" w:rsidRDefault="00022330" w:rsidP="00FD7082">
            <w:pPr>
              <w:jc w:val="both"/>
              <w:rPr>
                <w:sz w:val="16"/>
                <w:szCs w:val="16"/>
                <w:lang w:eastAsia="en-GB"/>
              </w:rPr>
            </w:pPr>
          </w:p>
        </w:tc>
        <w:tc>
          <w:tcPr>
            <w:tcW w:w="711" w:type="dxa"/>
            <w:tcBorders>
              <w:top w:val="nil"/>
              <w:left w:val="nil"/>
              <w:bottom w:val="nil"/>
              <w:right w:val="nil"/>
            </w:tcBorders>
            <w:noWrap/>
            <w:vAlign w:val="bottom"/>
            <w:hideMark/>
          </w:tcPr>
          <w:p w14:paraId="12495406" w14:textId="77777777" w:rsidR="00022330" w:rsidRPr="009575F3" w:rsidRDefault="00022330" w:rsidP="00FD7082">
            <w:pPr>
              <w:jc w:val="both"/>
              <w:rPr>
                <w:sz w:val="16"/>
                <w:szCs w:val="16"/>
                <w:lang w:eastAsia="en-GB"/>
              </w:rPr>
            </w:pPr>
          </w:p>
        </w:tc>
        <w:tc>
          <w:tcPr>
            <w:tcW w:w="1285" w:type="dxa"/>
            <w:tcBorders>
              <w:top w:val="nil"/>
              <w:left w:val="nil"/>
              <w:bottom w:val="nil"/>
              <w:right w:val="nil"/>
            </w:tcBorders>
            <w:noWrap/>
            <w:vAlign w:val="bottom"/>
            <w:hideMark/>
          </w:tcPr>
          <w:p w14:paraId="222930D7" w14:textId="77777777" w:rsidR="00022330" w:rsidRPr="009575F3" w:rsidRDefault="00022330" w:rsidP="00FD7082">
            <w:pPr>
              <w:jc w:val="both"/>
              <w:rPr>
                <w:sz w:val="16"/>
                <w:szCs w:val="16"/>
                <w:lang w:eastAsia="en-GB"/>
              </w:rPr>
            </w:pPr>
          </w:p>
        </w:tc>
        <w:tc>
          <w:tcPr>
            <w:tcW w:w="801" w:type="dxa"/>
            <w:tcBorders>
              <w:top w:val="nil"/>
              <w:left w:val="nil"/>
              <w:bottom w:val="nil"/>
              <w:right w:val="nil"/>
            </w:tcBorders>
            <w:noWrap/>
            <w:vAlign w:val="bottom"/>
            <w:hideMark/>
          </w:tcPr>
          <w:p w14:paraId="21436699" w14:textId="77777777" w:rsidR="00022330" w:rsidRPr="009575F3" w:rsidRDefault="00022330" w:rsidP="00FD7082">
            <w:pPr>
              <w:jc w:val="both"/>
              <w:rPr>
                <w:sz w:val="16"/>
                <w:szCs w:val="16"/>
                <w:lang w:eastAsia="en-GB"/>
              </w:rPr>
            </w:pPr>
          </w:p>
        </w:tc>
      </w:tr>
      <w:tr w:rsidR="00022330" w:rsidRPr="009575F3" w14:paraId="74BD90AE" w14:textId="77777777" w:rsidTr="00FD7082">
        <w:trPr>
          <w:trHeight w:val="315"/>
        </w:trPr>
        <w:tc>
          <w:tcPr>
            <w:tcW w:w="1681" w:type="dxa"/>
            <w:tcBorders>
              <w:top w:val="nil"/>
              <w:left w:val="nil"/>
              <w:bottom w:val="nil"/>
              <w:right w:val="nil"/>
            </w:tcBorders>
            <w:noWrap/>
            <w:vAlign w:val="bottom"/>
            <w:hideMark/>
          </w:tcPr>
          <w:p w14:paraId="3DEE43CA"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78AB7B50" w14:textId="77777777" w:rsidR="00022330" w:rsidRPr="009575F3" w:rsidRDefault="00022330" w:rsidP="00FD7082">
            <w:pPr>
              <w:jc w:val="both"/>
              <w:rPr>
                <w:sz w:val="16"/>
                <w:szCs w:val="16"/>
                <w:lang w:eastAsia="en-GB"/>
              </w:rPr>
            </w:pPr>
            <w:r w:rsidRPr="009575F3">
              <w:rPr>
                <w:sz w:val="16"/>
                <w:szCs w:val="16"/>
                <w:lang w:eastAsia="en-GB"/>
              </w:rPr>
              <w:t>8 (100.0)</w:t>
            </w:r>
          </w:p>
        </w:tc>
        <w:tc>
          <w:tcPr>
            <w:tcW w:w="1029" w:type="dxa"/>
            <w:tcBorders>
              <w:top w:val="nil"/>
              <w:left w:val="nil"/>
              <w:bottom w:val="nil"/>
              <w:right w:val="nil"/>
            </w:tcBorders>
            <w:noWrap/>
            <w:vAlign w:val="bottom"/>
            <w:hideMark/>
          </w:tcPr>
          <w:p w14:paraId="65A6B195" w14:textId="77777777" w:rsidR="00022330" w:rsidRPr="009575F3" w:rsidRDefault="00022330" w:rsidP="00FD7082">
            <w:pPr>
              <w:jc w:val="both"/>
              <w:rPr>
                <w:sz w:val="16"/>
                <w:szCs w:val="16"/>
                <w:lang w:eastAsia="en-GB"/>
              </w:rPr>
            </w:pPr>
            <w:r w:rsidRPr="009575F3">
              <w:rPr>
                <w:sz w:val="16"/>
                <w:szCs w:val="16"/>
                <w:lang w:eastAsia="en-GB"/>
              </w:rPr>
              <w:t>2.437</w:t>
            </w:r>
          </w:p>
        </w:tc>
        <w:tc>
          <w:tcPr>
            <w:tcW w:w="567" w:type="dxa"/>
            <w:tcBorders>
              <w:top w:val="nil"/>
              <w:left w:val="nil"/>
              <w:bottom w:val="nil"/>
              <w:right w:val="nil"/>
            </w:tcBorders>
            <w:noWrap/>
            <w:vAlign w:val="bottom"/>
            <w:hideMark/>
          </w:tcPr>
          <w:p w14:paraId="46F79558" w14:textId="77777777" w:rsidR="00022330" w:rsidRPr="009575F3" w:rsidRDefault="00022330" w:rsidP="00FD7082">
            <w:pPr>
              <w:jc w:val="both"/>
              <w:rPr>
                <w:sz w:val="16"/>
                <w:szCs w:val="16"/>
                <w:lang w:eastAsia="en-GB"/>
              </w:rPr>
            </w:pPr>
            <w:r w:rsidRPr="009575F3">
              <w:rPr>
                <w:sz w:val="16"/>
                <w:szCs w:val="16"/>
                <w:lang w:eastAsia="en-GB"/>
              </w:rPr>
              <w:t>3.05</w:t>
            </w:r>
          </w:p>
        </w:tc>
        <w:tc>
          <w:tcPr>
            <w:tcW w:w="1295" w:type="dxa"/>
            <w:tcBorders>
              <w:top w:val="nil"/>
              <w:left w:val="nil"/>
              <w:bottom w:val="nil"/>
              <w:right w:val="nil"/>
            </w:tcBorders>
            <w:noWrap/>
            <w:vAlign w:val="bottom"/>
            <w:hideMark/>
          </w:tcPr>
          <w:p w14:paraId="2329203F" w14:textId="77777777" w:rsidR="00022330" w:rsidRPr="009575F3" w:rsidRDefault="00022330" w:rsidP="00FD7082">
            <w:pPr>
              <w:jc w:val="both"/>
              <w:rPr>
                <w:sz w:val="16"/>
                <w:szCs w:val="16"/>
                <w:lang w:eastAsia="en-GB"/>
              </w:rPr>
            </w:pPr>
            <w:r w:rsidRPr="009575F3">
              <w:rPr>
                <w:sz w:val="16"/>
                <w:szCs w:val="16"/>
                <w:lang w:eastAsia="en-GB"/>
              </w:rPr>
              <w:t>0.75 - 12.37</w:t>
            </w:r>
          </w:p>
        </w:tc>
        <w:tc>
          <w:tcPr>
            <w:tcW w:w="771" w:type="dxa"/>
            <w:tcBorders>
              <w:top w:val="nil"/>
              <w:left w:val="nil"/>
              <w:bottom w:val="nil"/>
              <w:right w:val="nil"/>
            </w:tcBorders>
            <w:noWrap/>
            <w:vAlign w:val="bottom"/>
            <w:hideMark/>
          </w:tcPr>
          <w:p w14:paraId="7BC6CB1A" w14:textId="77777777" w:rsidR="00022330" w:rsidRPr="009575F3" w:rsidRDefault="00022330" w:rsidP="00FD7082">
            <w:pPr>
              <w:jc w:val="both"/>
              <w:rPr>
                <w:sz w:val="16"/>
                <w:szCs w:val="16"/>
                <w:lang w:eastAsia="en-GB"/>
              </w:rPr>
            </w:pPr>
            <w:r w:rsidRPr="009575F3">
              <w:rPr>
                <w:sz w:val="16"/>
                <w:szCs w:val="16"/>
                <w:lang w:eastAsia="en-GB"/>
              </w:rPr>
              <w:t>0.119</w:t>
            </w:r>
          </w:p>
        </w:tc>
        <w:tc>
          <w:tcPr>
            <w:tcW w:w="1070" w:type="dxa"/>
            <w:tcBorders>
              <w:top w:val="nil"/>
              <w:left w:val="nil"/>
              <w:bottom w:val="nil"/>
              <w:right w:val="nil"/>
            </w:tcBorders>
            <w:noWrap/>
            <w:vAlign w:val="bottom"/>
            <w:hideMark/>
          </w:tcPr>
          <w:p w14:paraId="146AA9D2" w14:textId="77777777" w:rsidR="00022330" w:rsidRPr="009575F3" w:rsidRDefault="00022330" w:rsidP="00FD7082">
            <w:pPr>
              <w:jc w:val="both"/>
              <w:rPr>
                <w:sz w:val="16"/>
                <w:szCs w:val="16"/>
                <w:lang w:eastAsia="en-GB"/>
              </w:rPr>
            </w:pPr>
            <w:r w:rsidRPr="009575F3">
              <w:rPr>
                <w:sz w:val="16"/>
                <w:szCs w:val="16"/>
                <w:lang w:eastAsia="en-GB"/>
              </w:rPr>
              <w:t>0.686</w:t>
            </w:r>
          </w:p>
        </w:tc>
        <w:tc>
          <w:tcPr>
            <w:tcW w:w="711" w:type="dxa"/>
            <w:tcBorders>
              <w:top w:val="nil"/>
              <w:left w:val="nil"/>
              <w:bottom w:val="nil"/>
              <w:right w:val="nil"/>
            </w:tcBorders>
            <w:noWrap/>
            <w:vAlign w:val="bottom"/>
            <w:hideMark/>
          </w:tcPr>
          <w:p w14:paraId="5B019D0D" w14:textId="77777777" w:rsidR="00022330" w:rsidRPr="009575F3" w:rsidRDefault="00022330" w:rsidP="00FD7082">
            <w:pPr>
              <w:jc w:val="both"/>
              <w:rPr>
                <w:sz w:val="16"/>
                <w:szCs w:val="16"/>
                <w:lang w:eastAsia="en-GB"/>
              </w:rPr>
            </w:pPr>
            <w:r w:rsidRPr="009575F3">
              <w:rPr>
                <w:sz w:val="16"/>
                <w:szCs w:val="16"/>
                <w:lang w:eastAsia="en-GB"/>
              </w:rPr>
              <w:t>0.48</w:t>
            </w:r>
          </w:p>
        </w:tc>
        <w:tc>
          <w:tcPr>
            <w:tcW w:w="1285" w:type="dxa"/>
            <w:tcBorders>
              <w:top w:val="nil"/>
              <w:left w:val="nil"/>
              <w:bottom w:val="nil"/>
              <w:right w:val="nil"/>
            </w:tcBorders>
            <w:noWrap/>
            <w:vAlign w:val="bottom"/>
            <w:hideMark/>
          </w:tcPr>
          <w:p w14:paraId="67F2EBAA" w14:textId="77777777" w:rsidR="00022330" w:rsidRPr="009575F3" w:rsidRDefault="00022330" w:rsidP="00FD7082">
            <w:pPr>
              <w:jc w:val="both"/>
              <w:rPr>
                <w:sz w:val="16"/>
                <w:szCs w:val="16"/>
                <w:lang w:eastAsia="en-GB"/>
              </w:rPr>
            </w:pPr>
            <w:r w:rsidRPr="009575F3">
              <w:rPr>
                <w:sz w:val="16"/>
                <w:szCs w:val="16"/>
                <w:lang w:eastAsia="en-GB"/>
              </w:rPr>
              <w:t>0.09 - 2.69</w:t>
            </w:r>
          </w:p>
        </w:tc>
        <w:tc>
          <w:tcPr>
            <w:tcW w:w="801" w:type="dxa"/>
            <w:tcBorders>
              <w:top w:val="nil"/>
              <w:left w:val="nil"/>
              <w:bottom w:val="nil"/>
              <w:right w:val="nil"/>
            </w:tcBorders>
            <w:noWrap/>
            <w:vAlign w:val="bottom"/>
            <w:hideMark/>
          </w:tcPr>
          <w:p w14:paraId="6D47C0D5" w14:textId="77777777" w:rsidR="00022330" w:rsidRPr="009575F3" w:rsidRDefault="00022330" w:rsidP="00FD7082">
            <w:pPr>
              <w:jc w:val="both"/>
              <w:rPr>
                <w:sz w:val="16"/>
                <w:szCs w:val="16"/>
                <w:lang w:eastAsia="en-GB"/>
              </w:rPr>
            </w:pPr>
            <w:r w:rsidRPr="009575F3">
              <w:rPr>
                <w:sz w:val="16"/>
                <w:szCs w:val="16"/>
                <w:lang w:eastAsia="en-GB"/>
              </w:rPr>
              <w:t>0.407</w:t>
            </w:r>
          </w:p>
        </w:tc>
      </w:tr>
      <w:tr w:rsidR="00022330" w:rsidRPr="009575F3" w14:paraId="333F02DE" w14:textId="77777777" w:rsidTr="00FD7082">
        <w:trPr>
          <w:trHeight w:val="315"/>
        </w:trPr>
        <w:tc>
          <w:tcPr>
            <w:tcW w:w="1681" w:type="dxa"/>
            <w:tcBorders>
              <w:top w:val="nil"/>
              <w:left w:val="nil"/>
              <w:bottom w:val="nil"/>
              <w:right w:val="nil"/>
            </w:tcBorders>
            <w:noWrap/>
            <w:vAlign w:val="bottom"/>
            <w:hideMark/>
          </w:tcPr>
          <w:p w14:paraId="2764533B"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4ED9C730" w14:textId="77777777" w:rsidR="00022330" w:rsidRPr="009575F3" w:rsidRDefault="00022330" w:rsidP="00FD7082">
            <w:pPr>
              <w:jc w:val="both"/>
              <w:rPr>
                <w:sz w:val="16"/>
                <w:szCs w:val="16"/>
                <w:lang w:eastAsia="en-GB"/>
              </w:rPr>
            </w:pPr>
            <w:r w:rsidRPr="009575F3">
              <w:rPr>
                <w:sz w:val="16"/>
                <w:szCs w:val="16"/>
                <w:lang w:eastAsia="en-GB"/>
              </w:rPr>
              <w:t>100 (55.6)</w:t>
            </w:r>
          </w:p>
        </w:tc>
        <w:tc>
          <w:tcPr>
            <w:tcW w:w="1029" w:type="dxa"/>
            <w:tcBorders>
              <w:top w:val="nil"/>
              <w:left w:val="nil"/>
              <w:bottom w:val="single" w:sz="4" w:space="0" w:color="auto"/>
              <w:right w:val="nil"/>
            </w:tcBorders>
            <w:noWrap/>
            <w:vAlign w:val="bottom"/>
            <w:hideMark/>
          </w:tcPr>
          <w:p w14:paraId="13BB6497"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170EBAC4"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2B1FB6BD"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7AB239B6"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225CFF25"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64B4E403"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0A9C426D"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27AD0253" w14:textId="77777777" w:rsidR="00022330" w:rsidRPr="009575F3" w:rsidRDefault="00022330" w:rsidP="00FD7082">
            <w:pPr>
              <w:jc w:val="both"/>
              <w:rPr>
                <w:sz w:val="16"/>
                <w:szCs w:val="16"/>
                <w:lang w:eastAsia="en-GB"/>
              </w:rPr>
            </w:pPr>
          </w:p>
        </w:tc>
      </w:tr>
      <w:tr w:rsidR="00022330" w:rsidRPr="009575F3" w14:paraId="2E42DD4E" w14:textId="77777777" w:rsidTr="00FD7082">
        <w:trPr>
          <w:trHeight w:val="315"/>
        </w:trPr>
        <w:tc>
          <w:tcPr>
            <w:tcW w:w="1681" w:type="dxa"/>
            <w:tcBorders>
              <w:top w:val="single" w:sz="4" w:space="0" w:color="auto"/>
              <w:left w:val="nil"/>
              <w:bottom w:val="nil"/>
              <w:right w:val="nil"/>
            </w:tcBorders>
            <w:noWrap/>
            <w:vAlign w:val="bottom"/>
            <w:hideMark/>
          </w:tcPr>
          <w:p w14:paraId="135DDAE3" w14:textId="77777777" w:rsidR="00022330" w:rsidRPr="009575F3" w:rsidRDefault="00022330" w:rsidP="00FD7082">
            <w:pPr>
              <w:jc w:val="both"/>
              <w:rPr>
                <w:b/>
                <w:bCs/>
                <w:sz w:val="16"/>
                <w:szCs w:val="16"/>
                <w:lang w:eastAsia="en-GB"/>
              </w:rPr>
            </w:pPr>
            <w:r w:rsidRPr="009575F3">
              <w:rPr>
                <w:b/>
                <w:bCs/>
                <w:sz w:val="16"/>
                <w:szCs w:val="16"/>
                <w:lang w:eastAsia="en-GB"/>
              </w:rPr>
              <w:t>AGE GROUP</w:t>
            </w:r>
          </w:p>
        </w:tc>
        <w:tc>
          <w:tcPr>
            <w:tcW w:w="1118" w:type="dxa"/>
            <w:tcBorders>
              <w:top w:val="single" w:sz="4" w:space="0" w:color="auto"/>
              <w:left w:val="nil"/>
              <w:bottom w:val="nil"/>
              <w:right w:val="nil"/>
            </w:tcBorders>
            <w:noWrap/>
            <w:vAlign w:val="bottom"/>
            <w:hideMark/>
          </w:tcPr>
          <w:p w14:paraId="12A300F2"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12680C86"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3CB52488"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0C47438F"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24F789BC"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476BC165"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0BE72034"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3CCB1C92"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5713D0EC" w14:textId="77777777" w:rsidR="00022330" w:rsidRPr="009575F3" w:rsidRDefault="00022330" w:rsidP="00FD7082">
            <w:pPr>
              <w:jc w:val="both"/>
              <w:rPr>
                <w:sz w:val="16"/>
                <w:szCs w:val="16"/>
                <w:lang w:eastAsia="en-GB"/>
              </w:rPr>
            </w:pPr>
          </w:p>
        </w:tc>
      </w:tr>
      <w:tr w:rsidR="00022330" w:rsidRPr="009575F3" w14:paraId="00AD029C" w14:textId="77777777" w:rsidTr="00FD7082">
        <w:trPr>
          <w:trHeight w:val="315"/>
        </w:trPr>
        <w:tc>
          <w:tcPr>
            <w:tcW w:w="1681" w:type="dxa"/>
            <w:tcBorders>
              <w:top w:val="nil"/>
              <w:left w:val="nil"/>
              <w:bottom w:val="nil"/>
              <w:right w:val="nil"/>
            </w:tcBorders>
            <w:vAlign w:val="center"/>
            <w:hideMark/>
          </w:tcPr>
          <w:p w14:paraId="5630BE92" w14:textId="77777777" w:rsidR="00022330" w:rsidRPr="009575F3" w:rsidRDefault="00022330" w:rsidP="00FD7082">
            <w:pPr>
              <w:jc w:val="both"/>
              <w:rPr>
                <w:sz w:val="16"/>
                <w:szCs w:val="16"/>
                <w:lang w:eastAsia="en-GB"/>
              </w:rPr>
            </w:pPr>
            <w:r w:rsidRPr="009575F3">
              <w:rPr>
                <w:sz w:val="16"/>
                <w:szCs w:val="16"/>
                <w:lang w:eastAsia="en-GB"/>
              </w:rPr>
              <w:t>18-40 years</w:t>
            </w:r>
          </w:p>
        </w:tc>
        <w:tc>
          <w:tcPr>
            <w:tcW w:w="1118" w:type="dxa"/>
            <w:tcBorders>
              <w:top w:val="nil"/>
              <w:left w:val="nil"/>
              <w:bottom w:val="nil"/>
              <w:right w:val="nil"/>
            </w:tcBorders>
            <w:noWrap/>
            <w:vAlign w:val="bottom"/>
            <w:hideMark/>
          </w:tcPr>
          <w:p w14:paraId="270BBA96" w14:textId="77777777" w:rsidR="00022330" w:rsidRPr="009575F3" w:rsidRDefault="00022330" w:rsidP="00FD7082">
            <w:pPr>
              <w:jc w:val="both"/>
              <w:rPr>
                <w:sz w:val="16"/>
                <w:szCs w:val="16"/>
                <w:lang w:eastAsia="en-GB"/>
              </w:rPr>
            </w:pPr>
            <w:r w:rsidRPr="009575F3">
              <w:rPr>
                <w:sz w:val="16"/>
                <w:szCs w:val="16"/>
                <w:lang w:eastAsia="en-GB"/>
              </w:rPr>
              <w:t>27 (49.1)</w:t>
            </w:r>
          </w:p>
        </w:tc>
        <w:tc>
          <w:tcPr>
            <w:tcW w:w="1029" w:type="dxa"/>
            <w:tcBorders>
              <w:top w:val="nil"/>
              <w:left w:val="nil"/>
              <w:bottom w:val="nil"/>
              <w:right w:val="nil"/>
            </w:tcBorders>
            <w:noWrap/>
            <w:vAlign w:val="bottom"/>
            <w:hideMark/>
          </w:tcPr>
          <w:p w14:paraId="0801D447"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49395BB8"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388076F7"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3360A265"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1D42CD2B" w14:textId="77777777" w:rsidR="00022330" w:rsidRPr="009575F3" w:rsidRDefault="00022330" w:rsidP="00FD7082">
            <w:pPr>
              <w:jc w:val="both"/>
              <w:rPr>
                <w:sz w:val="16"/>
                <w:szCs w:val="16"/>
                <w:lang w:eastAsia="en-GB"/>
              </w:rPr>
            </w:pPr>
            <w:r w:rsidRPr="009575F3">
              <w:rPr>
                <w:sz w:val="16"/>
                <w:szCs w:val="16"/>
                <w:lang w:eastAsia="en-GB"/>
              </w:rPr>
              <w:t>4.946</w:t>
            </w:r>
          </w:p>
        </w:tc>
        <w:tc>
          <w:tcPr>
            <w:tcW w:w="711" w:type="dxa"/>
            <w:tcBorders>
              <w:top w:val="nil"/>
              <w:left w:val="nil"/>
              <w:bottom w:val="nil"/>
              <w:right w:val="nil"/>
            </w:tcBorders>
            <w:noWrap/>
            <w:vAlign w:val="bottom"/>
            <w:hideMark/>
          </w:tcPr>
          <w:p w14:paraId="26C5A13F" w14:textId="77777777" w:rsidR="00022330" w:rsidRPr="009575F3" w:rsidRDefault="00022330" w:rsidP="00FD7082">
            <w:pPr>
              <w:jc w:val="both"/>
              <w:rPr>
                <w:sz w:val="16"/>
                <w:szCs w:val="16"/>
                <w:lang w:eastAsia="en-GB"/>
              </w:rPr>
            </w:pPr>
            <w:r w:rsidRPr="009575F3">
              <w:rPr>
                <w:sz w:val="16"/>
                <w:szCs w:val="16"/>
                <w:lang w:eastAsia="en-GB"/>
              </w:rPr>
              <w:t>2.60</w:t>
            </w:r>
          </w:p>
        </w:tc>
        <w:tc>
          <w:tcPr>
            <w:tcW w:w="1285" w:type="dxa"/>
            <w:tcBorders>
              <w:top w:val="nil"/>
              <w:left w:val="nil"/>
              <w:bottom w:val="nil"/>
              <w:right w:val="nil"/>
            </w:tcBorders>
            <w:noWrap/>
            <w:vAlign w:val="bottom"/>
            <w:hideMark/>
          </w:tcPr>
          <w:p w14:paraId="06C7B153" w14:textId="77777777" w:rsidR="00022330" w:rsidRPr="009575F3" w:rsidRDefault="00022330" w:rsidP="00FD7082">
            <w:pPr>
              <w:jc w:val="both"/>
              <w:rPr>
                <w:sz w:val="16"/>
                <w:szCs w:val="16"/>
                <w:lang w:eastAsia="en-GB"/>
              </w:rPr>
            </w:pPr>
            <w:r w:rsidRPr="009575F3">
              <w:rPr>
                <w:sz w:val="16"/>
                <w:szCs w:val="16"/>
                <w:lang w:eastAsia="en-GB"/>
              </w:rPr>
              <w:t>1.12 - 6.04</w:t>
            </w:r>
          </w:p>
        </w:tc>
        <w:tc>
          <w:tcPr>
            <w:tcW w:w="801" w:type="dxa"/>
            <w:tcBorders>
              <w:top w:val="nil"/>
              <w:left w:val="nil"/>
              <w:bottom w:val="nil"/>
              <w:right w:val="nil"/>
            </w:tcBorders>
            <w:noWrap/>
            <w:vAlign w:val="bottom"/>
            <w:hideMark/>
          </w:tcPr>
          <w:p w14:paraId="35EA82E9" w14:textId="77777777" w:rsidR="00022330" w:rsidRPr="009575F3" w:rsidRDefault="00022330" w:rsidP="00FD7082">
            <w:pPr>
              <w:jc w:val="both"/>
              <w:rPr>
                <w:sz w:val="16"/>
                <w:szCs w:val="16"/>
                <w:lang w:eastAsia="en-GB"/>
              </w:rPr>
            </w:pPr>
            <w:r w:rsidRPr="009575F3">
              <w:rPr>
                <w:sz w:val="16"/>
                <w:szCs w:val="16"/>
                <w:lang w:eastAsia="en-GB"/>
              </w:rPr>
              <w:t>0.026*</w:t>
            </w:r>
          </w:p>
        </w:tc>
      </w:tr>
      <w:tr w:rsidR="00022330" w:rsidRPr="009575F3" w14:paraId="4B72B19D" w14:textId="77777777" w:rsidTr="00FD7082">
        <w:trPr>
          <w:trHeight w:val="315"/>
        </w:trPr>
        <w:tc>
          <w:tcPr>
            <w:tcW w:w="1681" w:type="dxa"/>
            <w:tcBorders>
              <w:top w:val="nil"/>
              <w:left w:val="nil"/>
              <w:bottom w:val="nil"/>
              <w:right w:val="nil"/>
            </w:tcBorders>
            <w:vAlign w:val="center"/>
            <w:hideMark/>
          </w:tcPr>
          <w:p w14:paraId="0849C59C" w14:textId="77777777" w:rsidR="00022330" w:rsidRPr="009575F3" w:rsidRDefault="00022330" w:rsidP="00FD7082">
            <w:pPr>
              <w:jc w:val="both"/>
              <w:rPr>
                <w:sz w:val="16"/>
                <w:szCs w:val="16"/>
                <w:lang w:eastAsia="en-GB"/>
              </w:rPr>
            </w:pPr>
            <w:r w:rsidRPr="009575F3">
              <w:rPr>
                <w:sz w:val="16"/>
                <w:szCs w:val="16"/>
                <w:lang w:eastAsia="en-GB"/>
              </w:rPr>
              <w:t>41-60 years</w:t>
            </w:r>
          </w:p>
        </w:tc>
        <w:tc>
          <w:tcPr>
            <w:tcW w:w="1118" w:type="dxa"/>
            <w:tcBorders>
              <w:top w:val="nil"/>
              <w:left w:val="nil"/>
              <w:bottom w:val="nil"/>
              <w:right w:val="nil"/>
            </w:tcBorders>
            <w:noWrap/>
            <w:vAlign w:val="bottom"/>
            <w:hideMark/>
          </w:tcPr>
          <w:p w14:paraId="112EA839" w14:textId="77777777" w:rsidR="00022330" w:rsidRPr="009575F3" w:rsidRDefault="00022330" w:rsidP="00FD7082">
            <w:pPr>
              <w:jc w:val="both"/>
              <w:rPr>
                <w:sz w:val="16"/>
                <w:szCs w:val="16"/>
                <w:lang w:eastAsia="en-GB"/>
              </w:rPr>
            </w:pPr>
            <w:r w:rsidRPr="009575F3">
              <w:rPr>
                <w:sz w:val="16"/>
                <w:szCs w:val="16"/>
                <w:lang w:eastAsia="en-GB"/>
              </w:rPr>
              <w:t>72 (58.1)</w:t>
            </w:r>
          </w:p>
        </w:tc>
        <w:tc>
          <w:tcPr>
            <w:tcW w:w="1029" w:type="dxa"/>
            <w:tcBorders>
              <w:top w:val="nil"/>
              <w:left w:val="nil"/>
              <w:bottom w:val="nil"/>
              <w:right w:val="nil"/>
            </w:tcBorders>
            <w:noWrap/>
            <w:vAlign w:val="bottom"/>
            <w:hideMark/>
          </w:tcPr>
          <w:p w14:paraId="45F85AAD"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63BB7760"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29DF7BD6"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7D9E9209"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4755668B" w14:textId="77777777" w:rsidR="00022330" w:rsidRPr="009575F3" w:rsidRDefault="00022330" w:rsidP="00FD7082">
            <w:pPr>
              <w:jc w:val="both"/>
              <w:rPr>
                <w:sz w:val="16"/>
                <w:szCs w:val="16"/>
                <w:lang w:eastAsia="en-GB"/>
              </w:rPr>
            </w:pPr>
            <w:r w:rsidRPr="009575F3">
              <w:rPr>
                <w:sz w:val="16"/>
                <w:szCs w:val="16"/>
                <w:lang w:eastAsia="en-GB"/>
              </w:rPr>
              <w:t>0.698</w:t>
            </w:r>
          </w:p>
        </w:tc>
        <w:tc>
          <w:tcPr>
            <w:tcW w:w="711" w:type="dxa"/>
            <w:tcBorders>
              <w:top w:val="nil"/>
              <w:left w:val="nil"/>
              <w:bottom w:val="nil"/>
              <w:right w:val="nil"/>
            </w:tcBorders>
            <w:noWrap/>
            <w:vAlign w:val="bottom"/>
            <w:hideMark/>
          </w:tcPr>
          <w:p w14:paraId="324BC554" w14:textId="77777777" w:rsidR="00022330" w:rsidRPr="009575F3" w:rsidRDefault="00022330" w:rsidP="00FD7082">
            <w:pPr>
              <w:jc w:val="both"/>
              <w:rPr>
                <w:sz w:val="16"/>
                <w:szCs w:val="16"/>
                <w:lang w:eastAsia="en-GB"/>
              </w:rPr>
            </w:pPr>
            <w:r w:rsidRPr="009575F3">
              <w:rPr>
                <w:sz w:val="16"/>
                <w:szCs w:val="16"/>
                <w:lang w:eastAsia="en-GB"/>
              </w:rPr>
              <w:t>2.25</w:t>
            </w:r>
          </w:p>
        </w:tc>
        <w:tc>
          <w:tcPr>
            <w:tcW w:w="1285" w:type="dxa"/>
            <w:tcBorders>
              <w:top w:val="nil"/>
              <w:left w:val="nil"/>
              <w:bottom w:val="nil"/>
              <w:right w:val="nil"/>
            </w:tcBorders>
            <w:noWrap/>
            <w:vAlign w:val="bottom"/>
            <w:hideMark/>
          </w:tcPr>
          <w:p w14:paraId="1FDDF166" w14:textId="77777777" w:rsidR="00022330" w:rsidRPr="009575F3" w:rsidRDefault="00022330" w:rsidP="00FD7082">
            <w:pPr>
              <w:jc w:val="both"/>
              <w:rPr>
                <w:sz w:val="16"/>
                <w:szCs w:val="16"/>
                <w:lang w:eastAsia="en-GB"/>
              </w:rPr>
            </w:pPr>
            <w:r w:rsidRPr="009575F3">
              <w:rPr>
                <w:sz w:val="16"/>
                <w:szCs w:val="16"/>
                <w:lang w:eastAsia="en-GB"/>
              </w:rPr>
              <w:t>0.34 - 15.04</w:t>
            </w:r>
          </w:p>
        </w:tc>
        <w:tc>
          <w:tcPr>
            <w:tcW w:w="801" w:type="dxa"/>
            <w:tcBorders>
              <w:top w:val="nil"/>
              <w:left w:val="nil"/>
              <w:bottom w:val="nil"/>
              <w:right w:val="nil"/>
            </w:tcBorders>
            <w:noWrap/>
            <w:vAlign w:val="bottom"/>
            <w:hideMark/>
          </w:tcPr>
          <w:p w14:paraId="20828D47" w14:textId="77777777" w:rsidR="00022330" w:rsidRPr="009575F3" w:rsidRDefault="00022330" w:rsidP="00FD7082">
            <w:pPr>
              <w:jc w:val="both"/>
              <w:rPr>
                <w:sz w:val="16"/>
                <w:szCs w:val="16"/>
                <w:lang w:eastAsia="en-GB"/>
              </w:rPr>
            </w:pPr>
            <w:r w:rsidRPr="009575F3">
              <w:rPr>
                <w:sz w:val="16"/>
                <w:szCs w:val="16"/>
                <w:lang w:eastAsia="en-GB"/>
              </w:rPr>
              <w:t>0.403</w:t>
            </w:r>
          </w:p>
        </w:tc>
      </w:tr>
      <w:tr w:rsidR="00022330" w:rsidRPr="009575F3" w14:paraId="00B155DA" w14:textId="77777777" w:rsidTr="00FD7082">
        <w:trPr>
          <w:trHeight w:val="315"/>
        </w:trPr>
        <w:tc>
          <w:tcPr>
            <w:tcW w:w="1681" w:type="dxa"/>
            <w:tcBorders>
              <w:top w:val="nil"/>
              <w:left w:val="nil"/>
              <w:bottom w:val="single" w:sz="4" w:space="0" w:color="auto"/>
              <w:right w:val="nil"/>
            </w:tcBorders>
            <w:noWrap/>
            <w:vAlign w:val="bottom"/>
            <w:hideMark/>
          </w:tcPr>
          <w:p w14:paraId="0A149F31" w14:textId="77777777" w:rsidR="00022330" w:rsidRPr="009575F3" w:rsidRDefault="00022330" w:rsidP="00FD7082">
            <w:pPr>
              <w:jc w:val="both"/>
              <w:rPr>
                <w:sz w:val="16"/>
                <w:szCs w:val="16"/>
                <w:lang w:eastAsia="en-GB"/>
              </w:rPr>
            </w:pPr>
            <w:r w:rsidRPr="009575F3">
              <w:rPr>
                <w:sz w:val="16"/>
                <w:szCs w:val="16"/>
                <w:lang w:eastAsia="en-GB"/>
              </w:rPr>
              <w:t>&gt;60</w:t>
            </w:r>
          </w:p>
        </w:tc>
        <w:tc>
          <w:tcPr>
            <w:tcW w:w="1118" w:type="dxa"/>
            <w:tcBorders>
              <w:top w:val="nil"/>
              <w:left w:val="nil"/>
              <w:bottom w:val="single" w:sz="4" w:space="0" w:color="auto"/>
              <w:right w:val="nil"/>
            </w:tcBorders>
            <w:noWrap/>
            <w:vAlign w:val="bottom"/>
            <w:hideMark/>
          </w:tcPr>
          <w:p w14:paraId="542BD565" w14:textId="77777777" w:rsidR="00022330" w:rsidRPr="009575F3" w:rsidRDefault="00022330" w:rsidP="00FD7082">
            <w:pPr>
              <w:jc w:val="both"/>
              <w:rPr>
                <w:sz w:val="16"/>
                <w:szCs w:val="16"/>
                <w:lang w:eastAsia="en-GB"/>
              </w:rPr>
            </w:pPr>
            <w:r w:rsidRPr="009575F3">
              <w:rPr>
                <w:sz w:val="16"/>
                <w:szCs w:val="16"/>
                <w:lang w:eastAsia="en-GB"/>
              </w:rPr>
              <w:t>9 (100.0)</w:t>
            </w:r>
          </w:p>
        </w:tc>
        <w:tc>
          <w:tcPr>
            <w:tcW w:w="1029" w:type="dxa"/>
            <w:tcBorders>
              <w:top w:val="nil"/>
              <w:left w:val="nil"/>
              <w:bottom w:val="single" w:sz="4" w:space="0" w:color="auto"/>
              <w:right w:val="nil"/>
            </w:tcBorders>
            <w:noWrap/>
            <w:vAlign w:val="bottom"/>
            <w:hideMark/>
          </w:tcPr>
          <w:p w14:paraId="30A65F2E"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799E393B"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46067E40"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022633CC"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0E9DC4B9"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559095BF"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26CD9522"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37DEFD8A" w14:textId="77777777" w:rsidR="00022330" w:rsidRPr="009575F3" w:rsidRDefault="00022330" w:rsidP="00FD7082">
            <w:pPr>
              <w:jc w:val="both"/>
              <w:rPr>
                <w:sz w:val="16"/>
                <w:szCs w:val="16"/>
                <w:lang w:eastAsia="en-GB"/>
              </w:rPr>
            </w:pPr>
          </w:p>
        </w:tc>
      </w:tr>
      <w:tr w:rsidR="00022330" w:rsidRPr="009575F3" w14:paraId="72225437" w14:textId="77777777" w:rsidTr="00FD7082">
        <w:trPr>
          <w:trHeight w:val="315"/>
        </w:trPr>
        <w:tc>
          <w:tcPr>
            <w:tcW w:w="1681" w:type="dxa"/>
            <w:tcBorders>
              <w:top w:val="nil"/>
              <w:left w:val="nil"/>
              <w:bottom w:val="nil"/>
              <w:right w:val="nil"/>
            </w:tcBorders>
            <w:noWrap/>
            <w:vAlign w:val="bottom"/>
            <w:hideMark/>
          </w:tcPr>
          <w:p w14:paraId="2E3740F2" w14:textId="77777777" w:rsidR="00022330" w:rsidRPr="009575F3" w:rsidRDefault="00022330" w:rsidP="00FD7082">
            <w:pPr>
              <w:jc w:val="both"/>
              <w:rPr>
                <w:b/>
                <w:bCs/>
                <w:sz w:val="16"/>
                <w:szCs w:val="16"/>
                <w:lang w:eastAsia="en-GB"/>
              </w:rPr>
            </w:pPr>
            <w:r w:rsidRPr="009575F3">
              <w:rPr>
                <w:b/>
                <w:bCs/>
                <w:sz w:val="16"/>
                <w:szCs w:val="16"/>
                <w:lang w:eastAsia="en-GB"/>
              </w:rPr>
              <w:t>TYPE OF DRIVER</w:t>
            </w:r>
          </w:p>
        </w:tc>
        <w:tc>
          <w:tcPr>
            <w:tcW w:w="1118" w:type="dxa"/>
            <w:tcBorders>
              <w:top w:val="single" w:sz="4" w:space="0" w:color="auto"/>
              <w:left w:val="nil"/>
              <w:bottom w:val="nil"/>
              <w:right w:val="nil"/>
            </w:tcBorders>
            <w:noWrap/>
            <w:vAlign w:val="bottom"/>
            <w:hideMark/>
          </w:tcPr>
          <w:p w14:paraId="18C358F6"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19389A91"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2B8E698E"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1174499D"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3538BFC6"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5D21E5CF"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787A1458"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7E6B69E7"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79CABF85" w14:textId="77777777" w:rsidR="00022330" w:rsidRPr="009575F3" w:rsidRDefault="00022330" w:rsidP="00FD7082">
            <w:pPr>
              <w:jc w:val="both"/>
              <w:rPr>
                <w:sz w:val="16"/>
                <w:szCs w:val="16"/>
                <w:lang w:eastAsia="en-GB"/>
              </w:rPr>
            </w:pPr>
          </w:p>
        </w:tc>
      </w:tr>
      <w:tr w:rsidR="00022330" w:rsidRPr="009575F3" w14:paraId="6C16BF8D" w14:textId="77777777" w:rsidTr="00FD7082">
        <w:trPr>
          <w:trHeight w:val="315"/>
        </w:trPr>
        <w:tc>
          <w:tcPr>
            <w:tcW w:w="1681" w:type="dxa"/>
            <w:tcBorders>
              <w:top w:val="nil"/>
              <w:left w:val="nil"/>
              <w:bottom w:val="nil"/>
              <w:right w:val="nil"/>
            </w:tcBorders>
            <w:noWrap/>
            <w:vAlign w:val="bottom"/>
            <w:hideMark/>
          </w:tcPr>
          <w:p w14:paraId="2A05A869" w14:textId="77777777" w:rsidR="00022330" w:rsidRPr="009575F3" w:rsidRDefault="00022330" w:rsidP="00FD7082">
            <w:pPr>
              <w:jc w:val="both"/>
              <w:rPr>
                <w:sz w:val="16"/>
                <w:szCs w:val="16"/>
                <w:lang w:eastAsia="en-GB"/>
              </w:rPr>
            </w:pPr>
            <w:r w:rsidRPr="009575F3">
              <w:rPr>
                <w:sz w:val="16"/>
                <w:szCs w:val="16"/>
                <w:lang w:eastAsia="en-GB"/>
              </w:rPr>
              <w:t>Both</w:t>
            </w:r>
          </w:p>
        </w:tc>
        <w:tc>
          <w:tcPr>
            <w:tcW w:w="1118" w:type="dxa"/>
            <w:tcBorders>
              <w:top w:val="nil"/>
              <w:left w:val="nil"/>
              <w:bottom w:val="nil"/>
              <w:right w:val="nil"/>
            </w:tcBorders>
            <w:noWrap/>
            <w:vAlign w:val="bottom"/>
            <w:hideMark/>
          </w:tcPr>
          <w:p w14:paraId="361A834F" w14:textId="77777777" w:rsidR="00022330" w:rsidRPr="009575F3" w:rsidRDefault="00022330" w:rsidP="00FD7082">
            <w:pPr>
              <w:jc w:val="both"/>
              <w:rPr>
                <w:sz w:val="16"/>
                <w:szCs w:val="16"/>
                <w:lang w:eastAsia="en-GB"/>
              </w:rPr>
            </w:pPr>
            <w:r w:rsidRPr="009575F3">
              <w:rPr>
                <w:sz w:val="16"/>
                <w:szCs w:val="16"/>
                <w:lang w:eastAsia="en-GB"/>
              </w:rPr>
              <w:t>34 (83.0)</w:t>
            </w:r>
          </w:p>
        </w:tc>
        <w:tc>
          <w:tcPr>
            <w:tcW w:w="1029" w:type="dxa"/>
            <w:tcBorders>
              <w:top w:val="nil"/>
              <w:left w:val="nil"/>
              <w:bottom w:val="nil"/>
              <w:right w:val="nil"/>
            </w:tcBorders>
            <w:noWrap/>
            <w:vAlign w:val="bottom"/>
            <w:hideMark/>
          </w:tcPr>
          <w:p w14:paraId="322C4C43"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687662A8"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20B3A957"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27742E12"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2F183C9C" w14:textId="77777777" w:rsidR="00022330" w:rsidRPr="009575F3" w:rsidRDefault="00022330" w:rsidP="00FD7082">
            <w:pPr>
              <w:jc w:val="both"/>
              <w:rPr>
                <w:sz w:val="16"/>
                <w:szCs w:val="16"/>
                <w:lang w:eastAsia="en-GB"/>
              </w:rPr>
            </w:pPr>
            <w:r w:rsidRPr="009575F3">
              <w:rPr>
                <w:sz w:val="16"/>
                <w:szCs w:val="16"/>
                <w:lang w:eastAsia="en-GB"/>
              </w:rPr>
              <w:t>0.088</w:t>
            </w:r>
          </w:p>
        </w:tc>
        <w:tc>
          <w:tcPr>
            <w:tcW w:w="711" w:type="dxa"/>
            <w:tcBorders>
              <w:top w:val="nil"/>
              <w:left w:val="nil"/>
              <w:bottom w:val="nil"/>
              <w:right w:val="nil"/>
            </w:tcBorders>
            <w:noWrap/>
            <w:vAlign w:val="bottom"/>
            <w:hideMark/>
          </w:tcPr>
          <w:p w14:paraId="4FD9FEDE" w14:textId="77777777" w:rsidR="00022330" w:rsidRPr="009575F3" w:rsidRDefault="00022330" w:rsidP="00FD7082">
            <w:pPr>
              <w:jc w:val="both"/>
              <w:rPr>
                <w:sz w:val="16"/>
                <w:szCs w:val="16"/>
                <w:lang w:eastAsia="en-GB"/>
              </w:rPr>
            </w:pPr>
            <w:r w:rsidRPr="009575F3">
              <w:rPr>
                <w:sz w:val="16"/>
                <w:szCs w:val="16"/>
                <w:lang w:eastAsia="en-GB"/>
              </w:rPr>
              <w:t>1.16</w:t>
            </w:r>
          </w:p>
        </w:tc>
        <w:tc>
          <w:tcPr>
            <w:tcW w:w="1285" w:type="dxa"/>
            <w:tcBorders>
              <w:top w:val="nil"/>
              <w:left w:val="nil"/>
              <w:bottom w:val="nil"/>
              <w:right w:val="nil"/>
            </w:tcBorders>
            <w:noWrap/>
            <w:vAlign w:val="bottom"/>
            <w:hideMark/>
          </w:tcPr>
          <w:p w14:paraId="79136E73" w14:textId="77777777" w:rsidR="00022330" w:rsidRPr="009575F3" w:rsidRDefault="00022330" w:rsidP="00FD7082">
            <w:pPr>
              <w:jc w:val="both"/>
              <w:rPr>
                <w:sz w:val="16"/>
                <w:szCs w:val="16"/>
                <w:lang w:eastAsia="en-GB"/>
              </w:rPr>
            </w:pPr>
            <w:r w:rsidRPr="009575F3">
              <w:rPr>
                <w:sz w:val="16"/>
                <w:szCs w:val="16"/>
                <w:lang w:eastAsia="en-GB"/>
              </w:rPr>
              <w:t>0.45 - 2.99</w:t>
            </w:r>
          </w:p>
        </w:tc>
        <w:tc>
          <w:tcPr>
            <w:tcW w:w="801" w:type="dxa"/>
            <w:tcBorders>
              <w:top w:val="nil"/>
              <w:left w:val="nil"/>
              <w:bottom w:val="nil"/>
              <w:right w:val="nil"/>
            </w:tcBorders>
            <w:noWrap/>
            <w:vAlign w:val="bottom"/>
            <w:hideMark/>
          </w:tcPr>
          <w:p w14:paraId="79812FE1" w14:textId="77777777" w:rsidR="00022330" w:rsidRPr="009575F3" w:rsidRDefault="00022330" w:rsidP="00FD7082">
            <w:pPr>
              <w:jc w:val="both"/>
              <w:rPr>
                <w:sz w:val="16"/>
                <w:szCs w:val="16"/>
                <w:lang w:eastAsia="en-GB"/>
              </w:rPr>
            </w:pPr>
            <w:r w:rsidRPr="009575F3">
              <w:rPr>
                <w:sz w:val="16"/>
                <w:szCs w:val="16"/>
                <w:lang w:eastAsia="en-GB"/>
              </w:rPr>
              <w:t>0.767</w:t>
            </w:r>
          </w:p>
        </w:tc>
      </w:tr>
      <w:tr w:rsidR="00022330" w:rsidRPr="009575F3" w14:paraId="32D278D9" w14:textId="77777777" w:rsidTr="00FD7082">
        <w:trPr>
          <w:trHeight w:val="315"/>
        </w:trPr>
        <w:tc>
          <w:tcPr>
            <w:tcW w:w="1681" w:type="dxa"/>
            <w:tcBorders>
              <w:top w:val="nil"/>
              <w:left w:val="nil"/>
              <w:bottom w:val="nil"/>
              <w:right w:val="nil"/>
            </w:tcBorders>
            <w:noWrap/>
            <w:vAlign w:val="bottom"/>
            <w:hideMark/>
          </w:tcPr>
          <w:p w14:paraId="3FBF64F5" w14:textId="77777777" w:rsidR="00022330" w:rsidRPr="009575F3" w:rsidRDefault="00022330" w:rsidP="00FD7082">
            <w:pPr>
              <w:jc w:val="both"/>
              <w:rPr>
                <w:sz w:val="16"/>
                <w:szCs w:val="16"/>
                <w:lang w:eastAsia="en-GB"/>
              </w:rPr>
            </w:pPr>
            <w:r w:rsidRPr="009575F3">
              <w:rPr>
                <w:sz w:val="16"/>
                <w:szCs w:val="16"/>
                <w:lang w:eastAsia="en-GB"/>
              </w:rPr>
              <w:t>Intercity</w:t>
            </w:r>
          </w:p>
        </w:tc>
        <w:tc>
          <w:tcPr>
            <w:tcW w:w="1118" w:type="dxa"/>
            <w:tcBorders>
              <w:top w:val="nil"/>
              <w:left w:val="nil"/>
              <w:bottom w:val="nil"/>
              <w:right w:val="nil"/>
            </w:tcBorders>
            <w:noWrap/>
            <w:vAlign w:val="bottom"/>
            <w:hideMark/>
          </w:tcPr>
          <w:p w14:paraId="2C90D1AA" w14:textId="77777777" w:rsidR="00022330" w:rsidRPr="009575F3" w:rsidRDefault="00022330" w:rsidP="00FD7082">
            <w:pPr>
              <w:jc w:val="both"/>
              <w:rPr>
                <w:sz w:val="16"/>
                <w:szCs w:val="16"/>
                <w:lang w:eastAsia="en-GB"/>
              </w:rPr>
            </w:pPr>
            <w:r w:rsidRPr="009575F3">
              <w:rPr>
                <w:sz w:val="16"/>
                <w:szCs w:val="16"/>
                <w:lang w:eastAsia="en-GB"/>
              </w:rPr>
              <w:t>24 (51.1)</w:t>
            </w:r>
          </w:p>
        </w:tc>
        <w:tc>
          <w:tcPr>
            <w:tcW w:w="1029" w:type="dxa"/>
            <w:tcBorders>
              <w:top w:val="nil"/>
              <w:left w:val="nil"/>
              <w:bottom w:val="nil"/>
              <w:right w:val="nil"/>
            </w:tcBorders>
            <w:noWrap/>
            <w:vAlign w:val="bottom"/>
            <w:hideMark/>
          </w:tcPr>
          <w:p w14:paraId="4AC8253F"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7B49CE74"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59823FE9"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74DAAC93"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041B88EE" w14:textId="77777777" w:rsidR="00022330" w:rsidRPr="009575F3" w:rsidRDefault="00022330" w:rsidP="00FD7082">
            <w:pPr>
              <w:jc w:val="both"/>
              <w:rPr>
                <w:sz w:val="16"/>
                <w:szCs w:val="16"/>
                <w:lang w:eastAsia="en-GB"/>
              </w:rPr>
            </w:pPr>
            <w:r w:rsidRPr="009575F3">
              <w:rPr>
                <w:sz w:val="16"/>
                <w:szCs w:val="16"/>
                <w:lang w:eastAsia="en-GB"/>
              </w:rPr>
              <w:t>1.299</w:t>
            </w:r>
          </w:p>
        </w:tc>
        <w:tc>
          <w:tcPr>
            <w:tcW w:w="711" w:type="dxa"/>
            <w:tcBorders>
              <w:top w:val="nil"/>
              <w:left w:val="nil"/>
              <w:bottom w:val="nil"/>
              <w:right w:val="nil"/>
            </w:tcBorders>
            <w:noWrap/>
            <w:vAlign w:val="bottom"/>
            <w:hideMark/>
          </w:tcPr>
          <w:p w14:paraId="2F60B9F3" w14:textId="77777777" w:rsidR="00022330" w:rsidRPr="009575F3" w:rsidRDefault="00022330" w:rsidP="00FD7082">
            <w:pPr>
              <w:jc w:val="both"/>
              <w:rPr>
                <w:sz w:val="16"/>
                <w:szCs w:val="16"/>
                <w:lang w:eastAsia="en-GB"/>
              </w:rPr>
            </w:pPr>
            <w:r w:rsidRPr="009575F3">
              <w:rPr>
                <w:sz w:val="16"/>
                <w:szCs w:val="16"/>
                <w:lang w:eastAsia="en-GB"/>
              </w:rPr>
              <w:t>0.599</w:t>
            </w:r>
          </w:p>
        </w:tc>
        <w:tc>
          <w:tcPr>
            <w:tcW w:w="1285" w:type="dxa"/>
            <w:tcBorders>
              <w:top w:val="nil"/>
              <w:left w:val="nil"/>
              <w:bottom w:val="nil"/>
              <w:right w:val="nil"/>
            </w:tcBorders>
            <w:noWrap/>
            <w:vAlign w:val="bottom"/>
            <w:hideMark/>
          </w:tcPr>
          <w:p w14:paraId="2CCA6E8E" w14:textId="77777777" w:rsidR="00022330" w:rsidRPr="009575F3" w:rsidRDefault="00022330" w:rsidP="00FD7082">
            <w:pPr>
              <w:jc w:val="both"/>
              <w:rPr>
                <w:sz w:val="16"/>
                <w:szCs w:val="16"/>
                <w:lang w:eastAsia="en-GB"/>
              </w:rPr>
            </w:pPr>
            <w:r w:rsidRPr="009575F3">
              <w:rPr>
                <w:sz w:val="16"/>
                <w:szCs w:val="16"/>
                <w:lang w:eastAsia="en-GB"/>
              </w:rPr>
              <w:t>0.25 - 1.45</w:t>
            </w:r>
          </w:p>
        </w:tc>
        <w:tc>
          <w:tcPr>
            <w:tcW w:w="801" w:type="dxa"/>
            <w:tcBorders>
              <w:top w:val="nil"/>
              <w:left w:val="nil"/>
              <w:bottom w:val="nil"/>
              <w:right w:val="nil"/>
            </w:tcBorders>
            <w:noWrap/>
            <w:vAlign w:val="bottom"/>
            <w:hideMark/>
          </w:tcPr>
          <w:p w14:paraId="6CFFF7CE" w14:textId="77777777" w:rsidR="00022330" w:rsidRPr="009575F3" w:rsidRDefault="00022330" w:rsidP="00FD7082">
            <w:pPr>
              <w:jc w:val="both"/>
              <w:rPr>
                <w:sz w:val="16"/>
                <w:szCs w:val="16"/>
                <w:lang w:eastAsia="en-GB"/>
              </w:rPr>
            </w:pPr>
            <w:r w:rsidRPr="009575F3">
              <w:rPr>
                <w:sz w:val="16"/>
                <w:szCs w:val="16"/>
                <w:lang w:eastAsia="en-GB"/>
              </w:rPr>
              <w:t>0.254</w:t>
            </w:r>
          </w:p>
        </w:tc>
      </w:tr>
      <w:tr w:rsidR="00022330" w:rsidRPr="009575F3" w14:paraId="3342BD3F" w14:textId="77777777" w:rsidTr="00FD7082">
        <w:trPr>
          <w:trHeight w:val="315"/>
        </w:trPr>
        <w:tc>
          <w:tcPr>
            <w:tcW w:w="1681" w:type="dxa"/>
            <w:tcBorders>
              <w:top w:val="nil"/>
              <w:left w:val="nil"/>
              <w:bottom w:val="single" w:sz="4" w:space="0" w:color="auto"/>
              <w:right w:val="nil"/>
            </w:tcBorders>
            <w:noWrap/>
            <w:vAlign w:val="bottom"/>
            <w:hideMark/>
          </w:tcPr>
          <w:p w14:paraId="4F72DC98" w14:textId="77777777" w:rsidR="00022330" w:rsidRPr="009575F3" w:rsidRDefault="00022330" w:rsidP="00FD7082">
            <w:pPr>
              <w:jc w:val="both"/>
              <w:rPr>
                <w:sz w:val="16"/>
                <w:szCs w:val="16"/>
                <w:lang w:eastAsia="en-GB"/>
              </w:rPr>
            </w:pPr>
            <w:r w:rsidRPr="009575F3">
              <w:rPr>
                <w:sz w:val="16"/>
                <w:szCs w:val="16"/>
                <w:lang w:eastAsia="en-GB"/>
              </w:rPr>
              <w:t>Intracity</w:t>
            </w:r>
          </w:p>
        </w:tc>
        <w:tc>
          <w:tcPr>
            <w:tcW w:w="1118" w:type="dxa"/>
            <w:tcBorders>
              <w:top w:val="nil"/>
              <w:left w:val="nil"/>
              <w:bottom w:val="single" w:sz="4" w:space="0" w:color="auto"/>
              <w:right w:val="nil"/>
            </w:tcBorders>
            <w:noWrap/>
            <w:vAlign w:val="bottom"/>
            <w:hideMark/>
          </w:tcPr>
          <w:p w14:paraId="0485A32A" w14:textId="77777777" w:rsidR="00022330" w:rsidRPr="009575F3" w:rsidRDefault="00022330" w:rsidP="00FD7082">
            <w:pPr>
              <w:jc w:val="both"/>
              <w:rPr>
                <w:sz w:val="16"/>
                <w:szCs w:val="16"/>
                <w:lang w:eastAsia="en-GB"/>
              </w:rPr>
            </w:pPr>
            <w:r w:rsidRPr="009575F3">
              <w:rPr>
                <w:sz w:val="16"/>
                <w:szCs w:val="16"/>
                <w:lang w:eastAsia="en-GB"/>
              </w:rPr>
              <w:t>50 (50.0)</w:t>
            </w:r>
          </w:p>
        </w:tc>
        <w:tc>
          <w:tcPr>
            <w:tcW w:w="1029" w:type="dxa"/>
            <w:tcBorders>
              <w:top w:val="nil"/>
              <w:left w:val="nil"/>
              <w:bottom w:val="single" w:sz="4" w:space="0" w:color="auto"/>
              <w:right w:val="nil"/>
            </w:tcBorders>
            <w:noWrap/>
            <w:vAlign w:val="bottom"/>
            <w:hideMark/>
          </w:tcPr>
          <w:p w14:paraId="15D143F9"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18296666"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074A20B7"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41D5AECC"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3D9FA94B"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312E6C47"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5CFCA4F3"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6350F137" w14:textId="77777777" w:rsidR="00022330" w:rsidRPr="009575F3" w:rsidRDefault="00022330" w:rsidP="00FD7082">
            <w:pPr>
              <w:jc w:val="both"/>
              <w:rPr>
                <w:sz w:val="16"/>
                <w:szCs w:val="16"/>
                <w:lang w:eastAsia="en-GB"/>
              </w:rPr>
            </w:pPr>
          </w:p>
        </w:tc>
      </w:tr>
      <w:tr w:rsidR="00022330" w:rsidRPr="009575F3" w14:paraId="38362922" w14:textId="77777777" w:rsidTr="00FD7082">
        <w:trPr>
          <w:trHeight w:val="315"/>
        </w:trPr>
        <w:tc>
          <w:tcPr>
            <w:tcW w:w="1681" w:type="dxa"/>
            <w:tcBorders>
              <w:top w:val="nil"/>
              <w:left w:val="nil"/>
              <w:bottom w:val="nil"/>
              <w:right w:val="nil"/>
            </w:tcBorders>
            <w:noWrap/>
            <w:vAlign w:val="bottom"/>
            <w:hideMark/>
          </w:tcPr>
          <w:p w14:paraId="2262F3CE" w14:textId="77777777" w:rsidR="00022330" w:rsidRPr="009575F3" w:rsidRDefault="00022330" w:rsidP="00FD7082">
            <w:pPr>
              <w:jc w:val="both"/>
              <w:rPr>
                <w:b/>
                <w:bCs/>
                <w:sz w:val="16"/>
                <w:szCs w:val="16"/>
                <w:lang w:eastAsia="en-GB"/>
              </w:rPr>
            </w:pPr>
            <w:r w:rsidRPr="009575F3">
              <w:rPr>
                <w:b/>
                <w:bCs/>
                <w:sz w:val="16"/>
                <w:szCs w:val="16"/>
                <w:lang w:eastAsia="en-GB"/>
              </w:rPr>
              <w:t>TYPE OF VEHICLE</w:t>
            </w:r>
          </w:p>
        </w:tc>
        <w:tc>
          <w:tcPr>
            <w:tcW w:w="1118" w:type="dxa"/>
            <w:tcBorders>
              <w:top w:val="single" w:sz="4" w:space="0" w:color="auto"/>
              <w:left w:val="nil"/>
              <w:bottom w:val="nil"/>
              <w:right w:val="nil"/>
            </w:tcBorders>
            <w:noWrap/>
            <w:vAlign w:val="bottom"/>
            <w:hideMark/>
          </w:tcPr>
          <w:p w14:paraId="492FD81D"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4B82A5CE"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6E1F9E6F"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4E0DF6EB"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08C6731C"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403AB590"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27543E97"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65F1E232"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0B7F92FA" w14:textId="77777777" w:rsidR="00022330" w:rsidRPr="009575F3" w:rsidRDefault="00022330" w:rsidP="00FD7082">
            <w:pPr>
              <w:jc w:val="both"/>
              <w:rPr>
                <w:sz w:val="16"/>
                <w:szCs w:val="16"/>
                <w:lang w:eastAsia="en-GB"/>
              </w:rPr>
            </w:pPr>
          </w:p>
        </w:tc>
      </w:tr>
      <w:tr w:rsidR="00022330" w:rsidRPr="009575F3" w14:paraId="59CFB210" w14:textId="77777777" w:rsidTr="00FD7082">
        <w:trPr>
          <w:trHeight w:val="315"/>
        </w:trPr>
        <w:tc>
          <w:tcPr>
            <w:tcW w:w="1681" w:type="dxa"/>
            <w:tcBorders>
              <w:top w:val="nil"/>
              <w:left w:val="nil"/>
              <w:bottom w:val="nil"/>
              <w:right w:val="nil"/>
            </w:tcBorders>
            <w:noWrap/>
            <w:vAlign w:val="bottom"/>
            <w:hideMark/>
          </w:tcPr>
          <w:p w14:paraId="10D4CC8E" w14:textId="77777777" w:rsidR="00022330" w:rsidRPr="009575F3" w:rsidRDefault="00022330" w:rsidP="00FD7082">
            <w:pPr>
              <w:jc w:val="both"/>
              <w:rPr>
                <w:sz w:val="16"/>
                <w:szCs w:val="16"/>
                <w:lang w:eastAsia="en-GB"/>
              </w:rPr>
            </w:pPr>
            <w:r w:rsidRPr="009575F3">
              <w:rPr>
                <w:sz w:val="16"/>
                <w:szCs w:val="16"/>
                <w:lang w:eastAsia="en-GB"/>
              </w:rPr>
              <w:t>Bus</w:t>
            </w:r>
          </w:p>
        </w:tc>
        <w:tc>
          <w:tcPr>
            <w:tcW w:w="1118" w:type="dxa"/>
            <w:tcBorders>
              <w:top w:val="nil"/>
              <w:left w:val="nil"/>
              <w:bottom w:val="nil"/>
              <w:right w:val="nil"/>
            </w:tcBorders>
            <w:noWrap/>
            <w:vAlign w:val="bottom"/>
            <w:hideMark/>
          </w:tcPr>
          <w:p w14:paraId="4EB816D6" w14:textId="77777777" w:rsidR="00022330" w:rsidRPr="009575F3" w:rsidRDefault="00022330" w:rsidP="00FD7082">
            <w:pPr>
              <w:jc w:val="both"/>
              <w:rPr>
                <w:sz w:val="16"/>
                <w:szCs w:val="16"/>
                <w:lang w:eastAsia="en-GB"/>
              </w:rPr>
            </w:pPr>
            <w:r w:rsidRPr="009575F3">
              <w:rPr>
                <w:sz w:val="16"/>
                <w:szCs w:val="16"/>
                <w:lang w:eastAsia="en-GB"/>
              </w:rPr>
              <w:t>39 (69.6)</w:t>
            </w:r>
          </w:p>
        </w:tc>
        <w:tc>
          <w:tcPr>
            <w:tcW w:w="1029" w:type="dxa"/>
            <w:tcBorders>
              <w:top w:val="nil"/>
              <w:left w:val="nil"/>
              <w:bottom w:val="nil"/>
              <w:right w:val="nil"/>
            </w:tcBorders>
            <w:noWrap/>
            <w:vAlign w:val="bottom"/>
            <w:hideMark/>
          </w:tcPr>
          <w:p w14:paraId="0750F2E0"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47823AC4"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6A153E4D"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4C040CA7"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52664619" w14:textId="77777777" w:rsidR="00022330" w:rsidRPr="009575F3" w:rsidRDefault="00022330" w:rsidP="00FD7082">
            <w:pPr>
              <w:jc w:val="both"/>
              <w:rPr>
                <w:sz w:val="16"/>
                <w:szCs w:val="16"/>
                <w:lang w:eastAsia="en-GB"/>
              </w:rPr>
            </w:pPr>
            <w:r w:rsidRPr="009575F3">
              <w:rPr>
                <w:sz w:val="16"/>
                <w:szCs w:val="16"/>
                <w:lang w:eastAsia="en-GB"/>
              </w:rPr>
              <w:t>3.437</w:t>
            </w:r>
          </w:p>
        </w:tc>
        <w:tc>
          <w:tcPr>
            <w:tcW w:w="711" w:type="dxa"/>
            <w:tcBorders>
              <w:top w:val="nil"/>
              <w:left w:val="nil"/>
              <w:bottom w:val="nil"/>
              <w:right w:val="nil"/>
            </w:tcBorders>
            <w:noWrap/>
            <w:vAlign w:val="bottom"/>
            <w:hideMark/>
          </w:tcPr>
          <w:p w14:paraId="389C0858" w14:textId="77777777" w:rsidR="00022330" w:rsidRPr="009575F3" w:rsidRDefault="00022330" w:rsidP="00FD7082">
            <w:pPr>
              <w:jc w:val="both"/>
              <w:rPr>
                <w:sz w:val="16"/>
                <w:szCs w:val="16"/>
                <w:lang w:eastAsia="en-GB"/>
              </w:rPr>
            </w:pPr>
            <w:r w:rsidRPr="009575F3">
              <w:rPr>
                <w:sz w:val="16"/>
                <w:szCs w:val="16"/>
                <w:lang w:eastAsia="en-GB"/>
              </w:rPr>
              <w:t>2.14</w:t>
            </w:r>
          </w:p>
        </w:tc>
        <w:tc>
          <w:tcPr>
            <w:tcW w:w="1285" w:type="dxa"/>
            <w:tcBorders>
              <w:top w:val="nil"/>
              <w:left w:val="nil"/>
              <w:bottom w:val="nil"/>
              <w:right w:val="nil"/>
            </w:tcBorders>
            <w:noWrap/>
            <w:vAlign w:val="bottom"/>
            <w:hideMark/>
          </w:tcPr>
          <w:p w14:paraId="54F8FAF3" w14:textId="77777777" w:rsidR="00022330" w:rsidRPr="009575F3" w:rsidRDefault="00022330" w:rsidP="00FD7082">
            <w:pPr>
              <w:jc w:val="both"/>
              <w:rPr>
                <w:sz w:val="16"/>
                <w:szCs w:val="16"/>
                <w:lang w:eastAsia="en-GB"/>
              </w:rPr>
            </w:pPr>
            <w:r w:rsidRPr="009575F3">
              <w:rPr>
                <w:sz w:val="16"/>
                <w:szCs w:val="16"/>
                <w:lang w:eastAsia="en-GB"/>
              </w:rPr>
              <w:t>0.96 - 4.78</w:t>
            </w:r>
          </w:p>
        </w:tc>
        <w:tc>
          <w:tcPr>
            <w:tcW w:w="801" w:type="dxa"/>
            <w:tcBorders>
              <w:top w:val="nil"/>
              <w:left w:val="nil"/>
              <w:bottom w:val="nil"/>
              <w:right w:val="nil"/>
            </w:tcBorders>
            <w:noWrap/>
            <w:vAlign w:val="bottom"/>
            <w:hideMark/>
          </w:tcPr>
          <w:p w14:paraId="6EC01417" w14:textId="77777777" w:rsidR="00022330" w:rsidRPr="009575F3" w:rsidRDefault="00022330" w:rsidP="00FD7082">
            <w:pPr>
              <w:jc w:val="both"/>
              <w:rPr>
                <w:sz w:val="16"/>
                <w:szCs w:val="16"/>
                <w:lang w:eastAsia="en-GB"/>
              </w:rPr>
            </w:pPr>
            <w:r w:rsidRPr="009575F3">
              <w:rPr>
                <w:sz w:val="16"/>
                <w:szCs w:val="16"/>
                <w:lang w:eastAsia="en-GB"/>
              </w:rPr>
              <w:t>0.064</w:t>
            </w:r>
          </w:p>
        </w:tc>
      </w:tr>
      <w:tr w:rsidR="00022330" w:rsidRPr="009575F3" w14:paraId="08B05736" w14:textId="77777777" w:rsidTr="00FD7082">
        <w:trPr>
          <w:trHeight w:val="375"/>
        </w:trPr>
        <w:tc>
          <w:tcPr>
            <w:tcW w:w="1681" w:type="dxa"/>
            <w:tcBorders>
              <w:top w:val="nil"/>
              <w:left w:val="nil"/>
              <w:bottom w:val="single" w:sz="4" w:space="0" w:color="auto"/>
              <w:right w:val="nil"/>
            </w:tcBorders>
            <w:noWrap/>
            <w:vAlign w:val="bottom"/>
            <w:hideMark/>
          </w:tcPr>
          <w:p w14:paraId="0FEEE575" w14:textId="77777777" w:rsidR="00022330" w:rsidRPr="009575F3" w:rsidRDefault="00022330" w:rsidP="00FD7082">
            <w:pPr>
              <w:jc w:val="both"/>
              <w:rPr>
                <w:sz w:val="16"/>
                <w:szCs w:val="16"/>
                <w:lang w:eastAsia="en-GB"/>
              </w:rPr>
            </w:pPr>
            <w:r w:rsidRPr="009575F3">
              <w:rPr>
                <w:sz w:val="16"/>
                <w:szCs w:val="16"/>
                <w:lang w:eastAsia="en-GB"/>
              </w:rPr>
              <w:t>Car</w:t>
            </w:r>
          </w:p>
        </w:tc>
        <w:tc>
          <w:tcPr>
            <w:tcW w:w="1118" w:type="dxa"/>
            <w:tcBorders>
              <w:top w:val="nil"/>
              <w:left w:val="nil"/>
              <w:bottom w:val="single" w:sz="4" w:space="0" w:color="auto"/>
              <w:right w:val="nil"/>
            </w:tcBorders>
            <w:noWrap/>
            <w:vAlign w:val="bottom"/>
            <w:hideMark/>
          </w:tcPr>
          <w:p w14:paraId="5AE58495" w14:textId="77777777" w:rsidR="00022330" w:rsidRPr="009575F3" w:rsidRDefault="00022330" w:rsidP="00FD7082">
            <w:pPr>
              <w:jc w:val="both"/>
              <w:rPr>
                <w:sz w:val="16"/>
                <w:szCs w:val="16"/>
                <w:lang w:eastAsia="en-GB"/>
              </w:rPr>
            </w:pPr>
            <w:r w:rsidRPr="009575F3">
              <w:rPr>
                <w:sz w:val="16"/>
                <w:szCs w:val="16"/>
                <w:lang w:eastAsia="en-GB"/>
              </w:rPr>
              <w:t>69 (52.3)</w:t>
            </w:r>
          </w:p>
        </w:tc>
        <w:tc>
          <w:tcPr>
            <w:tcW w:w="1029" w:type="dxa"/>
            <w:tcBorders>
              <w:top w:val="nil"/>
              <w:left w:val="nil"/>
              <w:bottom w:val="single" w:sz="4" w:space="0" w:color="auto"/>
              <w:right w:val="nil"/>
            </w:tcBorders>
            <w:noWrap/>
            <w:vAlign w:val="bottom"/>
            <w:hideMark/>
          </w:tcPr>
          <w:p w14:paraId="321C221E"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7C55B881"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7F94245F"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714445EC"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633B60D9"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77FF573F"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19C2F3BD"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670D6A35" w14:textId="77777777" w:rsidR="00022330" w:rsidRPr="009575F3" w:rsidRDefault="00022330" w:rsidP="00FD7082">
            <w:pPr>
              <w:jc w:val="both"/>
              <w:rPr>
                <w:sz w:val="16"/>
                <w:szCs w:val="16"/>
                <w:lang w:eastAsia="en-GB"/>
              </w:rPr>
            </w:pPr>
          </w:p>
        </w:tc>
      </w:tr>
      <w:tr w:rsidR="00022330" w:rsidRPr="009575F3" w14:paraId="2EBAF877" w14:textId="77777777" w:rsidTr="00FD7082">
        <w:trPr>
          <w:trHeight w:val="495"/>
        </w:trPr>
        <w:tc>
          <w:tcPr>
            <w:tcW w:w="1681" w:type="dxa"/>
            <w:tcBorders>
              <w:top w:val="nil"/>
              <w:left w:val="nil"/>
              <w:bottom w:val="nil"/>
              <w:right w:val="nil"/>
            </w:tcBorders>
            <w:vAlign w:val="bottom"/>
            <w:hideMark/>
          </w:tcPr>
          <w:p w14:paraId="700E71EE" w14:textId="77777777" w:rsidR="00022330" w:rsidRPr="009575F3" w:rsidRDefault="00022330" w:rsidP="00FD7082">
            <w:pPr>
              <w:jc w:val="both"/>
              <w:rPr>
                <w:b/>
                <w:bCs/>
                <w:sz w:val="16"/>
                <w:szCs w:val="16"/>
                <w:lang w:eastAsia="en-GB"/>
              </w:rPr>
            </w:pPr>
            <w:r w:rsidRPr="009575F3">
              <w:rPr>
                <w:b/>
                <w:bCs/>
                <w:sz w:val="16"/>
                <w:szCs w:val="16"/>
                <w:lang w:eastAsia="en-GB"/>
              </w:rPr>
              <w:t>YEARS OF</w:t>
            </w:r>
            <w:r w:rsidRPr="009575F3">
              <w:rPr>
                <w:b/>
                <w:bCs/>
                <w:sz w:val="16"/>
                <w:szCs w:val="16"/>
                <w:lang w:eastAsia="en-GB"/>
              </w:rPr>
              <w:br/>
              <w:t>DRIVING</w:t>
            </w:r>
          </w:p>
        </w:tc>
        <w:tc>
          <w:tcPr>
            <w:tcW w:w="1118" w:type="dxa"/>
            <w:tcBorders>
              <w:top w:val="single" w:sz="4" w:space="0" w:color="auto"/>
              <w:left w:val="nil"/>
              <w:bottom w:val="nil"/>
              <w:right w:val="nil"/>
            </w:tcBorders>
            <w:noWrap/>
            <w:vAlign w:val="bottom"/>
            <w:hideMark/>
          </w:tcPr>
          <w:p w14:paraId="7535A3F4"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25DFC872"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15197A2F"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0D711C78"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475DCE55"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74C16932"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3AED8698"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4551508E"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5B8C4188" w14:textId="77777777" w:rsidR="00022330" w:rsidRPr="009575F3" w:rsidRDefault="00022330" w:rsidP="00FD7082">
            <w:pPr>
              <w:jc w:val="both"/>
              <w:rPr>
                <w:sz w:val="16"/>
                <w:szCs w:val="16"/>
                <w:lang w:eastAsia="en-GB"/>
              </w:rPr>
            </w:pPr>
          </w:p>
        </w:tc>
      </w:tr>
      <w:tr w:rsidR="00022330" w:rsidRPr="009575F3" w14:paraId="5E11A809" w14:textId="77777777" w:rsidTr="00FD7082">
        <w:trPr>
          <w:trHeight w:val="330"/>
        </w:trPr>
        <w:tc>
          <w:tcPr>
            <w:tcW w:w="1681" w:type="dxa"/>
            <w:tcBorders>
              <w:top w:val="nil"/>
              <w:left w:val="nil"/>
              <w:bottom w:val="nil"/>
              <w:right w:val="nil"/>
            </w:tcBorders>
            <w:noWrap/>
            <w:vAlign w:val="bottom"/>
            <w:hideMark/>
          </w:tcPr>
          <w:p w14:paraId="55DAC2F3" w14:textId="77777777" w:rsidR="00022330" w:rsidRPr="009575F3" w:rsidRDefault="00022330" w:rsidP="00FD7082">
            <w:pPr>
              <w:jc w:val="both"/>
              <w:rPr>
                <w:sz w:val="16"/>
                <w:szCs w:val="16"/>
                <w:lang w:eastAsia="en-GB"/>
              </w:rPr>
            </w:pPr>
            <w:r w:rsidRPr="009575F3">
              <w:rPr>
                <w:sz w:val="16"/>
                <w:szCs w:val="16"/>
                <w:lang w:eastAsia="en-GB"/>
              </w:rPr>
              <w:t>1-10</w:t>
            </w:r>
          </w:p>
        </w:tc>
        <w:tc>
          <w:tcPr>
            <w:tcW w:w="1118" w:type="dxa"/>
            <w:tcBorders>
              <w:top w:val="nil"/>
              <w:left w:val="nil"/>
              <w:bottom w:val="nil"/>
              <w:right w:val="nil"/>
            </w:tcBorders>
            <w:noWrap/>
            <w:vAlign w:val="bottom"/>
            <w:hideMark/>
          </w:tcPr>
          <w:p w14:paraId="4475B653" w14:textId="77777777" w:rsidR="00022330" w:rsidRPr="009575F3" w:rsidRDefault="00022330" w:rsidP="00FD7082">
            <w:pPr>
              <w:jc w:val="both"/>
              <w:rPr>
                <w:sz w:val="16"/>
                <w:szCs w:val="16"/>
                <w:lang w:eastAsia="en-GB"/>
              </w:rPr>
            </w:pPr>
            <w:r w:rsidRPr="009575F3">
              <w:rPr>
                <w:sz w:val="16"/>
                <w:szCs w:val="16"/>
                <w:lang w:eastAsia="en-GB"/>
              </w:rPr>
              <w:t>24 (30.4)</w:t>
            </w:r>
          </w:p>
        </w:tc>
        <w:tc>
          <w:tcPr>
            <w:tcW w:w="1029" w:type="dxa"/>
            <w:tcBorders>
              <w:top w:val="nil"/>
              <w:left w:val="nil"/>
              <w:bottom w:val="nil"/>
              <w:right w:val="nil"/>
            </w:tcBorders>
            <w:noWrap/>
            <w:vAlign w:val="bottom"/>
            <w:hideMark/>
          </w:tcPr>
          <w:p w14:paraId="72E06404"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2569F3CD"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6CBACD2C"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555DF8AF"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111A3A67" w14:textId="77777777" w:rsidR="00022330" w:rsidRPr="009575F3" w:rsidRDefault="00022330" w:rsidP="00FD7082">
            <w:pPr>
              <w:jc w:val="both"/>
              <w:rPr>
                <w:sz w:val="16"/>
                <w:szCs w:val="16"/>
                <w:lang w:eastAsia="en-GB"/>
              </w:rPr>
            </w:pPr>
            <w:r w:rsidRPr="009575F3">
              <w:rPr>
                <w:sz w:val="16"/>
                <w:szCs w:val="16"/>
                <w:lang w:eastAsia="en-GB"/>
              </w:rPr>
              <w:t>14.580</w:t>
            </w:r>
          </w:p>
        </w:tc>
        <w:tc>
          <w:tcPr>
            <w:tcW w:w="711" w:type="dxa"/>
            <w:tcBorders>
              <w:top w:val="nil"/>
              <w:left w:val="nil"/>
              <w:bottom w:val="nil"/>
              <w:right w:val="nil"/>
            </w:tcBorders>
            <w:noWrap/>
            <w:vAlign w:val="bottom"/>
            <w:hideMark/>
          </w:tcPr>
          <w:p w14:paraId="363F3951" w14:textId="77777777" w:rsidR="00022330" w:rsidRPr="009575F3" w:rsidRDefault="00022330" w:rsidP="00FD7082">
            <w:pPr>
              <w:jc w:val="both"/>
              <w:rPr>
                <w:sz w:val="16"/>
                <w:szCs w:val="16"/>
                <w:lang w:eastAsia="en-GB"/>
              </w:rPr>
            </w:pPr>
            <w:r w:rsidRPr="009575F3">
              <w:rPr>
                <w:sz w:val="16"/>
                <w:szCs w:val="16"/>
                <w:lang w:eastAsia="en-GB"/>
              </w:rPr>
              <w:t>0.03</w:t>
            </w:r>
          </w:p>
        </w:tc>
        <w:tc>
          <w:tcPr>
            <w:tcW w:w="1285" w:type="dxa"/>
            <w:tcBorders>
              <w:top w:val="nil"/>
              <w:left w:val="nil"/>
              <w:bottom w:val="nil"/>
              <w:right w:val="nil"/>
            </w:tcBorders>
            <w:noWrap/>
            <w:vAlign w:val="bottom"/>
            <w:hideMark/>
          </w:tcPr>
          <w:p w14:paraId="32869F3C" w14:textId="77777777" w:rsidR="00022330" w:rsidRPr="009575F3" w:rsidRDefault="00022330" w:rsidP="00FD7082">
            <w:pPr>
              <w:jc w:val="both"/>
              <w:rPr>
                <w:sz w:val="16"/>
                <w:szCs w:val="16"/>
                <w:lang w:eastAsia="en-GB"/>
              </w:rPr>
            </w:pPr>
            <w:r w:rsidRPr="009575F3">
              <w:rPr>
                <w:sz w:val="16"/>
                <w:szCs w:val="16"/>
                <w:lang w:eastAsia="en-GB"/>
              </w:rPr>
              <w:t>0.01 - 0.19</w:t>
            </w:r>
          </w:p>
        </w:tc>
        <w:tc>
          <w:tcPr>
            <w:tcW w:w="801" w:type="dxa"/>
            <w:tcBorders>
              <w:top w:val="nil"/>
              <w:left w:val="nil"/>
              <w:bottom w:val="nil"/>
              <w:right w:val="nil"/>
            </w:tcBorders>
            <w:noWrap/>
            <w:vAlign w:val="bottom"/>
            <w:hideMark/>
          </w:tcPr>
          <w:p w14:paraId="71978D39" w14:textId="77777777" w:rsidR="00022330" w:rsidRPr="009575F3" w:rsidRDefault="00022330" w:rsidP="00FD7082">
            <w:pPr>
              <w:jc w:val="both"/>
              <w:rPr>
                <w:sz w:val="16"/>
                <w:szCs w:val="16"/>
                <w:lang w:eastAsia="en-GB"/>
              </w:rPr>
            </w:pPr>
            <w:r w:rsidRPr="009575F3">
              <w:rPr>
                <w:sz w:val="16"/>
                <w:szCs w:val="16"/>
                <w:lang w:eastAsia="en-GB"/>
              </w:rPr>
              <w:t>0.000*</w:t>
            </w:r>
          </w:p>
        </w:tc>
      </w:tr>
      <w:tr w:rsidR="00022330" w:rsidRPr="009575F3" w14:paraId="10960E03" w14:textId="77777777" w:rsidTr="00FD7082">
        <w:trPr>
          <w:trHeight w:val="315"/>
        </w:trPr>
        <w:tc>
          <w:tcPr>
            <w:tcW w:w="1681" w:type="dxa"/>
            <w:tcBorders>
              <w:top w:val="nil"/>
              <w:left w:val="nil"/>
              <w:bottom w:val="nil"/>
              <w:right w:val="nil"/>
            </w:tcBorders>
            <w:noWrap/>
            <w:vAlign w:val="bottom"/>
            <w:hideMark/>
          </w:tcPr>
          <w:p w14:paraId="66684380" w14:textId="77777777" w:rsidR="00022330" w:rsidRPr="009575F3" w:rsidRDefault="00022330" w:rsidP="00FD7082">
            <w:pPr>
              <w:jc w:val="both"/>
              <w:rPr>
                <w:sz w:val="16"/>
                <w:szCs w:val="16"/>
                <w:lang w:eastAsia="en-GB"/>
              </w:rPr>
            </w:pPr>
            <w:r w:rsidRPr="009575F3">
              <w:rPr>
                <w:sz w:val="16"/>
                <w:szCs w:val="16"/>
                <w:lang w:eastAsia="en-GB"/>
              </w:rPr>
              <w:t>11-20</w:t>
            </w:r>
          </w:p>
        </w:tc>
        <w:tc>
          <w:tcPr>
            <w:tcW w:w="1118" w:type="dxa"/>
            <w:tcBorders>
              <w:top w:val="nil"/>
              <w:left w:val="nil"/>
              <w:bottom w:val="nil"/>
              <w:right w:val="nil"/>
            </w:tcBorders>
            <w:noWrap/>
            <w:vAlign w:val="bottom"/>
            <w:hideMark/>
          </w:tcPr>
          <w:p w14:paraId="48F2645C" w14:textId="77777777" w:rsidR="00022330" w:rsidRPr="009575F3" w:rsidRDefault="00022330" w:rsidP="00FD7082">
            <w:pPr>
              <w:jc w:val="both"/>
              <w:rPr>
                <w:sz w:val="16"/>
                <w:szCs w:val="16"/>
                <w:lang w:eastAsia="en-GB"/>
              </w:rPr>
            </w:pPr>
            <w:r w:rsidRPr="009575F3">
              <w:rPr>
                <w:sz w:val="16"/>
                <w:szCs w:val="16"/>
                <w:lang w:eastAsia="en-GB"/>
              </w:rPr>
              <w:t>33 (69.4)</w:t>
            </w:r>
          </w:p>
        </w:tc>
        <w:tc>
          <w:tcPr>
            <w:tcW w:w="1029" w:type="dxa"/>
            <w:tcBorders>
              <w:top w:val="nil"/>
              <w:left w:val="nil"/>
              <w:bottom w:val="nil"/>
              <w:right w:val="nil"/>
            </w:tcBorders>
            <w:noWrap/>
            <w:vAlign w:val="bottom"/>
            <w:hideMark/>
          </w:tcPr>
          <w:p w14:paraId="1600F59E"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3DDB59DB"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23130DE3"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2D088373"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3AA79F48" w14:textId="77777777" w:rsidR="00022330" w:rsidRPr="009575F3" w:rsidRDefault="00022330" w:rsidP="00FD7082">
            <w:pPr>
              <w:jc w:val="both"/>
              <w:rPr>
                <w:sz w:val="16"/>
                <w:szCs w:val="16"/>
                <w:lang w:eastAsia="en-GB"/>
              </w:rPr>
            </w:pPr>
            <w:r w:rsidRPr="009575F3">
              <w:rPr>
                <w:sz w:val="16"/>
                <w:szCs w:val="16"/>
                <w:lang w:eastAsia="en-GB"/>
              </w:rPr>
              <w:t>3.062</w:t>
            </w:r>
          </w:p>
        </w:tc>
        <w:tc>
          <w:tcPr>
            <w:tcW w:w="711" w:type="dxa"/>
            <w:tcBorders>
              <w:top w:val="nil"/>
              <w:left w:val="nil"/>
              <w:bottom w:val="nil"/>
              <w:right w:val="nil"/>
            </w:tcBorders>
            <w:noWrap/>
            <w:vAlign w:val="bottom"/>
            <w:hideMark/>
          </w:tcPr>
          <w:p w14:paraId="4B965217" w14:textId="77777777" w:rsidR="00022330" w:rsidRPr="009575F3" w:rsidRDefault="00022330" w:rsidP="00FD7082">
            <w:pPr>
              <w:jc w:val="both"/>
              <w:rPr>
                <w:sz w:val="16"/>
                <w:szCs w:val="16"/>
                <w:lang w:eastAsia="en-GB"/>
              </w:rPr>
            </w:pPr>
            <w:r w:rsidRPr="009575F3">
              <w:rPr>
                <w:sz w:val="16"/>
                <w:szCs w:val="16"/>
                <w:lang w:eastAsia="en-GB"/>
              </w:rPr>
              <w:t>0.25</w:t>
            </w:r>
          </w:p>
        </w:tc>
        <w:tc>
          <w:tcPr>
            <w:tcW w:w="1285" w:type="dxa"/>
            <w:tcBorders>
              <w:top w:val="nil"/>
              <w:left w:val="nil"/>
              <w:bottom w:val="nil"/>
              <w:right w:val="nil"/>
            </w:tcBorders>
            <w:noWrap/>
            <w:vAlign w:val="bottom"/>
            <w:hideMark/>
          </w:tcPr>
          <w:p w14:paraId="60D81A64" w14:textId="77777777" w:rsidR="00022330" w:rsidRPr="009575F3" w:rsidRDefault="00022330" w:rsidP="00FD7082">
            <w:pPr>
              <w:jc w:val="both"/>
              <w:rPr>
                <w:sz w:val="16"/>
                <w:szCs w:val="16"/>
                <w:lang w:eastAsia="en-GB"/>
              </w:rPr>
            </w:pPr>
            <w:r w:rsidRPr="009575F3">
              <w:rPr>
                <w:sz w:val="16"/>
                <w:szCs w:val="16"/>
                <w:lang w:eastAsia="en-GB"/>
              </w:rPr>
              <w:t>0.05 - 1.18</w:t>
            </w:r>
          </w:p>
        </w:tc>
        <w:tc>
          <w:tcPr>
            <w:tcW w:w="801" w:type="dxa"/>
            <w:tcBorders>
              <w:top w:val="nil"/>
              <w:left w:val="nil"/>
              <w:bottom w:val="nil"/>
              <w:right w:val="nil"/>
            </w:tcBorders>
            <w:noWrap/>
            <w:vAlign w:val="bottom"/>
            <w:hideMark/>
          </w:tcPr>
          <w:p w14:paraId="5D794698" w14:textId="77777777" w:rsidR="00022330" w:rsidRPr="009575F3" w:rsidRDefault="00022330" w:rsidP="00FD7082">
            <w:pPr>
              <w:jc w:val="both"/>
              <w:rPr>
                <w:sz w:val="16"/>
                <w:szCs w:val="16"/>
                <w:lang w:eastAsia="en-GB"/>
              </w:rPr>
            </w:pPr>
            <w:r w:rsidRPr="009575F3">
              <w:rPr>
                <w:sz w:val="16"/>
                <w:szCs w:val="16"/>
                <w:lang w:eastAsia="en-GB"/>
              </w:rPr>
              <w:t>0.080</w:t>
            </w:r>
          </w:p>
        </w:tc>
      </w:tr>
      <w:tr w:rsidR="00022330" w:rsidRPr="009575F3" w14:paraId="7E442A19" w14:textId="77777777" w:rsidTr="00FD7082">
        <w:trPr>
          <w:trHeight w:val="330"/>
        </w:trPr>
        <w:tc>
          <w:tcPr>
            <w:tcW w:w="1681" w:type="dxa"/>
            <w:tcBorders>
              <w:top w:val="nil"/>
              <w:left w:val="nil"/>
              <w:bottom w:val="nil"/>
              <w:right w:val="nil"/>
            </w:tcBorders>
            <w:noWrap/>
            <w:vAlign w:val="bottom"/>
            <w:hideMark/>
          </w:tcPr>
          <w:p w14:paraId="67A445EE" w14:textId="77777777" w:rsidR="00022330" w:rsidRPr="009575F3" w:rsidRDefault="00022330" w:rsidP="00FD7082">
            <w:pPr>
              <w:jc w:val="both"/>
              <w:rPr>
                <w:sz w:val="16"/>
                <w:szCs w:val="16"/>
                <w:lang w:eastAsia="en-GB"/>
              </w:rPr>
            </w:pPr>
            <w:r w:rsidRPr="009575F3">
              <w:rPr>
                <w:sz w:val="16"/>
                <w:szCs w:val="16"/>
                <w:lang w:eastAsia="en-GB"/>
              </w:rPr>
              <w:t>21 – 30</w:t>
            </w:r>
          </w:p>
        </w:tc>
        <w:tc>
          <w:tcPr>
            <w:tcW w:w="1118" w:type="dxa"/>
            <w:tcBorders>
              <w:top w:val="nil"/>
              <w:left w:val="nil"/>
              <w:bottom w:val="nil"/>
              <w:right w:val="nil"/>
            </w:tcBorders>
            <w:noWrap/>
            <w:vAlign w:val="bottom"/>
            <w:hideMark/>
          </w:tcPr>
          <w:p w14:paraId="241BA82F" w14:textId="77777777" w:rsidR="00022330" w:rsidRPr="009575F3" w:rsidRDefault="00022330" w:rsidP="00FD7082">
            <w:pPr>
              <w:jc w:val="both"/>
              <w:rPr>
                <w:sz w:val="16"/>
                <w:szCs w:val="16"/>
                <w:lang w:eastAsia="en-GB"/>
              </w:rPr>
            </w:pPr>
            <w:r w:rsidRPr="009575F3">
              <w:rPr>
                <w:sz w:val="16"/>
                <w:szCs w:val="16"/>
                <w:lang w:eastAsia="en-GB"/>
              </w:rPr>
              <w:t>28 (90.3)</w:t>
            </w:r>
          </w:p>
        </w:tc>
        <w:tc>
          <w:tcPr>
            <w:tcW w:w="1029" w:type="dxa"/>
            <w:tcBorders>
              <w:top w:val="nil"/>
              <w:left w:val="nil"/>
              <w:bottom w:val="nil"/>
              <w:right w:val="nil"/>
            </w:tcBorders>
            <w:noWrap/>
            <w:vAlign w:val="bottom"/>
            <w:hideMark/>
          </w:tcPr>
          <w:p w14:paraId="540FDC0E"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7F79DBC6"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00F14135"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425F2E8C"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588995B6" w14:textId="77777777" w:rsidR="00022330" w:rsidRPr="009575F3" w:rsidRDefault="00022330" w:rsidP="00FD7082">
            <w:pPr>
              <w:jc w:val="both"/>
              <w:rPr>
                <w:sz w:val="16"/>
                <w:szCs w:val="16"/>
                <w:lang w:eastAsia="en-GB"/>
              </w:rPr>
            </w:pPr>
            <w:r w:rsidRPr="009575F3">
              <w:rPr>
                <w:sz w:val="16"/>
                <w:szCs w:val="16"/>
                <w:lang w:eastAsia="en-GB"/>
              </w:rPr>
              <w:t>0.001</w:t>
            </w:r>
          </w:p>
        </w:tc>
        <w:tc>
          <w:tcPr>
            <w:tcW w:w="711" w:type="dxa"/>
            <w:tcBorders>
              <w:top w:val="nil"/>
              <w:left w:val="nil"/>
              <w:bottom w:val="nil"/>
              <w:right w:val="nil"/>
            </w:tcBorders>
            <w:noWrap/>
            <w:vAlign w:val="bottom"/>
            <w:hideMark/>
          </w:tcPr>
          <w:p w14:paraId="31415F27" w14:textId="77777777" w:rsidR="00022330" w:rsidRPr="009575F3" w:rsidRDefault="00022330" w:rsidP="00FD7082">
            <w:pPr>
              <w:jc w:val="both"/>
              <w:rPr>
                <w:sz w:val="16"/>
                <w:szCs w:val="16"/>
                <w:lang w:eastAsia="en-GB"/>
              </w:rPr>
            </w:pPr>
            <w:r w:rsidRPr="009575F3">
              <w:rPr>
                <w:sz w:val="16"/>
                <w:szCs w:val="16"/>
                <w:lang w:eastAsia="en-GB"/>
              </w:rPr>
              <w:t>0.97</w:t>
            </w:r>
          </w:p>
        </w:tc>
        <w:tc>
          <w:tcPr>
            <w:tcW w:w="1285" w:type="dxa"/>
            <w:tcBorders>
              <w:top w:val="nil"/>
              <w:left w:val="nil"/>
              <w:bottom w:val="nil"/>
              <w:right w:val="nil"/>
            </w:tcBorders>
            <w:noWrap/>
            <w:vAlign w:val="bottom"/>
            <w:hideMark/>
          </w:tcPr>
          <w:p w14:paraId="33EC348F" w14:textId="77777777" w:rsidR="00022330" w:rsidRPr="009575F3" w:rsidRDefault="00022330" w:rsidP="00FD7082">
            <w:pPr>
              <w:jc w:val="both"/>
              <w:rPr>
                <w:sz w:val="16"/>
                <w:szCs w:val="16"/>
                <w:lang w:eastAsia="en-GB"/>
              </w:rPr>
            </w:pPr>
            <w:r w:rsidRPr="009575F3">
              <w:rPr>
                <w:sz w:val="16"/>
                <w:szCs w:val="16"/>
                <w:lang w:eastAsia="en-GB"/>
              </w:rPr>
              <w:t>0.21 - 4.50</w:t>
            </w:r>
          </w:p>
        </w:tc>
        <w:tc>
          <w:tcPr>
            <w:tcW w:w="801" w:type="dxa"/>
            <w:tcBorders>
              <w:top w:val="nil"/>
              <w:left w:val="nil"/>
              <w:bottom w:val="nil"/>
              <w:right w:val="nil"/>
            </w:tcBorders>
            <w:noWrap/>
            <w:vAlign w:val="bottom"/>
            <w:hideMark/>
          </w:tcPr>
          <w:p w14:paraId="07A9202E" w14:textId="77777777" w:rsidR="00022330" w:rsidRPr="009575F3" w:rsidRDefault="00022330" w:rsidP="00FD7082">
            <w:pPr>
              <w:jc w:val="both"/>
              <w:rPr>
                <w:sz w:val="16"/>
                <w:szCs w:val="16"/>
                <w:lang w:eastAsia="en-GB"/>
              </w:rPr>
            </w:pPr>
            <w:r w:rsidRPr="009575F3">
              <w:rPr>
                <w:sz w:val="16"/>
                <w:szCs w:val="16"/>
                <w:lang w:eastAsia="en-GB"/>
              </w:rPr>
              <w:t>0.972</w:t>
            </w:r>
          </w:p>
        </w:tc>
      </w:tr>
      <w:tr w:rsidR="00022330" w:rsidRPr="009575F3" w14:paraId="40A6CD7C" w14:textId="77777777" w:rsidTr="00FD7082">
        <w:trPr>
          <w:trHeight w:val="330"/>
        </w:trPr>
        <w:tc>
          <w:tcPr>
            <w:tcW w:w="1681" w:type="dxa"/>
            <w:tcBorders>
              <w:top w:val="nil"/>
              <w:left w:val="nil"/>
              <w:bottom w:val="single" w:sz="8" w:space="0" w:color="auto"/>
              <w:right w:val="nil"/>
            </w:tcBorders>
            <w:noWrap/>
            <w:vAlign w:val="bottom"/>
            <w:hideMark/>
          </w:tcPr>
          <w:p w14:paraId="180FF36D" w14:textId="77777777" w:rsidR="00022330" w:rsidRPr="009575F3" w:rsidRDefault="00022330" w:rsidP="00FD7082">
            <w:pPr>
              <w:jc w:val="both"/>
              <w:rPr>
                <w:sz w:val="16"/>
                <w:szCs w:val="16"/>
                <w:lang w:eastAsia="en-GB"/>
              </w:rPr>
            </w:pPr>
            <w:r w:rsidRPr="009575F3">
              <w:rPr>
                <w:sz w:val="16"/>
                <w:szCs w:val="16"/>
                <w:lang w:eastAsia="en-GB"/>
              </w:rPr>
              <w:t>31 – 40</w:t>
            </w:r>
          </w:p>
        </w:tc>
        <w:tc>
          <w:tcPr>
            <w:tcW w:w="1118" w:type="dxa"/>
            <w:tcBorders>
              <w:top w:val="nil"/>
              <w:left w:val="nil"/>
              <w:bottom w:val="single" w:sz="8" w:space="0" w:color="auto"/>
              <w:right w:val="nil"/>
            </w:tcBorders>
            <w:noWrap/>
            <w:vAlign w:val="bottom"/>
            <w:hideMark/>
          </w:tcPr>
          <w:p w14:paraId="36FA5744" w14:textId="77777777" w:rsidR="00022330" w:rsidRPr="009575F3" w:rsidRDefault="00022330" w:rsidP="00FD7082">
            <w:pPr>
              <w:jc w:val="both"/>
              <w:rPr>
                <w:sz w:val="16"/>
                <w:szCs w:val="16"/>
                <w:lang w:eastAsia="en-GB"/>
              </w:rPr>
            </w:pPr>
            <w:r w:rsidRPr="009575F3">
              <w:rPr>
                <w:sz w:val="16"/>
                <w:szCs w:val="16"/>
                <w:lang w:eastAsia="en-GB"/>
              </w:rPr>
              <w:t>13 (81.2)</w:t>
            </w:r>
          </w:p>
        </w:tc>
        <w:tc>
          <w:tcPr>
            <w:tcW w:w="1029" w:type="dxa"/>
            <w:tcBorders>
              <w:top w:val="nil"/>
              <w:left w:val="nil"/>
              <w:bottom w:val="single" w:sz="8" w:space="0" w:color="auto"/>
              <w:right w:val="nil"/>
            </w:tcBorders>
            <w:noWrap/>
            <w:vAlign w:val="bottom"/>
            <w:hideMark/>
          </w:tcPr>
          <w:p w14:paraId="3CF2AE29"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8" w:space="0" w:color="auto"/>
              <w:right w:val="nil"/>
            </w:tcBorders>
            <w:noWrap/>
            <w:vAlign w:val="bottom"/>
            <w:hideMark/>
          </w:tcPr>
          <w:p w14:paraId="4510284C" w14:textId="77777777" w:rsidR="00022330" w:rsidRPr="009575F3" w:rsidRDefault="00022330" w:rsidP="00FD7082">
            <w:pPr>
              <w:jc w:val="both"/>
              <w:rPr>
                <w:sz w:val="16"/>
                <w:szCs w:val="16"/>
                <w:lang w:eastAsia="en-GB"/>
              </w:rPr>
            </w:pPr>
            <w:r w:rsidRPr="009575F3">
              <w:rPr>
                <w:sz w:val="16"/>
                <w:szCs w:val="16"/>
                <w:lang w:eastAsia="en-GB"/>
              </w:rPr>
              <w:t> </w:t>
            </w:r>
          </w:p>
        </w:tc>
        <w:tc>
          <w:tcPr>
            <w:tcW w:w="1295" w:type="dxa"/>
            <w:tcBorders>
              <w:top w:val="nil"/>
              <w:left w:val="nil"/>
              <w:bottom w:val="single" w:sz="8" w:space="0" w:color="auto"/>
              <w:right w:val="nil"/>
            </w:tcBorders>
            <w:noWrap/>
            <w:vAlign w:val="bottom"/>
            <w:hideMark/>
          </w:tcPr>
          <w:p w14:paraId="17E6B771" w14:textId="77777777" w:rsidR="00022330" w:rsidRPr="009575F3" w:rsidRDefault="00022330" w:rsidP="00FD7082">
            <w:pPr>
              <w:jc w:val="both"/>
              <w:rPr>
                <w:sz w:val="16"/>
                <w:szCs w:val="16"/>
                <w:lang w:eastAsia="en-GB"/>
              </w:rPr>
            </w:pPr>
            <w:r w:rsidRPr="009575F3">
              <w:rPr>
                <w:sz w:val="16"/>
                <w:szCs w:val="16"/>
                <w:lang w:eastAsia="en-GB"/>
              </w:rPr>
              <w:t> </w:t>
            </w:r>
          </w:p>
        </w:tc>
        <w:tc>
          <w:tcPr>
            <w:tcW w:w="771" w:type="dxa"/>
            <w:tcBorders>
              <w:top w:val="nil"/>
              <w:left w:val="nil"/>
              <w:bottom w:val="single" w:sz="8" w:space="0" w:color="auto"/>
              <w:right w:val="nil"/>
            </w:tcBorders>
            <w:noWrap/>
            <w:vAlign w:val="bottom"/>
            <w:hideMark/>
          </w:tcPr>
          <w:p w14:paraId="091816A3" w14:textId="77777777" w:rsidR="00022330" w:rsidRPr="009575F3" w:rsidRDefault="00022330" w:rsidP="00FD7082">
            <w:pPr>
              <w:jc w:val="both"/>
              <w:rPr>
                <w:sz w:val="16"/>
                <w:szCs w:val="16"/>
                <w:lang w:eastAsia="en-GB"/>
              </w:rPr>
            </w:pPr>
            <w:r w:rsidRPr="009575F3">
              <w:rPr>
                <w:sz w:val="16"/>
                <w:szCs w:val="16"/>
                <w:lang w:eastAsia="en-GB"/>
              </w:rPr>
              <w:t> </w:t>
            </w:r>
          </w:p>
        </w:tc>
        <w:tc>
          <w:tcPr>
            <w:tcW w:w="1070" w:type="dxa"/>
            <w:tcBorders>
              <w:top w:val="nil"/>
              <w:left w:val="nil"/>
              <w:bottom w:val="single" w:sz="8" w:space="0" w:color="auto"/>
              <w:right w:val="nil"/>
            </w:tcBorders>
            <w:noWrap/>
            <w:vAlign w:val="bottom"/>
            <w:hideMark/>
          </w:tcPr>
          <w:p w14:paraId="7C29219C" w14:textId="77777777" w:rsidR="00022330" w:rsidRPr="009575F3" w:rsidRDefault="00022330" w:rsidP="00FD7082">
            <w:pPr>
              <w:jc w:val="both"/>
              <w:rPr>
                <w:sz w:val="16"/>
                <w:szCs w:val="16"/>
                <w:lang w:eastAsia="en-GB"/>
              </w:rPr>
            </w:pPr>
            <w:r w:rsidRPr="009575F3">
              <w:rPr>
                <w:sz w:val="16"/>
                <w:szCs w:val="16"/>
                <w:lang w:eastAsia="en-GB"/>
              </w:rPr>
              <w:t> </w:t>
            </w:r>
          </w:p>
        </w:tc>
        <w:tc>
          <w:tcPr>
            <w:tcW w:w="711" w:type="dxa"/>
            <w:tcBorders>
              <w:top w:val="nil"/>
              <w:left w:val="nil"/>
              <w:bottom w:val="single" w:sz="8" w:space="0" w:color="auto"/>
              <w:right w:val="nil"/>
            </w:tcBorders>
            <w:noWrap/>
            <w:vAlign w:val="bottom"/>
            <w:hideMark/>
          </w:tcPr>
          <w:p w14:paraId="50FB58EE" w14:textId="77777777" w:rsidR="00022330" w:rsidRPr="009575F3" w:rsidRDefault="00022330" w:rsidP="00FD7082">
            <w:pPr>
              <w:jc w:val="both"/>
              <w:rPr>
                <w:sz w:val="16"/>
                <w:szCs w:val="16"/>
                <w:lang w:eastAsia="en-GB"/>
              </w:rPr>
            </w:pPr>
            <w:r w:rsidRPr="009575F3">
              <w:rPr>
                <w:sz w:val="16"/>
                <w:szCs w:val="16"/>
                <w:lang w:eastAsia="en-GB"/>
              </w:rPr>
              <w:t> </w:t>
            </w:r>
          </w:p>
        </w:tc>
        <w:tc>
          <w:tcPr>
            <w:tcW w:w="1285" w:type="dxa"/>
            <w:tcBorders>
              <w:top w:val="nil"/>
              <w:left w:val="nil"/>
              <w:bottom w:val="single" w:sz="8" w:space="0" w:color="auto"/>
              <w:right w:val="nil"/>
            </w:tcBorders>
            <w:noWrap/>
            <w:vAlign w:val="bottom"/>
            <w:hideMark/>
          </w:tcPr>
          <w:p w14:paraId="558F74A8" w14:textId="77777777" w:rsidR="00022330" w:rsidRPr="009575F3" w:rsidRDefault="00022330" w:rsidP="00FD7082">
            <w:pPr>
              <w:jc w:val="both"/>
              <w:rPr>
                <w:sz w:val="16"/>
                <w:szCs w:val="16"/>
                <w:lang w:eastAsia="en-GB"/>
              </w:rPr>
            </w:pPr>
            <w:r w:rsidRPr="009575F3">
              <w:rPr>
                <w:sz w:val="16"/>
                <w:szCs w:val="16"/>
                <w:lang w:eastAsia="en-GB"/>
              </w:rPr>
              <w:t> </w:t>
            </w:r>
          </w:p>
        </w:tc>
        <w:tc>
          <w:tcPr>
            <w:tcW w:w="801" w:type="dxa"/>
            <w:tcBorders>
              <w:top w:val="nil"/>
              <w:left w:val="nil"/>
              <w:bottom w:val="single" w:sz="8" w:space="0" w:color="auto"/>
              <w:right w:val="nil"/>
            </w:tcBorders>
            <w:noWrap/>
            <w:vAlign w:val="bottom"/>
            <w:hideMark/>
          </w:tcPr>
          <w:p w14:paraId="7B7B34D5" w14:textId="77777777" w:rsidR="00022330" w:rsidRPr="009575F3" w:rsidRDefault="00022330" w:rsidP="00FD7082">
            <w:pPr>
              <w:jc w:val="both"/>
              <w:rPr>
                <w:sz w:val="16"/>
                <w:szCs w:val="16"/>
                <w:lang w:eastAsia="en-GB"/>
              </w:rPr>
            </w:pPr>
            <w:r w:rsidRPr="009575F3">
              <w:rPr>
                <w:sz w:val="16"/>
                <w:szCs w:val="16"/>
                <w:lang w:eastAsia="en-GB"/>
              </w:rPr>
              <w:t> </w:t>
            </w:r>
          </w:p>
        </w:tc>
      </w:tr>
      <w:tr w:rsidR="00022330" w:rsidRPr="009575F3" w14:paraId="07B1F3D4" w14:textId="77777777" w:rsidTr="00FD7082">
        <w:trPr>
          <w:trHeight w:val="315"/>
        </w:trPr>
        <w:tc>
          <w:tcPr>
            <w:tcW w:w="2799" w:type="dxa"/>
            <w:gridSpan w:val="2"/>
            <w:tcBorders>
              <w:top w:val="single" w:sz="8" w:space="0" w:color="auto"/>
              <w:left w:val="nil"/>
              <w:bottom w:val="nil"/>
              <w:right w:val="nil"/>
            </w:tcBorders>
            <w:noWrap/>
            <w:vAlign w:val="bottom"/>
            <w:hideMark/>
          </w:tcPr>
          <w:p w14:paraId="5A25DC7F" w14:textId="77777777" w:rsidR="00022330" w:rsidRPr="009575F3" w:rsidRDefault="00022330" w:rsidP="00FD7082">
            <w:pPr>
              <w:jc w:val="both"/>
              <w:rPr>
                <w:sz w:val="16"/>
                <w:szCs w:val="16"/>
                <w:lang w:eastAsia="en-GB"/>
              </w:rPr>
            </w:pPr>
            <w:r w:rsidRPr="009575F3">
              <w:rPr>
                <w:sz w:val="16"/>
                <w:szCs w:val="16"/>
                <w:lang w:eastAsia="en-GB"/>
              </w:rPr>
              <w:t>*significant at p &lt; 0.05</w:t>
            </w:r>
          </w:p>
        </w:tc>
        <w:tc>
          <w:tcPr>
            <w:tcW w:w="1596" w:type="dxa"/>
            <w:gridSpan w:val="2"/>
            <w:tcBorders>
              <w:top w:val="single" w:sz="8" w:space="0" w:color="auto"/>
              <w:left w:val="nil"/>
              <w:bottom w:val="nil"/>
              <w:right w:val="nil"/>
            </w:tcBorders>
            <w:noWrap/>
            <w:vAlign w:val="bottom"/>
            <w:hideMark/>
          </w:tcPr>
          <w:p w14:paraId="7988D4CB"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115855BA"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04DD7C4B"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3FF5F3CE" w14:textId="77777777" w:rsidR="00022330" w:rsidRPr="009575F3" w:rsidRDefault="00022330" w:rsidP="00FD7082">
            <w:pPr>
              <w:jc w:val="both"/>
              <w:rPr>
                <w:sz w:val="16"/>
                <w:szCs w:val="16"/>
                <w:lang w:eastAsia="en-GB"/>
              </w:rPr>
            </w:pPr>
          </w:p>
        </w:tc>
        <w:tc>
          <w:tcPr>
            <w:tcW w:w="711" w:type="dxa"/>
            <w:tcBorders>
              <w:top w:val="nil"/>
              <w:left w:val="nil"/>
              <w:bottom w:val="nil"/>
              <w:right w:val="nil"/>
            </w:tcBorders>
            <w:noWrap/>
            <w:vAlign w:val="bottom"/>
            <w:hideMark/>
          </w:tcPr>
          <w:p w14:paraId="59970644" w14:textId="77777777" w:rsidR="00022330" w:rsidRPr="009575F3" w:rsidRDefault="00022330" w:rsidP="00FD7082">
            <w:pPr>
              <w:jc w:val="both"/>
              <w:rPr>
                <w:sz w:val="16"/>
                <w:szCs w:val="16"/>
                <w:lang w:eastAsia="en-GB"/>
              </w:rPr>
            </w:pPr>
          </w:p>
        </w:tc>
        <w:tc>
          <w:tcPr>
            <w:tcW w:w="1285" w:type="dxa"/>
            <w:tcBorders>
              <w:top w:val="nil"/>
              <w:left w:val="nil"/>
              <w:bottom w:val="nil"/>
              <w:right w:val="nil"/>
            </w:tcBorders>
            <w:noWrap/>
            <w:vAlign w:val="bottom"/>
            <w:hideMark/>
          </w:tcPr>
          <w:p w14:paraId="11D85624" w14:textId="77777777" w:rsidR="00022330" w:rsidRPr="009575F3" w:rsidRDefault="00022330" w:rsidP="00FD7082">
            <w:pPr>
              <w:jc w:val="both"/>
              <w:rPr>
                <w:sz w:val="16"/>
                <w:szCs w:val="16"/>
                <w:lang w:eastAsia="en-GB"/>
              </w:rPr>
            </w:pPr>
          </w:p>
        </w:tc>
        <w:tc>
          <w:tcPr>
            <w:tcW w:w="801" w:type="dxa"/>
            <w:tcBorders>
              <w:top w:val="nil"/>
              <w:left w:val="nil"/>
              <w:bottom w:val="nil"/>
              <w:right w:val="nil"/>
            </w:tcBorders>
            <w:noWrap/>
            <w:vAlign w:val="bottom"/>
            <w:hideMark/>
          </w:tcPr>
          <w:p w14:paraId="336D6B16" w14:textId="77777777" w:rsidR="00022330" w:rsidRPr="009575F3" w:rsidRDefault="00022330" w:rsidP="00FD7082">
            <w:pPr>
              <w:jc w:val="both"/>
              <w:rPr>
                <w:sz w:val="16"/>
                <w:szCs w:val="16"/>
                <w:lang w:eastAsia="en-GB"/>
              </w:rPr>
            </w:pPr>
          </w:p>
        </w:tc>
      </w:tr>
      <w:tr w:rsidR="00022330" w:rsidRPr="009575F3" w14:paraId="63CF866F" w14:textId="77777777" w:rsidTr="00FD7082">
        <w:trPr>
          <w:trHeight w:val="315"/>
        </w:trPr>
        <w:tc>
          <w:tcPr>
            <w:tcW w:w="10328" w:type="dxa"/>
            <w:gridSpan w:val="10"/>
            <w:tcBorders>
              <w:top w:val="nil"/>
              <w:left w:val="nil"/>
              <w:bottom w:val="nil"/>
              <w:right w:val="nil"/>
            </w:tcBorders>
            <w:noWrap/>
            <w:vAlign w:val="bottom"/>
            <w:hideMark/>
          </w:tcPr>
          <w:p w14:paraId="50E3AE68" w14:textId="77777777" w:rsidR="00022330" w:rsidRDefault="00022330" w:rsidP="00FD7082">
            <w:pPr>
              <w:jc w:val="both"/>
              <w:rPr>
                <w:sz w:val="16"/>
                <w:szCs w:val="16"/>
                <w:lang w:eastAsia="en-GB"/>
              </w:rPr>
            </w:pPr>
            <w:r w:rsidRPr="009575F3">
              <w:rPr>
                <w:sz w:val="16"/>
                <w:szCs w:val="16"/>
                <w:lang w:eastAsia="en-GB"/>
              </w:rPr>
              <w:t>Key:  Ref – reference, OR – Odds Ratio, CI – Confidence Interval for the Odds Ratio, NI- Not Included in the simple regression analyses model</w:t>
            </w:r>
          </w:p>
          <w:p w14:paraId="49A6B3EE" w14:textId="77777777" w:rsidR="00022330" w:rsidRDefault="00022330" w:rsidP="00FD7082">
            <w:pPr>
              <w:jc w:val="both"/>
              <w:rPr>
                <w:sz w:val="16"/>
                <w:szCs w:val="16"/>
                <w:lang w:eastAsia="en-GB"/>
              </w:rPr>
            </w:pPr>
          </w:p>
          <w:p w14:paraId="1B519DBC" w14:textId="77777777" w:rsidR="00022330" w:rsidRDefault="00022330" w:rsidP="00FD7082">
            <w:pPr>
              <w:jc w:val="both"/>
              <w:rPr>
                <w:sz w:val="16"/>
                <w:szCs w:val="16"/>
                <w:lang w:eastAsia="en-GB"/>
              </w:rPr>
            </w:pPr>
          </w:p>
          <w:p w14:paraId="251CFAD5" w14:textId="77777777" w:rsidR="00022330" w:rsidRPr="009575F3" w:rsidRDefault="00022330" w:rsidP="00FD7082">
            <w:pPr>
              <w:jc w:val="both"/>
              <w:rPr>
                <w:sz w:val="16"/>
                <w:szCs w:val="16"/>
                <w:lang w:eastAsia="en-GB"/>
              </w:rPr>
            </w:pPr>
          </w:p>
        </w:tc>
      </w:tr>
    </w:tbl>
    <w:p w14:paraId="2595524A" w14:textId="77777777" w:rsidR="00CB4E83" w:rsidRDefault="00CB4E83" w:rsidP="00CF22A7">
      <w:pPr>
        <w:pStyle w:val="Body"/>
        <w:spacing w:after="0"/>
        <w:rPr>
          <w:rFonts w:ascii="Arial" w:hAnsi="Arial" w:cs="Arial"/>
          <w:sz w:val="22"/>
          <w:szCs w:val="22"/>
        </w:rPr>
      </w:pPr>
    </w:p>
    <w:p w14:paraId="50C8B1F8" w14:textId="77777777" w:rsidR="00F22637" w:rsidRPr="007F0D2F" w:rsidRDefault="00F22637" w:rsidP="00CF22A7">
      <w:pPr>
        <w:pStyle w:val="Body"/>
        <w:spacing w:after="0"/>
        <w:rPr>
          <w:rFonts w:ascii="Arial" w:hAnsi="Arial" w:cs="Arial"/>
          <w:sz w:val="22"/>
          <w:szCs w:val="22"/>
        </w:rPr>
      </w:pPr>
    </w:p>
    <w:p w14:paraId="6825C87C" w14:textId="77777777" w:rsidR="00CF22A7" w:rsidRDefault="00CF22A7" w:rsidP="00CF22A7">
      <w:pPr>
        <w:pStyle w:val="Head1"/>
        <w:spacing w:after="0"/>
        <w:jc w:val="both"/>
        <w:rPr>
          <w:rFonts w:ascii="Arial" w:hAnsi="Arial" w:cs="Arial"/>
          <w:szCs w:val="22"/>
        </w:rPr>
      </w:pPr>
      <w:r w:rsidRPr="007F0D2F">
        <w:rPr>
          <w:rFonts w:ascii="Arial" w:hAnsi="Arial" w:cs="Arial"/>
          <w:szCs w:val="22"/>
        </w:rPr>
        <w:t>3. discussion</w:t>
      </w:r>
    </w:p>
    <w:p w14:paraId="03381AB1" w14:textId="77777777" w:rsidR="00B57797" w:rsidRPr="005D49FE" w:rsidRDefault="00B57797" w:rsidP="00B57797">
      <w:pPr>
        <w:pStyle w:val="Heading2"/>
        <w:spacing w:line="480" w:lineRule="auto"/>
        <w:jc w:val="both"/>
        <w:rPr>
          <w:rFonts w:ascii="Times New Roman" w:hAnsi="Times New Roman" w:cs="Times New Roman"/>
          <w:b/>
          <w:bCs/>
          <w:color w:val="auto"/>
          <w:sz w:val="24"/>
          <w:szCs w:val="24"/>
        </w:rPr>
      </w:pPr>
    </w:p>
    <w:p w14:paraId="1A64991F" w14:textId="2923CB08" w:rsidR="00B57797" w:rsidRPr="009575F3" w:rsidRDefault="00B57797" w:rsidP="00B57797">
      <w:pPr>
        <w:spacing w:line="480" w:lineRule="auto"/>
        <w:jc w:val="both"/>
        <w:rPr>
          <w:szCs w:val="24"/>
        </w:rPr>
      </w:pPr>
      <w:r w:rsidRPr="009575F3">
        <w:rPr>
          <w:szCs w:val="24"/>
        </w:rPr>
        <w:t xml:space="preserve">This study achieved 100% response rate and provided information on the socio-demography of CVDs in Gwagwalada FCT Abuja. The finding of this study showed that CVDs using major motor parks in Gwagwalada were entirely males (100%) as was the situation in most regions in </w:t>
      </w:r>
      <w:r w:rsidRPr="0075174B">
        <w:rPr>
          <w:szCs w:val="24"/>
        </w:rPr>
        <w:t>Nigeria.</w:t>
      </w:r>
      <w:r w:rsidRPr="0075174B">
        <w:rPr>
          <w:szCs w:val="24"/>
          <w:vertAlign w:val="superscript"/>
        </w:rPr>
        <w:t>12,1</w:t>
      </w:r>
      <w:r w:rsidR="003C1583">
        <w:rPr>
          <w:szCs w:val="24"/>
          <w:vertAlign w:val="superscript"/>
        </w:rPr>
        <w:t>3</w:t>
      </w:r>
      <w:r w:rsidRPr="0075174B">
        <w:rPr>
          <w:szCs w:val="24"/>
          <w:vertAlign w:val="superscript"/>
        </w:rPr>
        <w:t>,</w:t>
      </w:r>
      <w:r w:rsidRPr="0075174B">
        <w:rPr>
          <w:szCs w:val="24"/>
        </w:rPr>
        <w:t xml:space="preserve"> </w:t>
      </w:r>
      <w:r w:rsidRPr="009575F3">
        <w:rPr>
          <w:szCs w:val="24"/>
        </w:rPr>
        <w:t>Preponderance of male CVDs might be due to cultural belief that commercial driving is a rather demanding and risky enterprise, which males are generally viewed capable of enduring. In this study, the mean age of the participants was 44.9±9.1 years with most of the drivers (66%) aged 41 - 60 years. The modal age in this study was comparable to findings of some Nigerian studies,</w:t>
      </w:r>
      <w:r w:rsidRPr="009575F3">
        <w:rPr>
          <w:szCs w:val="24"/>
          <w:vertAlign w:val="superscript"/>
        </w:rPr>
        <w:t xml:space="preserve"> </w:t>
      </w:r>
      <w:r w:rsidRPr="00392E0A">
        <w:rPr>
          <w:szCs w:val="24"/>
          <w:vertAlign w:val="superscript"/>
        </w:rPr>
        <w:t>12,1</w:t>
      </w:r>
      <w:r w:rsidR="003C1583">
        <w:rPr>
          <w:szCs w:val="24"/>
          <w:vertAlign w:val="superscript"/>
        </w:rPr>
        <w:t>3</w:t>
      </w:r>
      <w:r w:rsidRPr="00392E0A">
        <w:rPr>
          <w:szCs w:val="24"/>
          <w:vertAlign w:val="superscript"/>
        </w:rPr>
        <w:t xml:space="preserve">, </w:t>
      </w:r>
      <w:r w:rsidRPr="009575F3">
        <w:rPr>
          <w:szCs w:val="24"/>
        </w:rPr>
        <w:t xml:space="preserve">but differed from </w:t>
      </w:r>
      <w:r>
        <w:rPr>
          <w:szCs w:val="24"/>
        </w:rPr>
        <w:t xml:space="preserve">the </w:t>
      </w:r>
      <w:r w:rsidRPr="009575F3">
        <w:rPr>
          <w:szCs w:val="24"/>
        </w:rPr>
        <w:t>finding</w:t>
      </w:r>
      <w:r>
        <w:rPr>
          <w:szCs w:val="24"/>
        </w:rPr>
        <w:t>s</w:t>
      </w:r>
      <w:r w:rsidRPr="009575F3">
        <w:rPr>
          <w:szCs w:val="24"/>
        </w:rPr>
        <w:t xml:space="preserve"> of a study done in Makurdi</w:t>
      </w:r>
      <w:r>
        <w:rPr>
          <w:szCs w:val="24"/>
        </w:rPr>
        <w:t>,</w:t>
      </w:r>
      <w:r w:rsidRPr="009575F3">
        <w:rPr>
          <w:szCs w:val="24"/>
        </w:rPr>
        <w:t xml:space="preserve"> Nigeria where modal age was 20 – 29 years.</w:t>
      </w:r>
      <w:r w:rsidR="00DE0ACC">
        <w:rPr>
          <w:szCs w:val="24"/>
          <w:vertAlign w:val="superscript"/>
        </w:rPr>
        <w:t>16</w:t>
      </w:r>
      <w:r w:rsidRPr="00EE70D2">
        <w:rPr>
          <w:color w:val="FF0000"/>
          <w:szCs w:val="24"/>
        </w:rPr>
        <w:t xml:space="preserve"> </w:t>
      </w:r>
      <w:r w:rsidRPr="009575F3">
        <w:rPr>
          <w:szCs w:val="24"/>
        </w:rPr>
        <w:t xml:space="preserve">Also, the mean age in this study was similar to findings of studies by </w:t>
      </w:r>
      <w:proofErr w:type="spellStart"/>
      <w:r w:rsidRPr="009575F3">
        <w:rPr>
          <w:szCs w:val="24"/>
        </w:rPr>
        <w:t>Oladehinde</w:t>
      </w:r>
      <w:proofErr w:type="spellEnd"/>
      <w:r w:rsidRPr="009575F3">
        <w:rPr>
          <w:szCs w:val="24"/>
        </w:rPr>
        <w:t xml:space="preserve"> et a</w:t>
      </w:r>
      <w:r w:rsidRPr="002D3233">
        <w:rPr>
          <w:szCs w:val="24"/>
        </w:rPr>
        <w:t>l</w:t>
      </w:r>
      <w:r w:rsidRPr="002D3233">
        <w:rPr>
          <w:szCs w:val="24"/>
          <w:vertAlign w:val="superscript"/>
        </w:rPr>
        <w:t>1</w:t>
      </w:r>
      <w:r w:rsidR="00E066EC">
        <w:rPr>
          <w:szCs w:val="24"/>
          <w:vertAlign w:val="superscript"/>
        </w:rPr>
        <w:t>2</w:t>
      </w:r>
      <w:r w:rsidRPr="009575F3">
        <w:rPr>
          <w:szCs w:val="24"/>
        </w:rPr>
        <w:t xml:space="preserve"> and Adekoya et al</w:t>
      </w:r>
      <w:r w:rsidRPr="009575F3">
        <w:rPr>
          <w:szCs w:val="24"/>
          <w:vertAlign w:val="superscript"/>
        </w:rPr>
        <w:t>1</w:t>
      </w:r>
      <w:r w:rsidR="00847D27">
        <w:rPr>
          <w:szCs w:val="24"/>
          <w:vertAlign w:val="superscript"/>
        </w:rPr>
        <w:t>3</w:t>
      </w:r>
      <w:r w:rsidRPr="009575F3">
        <w:rPr>
          <w:szCs w:val="24"/>
        </w:rPr>
        <w:t xml:space="preserve"> where the mean ages of 41.5±6.7 years and 44.7 ± 10.3 years were reported, respectively. However, the mean age in this study differed from the findings of studies done i</w:t>
      </w:r>
      <w:r w:rsidRPr="008F59B8">
        <w:rPr>
          <w:szCs w:val="24"/>
        </w:rPr>
        <w:t>n Portharcourt</w:t>
      </w:r>
      <w:r w:rsidRPr="008F59B8">
        <w:rPr>
          <w:szCs w:val="24"/>
          <w:vertAlign w:val="superscript"/>
        </w:rPr>
        <w:t>1</w:t>
      </w:r>
      <w:r w:rsidR="00C65D00">
        <w:rPr>
          <w:szCs w:val="24"/>
          <w:vertAlign w:val="superscript"/>
        </w:rPr>
        <w:t>0</w:t>
      </w:r>
      <w:r w:rsidRPr="008F59B8">
        <w:rPr>
          <w:szCs w:val="24"/>
        </w:rPr>
        <w:t xml:space="preserve"> and Markurdi,</w:t>
      </w:r>
      <w:r w:rsidR="008F59B8" w:rsidRPr="008F59B8">
        <w:rPr>
          <w:szCs w:val="24"/>
          <w:vertAlign w:val="superscript"/>
        </w:rPr>
        <w:t>16</w:t>
      </w:r>
      <w:r w:rsidRPr="008F59B8">
        <w:rPr>
          <w:szCs w:val="24"/>
        </w:rPr>
        <w:t xml:space="preserve"> </w:t>
      </w:r>
      <w:r w:rsidRPr="009575F3">
        <w:rPr>
          <w:szCs w:val="24"/>
        </w:rPr>
        <w:t>Nigeria, where mean ages of 37.8± 9.1 years and 33.8 + 0.81 years were reported, respectively. The observed difference in modal age and mean age may be due to changes in youth unemployment rate over a period in the respective states. Further, majority of the participants in this study had formal education (81.9%, n=154) with CVDs having primary education (43.6%, n=82) being the most. Although this finding was consistent with some other studies done in Nigeria</w:t>
      </w:r>
      <w:r w:rsidRPr="009575F3">
        <w:rPr>
          <w:szCs w:val="24"/>
          <w:vertAlign w:val="superscript"/>
        </w:rPr>
        <w:t>12,1</w:t>
      </w:r>
      <w:r w:rsidR="00B94B2E">
        <w:rPr>
          <w:szCs w:val="24"/>
          <w:vertAlign w:val="superscript"/>
        </w:rPr>
        <w:t>3</w:t>
      </w:r>
      <w:r w:rsidRPr="009575F3">
        <w:rPr>
          <w:szCs w:val="24"/>
        </w:rPr>
        <w:t xml:space="preserve"> where most CVDs had some form of formal education, level of education was not significantly associated with RTA rate</w:t>
      </w:r>
      <w:r>
        <w:rPr>
          <w:szCs w:val="24"/>
        </w:rPr>
        <w:t>.</w:t>
      </w:r>
    </w:p>
    <w:p w14:paraId="2053032C" w14:textId="021B65D1" w:rsidR="00B57797" w:rsidRPr="009575F3" w:rsidRDefault="00B57797" w:rsidP="00B57797">
      <w:pPr>
        <w:spacing w:line="480" w:lineRule="auto"/>
        <w:jc w:val="both"/>
        <w:rPr>
          <w:szCs w:val="24"/>
        </w:rPr>
      </w:pPr>
      <w:r w:rsidRPr="009575F3">
        <w:rPr>
          <w:szCs w:val="24"/>
        </w:rPr>
        <w:t xml:space="preserve">Of the 188 participants, 57.4% (n=108) had been involved in at-fault RTA in their years of driving as CVDs. However, about one out of three drivers (34.5%) had not more than one RTA within 10 years of driving. The proportion of RTA found in this study was more than those reported in studies done in Port Harcourt, </w:t>
      </w:r>
      <w:r w:rsidRPr="00836E2A">
        <w:rPr>
          <w:szCs w:val="24"/>
        </w:rPr>
        <w:t>(45.5%,)</w:t>
      </w:r>
      <w:r w:rsidRPr="00836E2A">
        <w:rPr>
          <w:szCs w:val="24"/>
          <w:vertAlign w:val="superscript"/>
        </w:rPr>
        <w:t>1</w:t>
      </w:r>
      <w:r w:rsidR="00091AA4" w:rsidRPr="00836E2A">
        <w:rPr>
          <w:szCs w:val="24"/>
          <w:vertAlign w:val="superscript"/>
        </w:rPr>
        <w:t>0</w:t>
      </w:r>
      <w:r w:rsidRPr="00836E2A">
        <w:rPr>
          <w:szCs w:val="24"/>
        </w:rPr>
        <w:t>, Osun (26.5%)</w:t>
      </w:r>
      <w:r w:rsidRPr="00836E2A">
        <w:rPr>
          <w:szCs w:val="24"/>
          <w:vertAlign w:val="superscript"/>
        </w:rPr>
        <w:t>1</w:t>
      </w:r>
      <w:r w:rsidR="00EA2A64" w:rsidRPr="00836E2A">
        <w:rPr>
          <w:szCs w:val="24"/>
          <w:vertAlign w:val="superscript"/>
        </w:rPr>
        <w:t>2</w:t>
      </w:r>
      <w:r w:rsidRPr="00836E2A">
        <w:rPr>
          <w:szCs w:val="24"/>
        </w:rPr>
        <w:t xml:space="preserve"> and Makurdi (44.3%)</w:t>
      </w:r>
      <w:r w:rsidR="00B94B2E" w:rsidRPr="00836E2A">
        <w:rPr>
          <w:szCs w:val="24"/>
          <w:vertAlign w:val="superscript"/>
        </w:rPr>
        <w:t>16</w:t>
      </w:r>
      <w:r w:rsidRPr="00836E2A">
        <w:rPr>
          <w:szCs w:val="24"/>
        </w:rPr>
        <w:t xml:space="preserve">, </w:t>
      </w:r>
      <w:r w:rsidRPr="009575F3">
        <w:rPr>
          <w:szCs w:val="24"/>
        </w:rPr>
        <w:t>Nigeria. The higher proportion of RTA observed in this study could be due to assessment of RTA in CVDs who had mostly driven for as long as 20 years (92%), unlike in previous studies</w:t>
      </w:r>
      <w:r w:rsidRPr="009575F3">
        <w:rPr>
          <w:szCs w:val="24"/>
          <w:vertAlign w:val="superscript"/>
        </w:rPr>
        <w:t>12,1</w:t>
      </w:r>
      <w:r w:rsidR="00126DF0">
        <w:rPr>
          <w:szCs w:val="24"/>
          <w:vertAlign w:val="superscript"/>
        </w:rPr>
        <w:t>3</w:t>
      </w:r>
      <w:r w:rsidRPr="009575F3">
        <w:rPr>
          <w:szCs w:val="24"/>
          <w:vertAlign w:val="superscript"/>
        </w:rPr>
        <w:t>,</w:t>
      </w:r>
      <w:r w:rsidR="00126DF0">
        <w:rPr>
          <w:szCs w:val="24"/>
          <w:vertAlign w:val="superscript"/>
        </w:rPr>
        <w:t>16</w:t>
      </w:r>
      <w:r w:rsidRPr="009575F3">
        <w:rPr>
          <w:szCs w:val="24"/>
        </w:rPr>
        <w:t xml:space="preserve"> where RTA was assessed in CVDs with 5 - 10 years of driving experience. In this study, drivers who had driven for 10 years and below had 97% lesser likelihood of having RTA per year of driving than those who had driven for more than 30 years. It would be expected that longer driving would give drivers more experience and therefore lesser likelihood of RTA per year of driving. But, this was not the case in this study, which signifies that there are other factors that may make drivers have higher risk of RTA with longer exposure. </w:t>
      </w:r>
      <w:r>
        <w:rPr>
          <w:szCs w:val="24"/>
        </w:rPr>
        <w:t xml:space="preserve">Possible </w:t>
      </w:r>
      <w:proofErr w:type="gramStart"/>
      <w:r>
        <w:rPr>
          <w:szCs w:val="24"/>
        </w:rPr>
        <w:t xml:space="preserve">explanation </w:t>
      </w:r>
      <w:r w:rsidRPr="009575F3">
        <w:rPr>
          <w:szCs w:val="24"/>
        </w:rPr>
        <w:t xml:space="preserve"> could</w:t>
      </w:r>
      <w:proofErr w:type="gramEnd"/>
      <w:r w:rsidRPr="009575F3">
        <w:rPr>
          <w:szCs w:val="24"/>
        </w:rPr>
        <w:t xml:space="preserve"> be due to increasing age, emanating from possible reduced mental and visual alertness among drivers who had driven for longer years and were more likely to be older. It could also be due to higher vision impairment among drivers with more than 30 years of driving. However, in this study, drivers with lower age (18-40 years) were 2.6 times more </w:t>
      </w:r>
      <w:r w:rsidRPr="009575F3">
        <w:rPr>
          <w:szCs w:val="24"/>
        </w:rPr>
        <w:lastRenderedPageBreak/>
        <w:t xml:space="preserve">likely to have RTA per year of driving than drivers above 60 years of age. This may be as a result of youthful exuberance-related risk driving </w:t>
      </w:r>
      <w:proofErr w:type="spellStart"/>
      <w:r w:rsidRPr="009575F3">
        <w:rPr>
          <w:szCs w:val="24"/>
        </w:rPr>
        <w:t>behaviour</w:t>
      </w:r>
      <w:proofErr w:type="spellEnd"/>
      <w:r w:rsidRPr="009575F3">
        <w:rPr>
          <w:szCs w:val="24"/>
        </w:rPr>
        <w:t>.</w:t>
      </w:r>
    </w:p>
    <w:p w14:paraId="2BAD6F59" w14:textId="610A8730" w:rsidR="00B57797" w:rsidRPr="009575F3" w:rsidRDefault="00B57797" w:rsidP="00B57797">
      <w:pPr>
        <w:spacing w:line="480" w:lineRule="auto"/>
        <w:jc w:val="both"/>
        <w:rPr>
          <w:szCs w:val="24"/>
        </w:rPr>
      </w:pPr>
      <w:r w:rsidRPr="009575F3">
        <w:rPr>
          <w:szCs w:val="24"/>
        </w:rPr>
        <w:t xml:space="preserve">Majority of the participants (93.1% n=175) had driver’s license and more than two-third of the licenses (80.6%, n=141) were current. This proportion of CVDs with license is similar to the study by </w:t>
      </w:r>
      <w:proofErr w:type="spellStart"/>
      <w:r w:rsidRPr="00301D34">
        <w:rPr>
          <w:szCs w:val="24"/>
        </w:rPr>
        <w:t>Oladehinde</w:t>
      </w:r>
      <w:proofErr w:type="spellEnd"/>
      <w:r w:rsidRPr="00301D34">
        <w:rPr>
          <w:szCs w:val="24"/>
        </w:rPr>
        <w:t xml:space="preserve"> et al</w:t>
      </w:r>
      <w:r w:rsidRPr="00301D34">
        <w:rPr>
          <w:szCs w:val="24"/>
          <w:vertAlign w:val="superscript"/>
        </w:rPr>
        <w:t>1</w:t>
      </w:r>
      <w:r w:rsidR="00301D34" w:rsidRPr="00301D34">
        <w:rPr>
          <w:szCs w:val="24"/>
          <w:vertAlign w:val="superscript"/>
        </w:rPr>
        <w:t>2</w:t>
      </w:r>
      <w:r w:rsidRPr="00301D34">
        <w:rPr>
          <w:szCs w:val="24"/>
        </w:rPr>
        <w:t xml:space="preserve"> </w:t>
      </w:r>
      <w:r w:rsidRPr="009575F3">
        <w:rPr>
          <w:szCs w:val="24"/>
        </w:rPr>
        <w:t xml:space="preserve">in which 94% of CVDs had driver’s </w:t>
      </w:r>
      <w:proofErr w:type="spellStart"/>
      <w:r w:rsidRPr="009575F3">
        <w:rPr>
          <w:szCs w:val="24"/>
        </w:rPr>
        <w:t>licence</w:t>
      </w:r>
      <w:proofErr w:type="spellEnd"/>
      <w:r w:rsidRPr="009575F3">
        <w:rPr>
          <w:szCs w:val="24"/>
        </w:rPr>
        <w:t xml:space="preserve">. However, majority of those with driver’s license in this study </w:t>
      </w:r>
      <w:bookmarkStart w:id="13" w:name="_Hlk130808163"/>
      <w:r w:rsidRPr="009575F3">
        <w:rPr>
          <w:szCs w:val="24"/>
        </w:rPr>
        <w:t>(82.5%</w:t>
      </w:r>
      <w:bookmarkEnd w:id="13"/>
      <w:r w:rsidRPr="009575F3">
        <w:rPr>
          <w:szCs w:val="24"/>
        </w:rPr>
        <w:t xml:space="preserve">) never had eye test done before issuance of driver’s license. This is similar to findings of studies done </w:t>
      </w:r>
      <w:r w:rsidR="007B191E">
        <w:rPr>
          <w:szCs w:val="24"/>
        </w:rPr>
        <w:t xml:space="preserve">by </w:t>
      </w:r>
      <w:proofErr w:type="spellStart"/>
      <w:r w:rsidR="007B191E">
        <w:rPr>
          <w:szCs w:val="24"/>
        </w:rPr>
        <w:t>oladehinde</w:t>
      </w:r>
      <w:proofErr w:type="spellEnd"/>
      <w:r w:rsidR="007B191E">
        <w:rPr>
          <w:szCs w:val="24"/>
        </w:rPr>
        <w:t xml:space="preserve"> et al</w:t>
      </w:r>
      <w:r w:rsidR="007A43FB">
        <w:rPr>
          <w:szCs w:val="24"/>
        </w:rPr>
        <w:t xml:space="preserve"> </w:t>
      </w:r>
      <w:r w:rsidRPr="009575F3">
        <w:rPr>
          <w:szCs w:val="24"/>
        </w:rPr>
        <w:t>(83%)</w:t>
      </w:r>
      <w:r w:rsidRPr="009575F3">
        <w:rPr>
          <w:szCs w:val="24"/>
          <w:vertAlign w:val="superscript"/>
        </w:rPr>
        <w:t>14</w:t>
      </w:r>
      <w:r w:rsidRPr="009575F3">
        <w:rPr>
          <w:szCs w:val="24"/>
        </w:rPr>
        <w:t xml:space="preserve"> and </w:t>
      </w:r>
      <w:r w:rsidR="007A43FB">
        <w:rPr>
          <w:szCs w:val="24"/>
        </w:rPr>
        <w:t>Adekoya et al</w:t>
      </w:r>
      <w:r w:rsidR="007A43FB" w:rsidRPr="009575F3">
        <w:rPr>
          <w:szCs w:val="24"/>
        </w:rPr>
        <w:t xml:space="preserve"> </w:t>
      </w:r>
      <w:r w:rsidRPr="009575F3">
        <w:rPr>
          <w:szCs w:val="24"/>
        </w:rPr>
        <w:t>Ilorin (84,5%)</w:t>
      </w:r>
      <w:r w:rsidRPr="009575F3">
        <w:rPr>
          <w:szCs w:val="24"/>
          <w:vertAlign w:val="superscript"/>
        </w:rPr>
        <w:t>1</w:t>
      </w:r>
      <w:r w:rsidR="007A43FB">
        <w:rPr>
          <w:szCs w:val="24"/>
          <w:vertAlign w:val="superscript"/>
        </w:rPr>
        <w:t>3</w:t>
      </w:r>
      <w:r w:rsidRPr="009575F3">
        <w:rPr>
          <w:szCs w:val="24"/>
        </w:rPr>
        <w:t xml:space="preserve">, Nigeria, but higher than the finding of a study conducted </w:t>
      </w:r>
      <w:r w:rsidR="007A43FB">
        <w:rPr>
          <w:szCs w:val="24"/>
        </w:rPr>
        <w:t xml:space="preserve">by </w:t>
      </w:r>
      <w:proofErr w:type="spellStart"/>
      <w:r w:rsidR="00A039E4" w:rsidRPr="00AC3AD0">
        <w:rPr>
          <w:rFonts w:ascii="Arial" w:hAnsi="Arial" w:cs="Arial"/>
          <w:sz w:val="22"/>
          <w:szCs w:val="22"/>
        </w:rPr>
        <w:t>Pepple</w:t>
      </w:r>
      <w:proofErr w:type="spellEnd"/>
      <w:r w:rsidR="00A039E4" w:rsidRPr="009575F3">
        <w:rPr>
          <w:szCs w:val="24"/>
        </w:rPr>
        <w:t xml:space="preserve"> </w:t>
      </w:r>
      <w:r w:rsidR="00A039E4">
        <w:rPr>
          <w:szCs w:val="24"/>
        </w:rPr>
        <w:t xml:space="preserve">et al </w:t>
      </w:r>
      <w:r w:rsidRPr="009575F3">
        <w:rPr>
          <w:szCs w:val="24"/>
        </w:rPr>
        <w:t>in Port Harcourt</w:t>
      </w:r>
      <w:r w:rsidRPr="009575F3">
        <w:rPr>
          <w:szCs w:val="24"/>
          <w:vertAlign w:val="superscript"/>
        </w:rPr>
        <w:t>1</w:t>
      </w:r>
      <w:r w:rsidR="007A43FB">
        <w:rPr>
          <w:szCs w:val="24"/>
          <w:vertAlign w:val="superscript"/>
        </w:rPr>
        <w:t>0</w:t>
      </w:r>
      <w:r w:rsidRPr="009575F3">
        <w:rPr>
          <w:szCs w:val="24"/>
        </w:rPr>
        <w:t xml:space="preserve"> where 63% of the CVDs had no pre-license eye test. Eye test, particularly for visual acuity, with a certificate from a government hospital, is one of the visual requirements for issuance of driver’s license by the Nigerian FRSC</w:t>
      </w:r>
      <w:r w:rsidR="00D52162">
        <w:rPr>
          <w:szCs w:val="24"/>
        </w:rPr>
        <w:t xml:space="preserve"> </w:t>
      </w:r>
      <w:r w:rsidR="00D52162">
        <w:rPr>
          <w:szCs w:val="24"/>
          <w:vertAlign w:val="superscript"/>
        </w:rPr>
        <w:t>14</w:t>
      </w:r>
      <w:r w:rsidRPr="009575F3">
        <w:rPr>
          <w:szCs w:val="24"/>
        </w:rPr>
        <w:t>. However, findings from a number of Nigerian studies</w:t>
      </w:r>
      <w:r w:rsidRPr="009575F3">
        <w:rPr>
          <w:szCs w:val="24"/>
          <w:vertAlign w:val="superscript"/>
        </w:rPr>
        <w:t>12,1</w:t>
      </w:r>
      <w:r w:rsidR="00243BB0">
        <w:rPr>
          <w:szCs w:val="24"/>
          <w:vertAlign w:val="superscript"/>
        </w:rPr>
        <w:t>3</w:t>
      </w:r>
      <w:r w:rsidRPr="009575F3">
        <w:rPr>
          <w:szCs w:val="24"/>
          <w:vertAlign w:val="superscript"/>
        </w:rPr>
        <w:t xml:space="preserve">, </w:t>
      </w:r>
      <w:r w:rsidR="00243BB0">
        <w:rPr>
          <w:szCs w:val="24"/>
          <w:vertAlign w:val="superscript"/>
        </w:rPr>
        <w:t>16</w:t>
      </w:r>
      <w:r w:rsidRPr="009575F3">
        <w:rPr>
          <w:szCs w:val="24"/>
        </w:rPr>
        <w:t xml:space="preserve"> suggested otherwise. Although, pre-license eye test was not found to be significantly associated with RTA rate in this study (p=0.347), some CVDs that would have been barred from driving, based on impaired visual function, would have easily obtained driver's license, with a negative consequence on road safety. There would be need for FRSC to strengthen the enforcement of pre-license eye test.</w:t>
      </w:r>
    </w:p>
    <w:p w14:paraId="6CBB41EE" w14:textId="77777777" w:rsidR="004A5A78" w:rsidRDefault="00B57797" w:rsidP="00B57797">
      <w:pPr>
        <w:spacing w:line="480" w:lineRule="auto"/>
        <w:jc w:val="both"/>
        <w:rPr>
          <w:szCs w:val="24"/>
        </w:rPr>
      </w:pPr>
      <w:r w:rsidRPr="009575F3">
        <w:rPr>
          <w:szCs w:val="24"/>
        </w:rPr>
        <w:t>Good visual acuity is generally considered the most important visual function necessary for driving. However, most countries and even regions within some countries adopt different visual acuity standards for issuance of driver’s license based on their peculiarities. In this study, there were 34 (18.1%) and 41 (21.8%) CVDs who had abnormal visual acuity based on WHO definition and FRSC definition, respectively. The difference may be due to the robust criteria adopted by FRSC in the definition of a standard visual acuity (≥6/9 in the better eye and ≥6/24 in the worse eye)</w:t>
      </w:r>
      <w:r w:rsidRPr="009575F3">
        <w:rPr>
          <w:szCs w:val="24"/>
          <w:vertAlign w:val="superscript"/>
        </w:rPr>
        <w:t>1</w:t>
      </w:r>
      <w:r w:rsidR="003A7135">
        <w:rPr>
          <w:szCs w:val="24"/>
          <w:vertAlign w:val="superscript"/>
        </w:rPr>
        <w:t>4</w:t>
      </w:r>
      <w:r w:rsidRPr="009575F3">
        <w:rPr>
          <w:szCs w:val="24"/>
        </w:rPr>
        <w:t xml:space="preserve"> in which the two eyes are expected to have a level of good visual acuity. This visual standard is different from WHO definition which requires a level of good visual acuity only in the better eye (6/12).</w:t>
      </w:r>
      <w:r w:rsidRPr="009575F3">
        <w:rPr>
          <w:szCs w:val="24"/>
          <w:vertAlign w:val="superscript"/>
        </w:rPr>
        <w:t>1</w:t>
      </w:r>
      <w:r w:rsidRPr="009575F3">
        <w:rPr>
          <w:szCs w:val="24"/>
        </w:rPr>
        <w:t xml:space="preserve"> In this study, FRSC-defined abnormal visual acuity that was significantly associated with RTA</w:t>
      </w:r>
      <w:r>
        <w:rPr>
          <w:szCs w:val="24"/>
        </w:rPr>
        <w:t xml:space="preserve">. </w:t>
      </w:r>
      <w:r w:rsidRPr="009575F3">
        <w:rPr>
          <w:szCs w:val="24"/>
        </w:rPr>
        <w:t>Further studies would therefore be required to establish the association of FRSC-defined visual standard with RTA and to align with Nigerian National Eye Health guidelines. Also, the statistically insignificant association of WHO-defined abnormal visual acuity with RTA rate might be due to effect of confounders such as age and years of driving, and the fact that all observed abnormal visual acuities in CVDs were only mild vision impairment. This finding is similar to some of the findings in studies done in Nigeria</w:t>
      </w:r>
      <w:r w:rsidRPr="009575F3">
        <w:rPr>
          <w:szCs w:val="24"/>
          <w:vertAlign w:val="superscript"/>
        </w:rPr>
        <w:t>1</w:t>
      </w:r>
      <w:r w:rsidR="002975E9">
        <w:rPr>
          <w:szCs w:val="24"/>
          <w:vertAlign w:val="superscript"/>
        </w:rPr>
        <w:t>0</w:t>
      </w:r>
      <w:r w:rsidRPr="009575F3">
        <w:rPr>
          <w:szCs w:val="24"/>
          <w:vertAlign w:val="superscript"/>
        </w:rPr>
        <w:t>,1</w:t>
      </w:r>
      <w:r w:rsidR="0002697E">
        <w:rPr>
          <w:szCs w:val="24"/>
          <w:vertAlign w:val="superscript"/>
        </w:rPr>
        <w:t>3</w:t>
      </w:r>
      <w:r w:rsidRPr="009575F3">
        <w:rPr>
          <w:szCs w:val="24"/>
        </w:rPr>
        <w:t xml:space="preserve"> in which WHO-defined abnormal visual acuity was found not to </w:t>
      </w:r>
      <w:r w:rsidRPr="00D81D86">
        <w:rPr>
          <w:szCs w:val="24"/>
        </w:rPr>
        <w:t xml:space="preserve">be associated with RTA. However, the finding of this study contrasted the studies by </w:t>
      </w:r>
      <w:proofErr w:type="spellStart"/>
      <w:r w:rsidRPr="00D81D86">
        <w:rPr>
          <w:szCs w:val="24"/>
        </w:rPr>
        <w:t>Piyasena</w:t>
      </w:r>
      <w:proofErr w:type="spellEnd"/>
      <w:r w:rsidRPr="00D81D86">
        <w:rPr>
          <w:szCs w:val="24"/>
        </w:rPr>
        <w:t xml:space="preserve"> et al</w:t>
      </w:r>
      <w:r w:rsidR="00D81D86" w:rsidRPr="00D81D86">
        <w:rPr>
          <w:szCs w:val="24"/>
        </w:rPr>
        <w:t xml:space="preserve"> </w:t>
      </w:r>
      <w:r w:rsidR="00D81D86" w:rsidRPr="00D81D86">
        <w:rPr>
          <w:szCs w:val="24"/>
          <w:vertAlign w:val="superscript"/>
        </w:rPr>
        <w:t>17</w:t>
      </w:r>
      <w:r w:rsidRPr="00D81D86">
        <w:rPr>
          <w:szCs w:val="24"/>
        </w:rPr>
        <w:t xml:space="preserve"> and </w:t>
      </w:r>
      <w:proofErr w:type="spellStart"/>
      <w:r w:rsidRPr="00D81D86">
        <w:rPr>
          <w:szCs w:val="24"/>
        </w:rPr>
        <w:t>Oladehinde</w:t>
      </w:r>
      <w:proofErr w:type="spellEnd"/>
      <w:r w:rsidRPr="00D81D86">
        <w:rPr>
          <w:szCs w:val="24"/>
        </w:rPr>
        <w:t xml:space="preserve"> et al </w:t>
      </w:r>
      <w:r w:rsidRPr="00D81D86">
        <w:rPr>
          <w:szCs w:val="24"/>
          <w:vertAlign w:val="superscript"/>
        </w:rPr>
        <w:t>1</w:t>
      </w:r>
      <w:r w:rsidR="00D81D86" w:rsidRPr="00D81D86">
        <w:rPr>
          <w:szCs w:val="24"/>
          <w:vertAlign w:val="superscript"/>
        </w:rPr>
        <w:t>2</w:t>
      </w:r>
      <w:r w:rsidRPr="00D81D86">
        <w:rPr>
          <w:szCs w:val="24"/>
        </w:rPr>
        <w:t xml:space="preserve">, </w:t>
      </w:r>
      <w:r w:rsidRPr="009575F3">
        <w:rPr>
          <w:szCs w:val="24"/>
        </w:rPr>
        <w:t xml:space="preserve">Nigeria where WHO-defined visual acuity was found to be significantly associated with RTA.          </w:t>
      </w:r>
    </w:p>
    <w:p w14:paraId="7E011EB6" w14:textId="7B6DF094" w:rsidR="00B57797" w:rsidRPr="009575F3" w:rsidRDefault="00B57797" w:rsidP="00B57797">
      <w:pPr>
        <w:spacing w:line="480" w:lineRule="auto"/>
        <w:jc w:val="both"/>
        <w:rPr>
          <w:szCs w:val="24"/>
        </w:rPr>
      </w:pPr>
      <w:r w:rsidRPr="009575F3">
        <w:rPr>
          <w:szCs w:val="24"/>
        </w:rPr>
        <w:t>While assessment of CVDs for visual acuity based on WHO definition is good, not assessing visual acuity based on FRSC may negatively affect</w:t>
      </w:r>
      <w:r w:rsidR="004A5A78">
        <w:rPr>
          <w:szCs w:val="24"/>
        </w:rPr>
        <w:t>s</w:t>
      </w:r>
      <w:r w:rsidRPr="009575F3">
        <w:rPr>
          <w:szCs w:val="24"/>
        </w:rPr>
        <w:t xml:space="preserve"> efforts geared towards reducing RTA in </w:t>
      </w:r>
      <w:r w:rsidR="004A5A78">
        <w:rPr>
          <w:szCs w:val="24"/>
        </w:rPr>
        <w:t>Nigeria</w:t>
      </w:r>
      <w:r w:rsidRPr="009575F3">
        <w:rPr>
          <w:szCs w:val="24"/>
        </w:rPr>
        <w:t xml:space="preserve">. There would be need for eye health professionals, </w:t>
      </w:r>
      <w:r w:rsidRPr="009575F3">
        <w:rPr>
          <w:szCs w:val="24"/>
        </w:rPr>
        <w:lastRenderedPageBreak/>
        <w:t>who may be expected to carry out assessment of visual acuity to be conversant with FRSC visual acuity standard for issuance of driver’s license.</w:t>
      </w:r>
    </w:p>
    <w:p w14:paraId="0C043AC9" w14:textId="61D5AAD0" w:rsidR="00B57797" w:rsidRPr="009575F3" w:rsidRDefault="00B57797" w:rsidP="00B57797">
      <w:pPr>
        <w:spacing w:line="480" w:lineRule="auto"/>
        <w:jc w:val="both"/>
        <w:rPr>
          <w:szCs w:val="24"/>
        </w:rPr>
      </w:pPr>
      <w:r w:rsidRPr="009575F3">
        <w:rPr>
          <w:szCs w:val="24"/>
        </w:rPr>
        <w:t>Contrast Sensitivity is a better determinant of visual performance of vision-related activities such as driving in dark, rainy or foggy weather than visual acuity.</w:t>
      </w:r>
      <w:r w:rsidR="00813A1C">
        <w:rPr>
          <w:szCs w:val="24"/>
          <w:vertAlign w:val="superscript"/>
        </w:rPr>
        <w:t>18</w:t>
      </w:r>
      <w:r w:rsidRPr="009575F3">
        <w:rPr>
          <w:szCs w:val="24"/>
        </w:rPr>
        <w:t xml:space="preserve"> In California for example, contrast sensitivity is one of the pre-license screening tests which revealed more likelihood of RTAs among those who </w:t>
      </w:r>
      <w:r w:rsidRPr="00813A1C">
        <w:rPr>
          <w:szCs w:val="24"/>
        </w:rPr>
        <w:t>failed the test.</w:t>
      </w:r>
      <w:r w:rsidR="00813A1C" w:rsidRPr="00813A1C">
        <w:rPr>
          <w:szCs w:val="24"/>
          <w:vertAlign w:val="superscript"/>
        </w:rPr>
        <w:t>18</w:t>
      </w:r>
      <w:r w:rsidRPr="00813A1C">
        <w:rPr>
          <w:szCs w:val="24"/>
        </w:rPr>
        <w:t xml:space="preserve"> </w:t>
      </w:r>
      <w:r w:rsidRPr="009575F3">
        <w:rPr>
          <w:szCs w:val="24"/>
        </w:rPr>
        <w:t>In Nigeria, there are no published data yet on the proportion of contrast sensitivity and their association with RTA among CVDs. In this study, majority of the CVDs had good contrast sensitivity (92.6%, n=174), and abnormal contrast sensitivity was not found to be significantly associated with RTA rate. This finding differed from the study conducted in Trinidad and Tobago by Kingsley et a</w:t>
      </w:r>
      <w:r w:rsidR="00FA1B94">
        <w:rPr>
          <w:szCs w:val="24"/>
        </w:rPr>
        <w:t>l</w:t>
      </w:r>
      <w:r w:rsidR="00766EC1">
        <w:rPr>
          <w:szCs w:val="24"/>
        </w:rPr>
        <w:t xml:space="preserve"> </w:t>
      </w:r>
      <w:r w:rsidR="00FA1B94">
        <w:rPr>
          <w:szCs w:val="24"/>
          <w:vertAlign w:val="superscript"/>
        </w:rPr>
        <w:t>19</w:t>
      </w:r>
      <w:r w:rsidRPr="00F411DE">
        <w:rPr>
          <w:color w:val="FF0000"/>
          <w:szCs w:val="24"/>
        </w:rPr>
        <w:t xml:space="preserve"> </w:t>
      </w:r>
      <w:r w:rsidRPr="009575F3">
        <w:rPr>
          <w:szCs w:val="24"/>
        </w:rPr>
        <w:t>in which contrast sensitivity was found to be significantly associated with RTA</w:t>
      </w:r>
      <w:r>
        <w:rPr>
          <w:szCs w:val="24"/>
        </w:rPr>
        <w:t>.</w:t>
      </w:r>
    </w:p>
    <w:p w14:paraId="194FDE81" w14:textId="77777777" w:rsidR="00B57797" w:rsidRPr="009575F3" w:rsidRDefault="00B57797" w:rsidP="00B57797">
      <w:pPr>
        <w:spacing w:line="480" w:lineRule="auto"/>
        <w:jc w:val="both"/>
        <w:rPr>
          <w:szCs w:val="24"/>
        </w:rPr>
      </w:pPr>
      <w:r w:rsidRPr="009575F3">
        <w:rPr>
          <w:szCs w:val="24"/>
        </w:rPr>
        <w:t xml:space="preserve">Contrast sensitivity test, just like </w:t>
      </w:r>
      <w:proofErr w:type="spellStart"/>
      <w:r w:rsidRPr="009575F3">
        <w:rPr>
          <w:szCs w:val="24"/>
        </w:rPr>
        <w:t>colour</w:t>
      </w:r>
      <w:proofErr w:type="spellEnd"/>
      <w:r w:rsidRPr="009575F3">
        <w:rPr>
          <w:szCs w:val="24"/>
        </w:rPr>
        <w:t xml:space="preserve"> vison and stereoacuity tests, is currently not part of Nigeria FRSC pre-license test. Sufficient local data on the proportion and association of contrast sensitivity with RTA among CVDs is imperative. There would be need for more studies in this regard to establish the relationship between contrast sensitivity and RTA across Nigeria at large.  </w:t>
      </w:r>
    </w:p>
    <w:p w14:paraId="2817B828" w14:textId="4944023B" w:rsidR="00B57797" w:rsidRPr="009575F3" w:rsidRDefault="00B57797" w:rsidP="00B57797">
      <w:pPr>
        <w:spacing w:line="480" w:lineRule="auto"/>
        <w:jc w:val="both"/>
        <w:rPr>
          <w:szCs w:val="24"/>
        </w:rPr>
      </w:pPr>
      <w:proofErr w:type="spellStart"/>
      <w:r w:rsidRPr="009575F3">
        <w:rPr>
          <w:szCs w:val="24"/>
        </w:rPr>
        <w:t>Colour</w:t>
      </w:r>
      <w:proofErr w:type="spellEnd"/>
      <w:r w:rsidRPr="009575F3">
        <w:rPr>
          <w:szCs w:val="24"/>
        </w:rPr>
        <w:t xml:space="preserve"> vision defects may constitute a threat to safe driving due to difficulty in identifying road </w:t>
      </w:r>
      <w:proofErr w:type="spellStart"/>
      <w:r w:rsidRPr="009575F3">
        <w:rPr>
          <w:szCs w:val="24"/>
        </w:rPr>
        <w:t>colour</w:t>
      </w:r>
      <w:proofErr w:type="spellEnd"/>
      <w:r w:rsidRPr="009575F3">
        <w:rPr>
          <w:szCs w:val="24"/>
        </w:rPr>
        <w:t xml:space="preserve"> signage and vehicle signals, as well as recognizing traffic light.</w:t>
      </w:r>
      <w:r w:rsidR="00766EC1">
        <w:rPr>
          <w:szCs w:val="24"/>
          <w:vertAlign w:val="superscript"/>
        </w:rPr>
        <w:t>20</w:t>
      </w:r>
      <w:r w:rsidRPr="009575F3">
        <w:rPr>
          <w:szCs w:val="24"/>
        </w:rPr>
        <w:t xml:space="preserve"> Some of the previous studies done in </w:t>
      </w:r>
      <w:r w:rsidRPr="00593CC3">
        <w:rPr>
          <w:szCs w:val="24"/>
        </w:rPr>
        <w:t>Nigeria</w:t>
      </w:r>
      <w:r w:rsidRPr="00593CC3">
        <w:rPr>
          <w:szCs w:val="24"/>
          <w:vertAlign w:val="superscript"/>
        </w:rPr>
        <w:t>12,1</w:t>
      </w:r>
      <w:r w:rsidR="00766EC1" w:rsidRPr="00593CC3">
        <w:rPr>
          <w:szCs w:val="24"/>
          <w:vertAlign w:val="superscript"/>
        </w:rPr>
        <w:t>3</w:t>
      </w:r>
      <w:r w:rsidR="00593CC3" w:rsidRPr="00593CC3">
        <w:rPr>
          <w:szCs w:val="24"/>
          <w:vertAlign w:val="superscript"/>
        </w:rPr>
        <w:t>,</w:t>
      </w:r>
      <w:proofErr w:type="gramStart"/>
      <w:r w:rsidR="00593CC3" w:rsidRPr="00593CC3">
        <w:rPr>
          <w:szCs w:val="24"/>
          <w:vertAlign w:val="superscript"/>
        </w:rPr>
        <w:t>21</w:t>
      </w:r>
      <w:r w:rsidRPr="00593CC3">
        <w:rPr>
          <w:szCs w:val="24"/>
        </w:rPr>
        <w:t xml:space="preserve">  </w:t>
      </w:r>
      <w:r w:rsidRPr="009575F3">
        <w:rPr>
          <w:szCs w:val="24"/>
        </w:rPr>
        <w:t>found</w:t>
      </w:r>
      <w:proofErr w:type="gramEnd"/>
      <w:r w:rsidRPr="009575F3">
        <w:rPr>
          <w:szCs w:val="24"/>
        </w:rPr>
        <w:t xml:space="preserve"> no significant association between </w:t>
      </w:r>
      <w:proofErr w:type="spellStart"/>
      <w:r w:rsidRPr="009575F3">
        <w:rPr>
          <w:szCs w:val="24"/>
        </w:rPr>
        <w:t>colour</w:t>
      </w:r>
      <w:proofErr w:type="spellEnd"/>
      <w:r w:rsidRPr="009575F3">
        <w:rPr>
          <w:szCs w:val="24"/>
        </w:rPr>
        <w:t xml:space="preserve"> vision defect and RTA, while a study conducted in the central region of Ghana  by Samuel et al</w:t>
      </w:r>
      <w:r w:rsidR="00945306" w:rsidRPr="00945306">
        <w:rPr>
          <w:szCs w:val="24"/>
          <w:vertAlign w:val="superscript"/>
        </w:rPr>
        <w:t>22</w:t>
      </w:r>
      <w:r w:rsidRPr="00802188">
        <w:rPr>
          <w:color w:val="FF0000"/>
          <w:szCs w:val="24"/>
        </w:rPr>
        <w:t xml:space="preserve"> </w:t>
      </w:r>
      <w:r w:rsidRPr="009575F3">
        <w:rPr>
          <w:szCs w:val="24"/>
        </w:rPr>
        <w:t xml:space="preserve">showed opposing view. In this study, out of 13 (6.9%,) CVDs who had abnormal </w:t>
      </w:r>
      <w:proofErr w:type="spellStart"/>
      <w:r w:rsidRPr="009575F3">
        <w:rPr>
          <w:szCs w:val="24"/>
        </w:rPr>
        <w:t>colour</w:t>
      </w:r>
      <w:proofErr w:type="spellEnd"/>
      <w:r w:rsidRPr="009575F3">
        <w:rPr>
          <w:szCs w:val="24"/>
        </w:rPr>
        <w:t xml:space="preserve"> vision, 10 (76.9%) were involved in RTA. However, </w:t>
      </w:r>
      <w:proofErr w:type="spellStart"/>
      <w:r w:rsidRPr="009575F3">
        <w:rPr>
          <w:szCs w:val="24"/>
        </w:rPr>
        <w:t>colour</w:t>
      </w:r>
      <w:proofErr w:type="spellEnd"/>
      <w:r w:rsidRPr="009575F3">
        <w:rPr>
          <w:szCs w:val="24"/>
        </w:rPr>
        <w:t xml:space="preserve"> vision was not found to be significantly associated with RTA among CVDs. The varied view of the study conducted in Ghana may be due to the differences in instruments used. This study, like other Nigerian studies</w:t>
      </w:r>
      <w:r w:rsidRPr="009575F3">
        <w:rPr>
          <w:szCs w:val="24"/>
          <w:vertAlign w:val="superscript"/>
        </w:rPr>
        <w:t>12,1</w:t>
      </w:r>
      <w:r w:rsidR="00945769">
        <w:rPr>
          <w:szCs w:val="24"/>
          <w:vertAlign w:val="superscript"/>
        </w:rPr>
        <w:t>3</w:t>
      </w:r>
      <w:r w:rsidRPr="009575F3">
        <w:rPr>
          <w:szCs w:val="24"/>
          <w:vertAlign w:val="superscript"/>
        </w:rPr>
        <w:t>,2</w:t>
      </w:r>
      <w:r w:rsidR="009C2957">
        <w:rPr>
          <w:szCs w:val="24"/>
          <w:vertAlign w:val="superscript"/>
        </w:rPr>
        <w:t xml:space="preserve">1 </w:t>
      </w:r>
      <w:r w:rsidRPr="009575F3">
        <w:rPr>
          <w:szCs w:val="24"/>
        </w:rPr>
        <w:t xml:space="preserve">used the Ishihara pseudoisochromatic plates, which is only sensitive to congenital defects as against the Hardy Rand and </w:t>
      </w:r>
      <w:proofErr w:type="spellStart"/>
      <w:r w:rsidRPr="009575F3">
        <w:rPr>
          <w:szCs w:val="24"/>
        </w:rPr>
        <w:t>Rittler</w:t>
      </w:r>
      <w:proofErr w:type="spellEnd"/>
      <w:r w:rsidRPr="009575F3">
        <w:rPr>
          <w:szCs w:val="24"/>
        </w:rPr>
        <w:t xml:space="preserve"> (HRR) pseudoisochromatic plate used in the Ghanaian study, which has the capacity to identify both congenital and acquired defects. Subsequent studies in Nigeria may need to employ more sophisticated tool, such as the HRR test, for </w:t>
      </w:r>
      <w:proofErr w:type="spellStart"/>
      <w:r w:rsidRPr="009575F3">
        <w:rPr>
          <w:szCs w:val="24"/>
        </w:rPr>
        <w:t>colour</w:t>
      </w:r>
      <w:proofErr w:type="spellEnd"/>
      <w:r w:rsidRPr="009575F3">
        <w:rPr>
          <w:szCs w:val="24"/>
        </w:rPr>
        <w:t xml:space="preserve"> vision test among CVDs, in order to established the association between </w:t>
      </w:r>
      <w:proofErr w:type="spellStart"/>
      <w:r w:rsidRPr="009575F3">
        <w:rPr>
          <w:szCs w:val="24"/>
        </w:rPr>
        <w:t>colour</w:t>
      </w:r>
      <w:proofErr w:type="spellEnd"/>
      <w:r w:rsidRPr="009575F3">
        <w:rPr>
          <w:szCs w:val="24"/>
        </w:rPr>
        <w:t xml:space="preserve"> </w:t>
      </w:r>
      <w:proofErr w:type="gramStart"/>
      <w:r w:rsidRPr="009575F3">
        <w:rPr>
          <w:szCs w:val="24"/>
        </w:rPr>
        <w:t xml:space="preserve">vision </w:t>
      </w:r>
      <w:r>
        <w:rPr>
          <w:szCs w:val="24"/>
        </w:rPr>
        <w:t xml:space="preserve"> and</w:t>
      </w:r>
      <w:proofErr w:type="gramEnd"/>
      <w:r>
        <w:rPr>
          <w:szCs w:val="24"/>
        </w:rPr>
        <w:t xml:space="preserve"> </w:t>
      </w:r>
      <w:r w:rsidRPr="009575F3">
        <w:rPr>
          <w:szCs w:val="24"/>
        </w:rPr>
        <w:t>RTA locally.</w:t>
      </w:r>
    </w:p>
    <w:p w14:paraId="3100A056" w14:textId="03B8D148" w:rsidR="00B57797" w:rsidRPr="009575F3" w:rsidRDefault="00B57797" w:rsidP="00B57797">
      <w:pPr>
        <w:spacing w:line="480" w:lineRule="auto"/>
        <w:jc w:val="both"/>
        <w:rPr>
          <w:szCs w:val="24"/>
        </w:rPr>
      </w:pPr>
      <w:r w:rsidRPr="009575F3">
        <w:rPr>
          <w:szCs w:val="24"/>
        </w:rPr>
        <w:t>Of the 89 (47.3%) CVDs with abnormal stereoacuity in this study, 66 (74.1%) were involved in RTA. Drivers with abnormal stereo-acuity may have challenges overtaking due to difficulty in accurately judging relative distance between vehicles, which could increase the likelihood of RTA</w:t>
      </w:r>
      <w:r w:rsidRPr="0081232D">
        <w:rPr>
          <w:color w:val="FF0000"/>
          <w:szCs w:val="24"/>
        </w:rPr>
        <w:t>.</w:t>
      </w:r>
      <w:r w:rsidR="00DF1896" w:rsidRPr="00DF1896">
        <w:rPr>
          <w:szCs w:val="24"/>
          <w:vertAlign w:val="superscript"/>
        </w:rPr>
        <w:t>23</w:t>
      </w:r>
      <w:r w:rsidRPr="0081232D">
        <w:rPr>
          <w:color w:val="FF0000"/>
          <w:szCs w:val="24"/>
        </w:rPr>
        <w:t xml:space="preserve"> </w:t>
      </w:r>
      <w:r w:rsidRPr="009575F3">
        <w:rPr>
          <w:szCs w:val="24"/>
        </w:rPr>
        <w:t xml:space="preserve">In this study, abnormal stereoacuity was found to be positively associated with RTA rate such that CVDs with abnormal stereoacuity have 2.4 times higher likelihood of RTA than CVDs with normal stereoacuity. This finding contrasted </w:t>
      </w:r>
      <w:r>
        <w:rPr>
          <w:szCs w:val="24"/>
        </w:rPr>
        <w:t xml:space="preserve">with the </w:t>
      </w:r>
      <w:r w:rsidRPr="009575F3">
        <w:rPr>
          <w:szCs w:val="24"/>
        </w:rPr>
        <w:t xml:space="preserve">report of study on stereoacuity in Nigeria by </w:t>
      </w:r>
      <w:proofErr w:type="spellStart"/>
      <w:r w:rsidRPr="009575F3">
        <w:rPr>
          <w:szCs w:val="24"/>
        </w:rPr>
        <w:t>Oladehinde</w:t>
      </w:r>
      <w:proofErr w:type="spellEnd"/>
      <w:r w:rsidRPr="009575F3">
        <w:rPr>
          <w:szCs w:val="24"/>
        </w:rPr>
        <w:t xml:space="preserve"> et al</w:t>
      </w:r>
      <w:r w:rsidRPr="009575F3">
        <w:rPr>
          <w:szCs w:val="24"/>
          <w:vertAlign w:val="superscript"/>
        </w:rPr>
        <w:t>1</w:t>
      </w:r>
      <w:r w:rsidR="00AD3662">
        <w:rPr>
          <w:szCs w:val="24"/>
          <w:vertAlign w:val="superscript"/>
        </w:rPr>
        <w:t>2</w:t>
      </w:r>
      <w:r w:rsidRPr="009575F3">
        <w:rPr>
          <w:szCs w:val="24"/>
        </w:rPr>
        <w:t xml:space="preserve"> and also, studies by Kingsley et al</w:t>
      </w:r>
      <w:r w:rsidR="00AD3662">
        <w:rPr>
          <w:szCs w:val="24"/>
          <w:vertAlign w:val="superscript"/>
        </w:rPr>
        <w:t>19</w:t>
      </w:r>
      <w:r w:rsidRPr="009575F3">
        <w:rPr>
          <w:szCs w:val="24"/>
        </w:rPr>
        <w:t xml:space="preserve"> in Trinidad and Tobago and Samuel et al</w:t>
      </w:r>
      <w:r w:rsidRPr="009575F3">
        <w:rPr>
          <w:szCs w:val="24"/>
          <w:vertAlign w:val="superscript"/>
        </w:rPr>
        <w:t>2</w:t>
      </w:r>
      <w:r w:rsidR="00AD3662">
        <w:rPr>
          <w:szCs w:val="24"/>
          <w:vertAlign w:val="superscript"/>
        </w:rPr>
        <w:t>2</w:t>
      </w:r>
      <w:r w:rsidRPr="009575F3">
        <w:rPr>
          <w:szCs w:val="24"/>
        </w:rPr>
        <w:t xml:space="preserve"> in Ghana, in which no significant association was found between stereoacuity and RTA. The diverse views may be due to the different instruments used for assessing </w:t>
      </w:r>
      <w:r w:rsidRPr="009575F3">
        <w:rPr>
          <w:szCs w:val="24"/>
        </w:rPr>
        <w:lastRenderedPageBreak/>
        <w:t xml:space="preserve">stereoacuity. Although, </w:t>
      </w:r>
      <w:proofErr w:type="spellStart"/>
      <w:r w:rsidRPr="009575F3">
        <w:rPr>
          <w:szCs w:val="24"/>
        </w:rPr>
        <w:t>Titmus</w:t>
      </w:r>
      <w:proofErr w:type="spellEnd"/>
      <w:r w:rsidRPr="009575F3">
        <w:rPr>
          <w:szCs w:val="24"/>
        </w:rPr>
        <w:t xml:space="preserve"> test chart was used in this study and in the study by </w:t>
      </w:r>
      <w:proofErr w:type="spellStart"/>
      <w:r w:rsidRPr="009575F3">
        <w:rPr>
          <w:szCs w:val="24"/>
        </w:rPr>
        <w:t>Oladehinde</w:t>
      </w:r>
      <w:proofErr w:type="spellEnd"/>
      <w:r w:rsidRPr="009575F3">
        <w:rPr>
          <w:szCs w:val="24"/>
        </w:rPr>
        <w:t xml:space="preserve"> et al, TNO chart and </w:t>
      </w:r>
      <w:proofErr w:type="spellStart"/>
      <w:r w:rsidRPr="009575F3">
        <w:rPr>
          <w:szCs w:val="24"/>
        </w:rPr>
        <w:t>Randot</w:t>
      </w:r>
      <w:proofErr w:type="spellEnd"/>
      <w:r w:rsidRPr="009575F3">
        <w:rPr>
          <w:szCs w:val="24"/>
        </w:rPr>
        <w:t xml:space="preserve"> chart were used by Kingsley et al and Samuel et al respectively. Further studies in a much larger driver population would be needed in this area to establish the contribution of abnormal stereoacuity to RTA.</w:t>
      </w:r>
    </w:p>
    <w:p w14:paraId="0013D9DD" w14:textId="7E7C09D4" w:rsidR="00B57797" w:rsidRPr="009575F3" w:rsidRDefault="00B57797" w:rsidP="00B57797">
      <w:pPr>
        <w:spacing w:line="480" w:lineRule="auto"/>
        <w:jc w:val="both"/>
        <w:rPr>
          <w:szCs w:val="24"/>
        </w:rPr>
      </w:pPr>
      <w:r w:rsidRPr="009575F3">
        <w:rPr>
          <w:szCs w:val="24"/>
        </w:rPr>
        <w:t xml:space="preserve">Although the Nigerian National Eye Health Policy recommended a horizontal visual field of 180 degrees in addition to a minimum visual acuity of 6/9 in the better eye and at least 6/60 in the </w:t>
      </w:r>
      <w:r w:rsidRPr="0065633D">
        <w:rPr>
          <w:szCs w:val="24"/>
        </w:rPr>
        <w:t>worse</w:t>
      </w:r>
      <w:r w:rsidR="00661D53" w:rsidRPr="0065633D">
        <w:rPr>
          <w:szCs w:val="24"/>
          <w:vertAlign w:val="superscript"/>
        </w:rPr>
        <w:t>24</w:t>
      </w:r>
      <w:r w:rsidRPr="0065633D">
        <w:rPr>
          <w:szCs w:val="24"/>
        </w:rPr>
        <w:t xml:space="preserve">, </w:t>
      </w:r>
      <w:r w:rsidRPr="009575F3">
        <w:rPr>
          <w:szCs w:val="24"/>
        </w:rPr>
        <w:t>visual field is yet to be incorporated into the Nigerian FRSC pre-license visual standard requirements. Good visual field is generally considered important for navigation and maintaining lane when driving, and an abnormal visual field may cause inadequate view with a higher likelihood of RT</w:t>
      </w:r>
      <w:r w:rsidRPr="00576C85">
        <w:rPr>
          <w:szCs w:val="24"/>
        </w:rPr>
        <w:t>A.</w:t>
      </w:r>
      <w:r w:rsidR="00576C85" w:rsidRPr="00576C85">
        <w:rPr>
          <w:szCs w:val="24"/>
          <w:vertAlign w:val="superscript"/>
        </w:rPr>
        <w:t>19</w:t>
      </w:r>
      <w:r w:rsidRPr="00576C85">
        <w:rPr>
          <w:szCs w:val="24"/>
        </w:rPr>
        <w:t xml:space="preserve"> </w:t>
      </w:r>
      <w:r w:rsidRPr="009575F3">
        <w:rPr>
          <w:szCs w:val="24"/>
        </w:rPr>
        <w:t>Nevertheless, there are divergent views locally and globally on the relationship between visual field and RTA. In this study</w:t>
      </w:r>
      <w:r>
        <w:rPr>
          <w:szCs w:val="24"/>
        </w:rPr>
        <w:t xml:space="preserve">, </w:t>
      </w:r>
      <w:r w:rsidRPr="009575F3">
        <w:rPr>
          <w:szCs w:val="24"/>
        </w:rPr>
        <w:t>there was no significant association between abnormal visual field and RTA rate among CVDs using major motor parks in Gwagwalada. This finding is consistent with other studies done in Nigeria.</w:t>
      </w:r>
      <w:r w:rsidRPr="009575F3">
        <w:rPr>
          <w:szCs w:val="24"/>
          <w:vertAlign w:val="superscript"/>
        </w:rPr>
        <w:t>1</w:t>
      </w:r>
      <w:r w:rsidR="008214CC">
        <w:rPr>
          <w:szCs w:val="24"/>
          <w:vertAlign w:val="superscript"/>
        </w:rPr>
        <w:t>0</w:t>
      </w:r>
      <w:r w:rsidRPr="009575F3">
        <w:rPr>
          <w:szCs w:val="24"/>
          <w:vertAlign w:val="superscript"/>
        </w:rPr>
        <w:t>,1</w:t>
      </w:r>
      <w:r w:rsidR="008214CC">
        <w:rPr>
          <w:szCs w:val="24"/>
          <w:vertAlign w:val="superscript"/>
        </w:rPr>
        <w:t>2</w:t>
      </w:r>
      <w:r w:rsidRPr="009575F3">
        <w:rPr>
          <w:szCs w:val="24"/>
          <w:vertAlign w:val="superscript"/>
        </w:rPr>
        <w:t>,1</w:t>
      </w:r>
      <w:r w:rsidR="008214CC">
        <w:rPr>
          <w:szCs w:val="24"/>
          <w:vertAlign w:val="superscript"/>
        </w:rPr>
        <w:t>3</w:t>
      </w:r>
      <w:r w:rsidRPr="009575F3">
        <w:rPr>
          <w:szCs w:val="24"/>
        </w:rPr>
        <w:t xml:space="preserve"> However, some other studies done outside Nigeria found significant association between abnormal visual field and </w:t>
      </w:r>
      <w:r w:rsidRPr="008D4DE9">
        <w:rPr>
          <w:szCs w:val="24"/>
        </w:rPr>
        <w:t>RTA.</w:t>
      </w:r>
      <w:r w:rsidR="008D4DE9" w:rsidRPr="008D4DE9">
        <w:rPr>
          <w:szCs w:val="24"/>
          <w:vertAlign w:val="superscript"/>
        </w:rPr>
        <w:t>25,26</w:t>
      </w:r>
      <w:r w:rsidR="008D4DE9" w:rsidRPr="008D4DE9">
        <w:rPr>
          <w:szCs w:val="24"/>
        </w:rPr>
        <w:t xml:space="preserve"> </w:t>
      </w:r>
      <w:r w:rsidRPr="009575F3">
        <w:rPr>
          <w:szCs w:val="24"/>
        </w:rPr>
        <w:t xml:space="preserve">The variance in </w:t>
      </w:r>
      <w:r>
        <w:rPr>
          <w:szCs w:val="24"/>
        </w:rPr>
        <w:t xml:space="preserve">the </w:t>
      </w:r>
      <w:r w:rsidRPr="009575F3">
        <w:rPr>
          <w:szCs w:val="24"/>
        </w:rPr>
        <w:t xml:space="preserve">findings could be explained based on the type of tools used for visual field assessment. In the study conducted by </w:t>
      </w:r>
      <w:proofErr w:type="spellStart"/>
      <w:r w:rsidRPr="009575F3">
        <w:rPr>
          <w:szCs w:val="24"/>
        </w:rPr>
        <w:t>Oladehinde</w:t>
      </w:r>
      <w:proofErr w:type="spellEnd"/>
      <w:r w:rsidRPr="009575F3">
        <w:rPr>
          <w:szCs w:val="24"/>
        </w:rPr>
        <w:t xml:space="preserve"> et al</w:t>
      </w:r>
      <w:r w:rsidRPr="009575F3">
        <w:rPr>
          <w:szCs w:val="24"/>
          <w:vertAlign w:val="superscript"/>
        </w:rPr>
        <w:t>1</w:t>
      </w:r>
      <w:r w:rsidR="008D4DE9">
        <w:rPr>
          <w:szCs w:val="24"/>
          <w:vertAlign w:val="superscript"/>
        </w:rPr>
        <w:t>2</w:t>
      </w:r>
      <w:r w:rsidRPr="009575F3">
        <w:rPr>
          <w:szCs w:val="24"/>
        </w:rPr>
        <w:t xml:space="preserve"> and other studies outside Nigeria</w:t>
      </w:r>
      <w:r w:rsidRPr="009575F3">
        <w:rPr>
          <w:szCs w:val="24"/>
          <w:vertAlign w:val="superscript"/>
        </w:rPr>
        <w:t>2</w:t>
      </w:r>
      <w:r w:rsidR="008D4DE9">
        <w:rPr>
          <w:szCs w:val="24"/>
          <w:vertAlign w:val="superscript"/>
        </w:rPr>
        <w:t>5,26</w:t>
      </w:r>
      <w:r w:rsidRPr="009575F3">
        <w:rPr>
          <w:szCs w:val="24"/>
        </w:rPr>
        <w:t xml:space="preserve"> for example, automated perimetry was used. This type of perimetry is generally more sensitive than the confrontation perimetry used in this study and other studies conducted in Nigeria.</w:t>
      </w:r>
      <w:r w:rsidRPr="009575F3">
        <w:rPr>
          <w:szCs w:val="24"/>
          <w:vertAlign w:val="superscript"/>
        </w:rPr>
        <w:t>1</w:t>
      </w:r>
      <w:r w:rsidR="008D4DE9">
        <w:rPr>
          <w:szCs w:val="24"/>
          <w:vertAlign w:val="superscript"/>
        </w:rPr>
        <w:t>0</w:t>
      </w:r>
      <w:r w:rsidRPr="009575F3">
        <w:rPr>
          <w:szCs w:val="24"/>
          <w:vertAlign w:val="superscript"/>
        </w:rPr>
        <w:t>,1</w:t>
      </w:r>
      <w:r w:rsidR="008D4DE9">
        <w:rPr>
          <w:szCs w:val="24"/>
          <w:vertAlign w:val="superscript"/>
        </w:rPr>
        <w:t>3</w:t>
      </w:r>
      <w:r w:rsidRPr="009575F3">
        <w:rPr>
          <w:szCs w:val="24"/>
        </w:rPr>
        <w:t xml:space="preserve"> Therefore, there may be a need to determine the significance of difference in sensitivity between the two forms of perimetry among CVD. Also, for evidenced based incorporation of visual field into Nigerian FRSC pre-license visual tests, further studies comparing automated and confrontation perimetry tests would need to be conducted.</w:t>
      </w:r>
    </w:p>
    <w:p w14:paraId="1499A5DD" w14:textId="77777777" w:rsidR="00B57797" w:rsidRDefault="00B57797" w:rsidP="00B57797">
      <w:pPr>
        <w:spacing w:line="480" w:lineRule="auto"/>
        <w:jc w:val="both"/>
        <w:rPr>
          <w:szCs w:val="24"/>
        </w:rPr>
      </w:pPr>
      <w:r w:rsidRPr="009575F3">
        <w:rPr>
          <w:szCs w:val="24"/>
        </w:rPr>
        <w:t xml:space="preserve">Of the 73 (38.8%) CVDs with visual complaints, </w:t>
      </w:r>
      <w:bookmarkStart w:id="14" w:name="_Hlk130808826"/>
      <w:r w:rsidRPr="009575F3">
        <w:rPr>
          <w:szCs w:val="24"/>
        </w:rPr>
        <w:t>most (67.1%</w:t>
      </w:r>
      <w:bookmarkEnd w:id="14"/>
      <w:r w:rsidRPr="009575F3">
        <w:rPr>
          <w:szCs w:val="24"/>
        </w:rPr>
        <w:t xml:space="preserve">) were issues bordering on difficulty with reading small prints and only 30% of those with complaints had visited hospital for eye check. More than half (58%) of the drivers had impaired visual function and majority of the causes of this impairment (56%) were unidentified. </w:t>
      </w:r>
      <w:bookmarkStart w:id="15" w:name="_Hlk130808685"/>
      <w:r w:rsidRPr="009575F3">
        <w:rPr>
          <w:szCs w:val="24"/>
        </w:rPr>
        <w:t>The predominant visually disabling eye conditions identified were refractive error (19%), glaucoma (11%), corneal opacity (7%) and cataract (4%).</w:t>
      </w:r>
      <w:bookmarkEnd w:id="15"/>
      <w:r w:rsidRPr="009575F3">
        <w:rPr>
          <w:szCs w:val="24"/>
        </w:rPr>
        <w:t xml:space="preserve"> These observations were consistent with findings in some Nigerian studies.</w:t>
      </w:r>
      <w:r w:rsidRPr="009575F3">
        <w:rPr>
          <w:szCs w:val="24"/>
          <w:vertAlign w:val="superscript"/>
        </w:rPr>
        <w:t>12,14,15</w:t>
      </w:r>
      <w:r w:rsidRPr="009575F3">
        <w:rPr>
          <w:szCs w:val="24"/>
        </w:rPr>
        <w:t xml:space="preserve"> All CVDs with visual complaints or impaired visual function were counselled and referred for further evaluation and treatment. </w:t>
      </w:r>
      <w:bookmarkStart w:id="16" w:name="_Toc140919169"/>
    </w:p>
    <w:p w14:paraId="657CDA10" w14:textId="77777777" w:rsidR="00B57797" w:rsidRPr="009575F3" w:rsidRDefault="00B57797" w:rsidP="00B57797">
      <w:pPr>
        <w:spacing w:line="480" w:lineRule="auto"/>
        <w:jc w:val="both"/>
        <w:rPr>
          <w:szCs w:val="24"/>
        </w:rPr>
      </w:pPr>
      <w:r>
        <w:rPr>
          <w:szCs w:val="24"/>
        </w:rPr>
        <w:t xml:space="preserve">The limitations of the study include </w:t>
      </w:r>
      <w:bookmarkEnd w:id="16"/>
      <w:r>
        <w:rPr>
          <w:szCs w:val="24"/>
        </w:rPr>
        <w:t xml:space="preserve">the </w:t>
      </w:r>
      <w:r w:rsidRPr="009575F3">
        <w:rPr>
          <w:szCs w:val="24"/>
        </w:rPr>
        <w:t>cross-sectional design may not be optimal for inferring causal relationships. Additionally, the use of non-probability purposive sampling may introduce selection bias and limit the generalizability of the findings. Furthermore, the study's reliance on confrontation perimetry, which has lower sensitivity compared to automated perimetry, may impact the accuracy of visual field defect assessments.</w:t>
      </w:r>
    </w:p>
    <w:p w14:paraId="600BC457" w14:textId="77777777" w:rsidR="004F78B4" w:rsidRDefault="004F78B4" w:rsidP="00CF22A7">
      <w:pPr>
        <w:pStyle w:val="Head1"/>
        <w:spacing w:after="0"/>
        <w:jc w:val="both"/>
        <w:rPr>
          <w:rFonts w:ascii="Arial" w:hAnsi="Arial" w:cs="Arial"/>
          <w:szCs w:val="22"/>
        </w:rPr>
      </w:pPr>
    </w:p>
    <w:p w14:paraId="443A5E39" w14:textId="77777777" w:rsidR="00AA5FDF" w:rsidRPr="007F0D2F" w:rsidRDefault="00AA5FDF" w:rsidP="00CF22A7">
      <w:pPr>
        <w:pStyle w:val="Head1"/>
        <w:spacing w:after="0"/>
        <w:jc w:val="both"/>
        <w:rPr>
          <w:rFonts w:ascii="Arial" w:hAnsi="Arial" w:cs="Arial"/>
          <w:szCs w:val="22"/>
        </w:rPr>
      </w:pPr>
    </w:p>
    <w:p w14:paraId="6C86871D" w14:textId="77777777" w:rsidR="00CF22A7" w:rsidRPr="007F0D2F" w:rsidRDefault="00CF22A7" w:rsidP="00CF22A7">
      <w:pPr>
        <w:pStyle w:val="ConcHead"/>
        <w:spacing w:after="0"/>
        <w:jc w:val="both"/>
        <w:rPr>
          <w:rFonts w:ascii="Arial" w:hAnsi="Arial" w:cs="Arial"/>
          <w:szCs w:val="22"/>
        </w:rPr>
      </w:pPr>
      <w:r w:rsidRPr="007F0D2F">
        <w:rPr>
          <w:rFonts w:ascii="Arial" w:hAnsi="Arial" w:cs="Arial"/>
          <w:szCs w:val="22"/>
        </w:rPr>
        <w:t>4. Conclusion</w:t>
      </w:r>
    </w:p>
    <w:p w14:paraId="637EA6CB" w14:textId="67049DE3" w:rsidR="004F78B4" w:rsidRDefault="004F78B4" w:rsidP="004F78B4">
      <w:pPr>
        <w:spacing w:line="480" w:lineRule="auto"/>
        <w:jc w:val="both"/>
        <w:rPr>
          <w:szCs w:val="24"/>
        </w:rPr>
      </w:pPr>
      <w:bookmarkStart w:id="17" w:name="_Toc140919172"/>
      <w:r w:rsidRPr="009575F3">
        <w:rPr>
          <w:szCs w:val="24"/>
        </w:rPr>
        <w:t xml:space="preserve">This study </w:t>
      </w:r>
      <w:r>
        <w:rPr>
          <w:szCs w:val="24"/>
        </w:rPr>
        <w:t xml:space="preserve">found that </w:t>
      </w:r>
      <w:r w:rsidRPr="009575F3">
        <w:rPr>
          <w:szCs w:val="24"/>
        </w:rPr>
        <w:t xml:space="preserve">abnormal stereoacuity and visual acuity based on FRSC visual standard for driving were </w:t>
      </w:r>
      <w:r>
        <w:rPr>
          <w:szCs w:val="24"/>
        </w:rPr>
        <w:t xml:space="preserve">significantly </w:t>
      </w:r>
      <w:r w:rsidRPr="009575F3">
        <w:rPr>
          <w:szCs w:val="24"/>
        </w:rPr>
        <w:t xml:space="preserve">associated with increased </w:t>
      </w:r>
      <w:r>
        <w:rPr>
          <w:szCs w:val="24"/>
        </w:rPr>
        <w:t xml:space="preserve">risks of </w:t>
      </w:r>
      <w:r w:rsidRPr="009575F3">
        <w:rPr>
          <w:szCs w:val="24"/>
        </w:rPr>
        <w:t>RTAs, particularly among younger drivers and those with more years of driving experience.</w:t>
      </w:r>
      <w:r>
        <w:rPr>
          <w:szCs w:val="24"/>
        </w:rPr>
        <w:t xml:space="preserve"> It is therefore recommended that e</w:t>
      </w:r>
      <w:r w:rsidRPr="009575F3">
        <w:rPr>
          <w:szCs w:val="24"/>
        </w:rPr>
        <w:t xml:space="preserve">nforcement of </w:t>
      </w:r>
      <w:r>
        <w:rPr>
          <w:szCs w:val="24"/>
        </w:rPr>
        <w:t>pre-</w:t>
      </w:r>
      <w:r w:rsidR="00184C07">
        <w:rPr>
          <w:szCs w:val="24"/>
        </w:rPr>
        <w:t>license</w:t>
      </w:r>
      <w:r>
        <w:rPr>
          <w:szCs w:val="24"/>
        </w:rPr>
        <w:t xml:space="preserve"> </w:t>
      </w:r>
      <w:r w:rsidRPr="009575F3">
        <w:rPr>
          <w:szCs w:val="24"/>
        </w:rPr>
        <w:t>vision testing r</w:t>
      </w:r>
      <w:r>
        <w:rPr>
          <w:szCs w:val="24"/>
        </w:rPr>
        <w:t xml:space="preserve">egulations for drivers </w:t>
      </w:r>
      <w:proofErr w:type="gramStart"/>
      <w:r w:rsidRPr="009575F3">
        <w:rPr>
          <w:szCs w:val="24"/>
        </w:rPr>
        <w:t>should</w:t>
      </w:r>
      <w:r>
        <w:rPr>
          <w:szCs w:val="24"/>
        </w:rPr>
        <w:t xml:space="preserve"> </w:t>
      </w:r>
      <w:r w:rsidRPr="009575F3">
        <w:rPr>
          <w:szCs w:val="24"/>
        </w:rPr>
        <w:t xml:space="preserve"> be</w:t>
      </w:r>
      <w:proofErr w:type="gramEnd"/>
      <w:r w:rsidRPr="009575F3">
        <w:rPr>
          <w:szCs w:val="24"/>
        </w:rPr>
        <w:t xml:space="preserve"> strengthened.</w:t>
      </w:r>
      <w:r>
        <w:rPr>
          <w:szCs w:val="24"/>
        </w:rPr>
        <w:t xml:space="preserve"> There should be </w:t>
      </w:r>
      <w:r w:rsidRPr="009575F3">
        <w:rPr>
          <w:szCs w:val="24"/>
        </w:rPr>
        <w:t>collaborative awareness campaigns</w:t>
      </w:r>
      <w:r w:rsidRPr="00980795">
        <w:rPr>
          <w:szCs w:val="24"/>
        </w:rPr>
        <w:t xml:space="preserve"> </w:t>
      </w:r>
      <w:r w:rsidRPr="009575F3">
        <w:rPr>
          <w:szCs w:val="24"/>
        </w:rPr>
        <w:t>involving FRSC and other stakeholders and opportunistic screening for visually impairing eye conditions among CVDs</w:t>
      </w:r>
      <w:r>
        <w:rPr>
          <w:szCs w:val="24"/>
        </w:rPr>
        <w:t xml:space="preserve"> </w:t>
      </w:r>
      <w:r w:rsidRPr="00980795">
        <w:rPr>
          <w:szCs w:val="24"/>
        </w:rPr>
        <w:t>focusing on refractive error and glaucoma detection</w:t>
      </w:r>
      <w:r w:rsidRPr="009575F3">
        <w:rPr>
          <w:szCs w:val="24"/>
        </w:rPr>
        <w:t xml:space="preserve">. </w:t>
      </w:r>
      <w:bookmarkEnd w:id="17"/>
    </w:p>
    <w:p w14:paraId="443896C0" w14:textId="00EA951C" w:rsidR="00CF22A7" w:rsidRDefault="00CF22A7" w:rsidP="00CF22A7">
      <w:pPr>
        <w:pStyle w:val="ReferHead"/>
        <w:spacing w:after="0"/>
        <w:jc w:val="both"/>
        <w:rPr>
          <w:rFonts w:ascii="Arial" w:hAnsi="Arial" w:cs="Arial"/>
          <w:b w:val="0"/>
          <w:caps w:val="0"/>
          <w:szCs w:val="22"/>
        </w:rPr>
      </w:pPr>
    </w:p>
    <w:p w14:paraId="42670659" w14:textId="77777777" w:rsidR="00AC39E3" w:rsidRPr="007F0D2F" w:rsidRDefault="00AC39E3" w:rsidP="00CF22A7">
      <w:pPr>
        <w:pStyle w:val="ReferHead"/>
        <w:spacing w:after="0"/>
        <w:jc w:val="both"/>
        <w:rPr>
          <w:rFonts w:ascii="Arial" w:hAnsi="Arial" w:cs="Arial"/>
          <w:b w:val="0"/>
          <w:caps w:val="0"/>
          <w:szCs w:val="22"/>
        </w:rPr>
      </w:pPr>
      <w:bookmarkStart w:id="18" w:name="_GoBack"/>
      <w:bookmarkEnd w:id="18"/>
    </w:p>
    <w:p w14:paraId="49FC2947" w14:textId="77777777" w:rsidR="00CF22A7" w:rsidRPr="007F0D2F" w:rsidRDefault="00CF22A7" w:rsidP="00CF22A7">
      <w:pPr>
        <w:pStyle w:val="ReferHead"/>
        <w:spacing w:after="0"/>
        <w:jc w:val="both"/>
        <w:rPr>
          <w:rFonts w:ascii="Arial" w:hAnsi="Arial" w:cs="Arial"/>
          <w:bCs/>
          <w:szCs w:val="22"/>
        </w:rPr>
      </w:pPr>
      <w:r w:rsidRPr="007F0D2F">
        <w:rPr>
          <w:rFonts w:ascii="Arial" w:hAnsi="Arial" w:cs="Arial"/>
          <w:bCs/>
          <w:szCs w:val="22"/>
        </w:rPr>
        <w:t xml:space="preserve">Consent </w:t>
      </w:r>
    </w:p>
    <w:p w14:paraId="69C8675A" w14:textId="77777777" w:rsidR="00CF22A7" w:rsidRPr="007F0D2F" w:rsidRDefault="00CF22A7" w:rsidP="00CF22A7">
      <w:pPr>
        <w:pStyle w:val="ReferHead"/>
        <w:spacing w:after="0"/>
        <w:jc w:val="both"/>
        <w:rPr>
          <w:rFonts w:ascii="Arial" w:hAnsi="Arial" w:cs="Arial"/>
          <w:bCs/>
          <w:szCs w:val="22"/>
        </w:rPr>
      </w:pPr>
    </w:p>
    <w:p w14:paraId="4831CA60" w14:textId="258AAFE9" w:rsidR="00CF22A7" w:rsidRPr="007F0D2F" w:rsidRDefault="00CF22A7" w:rsidP="00CF22A7">
      <w:pPr>
        <w:pStyle w:val="ReferHead"/>
        <w:spacing w:after="0"/>
        <w:jc w:val="both"/>
        <w:rPr>
          <w:rFonts w:ascii="Arial" w:hAnsi="Arial" w:cs="Arial"/>
          <w:b w:val="0"/>
          <w:caps w:val="0"/>
          <w:szCs w:val="22"/>
        </w:rPr>
      </w:pPr>
      <w:r w:rsidRPr="007F0D2F">
        <w:rPr>
          <w:rFonts w:ascii="Arial" w:hAnsi="Arial" w:cs="Arial"/>
          <w:b w:val="0"/>
          <w:caps w:val="0"/>
          <w:szCs w:val="22"/>
          <w:u w:val="single"/>
        </w:rPr>
        <w:t xml:space="preserve">"All authors declare that ‘written informed consent was obtained from the </w:t>
      </w:r>
      <w:r w:rsidR="00F04F97">
        <w:rPr>
          <w:rFonts w:ascii="Arial" w:hAnsi="Arial" w:cs="Arial"/>
          <w:b w:val="0"/>
          <w:caps w:val="0"/>
          <w:szCs w:val="22"/>
          <w:u w:val="single"/>
        </w:rPr>
        <w:t>participants</w:t>
      </w:r>
      <w:r w:rsidRPr="007F0D2F">
        <w:rPr>
          <w:rFonts w:ascii="Arial" w:hAnsi="Arial" w:cs="Arial"/>
          <w:b w:val="0"/>
          <w:caps w:val="0"/>
          <w:szCs w:val="22"/>
          <w:u w:val="single"/>
        </w:rPr>
        <w:t xml:space="preserve"> (or other approved parties) for publication of this </w:t>
      </w:r>
      <w:r w:rsidR="005B1653">
        <w:rPr>
          <w:rFonts w:ascii="Arial" w:hAnsi="Arial" w:cs="Arial"/>
          <w:b w:val="0"/>
          <w:caps w:val="0"/>
          <w:szCs w:val="22"/>
          <w:u w:val="single"/>
        </w:rPr>
        <w:t xml:space="preserve">original </w:t>
      </w:r>
      <w:proofErr w:type="gramStart"/>
      <w:r w:rsidR="00DC34C5">
        <w:rPr>
          <w:rFonts w:ascii="Arial" w:hAnsi="Arial" w:cs="Arial"/>
          <w:b w:val="0"/>
          <w:caps w:val="0"/>
          <w:szCs w:val="22"/>
          <w:u w:val="single"/>
        </w:rPr>
        <w:t>research</w:t>
      </w:r>
      <w:r w:rsidRPr="007F0D2F">
        <w:rPr>
          <w:rFonts w:ascii="Arial" w:hAnsi="Arial" w:cs="Arial"/>
          <w:b w:val="0"/>
          <w:caps w:val="0"/>
          <w:szCs w:val="22"/>
          <w:u w:val="single"/>
        </w:rPr>
        <w:t xml:space="preserve"> .</w:t>
      </w:r>
      <w:proofErr w:type="gramEnd"/>
      <w:r w:rsidRPr="007F0D2F">
        <w:rPr>
          <w:rFonts w:ascii="Arial" w:hAnsi="Arial" w:cs="Arial"/>
          <w:b w:val="0"/>
          <w:caps w:val="0"/>
          <w:szCs w:val="22"/>
          <w:u w:val="single"/>
        </w:rPr>
        <w:t xml:space="preserve"> A copy of the written consent is available for review by the Editorial office/Chief Editor/Editorial Board members of this journal."</w:t>
      </w:r>
    </w:p>
    <w:p w14:paraId="392DA72F" w14:textId="77777777" w:rsidR="00CF22A7" w:rsidRPr="007F0D2F" w:rsidRDefault="00CF22A7" w:rsidP="00CF22A7">
      <w:pPr>
        <w:pStyle w:val="ReferHead"/>
        <w:spacing w:after="0"/>
        <w:jc w:val="both"/>
        <w:rPr>
          <w:rFonts w:ascii="Arial" w:hAnsi="Arial" w:cs="Arial"/>
          <w:b w:val="0"/>
          <w:caps w:val="0"/>
          <w:szCs w:val="22"/>
        </w:rPr>
      </w:pPr>
    </w:p>
    <w:p w14:paraId="2773758A" w14:textId="77777777" w:rsidR="00CF22A7" w:rsidRPr="007F0D2F" w:rsidRDefault="00CF22A7" w:rsidP="00CF22A7">
      <w:pPr>
        <w:pStyle w:val="ReferHead"/>
        <w:spacing w:after="0"/>
        <w:jc w:val="both"/>
        <w:rPr>
          <w:rFonts w:ascii="Arial" w:hAnsi="Arial" w:cs="Arial"/>
          <w:b w:val="0"/>
          <w:caps w:val="0"/>
          <w:szCs w:val="22"/>
        </w:rPr>
      </w:pPr>
    </w:p>
    <w:p w14:paraId="13710335" w14:textId="77777777" w:rsidR="00CF22A7" w:rsidRPr="007F0D2F" w:rsidRDefault="00CF22A7" w:rsidP="00CF22A7">
      <w:pPr>
        <w:pStyle w:val="ReferHead"/>
        <w:spacing w:after="0"/>
        <w:jc w:val="both"/>
        <w:rPr>
          <w:rFonts w:ascii="Arial" w:hAnsi="Arial" w:cs="Arial"/>
          <w:bCs/>
          <w:szCs w:val="22"/>
        </w:rPr>
      </w:pPr>
      <w:r w:rsidRPr="007F0D2F">
        <w:rPr>
          <w:rFonts w:ascii="Arial" w:hAnsi="Arial" w:cs="Arial"/>
          <w:bCs/>
          <w:szCs w:val="22"/>
        </w:rPr>
        <w:t>Ethical approval (where ever applicable)</w:t>
      </w:r>
    </w:p>
    <w:p w14:paraId="7194B416" w14:textId="77777777" w:rsidR="00CF22A7" w:rsidRPr="007F0D2F" w:rsidRDefault="00CF22A7" w:rsidP="00CF22A7">
      <w:pPr>
        <w:pStyle w:val="ReferHead"/>
        <w:spacing w:after="0"/>
        <w:jc w:val="both"/>
        <w:rPr>
          <w:rFonts w:ascii="Arial" w:hAnsi="Arial" w:cs="Arial"/>
          <w:bCs/>
          <w:szCs w:val="22"/>
        </w:rPr>
      </w:pPr>
    </w:p>
    <w:p w14:paraId="70CD93CB" w14:textId="4214C069" w:rsidR="00CF22A7" w:rsidRPr="001B0336" w:rsidRDefault="00CF22A7" w:rsidP="00CF22A7">
      <w:pPr>
        <w:pStyle w:val="ReferHead"/>
        <w:spacing w:after="0"/>
        <w:jc w:val="both"/>
        <w:rPr>
          <w:rFonts w:ascii="Arial" w:hAnsi="Arial" w:cs="Arial"/>
          <w:b w:val="0"/>
          <w:caps w:val="0"/>
          <w:szCs w:val="22"/>
          <w:u w:val="single"/>
        </w:rPr>
      </w:pPr>
      <w:r w:rsidRPr="007F0D2F">
        <w:rPr>
          <w:rFonts w:ascii="Arial" w:hAnsi="Arial" w:cs="Arial"/>
          <w:b w:val="0"/>
          <w:caps w:val="0"/>
          <w:szCs w:val="22"/>
        </w:rPr>
        <w:t xml:space="preserve">This study adhered to the tenets of Helsinki declaration and the study was approved by the Health Research and Ethics committee of UATH, Gwagwalada </w:t>
      </w:r>
      <w:r w:rsidRPr="001B0336">
        <w:rPr>
          <w:rFonts w:ascii="Arial" w:hAnsi="Arial" w:cs="Arial"/>
          <w:b w:val="0"/>
          <w:caps w:val="0"/>
          <w:szCs w:val="22"/>
        </w:rPr>
        <w:t>(UATH/HREC/</w:t>
      </w:r>
      <w:r w:rsidR="00FF436C" w:rsidRPr="001B0336">
        <w:rPr>
          <w:rFonts w:ascii="Arial" w:hAnsi="Arial" w:cs="Arial"/>
          <w:b w:val="0"/>
          <w:caps w:val="0"/>
          <w:szCs w:val="22"/>
        </w:rPr>
        <w:t>PR/</w:t>
      </w:r>
      <w:r w:rsidR="0008790A" w:rsidRPr="001B0336">
        <w:rPr>
          <w:rFonts w:ascii="Arial" w:hAnsi="Arial" w:cs="Arial"/>
          <w:b w:val="0"/>
          <w:caps w:val="0"/>
          <w:szCs w:val="22"/>
        </w:rPr>
        <w:t>20</w:t>
      </w:r>
      <w:r w:rsidR="00FF436C" w:rsidRPr="001B0336">
        <w:rPr>
          <w:rFonts w:ascii="Arial" w:hAnsi="Arial" w:cs="Arial"/>
          <w:b w:val="0"/>
          <w:caps w:val="0"/>
          <w:szCs w:val="22"/>
        </w:rPr>
        <w:t>22</w:t>
      </w:r>
      <w:r w:rsidR="0008790A" w:rsidRPr="001B0336">
        <w:rPr>
          <w:rFonts w:ascii="Arial" w:hAnsi="Arial" w:cs="Arial"/>
          <w:b w:val="0"/>
          <w:caps w:val="0"/>
          <w:szCs w:val="22"/>
        </w:rPr>
        <w:t>/11/065</w:t>
      </w:r>
      <w:r w:rsidRPr="001B0336">
        <w:rPr>
          <w:rFonts w:ascii="Arial" w:hAnsi="Arial" w:cs="Arial"/>
          <w:b w:val="0"/>
          <w:caps w:val="0"/>
          <w:szCs w:val="22"/>
        </w:rPr>
        <w:t>)</w:t>
      </w:r>
    </w:p>
    <w:p w14:paraId="19ABD0DA" w14:textId="77777777" w:rsidR="00CF22A7" w:rsidRPr="007F0D2F" w:rsidRDefault="00CF22A7" w:rsidP="00CF22A7">
      <w:pPr>
        <w:pStyle w:val="ReferHead"/>
        <w:spacing w:after="0"/>
        <w:jc w:val="both"/>
        <w:rPr>
          <w:rFonts w:ascii="Arial" w:hAnsi="Arial" w:cs="Arial"/>
          <w:szCs w:val="22"/>
        </w:rPr>
      </w:pPr>
    </w:p>
    <w:p w14:paraId="6F7809A5" w14:textId="77777777" w:rsidR="00CF22A7" w:rsidRPr="007F0D2F" w:rsidRDefault="00CF22A7" w:rsidP="00CF22A7">
      <w:pPr>
        <w:pStyle w:val="ReferHead"/>
        <w:spacing w:after="0"/>
        <w:jc w:val="both"/>
        <w:rPr>
          <w:rFonts w:ascii="Arial" w:hAnsi="Arial" w:cs="Arial"/>
          <w:szCs w:val="22"/>
        </w:rPr>
      </w:pPr>
    </w:p>
    <w:p w14:paraId="6B16DF99" w14:textId="77777777" w:rsidR="00CF22A7" w:rsidRPr="007F0D2F" w:rsidRDefault="00CF22A7" w:rsidP="00CF22A7">
      <w:pPr>
        <w:spacing w:after="200" w:line="276" w:lineRule="auto"/>
        <w:rPr>
          <w:rFonts w:ascii="Arial" w:eastAsia="Calibri" w:hAnsi="Arial" w:cs="Arial"/>
          <w:b/>
          <w:bCs/>
          <w:color w:val="000000" w:themeColor="text1"/>
          <w:kern w:val="2"/>
          <w:sz w:val="22"/>
          <w:szCs w:val="22"/>
        </w:rPr>
      </w:pPr>
      <w:r w:rsidRPr="007F0D2F">
        <w:rPr>
          <w:rFonts w:ascii="Arial" w:eastAsia="Calibri" w:hAnsi="Arial" w:cs="Arial"/>
          <w:b/>
          <w:bCs/>
          <w:color w:val="000000" w:themeColor="text1"/>
          <w:kern w:val="2"/>
          <w:sz w:val="22"/>
          <w:szCs w:val="22"/>
        </w:rPr>
        <w:t>DISCLAIMER (ARTIFICIAL INTELLIGENCE)</w:t>
      </w:r>
    </w:p>
    <w:p w14:paraId="28BEBC7C" w14:textId="2F7249DA" w:rsidR="00F35133" w:rsidRDefault="00CF22A7" w:rsidP="000B0696">
      <w:pPr>
        <w:spacing w:after="200" w:line="276" w:lineRule="auto"/>
        <w:rPr>
          <w:rFonts w:ascii="Arial" w:eastAsia="Calibri" w:hAnsi="Arial" w:cs="Arial"/>
          <w:color w:val="000000" w:themeColor="text1"/>
          <w:kern w:val="2"/>
          <w:sz w:val="22"/>
          <w:szCs w:val="22"/>
        </w:rPr>
      </w:pPr>
      <w:r w:rsidRPr="007F0D2F">
        <w:rPr>
          <w:rFonts w:ascii="Arial" w:eastAsia="Calibri" w:hAnsi="Arial" w:cs="Arial"/>
          <w:color w:val="000000" w:themeColor="text1"/>
          <w:kern w:val="2"/>
          <w:sz w:val="22"/>
          <w:szCs w:val="22"/>
        </w:rPr>
        <w:t>Authors hereby declare that NO generative AI technologies such as Large Language Models (</w:t>
      </w:r>
      <w:proofErr w:type="spellStart"/>
      <w:r w:rsidRPr="007F0D2F">
        <w:rPr>
          <w:rFonts w:ascii="Arial" w:eastAsia="Calibri" w:hAnsi="Arial" w:cs="Arial"/>
          <w:color w:val="000000" w:themeColor="text1"/>
          <w:kern w:val="2"/>
          <w:sz w:val="22"/>
          <w:szCs w:val="22"/>
        </w:rPr>
        <w:t>ChatGPT</w:t>
      </w:r>
      <w:proofErr w:type="spellEnd"/>
      <w:r w:rsidRPr="007F0D2F">
        <w:rPr>
          <w:rFonts w:ascii="Arial" w:eastAsia="Calibri" w:hAnsi="Arial" w:cs="Arial"/>
          <w:color w:val="000000" w:themeColor="text1"/>
          <w:kern w:val="2"/>
          <w:sz w:val="22"/>
          <w:szCs w:val="22"/>
        </w:rPr>
        <w:t xml:space="preserve">, COPILOT, etc.) and text-to-image generators have been used during the writing or editing of this manuscript. </w:t>
      </w:r>
    </w:p>
    <w:p w14:paraId="74A39911" w14:textId="77777777" w:rsidR="007B7B47" w:rsidRPr="007B7B47" w:rsidRDefault="007B7B47" w:rsidP="007B7B47">
      <w:pPr>
        <w:spacing w:after="200" w:line="276" w:lineRule="auto"/>
        <w:jc w:val="both"/>
        <w:outlineLvl w:val="0"/>
        <w:rPr>
          <w:rFonts w:ascii="Arial" w:hAnsi="Arial" w:cs="Arial"/>
          <w:sz w:val="22"/>
          <w:szCs w:val="22"/>
          <w:lang w:val="en-GB" w:eastAsia="en-GB"/>
        </w:rPr>
      </w:pPr>
      <w:r w:rsidRPr="007B7B47">
        <w:rPr>
          <w:rFonts w:ascii="Arial" w:hAnsi="Arial" w:cs="Arial"/>
          <w:b/>
          <w:bCs/>
          <w:sz w:val="22"/>
          <w:szCs w:val="22"/>
          <w:lang w:val="en-GB" w:eastAsia="en-GB"/>
        </w:rPr>
        <w:t>COMPETING INTERESTS DISCLAIMER:</w:t>
      </w:r>
    </w:p>
    <w:p w14:paraId="43341936" w14:textId="77777777" w:rsidR="007B7B47" w:rsidRPr="007B7B47" w:rsidRDefault="007B7B47" w:rsidP="007B7B47">
      <w:pPr>
        <w:spacing w:after="200" w:line="276" w:lineRule="auto"/>
        <w:rPr>
          <w:rFonts w:ascii="Calibri" w:hAnsi="Calibri"/>
          <w:sz w:val="22"/>
          <w:szCs w:val="22"/>
          <w:lang w:val="en-GB" w:eastAsia="en-GB"/>
        </w:rPr>
      </w:pPr>
      <w:r w:rsidRPr="007B7B47">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5C22477" w14:textId="77777777" w:rsidR="007B7B47" w:rsidRDefault="007B7B47" w:rsidP="000B0696">
      <w:pPr>
        <w:spacing w:after="200" w:line="276" w:lineRule="auto"/>
        <w:rPr>
          <w:rFonts w:ascii="Arial" w:eastAsia="Calibri" w:hAnsi="Arial" w:cs="Arial"/>
          <w:color w:val="000000" w:themeColor="text1"/>
          <w:kern w:val="2"/>
          <w:sz w:val="22"/>
          <w:szCs w:val="22"/>
        </w:rPr>
      </w:pPr>
    </w:p>
    <w:p w14:paraId="522FA160" w14:textId="77777777" w:rsidR="000B0696" w:rsidRPr="000B0696" w:rsidRDefault="000B0696" w:rsidP="000B0696">
      <w:pPr>
        <w:spacing w:after="200" w:line="276" w:lineRule="auto"/>
        <w:rPr>
          <w:rFonts w:ascii="Arial" w:eastAsia="Calibri" w:hAnsi="Arial" w:cs="Arial"/>
          <w:color w:val="000000" w:themeColor="text1"/>
          <w:kern w:val="2"/>
          <w:sz w:val="22"/>
          <w:szCs w:val="22"/>
        </w:rPr>
      </w:pPr>
    </w:p>
    <w:p w14:paraId="2C6F1D66" w14:textId="1E2EF4A3" w:rsidR="00F04F97" w:rsidRPr="00487A9A" w:rsidRDefault="00F04F97" w:rsidP="00CF22A7">
      <w:pPr>
        <w:pStyle w:val="Appendix"/>
        <w:spacing w:after="0" w:line="480" w:lineRule="auto"/>
        <w:jc w:val="both"/>
        <w:rPr>
          <w:rFonts w:ascii="Arial" w:hAnsi="Arial" w:cs="Arial"/>
          <w:bCs/>
          <w:szCs w:val="22"/>
        </w:rPr>
      </w:pPr>
      <w:r w:rsidRPr="00487A9A">
        <w:rPr>
          <w:rFonts w:ascii="Arial" w:hAnsi="Arial" w:cs="Arial"/>
          <w:bCs/>
          <w:szCs w:val="22"/>
        </w:rPr>
        <w:t>REFERENCES</w:t>
      </w:r>
    </w:p>
    <w:p w14:paraId="30BDDF20" w14:textId="77777777" w:rsidR="00F707D9" w:rsidRPr="00AC3AD0" w:rsidRDefault="00F707D9" w:rsidP="00F707D9">
      <w:pPr>
        <w:autoSpaceDE w:val="0"/>
        <w:autoSpaceDN w:val="0"/>
        <w:adjustRightInd w:val="0"/>
        <w:spacing w:line="480" w:lineRule="auto"/>
        <w:jc w:val="both"/>
        <w:rPr>
          <w:rFonts w:ascii="Arial" w:eastAsia="TimesNewRomanPSMT" w:hAnsi="Arial" w:cs="Arial"/>
          <w:sz w:val="22"/>
          <w:szCs w:val="22"/>
        </w:rPr>
      </w:pPr>
      <w:r w:rsidRPr="00AC3AD0">
        <w:rPr>
          <w:rFonts w:ascii="Arial" w:hAnsi="Arial" w:cs="Arial"/>
          <w:sz w:val="22"/>
          <w:szCs w:val="22"/>
        </w:rPr>
        <w:t xml:space="preserve">1.  </w:t>
      </w:r>
      <w:r w:rsidRPr="00AC3AD0">
        <w:rPr>
          <w:rFonts w:ascii="Arial" w:eastAsia="TimesNewRomanPSMT" w:hAnsi="Arial" w:cs="Arial"/>
          <w:sz w:val="22"/>
          <w:szCs w:val="22"/>
        </w:rPr>
        <w:t>World Health Organization. Blindness and vision impairment. (Internet). 2019.</w:t>
      </w:r>
      <w:r w:rsidRPr="00AC3AD0">
        <w:rPr>
          <w:rFonts w:ascii="Arial" w:hAnsi="Arial" w:cs="Arial"/>
          <w:sz w:val="22"/>
          <w:szCs w:val="22"/>
        </w:rPr>
        <w:t xml:space="preserve"> Accessed 8</w:t>
      </w:r>
      <w:r w:rsidRPr="00AC3AD0">
        <w:rPr>
          <w:rFonts w:ascii="Arial" w:hAnsi="Arial" w:cs="Arial"/>
          <w:sz w:val="22"/>
          <w:szCs w:val="22"/>
          <w:vertAlign w:val="superscript"/>
        </w:rPr>
        <w:t>th</w:t>
      </w:r>
      <w:r w:rsidRPr="00AC3AD0">
        <w:rPr>
          <w:rFonts w:ascii="Arial" w:hAnsi="Arial" w:cs="Arial"/>
          <w:sz w:val="22"/>
          <w:szCs w:val="22"/>
        </w:rPr>
        <w:t xml:space="preserve"> July 2022</w:t>
      </w:r>
      <w:r w:rsidRPr="00AC3AD0">
        <w:rPr>
          <w:rFonts w:ascii="Arial" w:eastAsia="TimesNewRomanPSMT" w:hAnsi="Arial" w:cs="Arial"/>
          <w:sz w:val="22"/>
          <w:szCs w:val="22"/>
        </w:rPr>
        <w:t xml:space="preserve"> Available from: https://www.who.int/news-room/fact-sheets/detail/blindness-andvissual-impairment.</w:t>
      </w:r>
    </w:p>
    <w:p w14:paraId="7F25ABAF"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2.  Vision Loss Expert Group on the Global Burden of Disease Study (2020). Causes of blindness and vision impairment in 2020 and trends over 30 years: evaluating the prevalence of avoidable blindness in relation to “VISION 2020: The Right to Sight”. Lancet Global Health 2020. doi.org/10.1016/S2214-109X (20)30489-7.</w:t>
      </w:r>
    </w:p>
    <w:p w14:paraId="63384957"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lastRenderedPageBreak/>
        <w:t xml:space="preserve">3. </w:t>
      </w:r>
      <w:proofErr w:type="spellStart"/>
      <w:r w:rsidRPr="00AC3AD0">
        <w:rPr>
          <w:rFonts w:ascii="Arial" w:hAnsi="Arial" w:cs="Arial"/>
          <w:spacing w:val="-4"/>
          <w:sz w:val="22"/>
          <w:szCs w:val="22"/>
          <w:shd w:val="clear" w:color="auto" w:fill="FBFBFB"/>
        </w:rPr>
        <w:t>Vaa</w:t>
      </w:r>
      <w:proofErr w:type="spellEnd"/>
      <w:r w:rsidRPr="00AC3AD0">
        <w:rPr>
          <w:rFonts w:ascii="Arial" w:hAnsi="Arial" w:cs="Arial"/>
          <w:spacing w:val="-4"/>
          <w:sz w:val="22"/>
          <w:szCs w:val="22"/>
          <w:shd w:val="clear" w:color="auto" w:fill="FBFBFB"/>
        </w:rPr>
        <w:t>, T. (2003) Impairments, diseases, age and their relative risks of accident involvement: results from meta-analysis. The Institute of Transport Economics (</w:t>
      </w:r>
      <w:proofErr w:type="spellStart"/>
      <w:r w:rsidRPr="00AC3AD0">
        <w:rPr>
          <w:rFonts w:ascii="Arial" w:hAnsi="Arial" w:cs="Arial"/>
          <w:spacing w:val="-4"/>
          <w:sz w:val="22"/>
          <w:szCs w:val="22"/>
          <w:shd w:val="clear" w:color="auto" w:fill="FBFBFB"/>
        </w:rPr>
        <w:t>Transportøkonomisk</w:t>
      </w:r>
      <w:proofErr w:type="spellEnd"/>
      <w:r w:rsidRPr="00AC3AD0">
        <w:rPr>
          <w:rFonts w:ascii="Arial" w:hAnsi="Arial" w:cs="Arial"/>
          <w:spacing w:val="-4"/>
          <w:sz w:val="22"/>
          <w:szCs w:val="22"/>
          <w:shd w:val="clear" w:color="auto" w:fill="FBFBFB"/>
        </w:rPr>
        <w:t xml:space="preserve"> </w:t>
      </w:r>
      <w:proofErr w:type="spellStart"/>
      <w:r w:rsidRPr="00AC3AD0">
        <w:rPr>
          <w:rFonts w:ascii="Arial" w:hAnsi="Arial" w:cs="Arial"/>
          <w:spacing w:val="-4"/>
          <w:sz w:val="22"/>
          <w:szCs w:val="22"/>
          <w:shd w:val="clear" w:color="auto" w:fill="FBFBFB"/>
        </w:rPr>
        <w:t>institutt</w:t>
      </w:r>
      <w:proofErr w:type="spellEnd"/>
      <w:r w:rsidRPr="00AC3AD0">
        <w:rPr>
          <w:rFonts w:ascii="Arial" w:hAnsi="Arial" w:cs="Arial"/>
          <w:spacing w:val="-4"/>
          <w:sz w:val="22"/>
          <w:szCs w:val="22"/>
          <w:shd w:val="clear" w:color="auto" w:fill="FBFBFB"/>
        </w:rPr>
        <w:t>, TØI) Report.</w:t>
      </w:r>
    </w:p>
    <w:p w14:paraId="016276AF"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4. </w:t>
      </w:r>
      <w:r w:rsidRPr="00AC3AD0">
        <w:rPr>
          <w:rFonts w:ascii="Arial" w:hAnsi="Arial" w:cs="Arial"/>
          <w:sz w:val="22"/>
          <w:szCs w:val="22"/>
          <w:shd w:val="clear" w:color="auto" w:fill="FFFFFF"/>
        </w:rPr>
        <w:t>Taylor, J.F. (1982) Vision and driving. </w:t>
      </w:r>
      <w:r w:rsidRPr="00AC3AD0">
        <w:rPr>
          <w:rStyle w:val="ref-journal"/>
          <w:rFonts w:ascii="Arial" w:hAnsi="Arial" w:cs="Arial"/>
          <w:sz w:val="22"/>
          <w:szCs w:val="22"/>
          <w:shd w:val="clear" w:color="auto" w:fill="FFFFFF"/>
        </w:rPr>
        <w:t>Practitioner. </w:t>
      </w:r>
      <w:r w:rsidRPr="00AC3AD0">
        <w:rPr>
          <w:rStyle w:val="ref-vol"/>
          <w:rFonts w:ascii="Arial" w:hAnsi="Arial" w:cs="Arial"/>
          <w:sz w:val="22"/>
          <w:szCs w:val="22"/>
          <w:shd w:val="clear" w:color="auto" w:fill="FFFFFF"/>
        </w:rPr>
        <w:t xml:space="preserve"> 226:885</w:t>
      </w:r>
      <w:r w:rsidRPr="00AC3AD0">
        <w:rPr>
          <w:rFonts w:ascii="Arial" w:hAnsi="Arial" w:cs="Arial"/>
          <w:sz w:val="22"/>
          <w:szCs w:val="22"/>
          <w:shd w:val="clear" w:color="auto" w:fill="FFFFFF"/>
        </w:rPr>
        <w:t>–9.</w:t>
      </w:r>
    </w:p>
    <w:p w14:paraId="396FD684"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5. </w:t>
      </w:r>
      <w:r w:rsidRPr="00AC3AD0">
        <w:rPr>
          <w:rFonts w:ascii="Arial" w:eastAsia="TimesNewRomanPSMT" w:hAnsi="Arial" w:cs="Arial"/>
          <w:sz w:val="22"/>
          <w:szCs w:val="22"/>
        </w:rPr>
        <w:t>World Health Organization (WHO) 2015. Universal eye health: a global action plan (2014–2019) WHO.</w:t>
      </w:r>
    </w:p>
    <w:p w14:paraId="12854F9D"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lang w:val="nl-NL"/>
        </w:rPr>
        <w:t xml:space="preserve">6. </w:t>
      </w:r>
      <w:r w:rsidRPr="00AC3AD0">
        <w:rPr>
          <w:rFonts w:ascii="Arial" w:hAnsi="Arial" w:cs="Arial"/>
          <w:sz w:val="22"/>
          <w:szCs w:val="22"/>
          <w:shd w:val="clear" w:color="auto" w:fill="FFFFFF"/>
          <w:lang w:val="nl-NL"/>
        </w:rPr>
        <w:t xml:space="preserve">Willette, R.E., Walsh, J.M. (1983) Drugs. </w:t>
      </w:r>
      <w:r w:rsidRPr="00AC3AD0">
        <w:rPr>
          <w:rFonts w:ascii="Arial" w:hAnsi="Arial" w:cs="Arial"/>
          <w:sz w:val="22"/>
          <w:szCs w:val="22"/>
          <w:shd w:val="clear" w:color="auto" w:fill="FFFFFF"/>
        </w:rPr>
        <w:t>Driving and Traffic Safety</w:t>
      </w:r>
      <w:r w:rsidRPr="00AC3AD0">
        <w:rPr>
          <w:rStyle w:val="ref-journal"/>
          <w:rFonts w:ascii="Arial" w:hAnsi="Arial" w:cs="Arial"/>
          <w:sz w:val="22"/>
          <w:szCs w:val="22"/>
          <w:shd w:val="clear" w:color="auto" w:fill="FFFFFF"/>
        </w:rPr>
        <w:t>. WHO Offset Publication No. 78.</w:t>
      </w:r>
      <w:r w:rsidRPr="00AC3AD0">
        <w:rPr>
          <w:rFonts w:ascii="Arial" w:hAnsi="Arial" w:cs="Arial"/>
          <w:sz w:val="22"/>
          <w:szCs w:val="22"/>
          <w:shd w:val="clear" w:color="auto" w:fill="FFFFFF"/>
        </w:rPr>
        <w:t> Geneva: World Health Organization.; pp. 1–10.</w:t>
      </w:r>
    </w:p>
    <w:p w14:paraId="1F4BE7D2"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7.  </w:t>
      </w:r>
      <w:proofErr w:type="spellStart"/>
      <w:r w:rsidRPr="00AC3AD0">
        <w:rPr>
          <w:rFonts w:ascii="Arial" w:hAnsi="Arial" w:cs="Arial"/>
          <w:sz w:val="22"/>
          <w:szCs w:val="22"/>
          <w:lang w:val="en-GB"/>
        </w:rPr>
        <w:t>Agbonkhese</w:t>
      </w:r>
      <w:proofErr w:type="spellEnd"/>
      <w:r w:rsidRPr="00AC3AD0">
        <w:rPr>
          <w:rFonts w:ascii="Arial" w:hAnsi="Arial" w:cs="Arial"/>
          <w:sz w:val="22"/>
          <w:szCs w:val="22"/>
          <w:lang w:val="en-GB"/>
        </w:rPr>
        <w:t xml:space="preserve"> O., </w:t>
      </w:r>
      <w:proofErr w:type="spellStart"/>
      <w:r w:rsidRPr="00AC3AD0">
        <w:rPr>
          <w:rFonts w:ascii="Arial" w:hAnsi="Arial" w:cs="Arial"/>
          <w:sz w:val="22"/>
          <w:szCs w:val="22"/>
          <w:lang w:val="en-GB"/>
        </w:rPr>
        <w:t>Yisa</w:t>
      </w:r>
      <w:proofErr w:type="spellEnd"/>
      <w:r w:rsidRPr="00AC3AD0">
        <w:rPr>
          <w:rFonts w:ascii="Arial" w:hAnsi="Arial" w:cs="Arial"/>
          <w:sz w:val="22"/>
          <w:szCs w:val="22"/>
          <w:lang w:val="en-GB"/>
        </w:rPr>
        <w:t xml:space="preserve">, G., </w:t>
      </w:r>
      <w:proofErr w:type="spellStart"/>
      <w:proofErr w:type="gramStart"/>
      <w:r w:rsidRPr="00AC3AD0">
        <w:rPr>
          <w:rFonts w:ascii="Arial" w:hAnsi="Arial" w:cs="Arial"/>
          <w:sz w:val="22"/>
          <w:szCs w:val="22"/>
          <w:lang w:val="en-GB"/>
        </w:rPr>
        <w:t>Agbonkhese</w:t>
      </w:r>
      <w:proofErr w:type="spellEnd"/>
      <w:r w:rsidRPr="00AC3AD0">
        <w:rPr>
          <w:rFonts w:ascii="Arial" w:hAnsi="Arial" w:cs="Arial"/>
          <w:sz w:val="22"/>
          <w:szCs w:val="22"/>
          <w:lang w:val="en-GB"/>
        </w:rPr>
        <w:t xml:space="preserve">  E.</w:t>
      </w:r>
      <w:proofErr w:type="gramEnd"/>
      <w:r w:rsidRPr="00AC3AD0">
        <w:rPr>
          <w:rFonts w:ascii="Arial" w:hAnsi="Arial" w:cs="Arial"/>
          <w:sz w:val="22"/>
          <w:szCs w:val="22"/>
          <w:lang w:val="en-GB"/>
        </w:rPr>
        <w:t xml:space="preserve">, </w:t>
      </w:r>
      <w:proofErr w:type="spellStart"/>
      <w:r w:rsidRPr="00AC3AD0">
        <w:rPr>
          <w:rFonts w:ascii="Arial" w:hAnsi="Arial" w:cs="Arial"/>
          <w:sz w:val="22"/>
          <w:szCs w:val="22"/>
          <w:lang w:val="en-GB"/>
        </w:rPr>
        <w:t>Akanbi</w:t>
      </w:r>
      <w:proofErr w:type="spellEnd"/>
      <w:r w:rsidRPr="00AC3AD0">
        <w:rPr>
          <w:rFonts w:ascii="Arial" w:hAnsi="Arial" w:cs="Arial"/>
          <w:sz w:val="22"/>
          <w:szCs w:val="22"/>
          <w:lang w:val="en-GB"/>
        </w:rPr>
        <w:t xml:space="preserve">, D., Aka, D., </w:t>
      </w:r>
      <w:proofErr w:type="spellStart"/>
      <w:r w:rsidRPr="00AC3AD0">
        <w:rPr>
          <w:rFonts w:ascii="Arial" w:hAnsi="Arial" w:cs="Arial"/>
          <w:sz w:val="22"/>
          <w:szCs w:val="22"/>
          <w:lang w:val="en-GB"/>
        </w:rPr>
        <w:t>Mongigha</w:t>
      </w:r>
      <w:proofErr w:type="spellEnd"/>
      <w:r w:rsidRPr="00AC3AD0">
        <w:rPr>
          <w:rFonts w:ascii="Arial" w:hAnsi="Arial" w:cs="Arial"/>
          <w:sz w:val="22"/>
          <w:szCs w:val="22"/>
          <w:lang w:val="en-GB"/>
        </w:rPr>
        <w:t xml:space="preserve"> E.(2012). Road Traffic Accidents in Nigeria. African Med J, 3(2):34-36.</w:t>
      </w:r>
    </w:p>
    <w:p w14:paraId="3E091617"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8. </w:t>
      </w:r>
      <w:proofErr w:type="spellStart"/>
      <w:r w:rsidRPr="00AC3AD0">
        <w:rPr>
          <w:rStyle w:val="element-citation"/>
          <w:rFonts w:ascii="Arial" w:hAnsi="Arial" w:cs="Arial"/>
          <w:sz w:val="22"/>
          <w:szCs w:val="22"/>
          <w:shd w:val="clear" w:color="auto" w:fill="FFFFFF"/>
        </w:rPr>
        <w:t>Agunloye</w:t>
      </w:r>
      <w:proofErr w:type="spellEnd"/>
      <w:r w:rsidRPr="00AC3AD0">
        <w:rPr>
          <w:rStyle w:val="element-citation"/>
          <w:rFonts w:ascii="Arial" w:hAnsi="Arial" w:cs="Arial"/>
          <w:sz w:val="22"/>
          <w:szCs w:val="22"/>
          <w:shd w:val="clear" w:color="auto" w:fill="FFFFFF"/>
        </w:rPr>
        <w:t>, O. (1988). Road danger in Nigeria- Truth and consequences. </w:t>
      </w:r>
      <w:r w:rsidRPr="00AC3AD0">
        <w:rPr>
          <w:rStyle w:val="ref-journal"/>
          <w:rFonts w:ascii="Arial" w:hAnsi="Arial" w:cs="Arial"/>
          <w:sz w:val="22"/>
          <w:szCs w:val="22"/>
          <w:shd w:val="clear" w:color="auto" w:fill="FFFFFF"/>
        </w:rPr>
        <w:t>J Fed Road Safety Commission, Nigeria,</w:t>
      </w:r>
      <w:r w:rsidRPr="00AC3AD0">
        <w:rPr>
          <w:rStyle w:val="ref-vol"/>
          <w:rFonts w:ascii="Arial" w:hAnsi="Arial" w:cs="Arial"/>
          <w:sz w:val="22"/>
          <w:szCs w:val="22"/>
          <w:shd w:val="clear" w:color="auto" w:fill="FFFFFF"/>
        </w:rPr>
        <w:t xml:space="preserve"> 1:11</w:t>
      </w:r>
      <w:r w:rsidRPr="00AC3AD0">
        <w:rPr>
          <w:rStyle w:val="element-citation"/>
          <w:rFonts w:ascii="Arial" w:hAnsi="Arial" w:cs="Arial"/>
          <w:sz w:val="22"/>
          <w:szCs w:val="22"/>
          <w:shd w:val="clear" w:color="auto" w:fill="FFFFFF"/>
        </w:rPr>
        <w:t>–6.</w:t>
      </w:r>
    </w:p>
    <w:p w14:paraId="7DA15009"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9. </w:t>
      </w:r>
      <w:proofErr w:type="spellStart"/>
      <w:r w:rsidRPr="00AC3AD0">
        <w:rPr>
          <w:rFonts w:ascii="Arial" w:hAnsi="Arial" w:cs="Arial"/>
          <w:sz w:val="22"/>
          <w:szCs w:val="22"/>
          <w:shd w:val="clear" w:color="auto" w:fill="FFFFFF"/>
        </w:rPr>
        <w:t>Asogwa</w:t>
      </w:r>
      <w:proofErr w:type="spellEnd"/>
      <w:r w:rsidRPr="00AC3AD0">
        <w:rPr>
          <w:rFonts w:ascii="Arial" w:hAnsi="Arial" w:cs="Arial"/>
          <w:sz w:val="22"/>
          <w:szCs w:val="22"/>
          <w:shd w:val="clear" w:color="auto" w:fill="FFFFFF"/>
        </w:rPr>
        <w:t>, S.E. (1980). Some characteristics of drivers and riders involved in road traffic accidents in Nigeria. </w:t>
      </w:r>
      <w:r w:rsidRPr="00AC3AD0">
        <w:rPr>
          <w:rStyle w:val="ref-journal"/>
          <w:rFonts w:ascii="Arial" w:hAnsi="Arial" w:cs="Arial"/>
          <w:sz w:val="22"/>
          <w:szCs w:val="22"/>
          <w:shd w:val="clear" w:color="auto" w:fill="FFFFFF"/>
        </w:rPr>
        <w:t xml:space="preserve">East </w:t>
      </w:r>
      <w:proofErr w:type="spellStart"/>
      <w:r w:rsidRPr="00AC3AD0">
        <w:rPr>
          <w:rStyle w:val="ref-journal"/>
          <w:rFonts w:ascii="Arial" w:hAnsi="Arial" w:cs="Arial"/>
          <w:sz w:val="22"/>
          <w:szCs w:val="22"/>
          <w:shd w:val="clear" w:color="auto" w:fill="FFFFFF"/>
        </w:rPr>
        <w:t>Afr</w:t>
      </w:r>
      <w:proofErr w:type="spellEnd"/>
      <w:r w:rsidRPr="00AC3AD0">
        <w:rPr>
          <w:rStyle w:val="ref-journal"/>
          <w:rFonts w:ascii="Arial" w:hAnsi="Arial" w:cs="Arial"/>
          <w:sz w:val="22"/>
          <w:szCs w:val="22"/>
          <w:shd w:val="clear" w:color="auto" w:fill="FFFFFF"/>
        </w:rPr>
        <w:t xml:space="preserve"> Med J, </w:t>
      </w:r>
      <w:r w:rsidRPr="00AC3AD0">
        <w:rPr>
          <w:rStyle w:val="ref-vol"/>
          <w:rFonts w:ascii="Arial" w:hAnsi="Arial" w:cs="Arial"/>
          <w:sz w:val="22"/>
          <w:szCs w:val="22"/>
          <w:shd w:val="clear" w:color="auto" w:fill="FFFFFF"/>
        </w:rPr>
        <w:t>57:399</w:t>
      </w:r>
      <w:r w:rsidRPr="00AC3AD0">
        <w:rPr>
          <w:rFonts w:ascii="Arial" w:hAnsi="Arial" w:cs="Arial"/>
          <w:sz w:val="22"/>
          <w:szCs w:val="22"/>
          <w:shd w:val="clear" w:color="auto" w:fill="FFFFFF"/>
        </w:rPr>
        <w:t>–404.</w:t>
      </w:r>
    </w:p>
    <w:p w14:paraId="308867C0" w14:textId="77777777" w:rsidR="00F707D9" w:rsidRPr="00AC3AD0" w:rsidRDefault="00F707D9" w:rsidP="00F707D9">
      <w:pPr>
        <w:rPr>
          <w:rFonts w:ascii="Arial" w:hAnsi="Arial" w:cs="Arial"/>
          <w:sz w:val="22"/>
          <w:szCs w:val="22"/>
        </w:rPr>
      </w:pPr>
      <w:r w:rsidRPr="00AC3AD0">
        <w:rPr>
          <w:rFonts w:ascii="Arial" w:hAnsi="Arial" w:cs="Arial"/>
          <w:sz w:val="22"/>
          <w:szCs w:val="22"/>
        </w:rPr>
        <w:t xml:space="preserve">10. </w:t>
      </w:r>
      <w:proofErr w:type="spellStart"/>
      <w:r w:rsidRPr="00AC3AD0">
        <w:rPr>
          <w:rFonts w:ascii="Arial" w:hAnsi="Arial" w:cs="Arial"/>
          <w:sz w:val="22"/>
          <w:szCs w:val="22"/>
        </w:rPr>
        <w:t>Pepple</w:t>
      </w:r>
      <w:proofErr w:type="spellEnd"/>
      <w:r w:rsidRPr="00AC3AD0">
        <w:rPr>
          <w:rFonts w:ascii="Arial" w:hAnsi="Arial" w:cs="Arial"/>
          <w:sz w:val="22"/>
          <w:szCs w:val="22"/>
        </w:rPr>
        <w:t>, G., </w:t>
      </w:r>
      <w:proofErr w:type="spellStart"/>
      <w:r w:rsidRPr="00AC3AD0">
        <w:rPr>
          <w:rFonts w:ascii="Arial" w:hAnsi="Arial" w:cs="Arial"/>
          <w:sz w:val="22"/>
          <w:szCs w:val="22"/>
        </w:rPr>
        <w:t>Adio</w:t>
      </w:r>
      <w:proofErr w:type="spellEnd"/>
      <w:r w:rsidRPr="00AC3AD0">
        <w:rPr>
          <w:rFonts w:ascii="Arial" w:hAnsi="Arial" w:cs="Arial"/>
          <w:sz w:val="22"/>
          <w:szCs w:val="22"/>
        </w:rPr>
        <w:t>, A. (2014). Visual function of drivers and its relationship to road traffic accidents in Urban Africa. Springer plus, 3: 1-7.</w:t>
      </w:r>
    </w:p>
    <w:p w14:paraId="7C00FB9A" w14:textId="77777777" w:rsidR="00F707D9" w:rsidRPr="00AC3AD0" w:rsidRDefault="00F707D9" w:rsidP="00F707D9">
      <w:pPr>
        <w:pStyle w:val="Heading1"/>
        <w:shd w:val="clear" w:color="auto" w:fill="FBFBFB"/>
        <w:spacing w:before="161" w:after="161" w:line="480" w:lineRule="auto"/>
        <w:jc w:val="both"/>
        <w:rPr>
          <w:rFonts w:ascii="Arial" w:hAnsi="Arial" w:cs="Arial"/>
          <w:b/>
          <w:color w:val="auto"/>
          <w:sz w:val="22"/>
          <w:szCs w:val="22"/>
        </w:rPr>
      </w:pPr>
      <w:r w:rsidRPr="00AC3AD0">
        <w:rPr>
          <w:rFonts w:ascii="Arial" w:hAnsi="Arial" w:cs="Arial"/>
          <w:color w:val="auto"/>
          <w:sz w:val="22"/>
          <w:szCs w:val="22"/>
        </w:rPr>
        <w:t>11. Vision and Road Safety: putting the brakes on a global public health threat. International Review of Ophthalmic Optics. 2017. (Internet) Accessed 12</w:t>
      </w:r>
      <w:r w:rsidRPr="00AC3AD0">
        <w:rPr>
          <w:rFonts w:ascii="Arial" w:hAnsi="Arial" w:cs="Arial"/>
          <w:color w:val="auto"/>
          <w:sz w:val="22"/>
          <w:szCs w:val="22"/>
          <w:vertAlign w:val="superscript"/>
        </w:rPr>
        <w:t>th</w:t>
      </w:r>
      <w:r w:rsidRPr="00AC3AD0">
        <w:rPr>
          <w:rFonts w:ascii="Arial" w:hAnsi="Arial" w:cs="Arial"/>
          <w:color w:val="auto"/>
          <w:sz w:val="22"/>
          <w:szCs w:val="22"/>
        </w:rPr>
        <w:t xml:space="preserve"> July 2022. Available from file:///C:/Users/braide/Downloads/Vision%20and%20Road%20Safety_%20putting%20the%20brakes%20on%20a%20global%20public%20health%20threat%20_%20Points%20de%20Vue%20_%20International%20Review%20of%20Ophthalmic%20Optics.html </w:t>
      </w:r>
    </w:p>
    <w:p w14:paraId="4CC12E64" w14:textId="77777777" w:rsidR="00F707D9" w:rsidRPr="00AC3AD0" w:rsidRDefault="00F707D9" w:rsidP="00F707D9">
      <w:pPr>
        <w:pStyle w:val="EndnoteText"/>
        <w:spacing w:line="360" w:lineRule="auto"/>
        <w:jc w:val="both"/>
        <w:rPr>
          <w:rFonts w:ascii="Arial" w:hAnsi="Arial" w:cs="Arial"/>
          <w:sz w:val="22"/>
          <w:szCs w:val="22"/>
        </w:rPr>
      </w:pPr>
      <w:r w:rsidRPr="00AC3AD0">
        <w:rPr>
          <w:rFonts w:ascii="Arial" w:hAnsi="Arial" w:cs="Arial"/>
          <w:sz w:val="22"/>
          <w:szCs w:val="22"/>
        </w:rPr>
        <w:t xml:space="preserve">12. </w:t>
      </w:r>
      <w:proofErr w:type="spellStart"/>
      <w:r w:rsidRPr="00AC3AD0">
        <w:rPr>
          <w:rFonts w:ascii="Arial" w:hAnsi="Arial" w:cs="Arial"/>
          <w:sz w:val="22"/>
          <w:szCs w:val="22"/>
        </w:rPr>
        <w:t>Oladehinde</w:t>
      </w:r>
      <w:proofErr w:type="spellEnd"/>
      <w:r w:rsidRPr="00AC3AD0">
        <w:rPr>
          <w:rFonts w:ascii="Arial" w:hAnsi="Arial" w:cs="Arial"/>
          <w:sz w:val="22"/>
          <w:szCs w:val="22"/>
        </w:rPr>
        <w:t xml:space="preserve">, M.K., Adeoye, </w:t>
      </w:r>
      <w:proofErr w:type="gramStart"/>
      <w:r w:rsidRPr="00AC3AD0">
        <w:rPr>
          <w:rFonts w:ascii="Arial" w:hAnsi="Arial" w:cs="Arial"/>
          <w:sz w:val="22"/>
          <w:szCs w:val="22"/>
        </w:rPr>
        <w:t>A.O,,</w:t>
      </w:r>
      <w:proofErr w:type="gramEnd"/>
      <w:r w:rsidRPr="00AC3AD0">
        <w:rPr>
          <w:rFonts w:ascii="Arial" w:hAnsi="Arial" w:cs="Arial"/>
          <w:sz w:val="22"/>
          <w:szCs w:val="22"/>
        </w:rPr>
        <w:t xml:space="preserve"> </w:t>
      </w:r>
      <w:proofErr w:type="spellStart"/>
      <w:r w:rsidRPr="00AC3AD0">
        <w:rPr>
          <w:rFonts w:ascii="Arial" w:hAnsi="Arial" w:cs="Arial"/>
          <w:sz w:val="22"/>
          <w:szCs w:val="22"/>
        </w:rPr>
        <w:t>Adegbehingbe</w:t>
      </w:r>
      <w:proofErr w:type="spellEnd"/>
      <w:r w:rsidRPr="00AC3AD0">
        <w:rPr>
          <w:rFonts w:ascii="Arial" w:hAnsi="Arial" w:cs="Arial"/>
          <w:sz w:val="22"/>
          <w:szCs w:val="22"/>
        </w:rPr>
        <w:t xml:space="preserve">, B.O., </w:t>
      </w:r>
      <w:proofErr w:type="spellStart"/>
      <w:r w:rsidRPr="00AC3AD0">
        <w:rPr>
          <w:rFonts w:ascii="Arial" w:hAnsi="Arial" w:cs="Arial"/>
          <w:sz w:val="22"/>
          <w:szCs w:val="22"/>
        </w:rPr>
        <w:t>Onakoya</w:t>
      </w:r>
      <w:proofErr w:type="spellEnd"/>
      <w:r w:rsidRPr="00AC3AD0">
        <w:rPr>
          <w:rFonts w:ascii="Arial" w:hAnsi="Arial" w:cs="Arial"/>
          <w:sz w:val="22"/>
          <w:szCs w:val="22"/>
        </w:rPr>
        <w:t xml:space="preserve">, A.O.(2007) Visual functions of commercial drivers in relation to road accidents in Nigeria. Indian J </w:t>
      </w:r>
      <w:proofErr w:type="spellStart"/>
      <w:r w:rsidRPr="00AC3AD0">
        <w:rPr>
          <w:rFonts w:ascii="Arial" w:hAnsi="Arial" w:cs="Arial"/>
          <w:sz w:val="22"/>
          <w:szCs w:val="22"/>
        </w:rPr>
        <w:t>Occup</w:t>
      </w:r>
      <w:proofErr w:type="spellEnd"/>
      <w:r w:rsidRPr="00AC3AD0">
        <w:rPr>
          <w:rFonts w:ascii="Arial" w:hAnsi="Arial" w:cs="Arial"/>
          <w:sz w:val="22"/>
          <w:szCs w:val="22"/>
        </w:rPr>
        <w:t xml:space="preserve"> Environ Med, 11(2): 71–75.</w:t>
      </w:r>
    </w:p>
    <w:p w14:paraId="2A1D9E74" w14:textId="77777777" w:rsidR="00F707D9" w:rsidRPr="00AC3AD0" w:rsidRDefault="00F707D9" w:rsidP="00F707D9">
      <w:pPr>
        <w:shd w:val="clear" w:color="auto" w:fill="FFFFFF"/>
        <w:spacing w:line="480" w:lineRule="auto"/>
        <w:jc w:val="both"/>
        <w:rPr>
          <w:rFonts w:ascii="Arial" w:hAnsi="Arial" w:cs="Arial"/>
          <w:sz w:val="22"/>
          <w:szCs w:val="22"/>
        </w:rPr>
      </w:pPr>
      <w:r w:rsidRPr="00AC3AD0">
        <w:rPr>
          <w:rFonts w:ascii="Arial" w:hAnsi="Arial" w:cs="Arial"/>
          <w:sz w:val="22"/>
          <w:szCs w:val="22"/>
        </w:rPr>
        <w:t xml:space="preserve">13. Adekoya, B., </w:t>
      </w:r>
      <w:proofErr w:type="spellStart"/>
      <w:r w:rsidRPr="00AC3AD0">
        <w:rPr>
          <w:rFonts w:ascii="Arial" w:hAnsi="Arial" w:cs="Arial"/>
          <w:sz w:val="22"/>
          <w:szCs w:val="22"/>
        </w:rPr>
        <w:t>Owoeye</w:t>
      </w:r>
      <w:proofErr w:type="spellEnd"/>
      <w:r w:rsidRPr="00AC3AD0">
        <w:rPr>
          <w:rFonts w:ascii="Arial" w:hAnsi="Arial" w:cs="Arial"/>
          <w:sz w:val="22"/>
          <w:szCs w:val="22"/>
        </w:rPr>
        <w:t xml:space="preserve">, J.F., </w:t>
      </w:r>
      <w:proofErr w:type="spellStart"/>
      <w:r w:rsidRPr="00AC3AD0">
        <w:rPr>
          <w:rFonts w:ascii="Arial" w:hAnsi="Arial" w:cs="Arial"/>
          <w:sz w:val="22"/>
          <w:szCs w:val="22"/>
        </w:rPr>
        <w:t>Adepoju</w:t>
      </w:r>
      <w:proofErr w:type="spellEnd"/>
      <w:r w:rsidRPr="00AC3AD0">
        <w:rPr>
          <w:rFonts w:ascii="Arial" w:hAnsi="Arial" w:cs="Arial"/>
          <w:sz w:val="22"/>
          <w:szCs w:val="22"/>
        </w:rPr>
        <w:t xml:space="preserve">, F., </w:t>
      </w:r>
      <w:proofErr w:type="spellStart"/>
      <w:r w:rsidRPr="00AC3AD0">
        <w:rPr>
          <w:rFonts w:ascii="Arial" w:hAnsi="Arial" w:cs="Arial"/>
          <w:sz w:val="22"/>
          <w:szCs w:val="22"/>
        </w:rPr>
        <w:t>Ajaiyeoba</w:t>
      </w:r>
      <w:proofErr w:type="spellEnd"/>
      <w:r w:rsidRPr="00AC3AD0">
        <w:rPr>
          <w:rFonts w:ascii="Arial" w:hAnsi="Arial" w:cs="Arial"/>
          <w:sz w:val="22"/>
          <w:szCs w:val="22"/>
        </w:rPr>
        <w:t xml:space="preserve">, </w:t>
      </w:r>
      <w:proofErr w:type="gramStart"/>
      <w:r w:rsidRPr="00AC3AD0">
        <w:rPr>
          <w:rFonts w:ascii="Arial" w:hAnsi="Arial" w:cs="Arial"/>
          <w:sz w:val="22"/>
          <w:szCs w:val="22"/>
        </w:rPr>
        <w:t>A.(</w:t>
      </w:r>
      <w:proofErr w:type="gramEnd"/>
      <w:r w:rsidRPr="00AC3AD0">
        <w:rPr>
          <w:rFonts w:ascii="Arial" w:hAnsi="Arial" w:cs="Arial"/>
          <w:sz w:val="22"/>
          <w:szCs w:val="22"/>
        </w:rPr>
        <w:t xml:space="preserve">2009). Visual function survey of commercial intercity vehicle drivers in Ilorin, Nigeria. Can J </w:t>
      </w:r>
      <w:proofErr w:type="spellStart"/>
      <w:r w:rsidRPr="00AC3AD0">
        <w:rPr>
          <w:rFonts w:ascii="Arial" w:hAnsi="Arial" w:cs="Arial"/>
          <w:sz w:val="22"/>
          <w:szCs w:val="22"/>
        </w:rPr>
        <w:t>Ophthalmol</w:t>
      </w:r>
      <w:proofErr w:type="spellEnd"/>
      <w:r w:rsidRPr="00AC3AD0">
        <w:rPr>
          <w:rFonts w:ascii="Arial" w:hAnsi="Arial" w:cs="Arial"/>
          <w:sz w:val="22"/>
          <w:szCs w:val="22"/>
        </w:rPr>
        <w:t xml:space="preserve">, 44(3):261-4. </w:t>
      </w:r>
    </w:p>
    <w:p w14:paraId="4D547FBD"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14. Federal Republic of Nigeria Official Gazette. National Road Traffic Regulations (2005). The Federal Government Press, Lagos Nigeria. </w:t>
      </w:r>
    </w:p>
    <w:p w14:paraId="3DB546F5" w14:textId="77777777" w:rsidR="00F707D9" w:rsidRDefault="00F707D9" w:rsidP="00F707D9">
      <w:pPr>
        <w:rPr>
          <w:rFonts w:ascii="Arial" w:hAnsi="Arial" w:cs="Arial"/>
          <w:sz w:val="22"/>
          <w:szCs w:val="22"/>
        </w:rPr>
      </w:pPr>
      <w:r w:rsidRPr="00AC3AD0">
        <w:rPr>
          <w:rFonts w:ascii="Arial" w:hAnsi="Arial" w:cs="Arial"/>
          <w:sz w:val="22"/>
          <w:szCs w:val="22"/>
        </w:rPr>
        <w:t>1</w:t>
      </w:r>
      <w:r>
        <w:rPr>
          <w:rFonts w:ascii="Arial" w:hAnsi="Arial" w:cs="Arial"/>
          <w:sz w:val="22"/>
          <w:szCs w:val="22"/>
        </w:rPr>
        <w:t>5</w:t>
      </w:r>
      <w:r w:rsidRPr="00AC3AD0">
        <w:rPr>
          <w:rFonts w:ascii="Arial" w:hAnsi="Arial" w:cs="Arial"/>
          <w:sz w:val="22"/>
          <w:szCs w:val="22"/>
        </w:rPr>
        <w:t xml:space="preserve">. </w:t>
      </w:r>
      <w:proofErr w:type="spellStart"/>
      <w:r w:rsidRPr="00AC3AD0">
        <w:rPr>
          <w:rFonts w:ascii="Arial" w:hAnsi="Arial" w:cs="Arial"/>
          <w:sz w:val="22"/>
          <w:szCs w:val="22"/>
        </w:rPr>
        <w:t>Charan</w:t>
      </w:r>
      <w:proofErr w:type="spellEnd"/>
      <w:r w:rsidRPr="00AC3AD0">
        <w:rPr>
          <w:rFonts w:ascii="Arial" w:hAnsi="Arial" w:cs="Arial"/>
          <w:sz w:val="22"/>
          <w:szCs w:val="22"/>
        </w:rPr>
        <w:t xml:space="preserve">, J., Biswas, T. (2013). How to Calculate Sample Size for Different Study Designs in Medical Research. Indian J Psychol Med, 13:121–126. </w:t>
      </w:r>
      <w:hyperlink r:id="rId14" w:history="1">
        <w:r w:rsidRPr="00AC3AD0">
          <w:rPr>
            <w:rStyle w:val="Hyperlink"/>
            <w:rFonts w:ascii="Arial" w:hAnsi="Arial" w:cs="Arial"/>
            <w:color w:val="auto"/>
            <w:sz w:val="22"/>
            <w:szCs w:val="22"/>
          </w:rPr>
          <w:t>DOI:</w:t>
        </w:r>
        <w:r w:rsidRPr="00AC3AD0">
          <w:rPr>
            <w:rStyle w:val="Hyperlink"/>
            <w:rFonts w:ascii="Arial" w:hAnsi="Arial" w:cs="Arial"/>
            <w:b/>
            <w:bCs/>
            <w:color w:val="auto"/>
            <w:sz w:val="22"/>
            <w:szCs w:val="22"/>
            <w:lang w:val="en-GB"/>
          </w:rPr>
          <w:t xml:space="preserve"> </w:t>
        </w:r>
        <w:r w:rsidRPr="00AC3AD0">
          <w:rPr>
            <w:rStyle w:val="Hyperlink"/>
            <w:rFonts w:ascii="Arial" w:hAnsi="Arial" w:cs="Arial"/>
            <w:color w:val="auto"/>
            <w:sz w:val="22"/>
            <w:szCs w:val="22"/>
          </w:rPr>
          <w:t>10.4103/0253-7176.116232</w:t>
        </w:r>
      </w:hyperlink>
      <w:r w:rsidRPr="00AC3AD0">
        <w:rPr>
          <w:rFonts w:ascii="Arial" w:hAnsi="Arial" w:cs="Arial"/>
          <w:sz w:val="22"/>
          <w:szCs w:val="22"/>
        </w:rPr>
        <w:t>.</w:t>
      </w:r>
    </w:p>
    <w:p w14:paraId="3FCFBBFB" w14:textId="77777777" w:rsidR="003F61C6" w:rsidRDefault="003F61C6" w:rsidP="00F707D9">
      <w:pPr>
        <w:rPr>
          <w:rFonts w:ascii="Arial" w:hAnsi="Arial" w:cs="Arial"/>
          <w:sz w:val="22"/>
          <w:szCs w:val="22"/>
        </w:rPr>
      </w:pPr>
    </w:p>
    <w:p w14:paraId="75FF284E" w14:textId="0F5C0031" w:rsidR="003F61C6" w:rsidRDefault="006B665E" w:rsidP="00F707D9">
      <w:pPr>
        <w:rPr>
          <w:rFonts w:ascii="Arial" w:hAnsi="Arial" w:cs="Arial"/>
          <w:color w:val="000000" w:themeColor="text1"/>
          <w:sz w:val="22"/>
          <w:szCs w:val="22"/>
        </w:rPr>
      </w:pPr>
      <w:r>
        <w:rPr>
          <w:rFonts w:ascii="Arial" w:hAnsi="Arial" w:cs="Arial"/>
          <w:color w:val="000000" w:themeColor="text1"/>
          <w:sz w:val="22"/>
          <w:szCs w:val="22"/>
        </w:rPr>
        <w:t xml:space="preserve">16. </w:t>
      </w:r>
      <w:proofErr w:type="spellStart"/>
      <w:r w:rsidRPr="006B665E">
        <w:rPr>
          <w:rFonts w:ascii="Arial" w:hAnsi="Arial" w:cs="Arial"/>
          <w:color w:val="000000" w:themeColor="text1"/>
          <w:sz w:val="22"/>
          <w:szCs w:val="22"/>
        </w:rPr>
        <w:t>Ojabo</w:t>
      </w:r>
      <w:proofErr w:type="spellEnd"/>
      <w:r w:rsidRPr="006B665E">
        <w:rPr>
          <w:rFonts w:ascii="Arial" w:hAnsi="Arial" w:cs="Arial"/>
          <w:color w:val="000000" w:themeColor="text1"/>
          <w:sz w:val="22"/>
          <w:szCs w:val="22"/>
        </w:rPr>
        <w:t xml:space="preserve">, C.O., Adeniyi, O.S., </w:t>
      </w:r>
      <w:proofErr w:type="spellStart"/>
      <w:r w:rsidRPr="006B665E">
        <w:rPr>
          <w:rFonts w:ascii="Arial" w:hAnsi="Arial" w:cs="Arial"/>
          <w:color w:val="000000" w:themeColor="text1"/>
          <w:sz w:val="22"/>
          <w:szCs w:val="22"/>
        </w:rPr>
        <w:t>Ojo</w:t>
      </w:r>
      <w:proofErr w:type="spellEnd"/>
      <w:r w:rsidRPr="006B665E">
        <w:rPr>
          <w:rFonts w:ascii="Arial" w:hAnsi="Arial" w:cs="Arial"/>
          <w:color w:val="000000" w:themeColor="text1"/>
          <w:sz w:val="22"/>
          <w:szCs w:val="22"/>
        </w:rPr>
        <w:t>, B.A. (20202). An Assessment of Visual Acuity of Commercial Vehicle Drivers in Makurdi, Benue State, North-Central Nigeria, 39(18): 61-67.</w:t>
      </w:r>
    </w:p>
    <w:p w14:paraId="3C123BF4" w14:textId="77777777" w:rsidR="00272D6C" w:rsidRDefault="00272D6C" w:rsidP="00F707D9">
      <w:pPr>
        <w:rPr>
          <w:rFonts w:ascii="Arial" w:hAnsi="Arial" w:cs="Arial"/>
          <w:color w:val="000000" w:themeColor="text1"/>
          <w:sz w:val="22"/>
          <w:szCs w:val="22"/>
        </w:rPr>
      </w:pPr>
    </w:p>
    <w:p w14:paraId="775D6D77" w14:textId="111478E4" w:rsidR="00272D6C" w:rsidRDefault="00272D6C" w:rsidP="00F707D9">
      <w:pPr>
        <w:rPr>
          <w:rFonts w:ascii="Arial" w:hAnsi="Arial" w:cs="Arial"/>
          <w:sz w:val="22"/>
          <w:szCs w:val="22"/>
        </w:rPr>
      </w:pPr>
      <w:r w:rsidRPr="00272D6C">
        <w:rPr>
          <w:rFonts w:ascii="Arial" w:hAnsi="Arial" w:cs="Arial"/>
          <w:sz w:val="22"/>
          <w:szCs w:val="22"/>
        </w:rPr>
        <w:t>1</w:t>
      </w:r>
      <w:r w:rsidR="00DB08EB">
        <w:rPr>
          <w:rFonts w:ascii="Arial" w:hAnsi="Arial" w:cs="Arial"/>
          <w:sz w:val="22"/>
          <w:szCs w:val="22"/>
        </w:rPr>
        <w:t>7</w:t>
      </w:r>
      <w:r w:rsidRPr="00272D6C">
        <w:rPr>
          <w:rFonts w:ascii="Arial" w:hAnsi="Arial" w:cs="Arial"/>
          <w:sz w:val="22"/>
          <w:szCs w:val="22"/>
        </w:rPr>
        <w:t xml:space="preserve">. </w:t>
      </w:r>
      <w:proofErr w:type="spellStart"/>
      <w:r w:rsidR="006E3CCD" w:rsidRPr="006E3CCD">
        <w:rPr>
          <w:rFonts w:ascii="Arial" w:hAnsi="Arial" w:cs="Arial"/>
          <w:sz w:val="22"/>
          <w:szCs w:val="22"/>
        </w:rPr>
        <w:t>Piyasena</w:t>
      </w:r>
      <w:proofErr w:type="spellEnd"/>
      <w:r w:rsidR="006E3CCD">
        <w:rPr>
          <w:rFonts w:ascii="Arial" w:hAnsi="Arial" w:cs="Arial"/>
          <w:sz w:val="22"/>
          <w:szCs w:val="22"/>
        </w:rPr>
        <w:t>,</w:t>
      </w:r>
      <w:r w:rsidR="006E3CCD" w:rsidRPr="006E3CCD">
        <w:rPr>
          <w:rFonts w:ascii="Arial" w:hAnsi="Arial" w:cs="Arial"/>
          <w:sz w:val="22"/>
          <w:szCs w:val="22"/>
        </w:rPr>
        <w:t xml:space="preserve"> P</w:t>
      </w:r>
      <w:r w:rsidR="006E3CCD">
        <w:rPr>
          <w:rFonts w:ascii="Arial" w:hAnsi="Arial" w:cs="Arial"/>
          <w:sz w:val="22"/>
          <w:szCs w:val="22"/>
        </w:rPr>
        <w:t>.</w:t>
      </w:r>
      <w:r w:rsidR="006E3CCD" w:rsidRPr="006E3CCD">
        <w:rPr>
          <w:rFonts w:ascii="Arial" w:hAnsi="Arial" w:cs="Arial"/>
          <w:sz w:val="22"/>
          <w:szCs w:val="22"/>
        </w:rPr>
        <w:t>, Olvera-Herrera</w:t>
      </w:r>
      <w:r w:rsidR="006E3CCD">
        <w:rPr>
          <w:rFonts w:ascii="Arial" w:hAnsi="Arial" w:cs="Arial"/>
          <w:sz w:val="22"/>
          <w:szCs w:val="22"/>
        </w:rPr>
        <w:t>,</w:t>
      </w:r>
      <w:r w:rsidR="006E3CCD" w:rsidRPr="006E3CCD">
        <w:rPr>
          <w:rFonts w:ascii="Arial" w:hAnsi="Arial" w:cs="Arial"/>
          <w:sz w:val="22"/>
          <w:szCs w:val="22"/>
        </w:rPr>
        <w:t xml:space="preserve"> V</w:t>
      </w:r>
      <w:r w:rsidR="003D401E">
        <w:rPr>
          <w:rFonts w:ascii="Arial" w:hAnsi="Arial" w:cs="Arial"/>
          <w:sz w:val="22"/>
          <w:szCs w:val="22"/>
        </w:rPr>
        <w:t>.</w:t>
      </w:r>
      <w:r w:rsidR="006E3CCD" w:rsidRPr="006E3CCD">
        <w:rPr>
          <w:rFonts w:ascii="Arial" w:hAnsi="Arial" w:cs="Arial"/>
          <w:sz w:val="22"/>
          <w:szCs w:val="22"/>
        </w:rPr>
        <w:t>O</w:t>
      </w:r>
      <w:r w:rsidR="003D401E">
        <w:rPr>
          <w:rFonts w:ascii="Arial" w:hAnsi="Arial" w:cs="Arial"/>
          <w:sz w:val="22"/>
          <w:szCs w:val="22"/>
        </w:rPr>
        <w:t>.</w:t>
      </w:r>
      <w:r w:rsidR="006E3CCD" w:rsidRPr="006E3CCD">
        <w:rPr>
          <w:rFonts w:ascii="Arial" w:hAnsi="Arial" w:cs="Arial"/>
          <w:sz w:val="22"/>
          <w:szCs w:val="22"/>
        </w:rPr>
        <w:t>, Chan</w:t>
      </w:r>
      <w:r w:rsidR="003D401E">
        <w:rPr>
          <w:rFonts w:ascii="Arial" w:hAnsi="Arial" w:cs="Arial"/>
          <w:sz w:val="22"/>
          <w:szCs w:val="22"/>
        </w:rPr>
        <w:t>,</w:t>
      </w:r>
      <w:r w:rsidR="006E3CCD" w:rsidRPr="006E3CCD">
        <w:rPr>
          <w:rFonts w:ascii="Arial" w:hAnsi="Arial" w:cs="Arial"/>
          <w:sz w:val="22"/>
          <w:szCs w:val="22"/>
        </w:rPr>
        <w:t xml:space="preserve"> V</w:t>
      </w:r>
      <w:r w:rsidR="003D401E">
        <w:rPr>
          <w:rFonts w:ascii="Arial" w:hAnsi="Arial" w:cs="Arial"/>
          <w:sz w:val="22"/>
          <w:szCs w:val="22"/>
        </w:rPr>
        <w:t>.</w:t>
      </w:r>
      <w:r w:rsidR="006E3CCD" w:rsidRPr="006E3CCD">
        <w:rPr>
          <w:rFonts w:ascii="Arial" w:hAnsi="Arial" w:cs="Arial"/>
          <w:sz w:val="22"/>
          <w:szCs w:val="22"/>
        </w:rPr>
        <w:t>F</w:t>
      </w:r>
      <w:r w:rsidR="003D401E">
        <w:rPr>
          <w:rFonts w:ascii="Arial" w:hAnsi="Arial" w:cs="Arial"/>
          <w:sz w:val="22"/>
          <w:szCs w:val="22"/>
        </w:rPr>
        <w:t>.</w:t>
      </w:r>
      <w:r w:rsidR="006E3CCD" w:rsidRPr="006E3CCD">
        <w:rPr>
          <w:rFonts w:ascii="Arial" w:hAnsi="Arial" w:cs="Arial"/>
          <w:sz w:val="22"/>
          <w:szCs w:val="22"/>
        </w:rPr>
        <w:t>, Clarke</w:t>
      </w:r>
      <w:r w:rsidR="003D401E">
        <w:rPr>
          <w:rFonts w:ascii="Arial" w:hAnsi="Arial" w:cs="Arial"/>
          <w:sz w:val="22"/>
          <w:szCs w:val="22"/>
        </w:rPr>
        <w:t>,</w:t>
      </w:r>
      <w:r w:rsidR="006E3CCD" w:rsidRPr="006E3CCD">
        <w:rPr>
          <w:rFonts w:ascii="Arial" w:hAnsi="Arial" w:cs="Arial"/>
          <w:sz w:val="22"/>
          <w:szCs w:val="22"/>
        </w:rPr>
        <w:t xml:space="preserve"> M</w:t>
      </w:r>
      <w:r w:rsidR="003D401E">
        <w:rPr>
          <w:rFonts w:ascii="Arial" w:hAnsi="Arial" w:cs="Arial"/>
          <w:sz w:val="22"/>
          <w:szCs w:val="22"/>
        </w:rPr>
        <w:t>.</w:t>
      </w:r>
      <w:r w:rsidR="006E3CCD" w:rsidRPr="006E3CCD">
        <w:rPr>
          <w:rFonts w:ascii="Arial" w:hAnsi="Arial" w:cs="Arial"/>
          <w:sz w:val="22"/>
          <w:szCs w:val="22"/>
        </w:rPr>
        <w:t>, Wright</w:t>
      </w:r>
      <w:r w:rsidR="003D401E">
        <w:rPr>
          <w:rFonts w:ascii="Arial" w:hAnsi="Arial" w:cs="Arial"/>
          <w:sz w:val="22"/>
          <w:szCs w:val="22"/>
        </w:rPr>
        <w:t>,</w:t>
      </w:r>
      <w:r w:rsidR="006E3CCD" w:rsidRPr="006E3CCD">
        <w:rPr>
          <w:rFonts w:ascii="Arial" w:hAnsi="Arial" w:cs="Arial"/>
          <w:sz w:val="22"/>
          <w:szCs w:val="22"/>
        </w:rPr>
        <w:t xml:space="preserve"> D</w:t>
      </w:r>
      <w:r w:rsidR="003D401E">
        <w:rPr>
          <w:rFonts w:ascii="Arial" w:hAnsi="Arial" w:cs="Arial"/>
          <w:sz w:val="22"/>
          <w:szCs w:val="22"/>
        </w:rPr>
        <w:t>.</w:t>
      </w:r>
      <w:r w:rsidR="006E3CCD" w:rsidRPr="006E3CCD">
        <w:rPr>
          <w:rFonts w:ascii="Arial" w:hAnsi="Arial" w:cs="Arial"/>
          <w:sz w:val="22"/>
          <w:szCs w:val="22"/>
        </w:rPr>
        <w:t>M</w:t>
      </w:r>
      <w:r w:rsidR="003D401E">
        <w:rPr>
          <w:rFonts w:ascii="Arial" w:hAnsi="Arial" w:cs="Arial"/>
          <w:sz w:val="22"/>
          <w:szCs w:val="22"/>
        </w:rPr>
        <w:t>.</w:t>
      </w:r>
      <w:r w:rsidR="006E3CCD" w:rsidRPr="006E3CCD">
        <w:rPr>
          <w:rFonts w:ascii="Arial" w:hAnsi="Arial" w:cs="Arial"/>
          <w:sz w:val="22"/>
          <w:szCs w:val="22"/>
        </w:rPr>
        <w:t xml:space="preserve">, </w:t>
      </w:r>
      <w:proofErr w:type="spellStart"/>
      <w:r w:rsidR="006E3CCD" w:rsidRPr="006E3CCD">
        <w:rPr>
          <w:rFonts w:ascii="Arial" w:hAnsi="Arial" w:cs="Arial"/>
          <w:sz w:val="22"/>
          <w:szCs w:val="22"/>
        </w:rPr>
        <w:t>MacKenzie</w:t>
      </w:r>
      <w:proofErr w:type="spellEnd"/>
      <w:r w:rsidR="003D401E">
        <w:rPr>
          <w:rFonts w:ascii="Arial" w:hAnsi="Arial" w:cs="Arial"/>
          <w:sz w:val="22"/>
          <w:szCs w:val="22"/>
        </w:rPr>
        <w:t>,</w:t>
      </w:r>
      <w:r w:rsidR="006E3CCD" w:rsidRPr="006E3CCD">
        <w:rPr>
          <w:rFonts w:ascii="Arial" w:hAnsi="Arial" w:cs="Arial"/>
          <w:sz w:val="22"/>
          <w:szCs w:val="22"/>
        </w:rPr>
        <w:t xml:space="preserve"> G</w:t>
      </w:r>
      <w:r w:rsidR="00C61B75">
        <w:rPr>
          <w:rFonts w:ascii="Arial" w:hAnsi="Arial" w:cs="Arial"/>
          <w:sz w:val="22"/>
          <w:szCs w:val="22"/>
        </w:rPr>
        <w:t>.et al.</w:t>
      </w:r>
      <w:r w:rsidR="006E3CCD" w:rsidRPr="006E3CCD">
        <w:rPr>
          <w:rFonts w:ascii="Arial" w:hAnsi="Arial" w:cs="Arial"/>
          <w:sz w:val="22"/>
          <w:szCs w:val="22"/>
        </w:rPr>
        <w:t xml:space="preserve"> </w:t>
      </w:r>
      <w:r w:rsidR="00C61B75">
        <w:rPr>
          <w:rFonts w:ascii="Arial" w:hAnsi="Arial" w:cs="Arial"/>
          <w:sz w:val="22"/>
          <w:szCs w:val="22"/>
        </w:rPr>
        <w:t>(2021)</w:t>
      </w:r>
      <w:r w:rsidR="006E3CCD" w:rsidRPr="006E3CCD">
        <w:rPr>
          <w:rFonts w:ascii="Arial" w:hAnsi="Arial" w:cs="Arial"/>
          <w:sz w:val="22"/>
          <w:szCs w:val="22"/>
        </w:rPr>
        <w:t>. Vision impairment and traffic safety outcomes in low-income and middle-income countries: a systematic review and meta-analysis. Lancet Glob Health. 9(10</w:t>
      </w:r>
      <w:proofErr w:type="gramStart"/>
      <w:r w:rsidR="006E3CCD" w:rsidRPr="006E3CCD">
        <w:rPr>
          <w:rFonts w:ascii="Arial" w:hAnsi="Arial" w:cs="Arial"/>
          <w:sz w:val="22"/>
          <w:szCs w:val="22"/>
        </w:rPr>
        <w:t>):e</w:t>
      </w:r>
      <w:proofErr w:type="gramEnd"/>
      <w:r w:rsidR="006E3CCD" w:rsidRPr="006E3CCD">
        <w:rPr>
          <w:rFonts w:ascii="Arial" w:hAnsi="Arial" w:cs="Arial"/>
          <w:sz w:val="22"/>
          <w:szCs w:val="22"/>
        </w:rPr>
        <w:t xml:space="preserve">1411-e1422. </w:t>
      </w:r>
      <w:proofErr w:type="spellStart"/>
      <w:r w:rsidR="006E3CCD" w:rsidRPr="006E3CCD">
        <w:rPr>
          <w:rFonts w:ascii="Arial" w:hAnsi="Arial" w:cs="Arial"/>
          <w:sz w:val="22"/>
          <w:szCs w:val="22"/>
        </w:rPr>
        <w:t>doi</w:t>
      </w:r>
      <w:proofErr w:type="spellEnd"/>
      <w:r w:rsidR="006E3CCD" w:rsidRPr="006E3CCD">
        <w:rPr>
          <w:rFonts w:ascii="Arial" w:hAnsi="Arial" w:cs="Arial"/>
          <w:sz w:val="22"/>
          <w:szCs w:val="22"/>
        </w:rPr>
        <w:t>: 10.1016/S2214-109</w:t>
      </w:r>
      <w:proofErr w:type="gramStart"/>
      <w:r w:rsidR="006E3CCD" w:rsidRPr="006E3CCD">
        <w:rPr>
          <w:rFonts w:ascii="Arial" w:hAnsi="Arial" w:cs="Arial"/>
          <w:sz w:val="22"/>
          <w:szCs w:val="22"/>
        </w:rPr>
        <w:t>X(</w:t>
      </w:r>
      <w:proofErr w:type="gramEnd"/>
      <w:r w:rsidR="006E3CCD" w:rsidRPr="006E3CCD">
        <w:rPr>
          <w:rFonts w:ascii="Arial" w:hAnsi="Arial" w:cs="Arial"/>
          <w:sz w:val="22"/>
          <w:szCs w:val="22"/>
        </w:rPr>
        <w:t>21)00303-X.. PMID: 34411516.</w:t>
      </w:r>
    </w:p>
    <w:p w14:paraId="79A44B5B" w14:textId="77777777" w:rsidR="00437CAF" w:rsidRDefault="00437CAF" w:rsidP="00F707D9">
      <w:pPr>
        <w:rPr>
          <w:rFonts w:ascii="Arial" w:hAnsi="Arial" w:cs="Arial"/>
          <w:sz w:val="22"/>
          <w:szCs w:val="22"/>
        </w:rPr>
      </w:pPr>
    </w:p>
    <w:p w14:paraId="71966471" w14:textId="0BA48F32" w:rsidR="00EC5530" w:rsidRDefault="00EC5530" w:rsidP="00F707D9">
      <w:pPr>
        <w:rPr>
          <w:rFonts w:ascii="Arial" w:hAnsi="Arial" w:cs="Arial"/>
          <w:sz w:val="22"/>
          <w:szCs w:val="22"/>
        </w:rPr>
      </w:pPr>
      <w:r w:rsidRPr="00813A1C">
        <w:rPr>
          <w:rFonts w:ascii="Arial" w:hAnsi="Arial" w:cs="Arial"/>
          <w:sz w:val="22"/>
          <w:szCs w:val="22"/>
        </w:rPr>
        <w:t xml:space="preserve">18.Owsley, C., </w:t>
      </w:r>
      <w:proofErr w:type="spellStart"/>
      <w:r w:rsidRPr="00813A1C">
        <w:rPr>
          <w:rFonts w:ascii="Arial" w:hAnsi="Arial" w:cs="Arial"/>
          <w:sz w:val="22"/>
          <w:szCs w:val="22"/>
        </w:rPr>
        <w:t>McGwin</w:t>
      </w:r>
      <w:proofErr w:type="spellEnd"/>
      <w:r w:rsidRPr="00813A1C">
        <w:rPr>
          <w:rFonts w:ascii="Arial" w:hAnsi="Arial" w:cs="Arial"/>
          <w:sz w:val="22"/>
          <w:szCs w:val="22"/>
        </w:rPr>
        <w:t xml:space="preserve">, </w:t>
      </w:r>
      <w:proofErr w:type="gramStart"/>
      <w:r w:rsidRPr="00813A1C">
        <w:rPr>
          <w:rFonts w:ascii="Arial" w:hAnsi="Arial" w:cs="Arial"/>
          <w:sz w:val="22"/>
          <w:szCs w:val="22"/>
        </w:rPr>
        <w:t>G.</w:t>
      </w:r>
      <w:r w:rsidR="00813A1C" w:rsidRPr="00813A1C">
        <w:rPr>
          <w:rFonts w:ascii="Arial" w:hAnsi="Arial" w:cs="Arial"/>
          <w:sz w:val="22"/>
          <w:szCs w:val="22"/>
        </w:rPr>
        <w:t>(</w:t>
      </w:r>
      <w:proofErr w:type="gramEnd"/>
      <w:r w:rsidR="00813A1C" w:rsidRPr="00813A1C">
        <w:rPr>
          <w:rFonts w:ascii="Arial" w:hAnsi="Arial" w:cs="Arial"/>
          <w:sz w:val="22"/>
          <w:szCs w:val="22"/>
        </w:rPr>
        <w:t>2009)</w:t>
      </w:r>
      <w:r w:rsidRPr="00813A1C">
        <w:rPr>
          <w:rFonts w:ascii="Arial" w:hAnsi="Arial" w:cs="Arial"/>
          <w:sz w:val="22"/>
          <w:szCs w:val="22"/>
        </w:rPr>
        <w:t xml:space="preserve"> Vision impairment and driving. Survey of Ophthalmology</w:t>
      </w:r>
      <w:r w:rsidR="00813A1C" w:rsidRPr="00813A1C">
        <w:rPr>
          <w:rFonts w:ascii="Arial" w:hAnsi="Arial" w:cs="Arial"/>
          <w:sz w:val="22"/>
          <w:szCs w:val="22"/>
        </w:rPr>
        <w:t>,</w:t>
      </w:r>
      <w:r w:rsidRPr="00813A1C">
        <w:rPr>
          <w:rFonts w:ascii="Arial" w:hAnsi="Arial" w:cs="Arial"/>
          <w:sz w:val="22"/>
          <w:szCs w:val="22"/>
        </w:rPr>
        <w:t xml:space="preserve"> 43(6): 535–550.</w:t>
      </w:r>
    </w:p>
    <w:p w14:paraId="28852AFC" w14:textId="77777777" w:rsidR="00437CAF" w:rsidRDefault="00437CAF" w:rsidP="00F707D9">
      <w:pPr>
        <w:rPr>
          <w:rFonts w:ascii="Arial" w:hAnsi="Arial" w:cs="Arial"/>
          <w:sz w:val="22"/>
          <w:szCs w:val="22"/>
        </w:rPr>
      </w:pPr>
    </w:p>
    <w:p w14:paraId="7454620B" w14:textId="145B3BDE" w:rsidR="00437CAF" w:rsidRDefault="00437CAF" w:rsidP="00F707D9">
      <w:pPr>
        <w:rPr>
          <w:rFonts w:ascii="Arial" w:hAnsi="Arial" w:cs="Arial"/>
          <w:color w:val="000000" w:themeColor="text1"/>
          <w:sz w:val="22"/>
          <w:szCs w:val="22"/>
        </w:rPr>
      </w:pPr>
      <w:r w:rsidRPr="001221D7">
        <w:rPr>
          <w:rFonts w:ascii="Arial" w:hAnsi="Arial" w:cs="Arial"/>
          <w:color w:val="000000" w:themeColor="text1"/>
          <w:sz w:val="22"/>
          <w:szCs w:val="22"/>
        </w:rPr>
        <w:t>19</w:t>
      </w:r>
      <w:r>
        <w:rPr>
          <w:color w:val="000000" w:themeColor="text1"/>
          <w:sz w:val="24"/>
          <w:szCs w:val="24"/>
        </w:rPr>
        <w:t xml:space="preserve">. </w:t>
      </w:r>
      <w:r w:rsidRPr="002E0E45">
        <w:rPr>
          <w:rFonts w:ascii="Arial" w:hAnsi="Arial" w:cs="Arial"/>
          <w:color w:val="000000" w:themeColor="text1"/>
          <w:sz w:val="22"/>
          <w:szCs w:val="22"/>
        </w:rPr>
        <w:t>Kingsley</w:t>
      </w:r>
      <w:r w:rsidR="00D90169"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K</w:t>
      </w:r>
      <w:r w:rsidR="00D90169" w:rsidRPr="002E0E45">
        <w:rPr>
          <w:rFonts w:ascii="Arial" w:hAnsi="Arial" w:cs="Arial"/>
          <w:color w:val="000000" w:themeColor="text1"/>
          <w:sz w:val="22"/>
          <w:szCs w:val="22"/>
        </w:rPr>
        <w:t>.</w:t>
      </w:r>
      <w:proofErr w:type="gramStart"/>
      <w:r w:rsidR="00D90169"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w:t>
      </w:r>
      <w:proofErr w:type="spellStart"/>
      <w:r w:rsidRPr="002E0E45">
        <w:rPr>
          <w:rFonts w:ascii="Arial" w:hAnsi="Arial" w:cs="Arial"/>
          <w:color w:val="000000" w:themeColor="text1"/>
          <w:sz w:val="22"/>
          <w:szCs w:val="22"/>
        </w:rPr>
        <w:t>Prashan</w:t>
      </w:r>
      <w:proofErr w:type="spellEnd"/>
      <w:proofErr w:type="gramEnd"/>
      <w:r w:rsidR="008749D0"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S</w:t>
      </w:r>
      <w:r w:rsidR="008749D0"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w:t>
      </w:r>
      <w:proofErr w:type="spellStart"/>
      <w:r w:rsidRPr="002E0E45">
        <w:rPr>
          <w:rFonts w:ascii="Arial" w:hAnsi="Arial" w:cs="Arial"/>
          <w:color w:val="000000" w:themeColor="text1"/>
          <w:sz w:val="22"/>
          <w:szCs w:val="22"/>
        </w:rPr>
        <w:t>Ngozika</w:t>
      </w:r>
      <w:proofErr w:type="spellEnd"/>
      <w:r w:rsidR="008749D0"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E</w:t>
      </w:r>
      <w:r w:rsidR="008749D0" w:rsidRPr="002E0E45">
        <w:rPr>
          <w:rFonts w:ascii="Arial" w:hAnsi="Arial" w:cs="Arial"/>
          <w:color w:val="000000" w:themeColor="text1"/>
          <w:sz w:val="22"/>
          <w:szCs w:val="22"/>
        </w:rPr>
        <w:t>.</w:t>
      </w:r>
      <w:r w:rsidRPr="002E0E45">
        <w:rPr>
          <w:rFonts w:ascii="Arial" w:hAnsi="Arial" w:cs="Arial"/>
          <w:color w:val="000000" w:themeColor="text1"/>
          <w:sz w:val="22"/>
          <w:szCs w:val="22"/>
        </w:rPr>
        <w:t>E</w:t>
      </w:r>
      <w:r w:rsidR="00011D34" w:rsidRPr="002E0E45">
        <w:rPr>
          <w:rFonts w:ascii="Arial" w:hAnsi="Arial" w:cs="Arial"/>
          <w:color w:val="000000" w:themeColor="text1"/>
          <w:sz w:val="22"/>
          <w:szCs w:val="22"/>
        </w:rPr>
        <w:t>.</w:t>
      </w:r>
      <w:r w:rsidRPr="002E0E45">
        <w:rPr>
          <w:rFonts w:ascii="Arial" w:hAnsi="Arial" w:cs="Arial"/>
          <w:color w:val="000000" w:themeColor="text1"/>
          <w:sz w:val="22"/>
          <w:szCs w:val="22"/>
        </w:rPr>
        <w:t>, Krista</w:t>
      </w:r>
      <w:r w:rsidR="00011D34"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S</w:t>
      </w:r>
      <w:r w:rsidR="00011D34" w:rsidRPr="002E0E45">
        <w:rPr>
          <w:rFonts w:ascii="Arial" w:hAnsi="Arial" w:cs="Arial"/>
          <w:color w:val="000000" w:themeColor="text1"/>
          <w:sz w:val="22"/>
          <w:szCs w:val="22"/>
        </w:rPr>
        <w:t xml:space="preserve">., </w:t>
      </w:r>
      <w:r w:rsidRPr="002E0E45">
        <w:rPr>
          <w:rFonts w:ascii="Arial" w:hAnsi="Arial" w:cs="Arial"/>
          <w:color w:val="000000" w:themeColor="text1"/>
          <w:sz w:val="22"/>
          <w:szCs w:val="22"/>
        </w:rPr>
        <w:t>Niall</w:t>
      </w:r>
      <w:r w:rsidR="00011D34"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F.</w:t>
      </w:r>
      <w:r w:rsidR="00011D34" w:rsidRPr="002E0E45">
        <w:rPr>
          <w:rFonts w:ascii="Arial" w:hAnsi="Arial" w:cs="Arial"/>
          <w:color w:val="000000" w:themeColor="text1"/>
          <w:sz w:val="22"/>
          <w:szCs w:val="22"/>
        </w:rPr>
        <w:t xml:space="preserve"> (2021).</w:t>
      </w:r>
      <w:r w:rsidRPr="002E0E45">
        <w:rPr>
          <w:rFonts w:ascii="Arial" w:hAnsi="Arial" w:cs="Arial"/>
          <w:color w:val="000000" w:themeColor="text1"/>
          <w:sz w:val="22"/>
          <w:szCs w:val="22"/>
        </w:rPr>
        <w:t xml:space="preserve"> A Pilot Study of Visual Function Parameters and Their Relationship to Road Traffic Accidents among Drivers in Trinidad and </w:t>
      </w:r>
      <w:proofErr w:type="spellStart"/>
      <w:r w:rsidRPr="002E0E45">
        <w:rPr>
          <w:rFonts w:ascii="Arial" w:hAnsi="Arial" w:cs="Arial"/>
          <w:color w:val="000000" w:themeColor="text1"/>
          <w:sz w:val="22"/>
          <w:szCs w:val="22"/>
        </w:rPr>
        <w:t>Tobago.Global</w:t>
      </w:r>
      <w:proofErr w:type="spellEnd"/>
      <w:r w:rsidRPr="002E0E45">
        <w:rPr>
          <w:rFonts w:ascii="Arial" w:hAnsi="Arial" w:cs="Arial"/>
          <w:color w:val="000000" w:themeColor="text1"/>
          <w:sz w:val="22"/>
          <w:szCs w:val="22"/>
        </w:rPr>
        <w:t xml:space="preserve"> Journal of Health Science. 2021</w:t>
      </w:r>
      <w:r w:rsidR="002E0E45">
        <w:rPr>
          <w:rFonts w:ascii="Arial" w:hAnsi="Arial" w:cs="Arial"/>
          <w:color w:val="000000" w:themeColor="text1"/>
          <w:sz w:val="22"/>
          <w:szCs w:val="22"/>
        </w:rPr>
        <w:t>,</w:t>
      </w:r>
      <w:r w:rsidRPr="002E0E45">
        <w:rPr>
          <w:rFonts w:ascii="Arial" w:hAnsi="Arial" w:cs="Arial"/>
          <w:color w:val="000000" w:themeColor="text1"/>
          <w:sz w:val="22"/>
          <w:szCs w:val="22"/>
        </w:rPr>
        <w:t>13 (9).</w:t>
      </w:r>
      <w:r w:rsidR="002E0E45" w:rsidRPr="002E0E45">
        <w:rPr>
          <w:rFonts w:ascii="Arial" w:hAnsi="Arial" w:cs="Arial"/>
          <w:color w:val="000000" w:themeColor="text1"/>
          <w:sz w:val="22"/>
          <w:szCs w:val="22"/>
        </w:rPr>
        <w:t xml:space="preserve"> doi:10.5539/</w:t>
      </w:r>
      <w:proofErr w:type="gramStart"/>
      <w:r w:rsidR="002E0E45" w:rsidRPr="002E0E45">
        <w:rPr>
          <w:rFonts w:ascii="Arial" w:hAnsi="Arial" w:cs="Arial"/>
          <w:color w:val="000000" w:themeColor="text1"/>
          <w:sz w:val="22"/>
          <w:szCs w:val="22"/>
        </w:rPr>
        <w:t>gjhs.v</w:t>
      </w:r>
      <w:proofErr w:type="gramEnd"/>
      <w:r w:rsidR="002E0E45" w:rsidRPr="002E0E45">
        <w:rPr>
          <w:rFonts w:ascii="Arial" w:hAnsi="Arial" w:cs="Arial"/>
          <w:color w:val="000000" w:themeColor="text1"/>
          <w:sz w:val="22"/>
          <w:szCs w:val="22"/>
        </w:rPr>
        <w:t>13n9p24.</w:t>
      </w:r>
    </w:p>
    <w:p w14:paraId="23828930" w14:textId="77777777" w:rsidR="00766EC1" w:rsidRDefault="00766EC1" w:rsidP="00F707D9">
      <w:pPr>
        <w:rPr>
          <w:rFonts w:ascii="Arial" w:hAnsi="Arial" w:cs="Arial"/>
          <w:color w:val="000000" w:themeColor="text1"/>
          <w:sz w:val="22"/>
          <w:szCs w:val="22"/>
        </w:rPr>
      </w:pPr>
    </w:p>
    <w:p w14:paraId="1F8F948D" w14:textId="5E7ED091" w:rsidR="001221D7" w:rsidRDefault="001221D7" w:rsidP="00F707D9">
      <w:pPr>
        <w:rPr>
          <w:rFonts w:ascii="Arial" w:hAnsi="Arial" w:cs="Arial"/>
          <w:color w:val="000000" w:themeColor="text1"/>
          <w:sz w:val="22"/>
          <w:szCs w:val="22"/>
          <w:shd w:val="clear" w:color="auto" w:fill="FFFFFF"/>
        </w:rPr>
      </w:pPr>
      <w:r w:rsidRPr="00766EC1">
        <w:rPr>
          <w:rFonts w:ascii="Arial" w:hAnsi="Arial" w:cs="Arial"/>
          <w:color w:val="000000" w:themeColor="text1"/>
          <w:sz w:val="22"/>
          <w:szCs w:val="22"/>
          <w:shd w:val="clear" w:color="auto" w:fill="FFFFFF"/>
        </w:rPr>
        <w:t>20. Cole, B.L.</w:t>
      </w:r>
      <w:r w:rsidR="000F484D" w:rsidRPr="00766EC1">
        <w:rPr>
          <w:rFonts w:ascii="Arial" w:hAnsi="Arial" w:cs="Arial"/>
          <w:color w:val="000000" w:themeColor="text1"/>
          <w:sz w:val="22"/>
          <w:szCs w:val="22"/>
          <w:shd w:val="clear" w:color="auto" w:fill="FFFFFF"/>
        </w:rPr>
        <w:t xml:space="preserve"> (2002)</w:t>
      </w:r>
      <w:r w:rsidRPr="00766EC1">
        <w:rPr>
          <w:rFonts w:ascii="Arial" w:hAnsi="Arial" w:cs="Arial"/>
          <w:color w:val="000000" w:themeColor="text1"/>
          <w:sz w:val="22"/>
          <w:szCs w:val="22"/>
          <w:shd w:val="clear" w:color="auto" w:fill="FFFFFF"/>
        </w:rPr>
        <w:t xml:space="preserve"> </w:t>
      </w:r>
      <w:proofErr w:type="spellStart"/>
      <w:r w:rsidRPr="00766EC1">
        <w:rPr>
          <w:rFonts w:ascii="Arial" w:hAnsi="Arial" w:cs="Arial"/>
          <w:color w:val="000000" w:themeColor="text1"/>
          <w:sz w:val="22"/>
          <w:szCs w:val="22"/>
          <w:shd w:val="clear" w:color="auto" w:fill="FFFFFF"/>
        </w:rPr>
        <w:t>Protan</w:t>
      </w:r>
      <w:proofErr w:type="spellEnd"/>
      <w:r w:rsidRPr="00766EC1">
        <w:rPr>
          <w:rFonts w:ascii="Arial" w:hAnsi="Arial" w:cs="Arial"/>
          <w:color w:val="000000" w:themeColor="text1"/>
          <w:sz w:val="22"/>
          <w:szCs w:val="22"/>
          <w:shd w:val="clear" w:color="auto" w:fill="FFFFFF"/>
        </w:rPr>
        <w:t xml:space="preserve"> </w:t>
      </w:r>
      <w:proofErr w:type="spellStart"/>
      <w:r w:rsidRPr="00766EC1">
        <w:rPr>
          <w:rFonts w:ascii="Arial" w:hAnsi="Arial" w:cs="Arial"/>
          <w:color w:val="000000" w:themeColor="text1"/>
          <w:sz w:val="22"/>
          <w:szCs w:val="22"/>
          <w:shd w:val="clear" w:color="auto" w:fill="FFFFFF"/>
        </w:rPr>
        <w:t>colour</w:t>
      </w:r>
      <w:proofErr w:type="spellEnd"/>
      <w:r w:rsidRPr="00766EC1">
        <w:rPr>
          <w:rFonts w:ascii="Arial" w:hAnsi="Arial" w:cs="Arial"/>
          <w:color w:val="000000" w:themeColor="text1"/>
          <w:sz w:val="22"/>
          <w:szCs w:val="22"/>
          <w:shd w:val="clear" w:color="auto" w:fill="FFFFFF"/>
        </w:rPr>
        <w:t xml:space="preserve"> vision deficiency and road accidents. </w:t>
      </w:r>
      <w:r w:rsidRPr="00766EC1">
        <w:rPr>
          <w:rStyle w:val="ref-journal"/>
          <w:rFonts w:ascii="Arial" w:hAnsi="Arial" w:cs="Arial"/>
          <w:color w:val="000000" w:themeColor="text1"/>
          <w:sz w:val="22"/>
          <w:szCs w:val="22"/>
          <w:shd w:val="clear" w:color="auto" w:fill="FFFFFF"/>
        </w:rPr>
        <w:t xml:space="preserve">J Aust </w:t>
      </w:r>
      <w:proofErr w:type="spellStart"/>
      <w:r w:rsidRPr="00766EC1">
        <w:rPr>
          <w:rStyle w:val="ref-journal"/>
          <w:rFonts w:ascii="Arial" w:hAnsi="Arial" w:cs="Arial"/>
          <w:color w:val="000000" w:themeColor="text1"/>
          <w:sz w:val="22"/>
          <w:szCs w:val="22"/>
          <w:shd w:val="clear" w:color="auto" w:fill="FFFFFF"/>
        </w:rPr>
        <w:t>Optom</w:t>
      </w:r>
      <w:proofErr w:type="spellEnd"/>
      <w:r w:rsidRPr="00766EC1">
        <w:rPr>
          <w:rStyle w:val="ref-journal"/>
          <w:rFonts w:ascii="Arial" w:hAnsi="Arial" w:cs="Arial"/>
          <w:color w:val="000000" w:themeColor="text1"/>
          <w:sz w:val="22"/>
          <w:szCs w:val="22"/>
          <w:shd w:val="clear" w:color="auto" w:fill="FFFFFF"/>
        </w:rPr>
        <w:t xml:space="preserve"> Assoc</w:t>
      </w:r>
      <w:r w:rsidR="00766EC1" w:rsidRPr="00766EC1">
        <w:rPr>
          <w:rStyle w:val="ref-journal"/>
          <w:rFonts w:ascii="Arial" w:hAnsi="Arial" w:cs="Arial"/>
          <w:color w:val="000000" w:themeColor="text1"/>
          <w:sz w:val="22"/>
          <w:szCs w:val="22"/>
          <w:shd w:val="clear" w:color="auto" w:fill="FFFFFF"/>
        </w:rPr>
        <w:t>,</w:t>
      </w:r>
      <w:r w:rsidRPr="00766EC1">
        <w:rPr>
          <w:rStyle w:val="ref-vol"/>
          <w:rFonts w:ascii="Arial" w:hAnsi="Arial" w:cs="Arial"/>
          <w:color w:val="000000" w:themeColor="text1"/>
          <w:sz w:val="22"/>
          <w:szCs w:val="22"/>
          <w:shd w:val="clear" w:color="auto" w:fill="FFFFFF"/>
        </w:rPr>
        <w:t xml:space="preserve"> 85:246</w:t>
      </w:r>
      <w:r w:rsidRPr="00766EC1">
        <w:rPr>
          <w:rFonts w:ascii="Arial" w:hAnsi="Arial" w:cs="Arial"/>
          <w:color w:val="000000" w:themeColor="text1"/>
          <w:sz w:val="22"/>
          <w:szCs w:val="22"/>
          <w:shd w:val="clear" w:color="auto" w:fill="FFFFFF"/>
        </w:rPr>
        <w:t>–253. </w:t>
      </w:r>
    </w:p>
    <w:p w14:paraId="5F70EFFA" w14:textId="77777777" w:rsidR="00766EC1" w:rsidRDefault="00766EC1" w:rsidP="00F707D9">
      <w:pPr>
        <w:rPr>
          <w:rFonts w:ascii="Arial" w:hAnsi="Arial" w:cs="Arial"/>
          <w:color w:val="000000" w:themeColor="text1"/>
          <w:sz w:val="22"/>
          <w:szCs w:val="22"/>
          <w:shd w:val="clear" w:color="auto" w:fill="FFFFFF"/>
        </w:rPr>
      </w:pPr>
    </w:p>
    <w:p w14:paraId="17D8C022" w14:textId="2FF6F5DE" w:rsidR="00766EC1" w:rsidRDefault="00766EC1" w:rsidP="00F707D9">
      <w:pPr>
        <w:rPr>
          <w:rFonts w:ascii="Arial" w:hAnsi="Arial" w:cs="Arial"/>
          <w:color w:val="000000" w:themeColor="text1"/>
          <w:sz w:val="22"/>
          <w:szCs w:val="22"/>
          <w:lang w:eastAsia="en-GB"/>
        </w:rPr>
      </w:pPr>
      <w:r>
        <w:rPr>
          <w:rFonts w:ascii="Arial" w:hAnsi="Arial" w:cs="Arial"/>
          <w:color w:val="000000" w:themeColor="text1"/>
          <w:sz w:val="22"/>
          <w:szCs w:val="22"/>
          <w:shd w:val="clear" w:color="auto" w:fill="FFFFFF"/>
        </w:rPr>
        <w:t>21.</w:t>
      </w:r>
      <w:r w:rsidRPr="00766EC1">
        <w:rPr>
          <w:color w:val="000000" w:themeColor="text1"/>
          <w:sz w:val="24"/>
          <w:szCs w:val="24"/>
          <w:lang w:eastAsia="en-GB"/>
        </w:rPr>
        <w:t xml:space="preserve"> </w:t>
      </w:r>
      <w:r w:rsidRPr="00766EC1">
        <w:rPr>
          <w:rFonts w:ascii="Arial" w:hAnsi="Arial" w:cs="Arial"/>
          <w:color w:val="000000" w:themeColor="text1"/>
          <w:sz w:val="22"/>
          <w:szCs w:val="22"/>
          <w:lang w:eastAsia="en-GB"/>
        </w:rPr>
        <w:t>Nwosu, S.N. (1991). Visual impairment and road traffic accident in Nigeria professional drivers. </w:t>
      </w:r>
      <w:r w:rsidRPr="00766EC1">
        <w:rPr>
          <w:rFonts w:ascii="Arial" w:hAnsi="Arial" w:cs="Arial"/>
          <w:iCs/>
          <w:color w:val="000000" w:themeColor="text1"/>
          <w:sz w:val="22"/>
          <w:szCs w:val="22"/>
          <w:lang w:eastAsia="en-GB"/>
        </w:rPr>
        <w:t>Orient J Med,</w:t>
      </w:r>
      <w:r w:rsidRPr="00766EC1">
        <w:rPr>
          <w:rFonts w:ascii="Arial" w:hAnsi="Arial" w:cs="Arial"/>
          <w:color w:val="000000" w:themeColor="text1"/>
          <w:sz w:val="22"/>
          <w:szCs w:val="22"/>
          <w:lang w:eastAsia="en-GB"/>
        </w:rPr>
        <w:t xml:space="preserve"> 3:110–2.</w:t>
      </w:r>
    </w:p>
    <w:p w14:paraId="252791DF" w14:textId="77777777" w:rsidR="007254BD" w:rsidRPr="00766EC1" w:rsidRDefault="007254BD" w:rsidP="00F707D9">
      <w:pPr>
        <w:rPr>
          <w:rFonts w:ascii="Arial" w:hAnsi="Arial" w:cs="Arial"/>
          <w:color w:val="000000" w:themeColor="text1"/>
          <w:sz w:val="22"/>
          <w:szCs w:val="22"/>
        </w:rPr>
      </w:pPr>
    </w:p>
    <w:p w14:paraId="0D82A98E" w14:textId="6A4AC729" w:rsidR="00823413" w:rsidRPr="00433718" w:rsidRDefault="004755E2" w:rsidP="00F707D9">
      <w:pPr>
        <w:rPr>
          <w:rFonts w:ascii="Arial" w:hAnsi="Arial" w:cs="Arial"/>
          <w:sz w:val="22"/>
          <w:szCs w:val="22"/>
        </w:rPr>
      </w:pPr>
      <w:r w:rsidRPr="00433718">
        <w:rPr>
          <w:rFonts w:ascii="Arial" w:hAnsi="Arial" w:cs="Arial"/>
          <w:sz w:val="22"/>
          <w:szCs w:val="22"/>
        </w:rPr>
        <w:t>22. Samuel, B.B., Samuel, K</w:t>
      </w:r>
      <w:r w:rsidR="00433718" w:rsidRPr="00433718">
        <w:rPr>
          <w:rFonts w:ascii="Arial" w:hAnsi="Arial" w:cs="Arial"/>
          <w:sz w:val="22"/>
          <w:szCs w:val="22"/>
        </w:rPr>
        <w:t>.</w:t>
      </w:r>
      <w:r w:rsidRPr="00433718">
        <w:rPr>
          <w:rFonts w:ascii="Arial" w:hAnsi="Arial" w:cs="Arial"/>
          <w:sz w:val="22"/>
          <w:szCs w:val="22"/>
        </w:rPr>
        <w:t xml:space="preserve">, </w:t>
      </w:r>
      <w:proofErr w:type="spellStart"/>
      <w:r w:rsidRPr="00433718">
        <w:rPr>
          <w:rFonts w:ascii="Arial" w:hAnsi="Arial" w:cs="Arial"/>
          <w:sz w:val="22"/>
          <w:szCs w:val="22"/>
        </w:rPr>
        <w:t>Federick</w:t>
      </w:r>
      <w:proofErr w:type="spellEnd"/>
      <w:r w:rsidR="00433718" w:rsidRPr="00433718">
        <w:rPr>
          <w:rFonts w:ascii="Arial" w:hAnsi="Arial" w:cs="Arial"/>
          <w:sz w:val="22"/>
          <w:szCs w:val="22"/>
        </w:rPr>
        <w:t>,</w:t>
      </w:r>
      <w:r w:rsidRPr="00433718">
        <w:rPr>
          <w:rFonts w:ascii="Arial" w:hAnsi="Arial" w:cs="Arial"/>
          <w:sz w:val="22"/>
          <w:szCs w:val="22"/>
        </w:rPr>
        <w:t xml:space="preserve"> A</w:t>
      </w:r>
      <w:r w:rsidR="00433718" w:rsidRPr="00433718">
        <w:rPr>
          <w:rFonts w:ascii="Arial" w:hAnsi="Arial" w:cs="Arial"/>
          <w:sz w:val="22"/>
          <w:szCs w:val="22"/>
        </w:rPr>
        <w:t>.</w:t>
      </w:r>
      <w:r w:rsidRPr="00433718">
        <w:rPr>
          <w:rFonts w:ascii="Arial" w:hAnsi="Arial" w:cs="Arial"/>
          <w:sz w:val="22"/>
          <w:szCs w:val="22"/>
        </w:rPr>
        <w:t>A</w:t>
      </w:r>
      <w:r w:rsidR="00433718" w:rsidRPr="00433718">
        <w:rPr>
          <w:rFonts w:ascii="Arial" w:hAnsi="Arial" w:cs="Arial"/>
          <w:sz w:val="22"/>
          <w:szCs w:val="22"/>
        </w:rPr>
        <w:t>.</w:t>
      </w:r>
      <w:r w:rsidRPr="00433718">
        <w:rPr>
          <w:rFonts w:ascii="Arial" w:hAnsi="Arial" w:cs="Arial"/>
          <w:sz w:val="22"/>
          <w:szCs w:val="22"/>
        </w:rPr>
        <w:t>, Andrew</w:t>
      </w:r>
      <w:r w:rsidR="00433718" w:rsidRPr="00433718">
        <w:rPr>
          <w:rFonts w:ascii="Arial" w:hAnsi="Arial" w:cs="Arial"/>
          <w:sz w:val="22"/>
          <w:szCs w:val="22"/>
        </w:rPr>
        <w:t>,</w:t>
      </w:r>
      <w:r w:rsidRPr="00433718">
        <w:rPr>
          <w:rFonts w:ascii="Arial" w:hAnsi="Arial" w:cs="Arial"/>
          <w:sz w:val="22"/>
          <w:szCs w:val="22"/>
        </w:rPr>
        <w:t xml:space="preserve"> O</w:t>
      </w:r>
      <w:r w:rsidR="00433718" w:rsidRPr="00433718">
        <w:rPr>
          <w:rFonts w:ascii="Arial" w:hAnsi="Arial" w:cs="Arial"/>
          <w:sz w:val="22"/>
          <w:szCs w:val="22"/>
        </w:rPr>
        <w:t>.</w:t>
      </w:r>
      <w:r w:rsidRPr="00433718">
        <w:rPr>
          <w:rFonts w:ascii="Arial" w:hAnsi="Arial" w:cs="Arial"/>
          <w:sz w:val="22"/>
          <w:szCs w:val="22"/>
        </w:rPr>
        <w:t>, Agnes</w:t>
      </w:r>
      <w:r w:rsidR="00433718" w:rsidRPr="00433718">
        <w:rPr>
          <w:rFonts w:ascii="Arial" w:hAnsi="Arial" w:cs="Arial"/>
          <w:sz w:val="22"/>
          <w:szCs w:val="22"/>
        </w:rPr>
        <w:t>,</w:t>
      </w:r>
      <w:r w:rsidRPr="00433718">
        <w:rPr>
          <w:rFonts w:ascii="Arial" w:hAnsi="Arial" w:cs="Arial"/>
          <w:sz w:val="22"/>
          <w:szCs w:val="22"/>
        </w:rPr>
        <w:t xml:space="preserve"> A</w:t>
      </w:r>
      <w:r w:rsidR="00433718" w:rsidRPr="00433718">
        <w:rPr>
          <w:rFonts w:ascii="Arial" w:hAnsi="Arial" w:cs="Arial"/>
          <w:sz w:val="22"/>
          <w:szCs w:val="22"/>
        </w:rPr>
        <w:t>.,</w:t>
      </w:r>
      <w:r w:rsidRPr="00433718">
        <w:rPr>
          <w:rFonts w:ascii="Arial" w:hAnsi="Arial" w:cs="Arial"/>
          <w:sz w:val="22"/>
          <w:szCs w:val="22"/>
        </w:rPr>
        <w:t xml:space="preserve"> Charles</w:t>
      </w:r>
      <w:r w:rsidR="00433718" w:rsidRPr="00433718">
        <w:rPr>
          <w:rFonts w:ascii="Arial" w:hAnsi="Arial" w:cs="Arial"/>
          <w:sz w:val="22"/>
          <w:szCs w:val="22"/>
        </w:rPr>
        <w:t>,</w:t>
      </w:r>
      <w:r w:rsidRPr="00433718">
        <w:rPr>
          <w:rFonts w:ascii="Arial" w:hAnsi="Arial" w:cs="Arial"/>
          <w:sz w:val="22"/>
          <w:szCs w:val="22"/>
        </w:rPr>
        <w:t xml:space="preserve"> D.</w:t>
      </w:r>
      <w:r w:rsidR="00433718" w:rsidRPr="00433718">
        <w:rPr>
          <w:rFonts w:ascii="Arial" w:hAnsi="Arial" w:cs="Arial"/>
          <w:sz w:val="22"/>
          <w:szCs w:val="22"/>
        </w:rPr>
        <w:t xml:space="preserve"> (2016)</w:t>
      </w:r>
      <w:r w:rsidRPr="00433718">
        <w:rPr>
          <w:rFonts w:ascii="Arial" w:hAnsi="Arial" w:cs="Arial"/>
          <w:sz w:val="22"/>
          <w:szCs w:val="22"/>
        </w:rPr>
        <w:t xml:space="preserve"> Visual function among commercial vehicle drivers in the central region of </w:t>
      </w:r>
      <w:proofErr w:type="spellStart"/>
      <w:r w:rsidRPr="00433718">
        <w:rPr>
          <w:rFonts w:ascii="Arial" w:hAnsi="Arial" w:cs="Arial"/>
          <w:sz w:val="22"/>
          <w:szCs w:val="22"/>
        </w:rPr>
        <w:t>Ghana.J</w:t>
      </w:r>
      <w:proofErr w:type="spellEnd"/>
      <w:r w:rsidRPr="00433718">
        <w:rPr>
          <w:rFonts w:ascii="Arial" w:hAnsi="Arial" w:cs="Arial"/>
          <w:sz w:val="22"/>
          <w:szCs w:val="22"/>
        </w:rPr>
        <w:t xml:space="preserve"> </w:t>
      </w:r>
      <w:proofErr w:type="spellStart"/>
      <w:r w:rsidRPr="00433718">
        <w:rPr>
          <w:rFonts w:ascii="Arial" w:hAnsi="Arial" w:cs="Arial"/>
          <w:sz w:val="22"/>
          <w:szCs w:val="22"/>
        </w:rPr>
        <w:t>Optom</w:t>
      </w:r>
      <w:proofErr w:type="spellEnd"/>
      <w:r w:rsidR="00433718" w:rsidRPr="00433718">
        <w:rPr>
          <w:rFonts w:ascii="Arial" w:hAnsi="Arial" w:cs="Arial"/>
          <w:sz w:val="22"/>
          <w:szCs w:val="22"/>
        </w:rPr>
        <w:t>,</w:t>
      </w:r>
      <w:r w:rsidRPr="00433718">
        <w:rPr>
          <w:rFonts w:ascii="Arial" w:hAnsi="Arial" w:cs="Arial"/>
          <w:sz w:val="22"/>
          <w:szCs w:val="22"/>
        </w:rPr>
        <w:t xml:space="preserve"> 9(1):54 – 63.</w:t>
      </w:r>
    </w:p>
    <w:p w14:paraId="450A21C2" w14:textId="77777777" w:rsidR="00F707D9" w:rsidRDefault="00F707D9" w:rsidP="00CF22A7">
      <w:pPr>
        <w:pStyle w:val="Appendix"/>
        <w:spacing w:after="0" w:line="480" w:lineRule="auto"/>
        <w:jc w:val="both"/>
        <w:rPr>
          <w:rFonts w:ascii="Arial" w:hAnsi="Arial" w:cs="Arial"/>
          <w:b w:val="0"/>
          <w:szCs w:val="22"/>
        </w:rPr>
      </w:pPr>
    </w:p>
    <w:p w14:paraId="51701FF1" w14:textId="270F5CA2" w:rsidR="008F57BC" w:rsidRDefault="008F57BC" w:rsidP="008F57BC">
      <w:pPr>
        <w:pStyle w:val="EndnoteText"/>
        <w:jc w:val="both"/>
      </w:pPr>
      <w:r w:rsidRPr="00EF1E81">
        <w:rPr>
          <w:rFonts w:ascii="Arial" w:hAnsi="Arial" w:cs="Arial"/>
          <w:bCs/>
          <w:szCs w:val="22"/>
        </w:rPr>
        <w:t>23</w:t>
      </w:r>
      <w:r>
        <w:rPr>
          <w:rFonts w:ascii="Arial" w:hAnsi="Arial" w:cs="Arial"/>
          <w:b/>
          <w:szCs w:val="22"/>
        </w:rPr>
        <w:t xml:space="preserve">. </w:t>
      </w:r>
      <w:proofErr w:type="spellStart"/>
      <w:r w:rsidRPr="00BF76A8">
        <w:rPr>
          <w:color w:val="000000" w:themeColor="text1"/>
          <w:sz w:val="24"/>
          <w:szCs w:val="24"/>
          <w:shd w:val="clear" w:color="auto" w:fill="FFFFFF"/>
        </w:rPr>
        <w:t>Kalloniatis</w:t>
      </w:r>
      <w:proofErr w:type="spellEnd"/>
      <w:r>
        <w:rPr>
          <w:color w:val="000000" w:themeColor="text1"/>
          <w:sz w:val="24"/>
          <w:szCs w:val="24"/>
          <w:shd w:val="clear" w:color="auto" w:fill="FFFFFF"/>
        </w:rPr>
        <w:t>,</w:t>
      </w:r>
      <w:r w:rsidRPr="00BF76A8">
        <w:rPr>
          <w:color w:val="000000" w:themeColor="text1"/>
          <w:sz w:val="24"/>
          <w:szCs w:val="24"/>
          <w:shd w:val="clear" w:color="auto" w:fill="FFFFFF"/>
        </w:rPr>
        <w:t xml:space="preserve"> M</w:t>
      </w:r>
      <w:r>
        <w:rPr>
          <w:color w:val="000000" w:themeColor="text1"/>
          <w:sz w:val="24"/>
          <w:szCs w:val="24"/>
          <w:shd w:val="clear" w:color="auto" w:fill="FFFFFF"/>
        </w:rPr>
        <w:t>.</w:t>
      </w:r>
      <w:r w:rsidR="00EF1E81">
        <w:rPr>
          <w:color w:val="000000" w:themeColor="text1"/>
          <w:sz w:val="24"/>
          <w:szCs w:val="24"/>
          <w:shd w:val="clear" w:color="auto" w:fill="FFFFFF"/>
        </w:rPr>
        <w:t>,</w:t>
      </w:r>
      <w:r w:rsidRPr="00BF76A8">
        <w:rPr>
          <w:color w:val="000000" w:themeColor="text1"/>
          <w:sz w:val="24"/>
          <w:szCs w:val="24"/>
          <w:shd w:val="clear" w:color="auto" w:fill="FFFFFF"/>
        </w:rPr>
        <w:t xml:space="preserve"> </w:t>
      </w:r>
      <w:proofErr w:type="spellStart"/>
      <w:r w:rsidRPr="00BF76A8">
        <w:rPr>
          <w:color w:val="000000" w:themeColor="text1"/>
          <w:sz w:val="24"/>
          <w:szCs w:val="24"/>
          <w:shd w:val="clear" w:color="auto" w:fill="FFFFFF"/>
        </w:rPr>
        <w:t>Luu</w:t>
      </w:r>
      <w:proofErr w:type="spellEnd"/>
      <w:r w:rsidR="00EF1E81">
        <w:rPr>
          <w:color w:val="000000" w:themeColor="text1"/>
          <w:sz w:val="24"/>
          <w:szCs w:val="24"/>
          <w:shd w:val="clear" w:color="auto" w:fill="FFFFFF"/>
        </w:rPr>
        <w:t>,</w:t>
      </w:r>
      <w:r w:rsidRPr="00BF76A8">
        <w:rPr>
          <w:color w:val="000000" w:themeColor="text1"/>
          <w:sz w:val="24"/>
          <w:szCs w:val="24"/>
          <w:shd w:val="clear" w:color="auto" w:fill="FFFFFF"/>
        </w:rPr>
        <w:t xml:space="preserve"> C. </w:t>
      </w:r>
      <w:r w:rsidR="00EF1E81">
        <w:rPr>
          <w:color w:val="000000" w:themeColor="text1"/>
          <w:sz w:val="24"/>
          <w:szCs w:val="24"/>
          <w:shd w:val="clear" w:color="auto" w:fill="FFFFFF"/>
        </w:rPr>
        <w:t>(</w:t>
      </w:r>
      <w:r w:rsidRPr="00BF76A8">
        <w:rPr>
          <w:color w:val="000000" w:themeColor="text1"/>
          <w:sz w:val="24"/>
          <w:szCs w:val="24"/>
          <w:shd w:val="clear" w:color="auto" w:fill="FFFFFF"/>
        </w:rPr>
        <w:t>2007</w:t>
      </w:r>
      <w:r w:rsidR="00EF1E81">
        <w:rPr>
          <w:color w:val="000000" w:themeColor="text1"/>
          <w:sz w:val="24"/>
          <w:szCs w:val="24"/>
          <w:shd w:val="clear" w:color="auto" w:fill="FFFFFF"/>
        </w:rPr>
        <w:t>)</w:t>
      </w:r>
      <w:r w:rsidRPr="00BF76A8">
        <w:rPr>
          <w:color w:val="000000" w:themeColor="text1"/>
          <w:sz w:val="24"/>
          <w:szCs w:val="24"/>
          <w:shd w:val="clear" w:color="auto" w:fill="FFFFFF"/>
        </w:rPr>
        <w:t>. Perception of depth. The organization of the retina and the visual system. (Internet) Accessed on 11 July 2022. Available from: </w:t>
      </w:r>
      <w:hyperlink r:id="rId15" w:tgtFrame="_blank" w:history="1">
        <w:r w:rsidRPr="00BF76A8">
          <w:rPr>
            <w:rStyle w:val="Hyperlink"/>
            <w:color w:val="000000" w:themeColor="text1"/>
            <w:sz w:val="24"/>
            <w:szCs w:val="24"/>
            <w:shd w:val="clear" w:color="auto" w:fill="FFFFFF"/>
          </w:rPr>
          <w:t>http://webvision.med.utah.edu/book/part-viii-gabac-receptors/perception-of-depth/</w:t>
        </w:r>
      </w:hyperlink>
    </w:p>
    <w:p w14:paraId="19B174D3" w14:textId="77777777" w:rsidR="00DF1896" w:rsidRDefault="00DF1896" w:rsidP="008F57BC">
      <w:pPr>
        <w:pStyle w:val="EndnoteText"/>
        <w:jc w:val="both"/>
      </w:pPr>
    </w:p>
    <w:p w14:paraId="4A6F14BA" w14:textId="3629AEA7" w:rsidR="00DF1896" w:rsidRDefault="00DF1896" w:rsidP="008F57BC">
      <w:pPr>
        <w:pStyle w:val="EndnoteText"/>
        <w:jc w:val="both"/>
        <w:rPr>
          <w:color w:val="000000" w:themeColor="text1"/>
          <w:sz w:val="24"/>
          <w:szCs w:val="24"/>
          <w:lang w:val="en-GB"/>
        </w:rPr>
      </w:pPr>
      <w:r w:rsidRPr="00661D53">
        <w:rPr>
          <w:rFonts w:ascii="Arial" w:hAnsi="Arial" w:cs="Arial"/>
          <w:sz w:val="22"/>
          <w:szCs w:val="22"/>
        </w:rPr>
        <w:t>24.</w:t>
      </w:r>
      <w:r w:rsidR="00661D53" w:rsidRPr="00661D53">
        <w:rPr>
          <w:rFonts w:ascii="Arial" w:hAnsi="Arial" w:cs="Arial"/>
          <w:sz w:val="22"/>
          <w:szCs w:val="22"/>
        </w:rPr>
        <w:t xml:space="preserve"> </w:t>
      </w:r>
      <w:r w:rsidR="00661D53" w:rsidRPr="00661D53">
        <w:rPr>
          <w:rFonts w:ascii="Arial" w:hAnsi="Arial" w:cs="Arial"/>
          <w:color w:val="000000" w:themeColor="text1"/>
          <w:sz w:val="22"/>
          <w:szCs w:val="22"/>
          <w:lang w:val="en-GB"/>
        </w:rPr>
        <w:t>Nigeria National Eye Health Policy/Inter-Sectoral Collaboration. 2019; 26-27</w:t>
      </w:r>
      <w:r w:rsidR="00661D53" w:rsidRPr="00BF76A8">
        <w:rPr>
          <w:color w:val="000000" w:themeColor="text1"/>
          <w:sz w:val="24"/>
          <w:szCs w:val="24"/>
          <w:lang w:val="en-GB"/>
        </w:rPr>
        <w:t>.</w:t>
      </w:r>
    </w:p>
    <w:p w14:paraId="7D81733C" w14:textId="77777777" w:rsidR="008214CC" w:rsidRDefault="008214CC" w:rsidP="008F57BC">
      <w:pPr>
        <w:pStyle w:val="EndnoteText"/>
        <w:jc w:val="both"/>
        <w:rPr>
          <w:color w:val="000000" w:themeColor="text1"/>
          <w:sz w:val="24"/>
          <w:szCs w:val="24"/>
          <w:lang w:val="en-GB"/>
        </w:rPr>
      </w:pPr>
    </w:p>
    <w:p w14:paraId="6FDC8717" w14:textId="20681764" w:rsidR="008214CC" w:rsidRPr="00BF76A8" w:rsidRDefault="008214CC" w:rsidP="008214CC">
      <w:pPr>
        <w:pStyle w:val="EndnoteText"/>
        <w:jc w:val="both"/>
        <w:rPr>
          <w:rFonts w:eastAsia="Times New Roman"/>
          <w:color w:val="000000" w:themeColor="text1"/>
          <w:sz w:val="24"/>
          <w:szCs w:val="24"/>
          <w:lang w:eastAsia="en-GB"/>
        </w:rPr>
      </w:pPr>
      <w:r w:rsidRPr="00BF76A8">
        <w:rPr>
          <w:sz w:val="24"/>
          <w:szCs w:val="24"/>
        </w:rPr>
        <w:t>2</w:t>
      </w:r>
      <w:r>
        <w:rPr>
          <w:sz w:val="24"/>
          <w:szCs w:val="24"/>
        </w:rPr>
        <w:t>5</w:t>
      </w:r>
      <w:r w:rsidRPr="00BF76A8">
        <w:rPr>
          <w:sz w:val="24"/>
          <w:szCs w:val="24"/>
        </w:rPr>
        <w:t xml:space="preserve">. </w:t>
      </w:r>
      <w:r w:rsidRPr="00BF76A8">
        <w:rPr>
          <w:rFonts w:eastAsia="Times New Roman"/>
          <w:color w:val="000000" w:themeColor="text1"/>
          <w:sz w:val="24"/>
          <w:szCs w:val="24"/>
          <w:lang w:eastAsia="en-GB"/>
        </w:rPr>
        <w:t>Johnson</w:t>
      </w:r>
      <w:r>
        <w:rPr>
          <w:rFonts w:eastAsia="Times New Roman"/>
          <w:color w:val="000000" w:themeColor="text1"/>
          <w:sz w:val="24"/>
          <w:szCs w:val="24"/>
          <w:lang w:eastAsia="en-GB"/>
        </w:rPr>
        <w:t>,</w:t>
      </w:r>
      <w:r w:rsidRPr="00BF76A8">
        <w:rPr>
          <w:rFonts w:eastAsia="Times New Roman"/>
          <w:color w:val="000000" w:themeColor="text1"/>
          <w:sz w:val="24"/>
          <w:szCs w:val="24"/>
          <w:lang w:eastAsia="en-GB"/>
        </w:rPr>
        <w:t xml:space="preserve"> C</w:t>
      </w:r>
      <w:r>
        <w:rPr>
          <w:rFonts w:eastAsia="Times New Roman"/>
          <w:color w:val="000000" w:themeColor="text1"/>
          <w:sz w:val="24"/>
          <w:szCs w:val="24"/>
          <w:lang w:eastAsia="en-GB"/>
        </w:rPr>
        <w:t>.</w:t>
      </w:r>
      <w:r w:rsidRPr="00BF76A8">
        <w:rPr>
          <w:rFonts w:eastAsia="Times New Roman"/>
          <w:color w:val="000000" w:themeColor="text1"/>
          <w:sz w:val="24"/>
          <w:szCs w:val="24"/>
          <w:lang w:eastAsia="en-GB"/>
        </w:rPr>
        <w:t>A</w:t>
      </w:r>
      <w:r w:rsidR="00D06786">
        <w:rPr>
          <w:rFonts w:eastAsia="Times New Roman"/>
          <w:color w:val="000000" w:themeColor="text1"/>
          <w:sz w:val="24"/>
          <w:szCs w:val="24"/>
          <w:lang w:eastAsia="en-GB"/>
        </w:rPr>
        <w:t>.,</w:t>
      </w:r>
      <w:r w:rsidRPr="00BF76A8">
        <w:rPr>
          <w:rFonts w:eastAsia="Times New Roman"/>
          <w:color w:val="000000" w:themeColor="text1"/>
          <w:sz w:val="24"/>
          <w:szCs w:val="24"/>
          <w:lang w:eastAsia="en-GB"/>
        </w:rPr>
        <w:t xml:space="preserve"> Kilter</w:t>
      </w:r>
      <w:r w:rsidR="00D06786">
        <w:rPr>
          <w:rFonts w:eastAsia="Times New Roman"/>
          <w:color w:val="000000" w:themeColor="text1"/>
          <w:sz w:val="24"/>
          <w:szCs w:val="24"/>
          <w:lang w:eastAsia="en-GB"/>
        </w:rPr>
        <w:t>,</w:t>
      </w:r>
      <w:r w:rsidRPr="00BF76A8">
        <w:rPr>
          <w:rFonts w:eastAsia="Times New Roman"/>
          <w:color w:val="000000" w:themeColor="text1"/>
          <w:sz w:val="24"/>
          <w:szCs w:val="24"/>
          <w:lang w:eastAsia="en-GB"/>
        </w:rPr>
        <w:t xml:space="preserve"> J</w:t>
      </w:r>
      <w:r w:rsidR="00D06786">
        <w:rPr>
          <w:rFonts w:eastAsia="Times New Roman"/>
          <w:color w:val="000000" w:themeColor="text1"/>
          <w:sz w:val="24"/>
          <w:szCs w:val="24"/>
          <w:lang w:eastAsia="en-GB"/>
        </w:rPr>
        <w:t>.</w:t>
      </w:r>
      <w:r w:rsidRPr="00BF76A8">
        <w:rPr>
          <w:rFonts w:eastAsia="Times New Roman"/>
          <w:color w:val="000000" w:themeColor="text1"/>
          <w:sz w:val="24"/>
          <w:szCs w:val="24"/>
          <w:lang w:eastAsia="en-GB"/>
        </w:rPr>
        <w:t xml:space="preserve">L. </w:t>
      </w:r>
      <w:r w:rsidR="00D06786">
        <w:rPr>
          <w:rFonts w:eastAsia="Times New Roman"/>
          <w:color w:val="000000" w:themeColor="text1"/>
          <w:sz w:val="24"/>
          <w:szCs w:val="24"/>
          <w:lang w:eastAsia="en-GB"/>
        </w:rPr>
        <w:t xml:space="preserve">(1983) </w:t>
      </w:r>
      <w:r w:rsidRPr="00BF76A8">
        <w:rPr>
          <w:rFonts w:eastAsia="Times New Roman"/>
          <w:color w:val="000000" w:themeColor="text1"/>
          <w:sz w:val="24"/>
          <w:szCs w:val="24"/>
          <w:lang w:eastAsia="en-GB"/>
        </w:rPr>
        <w:t>Incidence of visual field losses in 10,000 eyes and its relationship to driving performance. </w:t>
      </w:r>
      <w:r w:rsidRPr="00BF76A8">
        <w:rPr>
          <w:rFonts w:eastAsia="Times New Roman"/>
          <w:iCs/>
          <w:color w:val="000000" w:themeColor="text1"/>
          <w:sz w:val="24"/>
          <w:szCs w:val="24"/>
          <w:lang w:eastAsia="en-GB"/>
        </w:rPr>
        <w:t xml:space="preserve">Arch </w:t>
      </w:r>
      <w:proofErr w:type="spellStart"/>
      <w:r w:rsidRPr="00BF76A8">
        <w:rPr>
          <w:rFonts w:eastAsia="Times New Roman"/>
          <w:iCs/>
          <w:color w:val="000000" w:themeColor="text1"/>
          <w:sz w:val="24"/>
          <w:szCs w:val="24"/>
          <w:lang w:eastAsia="en-GB"/>
        </w:rPr>
        <w:t>Ophthalmol</w:t>
      </w:r>
      <w:proofErr w:type="spellEnd"/>
      <w:r w:rsidR="00D06786">
        <w:rPr>
          <w:rFonts w:eastAsia="Times New Roman"/>
          <w:iCs/>
          <w:color w:val="000000" w:themeColor="text1"/>
          <w:sz w:val="24"/>
          <w:szCs w:val="24"/>
          <w:lang w:eastAsia="en-GB"/>
        </w:rPr>
        <w:t>,</w:t>
      </w:r>
      <w:r w:rsidR="0047007E">
        <w:rPr>
          <w:rFonts w:eastAsia="Times New Roman"/>
          <w:iCs/>
          <w:color w:val="000000" w:themeColor="text1"/>
          <w:sz w:val="24"/>
          <w:szCs w:val="24"/>
          <w:lang w:eastAsia="en-GB"/>
        </w:rPr>
        <w:t xml:space="preserve"> </w:t>
      </w:r>
      <w:r w:rsidRPr="00BF76A8">
        <w:rPr>
          <w:rFonts w:eastAsia="Times New Roman"/>
          <w:color w:val="000000" w:themeColor="text1"/>
          <w:sz w:val="24"/>
          <w:szCs w:val="24"/>
          <w:lang w:eastAsia="en-GB"/>
        </w:rPr>
        <w:t>101:371–5.</w:t>
      </w:r>
    </w:p>
    <w:p w14:paraId="7A3779A9" w14:textId="77777777" w:rsidR="008214CC" w:rsidRPr="00BF76A8" w:rsidRDefault="008214CC" w:rsidP="008214CC">
      <w:pPr>
        <w:pStyle w:val="EndnoteText"/>
        <w:jc w:val="both"/>
        <w:rPr>
          <w:sz w:val="24"/>
          <w:szCs w:val="24"/>
          <w:lang w:val="en-GB"/>
        </w:rPr>
      </w:pPr>
    </w:p>
    <w:p w14:paraId="20C9916B" w14:textId="56DFB1A0" w:rsidR="008214CC" w:rsidRPr="00BF76A8" w:rsidRDefault="008214CC" w:rsidP="008214CC">
      <w:pPr>
        <w:pStyle w:val="EndnoteText"/>
        <w:jc w:val="both"/>
        <w:rPr>
          <w:rStyle w:val="Hyperlink"/>
          <w:color w:val="000000" w:themeColor="text1"/>
          <w:sz w:val="24"/>
          <w:szCs w:val="24"/>
          <w:shd w:val="clear" w:color="auto" w:fill="FFFFFF"/>
        </w:rPr>
      </w:pPr>
      <w:r>
        <w:rPr>
          <w:sz w:val="24"/>
          <w:szCs w:val="24"/>
        </w:rPr>
        <w:t>26</w:t>
      </w:r>
      <w:r w:rsidRPr="00BF76A8">
        <w:rPr>
          <w:sz w:val="24"/>
          <w:szCs w:val="24"/>
        </w:rPr>
        <w:t xml:space="preserve">. </w:t>
      </w:r>
      <w:r w:rsidRPr="00BF76A8">
        <w:rPr>
          <w:sz w:val="24"/>
          <w:szCs w:val="24"/>
          <w:lang w:val="en-GB"/>
        </w:rPr>
        <w:t>Burg</w:t>
      </w:r>
      <w:r w:rsidR="0047007E">
        <w:rPr>
          <w:sz w:val="24"/>
          <w:szCs w:val="24"/>
          <w:lang w:val="en-GB"/>
        </w:rPr>
        <w:t>,</w:t>
      </w:r>
      <w:r w:rsidRPr="00BF76A8">
        <w:rPr>
          <w:sz w:val="24"/>
          <w:szCs w:val="24"/>
          <w:lang w:val="en-GB"/>
        </w:rPr>
        <w:t xml:space="preserve"> A.</w:t>
      </w:r>
      <w:r w:rsidR="0047007E">
        <w:rPr>
          <w:sz w:val="24"/>
          <w:szCs w:val="24"/>
          <w:lang w:val="en-GB"/>
        </w:rPr>
        <w:t xml:space="preserve"> (1975)</w:t>
      </w:r>
      <w:r w:rsidRPr="00BF76A8">
        <w:rPr>
          <w:sz w:val="24"/>
          <w:szCs w:val="24"/>
          <w:lang w:val="en-GB"/>
        </w:rPr>
        <w:t xml:space="preserve"> Vision and driving: A report on research. J </w:t>
      </w:r>
      <w:proofErr w:type="spellStart"/>
      <w:r w:rsidRPr="00BF76A8">
        <w:rPr>
          <w:sz w:val="24"/>
          <w:szCs w:val="24"/>
          <w:lang w:val="en-GB"/>
        </w:rPr>
        <w:t>Traff</w:t>
      </w:r>
      <w:proofErr w:type="spellEnd"/>
      <w:r w:rsidRPr="00BF76A8">
        <w:rPr>
          <w:sz w:val="24"/>
          <w:szCs w:val="24"/>
          <w:lang w:val="en-GB"/>
        </w:rPr>
        <w:t xml:space="preserve"> Med</w:t>
      </w:r>
      <w:r w:rsidR="0047007E">
        <w:rPr>
          <w:sz w:val="24"/>
          <w:szCs w:val="24"/>
          <w:lang w:val="en-GB"/>
        </w:rPr>
        <w:t xml:space="preserve">, </w:t>
      </w:r>
      <w:r w:rsidRPr="00BF76A8">
        <w:rPr>
          <w:sz w:val="24"/>
          <w:szCs w:val="24"/>
          <w:lang w:val="en-GB"/>
        </w:rPr>
        <w:t>3:18–22.</w:t>
      </w:r>
    </w:p>
    <w:p w14:paraId="2A083277" w14:textId="55864BC6" w:rsidR="008F57BC" w:rsidRDefault="008F57BC" w:rsidP="00CF22A7">
      <w:pPr>
        <w:pStyle w:val="Appendix"/>
        <w:spacing w:after="0" w:line="480" w:lineRule="auto"/>
        <w:jc w:val="both"/>
        <w:rPr>
          <w:rFonts w:ascii="Arial" w:hAnsi="Arial" w:cs="Arial"/>
          <w:b w:val="0"/>
          <w:szCs w:val="22"/>
        </w:rPr>
      </w:pPr>
    </w:p>
    <w:p w14:paraId="5C2414C2" w14:textId="77777777" w:rsidR="008F57BC" w:rsidRDefault="008F57BC" w:rsidP="00CF22A7">
      <w:pPr>
        <w:pStyle w:val="Appendix"/>
        <w:spacing w:after="0" w:line="480" w:lineRule="auto"/>
        <w:jc w:val="both"/>
        <w:rPr>
          <w:rFonts w:ascii="Arial" w:hAnsi="Arial" w:cs="Arial"/>
          <w:b w:val="0"/>
          <w:szCs w:val="22"/>
        </w:rPr>
      </w:pPr>
    </w:p>
    <w:p w14:paraId="18B2CDC4" w14:textId="77777777" w:rsidR="008F57BC" w:rsidRDefault="008F57BC" w:rsidP="00CF22A7">
      <w:pPr>
        <w:pStyle w:val="Appendix"/>
        <w:spacing w:after="0" w:line="480" w:lineRule="auto"/>
        <w:jc w:val="both"/>
        <w:rPr>
          <w:rFonts w:ascii="Arial" w:hAnsi="Arial" w:cs="Arial"/>
          <w:b w:val="0"/>
          <w:szCs w:val="22"/>
        </w:rPr>
      </w:pPr>
    </w:p>
    <w:p w14:paraId="11EB5778" w14:textId="77777777" w:rsidR="008F57BC" w:rsidRDefault="008F57BC" w:rsidP="00CF22A7">
      <w:pPr>
        <w:pStyle w:val="Appendix"/>
        <w:spacing w:after="0" w:line="480" w:lineRule="auto"/>
        <w:jc w:val="both"/>
        <w:rPr>
          <w:rFonts w:ascii="Arial" w:hAnsi="Arial" w:cs="Arial"/>
          <w:b w:val="0"/>
          <w:szCs w:val="22"/>
        </w:rPr>
      </w:pPr>
    </w:p>
    <w:p w14:paraId="4113F977" w14:textId="77777777" w:rsidR="008F57BC" w:rsidRDefault="008F57BC" w:rsidP="00CF22A7">
      <w:pPr>
        <w:pStyle w:val="Appendix"/>
        <w:spacing w:after="0" w:line="480" w:lineRule="auto"/>
        <w:jc w:val="both"/>
        <w:rPr>
          <w:rFonts w:ascii="Arial" w:hAnsi="Arial" w:cs="Arial"/>
          <w:b w:val="0"/>
          <w:szCs w:val="22"/>
        </w:rPr>
      </w:pPr>
    </w:p>
    <w:p w14:paraId="20AA241C" w14:textId="77777777" w:rsidR="008F57BC" w:rsidRPr="007F0D2F" w:rsidRDefault="008F57BC" w:rsidP="00CF22A7">
      <w:pPr>
        <w:pStyle w:val="Appendix"/>
        <w:spacing w:after="0" w:line="480" w:lineRule="auto"/>
        <w:jc w:val="both"/>
        <w:rPr>
          <w:rFonts w:ascii="Arial" w:hAnsi="Arial" w:cs="Arial"/>
          <w:b w:val="0"/>
          <w:szCs w:val="22"/>
        </w:rPr>
      </w:pPr>
    </w:p>
    <w:p w14:paraId="09294C33" w14:textId="77777777" w:rsidR="00077AD3" w:rsidRPr="007F0D2F" w:rsidRDefault="00077AD3">
      <w:pPr>
        <w:rPr>
          <w:rFonts w:ascii="Arial" w:hAnsi="Arial" w:cs="Arial"/>
          <w:sz w:val="22"/>
          <w:szCs w:val="22"/>
        </w:rPr>
      </w:pPr>
    </w:p>
    <w:sectPr w:rsidR="00077AD3" w:rsidRPr="007F0D2F" w:rsidSect="00CF22A7">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802C3" w14:textId="77777777" w:rsidR="006A358F" w:rsidRDefault="006A358F" w:rsidP="00D10947">
      <w:r>
        <w:separator/>
      </w:r>
    </w:p>
  </w:endnote>
  <w:endnote w:type="continuationSeparator" w:id="0">
    <w:p w14:paraId="1F2774FD" w14:textId="77777777" w:rsidR="006A358F" w:rsidRDefault="006A358F" w:rsidP="00D10947">
      <w:r>
        <w:continuationSeparator/>
      </w:r>
    </w:p>
  </w:endnote>
  <w:endnote w:id="1">
    <w:p w14:paraId="36692876" w14:textId="314071AE" w:rsidR="006805C8" w:rsidRPr="00BF76A8" w:rsidRDefault="006805C8" w:rsidP="006805C8">
      <w:pPr>
        <w:pStyle w:val="EndnoteText"/>
        <w:spacing w:line="360" w:lineRule="auto"/>
        <w:jc w:val="both"/>
        <w:rPr>
          <w:sz w:val="24"/>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B71D" w14:textId="77777777" w:rsidR="00AC39E3" w:rsidRDefault="00AC3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F7204" w14:textId="77777777" w:rsidR="00AC39E3" w:rsidRDefault="00AC3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0D4F3" w14:textId="77777777" w:rsidR="00CF22A7" w:rsidRDefault="00CF22A7">
    <w:pPr>
      <w:pStyle w:val="Footer"/>
      <w:rPr>
        <w:rFonts w:ascii="Arial" w:hAnsi="Arial" w:cs="Arial"/>
        <w:sz w:val="16"/>
      </w:rPr>
    </w:pPr>
  </w:p>
  <w:p w14:paraId="205650BC" w14:textId="77777777" w:rsidR="00CF22A7" w:rsidRDefault="00CF22A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A6409B3" w14:textId="77777777" w:rsidR="00CF22A7" w:rsidRDefault="00CF22A7">
    <w:pPr>
      <w:pStyle w:val="Footer"/>
      <w:rPr>
        <w:rFonts w:ascii="Arial" w:hAnsi="Arial" w:cs="Arial"/>
        <w:sz w:val="16"/>
      </w:rPr>
    </w:pPr>
  </w:p>
  <w:p w14:paraId="5AD4E3DA" w14:textId="77777777" w:rsidR="00CF22A7" w:rsidRPr="009E048A" w:rsidRDefault="00CF22A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761781"/>
      <w:docPartObj>
        <w:docPartGallery w:val="Page Numbers (Bottom of Page)"/>
        <w:docPartUnique/>
      </w:docPartObj>
    </w:sdtPr>
    <w:sdtEndPr>
      <w:rPr>
        <w:noProof/>
      </w:rPr>
    </w:sdtEndPr>
    <w:sdtContent>
      <w:p w14:paraId="783B3C02" w14:textId="4B91916F" w:rsidR="00174D36" w:rsidRDefault="00174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C54D8" w14:textId="77777777" w:rsidR="00CF22A7" w:rsidRPr="00C37E61" w:rsidRDefault="00CF22A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74506" w14:textId="77777777" w:rsidR="006A358F" w:rsidRDefault="006A358F" w:rsidP="00D10947">
      <w:r>
        <w:separator/>
      </w:r>
    </w:p>
  </w:footnote>
  <w:footnote w:type="continuationSeparator" w:id="0">
    <w:p w14:paraId="1D5B7960" w14:textId="77777777" w:rsidR="006A358F" w:rsidRDefault="006A358F" w:rsidP="00D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A95E" w14:textId="71211E46" w:rsidR="00CF22A7" w:rsidRDefault="00AC39E3">
    <w:pPr>
      <w:pStyle w:val="Header"/>
    </w:pPr>
    <w:r>
      <w:rPr>
        <w:noProof/>
      </w:rPr>
      <w:pict w14:anchorId="55BDE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ADA7" w14:textId="57A49341" w:rsidR="00CF22A7" w:rsidRDefault="00AC39E3">
    <w:pPr>
      <w:pStyle w:val="Header"/>
    </w:pPr>
    <w:r>
      <w:rPr>
        <w:noProof/>
      </w:rPr>
      <w:pict w14:anchorId="707F1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C4504" w14:textId="69CB1692" w:rsidR="00CF22A7" w:rsidRPr="00296529" w:rsidRDefault="00AC39E3" w:rsidP="00296529">
    <w:pPr>
      <w:ind w:left="2160"/>
      <w:jc w:val="center"/>
      <w:rPr>
        <w:rFonts w:ascii="Times New Roman" w:eastAsia="Calibri" w:hAnsi="Times New Roman"/>
        <w:i/>
        <w:sz w:val="18"/>
        <w:szCs w:val="22"/>
      </w:rPr>
    </w:pPr>
    <w:r>
      <w:rPr>
        <w:noProof/>
      </w:rPr>
      <w:pict w14:anchorId="46093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D07589" w14:textId="77777777" w:rsidR="00CF22A7" w:rsidRPr="00296529" w:rsidRDefault="00CF22A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39BC65" w14:textId="77777777" w:rsidR="00CF22A7" w:rsidRPr="00296529" w:rsidRDefault="00CF22A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FD4E4C" w14:textId="77777777" w:rsidR="00CF22A7" w:rsidRPr="00296529" w:rsidRDefault="00CF22A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B1B11E" w14:textId="77777777" w:rsidR="00CF22A7" w:rsidRDefault="00CF22A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E4C150" w14:textId="77777777" w:rsidR="00CF22A7" w:rsidRDefault="00CF22A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D8E5D0" w14:textId="77777777" w:rsidR="00CF22A7" w:rsidRDefault="00CF22A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CF05" w14:textId="08EFBE61" w:rsidR="00CF22A7" w:rsidRDefault="00AC39E3">
    <w:pPr>
      <w:pStyle w:val="Header"/>
    </w:pPr>
    <w:r>
      <w:rPr>
        <w:noProof/>
      </w:rPr>
      <w:pict w14:anchorId="2EF1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AA0B" w14:textId="13DFA2EB" w:rsidR="00CF22A7" w:rsidRDefault="00AC39E3">
    <w:pPr>
      <w:pStyle w:val="Header"/>
    </w:pPr>
    <w:r>
      <w:rPr>
        <w:noProof/>
      </w:rPr>
      <w:pict w14:anchorId="5596C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3C41" w14:textId="378E0A2A" w:rsidR="00CF22A7" w:rsidRDefault="00AC39E3">
    <w:pPr>
      <w:pStyle w:val="Header"/>
    </w:pPr>
    <w:r>
      <w:rPr>
        <w:noProof/>
      </w:rPr>
      <w:pict w14:anchorId="15A35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4295D"/>
    <w:multiLevelType w:val="hybridMultilevel"/>
    <w:tmpl w:val="3C90D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A7"/>
    <w:rsid w:val="00011D34"/>
    <w:rsid w:val="00022330"/>
    <w:rsid w:val="00023426"/>
    <w:rsid w:val="0002697E"/>
    <w:rsid w:val="0004782D"/>
    <w:rsid w:val="000513EF"/>
    <w:rsid w:val="00077AD3"/>
    <w:rsid w:val="00080256"/>
    <w:rsid w:val="0008790A"/>
    <w:rsid w:val="00091AA4"/>
    <w:rsid w:val="000B0696"/>
    <w:rsid w:val="000B2717"/>
    <w:rsid w:val="000C15CF"/>
    <w:rsid w:val="000C1DA6"/>
    <w:rsid w:val="000F484D"/>
    <w:rsid w:val="000F553D"/>
    <w:rsid w:val="001060BC"/>
    <w:rsid w:val="001221D7"/>
    <w:rsid w:val="00126DF0"/>
    <w:rsid w:val="001467AD"/>
    <w:rsid w:val="001543EC"/>
    <w:rsid w:val="00174D36"/>
    <w:rsid w:val="00180C79"/>
    <w:rsid w:val="00184C07"/>
    <w:rsid w:val="001B0336"/>
    <w:rsid w:val="001E69A9"/>
    <w:rsid w:val="00243BB0"/>
    <w:rsid w:val="00260406"/>
    <w:rsid w:val="00266E90"/>
    <w:rsid w:val="00272D6C"/>
    <w:rsid w:val="0027684A"/>
    <w:rsid w:val="00282F9E"/>
    <w:rsid w:val="002975E9"/>
    <w:rsid w:val="002B6B23"/>
    <w:rsid w:val="002D3233"/>
    <w:rsid w:val="002D667A"/>
    <w:rsid w:val="002E0E45"/>
    <w:rsid w:val="00301D34"/>
    <w:rsid w:val="0032348A"/>
    <w:rsid w:val="00347E14"/>
    <w:rsid w:val="00360251"/>
    <w:rsid w:val="003740CA"/>
    <w:rsid w:val="00392E0A"/>
    <w:rsid w:val="003A3B57"/>
    <w:rsid w:val="003A5530"/>
    <w:rsid w:val="003A7135"/>
    <w:rsid w:val="003C1583"/>
    <w:rsid w:val="003C2BAE"/>
    <w:rsid w:val="003C6E5A"/>
    <w:rsid w:val="003D401E"/>
    <w:rsid w:val="003F61C6"/>
    <w:rsid w:val="00433718"/>
    <w:rsid w:val="00437CAF"/>
    <w:rsid w:val="00444476"/>
    <w:rsid w:val="0047007E"/>
    <w:rsid w:val="004755E2"/>
    <w:rsid w:val="00487A9A"/>
    <w:rsid w:val="004A5A78"/>
    <w:rsid w:val="004B79D9"/>
    <w:rsid w:val="004F78B4"/>
    <w:rsid w:val="005162DF"/>
    <w:rsid w:val="005229CC"/>
    <w:rsid w:val="005710CD"/>
    <w:rsid w:val="00576C85"/>
    <w:rsid w:val="00593CC3"/>
    <w:rsid w:val="005B1653"/>
    <w:rsid w:val="005E1C19"/>
    <w:rsid w:val="0061436B"/>
    <w:rsid w:val="006305A5"/>
    <w:rsid w:val="00630BAE"/>
    <w:rsid w:val="00634159"/>
    <w:rsid w:val="00636761"/>
    <w:rsid w:val="00645118"/>
    <w:rsid w:val="00647445"/>
    <w:rsid w:val="0065633D"/>
    <w:rsid w:val="00661D53"/>
    <w:rsid w:val="006763CD"/>
    <w:rsid w:val="006805C8"/>
    <w:rsid w:val="006A358F"/>
    <w:rsid w:val="006B665E"/>
    <w:rsid w:val="006C353D"/>
    <w:rsid w:val="006E3CCD"/>
    <w:rsid w:val="007170E3"/>
    <w:rsid w:val="007211B1"/>
    <w:rsid w:val="007254BD"/>
    <w:rsid w:val="00731E98"/>
    <w:rsid w:val="007344D5"/>
    <w:rsid w:val="00746260"/>
    <w:rsid w:val="0075174B"/>
    <w:rsid w:val="00766EC1"/>
    <w:rsid w:val="007A27BE"/>
    <w:rsid w:val="007A43FB"/>
    <w:rsid w:val="007B191E"/>
    <w:rsid w:val="007B7B47"/>
    <w:rsid w:val="007E3377"/>
    <w:rsid w:val="007F0D2F"/>
    <w:rsid w:val="00813A1C"/>
    <w:rsid w:val="00820CCC"/>
    <w:rsid w:val="008214CC"/>
    <w:rsid w:val="00823413"/>
    <w:rsid w:val="00835C92"/>
    <w:rsid w:val="00836E2A"/>
    <w:rsid w:val="00847D27"/>
    <w:rsid w:val="008749D0"/>
    <w:rsid w:val="00875956"/>
    <w:rsid w:val="00882E6E"/>
    <w:rsid w:val="00883CA9"/>
    <w:rsid w:val="008D4DE9"/>
    <w:rsid w:val="008F57BC"/>
    <w:rsid w:val="008F59B8"/>
    <w:rsid w:val="00920F61"/>
    <w:rsid w:val="00921640"/>
    <w:rsid w:val="00933705"/>
    <w:rsid w:val="00937836"/>
    <w:rsid w:val="00945306"/>
    <w:rsid w:val="00945769"/>
    <w:rsid w:val="009522FB"/>
    <w:rsid w:val="009837BF"/>
    <w:rsid w:val="009A1080"/>
    <w:rsid w:val="009C2957"/>
    <w:rsid w:val="009E1949"/>
    <w:rsid w:val="009E523D"/>
    <w:rsid w:val="009F0004"/>
    <w:rsid w:val="00A039E4"/>
    <w:rsid w:val="00A4344E"/>
    <w:rsid w:val="00A726C2"/>
    <w:rsid w:val="00A85A42"/>
    <w:rsid w:val="00A95826"/>
    <w:rsid w:val="00AA5FDF"/>
    <w:rsid w:val="00AC39E3"/>
    <w:rsid w:val="00AD3662"/>
    <w:rsid w:val="00AD42ED"/>
    <w:rsid w:val="00AE005A"/>
    <w:rsid w:val="00B1685D"/>
    <w:rsid w:val="00B57797"/>
    <w:rsid w:val="00B66322"/>
    <w:rsid w:val="00B67B67"/>
    <w:rsid w:val="00B77F09"/>
    <w:rsid w:val="00B92BB3"/>
    <w:rsid w:val="00B94B2E"/>
    <w:rsid w:val="00BB0ABF"/>
    <w:rsid w:val="00BE4C65"/>
    <w:rsid w:val="00C205DF"/>
    <w:rsid w:val="00C35817"/>
    <w:rsid w:val="00C61B75"/>
    <w:rsid w:val="00C630AC"/>
    <w:rsid w:val="00C65D00"/>
    <w:rsid w:val="00C809F4"/>
    <w:rsid w:val="00C874BC"/>
    <w:rsid w:val="00CA49D3"/>
    <w:rsid w:val="00CB4E83"/>
    <w:rsid w:val="00CF22A7"/>
    <w:rsid w:val="00D06786"/>
    <w:rsid w:val="00D10947"/>
    <w:rsid w:val="00D40A40"/>
    <w:rsid w:val="00D52162"/>
    <w:rsid w:val="00D73516"/>
    <w:rsid w:val="00D73E50"/>
    <w:rsid w:val="00D81D86"/>
    <w:rsid w:val="00D90169"/>
    <w:rsid w:val="00D95995"/>
    <w:rsid w:val="00DA1744"/>
    <w:rsid w:val="00DB08EB"/>
    <w:rsid w:val="00DC34C5"/>
    <w:rsid w:val="00DE0ACC"/>
    <w:rsid w:val="00DF09BE"/>
    <w:rsid w:val="00DF1896"/>
    <w:rsid w:val="00E066EC"/>
    <w:rsid w:val="00EA1C65"/>
    <w:rsid w:val="00EA2A64"/>
    <w:rsid w:val="00EA53BE"/>
    <w:rsid w:val="00EC5530"/>
    <w:rsid w:val="00EF1E81"/>
    <w:rsid w:val="00F04F97"/>
    <w:rsid w:val="00F11E02"/>
    <w:rsid w:val="00F1256E"/>
    <w:rsid w:val="00F170C9"/>
    <w:rsid w:val="00F22637"/>
    <w:rsid w:val="00F33815"/>
    <w:rsid w:val="00F35133"/>
    <w:rsid w:val="00F707D9"/>
    <w:rsid w:val="00F908A8"/>
    <w:rsid w:val="00FA1B94"/>
    <w:rsid w:val="00FB377A"/>
    <w:rsid w:val="00FE0C4F"/>
    <w:rsid w:val="00FF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491B4FC"/>
  <w15:chartTrackingRefBased/>
  <w15:docId w15:val="{C9BC5880-7CC3-47A2-842A-996287A8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2A7"/>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CF2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2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2A7"/>
    <w:rPr>
      <w:rFonts w:eastAsiaTheme="majorEastAsia" w:cstheme="majorBidi"/>
      <w:color w:val="272727" w:themeColor="text1" w:themeTint="D8"/>
    </w:rPr>
  </w:style>
  <w:style w:type="paragraph" w:styleId="Title">
    <w:name w:val="Title"/>
    <w:basedOn w:val="Normal"/>
    <w:next w:val="Normal"/>
    <w:link w:val="TitleChar"/>
    <w:uiPriority w:val="10"/>
    <w:qFormat/>
    <w:rsid w:val="00CF22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2A7"/>
    <w:pPr>
      <w:spacing w:before="160"/>
      <w:jc w:val="center"/>
    </w:pPr>
    <w:rPr>
      <w:i/>
      <w:iCs/>
      <w:color w:val="404040" w:themeColor="text1" w:themeTint="BF"/>
    </w:rPr>
  </w:style>
  <w:style w:type="character" w:customStyle="1" w:styleId="QuoteChar">
    <w:name w:val="Quote Char"/>
    <w:basedOn w:val="DefaultParagraphFont"/>
    <w:link w:val="Quote"/>
    <w:uiPriority w:val="29"/>
    <w:rsid w:val="00CF22A7"/>
    <w:rPr>
      <w:i/>
      <w:iCs/>
      <w:color w:val="404040" w:themeColor="text1" w:themeTint="BF"/>
    </w:rPr>
  </w:style>
  <w:style w:type="paragraph" w:styleId="ListParagraph">
    <w:name w:val="List Paragraph"/>
    <w:basedOn w:val="Normal"/>
    <w:uiPriority w:val="34"/>
    <w:qFormat/>
    <w:rsid w:val="00CF22A7"/>
    <w:pPr>
      <w:ind w:left="720"/>
      <w:contextualSpacing/>
    </w:pPr>
  </w:style>
  <w:style w:type="character" w:styleId="IntenseEmphasis">
    <w:name w:val="Intense Emphasis"/>
    <w:basedOn w:val="DefaultParagraphFont"/>
    <w:uiPriority w:val="21"/>
    <w:qFormat/>
    <w:rsid w:val="00CF22A7"/>
    <w:rPr>
      <w:i/>
      <w:iCs/>
      <w:color w:val="0F4761" w:themeColor="accent1" w:themeShade="BF"/>
    </w:rPr>
  </w:style>
  <w:style w:type="paragraph" w:styleId="IntenseQuote">
    <w:name w:val="Intense Quote"/>
    <w:basedOn w:val="Normal"/>
    <w:next w:val="Normal"/>
    <w:link w:val="IntenseQuoteChar"/>
    <w:uiPriority w:val="30"/>
    <w:qFormat/>
    <w:rsid w:val="00CF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2A7"/>
    <w:rPr>
      <w:i/>
      <w:iCs/>
      <w:color w:val="0F4761" w:themeColor="accent1" w:themeShade="BF"/>
    </w:rPr>
  </w:style>
  <w:style w:type="character" w:styleId="IntenseReference">
    <w:name w:val="Intense Reference"/>
    <w:basedOn w:val="DefaultParagraphFont"/>
    <w:uiPriority w:val="32"/>
    <w:qFormat/>
    <w:rsid w:val="00CF22A7"/>
    <w:rPr>
      <w:b/>
      <w:bCs/>
      <w:smallCaps/>
      <w:color w:val="0F4761" w:themeColor="accent1" w:themeShade="BF"/>
      <w:spacing w:val="5"/>
    </w:rPr>
  </w:style>
  <w:style w:type="paragraph" w:customStyle="1" w:styleId="Author">
    <w:name w:val="Author"/>
    <w:basedOn w:val="Normal"/>
    <w:rsid w:val="00CF22A7"/>
    <w:pPr>
      <w:spacing w:line="280" w:lineRule="exact"/>
      <w:jc w:val="right"/>
    </w:pPr>
    <w:rPr>
      <w:b/>
      <w:sz w:val="24"/>
    </w:rPr>
  </w:style>
  <w:style w:type="paragraph" w:customStyle="1" w:styleId="Body">
    <w:name w:val="Body"/>
    <w:basedOn w:val="Normal"/>
    <w:rsid w:val="00CF22A7"/>
    <w:pPr>
      <w:spacing w:after="240"/>
      <w:jc w:val="both"/>
    </w:pPr>
  </w:style>
  <w:style w:type="paragraph" w:customStyle="1" w:styleId="AbstHead">
    <w:name w:val="Abst Head"/>
    <w:basedOn w:val="Normal"/>
    <w:rsid w:val="00CF22A7"/>
    <w:pPr>
      <w:keepNext/>
      <w:spacing w:after="240"/>
    </w:pPr>
    <w:rPr>
      <w:b/>
      <w:caps/>
      <w:sz w:val="22"/>
    </w:rPr>
  </w:style>
  <w:style w:type="paragraph" w:customStyle="1" w:styleId="ConcHead">
    <w:name w:val="Conc Head"/>
    <w:basedOn w:val="Normal"/>
    <w:rsid w:val="00CF22A7"/>
    <w:pPr>
      <w:keepNext/>
      <w:spacing w:after="240"/>
    </w:pPr>
    <w:rPr>
      <w:b/>
      <w:caps/>
      <w:sz w:val="22"/>
    </w:rPr>
  </w:style>
  <w:style w:type="paragraph" w:customStyle="1" w:styleId="ReferHead">
    <w:name w:val="Refer Head"/>
    <w:basedOn w:val="Normal"/>
    <w:rsid w:val="00CF22A7"/>
    <w:pPr>
      <w:keepNext/>
      <w:spacing w:after="240"/>
    </w:pPr>
    <w:rPr>
      <w:b/>
      <w:caps/>
      <w:sz w:val="22"/>
    </w:rPr>
  </w:style>
  <w:style w:type="paragraph" w:customStyle="1" w:styleId="Copyright">
    <w:name w:val="Copyright"/>
    <w:basedOn w:val="Normal"/>
    <w:rsid w:val="00CF22A7"/>
    <w:pPr>
      <w:spacing w:after="960" w:line="200" w:lineRule="exact"/>
    </w:pPr>
    <w:rPr>
      <w:sz w:val="16"/>
    </w:rPr>
  </w:style>
  <w:style w:type="paragraph" w:customStyle="1" w:styleId="Head1">
    <w:name w:val="Head1"/>
    <w:basedOn w:val="Normal"/>
    <w:rsid w:val="00CF22A7"/>
    <w:pPr>
      <w:keepNext/>
      <w:spacing w:after="240"/>
    </w:pPr>
    <w:rPr>
      <w:b/>
      <w:caps/>
      <w:sz w:val="22"/>
    </w:rPr>
  </w:style>
  <w:style w:type="paragraph" w:customStyle="1" w:styleId="Appendix">
    <w:name w:val="Appendix"/>
    <w:basedOn w:val="Normal"/>
    <w:rsid w:val="00CF22A7"/>
    <w:pPr>
      <w:keepNext/>
      <w:spacing w:after="240"/>
    </w:pPr>
    <w:rPr>
      <w:b/>
      <w:caps/>
      <w:sz w:val="22"/>
    </w:rPr>
  </w:style>
  <w:style w:type="paragraph" w:styleId="Footer">
    <w:name w:val="footer"/>
    <w:basedOn w:val="Normal"/>
    <w:link w:val="FooterChar"/>
    <w:rsid w:val="00CF22A7"/>
    <w:pPr>
      <w:tabs>
        <w:tab w:val="center" w:pos="4320"/>
        <w:tab w:val="right" w:pos="8640"/>
      </w:tabs>
    </w:pPr>
  </w:style>
  <w:style w:type="character" w:customStyle="1" w:styleId="FooterChar">
    <w:name w:val="Footer Char"/>
    <w:basedOn w:val="DefaultParagraphFont"/>
    <w:link w:val="Footer"/>
    <w:rsid w:val="00CF22A7"/>
    <w:rPr>
      <w:rFonts w:ascii="Helvetica" w:eastAsia="Times New Roman" w:hAnsi="Helvetica" w:cs="Times New Roman"/>
      <w:sz w:val="20"/>
      <w:szCs w:val="20"/>
      <w:lang w:val="en-US"/>
    </w:rPr>
  </w:style>
  <w:style w:type="paragraph" w:styleId="Header">
    <w:name w:val="header"/>
    <w:basedOn w:val="Normal"/>
    <w:link w:val="HeaderChar"/>
    <w:rsid w:val="00CF22A7"/>
    <w:pPr>
      <w:tabs>
        <w:tab w:val="center" w:pos="4320"/>
        <w:tab w:val="right" w:pos="8640"/>
      </w:tabs>
    </w:pPr>
  </w:style>
  <w:style w:type="character" w:customStyle="1" w:styleId="HeaderChar">
    <w:name w:val="Header Char"/>
    <w:basedOn w:val="DefaultParagraphFont"/>
    <w:link w:val="Header"/>
    <w:rsid w:val="00CF22A7"/>
    <w:rPr>
      <w:rFonts w:ascii="Helvetica" w:eastAsia="Times New Roman" w:hAnsi="Helvetica" w:cs="Times New Roman"/>
      <w:sz w:val="20"/>
      <w:szCs w:val="20"/>
      <w:lang w:val="en-US"/>
    </w:rPr>
  </w:style>
  <w:style w:type="character" w:styleId="Hyperlink">
    <w:name w:val="Hyperlink"/>
    <w:basedOn w:val="DefaultParagraphFont"/>
    <w:rsid w:val="00CF22A7"/>
    <w:rPr>
      <w:color w:val="FF0080"/>
      <w:u w:val="single"/>
    </w:rPr>
  </w:style>
  <w:style w:type="table" w:styleId="TableGrid">
    <w:name w:val="Table Grid"/>
    <w:basedOn w:val="TableNormal"/>
    <w:uiPriority w:val="39"/>
    <w:rsid w:val="00CF22A7"/>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D10947"/>
    <w:rPr>
      <w:rFonts w:ascii="Times New Roman" w:eastAsia="Calibri" w:hAnsi="Times New Roman"/>
      <w:kern w:val="36"/>
    </w:rPr>
  </w:style>
  <w:style w:type="character" w:customStyle="1" w:styleId="EndnoteTextChar">
    <w:name w:val="Endnote Text Char"/>
    <w:basedOn w:val="DefaultParagraphFont"/>
    <w:link w:val="EndnoteText"/>
    <w:uiPriority w:val="99"/>
    <w:semiHidden/>
    <w:rsid w:val="00D10947"/>
    <w:rPr>
      <w:rFonts w:ascii="Times New Roman" w:eastAsia="Calibri" w:hAnsi="Times New Roman" w:cs="Times New Roman"/>
      <w:kern w:val="36"/>
      <w:sz w:val="20"/>
      <w:szCs w:val="20"/>
      <w:lang w:val="en-US"/>
    </w:rPr>
  </w:style>
  <w:style w:type="character" w:styleId="EndnoteReference">
    <w:name w:val="endnote reference"/>
    <w:basedOn w:val="DefaultParagraphFont"/>
    <w:uiPriority w:val="99"/>
    <w:semiHidden/>
    <w:unhideWhenUsed/>
    <w:rsid w:val="00D10947"/>
    <w:rPr>
      <w:vertAlign w:val="superscript"/>
    </w:rPr>
  </w:style>
  <w:style w:type="character" w:customStyle="1" w:styleId="ref-journal">
    <w:name w:val="ref-journal"/>
    <w:basedOn w:val="DefaultParagraphFont"/>
    <w:rsid w:val="00D10947"/>
  </w:style>
  <w:style w:type="character" w:customStyle="1" w:styleId="element-citation">
    <w:name w:val="element-citation"/>
    <w:basedOn w:val="DefaultParagraphFont"/>
    <w:rsid w:val="00D10947"/>
  </w:style>
  <w:style w:type="character" w:customStyle="1" w:styleId="ref-vol">
    <w:name w:val="ref-vol"/>
    <w:basedOn w:val="DefaultParagraphFont"/>
    <w:rsid w:val="00D10947"/>
  </w:style>
  <w:style w:type="paragraph" w:styleId="NoSpacing">
    <w:name w:val="No Spacing"/>
    <w:uiPriority w:val="1"/>
    <w:qFormat/>
    <w:rsid w:val="006805C8"/>
    <w:pPr>
      <w:spacing w:after="0" w:line="240" w:lineRule="auto"/>
    </w:pPr>
    <w:rPr>
      <w:rFonts w:ascii="Times New Roman" w:hAnsi="Times New Roman" w:cs="Times New Roman"/>
      <w:kern w:val="36"/>
      <w:sz w:val="24"/>
      <w:szCs w:val="44"/>
    </w:rPr>
  </w:style>
  <w:style w:type="character" w:styleId="UnresolvedMention">
    <w:name w:val="Unresolved Mention"/>
    <w:basedOn w:val="DefaultParagraphFont"/>
    <w:uiPriority w:val="99"/>
    <w:semiHidden/>
    <w:unhideWhenUsed/>
    <w:rsid w:val="00080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ebvision.med.utah.edu/book/part-viii-gabac-receptors/perception-of-depth/"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cbi.nlm.nih.gov/pmc/articles/PMC3775042/pdf/IJPsyM-35-121.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Desktop\new%20work\Dr.%20Olagunju%20UATH%20Eye%20clini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277-48A0-A48B-C63DE950DCD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277-48A0-A48B-C63DE950DCD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277-48A0-A48B-C63DE950DCD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277-48A0-A48B-C63DE950DCD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277-48A0-A48B-C63DE950DCD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277-48A0-A48B-C63DE950DCDD}"/>
              </c:ext>
            </c:extLst>
          </c:dPt>
          <c:dLbls>
            <c:dLbl>
              <c:idx val="0"/>
              <c:layout>
                <c:manualLayout>
                  <c:x val="-3.93327942619188E-3"/>
                  <c:y val="5.8525998040113651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6.4291257022881035E-2"/>
                      <c:h val="6.4139989067970624E-2"/>
                    </c:manualLayout>
                  </c15:layout>
                </c:ext>
                <c:ext xmlns:c16="http://schemas.microsoft.com/office/drawing/2014/chart" uri="{C3380CC4-5D6E-409C-BE32-E72D297353CC}">
                  <c16:uniqueId val="{00000001-C277-48A0-A48B-C63DE950DCDD}"/>
                </c:ext>
              </c:extLst>
            </c:dLbl>
            <c:dLbl>
              <c:idx val="1"/>
              <c:layout>
                <c:manualLayout>
                  <c:x val="-3.9994826778644438E-2"/>
                  <c:y val="0.13619929778946485"/>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5.7295057709381474E-2"/>
                      <c:h val="9.5090927892925198E-2"/>
                    </c:manualLayout>
                  </c15:layout>
                </c:ext>
                <c:ext xmlns:c16="http://schemas.microsoft.com/office/drawing/2014/chart" uri="{C3380CC4-5D6E-409C-BE32-E72D297353CC}">
                  <c16:uniqueId val="{00000003-C277-48A0-A48B-C63DE950DCDD}"/>
                </c:ext>
              </c:extLst>
            </c:dLbl>
            <c:dLbl>
              <c:idx val="2"/>
              <c:layout>
                <c:manualLayout>
                  <c:x val="-7.111082112072481E-2"/>
                  <c:y val="0.1904551565200691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277-48A0-A48B-C63DE950DCDD}"/>
                </c:ext>
              </c:extLst>
            </c:dLbl>
            <c:dLbl>
              <c:idx val="3"/>
              <c:layout>
                <c:manualLayout>
                  <c:x val="-9.7297681539807626E-2"/>
                  <c:y val="7.174504228638087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277-48A0-A48B-C63DE950DCDD}"/>
                </c:ext>
              </c:extLst>
            </c:dLbl>
            <c:dLbl>
              <c:idx val="4"/>
              <c:layout>
                <c:manualLayout>
                  <c:x val="-0.10522025371828526"/>
                  <c:y val="-0.1334966462525517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277-48A0-A48B-C63DE950DCD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Sheet5!$J$25:$J$30</c:f>
              <c:strCache>
                <c:ptCount val="6"/>
                <c:pt idx="0">
                  <c:v>Age Related Macular Degeneration</c:v>
                </c:pt>
                <c:pt idx="1">
                  <c:v>Cataract</c:v>
                </c:pt>
                <c:pt idx="2">
                  <c:v>Corneal Opacity</c:v>
                </c:pt>
                <c:pt idx="3">
                  <c:v>Glaucoma</c:v>
                </c:pt>
                <c:pt idx="4">
                  <c:v>Refractive Error</c:v>
                </c:pt>
                <c:pt idx="5">
                  <c:v>Unknown Cause</c:v>
                </c:pt>
              </c:strCache>
            </c:strRef>
          </c:cat>
          <c:val>
            <c:numRef>
              <c:f>Sheet5!$K$25:$K$30</c:f>
              <c:numCache>
                <c:formatCode>###0</c:formatCode>
                <c:ptCount val="6"/>
                <c:pt idx="0">
                  <c:v>3</c:v>
                </c:pt>
                <c:pt idx="1">
                  <c:v>4</c:v>
                </c:pt>
                <c:pt idx="2">
                  <c:v>7</c:v>
                </c:pt>
                <c:pt idx="3">
                  <c:v>12</c:v>
                </c:pt>
                <c:pt idx="4">
                  <c:v>21</c:v>
                </c:pt>
                <c:pt idx="5">
                  <c:v>61</c:v>
                </c:pt>
              </c:numCache>
            </c:numRef>
          </c:val>
          <c:extLst>
            <c:ext xmlns:c16="http://schemas.microsoft.com/office/drawing/2014/chart" uri="{C3380CC4-5D6E-409C-BE32-E72D297353CC}">
              <c16:uniqueId val="{0000000C-C277-48A0-A48B-C63DE950DCD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49475065616802"/>
          <c:y val="0.22724340508093147"/>
          <c:w val="0.34139413823272091"/>
          <c:h val="0.5962865570509128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6963</Words>
  <Characters>39694</Characters>
  <Application>Microsoft Office Word</Application>
  <DocSecurity>0</DocSecurity>
  <Lines>330</Lines>
  <Paragraphs>93</Paragraphs>
  <ScaleCrop>false</ScaleCrop>
  <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Rilwan Muhammad</dc:creator>
  <cp:keywords/>
  <dc:description/>
  <cp:lastModifiedBy>SDI 1084</cp:lastModifiedBy>
  <cp:revision>189</cp:revision>
  <dcterms:created xsi:type="dcterms:W3CDTF">2026-01-03T10:39:00Z</dcterms:created>
  <dcterms:modified xsi:type="dcterms:W3CDTF">2026-01-07T08:08:00Z</dcterms:modified>
</cp:coreProperties>
</file>