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C4EAE" w14:textId="5255E017" w:rsidR="00F75221" w:rsidRDefault="00CD7D6E" w:rsidP="00CD7D6E">
      <w:pPr>
        <w:spacing w:before="0" w:beforeAutospacing="0" w:line="240" w:lineRule="auto"/>
        <w:jc w:val="both"/>
        <w:rPr>
          <w:sz w:val="20"/>
          <w:szCs w:val="20"/>
        </w:rPr>
      </w:pPr>
      <w:r w:rsidRPr="00CD7D6E">
        <w:rPr>
          <w:sz w:val="20"/>
          <w:szCs w:val="20"/>
        </w:rPr>
        <w:t>Original Research Article</w:t>
      </w:r>
    </w:p>
    <w:p w14:paraId="2C0354BC" w14:textId="57BA28A4" w:rsidR="00F75221" w:rsidRDefault="000B2AC1">
      <w:pPr>
        <w:wordWrap w:val="0"/>
        <w:spacing w:line="120" w:lineRule="auto"/>
        <w:jc w:val="right"/>
        <w:rPr>
          <w:b/>
          <w:bCs/>
          <w:sz w:val="20"/>
          <w:szCs w:val="20"/>
        </w:rPr>
      </w:pPr>
      <w:r>
        <w:rPr>
          <w:b/>
          <w:bCs/>
          <w:sz w:val="20"/>
          <w:szCs w:val="20"/>
        </w:rPr>
        <w:t xml:space="preserve">Workplace Anti-Bullying Rights in Mental Health Nursing: </w:t>
      </w:r>
    </w:p>
    <w:p w14:paraId="16D67CF4" w14:textId="77777777" w:rsidR="00F75221" w:rsidRDefault="000B2AC1">
      <w:pPr>
        <w:wordWrap w:val="0"/>
        <w:spacing w:line="120" w:lineRule="auto"/>
        <w:jc w:val="right"/>
        <w:rPr>
          <w:b/>
          <w:bCs/>
          <w:sz w:val="20"/>
          <w:szCs w:val="20"/>
        </w:rPr>
      </w:pPr>
      <w:r>
        <w:rPr>
          <w:b/>
          <w:bCs/>
          <w:sz w:val="20"/>
          <w:szCs w:val="20"/>
        </w:rPr>
        <w:t>A Qualitative Descriptive Study in the Philippines</w:t>
      </w:r>
    </w:p>
    <w:p w14:paraId="49EF9167" w14:textId="77777777" w:rsidR="00CB240A" w:rsidRDefault="00CB240A">
      <w:pPr>
        <w:spacing w:line="120" w:lineRule="auto"/>
        <w:jc w:val="right"/>
        <w:rPr>
          <w:sz w:val="20"/>
          <w:szCs w:val="20"/>
        </w:rPr>
      </w:pPr>
      <w:bookmarkStart w:id="0" w:name="_GoBack"/>
      <w:bookmarkEnd w:id="0"/>
    </w:p>
    <w:p w14:paraId="124D374A" w14:textId="77777777" w:rsidR="00B2049D" w:rsidRDefault="00B2049D">
      <w:pPr>
        <w:spacing w:line="120" w:lineRule="auto"/>
        <w:jc w:val="right"/>
        <w:rPr>
          <w:sz w:val="20"/>
          <w:szCs w:val="20"/>
        </w:rPr>
      </w:pPr>
    </w:p>
    <w:p w14:paraId="62D0F948" w14:textId="77777777" w:rsidR="00B2049D" w:rsidRDefault="00B2049D">
      <w:pPr>
        <w:spacing w:line="120" w:lineRule="auto"/>
        <w:jc w:val="right"/>
        <w:rPr>
          <w:sz w:val="20"/>
          <w:szCs w:val="20"/>
        </w:rPr>
      </w:pPr>
    </w:p>
    <w:p w14:paraId="16F70C9A" w14:textId="77777777" w:rsidR="00F75221" w:rsidRDefault="000B2AC1">
      <w:pPr>
        <w:spacing w:line="120" w:lineRule="auto"/>
        <w:jc w:val="both"/>
        <w:rPr>
          <w:sz w:val="20"/>
          <w:szCs w:val="20"/>
        </w:rPr>
      </w:pPr>
      <w:r>
        <w:rPr>
          <w:sz w:val="20"/>
          <w:szCs w:val="20"/>
        </w:rPr>
        <w:t xml:space="preserve">                                                           </w:t>
      </w:r>
    </w:p>
    <w:tbl>
      <w:tblPr>
        <w:tblStyle w:val="TableGrid"/>
        <w:tblW w:w="0" w:type="auto"/>
        <w:tblLook w:val="04A0" w:firstRow="1" w:lastRow="0" w:firstColumn="1" w:lastColumn="0" w:noHBand="0" w:noVBand="1"/>
      </w:tblPr>
      <w:tblGrid>
        <w:gridCol w:w="9350"/>
      </w:tblGrid>
      <w:tr w:rsidR="00F75221" w14:paraId="4258A7EE" w14:textId="77777777">
        <w:tc>
          <w:tcPr>
            <w:tcW w:w="9576" w:type="dxa"/>
          </w:tcPr>
          <w:p w14:paraId="1EAB2299" w14:textId="77777777" w:rsidR="00F75221" w:rsidRDefault="000B2AC1">
            <w:pPr>
              <w:widowControl/>
              <w:spacing w:before="0" w:beforeAutospacing="0" w:line="240" w:lineRule="auto"/>
              <w:rPr>
                <w:b/>
                <w:sz w:val="20"/>
                <w:szCs w:val="20"/>
              </w:rPr>
            </w:pPr>
            <w:r>
              <w:rPr>
                <w:b/>
                <w:sz w:val="20"/>
                <w:szCs w:val="20"/>
              </w:rPr>
              <w:t>ABSTRACT</w:t>
            </w:r>
          </w:p>
          <w:p w14:paraId="265B1955" w14:textId="77777777" w:rsidR="00F75221" w:rsidRDefault="00F75221">
            <w:pPr>
              <w:pStyle w:val="Heading2"/>
              <w:keepNext w:val="0"/>
              <w:keepLines w:val="0"/>
              <w:widowControl/>
              <w:spacing w:before="0" w:after="0" w:line="240" w:lineRule="auto"/>
              <w:outlineLvl w:val="1"/>
              <w:rPr>
                <w:rFonts w:ascii="Arial" w:hAnsi="Arial" w:cs="Arial"/>
                <w:color w:val="auto"/>
                <w:sz w:val="20"/>
                <w:szCs w:val="20"/>
              </w:rPr>
            </w:pPr>
          </w:p>
          <w:p w14:paraId="0FE78BE0" w14:textId="77777777" w:rsidR="00F75221" w:rsidRDefault="000B2AC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Aim</w:t>
            </w:r>
          </w:p>
          <w:p w14:paraId="40EDDA7B" w14:textId="77777777" w:rsidR="00F75221" w:rsidRDefault="000B2AC1">
            <w:pPr>
              <w:pStyle w:val="NormalWeb"/>
              <w:widowControl/>
              <w:spacing w:beforeAutospacing="0" w:afterAutospacing="0"/>
              <w:rPr>
                <w:rFonts w:ascii="Arial" w:hAnsi="Arial" w:cs="Arial"/>
                <w:sz w:val="20"/>
                <w:szCs w:val="20"/>
              </w:rPr>
            </w:pPr>
            <w:r>
              <w:rPr>
                <w:rFonts w:ascii="Arial" w:hAnsi="Arial" w:cs="Arial"/>
                <w:sz w:val="20"/>
                <w:szCs w:val="20"/>
              </w:rPr>
              <w:t xml:space="preserve">Workplace bullying remains a significant occupational hazard in nursing, contributing to psychological distress, burnout, and workforce instability. Philippine health policy reiterates the </w:t>
            </w:r>
            <w:r>
              <w:rPr>
                <w:rStyle w:val="Strong"/>
                <w:rFonts w:ascii="Arial" w:hAnsi="Arial" w:cs="Arial"/>
                <w:b w:val="0"/>
                <w:bCs w:val="0"/>
                <w:sz w:val="20"/>
                <w:szCs w:val="20"/>
              </w:rPr>
              <w:t xml:space="preserve">rights of healthcare workers against bullying, harassment, </w:t>
            </w:r>
            <w:r>
              <w:rPr>
                <w:rStyle w:val="Strong"/>
                <w:rFonts w:ascii="Arial" w:hAnsi="Arial" w:cs="Arial"/>
                <w:b w:val="0"/>
                <w:bCs w:val="0"/>
                <w:sz w:val="20"/>
                <w:szCs w:val="20"/>
              </w:rPr>
              <w:t>and discrimination</w:t>
            </w:r>
            <w:r>
              <w:rPr>
                <w:rFonts w:ascii="Arial" w:hAnsi="Arial" w:cs="Arial"/>
                <w:sz w:val="20"/>
                <w:szCs w:val="20"/>
              </w:rPr>
              <w:t xml:space="preserve"> and mandates institutional compliance with protective mechanisms; however, limited qualitative evidence exists on how </w:t>
            </w:r>
            <w:r>
              <w:rPr>
                <w:rStyle w:val="Strong"/>
                <w:rFonts w:ascii="Arial" w:hAnsi="Arial" w:cs="Arial"/>
                <w:b w:val="0"/>
                <w:bCs w:val="0"/>
                <w:sz w:val="20"/>
                <w:szCs w:val="20"/>
              </w:rPr>
              <w:t>mental health nurses</w:t>
            </w:r>
            <w:r>
              <w:rPr>
                <w:rFonts w:ascii="Arial" w:hAnsi="Arial" w:cs="Arial"/>
                <w:sz w:val="20"/>
                <w:szCs w:val="20"/>
              </w:rPr>
              <w:t xml:space="preserve"> perceive and experience these protections within hospital settings. This study aimed to </w:t>
            </w:r>
            <w:r>
              <w:rPr>
                <w:rStyle w:val="Strong"/>
                <w:rFonts w:ascii="Arial" w:hAnsi="Arial" w:cs="Arial"/>
                <w:b w:val="0"/>
                <w:bCs w:val="0"/>
                <w:sz w:val="20"/>
                <w:szCs w:val="20"/>
              </w:rPr>
              <w:t xml:space="preserve">explore </w:t>
            </w:r>
            <w:r>
              <w:rPr>
                <w:rStyle w:val="Strong"/>
                <w:rFonts w:ascii="Arial" w:hAnsi="Arial" w:cs="Arial"/>
                <w:b w:val="0"/>
                <w:bCs w:val="0"/>
                <w:sz w:val="20"/>
                <w:szCs w:val="20"/>
              </w:rPr>
              <w:t>the perspectives of mental health nurses regarding institutional recognition and implementation of healthcare workers’ anti-bullying rights</w:t>
            </w:r>
            <w:r>
              <w:rPr>
                <w:rFonts w:ascii="Arial" w:hAnsi="Arial" w:cs="Arial"/>
                <w:sz w:val="20"/>
                <w:szCs w:val="20"/>
              </w:rPr>
              <w:t xml:space="preserve"> in the Philippine healthcare context.</w:t>
            </w:r>
          </w:p>
          <w:p w14:paraId="7FE36CCF" w14:textId="77777777" w:rsidR="00F75221" w:rsidRDefault="00F75221">
            <w:pPr>
              <w:pStyle w:val="NormalWeb"/>
              <w:widowControl/>
              <w:spacing w:beforeAutospacing="0" w:afterAutospacing="0"/>
              <w:rPr>
                <w:rFonts w:ascii="Arial" w:hAnsi="Arial" w:cs="Arial"/>
                <w:sz w:val="20"/>
                <w:szCs w:val="20"/>
              </w:rPr>
            </w:pPr>
          </w:p>
          <w:p w14:paraId="52D23004" w14:textId="77777777" w:rsidR="00F75221" w:rsidRDefault="000B2AC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Methods</w:t>
            </w:r>
          </w:p>
          <w:p w14:paraId="6488FC2B" w14:textId="77777777" w:rsidR="00F75221" w:rsidRDefault="000B2AC1">
            <w:pPr>
              <w:pStyle w:val="NormalWeb"/>
              <w:widowControl/>
              <w:spacing w:beforeAutospacing="0" w:afterAutospacing="0"/>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qualitative descriptive design</w:t>
            </w:r>
            <w:r>
              <w:rPr>
                <w:rFonts w:ascii="Arial" w:hAnsi="Arial" w:cs="Arial"/>
                <w:sz w:val="20"/>
                <w:szCs w:val="20"/>
              </w:rPr>
              <w:t xml:space="preserve"> was employed. Ten mental health nurs</w:t>
            </w:r>
            <w:r>
              <w:rPr>
                <w:rFonts w:ascii="Arial" w:hAnsi="Arial" w:cs="Arial"/>
                <w:sz w:val="20"/>
                <w:szCs w:val="20"/>
              </w:rPr>
              <w:t xml:space="preserve">es in the Philippines, each with </w:t>
            </w:r>
            <w:r>
              <w:rPr>
                <w:rStyle w:val="Strong"/>
                <w:rFonts w:ascii="Arial" w:hAnsi="Arial" w:cs="Arial"/>
                <w:b w:val="0"/>
                <w:bCs w:val="0"/>
                <w:sz w:val="20"/>
                <w:szCs w:val="20"/>
              </w:rPr>
              <w:t>at least ten years of clinical experience</w:t>
            </w:r>
            <w:r>
              <w:rPr>
                <w:rFonts w:ascii="Arial" w:hAnsi="Arial" w:cs="Arial"/>
                <w:sz w:val="20"/>
                <w:szCs w:val="20"/>
              </w:rPr>
              <w:t xml:space="preserve">, were selected through </w:t>
            </w:r>
            <w:r>
              <w:rPr>
                <w:rStyle w:val="Strong"/>
                <w:rFonts w:ascii="Arial" w:hAnsi="Arial" w:cs="Arial"/>
                <w:b w:val="0"/>
                <w:bCs w:val="0"/>
                <w:sz w:val="20"/>
                <w:szCs w:val="20"/>
              </w:rPr>
              <w:t>purposive sampling</w:t>
            </w:r>
            <w:r>
              <w:rPr>
                <w:rFonts w:ascii="Arial" w:hAnsi="Arial" w:cs="Arial"/>
                <w:sz w:val="20"/>
                <w:szCs w:val="20"/>
              </w:rPr>
              <w:t xml:space="preserve">. Data were gathered using </w:t>
            </w:r>
            <w:r>
              <w:rPr>
                <w:rStyle w:val="Strong"/>
                <w:rFonts w:ascii="Arial" w:hAnsi="Arial" w:cs="Arial"/>
                <w:b w:val="0"/>
                <w:bCs w:val="0"/>
                <w:sz w:val="20"/>
                <w:szCs w:val="20"/>
              </w:rPr>
              <w:t>expert-validated semi-structured online interviews</w:t>
            </w:r>
            <w:r>
              <w:rPr>
                <w:rFonts w:ascii="Arial" w:hAnsi="Arial" w:cs="Arial"/>
                <w:sz w:val="20"/>
                <w:szCs w:val="20"/>
              </w:rPr>
              <w:t>, audio-recorded, manually transcribed verbatim, and analyzed t</w:t>
            </w:r>
            <w:r>
              <w:rPr>
                <w:rFonts w:ascii="Arial" w:hAnsi="Arial" w:cs="Arial"/>
                <w:sz w:val="20"/>
                <w:szCs w:val="20"/>
              </w:rPr>
              <w:t xml:space="preserve">hrough </w:t>
            </w:r>
            <w:r>
              <w:rPr>
                <w:rStyle w:val="Strong"/>
                <w:rFonts w:ascii="Arial" w:hAnsi="Arial" w:cs="Arial"/>
                <w:b w:val="0"/>
                <w:bCs w:val="0"/>
                <w:sz w:val="20"/>
                <w:szCs w:val="20"/>
              </w:rPr>
              <w:t>reflexive thematic analysis</w:t>
            </w:r>
            <w:r>
              <w:rPr>
                <w:rFonts w:ascii="Arial" w:hAnsi="Arial" w:cs="Arial"/>
                <w:sz w:val="20"/>
                <w:szCs w:val="20"/>
              </w:rPr>
              <w:t xml:space="preserve"> following Braun and Clarke’s framework. Data collection continued until </w:t>
            </w:r>
            <w:r>
              <w:rPr>
                <w:rStyle w:val="Strong"/>
                <w:rFonts w:ascii="Arial" w:hAnsi="Arial" w:cs="Arial"/>
                <w:b w:val="0"/>
                <w:bCs w:val="0"/>
                <w:sz w:val="20"/>
                <w:szCs w:val="20"/>
              </w:rPr>
              <w:t>saturation</w:t>
            </w:r>
            <w:r>
              <w:rPr>
                <w:rFonts w:ascii="Arial" w:hAnsi="Arial" w:cs="Arial"/>
                <w:sz w:val="20"/>
                <w:szCs w:val="20"/>
              </w:rPr>
              <w:t xml:space="preserve"> was achieved.</w:t>
            </w:r>
          </w:p>
          <w:p w14:paraId="763EDAFB" w14:textId="77777777" w:rsidR="00F75221" w:rsidRDefault="00F75221">
            <w:pPr>
              <w:pStyle w:val="NormalWeb"/>
              <w:widowControl/>
              <w:spacing w:beforeAutospacing="0" w:afterAutospacing="0"/>
              <w:rPr>
                <w:rFonts w:ascii="Arial" w:hAnsi="Arial" w:cs="Arial"/>
                <w:sz w:val="20"/>
                <w:szCs w:val="20"/>
              </w:rPr>
            </w:pPr>
          </w:p>
          <w:p w14:paraId="6463B575" w14:textId="77777777" w:rsidR="00F75221" w:rsidRDefault="000B2AC1">
            <w:pPr>
              <w:pStyle w:val="NormalWeb"/>
              <w:widowControl/>
              <w:spacing w:beforeAutospacing="0" w:afterAutospacing="0"/>
              <w:rPr>
                <w:rFonts w:ascii="Arial" w:hAnsi="Arial" w:cs="Arial"/>
                <w:b/>
                <w:bCs/>
                <w:sz w:val="20"/>
                <w:szCs w:val="20"/>
              </w:rPr>
            </w:pPr>
            <w:r>
              <w:rPr>
                <w:rFonts w:ascii="Arial" w:hAnsi="Arial" w:cs="Arial"/>
                <w:b/>
                <w:bCs/>
                <w:sz w:val="20"/>
                <w:szCs w:val="20"/>
              </w:rPr>
              <w:t>Results and Discussion</w:t>
            </w:r>
          </w:p>
          <w:p w14:paraId="60354775" w14:textId="77777777" w:rsidR="00F75221" w:rsidRDefault="000B2AC1">
            <w:pPr>
              <w:pStyle w:val="NormalWeb"/>
              <w:widowControl/>
              <w:spacing w:beforeAutospacing="0" w:afterAutospacing="0"/>
              <w:rPr>
                <w:rFonts w:ascii="Arial" w:hAnsi="Arial" w:cs="Arial"/>
                <w:sz w:val="20"/>
                <w:szCs w:val="20"/>
              </w:rPr>
            </w:pPr>
            <w:r>
              <w:rPr>
                <w:rFonts w:ascii="Arial" w:hAnsi="Arial" w:cs="Arial"/>
                <w:sz w:val="20"/>
                <w:szCs w:val="20"/>
              </w:rPr>
              <w:t xml:space="preserve">Three interrelated themes emerged: </w:t>
            </w:r>
            <w:r>
              <w:rPr>
                <w:rStyle w:val="Strong"/>
                <w:rFonts w:ascii="Arial" w:hAnsi="Arial" w:cs="Arial"/>
                <w:b w:val="0"/>
                <w:bCs w:val="0"/>
                <w:sz w:val="20"/>
                <w:szCs w:val="20"/>
              </w:rPr>
              <w:t>(1) institutional protection, enforcement, and compliance; (2) or</w:t>
            </w:r>
            <w:r>
              <w:rPr>
                <w:rStyle w:val="Strong"/>
                <w:rFonts w:ascii="Arial" w:hAnsi="Arial" w:cs="Arial"/>
                <w:b w:val="0"/>
                <w:bCs w:val="0"/>
                <w:sz w:val="20"/>
                <w:szCs w:val="20"/>
              </w:rPr>
              <w:t>ganizational and sociocultural barriers to exercising rights; and (3) psychological and professional consequences of protection gaps</w:t>
            </w:r>
            <w:r>
              <w:rPr>
                <w:rFonts w:ascii="Arial" w:hAnsi="Arial" w:cs="Arial"/>
                <w:sz w:val="20"/>
                <w:szCs w:val="20"/>
              </w:rPr>
              <w:t xml:space="preserve">. Although institutional policies formally recognize healthcare workers’ rights, </w:t>
            </w:r>
            <w:r>
              <w:rPr>
                <w:rStyle w:val="Strong"/>
                <w:rFonts w:ascii="Arial" w:hAnsi="Arial" w:cs="Arial"/>
                <w:b w:val="0"/>
                <w:bCs w:val="0"/>
                <w:sz w:val="20"/>
                <w:szCs w:val="20"/>
              </w:rPr>
              <w:t>inconsistent enforcement, limited transpare</w:t>
            </w:r>
            <w:r>
              <w:rPr>
                <w:rStyle w:val="Strong"/>
                <w:rFonts w:ascii="Arial" w:hAnsi="Arial" w:cs="Arial"/>
                <w:b w:val="0"/>
                <w:bCs w:val="0"/>
                <w:sz w:val="20"/>
                <w:szCs w:val="20"/>
              </w:rPr>
              <w:t>ncy in reporting systems, and variable leadership accountability</w:t>
            </w:r>
            <w:r>
              <w:rPr>
                <w:rFonts w:ascii="Arial" w:hAnsi="Arial" w:cs="Arial"/>
                <w:sz w:val="20"/>
                <w:szCs w:val="20"/>
              </w:rPr>
              <w:t xml:space="preserve"> hinder meaningful protection. Hierarchical workplace culture, fear of retaliation, and normalization of incivility further restrict nurses’ ability to exercise anti-bullying rights. Consequen</w:t>
            </w:r>
            <w:r>
              <w:rPr>
                <w:rFonts w:ascii="Arial" w:hAnsi="Arial" w:cs="Arial"/>
                <w:sz w:val="20"/>
                <w:szCs w:val="20"/>
              </w:rPr>
              <w:t xml:space="preserve">tly, inadequate protection contributes to </w:t>
            </w:r>
            <w:r>
              <w:rPr>
                <w:rStyle w:val="Strong"/>
                <w:rFonts w:ascii="Arial" w:hAnsi="Arial" w:cs="Arial"/>
                <w:b w:val="0"/>
                <w:bCs w:val="0"/>
                <w:sz w:val="20"/>
                <w:szCs w:val="20"/>
              </w:rPr>
              <w:t>emotional distress, burnout, reduced job satisfaction, and intentions to leave the profession</w:t>
            </w:r>
            <w:r>
              <w:rPr>
                <w:rFonts w:ascii="Arial" w:hAnsi="Arial" w:cs="Arial"/>
                <w:sz w:val="20"/>
                <w:szCs w:val="20"/>
              </w:rPr>
              <w:t>, highlighting the multilevel organizational nature of workplace bullying and its implications for workforce stability an</w:t>
            </w:r>
            <w:r>
              <w:rPr>
                <w:rFonts w:ascii="Arial" w:hAnsi="Arial" w:cs="Arial"/>
                <w:sz w:val="20"/>
                <w:szCs w:val="20"/>
              </w:rPr>
              <w:t>d patient care.</w:t>
            </w:r>
          </w:p>
          <w:p w14:paraId="77033A4D" w14:textId="77777777" w:rsidR="00F75221" w:rsidRDefault="00F75221">
            <w:pPr>
              <w:pStyle w:val="NormalWeb"/>
              <w:widowControl/>
              <w:spacing w:beforeAutospacing="0" w:afterAutospacing="0"/>
              <w:rPr>
                <w:rFonts w:ascii="Arial" w:hAnsi="Arial" w:cs="Arial"/>
                <w:sz w:val="20"/>
                <w:szCs w:val="20"/>
              </w:rPr>
            </w:pPr>
          </w:p>
          <w:p w14:paraId="51E0A444" w14:textId="77777777" w:rsidR="00F75221" w:rsidRDefault="000B2AC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Conclusions</w:t>
            </w:r>
          </w:p>
          <w:p w14:paraId="320AAE21" w14:textId="77777777" w:rsidR="00F75221" w:rsidRDefault="000B2AC1">
            <w:pPr>
              <w:pStyle w:val="NormalWeb"/>
              <w:widowControl/>
              <w:spacing w:beforeAutospacing="0" w:afterAutospacing="0"/>
              <w:rPr>
                <w:rFonts w:ascii="Arial" w:hAnsi="Arial" w:cs="Arial"/>
                <w:sz w:val="20"/>
                <w:szCs w:val="20"/>
              </w:rPr>
            </w:pPr>
            <w:r>
              <w:rPr>
                <w:rFonts w:ascii="Arial" w:hAnsi="Arial" w:cs="Arial"/>
                <w:sz w:val="20"/>
                <w:szCs w:val="20"/>
              </w:rPr>
              <w:t xml:space="preserve">Workplace bullying in mental health nursing is a </w:t>
            </w:r>
            <w:r>
              <w:rPr>
                <w:rStyle w:val="Strong"/>
                <w:rFonts w:ascii="Arial" w:hAnsi="Arial" w:cs="Arial"/>
                <w:b w:val="0"/>
                <w:bCs w:val="0"/>
                <w:sz w:val="20"/>
                <w:szCs w:val="20"/>
              </w:rPr>
              <w:t>systemic organizational phenomenon</w:t>
            </w:r>
            <w:r>
              <w:rPr>
                <w:rFonts w:ascii="Arial" w:hAnsi="Arial" w:cs="Arial"/>
                <w:sz w:val="20"/>
                <w:szCs w:val="20"/>
              </w:rPr>
              <w:t xml:space="preserve"> shaped by the interaction of </w:t>
            </w:r>
            <w:r>
              <w:rPr>
                <w:rStyle w:val="Strong"/>
                <w:rFonts w:ascii="Arial" w:hAnsi="Arial" w:cs="Arial"/>
                <w:b w:val="0"/>
                <w:bCs w:val="0"/>
                <w:sz w:val="20"/>
                <w:szCs w:val="20"/>
              </w:rPr>
              <w:t>policy implementation, workplace culture, and individual psychological outcomes</w:t>
            </w:r>
            <w:r>
              <w:rPr>
                <w:rFonts w:ascii="Arial" w:hAnsi="Arial" w:cs="Arial"/>
                <w:sz w:val="20"/>
                <w:szCs w:val="20"/>
              </w:rPr>
              <w:t xml:space="preserve"> rather than isolated interpersonal</w:t>
            </w:r>
            <w:r>
              <w:rPr>
                <w:rFonts w:ascii="Arial" w:hAnsi="Arial" w:cs="Arial"/>
                <w:sz w:val="20"/>
                <w:szCs w:val="20"/>
              </w:rPr>
              <w:t xml:space="preserve"> conflict. Formal recognition of anti-bullying rights is insufficient without </w:t>
            </w:r>
            <w:r>
              <w:rPr>
                <w:rStyle w:val="Strong"/>
                <w:rFonts w:ascii="Arial" w:hAnsi="Arial" w:cs="Arial"/>
                <w:b w:val="0"/>
                <w:bCs w:val="0"/>
                <w:sz w:val="20"/>
                <w:szCs w:val="20"/>
              </w:rPr>
              <w:t>consistent institutional enforcement, psychologically safe leadership, and supportive organizational environments</w:t>
            </w:r>
            <w:r>
              <w:rPr>
                <w:rFonts w:ascii="Arial" w:hAnsi="Arial" w:cs="Arial"/>
                <w:sz w:val="20"/>
                <w:szCs w:val="20"/>
              </w:rPr>
              <w:t>.</w:t>
            </w:r>
          </w:p>
          <w:p w14:paraId="5EC6F144" w14:textId="77777777" w:rsidR="00F75221" w:rsidRDefault="00F75221">
            <w:pPr>
              <w:pStyle w:val="NormalWeb"/>
              <w:widowControl/>
              <w:spacing w:beforeAutospacing="0" w:afterAutospacing="0"/>
              <w:rPr>
                <w:rFonts w:ascii="Arial" w:hAnsi="Arial" w:cs="Arial"/>
                <w:sz w:val="20"/>
                <w:szCs w:val="20"/>
              </w:rPr>
            </w:pPr>
          </w:p>
          <w:p w14:paraId="1122B046" w14:textId="77777777" w:rsidR="00F75221" w:rsidRDefault="000B2AC1">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Recommendations</w:t>
            </w:r>
          </w:p>
          <w:p w14:paraId="7AD1167D" w14:textId="77777777" w:rsidR="00F75221" w:rsidRDefault="000B2AC1">
            <w:pPr>
              <w:pStyle w:val="NormalWeb"/>
              <w:widowControl/>
              <w:spacing w:beforeAutospacing="0" w:afterAutospacing="0"/>
              <w:rPr>
                <w:rStyle w:val="Strong"/>
                <w:rFonts w:ascii="Arial" w:hAnsi="Arial" w:cs="Arial"/>
                <w:sz w:val="20"/>
                <w:szCs w:val="20"/>
              </w:rPr>
            </w:pPr>
            <w:r>
              <w:rPr>
                <w:rFonts w:ascii="Arial" w:hAnsi="Arial" w:cs="Arial"/>
                <w:sz w:val="20"/>
                <w:szCs w:val="20"/>
              </w:rPr>
              <w:t xml:space="preserve">Healthcare institutions should strengthen </w:t>
            </w:r>
            <w:r>
              <w:rPr>
                <w:rStyle w:val="Strong"/>
                <w:rFonts w:ascii="Arial" w:hAnsi="Arial" w:cs="Arial"/>
                <w:b w:val="0"/>
                <w:bCs w:val="0"/>
                <w:sz w:val="20"/>
                <w:szCs w:val="20"/>
              </w:rPr>
              <w:t>enfo</w:t>
            </w:r>
            <w:r>
              <w:rPr>
                <w:rStyle w:val="Strong"/>
                <w:rFonts w:ascii="Arial" w:hAnsi="Arial" w:cs="Arial"/>
                <w:b w:val="0"/>
                <w:bCs w:val="0"/>
                <w:sz w:val="20"/>
                <w:szCs w:val="20"/>
              </w:rPr>
              <w:t>rcement and accountability mechanisms</w:t>
            </w:r>
            <w:r>
              <w:rPr>
                <w:rFonts w:ascii="Arial" w:hAnsi="Arial" w:cs="Arial"/>
                <w:sz w:val="20"/>
                <w:szCs w:val="20"/>
              </w:rPr>
              <w:t xml:space="preserve">, ensure </w:t>
            </w:r>
            <w:r>
              <w:rPr>
                <w:rStyle w:val="Strong"/>
                <w:rFonts w:ascii="Arial" w:hAnsi="Arial" w:cs="Arial"/>
                <w:b w:val="0"/>
                <w:bCs w:val="0"/>
                <w:sz w:val="20"/>
                <w:szCs w:val="20"/>
              </w:rPr>
              <w:t>transparent and confidential reporting systems</w:t>
            </w:r>
            <w:r>
              <w:rPr>
                <w:rFonts w:ascii="Arial" w:hAnsi="Arial" w:cs="Arial"/>
                <w:sz w:val="20"/>
                <w:szCs w:val="20"/>
              </w:rPr>
              <w:t xml:space="preserve">, and promote </w:t>
            </w:r>
            <w:r>
              <w:rPr>
                <w:rStyle w:val="Strong"/>
                <w:rFonts w:ascii="Arial" w:hAnsi="Arial" w:cs="Arial"/>
                <w:b w:val="0"/>
                <w:bCs w:val="0"/>
                <w:sz w:val="20"/>
                <w:szCs w:val="20"/>
              </w:rPr>
              <w:t>leadership practices that foster psychological safety and ethical governance</w:t>
            </w:r>
            <w:r>
              <w:rPr>
                <w:rFonts w:ascii="Arial" w:hAnsi="Arial" w:cs="Arial"/>
                <w:sz w:val="20"/>
                <w:szCs w:val="20"/>
              </w:rPr>
              <w:t xml:space="preserve">. Organizational culture-change initiatives and </w:t>
            </w:r>
            <w:r>
              <w:rPr>
                <w:rStyle w:val="Strong"/>
                <w:rFonts w:ascii="Arial" w:hAnsi="Arial" w:cs="Arial"/>
                <w:b w:val="0"/>
                <w:bCs w:val="0"/>
                <w:sz w:val="20"/>
                <w:szCs w:val="20"/>
              </w:rPr>
              <w:t xml:space="preserve">accessible mental health </w:t>
            </w:r>
            <w:r>
              <w:rPr>
                <w:rStyle w:val="Strong"/>
                <w:rFonts w:ascii="Arial" w:hAnsi="Arial" w:cs="Arial"/>
                <w:b w:val="0"/>
                <w:bCs w:val="0"/>
                <w:sz w:val="20"/>
                <w:szCs w:val="20"/>
              </w:rPr>
              <w:t>support services</w:t>
            </w:r>
            <w:r>
              <w:rPr>
                <w:rFonts w:ascii="Arial" w:hAnsi="Arial" w:cs="Arial"/>
                <w:sz w:val="20"/>
                <w:szCs w:val="20"/>
              </w:rPr>
              <w:t xml:space="preserve"> for nurses are essential to mitigate the psychological and professional consequences of bullying. At the health-system level, enhanced </w:t>
            </w:r>
            <w:r>
              <w:rPr>
                <w:rStyle w:val="Strong"/>
                <w:rFonts w:ascii="Arial" w:hAnsi="Arial" w:cs="Arial"/>
                <w:b w:val="0"/>
                <w:bCs w:val="0"/>
                <w:sz w:val="20"/>
                <w:szCs w:val="20"/>
              </w:rPr>
              <w:t>monitoring of institutional compliance</w:t>
            </w:r>
            <w:r>
              <w:rPr>
                <w:rFonts w:ascii="Arial" w:hAnsi="Arial" w:cs="Arial"/>
                <w:sz w:val="20"/>
                <w:szCs w:val="20"/>
              </w:rPr>
              <w:t xml:space="preserve"> and further </w:t>
            </w:r>
            <w:r>
              <w:rPr>
                <w:rStyle w:val="Strong"/>
                <w:rFonts w:ascii="Arial" w:hAnsi="Arial" w:cs="Arial"/>
                <w:b w:val="0"/>
                <w:bCs w:val="0"/>
                <w:sz w:val="20"/>
                <w:szCs w:val="20"/>
              </w:rPr>
              <w:t>multi-site or longitudinal research</w:t>
            </w:r>
            <w:r>
              <w:rPr>
                <w:rFonts w:ascii="Arial" w:hAnsi="Arial" w:cs="Arial"/>
                <w:sz w:val="20"/>
                <w:szCs w:val="20"/>
              </w:rPr>
              <w:t xml:space="preserve"> are recommended t</w:t>
            </w:r>
            <w:r>
              <w:rPr>
                <w:rFonts w:ascii="Arial" w:hAnsi="Arial" w:cs="Arial"/>
                <w:sz w:val="20"/>
                <w:szCs w:val="20"/>
              </w:rPr>
              <w:t>o support sustainable protection of healthcare workers and the quality of mental health services.</w:t>
            </w:r>
          </w:p>
        </w:tc>
      </w:tr>
    </w:tbl>
    <w:p w14:paraId="5E2F2C4D" w14:textId="77777777" w:rsidR="00F75221" w:rsidRDefault="000B2AC1">
      <w:pPr>
        <w:jc w:val="both"/>
        <w:rPr>
          <w:color w:val="FF0000"/>
          <w:sz w:val="20"/>
          <w:szCs w:val="20"/>
        </w:rPr>
      </w:pPr>
      <w:r>
        <w:rPr>
          <w:b/>
          <w:i/>
          <w:iCs/>
          <w:sz w:val="20"/>
          <w:szCs w:val="20"/>
        </w:rPr>
        <w:lastRenderedPageBreak/>
        <w:t xml:space="preserve">Keywords: </w:t>
      </w:r>
      <w:r>
        <w:rPr>
          <w:rFonts w:eastAsia="SimSun"/>
          <w:i/>
          <w:iCs/>
          <w:sz w:val="20"/>
          <w:szCs w:val="20"/>
        </w:rPr>
        <w:t>Workplace bullying; Mental health nurses; Healthcare workers’ rights; Policy implementation; Qualitative descriptive research</w:t>
      </w:r>
    </w:p>
    <w:p w14:paraId="52C373D1" w14:textId="77777777" w:rsidR="00F75221" w:rsidRDefault="000B2AC1">
      <w:pPr>
        <w:jc w:val="both"/>
        <w:rPr>
          <w:b/>
          <w:i/>
          <w:iCs/>
          <w:sz w:val="20"/>
          <w:szCs w:val="20"/>
        </w:rPr>
      </w:pPr>
      <w:r>
        <w:rPr>
          <w:b/>
          <w:i/>
          <w:iCs/>
          <w:sz w:val="20"/>
          <w:szCs w:val="20"/>
        </w:rPr>
        <w:t xml:space="preserve"> </w:t>
      </w:r>
    </w:p>
    <w:p w14:paraId="2F3EFDB5" w14:textId="77777777" w:rsidR="00F75221" w:rsidRDefault="000B2AC1">
      <w:pPr>
        <w:rPr>
          <w:b/>
          <w:sz w:val="20"/>
          <w:szCs w:val="20"/>
        </w:rPr>
      </w:pPr>
      <w:r>
        <w:rPr>
          <w:b/>
          <w:sz w:val="20"/>
          <w:szCs w:val="20"/>
        </w:rPr>
        <w:t>1. INTRODUCTION</w:t>
      </w:r>
    </w:p>
    <w:p w14:paraId="1E97C7FF" w14:textId="77777777" w:rsidR="00F75221" w:rsidRDefault="000B2AC1">
      <w:pPr>
        <w:pStyle w:val="NormalWeb"/>
        <w:jc w:val="both"/>
        <w:rPr>
          <w:rFonts w:ascii="Arial" w:hAnsi="Arial" w:cs="Arial"/>
          <w:sz w:val="20"/>
          <w:szCs w:val="20"/>
        </w:rPr>
      </w:pPr>
      <w:r>
        <w:rPr>
          <w:rFonts w:ascii="Arial" w:hAnsi="Arial" w:cs="Arial"/>
          <w:sz w:val="20"/>
          <w:szCs w:val="20"/>
        </w:rPr>
        <w:t>Wor</w:t>
      </w:r>
      <w:r>
        <w:rPr>
          <w:rFonts w:ascii="Arial" w:hAnsi="Arial" w:cs="Arial"/>
          <w:sz w:val="20"/>
          <w:szCs w:val="20"/>
        </w:rPr>
        <w:t>kplace bullying has emerged as a persistent occupational hazard in nursing, characterized by repeated exposure to hostile interpersonal behaviors that threaten nurses’ psychological well-being, professional functioning, and quality of patient care. Contemp</w:t>
      </w:r>
      <w:r>
        <w:rPr>
          <w:rFonts w:ascii="Arial" w:hAnsi="Arial" w:cs="Arial"/>
          <w:sz w:val="20"/>
          <w:szCs w:val="20"/>
        </w:rPr>
        <w:t xml:space="preserve">orary systematic reviews demonstrate that bullying among nurses is strongly associated with </w:t>
      </w:r>
      <w:r>
        <w:rPr>
          <w:rStyle w:val="Strong"/>
          <w:rFonts w:ascii="Arial" w:hAnsi="Arial" w:cs="Arial"/>
          <w:b w:val="0"/>
          <w:bCs w:val="0"/>
          <w:sz w:val="20"/>
          <w:szCs w:val="20"/>
        </w:rPr>
        <w:t>mental and physical health problems, job stress, burnout, and reduced professional quality of life</w:t>
      </w:r>
      <w:r>
        <w:rPr>
          <w:rFonts w:ascii="Arial" w:hAnsi="Arial" w:cs="Arial"/>
          <w:sz w:val="20"/>
          <w:szCs w:val="20"/>
        </w:rPr>
        <w:t>, underscoring its significance as both a workforce and healthcare</w:t>
      </w:r>
      <w:r>
        <w:rPr>
          <w:rFonts w:ascii="Arial" w:hAnsi="Arial" w:cs="Arial"/>
          <w:sz w:val="20"/>
          <w:szCs w:val="20"/>
        </w:rPr>
        <w:t xml:space="preserve">-system concern (Galanis et al., 2024; Sun et al., 2025). Qualitative synthesis of nurses’ lived experiences further reveals a </w:t>
      </w:r>
      <w:r>
        <w:rPr>
          <w:rStyle w:val="Strong"/>
          <w:rFonts w:ascii="Arial" w:hAnsi="Arial" w:cs="Arial"/>
          <w:b w:val="0"/>
          <w:bCs w:val="0"/>
          <w:sz w:val="20"/>
          <w:szCs w:val="20"/>
        </w:rPr>
        <w:t>cyclical pattern of bullying</w:t>
      </w:r>
      <w:r>
        <w:rPr>
          <w:rFonts w:ascii="Arial" w:hAnsi="Arial" w:cs="Arial"/>
          <w:sz w:val="20"/>
          <w:szCs w:val="20"/>
        </w:rPr>
        <w:t>, shaped by hidden organizational drivers, varied manifestations of abuse, profound psychological imp</w:t>
      </w:r>
      <w:r>
        <w:rPr>
          <w:rFonts w:ascii="Arial" w:hAnsi="Arial" w:cs="Arial"/>
          <w:sz w:val="20"/>
          <w:szCs w:val="20"/>
        </w:rPr>
        <w:t>act, and complex coping responses, indicating that bullying is embedded within workplace culture rather than isolated interpersonal conflict (Shorey &amp; Wong, 2021). Evidence from intensive-care settings similarly highlights that horizontal violence and bull</w:t>
      </w:r>
      <w:r>
        <w:rPr>
          <w:rFonts w:ascii="Arial" w:hAnsi="Arial" w:cs="Arial"/>
          <w:sz w:val="20"/>
          <w:szCs w:val="20"/>
        </w:rPr>
        <w:t xml:space="preserve">ying influence </w:t>
      </w:r>
      <w:r>
        <w:rPr>
          <w:rStyle w:val="Strong"/>
          <w:rFonts w:ascii="Arial" w:hAnsi="Arial" w:cs="Arial"/>
          <w:b w:val="0"/>
          <w:bCs w:val="0"/>
          <w:sz w:val="20"/>
          <w:szCs w:val="20"/>
        </w:rPr>
        <w:t>nurse retention, well-being, and care quality</w:t>
      </w:r>
      <w:r>
        <w:rPr>
          <w:rFonts w:ascii="Arial" w:hAnsi="Arial" w:cs="Arial"/>
          <w:sz w:val="20"/>
          <w:szCs w:val="20"/>
        </w:rPr>
        <w:t>, emphasizing the need for policy-level and organizational interventions to create supportive clinical environments (Zhang et al., 2025).</w:t>
      </w:r>
    </w:p>
    <w:p w14:paraId="3FE040CD" w14:textId="77777777" w:rsidR="00F75221" w:rsidRDefault="000B2AC1">
      <w:pPr>
        <w:pStyle w:val="NormalWeb"/>
        <w:jc w:val="both"/>
        <w:rPr>
          <w:rFonts w:ascii="Arial" w:hAnsi="Arial" w:cs="Arial"/>
          <w:sz w:val="20"/>
          <w:szCs w:val="20"/>
        </w:rPr>
      </w:pPr>
      <w:r>
        <w:rPr>
          <w:rFonts w:ascii="Arial" w:hAnsi="Arial" w:cs="Arial"/>
          <w:sz w:val="20"/>
          <w:szCs w:val="20"/>
        </w:rPr>
        <w:t xml:space="preserve">Beyond prevalence and impact, research identifies </w:t>
      </w:r>
      <w:r>
        <w:rPr>
          <w:rStyle w:val="Strong"/>
          <w:rFonts w:ascii="Arial" w:hAnsi="Arial" w:cs="Arial"/>
          <w:b w:val="0"/>
          <w:bCs w:val="0"/>
          <w:sz w:val="20"/>
          <w:szCs w:val="20"/>
        </w:rPr>
        <w:t>organizational culture, emotional intelligence, and meritocratic beliefs</w:t>
      </w:r>
      <w:r>
        <w:rPr>
          <w:rFonts w:ascii="Arial" w:hAnsi="Arial" w:cs="Arial"/>
          <w:sz w:val="20"/>
          <w:szCs w:val="20"/>
        </w:rPr>
        <w:t xml:space="preserve"> as significant predictors of bullying experiences among hospital nurses, reinforcing the view that workplace bullying is shaped by systemic and leadership-related conditions rather th</w:t>
      </w:r>
      <w:r>
        <w:rPr>
          <w:rFonts w:ascii="Arial" w:hAnsi="Arial" w:cs="Arial"/>
          <w:sz w:val="20"/>
          <w:szCs w:val="20"/>
        </w:rPr>
        <w:t xml:space="preserve">an individual vulnerability alone (Jang et al., 2024). Studies also show that bullying contributes to </w:t>
      </w:r>
      <w:r>
        <w:rPr>
          <w:rStyle w:val="Strong"/>
          <w:rFonts w:ascii="Arial" w:hAnsi="Arial" w:cs="Arial"/>
          <w:b w:val="0"/>
          <w:bCs w:val="0"/>
          <w:sz w:val="20"/>
          <w:szCs w:val="20"/>
        </w:rPr>
        <w:t>quiet quitting, disengagement, and reduced job satisfaction</w:t>
      </w:r>
      <w:r>
        <w:rPr>
          <w:rFonts w:ascii="Arial" w:hAnsi="Arial" w:cs="Arial"/>
          <w:sz w:val="20"/>
          <w:szCs w:val="20"/>
        </w:rPr>
        <w:t>, mediated by coping strategies and workplace support, further linking bullying to broader work</w:t>
      </w:r>
      <w:r>
        <w:rPr>
          <w:rFonts w:ascii="Arial" w:hAnsi="Arial" w:cs="Arial"/>
          <w:sz w:val="20"/>
          <w:szCs w:val="20"/>
        </w:rPr>
        <w:t xml:space="preserve">force sustainability challenges (Galanis et al., 2024). Collectively, these findings establish workplace bullying as a </w:t>
      </w:r>
      <w:r>
        <w:rPr>
          <w:rStyle w:val="Strong"/>
          <w:rFonts w:ascii="Arial" w:hAnsi="Arial" w:cs="Arial"/>
          <w:b w:val="0"/>
          <w:bCs w:val="0"/>
          <w:sz w:val="20"/>
          <w:szCs w:val="20"/>
        </w:rPr>
        <w:t>multidimensional organizational phenomenon</w:t>
      </w:r>
      <w:r>
        <w:rPr>
          <w:rFonts w:ascii="Arial" w:hAnsi="Arial" w:cs="Arial"/>
          <w:sz w:val="20"/>
          <w:szCs w:val="20"/>
        </w:rPr>
        <w:t xml:space="preserve"> requiring coordinated governance, cultural transformation, and protective policy mechanisms.</w:t>
      </w:r>
    </w:p>
    <w:p w14:paraId="1922D709" w14:textId="77777777" w:rsidR="00F75221" w:rsidRDefault="000B2AC1">
      <w:pPr>
        <w:pStyle w:val="NormalWeb"/>
        <w:jc w:val="both"/>
        <w:rPr>
          <w:rFonts w:ascii="Arial" w:hAnsi="Arial" w:cs="Arial"/>
          <w:sz w:val="20"/>
          <w:szCs w:val="20"/>
        </w:rPr>
      </w:pPr>
      <w:r>
        <w:rPr>
          <w:rFonts w:ascii="Arial" w:hAnsi="Arial" w:cs="Arial"/>
          <w:sz w:val="20"/>
          <w:szCs w:val="20"/>
        </w:rPr>
        <w:t>I</w:t>
      </w:r>
      <w:r>
        <w:rPr>
          <w:rFonts w:ascii="Arial" w:hAnsi="Arial" w:cs="Arial"/>
          <w:sz w:val="20"/>
          <w:szCs w:val="20"/>
        </w:rPr>
        <w:t xml:space="preserve">n response to the growing recognition of bullying as a health-sector safety and human-rights issue, the Philippine Department of Health issued </w:t>
      </w:r>
      <w:r>
        <w:rPr>
          <w:rStyle w:val="Strong"/>
          <w:rFonts w:ascii="Arial" w:hAnsi="Arial" w:cs="Arial"/>
          <w:b w:val="0"/>
          <w:bCs w:val="0"/>
          <w:sz w:val="20"/>
          <w:szCs w:val="20"/>
        </w:rPr>
        <w:t>Department Memorandum 2024-0148</w:t>
      </w:r>
      <w:r>
        <w:rPr>
          <w:rFonts w:ascii="Arial" w:hAnsi="Arial" w:cs="Arial"/>
          <w:sz w:val="20"/>
          <w:szCs w:val="20"/>
        </w:rPr>
        <w:t xml:space="preserve">, reiterating healthcare workers’ rights against </w:t>
      </w:r>
      <w:r>
        <w:rPr>
          <w:rStyle w:val="Strong"/>
          <w:rFonts w:ascii="Arial" w:hAnsi="Arial" w:cs="Arial"/>
          <w:b w:val="0"/>
          <w:bCs w:val="0"/>
          <w:sz w:val="20"/>
          <w:szCs w:val="20"/>
        </w:rPr>
        <w:t>bullying, harassment, and discrim</w:t>
      </w:r>
      <w:r>
        <w:rPr>
          <w:rStyle w:val="Strong"/>
          <w:rFonts w:ascii="Arial" w:hAnsi="Arial" w:cs="Arial"/>
          <w:b w:val="0"/>
          <w:bCs w:val="0"/>
          <w:sz w:val="20"/>
          <w:szCs w:val="20"/>
        </w:rPr>
        <w:t>ination</w:t>
      </w:r>
      <w:r>
        <w:rPr>
          <w:rFonts w:ascii="Arial" w:hAnsi="Arial" w:cs="Arial"/>
          <w:sz w:val="20"/>
          <w:szCs w:val="20"/>
        </w:rPr>
        <w:t xml:space="preserve"> and directing health facilities to comply with existing protective frameworks. While global evidence indicates that anti-bullying interventions and institutional strategies can mitigate harmful workplace dynamics (Jang et al., 2022; Jeong et al., 2</w:t>
      </w:r>
      <w:r>
        <w:rPr>
          <w:rFonts w:ascii="Arial" w:hAnsi="Arial" w:cs="Arial"/>
          <w:sz w:val="20"/>
          <w:szCs w:val="20"/>
        </w:rPr>
        <w:t xml:space="preserve">024), the effectiveness of such policy recognition depends heavily on </w:t>
      </w:r>
      <w:r>
        <w:rPr>
          <w:rStyle w:val="Strong"/>
          <w:rFonts w:ascii="Arial" w:hAnsi="Arial" w:cs="Arial"/>
          <w:b w:val="0"/>
          <w:bCs w:val="0"/>
          <w:sz w:val="20"/>
          <w:szCs w:val="20"/>
        </w:rPr>
        <w:t>local implementation, organizational culture, and healthcare workers’ lived experiences</w:t>
      </w:r>
      <w:r>
        <w:rPr>
          <w:rFonts w:ascii="Arial" w:hAnsi="Arial" w:cs="Arial"/>
          <w:sz w:val="20"/>
          <w:szCs w:val="20"/>
        </w:rPr>
        <w:t xml:space="preserve">. This concern is particularly salient for </w:t>
      </w:r>
      <w:r>
        <w:rPr>
          <w:rStyle w:val="Strong"/>
          <w:rFonts w:ascii="Arial" w:hAnsi="Arial" w:cs="Arial"/>
          <w:b w:val="0"/>
          <w:bCs w:val="0"/>
          <w:sz w:val="20"/>
          <w:szCs w:val="20"/>
        </w:rPr>
        <w:t>mental health nurses</w:t>
      </w:r>
      <w:r>
        <w:rPr>
          <w:rFonts w:ascii="Arial" w:hAnsi="Arial" w:cs="Arial"/>
          <w:sz w:val="20"/>
          <w:szCs w:val="20"/>
        </w:rPr>
        <w:t>, whose roles require sustained ther</w:t>
      </w:r>
      <w:r>
        <w:rPr>
          <w:rFonts w:ascii="Arial" w:hAnsi="Arial" w:cs="Arial"/>
          <w:sz w:val="20"/>
          <w:szCs w:val="20"/>
        </w:rPr>
        <w:t>apeutic engagement with psychologically distressed patients while simultaneously navigating workplace psychosocial stressors.</w:t>
      </w:r>
    </w:p>
    <w:p w14:paraId="68A03096" w14:textId="77777777" w:rsidR="00F75221" w:rsidRDefault="000B2AC1">
      <w:pPr>
        <w:pStyle w:val="NormalWeb"/>
        <w:jc w:val="both"/>
        <w:rPr>
          <w:rFonts w:ascii="Arial" w:hAnsi="Arial" w:cs="Arial"/>
          <w:sz w:val="20"/>
          <w:szCs w:val="20"/>
        </w:rPr>
      </w:pPr>
      <w:r>
        <w:rPr>
          <w:rFonts w:ascii="Arial" w:hAnsi="Arial" w:cs="Arial"/>
          <w:sz w:val="20"/>
          <w:szCs w:val="20"/>
        </w:rPr>
        <w:t xml:space="preserve">Despite expanding international scholarship on workplace bullying in nursing, </w:t>
      </w:r>
      <w:r>
        <w:rPr>
          <w:rStyle w:val="Strong"/>
          <w:rFonts w:ascii="Arial" w:hAnsi="Arial" w:cs="Arial"/>
          <w:b w:val="0"/>
          <w:bCs w:val="0"/>
          <w:sz w:val="20"/>
          <w:szCs w:val="20"/>
        </w:rPr>
        <w:t>limited qualitative evidence exists regarding how Fi</w:t>
      </w:r>
      <w:r>
        <w:rPr>
          <w:rStyle w:val="Strong"/>
          <w:rFonts w:ascii="Arial" w:hAnsi="Arial" w:cs="Arial"/>
          <w:b w:val="0"/>
          <w:bCs w:val="0"/>
          <w:sz w:val="20"/>
          <w:szCs w:val="20"/>
        </w:rPr>
        <w:t>lipino mental health nurses perceive and experience health-sector policy protections within their own hospital environments</w:t>
      </w:r>
      <w:r>
        <w:rPr>
          <w:rFonts w:ascii="Arial" w:hAnsi="Arial" w:cs="Arial"/>
          <w:sz w:val="20"/>
          <w:szCs w:val="20"/>
        </w:rPr>
        <w:t xml:space="preserve">. Understanding these perspectives is essential to determine whether formal policy recognition—such as </w:t>
      </w:r>
      <w:r>
        <w:rPr>
          <w:rStyle w:val="Strong"/>
          <w:rFonts w:ascii="Arial" w:hAnsi="Arial" w:cs="Arial"/>
          <w:b w:val="0"/>
          <w:bCs w:val="0"/>
          <w:sz w:val="20"/>
          <w:szCs w:val="20"/>
        </w:rPr>
        <w:t>DOH Department Memorandum 2024</w:t>
      </w:r>
      <w:r>
        <w:rPr>
          <w:rStyle w:val="Strong"/>
          <w:rFonts w:ascii="Arial" w:hAnsi="Arial" w:cs="Arial"/>
          <w:b w:val="0"/>
          <w:bCs w:val="0"/>
          <w:sz w:val="20"/>
          <w:szCs w:val="20"/>
        </w:rPr>
        <w:t>-0148</w:t>
      </w:r>
      <w:r>
        <w:rPr>
          <w:rFonts w:ascii="Arial" w:hAnsi="Arial" w:cs="Arial"/>
          <w:sz w:val="20"/>
          <w:szCs w:val="20"/>
        </w:rPr>
        <w:t>—translates into meaningful protection, supportive organizational culture, and improved psychological well-being among healthcare workers.</w:t>
      </w:r>
    </w:p>
    <w:p w14:paraId="6474CCCC" w14:textId="77777777" w:rsidR="00F75221" w:rsidRDefault="000B2AC1">
      <w:pPr>
        <w:pStyle w:val="NormalWeb"/>
        <w:jc w:val="both"/>
        <w:rPr>
          <w:rFonts w:ascii="Arial" w:hAnsi="Arial" w:cs="Arial"/>
          <w:sz w:val="20"/>
          <w:szCs w:val="20"/>
        </w:rPr>
      </w:pPr>
      <w:r>
        <w:rPr>
          <w:rStyle w:val="Strong"/>
          <w:rFonts w:ascii="Arial" w:hAnsi="Arial" w:cs="Arial"/>
          <w:b w:val="0"/>
          <w:bCs w:val="0"/>
          <w:sz w:val="20"/>
          <w:szCs w:val="20"/>
        </w:rPr>
        <w:t>Accordingly, this study aims to explore the perspectives of mental health nurses regarding DOH Department Memora</w:t>
      </w:r>
      <w:r>
        <w:rPr>
          <w:rStyle w:val="Strong"/>
          <w:rFonts w:ascii="Arial" w:hAnsi="Arial" w:cs="Arial"/>
          <w:b w:val="0"/>
          <w:bCs w:val="0"/>
          <w:sz w:val="20"/>
          <w:szCs w:val="20"/>
        </w:rPr>
        <w:t>ndum 2024-0148, particularly how they interpret the policy’s recognition of healthcare workers’ rights against bullying, harassment, and discrimination and how they experience its implementation within their respective hospital settings.</w:t>
      </w:r>
      <w:r>
        <w:rPr>
          <w:rFonts w:ascii="Arial" w:hAnsi="Arial" w:cs="Arial"/>
          <w:sz w:val="20"/>
          <w:szCs w:val="20"/>
        </w:rPr>
        <w:t xml:space="preserve"> Findings are expec</w:t>
      </w:r>
      <w:r>
        <w:rPr>
          <w:rFonts w:ascii="Arial" w:hAnsi="Arial" w:cs="Arial"/>
          <w:sz w:val="20"/>
          <w:szCs w:val="20"/>
        </w:rPr>
        <w:t xml:space="preserve">ted to generate </w:t>
      </w:r>
      <w:r>
        <w:rPr>
          <w:rStyle w:val="Strong"/>
          <w:rFonts w:ascii="Arial" w:hAnsi="Arial" w:cs="Arial"/>
          <w:b w:val="0"/>
          <w:bCs w:val="0"/>
          <w:sz w:val="20"/>
          <w:szCs w:val="20"/>
        </w:rPr>
        <w:t>evidence-informed insights</w:t>
      </w:r>
      <w:r>
        <w:rPr>
          <w:rFonts w:ascii="Arial" w:hAnsi="Arial" w:cs="Arial"/>
          <w:sz w:val="20"/>
          <w:szCs w:val="20"/>
        </w:rPr>
        <w:t xml:space="preserve"> that may strengthen institutional compliance, enhance workplace protection mechanisms, and support the mental health, retention, and professional functioning of nurses within the Philippine healthcare system.</w:t>
      </w:r>
    </w:p>
    <w:p w14:paraId="6FE193EF" w14:textId="77777777" w:rsidR="00F75221" w:rsidRDefault="00F75221">
      <w:pPr>
        <w:ind w:firstLine="720"/>
        <w:rPr>
          <w:sz w:val="20"/>
          <w:szCs w:val="20"/>
        </w:rPr>
      </w:pPr>
    </w:p>
    <w:p w14:paraId="3BF53242" w14:textId="77777777" w:rsidR="00F75221" w:rsidRDefault="000B2AC1">
      <w:pPr>
        <w:rPr>
          <w:sz w:val="20"/>
          <w:szCs w:val="20"/>
        </w:rPr>
      </w:pPr>
      <w:r>
        <w:rPr>
          <w:b/>
          <w:sz w:val="20"/>
          <w:szCs w:val="20"/>
        </w:rPr>
        <w:lastRenderedPageBreak/>
        <w:t xml:space="preserve">2. </w:t>
      </w:r>
      <w:r>
        <w:rPr>
          <w:b/>
          <w:sz w:val="20"/>
          <w:szCs w:val="20"/>
        </w:rPr>
        <w:t>METHODOLOGY</w:t>
      </w:r>
    </w:p>
    <w:p w14:paraId="4895E053" w14:textId="77777777" w:rsidR="00F75221" w:rsidRDefault="000B2AC1">
      <w:pPr>
        <w:jc w:val="both"/>
        <w:rPr>
          <w:b/>
          <w:sz w:val="20"/>
          <w:szCs w:val="20"/>
        </w:rPr>
      </w:pPr>
      <w:r>
        <w:rPr>
          <w:b/>
          <w:sz w:val="20"/>
          <w:szCs w:val="20"/>
        </w:rPr>
        <w:t xml:space="preserve">1. Research Design </w:t>
      </w:r>
    </w:p>
    <w:p w14:paraId="38CB9B88" w14:textId="77777777" w:rsidR="00F75221" w:rsidRDefault="000B2AC1">
      <w:pPr>
        <w:pStyle w:val="NormalWeb"/>
        <w:jc w:val="both"/>
        <w:rPr>
          <w:rFonts w:ascii="Arial" w:hAnsi="Arial" w:cs="Arial"/>
          <w:sz w:val="20"/>
          <w:szCs w:val="20"/>
        </w:rPr>
      </w:pPr>
      <w:r>
        <w:rPr>
          <w:rFonts w:ascii="Arial" w:hAnsi="Arial" w:cs="Arial"/>
          <w:sz w:val="20"/>
          <w:szCs w:val="20"/>
        </w:rPr>
        <w:t xml:space="preserve">This study employed a </w:t>
      </w:r>
      <w:r>
        <w:rPr>
          <w:rStyle w:val="Strong"/>
          <w:rFonts w:ascii="Arial" w:hAnsi="Arial" w:cs="Arial"/>
          <w:b w:val="0"/>
          <w:bCs w:val="0"/>
          <w:sz w:val="20"/>
          <w:szCs w:val="20"/>
        </w:rPr>
        <w:t>qualitative descriptive research design</w:t>
      </w:r>
      <w:r>
        <w:rPr>
          <w:rFonts w:ascii="Arial" w:hAnsi="Arial" w:cs="Arial"/>
          <w:sz w:val="20"/>
          <w:szCs w:val="20"/>
        </w:rPr>
        <w:t xml:space="preserve"> to explore the </w:t>
      </w:r>
      <w:r>
        <w:rPr>
          <w:rStyle w:val="Strong"/>
          <w:rFonts w:ascii="Arial" w:hAnsi="Arial" w:cs="Arial"/>
          <w:b w:val="0"/>
          <w:bCs w:val="0"/>
          <w:sz w:val="20"/>
          <w:szCs w:val="20"/>
        </w:rPr>
        <w:t>perspectives of mental health nurses regarding the</w:t>
      </w:r>
      <w:r>
        <w:rPr>
          <w:rStyle w:val="Strong"/>
          <w:rFonts w:ascii="Arial" w:hAnsi="Arial" w:cs="Arial"/>
          <w:b w:val="0"/>
          <w:bCs w:val="0"/>
          <w:sz w:val="20"/>
          <w:szCs w:val="20"/>
          <w:lang w:val="en-PH"/>
        </w:rPr>
        <w:t xml:space="preserve"> </w:t>
      </w:r>
      <w:r>
        <w:rPr>
          <w:rStyle w:val="Strong"/>
          <w:rFonts w:ascii="Arial" w:hAnsi="Arial" w:cs="Arial"/>
          <w:b w:val="0"/>
          <w:bCs w:val="0"/>
          <w:sz w:val="20"/>
          <w:szCs w:val="20"/>
        </w:rPr>
        <w:t>rights of healthcare workers against bullying, harassment, and discrimination</w:t>
      </w:r>
      <w:r>
        <w:rPr>
          <w:rFonts w:ascii="Arial" w:hAnsi="Arial" w:cs="Arial"/>
          <w:sz w:val="20"/>
          <w:szCs w:val="20"/>
        </w:rPr>
        <w:t xml:space="preserve"> and health facilit</w:t>
      </w:r>
      <w:r>
        <w:rPr>
          <w:rFonts w:ascii="Arial" w:hAnsi="Arial" w:cs="Arial"/>
          <w:sz w:val="20"/>
          <w:szCs w:val="20"/>
        </w:rPr>
        <w:t xml:space="preserve">ies </w:t>
      </w:r>
      <w:r>
        <w:rPr>
          <w:rFonts w:ascii="Arial" w:hAnsi="Arial" w:cs="Arial"/>
          <w:sz w:val="20"/>
          <w:szCs w:val="20"/>
          <w:lang w:val="en-PH"/>
        </w:rPr>
        <w:t xml:space="preserve">compliance </w:t>
      </w:r>
      <w:r>
        <w:rPr>
          <w:rFonts w:ascii="Arial" w:hAnsi="Arial" w:cs="Arial"/>
          <w:sz w:val="20"/>
          <w:szCs w:val="20"/>
        </w:rPr>
        <w:t>with existing protections</w:t>
      </w:r>
      <w:r>
        <w:rPr>
          <w:rFonts w:ascii="Arial" w:hAnsi="Arial" w:cs="Arial"/>
          <w:sz w:val="20"/>
          <w:szCs w:val="20"/>
          <w:lang w:val="en-PH"/>
        </w:rPr>
        <w:t xml:space="preserve">. </w:t>
      </w:r>
      <w:r>
        <w:rPr>
          <w:rFonts w:ascii="Arial" w:hAnsi="Arial" w:cs="Arial"/>
          <w:sz w:val="20"/>
          <w:szCs w:val="20"/>
        </w:rPr>
        <w:t xml:space="preserve">Qualitative descriptive methodology is appropriate when the purpose of inquiry is to obtain </w:t>
      </w:r>
      <w:r>
        <w:rPr>
          <w:rStyle w:val="Strong"/>
          <w:rFonts w:ascii="Arial" w:hAnsi="Arial" w:cs="Arial"/>
          <w:b w:val="0"/>
          <w:bCs w:val="0"/>
          <w:sz w:val="20"/>
          <w:szCs w:val="20"/>
        </w:rPr>
        <w:t>clear, experience-based descriptions of a real-world phenomenon</w:t>
      </w:r>
      <w:r>
        <w:rPr>
          <w:rFonts w:ascii="Arial" w:hAnsi="Arial" w:cs="Arial"/>
          <w:sz w:val="20"/>
          <w:szCs w:val="20"/>
        </w:rPr>
        <w:t xml:space="preserve"> and to present findings in language closely reflecting par</w:t>
      </w:r>
      <w:r>
        <w:rPr>
          <w:rFonts w:ascii="Arial" w:hAnsi="Arial" w:cs="Arial"/>
          <w:sz w:val="20"/>
          <w:szCs w:val="20"/>
        </w:rPr>
        <w:t xml:space="preserve">ticipants’ own accounts, thereby generating knowledge that is directly applicable to </w:t>
      </w:r>
      <w:r>
        <w:rPr>
          <w:rStyle w:val="Strong"/>
          <w:rFonts w:ascii="Arial" w:hAnsi="Arial" w:cs="Arial"/>
          <w:b w:val="0"/>
          <w:bCs w:val="0"/>
          <w:sz w:val="20"/>
          <w:szCs w:val="20"/>
        </w:rPr>
        <w:t>clinical practice, organizational governance, and health policy</w:t>
      </w:r>
      <w:r>
        <w:rPr>
          <w:rFonts w:ascii="Arial" w:hAnsi="Arial" w:cs="Arial"/>
          <w:sz w:val="20"/>
          <w:szCs w:val="20"/>
        </w:rPr>
        <w:t>.</w:t>
      </w:r>
    </w:p>
    <w:p w14:paraId="761A7FE7" w14:textId="77777777" w:rsidR="00F75221" w:rsidRDefault="000B2AC1">
      <w:pPr>
        <w:pStyle w:val="NormalWeb"/>
        <w:jc w:val="both"/>
        <w:rPr>
          <w:rFonts w:ascii="Arial" w:hAnsi="Arial" w:cs="Arial"/>
          <w:sz w:val="20"/>
          <w:szCs w:val="20"/>
        </w:rPr>
      </w:pPr>
      <w:r>
        <w:rPr>
          <w:rFonts w:ascii="Arial" w:hAnsi="Arial" w:cs="Arial"/>
          <w:sz w:val="20"/>
          <w:szCs w:val="20"/>
        </w:rPr>
        <w:t xml:space="preserve">Within the context of this study, the design enabled systematic documentation of how mental health nurses </w:t>
      </w:r>
      <w:r>
        <w:rPr>
          <w:rStyle w:val="Strong"/>
          <w:rFonts w:ascii="Arial" w:hAnsi="Arial" w:cs="Arial"/>
          <w:b w:val="0"/>
          <w:bCs w:val="0"/>
          <w:sz w:val="20"/>
          <w:szCs w:val="20"/>
        </w:rPr>
        <w:t>understand, experience, and evaluate workplace protection mechanisms</w:t>
      </w:r>
      <w:r>
        <w:rPr>
          <w:rFonts w:ascii="Arial" w:hAnsi="Arial" w:cs="Arial"/>
          <w:sz w:val="20"/>
          <w:szCs w:val="20"/>
        </w:rPr>
        <w:t xml:space="preserve"> related to bullying within their respective hospital environments. Rather than pursuing deep phenomenological interpretation, qualitative description prioritizes </w:t>
      </w:r>
      <w:r>
        <w:rPr>
          <w:rStyle w:val="Strong"/>
          <w:rFonts w:ascii="Arial" w:hAnsi="Arial" w:cs="Arial"/>
          <w:b w:val="0"/>
          <w:bCs w:val="0"/>
          <w:sz w:val="20"/>
          <w:szCs w:val="20"/>
        </w:rPr>
        <w:t>comprehensive and practic</w:t>
      </w:r>
      <w:r>
        <w:rPr>
          <w:rStyle w:val="Strong"/>
          <w:rFonts w:ascii="Arial" w:hAnsi="Arial" w:cs="Arial"/>
          <w:b w:val="0"/>
          <w:bCs w:val="0"/>
          <w:sz w:val="20"/>
          <w:szCs w:val="20"/>
        </w:rPr>
        <w:t>e-relevant portrayal of events, perceptions, and contextual conditions</w:t>
      </w:r>
      <w:r>
        <w:rPr>
          <w:rFonts w:ascii="Arial" w:hAnsi="Arial" w:cs="Arial"/>
          <w:sz w:val="20"/>
          <w:szCs w:val="20"/>
        </w:rPr>
        <w:t xml:space="preserve"> surrounding policy implementation in everyday clinical settings. This approach is particularly suited to health-services research examining </w:t>
      </w:r>
      <w:r>
        <w:rPr>
          <w:rStyle w:val="Strong"/>
          <w:rFonts w:ascii="Arial" w:hAnsi="Arial" w:cs="Arial"/>
          <w:b w:val="0"/>
          <w:bCs w:val="0"/>
          <w:sz w:val="20"/>
          <w:szCs w:val="20"/>
        </w:rPr>
        <w:t>institutional directives and frontline workfo</w:t>
      </w:r>
      <w:r>
        <w:rPr>
          <w:rStyle w:val="Strong"/>
          <w:rFonts w:ascii="Arial" w:hAnsi="Arial" w:cs="Arial"/>
          <w:b w:val="0"/>
          <w:bCs w:val="0"/>
          <w:sz w:val="20"/>
          <w:szCs w:val="20"/>
        </w:rPr>
        <w:t>rce experience</w:t>
      </w:r>
      <w:r>
        <w:rPr>
          <w:rFonts w:ascii="Arial" w:hAnsi="Arial" w:cs="Arial"/>
          <w:sz w:val="20"/>
          <w:szCs w:val="20"/>
        </w:rPr>
        <w:t xml:space="preserve">, as it allows identification of </w:t>
      </w:r>
      <w:r>
        <w:rPr>
          <w:rStyle w:val="Strong"/>
          <w:rFonts w:ascii="Arial" w:hAnsi="Arial" w:cs="Arial"/>
          <w:b w:val="0"/>
          <w:bCs w:val="0"/>
          <w:sz w:val="20"/>
          <w:szCs w:val="20"/>
        </w:rPr>
        <w:t>implementation gaps, perceived effectiveness, and organizational challenges</w:t>
      </w:r>
      <w:r>
        <w:rPr>
          <w:rFonts w:ascii="Arial" w:hAnsi="Arial" w:cs="Arial"/>
          <w:sz w:val="20"/>
          <w:szCs w:val="20"/>
        </w:rPr>
        <w:t xml:space="preserve"> associated with policy compliance.</w:t>
      </w:r>
    </w:p>
    <w:p w14:paraId="71A9B667" w14:textId="77777777" w:rsidR="00F75221" w:rsidRDefault="000B2AC1">
      <w:pPr>
        <w:pStyle w:val="NormalWeb"/>
        <w:jc w:val="both"/>
        <w:rPr>
          <w:rFonts w:ascii="Arial" w:hAnsi="Arial" w:cs="Arial"/>
          <w:sz w:val="20"/>
          <w:szCs w:val="20"/>
        </w:rPr>
      </w:pPr>
      <w:r>
        <w:rPr>
          <w:rFonts w:ascii="Arial" w:hAnsi="Arial" w:cs="Arial"/>
          <w:sz w:val="20"/>
          <w:szCs w:val="20"/>
        </w:rPr>
        <w:t>Accordingly, the qualitative descriptive design provided an appropriate methodological framework f</w:t>
      </w:r>
      <w:r>
        <w:rPr>
          <w:rFonts w:ascii="Arial" w:hAnsi="Arial" w:cs="Arial"/>
          <w:sz w:val="20"/>
          <w:szCs w:val="20"/>
        </w:rPr>
        <w:t xml:space="preserve">or examining how </w:t>
      </w:r>
      <w:r>
        <w:rPr>
          <w:rStyle w:val="Strong"/>
          <w:rFonts w:ascii="Arial" w:hAnsi="Arial" w:cs="Arial"/>
          <w:b w:val="0"/>
          <w:bCs w:val="0"/>
          <w:sz w:val="20"/>
          <w:szCs w:val="20"/>
        </w:rPr>
        <w:t>health-sector policy recognition of anti-bullying protections</w:t>
      </w:r>
      <w:r>
        <w:rPr>
          <w:rFonts w:ascii="Arial" w:hAnsi="Arial" w:cs="Arial"/>
          <w:sz w:val="20"/>
          <w:szCs w:val="20"/>
        </w:rPr>
        <w:t xml:space="preserve"> is translated into the lived workplace realities of mental health nurses in Philippine hospitals, thereby supporting the study’s aim of generating </w:t>
      </w:r>
      <w:r>
        <w:rPr>
          <w:rStyle w:val="Strong"/>
          <w:rFonts w:ascii="Arial" w:hAnsi="Arial" w:cs="Arial"/>
          <w:b w:val="0"/>
          <w:bCs w:val="0"/>
          <w:sz w:val="20"/>
          <w:szCs w:val="20"/>
        </w:rPr>
        <w:t>evidence-informed insights for</w:t>
      </w:r>
      <w:r>
        <w:rPr>
          <w:rStyle w:val="Strong"/>
          <w:rFonts w:ascii="Arial" w:hAnsi="Arial" w:cs="Arial"/>
          <w:b w:val="0"/>
          <w:bCs w:val="0"/>
          <w:sz w:val="20"/>
          <w:szCs w:val="20"/>
        </w:rPr>
        <w:t xml:space="preserve"> strengthening institutional protection, workforce well-being, and safe clinical environments</w:t>
      </w:r>
      <w:r>
        <w:rPr>
          <w:rFonts w:ascii="Arial" w:hAnsi="Arial" w:cs="Arial"/>
          <w:sz w:val="20"/>
          <w:szCs w:val="20"/>
        </w:rPr>
        <w:t>.</w:t>
      </w:r>
    </w:p>
    <w:p w14:paraId="16C7866E" w14:textId="77777777" w:rsidR="00F75221" w:rsidRDefault="000B2AC1">
      <w:pPr>
        <w:numPr>
          <w:ilvl w:val="0"/>
          <w:numId w:val="1"/>
        </w:numPr>
        <w:jc w:val="both"/>
        <w:rPr>
          <w:b/>
          <w:sz w:val="20"/>
          <w:szCs w:val="20"/>
          <w:lang w:val="en-PH"/>
        </w:rPr>
      </w:pPr>
      <w:r>
        <w:rPr>
          <w:b/>
          <w:sz w:val="20"/>
          <w:szCs w:val="20"/>
          <w:lang w:val="en-PH"/>
        </w:rPr>
        <w:t>Sample and</w:t>
      </w:r>
      <w:r>
        <w:rPr>
          <w:b/>
          <w:sz w:val="20"/>
          <w:szCs w:val="20"/>
        </w:rPr>
        <w:t xml:space="preserve"> Sampling</w:t>
      </w:r>
      <w:r>
        <w:rPr>
          <w:b/>
          <w:sz w:val="20"/>
          <w:szCs w:val="20"/>
          <w:lang w:val="en-PH"/>
        </w:rPr>
        <w:t xml:space="preserve"> Technique</w:t>
      </w:r>
    </w:p>
    <w:p w14:paraId="7F7CEAEC" w14:textId="77777777" w:rsidR="00F75221" w:rsidRDefault="000B2AC1">
      <w:pPr>
        <w:pStyle w:val="NormalWeb"/>
        <w:jc w:val="both"/>
        <w:rPr>
          <w:rFonts w:ascii="Arial" w:hAnsi="Arial" w:cs="Arial"/>
          <w:sz w:val="20"/>
          <w:szCs w:val="20"/>
        </w:rPr>
      </w:pPr>
      <w:r>
        <w:rPr>
          <w:rFonts w:ascii="Arial" w:hAnsi="Arial" w:cs="Arial"/>
          <w:sz w:val="20"/>
          <w:szCs w:val="20"/>
        </w:rPr>
        <w:t xml:space="preserve">The participants in this study consisted of </w:t>
      </w:r>
      <w:r>
        <w:rPr>
          <w:rStyle w:val="Strong"/>
          <w:rFonts w:ascii="Arial" w:hAnsi="Arial" w:cs="Arial"/>
          <w:b w:val="0"/>
          <w:bCs w:val="0"/>
          <w:sz w:val="20"/>
          <w:szCs w:val="20"/>
        </w:rPr>
        <w:t>ten (10) mental health nurses</w:t>
      </w:r>
      <w:r>
        <w:rPr>
          <w:rFonts w:ascii="Arial" w:hAnsi="Arial" w:cs="Arial"/>
          <w:sz w:val="20"/>
          <w:szCs w:val="20"/>
        </w:rPr>
        <w:t xml:space="preserve"> currently employed in hospital settings in the Philippine</w:t>
      </w:r>
      <w:r>
        <w:rPr>
          <w:rFonts w:ascii="Arial" w:hAnsi="Arial" w:cs="Arial"/>
          <w:sz w:val="20"/>
          <w:szCs w:val="20"/>
        </w:rPr>
        <w:t xml:space="preserve">s, each possessing </w:t>
      </w:r>
      <w:r>
        <w:rPr>
          <w:rStyle w:val="Strong"/>
          <w:rFonts w:ascii="Arial" w:hAnsi="Arial" w:cs="Arial"/>
          <w:b w:val="0"/>
          <w:bCs w:val="0"/>
          <w:sz w:val="20"/>
          <w:szCs w:val="20"/>
        </w:rPr>
        <w:t>at least ten years of professional experience in mental health nursing</w:t>
      </w:r>
      <w:r>
        <w:rPr>
          <w:rFonts w:ascii="Arial" w:hAnsi="Arial" w:cs="Arial"/>
          <w:sz w:val="20"/>
          <w:szCs w:val="20"/>
        </w:rPr>
        <w:t xml:space="preserve">. The selection of highly experienced nurses enabled the collection of </w:t>
      </w:r>
      <w:r>
        <w:rPr>
          <w:rStyle w:val="Strong"/>
          <w:rFonts w:ascii="Arial" w:hAnsi="Arial" w:cs="Arial"/>
          <w:b w:val="0"/>
          <w:bCs w:val="0"/>
          <w:sz w:val="20"/>
          <w:szCs w:val="20"/>
        </w:rPr>
        <w:t>in-depth, practice-based perspectives</w:t>
      </w:r>
      <w:r>
        <w:rPr>
          <w:rFonts w:ascii="Arial" w:hAnsi="Arial" w:cs="Arial"/>
          <w:sz w:val="20"/>
          <w:szCs w:val="20"/>
        </w:rPr>
        <w:t xml:space="preserve"> regarding the </w:t>
      </w:r>
      <w:r>
        <w:rPr>
          <w:rStyle w:val="Strong"/>
          <w:rFonts w:ascii="Arial" w:hAnsi="Arial" w:cs="Arial"/>
          <w:b w:val="0"/>
          <w:bCs w:val="0"/>
          <w:sz w:val="20"/>
          <w:szCs w:val="20"/>
        </w:rPr>
        <w:t>rights of healthcare workers against bullyin</w:t>
      </w:r>
      <w:r>
        <w:rPr>
          <w:rStyle w:val="Strong"/>
          <w:rFonts w:ascii="Arial" w:hAnsi="Arial" w:cs="Arial"/>
          <w:b w:val="0"/>
          <w:bCs w:val="0"/>
          <w:sz w:val="20"/>
          <w:szCs w:val="20"/>
        </w:rPr>
        <w:t>g, harassment, and discrimination and health facilities’ compliance with existing protection</w:t>
      </w:r>
      <w:r>
        <w:rPr>
          <w:rFonts w:ascii="Arial" w:hAnsi="Arial" w:cs="Arial"/>
          <w:sz w:val="20"/>
          <w:szCs w:val="20"/>
        </w:rPr>
        <w:t xml:space="preserve"> within real clinical environments. The sample size of ten participants was deemed appropriate for </w:t>
      </w:r>
      <w:r>
        <w:rPr>
          <w:rStyle w:val="Strong"/>
          <w:rFonts w:ascii="Arial" w:hAnsi="Arial" w:cs="Arial"/>
          <w:b w:val="0"/>
          <w:bCs w:val="0"/>
          <w:sz w:val="20"/>
          <w:szCs w:val="20"/>
        </w:rPr>
        <w:t>qualitative descriptive research</w:t>
      </w:r>
      <w:r>
        <w:rPr>
          <w:rFonts w:ascii="Arial" w:hAnsi="Arial" w:cs="Arial"/>
          <w:sz w:val="20"/>
          <w:szCs w:val="20"/>
        </w:rPr>
        <w:t xml:space="preserve"> and was further justified by the</w:t>
      </w:r>
      <w:r>
        <w:rPr>
          <w:rFonts w:ascii="Arial" w:hAnsi="Arial" w:cs="Arial"/>
          <w:sz w:val="20"/>
          <w:szCs w:val="20"/>
        </w:rPr>
        <w:t xml:space="preserve"> attainment of </w:t>
      </w:r>
      <w:r>
        <w:rPr>
          <w:rStyle w:val="Strong"/>
          <w:rFonts w:ascii="Arial" w:hAnsi="Arial" w:cs="Arial"/>
          <w:b w:val="0"/>
          <w:bCs w:val="0"/>
          <w:sz w:val="20"/>
          <w:szCs w:val="20"/>
        </w:rPr>
        <w:t>data saturation</w:t>
      </w:r>
      <w:r>
        <w:rPr>
          <w:rFonts w:ascii="Arial" w:hAnsi="Arial" w:cs="Arial"/>
          <w:sz w:val="20"/>
          <w:szCs w:val="20"/>
        </w:rPr>
        <w:t>, defined as the point at which no new themes or significant insights emerged from subsequent interviews.</w:t>
      </w:r>
    </w:p>
    <w:p w14:paraId="764D4C14" w14:textId="77777777" w:rsidR="00F75221" w:rsidRDefault="000B2AC1">
      <w:pPr>
        <w:pStyle w:val="NormalWeb"/>
        <w:jc w:val="both"/>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purposive sampling technique</w:t>
      </w:r>
      <w:r>
        <w:rPr>
          <w:rFonts w:ascii="Arial" w:hAnsi="Arial" w:cs="Arial"/>
          <w:sz w:val="20"/>
          <w:szCs w:val="20"/>
        </w:rPr>
        <w:t xml:space="preserve"> was used to recruit nurses with </w:t>
      </w:r>
      <w:r>
        <w:rPr>
          <w:rStyle w:val="Strong"/>
          <w:rFonts w:ascii="Arial" w:hAnsi="Arial" w:cs="Arial"/>
          <w:b w:val="0"/>
          <w:bCs w:val="0"/>
          <w:sz w:val="20"/>
          <w:szCs w:val="20"/>
        </w:rPr>
        <w:t xml:space="preserve">direct and sustained exposure to mental health practice </w:t>
      </w:r>
      <w:r>
        <w:rPr>
          <w:rStyle w:val="Strong"/>
          <w:rFonts w:ascii="Arial" w:hAnsi="Arial" w:cs="Arial"/>
          <w:b w:val="0"/>
          <w:bCs w:val="0"/>
          <w:sz w:val="20"/>
          <w:szCs w:val="20"/>
        </w:rPr>
        <w:t>and workplace protection policies</w:t>
      </w:r>
      <w:r>
        <w:rPr>
          <w:rFonts w:ascii="Arial" w:hAnsi="Arial" w:cs="Arial"/>
          <w:sz w:val="20"/>
          <w:szCs w:val="20"/>
        </w:rPr>
        <w:t xml:space="preserve">, ensuring that participants could meaningfully describe their experiences and interpretations of </w:t>
      </w:r>
      <w:r>
        <w:rPr>
          <w:rStyle w:val="Strong"/>
          <w:rFonts w:ascii="Arial" w:hAnsi="Arial" w:cs="Arial"/>
          <w:b w:val="0"/>
          <w:bCs w:val="0"/>
          <w:sz w:val="20"/>
          <w:szCs w:val="20"/>
        </w:rPr>
        <w:t>institutional recognition of healthcare workers’ rights against bullying, harassment, and discrimination and corresponding fa</w:t>
      </w:r>
      <w:r>
        <w:rPr>
          <w:rStyle w:val="Strong"/>
          <w:rFonts w:ascii="Arial" w:hAnsi="Arial" w:cs="Arial"/>
          <w:b w:val="0"/>
          <w:bCs w:val="0"/>
          <w:sz w:val="20"/>
          <w:szCs w:val="20"/>
        </w:rPr>
        <w:t>cility compliance with protective measures</w:t>
      </w:r>
      <w:r>
        <w:rPr>
          <w:rFonts w:ascii="Arial" w:hAnsi="Arial" w:cs="Arial"/>
          <w:sz w:val="20"/>
          <w:szCs w:val="20"/>
        </w:rPr>
        <w:t xml:space="preserve">. Inclusion criteria required participants to be </w:t>
      </w:r>
      <w:r>
        <w:rPr>
          <w:rStyle w:val="Strong"/>
          <w:rFonts w:ascii="Arial" w:hAnsi="Arial" w:cs="Arial"/>
          <w:b w:val="0"/>
          <w:bCs w:val="0"/>
          <w:sz w:val="20"/>
          <w:szCs w:val="20"/>
        </w:rPr>
        <w:t>registered nurses licensed to practice in the Philippines</w:t>
      </w:r>
      <w:r>
        <w:rPr>
          <w:rFonts w:ascii="Arial" w:hAnsi="Arial" w:cs="Arial"/>
          <w:sz w:val="20"/>
          <w:szCs w:val="20"/>
        </w:rPr>
        <w:t xml:space="preserve">, currently assigned to a </w:t>
      </w:r>
      <w:r>
        <w:rPr>
          <w:rStyle w:val="Strong"/>
          <w:rFonts w:ascii="Arial" w:hAnsi="Arial" w:cs="Arial"/>
          <w:b w:val="0"/>
          <w:bCs w:val="0"/>
          <w:sz w:val="20"/>
          <w:szCs w:val="20"/>
        </w:rPr>
        <w:t>mental health–related clinical setting</w:t>
      </w:r>
      <w:r>
        <w:rPr>
          <w:rFonts w:ascii="Arial" w:hAnsi="Arial" w:cs="Arial"/>
          <w:sz w:val="20"/>
          <w:szCs w:val="20"/>
        </w:rPr>
        <w:t xml:space="preserve">, with a </w:t>
      </w:r>
      <w:r>
        <w:rPr>
          <w:rStyle w:val="Strong"/>
          <w:rFonts w:ascii="Arial" w:hAnsi="Arial" w:cs="Arial"/>
          <w:b w:val="0"/>
          <w:bCs w:val="0"/>
          <w:sz w:val="20"/>
          <w:szCs w:val="20"/>
        </w:rPr>
        <w:t xml:space="preserve">minimum of ten years of experience </w:t>
      </w:r>
      <w:r>
        <w:rPr>
          <w:rStyle w:val="Strong"/>
          <w:rFonts w:ascii="Arial" w:hAnsi="Arial" w:cs="Arial"/>
          <w:b w:val="0"/>
          <w:bCs w:val="0"/>
          <w:sz w:val="20"/>
          <w:szCs w:val="20"/>
        </w:rPr>
        <w:t>in mental health nursing</w:t>
      </w:r>
      <w:r>
        <w:rPr>
          <w:rFonts w:ascii="Arial" w:hAnsi="Arial" w:cs="Arial"/>
          <w:sz w:val="20"/>
          <w:szCs w:val="20"/>
        </w:rPr>
        <w:t xml:space="preserve">, and </w:t>
      </w:r>
      <w:r>
        <w:rPr>
          <w:rStyle w:val="Strong"/>
          <w:rFonts w:ascii="Arial" w:hAnsi="Arial" w:cs="Arial"/>
          <w:b w:val="0"/>
          <w:bCs w:val="0"/>
          <w:sz w:val="20"/>
          <w:szCs w:val="20"/>
        </w:rPr>
        <w:t>willing to participate</w:t>
      </w:r>
      <w:r>
        <w:rPr>
          <w:rFonts w:ascii="Arial" w:hAnsi="Arial" w:cs="Arial"/>
          <w:sz w:val="20"/>
          <w:szCs w:val="20"/>
        </w:rPr>
        <w:t xml:space="preserve"> through the provision of informed consent. Exclusion criteria included nurses </w:t>
      </w:r>
      <w:r>
        <w:rPr>
          <w:rStyle w:val="Strong"/>
          <w:rFonts w:ascii="Arial" w:hAnsi="Arial" w:cs="Arial"/>
          <w:b w:val="0"/>
          <w:bCs w:val="0"/>
          <w:sz w:val="20"/>
          <w:szCs w:val="20"/>
        </w:rPr>
        <w:t>not working in mental health services</w:t>
      </w:r>
      <w:r>
        <w:rPr>
          <w:rFonts w:ascii="Arial" w:hAnsi="Arial" w:cs="Arial"/>
          <w:sz w:val="20"/>
          <w:szCs w:val="20"/>
        </w:rPr>
        <w:t xml:space="preserve">, those with </w:t>
      </w:r>
      <w:r>
        <w:rPr>
          <w:rStyle w:val="Strong"/>
          <w:rFonts w:ascii="Arial" w:hAnsi="Arial" w:cs="Arial"/>
          <w:b w:val="0"/>
          <w:bCs w:val="0"/>
          <w:sz w:val="20"/>
          <w:szCs w:val="20"/>
        </w:rPr>
        <w:t>less than ten years of relevant experience</w:t>
      </w:r>
      <w:r>
        <w:rPr>
          <w:rFonts w:ascii="Arial" w:hAnsi="Arial" w:cs="Arial"/>
          <w:sz w:val="20"/>
          <w:szCs w:val="20"/>
        </w:rPr>
        <w:t xml:space="preserve">, individuals </w:t>
      </w:r>
      <w:r>
        <w:rPr>
          <w:rStyle w:val="Strong"/>
          <w:rFonts w:ascii="Arial" w:hAnsi="Arial" w:cs="Arial"/>
          <w:b w:val="0"/>
          <w:bCs w:val="0"/>
          <w:sz w:val="20"/>
          <w:szCs w:val="20"/>
        </w:rPr>
        <w:t>not actively practi</w:t>
      </w:r>
      <w:r>
        <w:rPr>
          <w:rStyle w:val="Strong"/>
          <w:rFonts w:ascii="Arial" w:hAnsi="Arial" w:cs="Arial"/>
          <w:b w:val="0"/>
          <w:bCs w:val="0"/>
          <w:sz w:val="20"/>
          <w:szCs w:val="20"/>
        </w:rPr>
        <w:t>cing during the data collection period</w:t>
      </w:r>
      <w:r>
        <w:rPr>
          <w:rFonts w:ascii="Arial" w:hAnsi="Arial" w:cs="Arial"/>
          <w:sz w:val="20"/>
          <w:szCs w:val="20"/>
        </w:rPr>
        <w:t xml:space="preserve"> (e.g., on extended leave, resigned, or retired), and those </w:t>
      </w:r>
      <w:r>
        <w:rPr>
          <w:rStyle w:val="Strong"/>
          <w:rFonts w:ascii="Arial" w:hAnsi="Arial" w:cs="Arial"/>
          <w:b w:val="0"/>
          <w:bCs w:val="0"/>
          <w:sz w:val="20"/>
          <w:szCs w:val="20"/>
        </w:rPr>
        <w:t>unwilling or unable to provide informed consent</w:t>
      </w:r>
      <w:r>
        <w:rPr>
          <w:rFonts w:ascii="Arial" w:hAnsi="Arial" w:cs="Arial"/>
          <w:sz w:val="20"/>
          <w:szCs w:val="20"/>
        </w:rPr>
        <w:t>.</w:t>
      </w:r>
    </w:p>
    <w:p w14:paraId="0E6C8E49" w14:textId="77777777" w:rsidR="00F75221" w:rsidRDefault="000B2AC1">
      <w:pPr>
        <w:pStyle w:val="NormalWeb"/>
        <w:jc w:val="both"/>
        <w:rPr>
          <w:rFonts w:ascii="Arial" w:hAnsi="Arial" w:cs="Arial"/>
          <w:sz w:val="20"/>
          <w:szCs w:val="20"/>
          <w:lang w:val="en-PH"/>
        </w:rPr>
      </w:pPr>
      <w:r>
        <w:rPr>
          <w:rFonts w:ascii="Arial" w:hAnsi="Arial" w:cs="Arial"/>
          <w:sz w:val="20"/>
          <w:szCs w:val="20"/>
        </w:rPr>
        <w:t xml:space="preserve">These parameters ensured the recruitment of participants capable of providing </w:t>
      </w:r>
      <w:r>
        <w:rPr>
          <w:rStyle w:val="Strong"/>
          <w:rFonts w:ascii="Arial" w:hAnsi="Arial" w:cs="Arial"/>
          <w:b w:val="0"/>
          <w:bCs w:val="0"/>
          <w:sz w:val="20"/>
          <w:szCs w:val="20"/>
        </w:rPr>
        <w:t>credible, experience-rich accou</w:t>
      </w:r>
      <w:r>
        <w:rPr>
          <w:rStyle w:val="Strong"/>
          <w:rFonts w:ascii="Arial" w:hAnsi="Arial" w:cs="Arial"/>
          <w:b w:val="0"/>
          <w:bCs w:val="0"/>
          <w:sz w:val="20"/>
          <w:szCs w:val="20"/>
        </w:rPr>
        <w:t>nts</w:t>
      </w:r>
      <w:r>
        <w:rPr>
          <w:rFonts w:ascii="Arial" w:hAnsi="Arial" w:cs="Arial"/>
          <w:sz w:val="20"/>
          <w:szCs w:val="20"/>
        </w:rPr>
        <w:t xml:space="preserve"> aligned with the study’s focus on mental health nurses’ perspectives regarding the </w:t>
      </w:r>
      <w:r>
        <w:rPr>
          <w:rStyle w:val="Strong"/>
          <w:rFonts w:ascii="Arial" w:hAnsi="Arial" w:cs="Arial"/>
          <w:b w:val="0"/>
          <w:bCs w:val="0"/>
          <w:sz w:val="20"/>
          <w:szCs w:val="20"/>
        </w:rPr>
        <w:t>rights of healthcare workers against bullying, harassment, and discrimination and the compliance of health facilities with existing protective mechanisms</w:t>
      </w:r>
      <w:r>
        <w:rPr>
          <w:rFonts w:ascii="Arial" w:hAnsi="Arial" w:cs="Arial"/>
          <w:sz w:val="20"/>
          <w:szCs w:val="20"/>
        </w:rPr>
        <w:t>.</w:t>
      </w:r>
    </w:p>
    <w:p w14:paraId="759B3319" w14:textId="77777777" w:rsidR="00F75221" w:rsidRDefault="000B2AC1">
      <w:pPr>
        <w:pStyle w:val="NormalWeb"/>
        <w:numPr>
          <w:ilvl w:val="0"/>
          <w:numId w:val="2"/>
        </w:numPr>
        <w:rPr>
          <w:rFonts w:ascii="Arial" w:hAnsi="Arial" w:cs="Arial"/>
          <w:b/>
          <w:bCs/>
          <w:sz w:val="20"/>
          <w:szCs w:val="20"/>
          <w:lang w:val="en-PH"/>
        </w:rPr>
      </w:pPr>
      <w:r>
        <w:rPr>
          <w:rFonts w:ascii="Arial" w:hAnsi="Arial" w:cs="Arial"/>
          <w:b/>
          <w:bCs/>
          <w:sz w:val="20"/>
          <w:szCs w:val="20"/>
          <w:lang w:val="en-PH"/>
        </w:rPr>
        <w:lastRenderedPageBreak/>
        <w:t>Research Instr</w:t>
      </w:r>
      <w:r>
        <w:rPr>
          <w:rFonts w:ascii="Arial" w:hAnsi="Arial" w:cs="Arial"/>
          <w:b/>
          <w:bCs/>
          <w:sz w:val="20"/>
          <w:szCs w:val="20"/>
          <w:lang w:val="en-PH"/>
        </w:rPr>
        <w:t>ument</w:t>
      </w:r>
    </w:p>
    <w:p w14:paraId="5E044934" w14:textId="77777777" w:rsidR="00F75221" w:rsidRDefault="000B2AC1">
      <w:pPr>
        <w:pStyle w:val="NormalWeb"/>
        <w:jc w:val="both"/>
        <w:rPr>
          <w:rFonts w:ascii="Arial" w:hAnsi="Arial" w:cs="Arial"/>
          <w:sz w:val="20"/>
          <w:szCs w:val="20"/>
          <w:lang w:val="en-PH"/>
        </w:rPr>
      </w:pPr>
      <w:r>
        <w:rPr>
          <w:rFonts w:ascii="Arial" w:hAnsi="Arial" w:cs="Arial"/>
          <w:sz w:val="20"/>
          <w:szCs w:val="20"/>
        </w:rPr>
        <w:t xml:space="preserve">Data were collected using an </w:t>
      </w:r>
      <w:r>
        <w:rPr>
          <w:rStyle w:val="Strong"/>
          <w:rFonts w:ascii="Arial" w:hAnsi="Arial" w:cs="Arial"/>
          <w:b w:val="0"/>
          <w:bCs w:val="0"/>
          <w:sz w:val="20"/>
          <w:szCs w:val="20"/>
        </w:rPr>
        <w:t>expert-validated semi-structured interview guide</w:t>
      </w:r>
      <w:r>
        <w:rPr>
          <w:rFonts w:ascii="Arial" w:hAnsi="Arial" w:cs="Arial"/>
          <w:sz w:val="20"/>
          <w:szCs w:val="20"/>
        </w:rPr>
        <w:t xml:space="preserve"> designed to explore participants’ experiences </w:t>
      </w:r>
      <w:proofErr w:type="gramStart"/>
      <w:r>
        <w:rPr>
          <w:rFonts w:ascii="Arial" w:hAnsi="Arial" w:cs="Arial"/>
          <w:sz w:val="20"/>
          <w:szCs w:val="20"/>
        </w:rPr>
        <w:t xml:space="preserve">of  </w:t>
      </w:r>
      <w:r>
        <w:rPr>
          <w:rStyle w:val="Strong"/>
          <w:rFonts w:ascii="Arial" w:hAnsi="Arial" w:cs="Arial"/>
          <w:b w:val="0"/>
          <w:bCs w:val="0"/>
          <w:sz w:val="20"/>
          <w:szCs w:val="20"/>
        </w:rPr>
        <w:t>rights</w:t>
      </w:r>
      <w:proofErr w:type="gramEnd"/>
      <w:r>
        <w:rPr>
          <w:rStyle w:val="Strong"/>
          <w:rFonts w:ascii="Arial" w:hAnsi="Arial" w:cs="Arial"/>
          <w:b w:val="0"/>
          <w:bCs w:val="0"/>
          <w:sz w:val="20"/>
          <w:szCs w:val="20"/>
        </w:rPr>
        <w:t xml:space="preserve"> of healthcare workers against bullying, harassment, and discrimination and health facilities’ compliance with exist</w:t>
      </w:r>
      <w:r>
        <w:rPr>
          <w:rStyle w:val="Strong"/>
          <w:rFonts w:ascii="Arial" w:hAnsi="Arial" w:cs="Arial"/>
          <w:b w:val="0"/>
          <w:bCs w:val="0"/>
          <w:sz w:val="20"/>
          <w:szCs w:val="20"/>
        </w:rPr>
        <w:t>ing protection</w:t>
      </w:r>
      <w:r>
        <w:rPr>
          <w:rFonts w:ascii="Arial" w:hAnsi="Arial" w:cs="Arial"/>
          <w:sz w:val="20"/>
          <w:szCs w:val="20"/>
        </w:rPr>
        <w:t xml:space="preserve"> within real clinical environments. The guide contained open-ended questions and probing prompts to facilitate in-depth discussion while maintaining consistency across interviews. To ensure </w:t>
      </w:r>
      <w:r>
        <w:rPr>
          <w:rStyle w:val="Strong"/>
          <w:rFonts w:ascii="Arial" w:hAnsi="Arial" w:cs="Arial"/>
          <w:b w:val="0"/>
          <w:bCs w:val="0"/>
          <w:sz w:val="20"/>
          <w:szCs w:val="20"/>
        </w:rPr>
        <w:t>content validity, clarity, and relevance</w:t>
      </w:r>
      <w:r>
        <w:rPr>
          <w:rFonts w:ascii="Arial" w:hAnsi="Arial" w:cs="Arial"/>
          <w:sz w:val="20"/>
          <w:szCs w:val="20"/>
        </w:rPr>
        <w:t>, the interv</w:t>
      </w:r>
      <w:r>
        <w:rPr>
          <w:rFonts w:ascii="Arial" w:hAnsi="Arial" w:cs="Arial"/>
          <w:sz w:val="20"/>
          <w:szCs w:val="20"/>
        </w:rPr>
        <w:t xml:space="preserve">iew guide was reviewed by a panel of </w:t>
      </w:r>
      <w:r>
        <w:rPr>
          <w:rStyle w:val="Strong"/>
          <w:rFonts w:ascii="Arial" w:hAnsi="Arial" w:cs="Arial"/>
          <w:b w:val="0"/>
          <w:bCs w:val="0"/>
          <w:sz w:val="20"/>
          <w:szCs w:val="20"/>
        </w:rPr>
        <w:t>five experts</w:t>
      </w:r>
      <w:r>
        <w:rPr>
          <w:rFonts w:ascii="Arial" w:hAnsi="Arial" w:cs="Arial"/>
          <w:sz w:val="20"/>
          <w:szCs w:val="20"/>
        </w:rPr>
        <w:t xml:space="preserve"> with backgrounds in mental health nursing, qualitative research, workplace psychology, and nursing education. Their feedback informed revisions to question wording, sequencing, and scope prior to data colle</w:t>
      </w:r>
      <w:r>
        <w:rPr>
          <w:rFonts w:ascii="Arial" w:hAnsi="Arial" w:cs="Arial"/>
          <w:sz w:val="20"/>
          <w:szCs w:val="20"/>
        </w:rPr>
        <w:t xml:space="preserve">ction. This validation process strengthened the instrument’s </w:t>
      </w:r>
      <w:r>
        <w:rPr>
          <w:rStyle w:val="Strong"/>
          <w:rFonts w:ascii="Arial" w:hAnsi="Arial" w:cs="Arial"/>
          <w:b w:val="0"/>
          <w:bCs w:val="0"/>
          <w:sz w:val="20"/>
          <w:szCs w:val="20"/>
        </w:rPr>
        <w:t>credibility and appropriateness</w:t>
      </w:r>
      <w:r>
        <w:rPr>
          <w:rFonts w:ascii="Arial" w:hAnsi="Arial" w:cs="Arial"/>
          <w:sz w:val="20"/>
          <w:szCs w:val="20"/>
        </w:rPr>
        <w:t xml:space="preserve"> for eliciting rich, experience-based data from mental health nurses in the Philippine healthcare context.</w:t>
      </w:r>
    </w:p>
    <w:p w14:paraId="65794B4C" w14:textId="77777777" w:rsidR="00F75221" w:rsidRDefault="000B2AC1">
      <w:pPr>
        <w:jc w:val="both"/>
        <w:rPr>
          <w:b/>
          <w:sz w:val="20"/>
          <w:szCs w:val="20"/>
          <w:lang w:val="en-PH"/>
        </w:rPr>
      </w:pPr>
      <w:r>
        <w:rPr>
          <w:b/>
          <w:sz w:val="20"/>
          <w:szCs w:val="20"/>
        </w:rPr>
        <w:t xml:space="preserve"> 3. Data Collection </w:t>
      </w:r>
      <w:r>
        <w:rPr>
          <w:b/>
          <w:sz w:val="20"/>
          <w:szCs w:val="20"/>
          <w:lang w:val="en-PH"/>
        </w:rPr>
        <w:t>Procedures</w:t>
      </w:r>
    </w:p>
    <w:p w14:paraId="794A82AA" w14:textId="77777777" w:rsidR="00F75221" w:rsidRDefault="000B2AC1">
      <w:pPr>
        <w:pStyle w:val="NormalWeb"/>
        <w:jc w:val="both"/>
        <w:rPr>
          <w:rFonts w:ascii="Arial" w:hAnsi="Arial" w:cs="Arial"/>
          <w:sz w:val="20"/>
          <w:szCs w:val="20"/>
        </w:rPr>
      </w:pPr>
      <w:r>
        <w:rPr>
          <w:rFonts w:ascii="Arial" w:hAnsi="Arial" w:cs="Arial"/>
          <w:sz w:val="20"/>
          <w:szCs w:val="20"/>
        </w:rPr>
        <w:t>After obtaining ethics app</w:t>
      </w:r>
      <w:r>
        <w:rPr>
          <w:rFonts w:ascii="Arial" w:hAnsi="Arial" w:cs="Arial"/>
          <w:sz w:val="20"/>
          <w:szCs w:val="20"/>
        </w:rPr>
        <w:t xml:space="preserve">roval and institutional permission, eligible participants were recruited through purposive sampling and provided with an </w:t>
      </w:r>
      <w:r>
        <w:rPr>
          <w:rStyle w:val="Strong"/>
          <w:rFonts w:ascii="Arial" w:hAnsi="Arial" w:cs="Arial"/>
          <w:b w:val="0"/>
          <w:bCs w:val="0"/>
          <w:sz w:val="20"/>
          <w:szCs w:val="20"/>
        </w:rPr>
        <w:t>information sheet and informed consent form</w:t>
      </w:r>
      <w:r>
        <w:rPr>
          <w:rFonts w:ascii="Arial" w:hAnsi="Arial" w:cs="Arial"/>
          <w:sz w:val="20"/>
          <w:szCs w:val="20"/>
        </w:rPr>
        <w:t xml:space="preserve"> prior to participation. Data were gathered through </w:t>
      </w:r>
      <w:r>
        <w:rPr>
          <w:rFonts w:ascii="Arial" w:hAnsi="Arial" w:cs="Arial"/>
          <w:sz w:val="20"/>
          <w:szCs w:val="20"/>
          <w:lang w:val="en-PH"/>
        </w:rPr>
        <w:t xml:space="preserve">an interview using a </w:t>
      </w:r>
      <w:r>
        <w:rPr>
          <w:rStyle w:val="Strong"/>
          <w:rFonts w:ascii="Arial" w:hAnsi="Arial" w:cs="Arial"/>
          <w:b w:val="0"/>
          <w:bCs w:val="0"/>
          <w:sz w:val="20"/>
          <w:szCs w:val="20"/>
        </w:rPr>
        <w:t xml:space="preserve">semi-structured </w:t>
      </w:r>
      <w:r>
        <w:rPr>
          <w:rStyle w:val="Strong"/>
          <w:rFonts w:ascii="Arial" w:hAnsi="Arial" w:cs="Arial"/>
          <w:b w:val="0"/>
          <w:bCs w:val="0"/>
          <w:sz w:val="20"/>
          <w:szCs w:val="20"/>
          <w:lang w:val="en-PH"/>
        </w:rPr>
        <w:t xml:space="preserve">guide </w:t>
      </w:r>
      <w:proofErr w:type="gramStart"/>
      <w:r>
        <w:rPr>
          <w:rStyle w:val="Strong"/>
          <w:rFonts w:ascii="Arial" w:hAnsi="Arial" w:cs="Arial"/>
          <w:b w:val="0"/>
          <w:bCs w:val="0"/>
          <w:sz w:val="20"/>
          <w:szCs w:val="20"/>
          <w:lang w:val="en-PH"/>
        </w:rPr>
        <w:t xml:space="preserve">questionnaire </w:t>
      </w:r>
      <w:r>
        <w:rPr>
          <w:rFonts w:ascii="Arial" w:hAnsi="Arial" w:cs="Arial"/>
          <w:sz w:val="20"/>
          <w:szCs w:val="20"/>
        </w:rPr>
        <w:t xml:space="preserve"> conducted</w:t>
      </w:r>
      <w:proofErr w:type="gramEnd"/>
      <w:r>
        <w:rPr>
          <w:rFonts w:ascii="Arial" w:hAnsi="Arial" w:cs="Arial"/>
          <w:sz w:val="20"/>
          <w:szCs w:val="20"/>
        </w:rPr>
        <w:t xml:space="preserve"> using a secure video-conferencing platform (Zoom or Google Meet) at a time convenient for each participant. Before the interview began, the researcher confirmed consent, explained the study purpose, assured confidentiality, a</w:t>
      </w:r>
      <w:r>
        <w:rPr>
          <w:rFonts w:ascii="Arial" w:hAnsi="Arial" w:cs="Arial"/>
          <w:sz w:val="20"/>
          <w:szCs w:val="20"/>
        </w:rPr>
        <w:t>nd reminded participants of their right to withdraw at any time without consequence.</w:t>
      </w:r>
    </w:p>
    <w:p w14:paraId="3A83AEB7" w14:textId="77777777" w:rsidR="00F75221" w:rsidRDefault="000B2AC1">
      <w:pPr>
        <w:pStyle w:val="NormalWeb"/>
        <w:jc w:val="both"/>
        <w:rPr>
          <w:rFonts w:ascii="Arial" w:hAnsi="Arial" w:cs="Arial"/>
          <w:sz w:val="20"/>
          <w:szCs w:val="20"/>
        </w:rPr>
      </w:pPr>
      <w:r>
        <w:rPr>
          <w:rFonts w:ascii="Arial" w:hAnsi="Arial" w:cs="Arial"/>
          <w:sz w:val="20"/>
          <w:szCs w:val="20"/>
        </w:rPr>
        <w:t xml:space="preserve">Each interview lasted approximately </w:t>
      </w:r>
      <w:r>
        <w:rPr>
          <w:rStyle w:val="Strong"/>
          <w:rFonts w:ascii="Arial" w:hAnsi="Arial" w:cs="Arial"/>
          <w:b w:val="0"/>
          <w:bCs w:val="0"/>
          <w:sz w:val="20"/>
          <w:szCs w:val="20"/>
        </w:rPr>
        <w:t>30–60 minutes</w:t>
      </w:r>
      <w:r>
        <w:rPr>
          <w:rFonts w:ascii="Arial" w:hAnsi="Arial" w:cs="Arial"/>
          <w:sz w:val="20"/>
          <w:szCs w:val="20"/>
        </w:rPr>
        <w:t xml:space="preserve"> and followed the expert-validated semi-structured interview guide, with follow-up probing questions used to clarify respo</w:t>
      </w:r>
      <w:r>
        <w:rPr>
          <w:rFonts w:ascii="Arial" w:hAnsi="Arial" w:cs="Arial"/>
          <w:sz w:val="20"/>
          <w:szCs w:val="20"/>
        </w:rPr>
        <w:t xml:space="preserve">nses and obtain deeper descriptions of participants’ experiences with </w:t>
      </w:r>
      <w:r>
        <w:rPr>
          <w:rFonts w:ascii="Arial" w:hAnsi="Arial" w:cs="Arial"/>
          <w:sz w:val="20"/>
          <w:szCs w:val="20"/>
          <w:lang w:val="en-PH"/>
        </w:rPr>
        <w:t>the</w:t>
      </w:r>
      <w:r>
        <w:rPr>
          <w:rFonts w:ascii="Arial" w:hAnsi="Arial" w:cs="Arial"/>
          <w:sz w:val="20"/>
          <w:szCs w:val="20"/>
        </w:rPr>
        <w:t xml:space="preserv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within real clinical environments.</w:t>
      </w:r>
      <w:r>
        <w:rPr>
          <w:rFonts w:ascii="Arial" w:hAnsi="Arial" w:cs="Arial"/>
          <w:sz w:val="20"/>
          <w:szCs w:val="20"/>
          <w:lang w:val="en-PH"/>
        </w:rPr>
        <w:t xml:space="preserve"> </w:t>
      </w:r>
      <w:r>
        <w:rPr>
          <w:rFonts w:ascii="Arial" w:hAnsi="Arial" w:cs="Arial"/>
          <w:sz w:val="20"/>
          <w:szCs w:val="20"/>
        </w:rPr>
        <w:t>With permi</w:t>
      </w:r>
      <w:r>
        <w:rPr>
          <w:rFonts w:ascii="Arial" w:hAnsi="Arial" w:cs="Arial"/>
          <w:sz w:val="20"/>
          <w:szCs w:val="20"/>
        </w:rPr>
        <w:t xml:space="preserve">ssion, interviews were </w:t>
      </w:r>
      <w:r>
        <w:rPr>
          <w:rStyle w:val="Strong"/>
          <w:rFonts w:ascii="Arial" w:hAnsi="Arial" w:cs="Arial"/>
          <w:b w:val="0"/>
          <w:bCs w:val="0"/>
          <w:sz w:val="20"/>
          <w:szCs w:val="20"/>
        </w:rPr>
        <w:t>audio-recorded using the platform’s recording function</w:t>
      </w:r>
      <w:r>
        <w:rPr>
          <w:rFonts w:ascii="Arial" w:hAnsi="Arial" w:cs="Arial"/>
          <w:sz w:val="20"/>
          <w:szCs w:val="20"/>
        </w:rPr>
        <w:t>, while the researcher also documented brief field notes to capture nonverbal cues and contextual observations.</w:t>
      </w:r>
    </w:p>
    <w:p w14:paraId="68D27F2A" w14:textId="77777777" w:rsidR="00F75221" w:rsidRDefault="000B2AC1">
      <w:pPr>
        <w:pStyle w:val="NormalWeb"/>
        <w:jc w:val="both"/>
        <w:rPr>
          <w:rFonts w:ascii="Arial" w:hAnsi="Arial" w:cs="Arial"/>
          <w:sz w:val="20"/>
          <w:szCs w:val="20"/>
        </w:rPr>
      </w:pPr>
      <w:r>
        <w:rPr>
          <w:rFonts w:ascii="Arial" w:hAnsi="Arial" w:cs="Arial"/>
          <w:sz w:val="20"/>
          <w:szCs w:val="20"/>
        </w:rPr>
        <w:t xml:space="preserve">Recordings were </w:t>
      </w:r>
      <w:r>
        <w:rPr>
          <w:rStyle w:val="Strong"/>
          <w:rFonts w:ascii="Arial" w:hAnsi="Arial" w:cs="Arial"/>
          <w:b w:val="0"/>
          <w:bCs w:val="0"/>
          <w:sz w:val="20"/>
          <w:szCs w:val="20"/>
        </w:rPr>
        <w:t>transcribed verbatim</w:t>
      </w:r>
      <w:r>
        <w:rPr>
          <w:rFonts w:ascii="Arial" w:hAnsi="Arial" w:cs="Arial"/>
          <w:sz w:val="20"/>
          <w:szCs w:val="20"/>
        </w:rPr>
        <w:t xml:space="preserve"> shortly after each session and</w:t>
      </w:r>
      <w:r>
        <w:rPr>
          <w:rFonts w:ascii="Arial" w:hAnsi="Arial" w:cs="Arial"/>
          <w:sz w:val="20"/>
          <w:szCs w:val="20"/>
        </w:rPr>
        <w:t xml:space="preserve"> reviewed for accuracy prior to analysis. Data collection continued until </w:t>
      </w:r>
      <w:r>
        <w:rPr>
          <w:rStyle w:val="Strong"/>
          <w:rFonts w:ascii="Arial" w:hAnsi="Arial" w:cs="Arial"/>
          <w:b w:val="0"/>
          <w:bCs w:val="0"/>
          <w:sz w:val="20"/>
          <w:szCs w:val="20"/>
        </w:rPr>
        <w:t>data saturation</w:t>
      </w:r>
      <w:r>
        <w:rPr>
          <w:rFonts w:ascii="Arial" w:hAnsi="Arial" w:cs="Arial"/>
          <w:sz w:val="20"/>
          <w:szCs w:val="20"/>
        </w:rPr>
        <w:t xml:space="preserve"> was reached, defined as the point at which no new themes or meaningful insights emerged from subsequent interviews. To ensure </w:t>
      </w:r>
      <w:r>
        <w:rPr>
          <w:rStyle w:val="Strong"/>
          <w:rFonts w:ascii="Arial" w:hAnsi="Arial" w:cs="Arial"/>
          <w:b w:val="0"/>
          <w:bCs w:val="0"/>
          <w:sz w:val="20"/>
          <w:szCs w:val="20"/>
        </w:rPr>
        <w:t>confidentiality and data security</w:t>
      </w:r>
      <w:r>
        <w:rPr>
          <w:rFonts w:ascii="Arial" w:hAnsi="Arial" w:cs="Arial"/>
          <w:sz w:val="20"/>
          <w:szCs w:val="20"/>
        </w:rPr>
        <w:t>, all t</w:t>
      </w:r>
      <w:r>
        <w:rPr>
          <w:rFonts w:ascii="Arial" w:hAnsi="Arial" w:cs="Arial"/>
          <w:sz w:val="20"/>
          <w:szCs w:val="20"/>
        </w:rPr>
        <w:t>ranscripts were anonymized using coded identifiers, and digital files were stored in password-protected electronic storage accessible only to the researcher.</w:t>
      </w:r>
    </w:p>
    <w:p w14:paraId="6E65628B" w14:textId="77777777" w:rsidR="00F75221" w:rsidRDefault="00F75221">
      <w:pPr>
        <w:ind w:firstLine="720"/>
        <w:jc w:val="both"/>
        <w:rPr>
          <w:b/>
          <w:bCs/>
          <w:sz w:val="20"/>
          <w:szCs w:val="20"/>
        </w:rPr>
      </w:pPr>
    </w:p>
    <w:p w14:paraId="42826B1A" w14:textId="77777777" w:rsidR="00F75221" w:rsidRDefault="000B2AC1">
      <w:pPr>
        <w:jc w:val="both"/>
        <w:rPr>
          <w:sz w:val="20"/>
          <w:szCs w:val="20"/>
        </w:rPr>
      </w:pPr>
      <w:r>
        <w:rPr>
          <w:b/>
          <w:sz w:val="20"/>
          <w:szCs w:val="20"/>
        </w:rPr>
        <w:t>4. Data Analysis</w:t>
      </w:r>
    </w:p>
    <w:p w14:paraId="2053A0FC" w14:textId="77777777" w:rsidR="00F75221" w:rsidRDefault="000B2AC1">
      <w:pPr>
        <w:pStyle w:val="NormalWeb"/>
        <w:rPr>
          <w:rFonts w:ascii="Arial" w:hAnsi="Arial" w:cs="Arial"/>
          <w:sz w:val="20"/>
          <w:szCs w:val="20"/>
        </w:rPr>
      </w:pPr>
      <w:r>
        <w:rPr>
          <w:rFonts w:ascii="Arial" w:hAnsi="Arial" w:cs="Arial"/>
          <w:sz w:val="20"/>
          <w:szCs w:val="20"/>
        </w:rPr>
        <w:t xml:space="preserve">Interview data were analyzed using </w:t>
      </w:r>
      <w:r>
        <w:rPr>
          <w:rStyle w:val="Strong"/>
          <w:rFonts w:ascii="Arial" w:hAnsi="Arial" w:cs="Arial"/>
          <w:b w:val="0"/>
          <w:bCs w:val="0"/>
          <w:sz w:val="20"/>
          <w:szCs w:val="20"/>
        </w:rPr>
        <w:t>reflexive thematic analysis</w:t>
      </w:r>
      <w:r>
        <w:rPr>
          <w:rFonts w:ascii="Arial" w:hAnsi="Arial" w:cs="Arial"/>
          <w:sz w:val="20"/>
          <w:szCs w:val="20"/>
        </w:rPr>
        <w:t xml:space="preserve"> as outlined by </w:t>
      </w:r>
      <w:r>
        <w:rPr>
          <w:rStyle w:val="Strong"/>
          <w:rFonts w:ascii="Arial" w:hAnsi="Arial" w:cs="Arial"/>
          <w:b w:val="0"/>
          <w:bCs w:val="0"/>
          <w:sz w:val="20"/>
          <w:szCs w:val="20"/>
        </w:rPr>
        <w:t>Br</w:t>
      </w:r>
      <w:r>
        <w:rPr>
          <w:rStyle w:val="Strong"/>
          <w:rFonts w:ascii="Arial" w:hAnsi="Arial" w:cs="Arial"/>
          <w:b w:val="0"/>
          <w:bCs w:val="0"/>
          <w:sz w:val="20"/>
          <w:szCs w:val="20"/>
        </w:rPr>
        <w:t>aun and Clarke (2006)</w:t>
      </w:r>
      <w:r>
        <w:rPr>
          <w:rFonts w:ascii="Arial" w:hAnsi="Arial" w:cs="Arial"/>
          <w:sz w:val="20"/>
          <w:szCs w:val="20"/>
        </w:rPr>
        <w:t>, a systematic qualitative approach for identifying, organizing, and interpreting patterns of meaning within textual data. This analytic method is widely applied in health research because it enables rigorous yet flexible examination o</w:t>
      </w:r>
      <w:r>
        <w:rPr>
          <w:rFonts w:ascii="Arial" w:hAnsi="Arial" w:cs="Arial"/>
          <w:sz w:val="20"/>
          <w:szCs w:val="20"/>
        </w:rPr>
        <w:t xml:space="preserve">f participants’ experiences while remaining grounded in the data (Braun &amp; Clarke, 2006; Kiger &amp; </w:t>
      </w:r>
      <w:proofErr w:type="spellStart"/>
      <w:r>
        <w:rPr>
          <w:rFonts w:ascii="Arial" w:hAnsi="Arial" w:cs="Arial"/>
          <w:sz w:val="20"/>
          <w:szCs w:val="20"/>
        </w:rPr>
        <w:t>Varpio</w:t>
      </w:r>
      <w:proofErr w:type="spellEnd"/>
      <w:r>
        <w:rPr>
          <w:rFonts w:ascii="Arial" w:hAnsi="Arial" w:cs="Arial"/>
          <w:sz w:val="20"/>
          <w:szCs w:val="20"/>
        </w:rPr>
        <w:t>, 2020).</w:t>
      </w:r>
    </w:p>
    <w:p w14:paraId="4353A389" w14:textId="77777777" w:rsidR="00F75221" w:rsidRDefault="000B2AC1">
      <w:pPr>
        <w:pStyle w:val="NormalWeb"/>
        <w:rPr>
          <w:rFonts w:ascii="Arial" w:hAnsi="Arial" w:cs="Arial"/>
          <w:sz w:val="20"/>
          <w:szCs w:val="20"/>
        </w:rPr>
      </w:pPr>
      <w:r>
        <w:rPr>
          <w:rFonts w:ascii="Arial" w:hAnsi="Arial" w:cs="Arial"/>
          <w:sz w:val="20"/>
          <w:szCs w:val="20"/>
        </w:rPr>
        <w:t xml:space="preserve">All audio-recorded interviews were </w:t>
      </w:r>
      <w:r>
        <w:rPr>
          <w:rStyle w:val="Strong"/>
          <w:rFonts w:ascii="Arial" w:hAnsi="Arial" w:cs="Arial"/>
          <w:b w:val="0"/>
          <w:bCs w:val="0"/>
          <w:sz w:val="20"/>
          <w:szCs w:val="20"/>
        </w:rPr>
        <w:t>manually transcribed verbatim</w:t>
      </w:r>
      <w:r>
        <w:rPr>
          <w:rFonts w:ascii="Arial" w:hAnsi="Arial" w:cs="Arial"/>
          <w:sz w:val="20"/>
          <w:szCs w:val="20"/>
        </w:rPr>
        <w:t xml:space="preserve"> and reviewed for accuracy prior to analysis. The researcher conducted </w:t>
      </w:r>
      <w:r>
        <w:rPr>
          <w:rStyle w:val="Strong"/>
          <w:rFonts w:ascii="Arial" w:hAnsi="Arial" w:cs="Arial"/>
          <w:b w:val="0"/>
          <w:bCs w:val="0"/>
          <w:sz w:val="20"/>
          <w:szCs w:val="20"/>
        </w:rPr>
        <w:t>repeated r</w:t>
      </w:r>
      <w:r>
        <w:rPr>
          <w:rStyle w:val="Strong"/>
          <w:rFonts w:ascii="Arial" w:hAnsi="Arial" w:cs="Arial"/>
          <w:b w:val="0"/>
          <w:bCs w:val="0"/>
          <w:sz w:val="20"/>
          <w:szCs w:val="20"/>
        </w:rPr>
        <w:t>eadings of the transcripts</w:t>
      </w:r>
      <w:r>
        <w:rPr>
          <w:rFonts w:ascii="Arial" w:hAnsi="Arial" w:cs="Arial"/>
          <w:sz w:val="20"/>
          <w:szCs w:val="20"/>
        </w:rPr>
        <w:t xml:space="preserve"> to achieve data familiarization, followed by </w:t>
      </w:r>
      <w:r>
        <w:rPr>
          <w:rStyle w:val="Strong"/>
          <w:rFonts w:ascii="Arial" w:hAnsi="Arial" w:cs="Arial"/>
          <w:b w:val="0"/>
          <w:bCs w:val="0"/>
          <w:sz w:val="20"/>
          <w:szCs w:val="20"/>
        </w:rPr>
        <w:t>systematic manual coding</w:t>
      </w:r>
      <w:r>
        <w:rPr>
          <w:rFonts w:ascii="Arial" w:hAnsi="Arial" w:cs="Arial"/>
          <w:sz w:val="20"/>
          <w:szCs w:val="20"/>
        </w:rPr>
        <w:t xml:space="preserve"> to capture significant statements related to the </w:t>
      </w:r>
      <w:r>
        <w:rPr>
          <w:rStyle w:val="Strong"/>
          <w:rFonts w:ascii="Arial" w:hAnsi="Arial" w:cs="Arial"/>
          <w:b w:val="0"/>
          <w:bCs w:val="0"/>
          <w:sz w:val="20"/>
          <w:szCs w:val="20"/>
        </w:rPr>
        <w:t>rights of healthcare workers against bullying, harassment, and discrimination and health facilities’ complianc</w:t>
      </w:r>
      <w:r>
        <w:rPr>
          <w:rStyle w:val="Strong"/>
          <w:rFonts w:ascii="Arial" w:hAnsi="Arial" w:cs="Arial"/>
          <w:b w:val="0"/>
          <w:bCs w:val="0"/>
          <w:sz w:val="20"/>
          <w:szCs w:val="20"/>
        </w:rPr>
        <w:t>e with existing protection within real clinical environments</w:t>
      </w:r>
      <w:r>
        <w:rPr>
          <w:rFonts w:ascii="Arial" w:hAnsi="Arial" w:cs="Arial"/>
          <w:sz w:val="20"/>
          <w:szCs w:val="20"/>
        </w:rPr>
        <w:t xml:space="preserve">. Consistent with the phases of thematic analysis described by Braun and Clarke (2006), codes with conceptual similarity were subsequently clustered into </w:t>
      </w:r>
      <w:r>
        <w:rPr>
          <w:rStyle w:val="Strong"/>
          <w:rFonts w:ascii="Arial" w:hAnsi="Arial" w:cs="Arial"/>
          <w:b w:val="0"/>
          <w:bCs w:val="0"/>
          <w:sz w:val="20"/>
          <w:szCs w:val="20"/>
        </w:rPr>
        <w:t>categories and overarching themes</w:t>
      </w:r>
      <w:r>
        <w:rPr>
          <w:rFonts w:ascii="Arial" w:hAnsi="Arial" w:cs="Arial"/>
          <w:sz w:val="20"/>
          <w:szCs w:val="20"/>
        </w:rPr>
        <w:t>, which w</w:t>
      </w:r>
      <w:r>
        <w:rPr>
          <w:rFonts w:ascii="Arial" w:hAnsi="Arial" w:cs="Arial"/>
          <w:sz w:val="20"/>
          <w:szCs w:val="20"/>
        </w:rPr>
        <w:t xml:space="preserve">ere refined through </w:t>
      </w:r>
      <w:r>
        <w:rPr>
          <w:rStyle w:val="Strong"/>
          <w:rFonts w:ascii="Arial" w:hAnsi="Arial" w:cs="Arial"/>
          <w:b w:val="0"/>
          <w:bCs w:val="0"/>
          <w:sz w:val="20"/>
          <w:szCs w:val="20"/>
        </w:rPr>
        <w:t>iterative comparison across transcripts</w:t>
      </w:r>
      <w:r>
        <w:rPr>
          <w:rFonts w:ascii="Arial" w:hAnsi="Arial" w:cs="Arial"/>
          <w:sz w:val="20"/>
          <w:szCs w:val="20"/>
        </w:rPr>
        <w:t xml:space="preserve"> to ensure internal coherence and clear distinction between themes.</w:t>
      </w:r>
    </w:p>
    <w:p w14:paraId="7AB59D40" w14:textId="77777777" w:rsidR="00F75221" w:rsidRDefault="000B2AC1">
      <w:pPr>
        <w:pStyle w:val="NormalWeb"/>
        <w:rPr>
          <w:rFonts w:ascii="Arial" w:hAnsi="Arial" w:cs="Arial"/>
          <w:sz w:val="20"/>
          <w:szCs w:val="20"/>
        </w:rPr>
      </w:pPr>
      <w:r>
        <w:rPr>
          <w:rFonts w:ascii="Arial" w:hAnsi="Arial" w:cs="Arial"/>
          <w:sz w:val="20"/>
          <w:szCs w:val="20"/>
        </w:rPr>
        <w:lastRenderedPageBreak/>
        <w:t xml:space="preserve">Throughout the analytic process, careful attention was given to participants’ </w:t>
      </w:r>
      <w:r>
        <w:rPr>
          <w:rStyle w:val="Strong"/>
          <w:rFonts w:ascii="Arial" w:hAnsi="Arial" w:cs="Arial"/>
          <w:b w:val="0"/>
          <w:bCs w:val="0"/>
          <w:sz w:val="20"/>
          <w:szCs w:val="20"/>
        </w:rPr>
        <w:t>experiences, meanings, and contextual influences</w:t>
      </w:r>
      <w:r>
        <w:rPr>
          <w:rFonts w:ascii="Arial" w:hAnsi="Arial" w:cs="Arial"/>
          <w:sz w:val="20"/>
          <w:szCs w:val="20"/>
        </w:rPr>
        <w:t xml:space="preserve">, enabling interpretation of how mental health nurses perceived institutional protection mechanisms within their workplace settings. To enhance </w:t>
      </w:r>
      <w:r>
        <w:rPr>
          <w:rStyle w:val="Strong"/>
          <w:rFonts w:ascii="Arial" w:hAnsi="Arial" w:cs="Arial"/>
          <w:b w:val="0"/>
          <w:bCs w:val="0"/>
          <w:sz w:val="20"/>
          <w:szCs w:val="20"/>
        </w:rPr>
        <w:t>analytic rigor and trustworthiness</w:t>
      </w:r>
      <w:r>
        <w:rPr>
          <w:rFonts w:ascii="Arial" w:hAnsi="Arial" w:cs="Arial"/>
          <w:sz w:val="20"/>
          <w:szCs w:val="20"/>
        </w:rPr>
        <w:t xml:space="preserve">, theme development involved continuous reflection on </w:t>
      </w:r>
      <w:r>
        <w:rPr>
          <w:rStyle w:val="Strong"/>
          <w:rFonts w:ascii="Arial" w:hAnsi="Arial" w:cs="Arial"/>
          <w:b w:val="0"/>
          <w:bCs w:val="0"/>
          <w:sz w:val="20"/>
          <w:szCs w:val="20"/>
        </w:rPr>
        <w:t>cultural and organizatio</w:t>
      </w:r>
      <w:r>
        <w:rPr>
          <w:rStyle w:val="Strong"/>
          <w:rFonts w:ascii="Arial" w:hAnsi="Arial" w:cs="Arial"/>
          <w:b w:val="0"/>
          <w:bCs w:val="0"/>
          <w:sz w:val="20"/>
          <w:szCs w:val="20"/>
        </w:rPr>
        <w:t>nal factors within the Philippine healthcare context</w:t>
      </w:r>
      <w:r>
        <w:rPr>
          <w:rFonts w:ascii="Arial" w:hAnsi="Arial" w:cs="Arial"/>
          <w:sz w:val="20"/>
          <w:szCs w:val="20"/>
        </w:rPr>
        <w:t xml:space="preserve"> that could shape participants’ perceptions and experiences, consistent with qualitative analytic standards in health professions education research (Kiger &amp; </w:t>
      </w:r>
      <w:proofErr w:type="spellStart"/>
      <w:r>
        <w:rPr>
          <w:rFonts w:ascii="Arial" w:hAnsi="Arial" w:cs="Arial"/>
          <w:sz w:val="20"/>
          <w:szCs w:val="20"/>
        </w:rPr>
        <w:t>Varpio</w:t>
      </w:r>
      <w:proofErr w:type="spellEnd"/>
      <w:r>
        <w:rPr>
          <w:rFonts w:ascii="Arial" w:hAnsi="Arial" w:cs="Arial"/>
          <w:sz w:val="20"/>
          <w:szCs w:val="20"/>
        </w:rPr>
        <w:t>, 2020).</w:t>
      </w:r>
    </w:p>
    <w:p w14:paraId="245EA254" w14:textId="77777777" w:rsidR="00F75221" w:rsidRDefault="000B2AC1">
      <w:pPr>
        <w:tabs>
          <w:tab w:val="left" w:pos="1978"/>
        </w:tabs>
        <w:jc w:val="both"/>
        <w:rPr>
          <w:b/>
          <w:bCs/>
          <w:sz w:val="20"/>
          <w:szCs w:val="20"/>
        </w:rPr>
      </w:pPr>
      <w:r>
        <w:rPr>
          <w:b/>
          <w:bCs/>
          <w:sz w:val="20"/>
          <w:szCs w:val="20"/>
        </w:rPr>
        <w:t xml:space="preserve"> 4. </w:t>
      </w:r>
      <w:r>
        <w:rPr>
          <w:b/>
          <w:sz w:val="20"/>
          <w:szCs w:val="20"/>
        </w:rPr>
        <w:t>RESULTS AND DISCUSSION</w:t>
      </w:r>
    </w:p>
    <w:p w14:paraId="5D863094" w14:textId="77777777" w:rsidR="00F75221" w:rsidRDefault="000B2AC1">
      <w:pPr>
        <w:pStyle w:val="NormalWeb"/>
        <w:jc w:val="both"/>
        <w:rPr>
          <w:rFonts w:ascii="Arial" w:hAnsi="Arial" w:cs="Arial"/>
          <w:sz w:val="20"/>
          <w:szCs w:val="20"/>
        </w:rPr>
      </w:pPr>
      <w:r>
        <w:rPr>
          <w:rFonts w:ascii="Arial" w:hAnsi="Arial" w:cs="Arial"/>
          <w:sz w:val="20"/>
          <w:szCs w:val="20"/>
        </w:rPr>
        <w:tab/>
        <w:t>The</w:t>
      </w:r>
      <w:r>
        <w:rPr>
          <w:rFonts w:ascii="Arial" w:hAnsi="Arial" w:cs="Arial"/>
          <w:sz w:val="20"/>
          <w:szCs w:val="20"/>
        </w:rPr>
        <w:t xml:space="preserve"> qualitative analysis generated three interrelated themes reflecting mental health nurses’ perspectives on the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t>
      </w:r>
      <w:r>
        <w:rPr>
          <w:rStyle w:val="Strong"/>
          <w:rFonts w:ascii="Arial" w:hAnsi="Arial" w:cs="Arial"/>
          <w:b w:val="0"/>
          <w:bCs w:val="0"/>
          <w:sz w:val="20"/>
          <w:szCs w:val="20"/>
        </w:rPr>
        <w:t xml:space="preserve">(1) </w:t>
      </w:r>
      <w:r>
        <w:rPr>
          <w:rStyle w:val="Strong"/>
          <w:rFonts w:ascii="Arial" w:hAnsi="Arial" w:cs="Arial"/>
          <w:b w:val="0"/>
          <w:bCs w:val="0"/>
          <w:sz w:val="20"/>
          <w:szCs w:val="20"/>
        </w:rPr>
        <w:t>institutional protection, enforcement, and compliance; (2) organizational and sociocultural barriers to exercising rights; and (3) psychological and professional consequences of protection gaps</w:t>
      </w:r>
      <w:r>
        <w:rPr>
          <w:rFonts w:ascii="Arial" w:hAnsi="Arial" w:cs="Arial"/>
          <w:sz w:val="20"/>
          <w:szCs w:val="20"/>
        </w:rPr>
        <w:t>. Together, these themes illustrate how formal recognition of w</w:t>
      </w:r>
      <w:r>
        <w:rPr>
          <w:rFonts w:ascii="Arial" w:hAnsi="Arial" w:cs="Arial"/>
          <w:sz w:val="20"/>
          <w:szCs w:val="20"/>
        </w:rPr>
        <w:t>orkers’ rights interacts with workplace culture and lived professional experience, shaping the persistence and impact of workplace bullying in nursing contexts.</w:t>
      </w:r>
    </w:p>
    <w:p w14:paraId="00028339" w14:textId="77777777" w:rsidR="00F75221" w:rsidRDefault="000B2AC1">
      <w:pPr>
        <w:jc w:val="both"/>
        <w:rPr>
          <w:sz w:val="20"/>
          <w:szCs w:val="20"/>
        </w:rPr>
      </w:pPr>
      <w:r>
        <w:rPr>
          <w:b/>
          <w:sz w:val="20"/>
          <w:szCs w:val="20"/>
        </w:rPr>
        <w:t>Figure 1. Thematic Map</w:t>
      </w:r>
    </w:p>
    <w:p w14:paraId="7B70D2EE" w14:textId="77777777" w:rsidR="00F75221" w:rsidRDefault="00F75221">
      <w:pPr>
        <w:jc w:val="both"/>
        <w:rPr>
          <w:sz w:val="20"/>
          <w:szCs w:val="20"/>
          <w:lang w:val="en-PH"/>
        </w:rPr>
      </w:pPr>
    </w:p>
    <w:p w14:paraId="325901A1" w14:textId="77777777" w:rsidR="00F75221" w:rsidRDefault="000B2AC1">
      <w:pPr>
        <w:jc w:val="center"/>
        <w:rPr>
          <w:sz w:val="20"/>
          <w:szCs w:val="20"/>
          <w:lang w:val="en-PH"/>
        </w:rPr>
      </w:pPr>
      <w:r>
        <w:rPr>
          <w:noProof/>
          <w:sz w:val="20"/>
          <w:szCs w:val="20"/>
          <w:lang w:val="en-PH"/>
        </w:rPr>
        <w:drawing>
          <wp:inline distT="0" distB="0" distL="114300" distR="114300" wp14:anchorId="634A795C" wp14:editId="3B1E97BD">
            <wp:extent cx="3383915" cy="2985770"/>
            <wp:effectExtent l="0" t="0" r="0" b="0"/>
            <wp:docPr id="1" name="Picture 1" descr="Blue Green and Pink Flat Digital Marketing Strategy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Green and Pink Flat Digital Marketing Strategy Brainstorm"/>
                    <pic:cNvPicPr>
                      <a:picLocks noChangeAspect="1"/>
                    </pic:cNvPicPr>
                  </pic:nvPicPr>
                  <pic:blipFill>
                    <a:blip r:embed="rId7"/>
                    <a:srcRect l="21496" t="5147" r="21571" b="5546"/>
                    <a:stretch>
                      <a:fillRect/>
                    </a:stretch>
                  </pic:blipFill>
                  <pic:spPr>
                    <a:xfrm>
                      <a:off x="0" y="0"/>
                      <a:ext cx="3383915" cy="2985770"/>
                    </a:xfrm>
                    <a:prstGeom prst="rect">
                      <a:avLst/>
                    </a:prstGeom>
                  </pic:spPr>
                </pic:pic>
              </a:graphicData>
            </a:graphic>
          </wp:inline>
        </w:drawing>
      </w:r>
    </w:p>
    <w:p w14:paraId="1BA046FF" w14:textId="77777777" w:rsidR="00F75221" w:rsidRDefault="000B2AC1">
      <w:pPr>
        <w:pStyle w:val="NormalWeb"/>
        <w:jc w:val="both"/>
        <w:rPr>
          <w:rFonts w:ascii="Arial" w:hAnsi="Arial" w:cs="Arial"/>
          <w:sz w:val="20"/>
          <w:szCs w:val="20"/>
        </w:rPr>
      </w:pPr>
      <w:r>
        <w:rPr>
          <w:rFonts w:ascii="Arial" w:hAnsi="Arial" w:cs="Arial"/>
          <w:sz w:val="20"/>
          <w:szCs w:val="20"/>
        </w:rPr>
        <w:t xml:space="preserve">This figure illustrates the </w:t>
      </w:r>
      <w:r>
        <w:rPr>
          <w:rStyle w:val="Strong"/>
          <w:rFonts w:ascii="Arial" w:hAnsi="Arial" w:cs="Arial"/>
          <w:b w:val="0"/>
          <w:bCs w:val="0"/>
          <w:sz w:val="20"/>
          <w:szCs w:val="20"/>
        </w:rPr>
        <w:t>core phenomenon</w:t>
      </w:r>
      <w:r>
        <w:rPr>
          <w:rFonts w:ascii="Arial" w:hAnsi="Arial" w:cs="Arial"/>
          <w:sz w:val="20"/>
          <w:szCs w:val="20"/>
        </w:rPr>
        <w:t xml:space="preserve"> of the study—</w:t>
      </w:r>
      <w:r>
        <w:rPr>
          <w:rStyle w:val="Strong"/>
          <w:rFonts w:ascii="Arial" w:hAnsi="Arial" w:cs="Arial"/>
          <w:b w:val="0"/>
          <w:bCs w:val="0"/>
          <w:sz w:val="20"/>
          <w:szCs w:val="20"/>
        </w:rPr>
        <w:t>mental healt</w:t>
      </w:r>
      <w:r>
        <w:rPr>
          <w:rStyle w:val="Strong"/>
          <w:rFonts w:ascii="Arial" w:hAnsi="Arial" w:cs="Arial"/>
          <w:b w:val="0"/>
          <w:bCs w:val="0"/>
          <w:sz w:val="20"/>
          <w:szCs w:val="20"/>
        </w:rPr>
        <w:t>h nurses’ perspectives on the recognition and implementation of workplace anti-bullying rights</w:t>
      </w:r>
      <w:r>
        <w:rPr>
          <w:rFonts w:ascii="Arial" w:hAnsi="Arial" w:cs="Arial"/>
          <w:sz w:val="20"/>
          <w:szCs w:val="20"/>
        </w:rPr>
        <w:t>—and the three interrelated themes that emerged from the analysis.</w:t>
      </w:r>
    </w:p>
    <w:p w14:paraId="6ED05F61" w14:textId="77777777" w:rsidR="00F75221" w:rsidRDefault="000B2AC1">
      <w:pPr>
        <w:pStyle w:val="NormalWeb"/>
        <w:jc w:val="both"/>
        <w:rPr>
          <w:rFonts w:ascii="Arial" w:hAnsi="Arial" w:cs="Arial"/>
          <w:sz w:val="20"/>
          <w:szCs w:val="20"/>
        </w:rPr>
      </w:pPr>
      <w:r>
        <w:rPr>
          <w:rFonts w:ascii="Arial" w:hAnsi="Arial" w:cs="Arial"/>
          <w:sz w:val="20"/>
          <w:szCs w:val="20"/>
        </w:rPr>
        <w:t xml:space="preserve">The first theme, </w:t>
      </w:r>
      <w:r>
        <w:rPr>
          <w:rStyle w:val="Strong"/>
          <w:rFonts w:ascii="Arial" w:hAnsi="Arial" w:cs="Arial"/>
          <w:b w:val="0"/>
          <w:bCs w:val="0"/>
          <w:sz w:val="20"/>
          <w:szCs w:val="20"/>
        </w:rPr>
        <w:t>Institutional Protection, Enforcement, and Compliance</w:t>
      </w:r>
      <w:r>
        <w:rPr>
          <w:rFonts w:ascii="Arial" w:hAnsi="Arial" w:cs="Arial"/>
          <w:sz w:val="20"/>
          <w:szCs w:val="20"/>
        </w:rPr>
        <w:t>, reflects how nurses per</w:t>
      </w:r>
      <w:r>
        <w:rPr>
          <w:rFonts w:ascii="Arial" w:hAnsi="Arial" w:cs="Arial"/>
          <w:sz w:val="20"/>
          <w:szCs w:val="20"/>
        </w:rPr>
        <w:t>ceive the formal recognition of anti-bullying rights within healthcare institutions, particularly the consistency of enforcement, transparency of reporting systems, and leadership accountability in translating policy into real workplace protection.</w:t>
      </w:r>
      <w:r>
        <w:rPr>
          <w:rFonts w:ascii="Arial" w:hAnsi="Arial" w:cs="Arial"/>
          <w:sz w:val="20"/>
          <w:szCs w:val="20"/>
          <w:lang w:val="en-PH"/>
        </w:rPr>
        <w:t xml:space="preserve"> </w:t>
      </w:r>
      <w:r>
        <w:rPr>
          <w:rFonts w:ascii="Arial" w:hAnsi="Arial" w:cs="Arial"/>
          <w:sz w:val="20"/>
          <w:szCs w:val="20"/>
        </w:rPr>
        <w:t>The sec</w:t>
      </w:r>
      <w:r>
        <w:rPr>
          <w:rFonts w:ascii="Arial" w:hAnsi="Arial" w:cs="Arial"/>
          <w:sz w:val="20"/>
          <w:szCs w:val="20"/>
        </w:rPr>
        <w:t xml:space="preserve">ond theme, </w:t>
      </w:r>
      <w:r>
        <w:rPr>
          <w:rStyle w:val="Strong"/>
          <w:rFonts w:ascii="Arial" w:hAnsi="Arial" w:cs="Arial"/>
          <w:b w:val="0"/>
          <w:bCs w:val="0"/>
          <w:sz w:val="20"/>
          <w:szCs w:val="20"/>
        </w:rPr>
        <w:t>Organizational and Sociocultural Barriers to Exercising Rights</w:t>
      </w:r>
      <w:r>
        <w:rPr>
          <w:rFonts w:ascii="Arial" w:hAnsi="Arial" w:cs="Arial"/>
          <w:sz w:val="20"/>
          <w:szCs w:val="20"/>
        </w:rPr>
        <w:t>, highlights structural and cultural constraints</w:t>
      </w:r>
      <w:r>
        <w:rPr>
          <w:rFonts w:ascii="Arial" w:hAnsi="Arial" w:cs="Arial"/>
          <w:sz w:val="20"/>
          <w:szCs w:val="20"/>
          <w:lang w:val="en-PH"/>
        </w:rPr>
        <w:t xml:space="preserve"> </w:t>
      </w:r>
      <w:r>
        <w:rPr>
          <w:rFonts w:ascii="Arial" w:hAnsi="Arial" w:cs="Arial"/>
          <w:sz w:val="20"/>
          <w:szCs w:val="20"/>
        </w:rPr>
        <w:t>such as hierarchical workplace culture, fear of retaliation, normalization of incivility, and limited organizational support</w:t>
      </w:r>
      <w:r>
        <w:rPr>
          <w:rFonts w:ascii="Arial" w:hAnsi="Arial" w:cs="Arial"/>
          <w:sz w:val="20"/>
          <w:szCs w:val="20"/>
          <w:lang w:val="en-PH"/>
        </w:rPr>
        <w:t xml:space="preserve"> </w:t>
      </w:r>
      <w:r>
        <w:rPr>
          <w:rFonts w:ascii="Arial" w:hAnsi="Arial" w:cs="Arial"/>
          <w:sz w:val="20"/>
          <w:szCs w:val="20"/>
        </w:rPr>
        <w:t>that hind</w:t>
      </w:r>
      <w:r>
        <w:rPr>
          <w:rFonts w:ascii="Arial" w:hAnsi="Arial" w:cs="Arial"/>
          <w:sz w:val="20"/>
          <w:szCs w:val="20"/>
        </w:rPr>
        <w:t>er nurses from reporting bullying or fully using available protections.</w:t>
      </w:r>
      <w:r>
        <w:rPr>
          <w:rFonts w:ascii="Arial" w:hAnsi="Arial" w:cs="Arial"/>
          <w:sz w:val="20"/>
          <w:szCs w:val="20"/>
          <w:lang w:val="en-PH"/>
        </w:rPr>
        <w:t xml:space="preserve"> </w:t>
      </w:r>
      <w:r>
        <w:rPr>
          <w:rFonts w:ascii="Arial" w:hAnsi="Arial" w:cs="Arial"/>
          <w:sz w:val="20"/>
          <w:szCs w:val="20"/>
        </w:rPr>
        <w:t xml:space="preserve">The third theme, </w:t>
      </w:r>
      <w:r>
        <w:rPr>
          <w:rStyle w:val="Strong"/>
          <w:rFonts w:ascii="Arial" w:hAnsi="Arial" w:cs="Arial"/>
          <w:b w:val="0"/>
          <w:bCs w:val="0"/>
          <w:sz w:val="20"/>
          <w:szCs w:val="20"/>
        </w:rPr>
        <w:t xml:space="preserve">Psychological and Professional Consequences of </w:t>
      </w:r>
      <w:r>
        <w:rPr>
          <w:rStyle w:val="Strong"/>
          <w:rFonts w:ascii="Arial" w:hAnsi="Arial" w:cs="Arial"/>
          <w:b w:val="0"/>
          <w:bCs w:val="0"/>
          <w:sz w:val="20"/>
          <w:szCs w:val="20"/>
        </w:rPr>
        <w:lastRenderedPageBreak/>
        <w:t>Protection Gaps</w:t>
      </w:r>
      <w:r>
        <w:rPr>
          <w:rFonts w:ascii="Arial" w:hAnsi="Arial" w:cs="Arial"/>
          <w:sz w:val="20"/>
          <w:szCs w:val="20"/>
        </w:rPr>
        <w:t>, describes the emotional distress, burnout, reduced job satisfaction, and intentions to leave the profes</w:t>
      </w:r>
      <w:r>
        <w:rPr>
          <w:rFonts w:ascii="Arial" w:hAnsi="Arial" w:cs="Arial"/>
          <w:sz w:val="20"/>
          <w:szCs w:val="20"/>
        </w:rPr>
        <w:t>sion that arise when institutional safeguards are perceived as inadequate.</w:t>
      </w:r>
    </w:p>
    <w:p w14:paraId="4AE7F5A9" w14:textId="77777777" w:rsidR="00F75221" w:rsidRDefault="000B2AC1">
      <w:pPr>
        <w:pStyle w:val="NormalWeb"/>
        <w:jc w:val="both"/>
        <w:rPr>
          <w:rFonts w:ascii="Arial" w:hAnsi="Arial" w:cs="Arial"/>
          <w:sz w:val="20"/>
          <w:szCs w:val="20"/>
        </w:rPr>
      </w:pPr>
      <w:r>
        <w:rPr>
          <w:rFonts w:ascii="Arial" w:hAnsi="Arial" w:cs="Arial"/>
          <w:sz w:val="20"/>
          <w:szCs w:val="20"/>
        </w:rPr>
        <w:t xml:space="preserve">Overall, the figure shows that </w:t>
      </w:r>
      <w:r>
        <w:rPr>
          <w:rStyle w:val="Strong"/>
          <w:rFonts w:ascii="Arial" w:hAnsi="Arial" w:cs="Arial"/>
          <w:b w:val="0"/>
          <w:bCs w:val="0"/>
          <w:sz w:val="20"/>
          <w:szCs w:val="20"/>
        </w:rPr>
        <w:t>workplace anti-bullying protection is a multilevel organizational issue</w:t>
      </w:r>
      <w:r>
        <w:rPr>
          <w:rFonts w:ascii="Arial" w:hAnsi="Arial" w:cs="Arial"/>
          <w:sz w:val="20"/>
          <w:szCs w:val="20"/>
        </w:rPr>
        <w:t xml:space="preserve"> shaped by the interaction of </w:t>
      </w:r>
      <w:r>
        <w:rPr>
          <w:rStyle w:val="Strong"/>
          <w:rFonts w:ascii="Arial" w:hAnsi="Arial" w:cs="Arial"/>
          <w:b w:val="0"/>
          <w:bCs w:val="0"/>
          <w:sz w:val="20"/>
          <w:szCs w:val="20"/>
        </w:rPr>
        <w:t>policy enforcement, workplace culture, and nurses</w:t>
      </w:r>
      <w:r>
        <w:rPr>
          <w:rStyle w:val="Strong"/>
          <w:rFonts w:ascii="Arial" w:hAnsi="Arial" w:cs="Arial"/>
          <w:b w:val="0"/>
          <w:bCs w:val="0"/>
          <w:sz w:val="20"/>
          <w:szCs w:val="20"/>
        </w:rPr>
        <w:t>’ psychological well-being</w:t>
      </w:r>
      <w:r>
        <w:rPr>
          <w:rFonts w:ascii="Arial" w:hAnsi="Arial" w:cs="Arial"/>
          <w:sz w:val="20"/>
          <w:szCs w:val="20"/>
        </w:rPr>
        <w:t>.</w:t>
      </w:r>
    </w:p>
    <w:p w14:paraId="3FC8441D" w14:textId="77777777" w:rsidR="00F75221" w:rsidRDefault="000B2AC1">
      <w:pPr>
        <w:pStyle w:val="NormalWeb"/>
        <w:jc w:val="both"/>
        <w:rPr>
          <w:rFonts w:ascii="Arial" w:hAnsi="Arial" w:cs="Arial"/>
          <w:i/>
          <w:iCs/>
          <w:sz w:val="20"/>
          <w:szCs w:val="20"/>
        </w:rPr>
      </w:pPr>
      <w:r>
        <w:rPr>
          <w:rFonts w:ascii="Arial" w:hAnsi="Arial" w:cs="Arial"/>
          <w:i/>
          <w:iCs/>
          <w:sz w:val="20"/>
          <w:szCs w:val="20"/>
        </w:rPr>
        <w:t>Theme 1: Institutional Protection, Enforcement, and Compliance</w:t>
      </w:r>
    </w:p>
    <w:p w14:paraId="00E9DFB6" w14:textId="77777777" w:rsidR="00F75221" w:rsidRDefault="000B2AC1">
      <w:pPr>
        <w:pStyle w:val="NormalWeb"/>
        <w:jc w:val="both"/>
        <w:rPr>
          <w:rFonts w:ascii="Arial" w:hAnsi="Arial" w:cs="Arial"/>
          <w:sz w:val="20"/>
          <w:szCs w:val="20"/>
        </w:rPr>
      </w:pPr>
      <w:r>
        <w:rPr>
          <w:rFonts w:ascii="Arial" w:hAnsi="Arial" w:cs="Arial"/>
          <w:sz w:val="20"/>
          <w:szCs w:val="20"/>
        </w:rPr>
        <w:t xml:space="preserve">The first theme highlights the distinction between </w:t>
      </w:r>
      <w:r>
        <w:rPr>
          <w:rStyle w:val="Strong"/>
          <w:rFonts w:ascii="Arial" w:hAnsi="Arial" w:cs="Arial"/>
          <w:b w:val="0"/>
          <w:bCs w:val="0"/>
          <w:sz w:val="20"/>
          <w:szCs w:val="20"/>
        </w:rPr>
        <w:t>policy recognition and effective institutional protection</w:t>
      </w:r>
      <w:r>
        <w:rPr>
          <w:rFonts w:ascii="Arial" w:hAnsi="Arial" w:cs="Arial"/>
          <w:sz w:val="20"/>
          <w:szCs w:val="20"/>
        </w:rPr>
        <w:t>. Participants acknowledged the existence of workplace sa</w:t>
      </w:r>
      <w:r>
        <w:rPr>
          <w:rFonts w:ascii="Arial" w:hAnsi="Arial" w:cs="Arial"/>
          <w:sz w:val="20"/>
          <w:szCs w:val="20"/>
        </w:rPr>
        <w:t xml:space="preserve">feguards but emphasized </w:t>
      </w:r>
      <w:r>
        <w:rPr>
          <w:rStyle w:val="Strong"/>
          <w:rFonts w:ascii="Arial" w:hAnsi="Arial" w:cs="Arial"/>
          <w:b w:val="0"/>
          <w:bCs w:val="0"/>
          <w:sz w:val="20"/>
          <w:szCs w:val="20"/>
        </w:rPr>
        <w:t>inconsistent enforcement, limited transparency in reporting systems, and variable leadership accountability</w:t>
      </w:r>
      <w:r>
        <w:rPr>
          <w:rFonts w:ascii="Arial" w:hAnsi="Arial" w:cs="Arial"/>
          <w:sz w:val="20"/>
          <w:szCs w:val="20"/>
        </w:rPr>
        <w:t>. This perception aligns with systematic evidence showing that workplace bullying remains a persistent concern in nursing bec</w:t>
      </w:r>
      <w:r>
        <w:rPr>
          <w:rFonts w:ascii="Arial" w:hAnsi="Arial" w:cs="Arial"/>
          <w:sz w:val="20"/>
          <w:szCs w:val="20"/>
        </w:rPr>
        <w:t xml:space="preserve">ause organizational interventions vary in effectiveness and depend heavily on </w:t>
      </w:r>
      <w:r>
        <w:rPr>
          <w:rStyle w:val="Strong"/>
          <w:rFonts w:ascii="Arial" w:hAnsi="Arial" w:cs="Arial"/>
          <w:b w:val="0"/>
          <w:bCs w:val="0"/>
          <w:sz w:val="20"/>
          <w:szCs w:val="20"/>
        </w:rPr>
        <w:t>leadership commitment, structured implementation, and supportive workplace climate</w:t>
      </w:r>
      <w:r>
        <w:rPr>
          <w:rFonts w:ascii="Arial" w:hAnsi="Arial" w:cs="Arial"/>
          <w:sz w:val="20"/>
          <w:szCs w:val="20"/>
        </w:rPr>
        <w:t xml:space="preserve"> rather than policy presence alone (Jang et al., 2022). Meta-analytic findings further demonstra</w:t>
      </w:r>
      <w:r>
        <w:rPr>
          <w:rFonts w:ascii="Arial" w:hAnsi="Arial" w:cs="Arial"/>
          <w:sz w:val="20"/>
          <w:szCs w:val="20"/>
        </w:rPr>
        <w:t xml:space="preserve">te that workplace bullying is strongly associated with </w:t>
      </w:r>
      <w:r>
        <w:rPr>
          <w:rStyle w:val="Strong"/>
          <w:rFonts w:ascii="Arial" w:hAnsi="Arial" w:cs="Arial"/>
          <w:b w:val="0"/>
          <w:bCs w:val="0"/>
          <w:sz w:val="20"/>
          <w:szCs w:val="20"/>
        </w:rPr>
        <w:t>job stress, burnout, and reduced professional quality of life</w:t>
      </w:r>
      <w:r>
        <w:rPr>
          <w:rFonts w:ascii="Arial" w:hAnsi="Arial" w:cs="Arial"/>
          <w:sz w:val="20"/>
          <w:szCs w:val="20"/>
        </w:rPr>
        <w:t xml:space="preserve">, underscoring the need for </w:t>
      </w:r>
      <w:r>
        <w:rPr>
          <w:rStyle w:val="Strong"/>
          <w:rFonts w:ascii="Arial" w:hAnsi="Arial" w:cs="Arial"/>
          <w:b w:val="0"/>
          <w:bCs w:val="0"/>
          <w:sz w:val="20"/>
          <w:szCs w:val="20"/>
        </w:rPr>
        <w:t>active institutional prevention and enforcement mechanisms</w:t>
      </w:r>
      <w:r>
        <w:rPr>
          <w:rFonts w:ascii="Arial" w:hAnsi="Arial" w:cs="Arial"/>
          <w:sz w:val="20"/>
          <w:szCs w:val="20"/>
        </w:rPr>
        <w:t xml:space="preserve"> to translate policy into genuine protection (Galanis </w:t>
      </w:r>
      <w:r>
        <w:rPr>
          <w:rFonts w:ascii="Arial" w:hAnsi="Arial" w:cs="Arial"/>
          <w:sz w:val="20"/>
          <w:szCs w:val="20"/>
        </w:rPr>
        <w:t xml:space="preserve">et al., 2024). Qualitative synthesis similarly conceptualizes bullying in nursing as part of a </w:t>
      </w:r>
      <w:r>
        <w:rPr>
          <w:rStyle w:val="Strong"/>
          <w:rFonts w:ascii="Arial" w:hAnsi="Arial" w:cs="Arial"/>
          <w:b w:val="0"/>
          <w:bCs w:val="0"/>
          <w:sz w:val="20"/>
          <w:szCs w:val="20"/>
        </w:rPr>
        <w:t>cyclical organizational process driven by hidden systemic factors and inadequate prevention</w:t>
      </w:r>
      <w:r>
        <w:rPr>
          <w:rFonts w:ascii="Arial" w:hAnsi="Arial" w:cs="Arial"/>
          <w:sz w:val="20"/>
          <w:szCs w:val="20"/>
        </w:rPr>
        <w:t xml:space="preserve">, reinforcing participants’ views that symbolic compliance is insufficient without </w:t>
      </w:r>
      <w:r>
        <w:rPr>
          <w:rStyle w:val="Strong"/>
          <w:rFonts w:ascii="Arial" w:hAnsi="Arial" w:cs="Arial"/>
          <w:b w:val="0"/>
          <w:bCs w:val="0"/>
          <w:sz w:val="20"/>
          <w:szCs w:val="20"/>
        </w:rPr>
        <w:t>governance-level accountability</w:t>
      </w:r>
      <w:r>
        <w:rPr>
          <w:rFonts w:ascii="Arial" w:hAnsi="Arial" w:cs="Arial"/>
          <w:sz w:val="20"/>
          <w:szCs w:val="20"/>
        </w:rPr>
        <w:t xml:space="preserve"> (Shorey &amp; Wong, 2021).</w:t>
      </w:r>
    </w:p>
    <w:p w14:paraId="2737EE0F" w14:textId="77777777" w:rsidR="00F75221" w:rsidRDefault="000B2AC1">
      <w:pPr>
        <w:jc w:val="both"/>
        <w:rPr>
          <w:sz w:val="20"/>
          <w:szCs w:val="20"/>
          <w:lang w:val="en-PH"/>
        </w:rPr>
      </w:pPr>
      <w:r>
        <w:rPr>
          <w:sz w:val="20"/>
          <w:szCs w:val="20"/>
        </w:rPr>
        <w:t xml:space="preserve">Additional contemporary scholarship strengthens this interpretation by emphasizing the </w:t>
      </w:r>
      <w:r>
        <w:rPr>
          <w:rStyle w:val="Strong"/>
          <w:b w:val="0"/>
          <w:bCs w:val="0"/>
          <w:sz w:val="20"/>
          <w:szCs w:val="20"/>
        </w:rPr>
        <w:t xml:space="preserve">central role of organizational </w:t>
      </w:r>
      <w:r>
        <w:rPr>
          <w:rStyle w:val="Strong"/>
          <w:b w:val="0"/>
          <w:bCs w:val="0"/>
          <w:sz w:val="20"/>
          <w:szCs w:val="20"/>
        </w:rPr>
        <w:t>leadership and safety climate</w:t>
      </w:r>
      <w:r>
        <w:rPr>
          <w:sz w:val="20"/>
          <w:szCs w:val="20"/>
        </w:rPr>
        <w:t xml:space="preserve"> in shaping workplace protection. Research indicates that </w:t>
      </w:r>
      <w:r>
        <w:rPr>
          <w:rStyle w:val="Strong"/>
          <w:b w:val="0"/>
          <w:bCs w:val="0"/>
          <w:sz w:val="20"/>
          <w:szCs w:val="20"/>
        </w:rPr>
        <w:t>authentic leadership and supportive managerial practices</w:t>
      </w:r>
      <w:r>
        <w:rPr>
          <w:sz w:val="20"/>
          <w:szCs w:val="20"/>
        </w:rPr>
        <w:t xml:space="preserve"> significantly reduce workplace bullying exposure and improve nurses’ psychological well-being, suggesting that l</w:t>
      </w:r>
      <w:r>
        <w:rPr>
          <w:sz w:val="20"/>
          <w:szCs w:val="20"/>
        </w:rPr>
        <w:t xml:space="preserve">eadership behavior functions as a primary mechanism through which institutional policies become operationalized in clinical settings </w:t>
      </w:r>
      <w:r>
        <w:rPr>
          <w:rFonts w:eastAsia="SimSun"/>
          <w:sz w:val="20"/>
          <w:szCs w:val="20"/>
          <w:lang w:eastAsia="zh-CN" w:bidi="ar"/>
        </w:rPr>
        <w:t>(Read, 2016</w:t>
      </w:r>
      <w:r>
        <w:rPr>
          <w:sz w:val="20"/>
          <w:szCs w:val="20"/>
        </w:rPr>
        <w:t xml:space="preserve">. Similarly, longitudinal evidence demonstrates that </w:t>
      </w:r>
      <w:r>
        <w:rPr>
          <w:rStyle w:val="Strong"/>
          <w:b w:val="0"/>
          <w:bCs w:val="0"/>
          <w:sz w:val="20"/>
          <w:szCs w:val="20"/>
        </w:rPr>
        <w:t>psychological safety and ethical leadership climates</w:t>
      </w:r>
      <w:r>
        <w:rPr>
          <w:sz w:val="20"/>
          <w:szCs w:val="20"/>
        </w:rPr>
        <w:t xml:space="preserve"> are as</w:t>
      </w:r>
      <w:r>
        <w:rPr>
          <w:sz w:val="20"/>
          <w:szCs w:val="20"/>
        </w:rPr>
        <w:t>sociated with lower bullying prevalence and stronger reporting confidence among healthcare staff, highlighting the importance of governance structures that actively protect employees rather than merely articulating policy commitments (Fida et al., 201</w:t>
      </w:r>
      <w:r>
        <w:rPr>
          <w:sz w:val="20"/>
          <w:szCs w:val="20"/>
          <w:lang w:val="en-PH"/>
        </w:rPr>
        <w:t>5</w:t>
      </w:r>
      <w:r>
        <w:rPr>
          <w:sz w:val="20"/>
          <w:szCs w:val="20"/>
        </w:rPr>
        <w:t>). M</w:t>
      </w:r>
      <w:r>
        <w:rPr>
          <w:sz w:val="20"/>
          <w:szCs w:val="20"/>
        </w:rPr>
        <w:t xml:space="preserve">ore recent systematic review findings also show that </w:t>
      </w:r>
      <w:r>
        <w:rPr>
          <w:rStyle w:val="Strong"/>
          <w:b w:val="0"/>
          <w:bCs w:val="0"/>
          <w:sz w:val="20"/>
          <w:szCs w:val="20"/>
        </w:rPr>
        <w:t>organizational-level prevention strategies—such as leadership training, clear reporting pathways, and accountability systems—are among the most effective approaches</w:t>
      </w:r>
      <w:r>
        <w:rPr>
          <w:sz w:val="20"/>
          <w:szCs w:val="20"/>
        </w:rPr>
        <w:t xml:space="preserve"> for reducing workplace bullying in nur</w:t>
      </w:r>
      <w:r>
        <w:rPr>
          <w:sz w:val="20"/>
          <w:szCs w:val="20"/>
        </w:rPr>
        <w:t xml:space="preserve">sing environments </w:t>
      </w:r>
      <w:r>
        <w:rPr>
          <w:rFonts w:eastAsia="SimSun"/>
          <w:sz w:val="20"/>
          <w:szCs w:val="20"/>
          <w:lang w:eastAsia="zh-CN" w:bidi="ar"/>
        </w:rPr>
        <w:t>(Zha et al., 2021)</w:t>
      </w:r>
      <w:r>
        <w:rPr>
          <w:rFonts w:eastAsia="SimSun"/>
          <w:sz w:val="20"/>
          <w:szCs w:val="20"/>
          <w:lang w:val="en-PH" w:eastAsia="zh-CN" w:bidi="ar"/>
        </w:rPr>
        <w:t>.</w:t>
      </w:r>
    </w:p>
    <w:p w14:paraId="27B47DFC" w14:textId="77777777" w:rsidR="00F75221" w:rsidRDefault="000B2AC1">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formal recognition of anti-bullying rights is insufficient without consistent institutional enforcement, transparent governance, and psychologically safe lead</w:t>
      </w:r>
      <w:r>
        <w:rPr>
          <w:rStyle w:val="Strong"/>
          <w:rFonts w:ascii="Arial" w:hAnsi="Arial" w:cs="Arial"/>
          <w:b w:val="0"/>
          <w:bCs w:val="0"/>
          <w:sz w:val="20"/>
          <w:szCs w:val="20"/>
        </w:rPr>
        <w:t>ership climates</w:t>
      </w:r>
      <w:r>
        <w:rPr>
          <w:rFonts w:ascii="Arial" w:hAnsi="Arial" w:cs="Arial"/>
          <w:sz w:val="20"/>
          <w:szCs w:val="20"/>
        </w:rPr>
        <w:t xml:space="preserve">. Effective protection therefore depends not only on policy existence but on the </w:t>
      </w:r>
      <w:r>
        <w:rPr>
          <w:rStyle w:val="Strong"/>
          <w:rFonts w:ascii="Arial" w:hAnsi="Arial" w:cs="Arial"/>
          <w:b w:val="0"/>
          <w:bCs w:val="0"/>
          <w:sz w:val="20"/>
          <w:szCs w:val="20"/>
        </w:rPr>
        <w:t>organizational conditions that translate policy into lived workplace safety</w:t>
      </w:r>
      <w:r>
        <w:rPr>
          <w:rFonts w:ascii="Arial" w:hAnsi="Arial" w:cs="Arial"/>
          <w:sz w:val="20"/>
          <w:szCs w:val="20"/>
        </w:rPr>
        <w:t>, reinforcing the need for governance-driven and culturally embedded prevention strat</w:t>
      </w:r>
      <w:r>
        <w:rPr>
          <w:rFonts w:ascii="Arial" w:hAnsi="Arial" w:cs="Arial"/>
          <w:sz w:val="20"/>
          <w:szCs w:val="20"/>
        </w:rPr>
        <w:t>egies within healthcare institutions.</w:t>
      </w:r>
    </w:p>
    <w:p w14:paraId="5251E4EE" w14:textId="77777777" w:rsidR="00F75221" w:rsidRDefault="000B2AC1">
      <w:pPr>
        <w:pStyle w:val="NormalWeb"/>
        <w:jc w:val="both"/>
        <w:rPr>
          <w:rFonts w:ascii="Arial" w:hAnsi="Arial" w:cs="Arial"/>
          <w:i/>
          <w:iCs/>
          <w:sz w:val="20"/>
          <w:szCs w:val="20"/>
        </w:rPr>
      </w:pPr>
      <w:r>
        <w:rPr>
          <w:rFonts w:ascii="Arial" w:hAnsi="Arial" w:cs="Arial"/>
          <w:i/>
          <w:iCs/>
          <w:sz w:val="20"/>
          <w:szCs w:val="20"/>
        </w:rPr>
        <w:t>Theme 2: Organizational and Sociocultural Barriers to Exercising Rights</w:t>
      </w:r>
    </w:p>
    <w:p w14:paraId="2AC85F62" w14:textId="77777777" w:rsidR="00F75221" w:rsidRDefault="000B2AC1">
      <w:pPr>
        <w:pStyle w:val="NormalWeb"/>
        <w:jc w:val="both"/>
        <w:rPr>
          <w:rFonts w:ascii="Arial" w:hAnsi="Arial" w:cs="Arial"/>
          <w:sz w:val="20"/>
          <w:szCs w:val="20"/>
        </w:rPr>
      </w:pPr>
      <w:r>
        <w:rPr>
          <w:rFonts w:ascii="Arial" w:hAnsi="Arial" w:cs="Arial"/>
          <w:sz w:val="20"/>
          <w:szCs w:val="20"/>
        </w:rPr>
        <w:t xml:space="preserve">The second theme reveals how </w:t>
      </w:r>
      <w:r>
        <w:rPr>
          <w:rStyle w:val="Strong"/>
          <w:rFonts w:ascii="Arial" w:hAnsi="Arial" w:cs="Arial"/>
          <w:b w:val="0"/>
          <w:bCs w:val="0"/>
          <w:sz w:val="20"/>
          <w:szCs w:val="20"/>
        </w:rPr>
        <w:t>organizational hierarchy, sociocultural norms, and fear of retaliation</w:t>
      </w:r>
      <w:r>
        <w:rPr>
          <w:rFonts w:ascii="Arial" w:hAnsi="Arial" w:cs="Arial"/>
          <w:sz w:val="20"/>
          <w:szCs w:val="20"/>
        </w:rPr>
        <w:t xml:space="preserve"> can limit nurses’ ability to exercise formally</w:t>
      </w:r>
      <w:r>
        <w:rPr>
          <w:rFonts w:ascii="Arial" w:hAnsi="Arial" w:cs="Arial"/>
          <w:sz w:val="20"/>
          <w:szCs w:val="20"/>
        </w:rPr>
        <w:t xml:space="preserve"> recognized rights. Participants described the </w:t>
      </w:r>
      <w:r>
        <w:rPr>
          <w:rStyle w:val="Strong"/>
          <w:rFonts w:ascii="Arial" w:hAnsi="Arial" w:cs="Arial"/>
          <w:b w:val="0"/>
          <w:bCs w:val="0"/>
          <w:sz w:val="20"/>
          <w:szCs w:val="20"/>
        </w:rPr>
        <w:t>normalization of incivility and reluctance to report bullying</w:t>
      </w:r>
      <w:r>
        <w:rPr>
          <w:rFonts w:ascii="Arial" w:hAnsi="Arial" w:cs="Arial"/>
          <w:sz w:val="20"/>
          <w:szCs w:val="20"/>
        </w:rPr>
        <w:t>, reflecting a persistent gap between institutional directives and workplace reality. Evidence from qualitative systematic review literature confirm</w:t>
      </w:r>
      <w:r>
        <w:rPr>
          <w:rFonts w:ascii="Arial" w:hAnsi="Arial" w:cs="Arial"/>
          <w:sz w:val="20"/>
          <w:szCs w:val="20"/>
        </w:rPr>
        <w:t xml:space="preserve">s that nurses frequently cope through </w:t>
      </w:r>
      <w:r>
        <w:rPr>
          <w:rStyle w:val="Strong"/>
          <w:rFonts w:ascii="Arial" w:hAnsi="Arial" w:cs="Arial"/>
          <w:b w:val="0"/>
          <w:bCs w:val="0"/>
          <w:sz w:val="20"/>
          <w:szCs w:val="20"/>
        </w:rPr>
        <w:t>silence, endurance, or informal conflict management</w:t>
      </w:r>
      <w:r>
        <w:rPr>
          <w:rFonts w:ascii="Arial" w:hAnsi="Arial" w:cs="Arial"/>
          <w:sz w:val="20"/>
          <w:szCs w:val="20"/>
        </w:rPr>
        <w:t xml:space="preserve"> within power-laden organizational cultures, a pattern that perpetuates bullying behaviors and discourages formal reporting (Shorey &amp; Wong, 2021). Mixed systematic rev</w:t>
      </w:r>
      <w:r>
        <w:rPr>
          <w:rFonts w:ascii="Arial" w:hAnsi="Arial" w:cs="Arial"/>
          <w:sz w:val="20"/>
          <w:szCs w:val="20"/>
        </w:rPr>
        <w:t xml:space="preserve">iew findings in intensive-care nursing similarly indicate that </w:t>
      </w:r>
      <w:r>
        <w:rPr>
          <w:rStyle w:val="Strong"/>
          <w:rFonts w:ascii="Arial" w:hAnsi="Arial" w:cs="Arial"/>
          <w:b w:val="0"/>
          <w:bCs w:val="0"/>
          <w:sz w:val="20"/>
          <w:szCs w:val="20"/>
        </w:rPr>
        <w:t>horizontal violence and workplace bullying are embedded within organizational structures and cultural dynamics</w:t>
      </w:r>
      <w:r>
        <w:rPr>
          <w:rFonts w:ascii="Arial" w:hAnsi="Arial" w:cs="Arial"/>
          <w:sz w:val="20"/>
          <w:szCs w:val="20"/>
        </w:rPr>
        <w:t>, shaping awareness, contributing factors, and institutional response strategies (Z</w:t>
      </w:r>
      <w:r>
        <w:rPr>
          <w:rFonts w:ascii="Arial" w:hAnsi="Arial" w:cs="Arial"/>
          <w:sz w:val="20"/>
          <w:szCs w:val="20"/>
        </w:rPr>
        <w:t xml:space="preserve">hang et al., 2025). Broader meta-analytic research further demonstrates that workplace bullying contributes to </w:t>
      </w:r>
      <w:r>
        <w:rPr>
          <w:rStyle w:val="Strong"/>
          <w:rFonts w:ascii="Arial" w:hAnsi="Arial" w:cs="Arial"/>
          <w:b w:val="0"/>
          <w:bCs w:val="0"/>
          <w:sz w:val="20"/>
          <w:szCs w:val="20"/>
        </w:rPr>
        <w:t xml:space="preserve">turnover intentions across </w:t>
      </w:r>
      <w:r>
        <w:rPr>
          <w:rStyle w:val="Strong"/>
          <w:rFonts w:ascii="Arial" w:hAnsi="Arial" w:cs="Arial"/>
          <w:b w:val="0"/>
          <w:bCs w:val="0"/>
          <w:sz w:val="20"/>
          <w:szCs w:val="20"/>
        </w:rPr>
        <w:lastRenderedPageBreak/>
        <w:t>occupational groups</w:t>
      </w:r>
      <w:r>
        <w:rPr>
          <w:rFonts w:ascii="Arial" w:hAnsi="Arial" w:cs="Arial"/>
          <w:sz w:val="20"/>
          <w:szCs w:val="20"/>
        </w:rPr>
        <w:t>, emphasizing how organizational climate influences both reporting behavior and workforce stability</w:t>
      </w:r>
      <w:r>
        <w:rPr>
          <w:rFonts w:ascii="Arial" w:hAnsi="Arial" w:cs="Arial"/>
          <w:sz w:val="20"/>
          <w:szCs w:val="20"/>
        </w:rPr>
        <w:t xml:space="preserve"> (Sun et al., 2025).</w:t>
      </w:r>
    </w:p>
    <w:p w14:paraId="63FFF762" w14:textId="77777777" w:rsidR="00F75221" w:rsidRDefault="000B2AC1">
      <w:pPr>
        <w:jc w:val="both"/>
        <w:rPr>
          <w:sz w:val="20"/>
          <w:szCs w:val="20"/>
        </w:rPr>
      </w:pPr>
      <w:r>
        <w:rPr>
          <w:sz w:val="20"/>
          <w:szCs w:val="20"/>
        </w:rPr>
        <w:t xml:space="preserve">Emerging literature continues to reinforce the structural and cultural determinants of underreporting. Research examining </w:t>
      </w:r>
      <w:r>
        <w:rPr>
          <w:rStyle w:val="Strong"/>
          <w:b w:val="0"/>
          <w:bCs w:val="0"/>
          <w:sz w:val="20"/>
          <w:szCs w:val="20"/>
        </w:rPr>
        <w:t>organizational justice and leadership behavior</w:t>
      </w:r>
      <w:r>
        <w:rPr>
          <w:sz w:val="20"/>
          <w:szCs w:val="20"/>
        </w:rPr>
        <w:t xml:space="preserve"> shows that perceived unfairness and inadequate supervisory respons</w:t>
      </w:r>
      <w:r>
        <w:rPr>
          <w:sz w:val="20"/>
          <w:szCs w:val="20"/>
        </w:rPr>
        <w:t>e significantly increase exposure to bullying and reduce willingness to seek formal resolution, highlighting governance as a central protective factor in healthcare environments</w:t>
      </w:r>
      <w:r>
        <w:rPr>
          <w:sz w:val="20"/>
          <w:szCs w:val="20"/>
          <w:lang w:val="en-PH"/>
        </w:rPr>
        <w:t xml:space="preserve">. </w:t>
      </w:r>
      <w:r>
        <w:rPr>
          <w:sz w:val="20"/>
          <w:szCs w:val="20"/>
        </w:rPr>
        <w:t xml:space="preserve">Similarly, cross-national evidence indicates that </w:t>
      </w:r>
      <w:r>
        <w:rPr>
          <w:rStyle w:val="Strong"/>
          <w:b w:val="0"/>
          <w:bCs w:val="0"/>
          <w:sz w:val="20"/>
          <w:szCs w:val="20"/>
        </w:rPr>
        <w:t xml:space="preserve">power distance, </w:t>
      </w:r>
      <w:r>
        <w:rPr>
          <w:rStyle w:val="Strong"/>
          <w:b w:val="0"/>
          <w:bCs w:val="0"/>
          <w:sz w:val="20"/>
          <w:szCs w:val="20"/>
        </w:rPr>
        <w:t>hierarchical communication patterns, and weak psychological safety climates</w:t>
      </w:r>
      <w:r>
        <w:rPr>
          <w:sz w:val="20"/>
          <w:szCs w:val="20"/>
        </w:rPr>
        <w:t xml:space="preserve"> are strongly associated with nurses’ silence in the face of workplace aggression, suggesting that sociocultural dynamics directly shape the enactment of anti-bullying rights (Kim e</w:t>
      </w:r>
      <w:r>
        <w:rPr>
          <w:sz w:val="20"/>
          <w:szCs w:val="20"/>
        </w:rPr>
        <w:t xml:space="preserve">t al., 2019). More recent hospital-based research further demonstrates that </w:t>
      </w:r>
      <w:r>
        <w:rPr>
          <w:rStyle w:val="Strong"/>
          <w:b w:val="0"/>
          <w:bCs w:val="0"/>
          <w:sz w:val="20"/>
          <w:szCs w:val="20"/>
        </w:rPr>
        <w:t>deficient organizational support and ineffective grievance procedures</w:t>
      </w:r>
      <w:r>
        <w:rPr>
          <w:sz w:val="20"/>
          <w:szCs w:val="20"/>
        </w:rPr>
        <w:t xml:space="preserve"> predict both continued exposure to bullying and diminished trust in institutional protection, reinforcing the </w:t>
      </w:r>
      <w:r>
        <w:rPr>
          <w:sz w:val="20"/>
          <w:szCs w:val="20"/>
        </w:rPr>
        <w:t xml:space="preserve">systemic—not merely interpersonal—nature of workplace aggression in nursing </w:t>
      </w:r>
      <w:r>
        <w:rPr>
          <w:rFonts w:eastAsia="SimSun"/>
          <w:sz w:val="20"/>
          <w:szCs w:val="20"/>
          <w:lang w:eastAsia="zh-CN" w:bidi="ar"/>
        </w:rPr>
        <w:t>(Basit, 2019)</w:t>
      </w:r>
    </w:p>
    <w:p w14:paraId="6DC26110" w14:textId="77777777" w:rsidR="00F75221" w:rsidRDefault="000B2AC1">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sociocultural and structural barriers undermine the practical realization of anti-bullying rights</w:t>
      </w:r>
      <w:r>
        <w:rPr>
          <w:rFonts w:ascii="Arial" w:hAnsi="Arial" w:cs="Arial"/>
          <w:sz w:val="20"/>
          <w:szCs w:val="20"/>
        </w:rPr>
        <w:t>, even in</w:t>
      </w:r>
      <w:r>
        <w:rPr>
          <w:rFonts w:ascii="Arial" w:hAnsi="Arial" w:cs="Arial"/>
          <w:sz w:val="20"/>
          <w:szCs w:val="20"/>
        </w:rPr>
        <w:t xml:space="preserve"> environments where formal protections are institutionally recognized. They also suggest that meaningful protection requires </w:t>
      </w:r>
      <w:r>
        <w:rPr>
          <w:rStyle w:val="Strong"/>
          <w:rFonts w:ascii="Arial" w:hAnsi="Arial" w:cs="Arial"/>
          <w:b w:val="0"/>
          <w:bCs w:val="0"/>
          <w:sz w:val="20"/>
          <w:szCs w:val="20"/>
        </w:rPr>
        <w:t>organizational justice, psychologically safe leadership, and culturally responsive governance</w:t>
      </w:r>
      <w:r>
        <w:rPr>
          <w:rFonts w:ascii="Arial" w:hAnsi="Arial" w:cs="Arial"/>
          <w:sz w:val="20"/>
          <w:szCs w:val="20"/>
        </w:rPr>
        <w:t>, rather than policy recognition alone</w:t>
      </w:r>
      <w:r>
        <w:rPr>
          <w:rFonts w:ascii="Arial" w:hAnsi="Arial" w:cs="Arial"/>
          <w:sz w:val="20"/>
          <w:szCs w:val="20"/>
        </w:rPr>
        <w:t>.</w:t>
      </w:r>
    </w:p>
    <w:p w14:paraId="55128352" w14:textId="77777777" w:rsidR="00F75221" w:rsidRDefault="000B2AC1">
      <w:pPr>
        <w:pStyle w:val="NormalWeb"/>
        <w:jc w:val="both"/>
        <w:rPr>
          <w:rFonts w:ascii="Arial" w:hAnsi="Arial" w:cs="Arial"/>
          <w:i/>
          <w:iCs/>
          <w:sz w:val="20"/>
          <w:szCs w:val="20"/>
        </w:rPr>
      </w:pPr>
      <w:r>
        <w:rPr>
          <w:rFonts w:ascii="Arial" w:hAnsi="Arial" w:cs="Arial"/>
          <w:i/>
          <w:iCs/>
          <w:sz w:val="20"/>
          <w:szCs w:val="20"/>
        </w:rPr>
        <w:t>Theme 3: Psychological and Professional Consequences of Protection Gaps</w:t>
      </w:r>
    </w:p>
    <w:p w14:paraId="4244B8D4" w14:textId="77777777" w:rsidR="00F75221" w:rsidRDefault="000B2AC1">
      <w:pPr>
        <w:pStyle w:val="NormalWeb"/>
        <w:jc w:val="both"/>
        <w:rPr>
          <w:rFonts w:ascii="Arial" w:hAnsi="Arial" w:cs="Arial"/>
          <w:sz w:val="20"/>
          <w:szCs w:val="20"/>
        </w:rPr>
      </w:pPr>
      <w:r>
        <w:rPr>
          <w:rFonts w:ascii="Arial" w:hAnsi="Arial" w:cs="Arial"/>
          <w:sz w:val="20"/>
          <w:szCs w:val="20"/>
        </w:rPr>
        <w:t xml:space="preserve">The third theme underscores the </w:t>
      </w:r>
      <w:r>
        <w:rPr>
          <w:rStyle w:val="Strong"/>
          <w:rFonts w:ascii="Arial" w:hAnsi="Arial" w:cs="Arial"/>
          <w:b w:val="0"/>
          <w:bCs w:val="0"/>
          <w:sz w:val="20"/>
          <w:szCs w:val="20"/>
        </w:rPr>
        <w:t>psychological and professional consequences</w:t>
      </w:r>
      <w:r>
        <w:rPr>
          <w:rFonts w:ascii="Arial" w:hAnsi="Arial" w:cs="Arial"/>
          <w:sz w:val="20"/>
          <w:szCs w:val="20"/>
        </w:rPr>
        <w:t xml:space="preserve"> arising from inadequate protection against bullying. Participants described emotional distress, exhaustion</w:t>
      </w:r>
      <w:r>
        <w:rPr>
          <w:rFonts w:ascii="Arial" w:hAnsi="Arial" w:cs="Arial"/>
          <w:sz w:val="20"/>
          <w:szCs w:val="20"/>
        </w:rPr>
        <w:t xml:space="preserve">, diminished job satisfaction, and contemplation of leaving the profession when institutional safeguards were perceived as ineffective. This pattern is strongly supported by empirical literature linking workplace bullying with </w:t>
      </w:r>
      <w:r>
        <w:rPr>
          <w:rStyle w:val="Strong"/>
          <w:rFonts w:ascii="Arial" w:hAnsi="Arial" w:cs="Arial"/>
          <w:b w:val="0"/>
          <w:bCs w:val="0"/>
          <w:sz w:val="20"/>
          <w:szCs w:val="20"/>
        </w:rPr>
        <w:t xml:space="preserve">burnout, compassion fatigue, </w:t>
      </w:r>
      <w:r>
        <w:rPr>
          <w:rStyle w:val="Strong"/>
          <w:rFonts w:ascii="Arial" w:hAnsi="Arial" w:cs="Arial"/>
          <w:b w:val="0"/>
          <w:bCs w:val="0"/>
          <w:sz w:val="20"/>
          <w:szCs w:val="20"/>
        </w:rPr>
        <w:t>and secondary traumatic stress</w:t>
      </w:r>
      <w:r>
        <w:rPr>
          <w:rFonts w:ascii="Arial" w:hAnsi="Arial" w:cs="Arial"/>
          <w:sz w:val="20"/>
          <w:szCs w:val="20"/>
        </w:rPr>
        <w:t xml:space="preserve"> among nurses, all of which negatively influence retention and patient-care quality (Galanis et al., 2024). Earlier systematic review evidence likewise identifies bullying as a key contributor to </w:t>
      </w:r>
      <w:r>
        <w:rPr>
          <w:rStyle w:val="Strong"/>
          <w:rFonts w:ascii="Arial" w:hAnsi="Arial" w:cs="Arial"/>
          <w:b w:val="0"/>
          <w:bCs w:val="0"/>
          <w:sz w:val="20"/>
          <w:szCs w:val="20"/>
        </w:rPr>
        <w:t xml:space="preserve">burnout, job dissatisfaction, </w:t>
      </w:r>
      <w:r>
        <w:rPr>
          <w:rStyle w:val="Strong"/>
          <w:rFonts w:ascii="Arial" w:hAnsi="Arial" w:cs="Arial"/>
          <w:b w:val="0"/>
          <w:bCs w:val="0"/>
          <w:sz w:val="20"/>
          <w:szCs w:val="20"/>
        </w:rPr>
        <w:t>reduced empathy, and intent to quit</w:t>
      </w:r>
      <w:r>
        <w:rPr>
          <w:rFonts w:ascii="Arial" w:hAnsi="Arial" w:cs="Arial"/>
          <w:sz w:val="20"/>
          <w:szCs w:val="20"/>
        </w:rPr>
        <w:t>, highlighting the profound workforce and care-delivery implications of unresolved workplace aggression (Purpora et al., 2019). Recent mixed systematic review findings further confirm that workplace bullying in intensive-</w:t>
      </w:r>
      <w:r>
        <w:rPr>
          <w:rFonts w:ascii="Arial" w:hAnsi="Arial" w:cs="Arial"/>
          <w:sz w:val="20"/>
          <w:szCs w:val="20"/>
        </w:rPr>
        <w:t xml:space="preserve">care settings affects </w:t>
      </w:r>
      <w:r>
        <w:rPr>
          <w:rStyle w:val="Strong"/>
          <w:rFonts w:ascii="Arial" w:hAnsi="Arial" w:cs="Arial"/>
          <w:b w:val="0"/>
          <w:bCs w:val="0"/>
          <w:sz w:val="20"/>
          <w:szCs w:val="20"/>
        </w:rPr>
        <w:t>nurse well-being, retention, and healthcare outcomes</w:t>
      </w:r>
      <w:r>
        <w:rPr>
          <w:rFonts w:ascii="Arial" w:hAnsi="Arial" w:cs="Arial"/>
          <w:sz w:val="20"/>
          <w:szCs w:val="20"/>
        </w:rPr>
        <w:t>, reinforcing the importance of effective institutional protection and supportive work environments (Zhang et al., 2025).</w:t>
      </w:r>
    </w:p>
    <w:p w14:paraId="61738743" w14:textId="77777777" w:rsidR="00F75221" w:rsidRDefault="000B2AC1">
      <w:pPr>
        <w:pStyle w:val="NormalWeb"/>
        <w:jc w:val="both"/>
        <w:rPr>
          <w:rFonts w:ascii="Arial" w:hAnsi="Arial" w:cs="Arial"/>
          <w:sz w:val="20"/>
          <w:szCs w:val="20"/>
        </w:rPr>
      </w:pPr>
      <w:r>
        <w:rPr>
          <w:rFonts w:ascii="Arial" w:hAnsi="Arial" w:cs="Arial"/>
          <w:sz w:val="20"/>
          <w:szCs w:val="20"/>
        </w:rPr>
        <w:t>Additional contemporary research strengthens this interpreta</w:t>
      </w:r>
      <w:r>
        <w:rPr>
          <w:rFonts w:ascii="Arial" w:hAnsi="Arial" w:cs="Arial"/>
          <w:sz w:val="20"/>
          <w:szCs w:val="20"/>
        </w:rPr>
        <w:t xml:space="preserve">tion. Workplace bullying has been shown to significantly reduce </w:t>
      </w:r>
      <w:r>
        <w:rPr>
          <w:rStyle w:val="Strong"/>
          <w:rFonts w:ascii="Arial" w:hAnsi="Arial" w:cs="Arial"/>
          <w:b w:val="0"/>
          <w:bCs w:val="0"/>
          <w:sz w:val="20"/>
          <w:szCs w:val="20"/>
        </w:rPr>
        <w:t>professional quality of life through diminished resilience and increased emotional exhaustion</w:t>
      </w:r>
      <w:r>
        <w:rPr>
          <w:rFonts w:ascii="Arial" w:hAnsi="Arial" w:cs="Arial"/>
          <w:sz w:val="20"/>
          <w:szCs w:val="20"/>
        </w:rPr>
        <w:t>, with resilience functioning as a mediating factor between bullying exposure and psychological out</w:t>
      </w:r>
      <w:r>
        <w:rPr>
          <w:rFonts w:ascii="Arial" w:hAnsi="Arial" w:cs="Arial"/>
          <w:sz w:val="20"/>
          <w:szCs w:val="20"/>
        </w:rPr>
        <w:t xml:space="preserve">comes (Peng et al., 2022). Similarly, cross-sectional evidence indicates that exposure to workplace bullying is associated with </w:t>
      </w:r>
      <w:r>
        <w:rPr>
          <w:rStyle w:val="Strong"/>
          <w:rFonts w:ascii="Arial" w:hAnsi="Arial" w:cs="Arial"/>
          <w:b w:val="0"/>
          <w:bCs w:val="0"/>
          <w:sz w:val="20"/>
          <w:szCs w:val="20"/>
        </w:rPr>
        <w:t>heightened anxiety, depression, and reduced organizational commitment among nurses</w:t>
      </w:r>
      <w:r>
        <w:rPr>
          <w:rFonts w:ascii="Arial" w:hAnsi="Arial" w:cs="Arial"/>
          <w:sz w:val="20"/>
          <w:szCs w:val="20"/>
        </w:rPr>
        <w:t>, further demonstrating its impact on workforc</w:t>
      </w:r>
      <w:r>
        <w:rPr>
          <w:rFonts w:ascii="Arial" w:hAnsi="Arial" w:cs="Arial"/>
          <w:sz w:val="20"/>
          <w:szCs w:val="20"/>
        </w:rPr>
        <w:t xml:space="preserve">e stability and mental health (Alharbi et al., 2024). These converging findings validate participants’ experiences that </w:t>
      </w:r>
      <w:r>
        <w:rPr>
          <w:rStyle w:val="Strong"/>
          <w:rFonts w:ascii="Arial" w:hAnsi="Arial" w:cs="Arial"/>
          <w:b w:val="0"/>
          <w:bCs w:val="0"/>
          <w:sz w:val="20"/>
          <w:szCs w:val="20"/>
        </w:rPr>
        <w:t>gaps between policy recognition and real protection translate directly into psychological and professional harm</w:t>
      </w:r>
      <w:r>
        <w:rPr>
          <w:rFonts w:ascii="Arial" w:hAnsi="Arial" w:cs="Arial"/>
          <w:sz w:val="20"/>
          <w:szCs w:val="20"/>
        </w:rPr>
        <w:t>.</w:t>
      </w:r>
    </w:p>
    <w:p w14:paraId="281904E9" w14:textId="77777777" w:rsidR="00F75221" w:rsidRDefault="000B2AC1">
      <w:pPr>
        <w:pStyle w:val="NormalWeb"/>
        <w:jc w:val="both"/>
        <w:rPr>
          <w:rFonts w:ascii="Arial" w:hAnsi="Arial" w:cs="Arial"/>
          <w:sz w:val="20"/>
          <w:szCs w:val="20"/>
        </w:rPr>
      </w:pPr>
      <w:r>
        <w:rPr>
          <w:rFonts w:ascii="Arial" w:hAnsi="Arial" w:cs="Arial"/>
          <w:sz w:val="20"/>
          <w:szCs w:val="20"/>
        </w:rPr>
        <w:t>Across themes, the find</w:t>
      </w:r>
      <w:r>
        <w:rPr>
          <w:rFonts w:ascii="Arial" w:hAnsi="Arial" w:cs="Arial"/>
          <w:sz w:val="20"/>
          <w:szCs w:val="20"/>
        </w:rPr>
        <w:t xml:space="preserve">ings reveal a </w:t>
      </w:r>
      <w:r>
        <w:rPr>
          <w:rStyle w:val="Strong"/>
          <w:rFonts w:ascii="Arial" w:hAnsi="Arial" w:cs="Arial"/>
          <w:b w:val="0"/>
          <w:bCs w:val="0"/>
          <w:sz w:val="20"/>
          <w:szCs w:val="20"/>
        </w:rPr>
        <w:t>multilevel organizational dynamic</w:t>
      </w:r>
      <w:r>
        <w:rPr>
          <w:rFonts w:ascii="Arial" w:hAnsi="Arial" w:cs="Arial"/>
          <w:sz w:val="20"/>
          <w:szCs w:val="20"/>
        </w:rPr>
        <w:t xml:space="preserve"> in which institutional compliance establishes the formal framework, sociocultural conditions determine the accessibility of rights, and psychological consequences reflect the lived outcomes of protection fail</w:t>
      </w:r>
      <w:r>
        <w:rPr>
          <w:rFonts w:ascii="Arial" w:hAnsi="Arial" w:cs="Arial"/>
          <w:sz w:val="20"/>
          <w:szCs w:val="20"/>
        </w:rPr>
        <w:t xml:space="preserve">ures. This interpretation is consistent with contemporary nursing scholarship positioning workplace bullying as a </w:t>
      </w:r>
      <w:r>
        <w:rPr>
          <w:rStyle w:val="Strong"/>
          <w:rFonts w:ascii="Arial" w:hAnsi="Arial" w:cs="Arial"/>
          <w:b w:val="0"/>
          <w:bCs w:val="0"/>
          <w:sz w:val="20"/>
          <w:szCs w:val="20"/>
        </w:rPr>
        <w:t>systemic organizational phenomenon requiring coordinated governance, cultural transformation, and sustained institutional accountability</w:t>
      </w:r>
      <w:r>
        <w:rPr>
          <w:rFonts w:ascii="Arial" w:hAnsi="Arial" w:cs="Arial"/>
          <w:sz w:val="20"/>
          <w:szCs w:val="20"/>
        </w:rPr>
        <w:t xml:space="preserve"> rathe</w:t>
      </w:r>
      <w:r>
        <w:rPr>
          <w:rFonts w:ascii="Arial" w:hAnsi="Arial" w:cs="Arial"/>
          <w:sz w:val="20"/>
          <w:szCs w:val="20"/>
        </w:rPr>
        <w:t xml:space="preserve">r than isolated interpersonal intervention (Galanis et al., 2024; Shorey &amp; Wong, 2021; Zhang et al., 2025). Understanding mental health nurses’ perspectives within this policy context therefore provides critical evidence for </w:t>
      </w:r>
      <w:r>
        <w:rPr>
          <w:rStyle w:val="Strong"/>
          <w:rFonts w:ascii="Arial" w:hAnsi="Arial" w:cs="Arial"/>
          <w:b w:val="0"/>
          <w:bCs w:val="0"/>
          <w:sz w:val="20"/>
          <w:szCs w:val="20"/>
        </w:rPr>
        <w:t>strengthening workplace protect</w:t>
      </w:r>
      <w:r>
        <w:rPr>
          <w:rStyle w:val="Strong"/>
          <w:rFonts w:ascii="Arial" w:hAnsi="Arial" w:cs="Arial"/>
          <w:b w:val="0"/>
          <w:bCs w:val="0"/>
          <w:sz w:val="20"/>
          <w:szCs w:val="20"/>
        </w:rPr>
        <w:t>ion, promoting psychological well-being, and sustaining safe and effective healthcare environments</w:t>
      </w:r>
      <w:r>
        <w:rPr>
          <w:rFonts w:ascii="Arial" w:hAnsi="Arial" w:cs="Arial"/>
          <w:sz w:val="20"/>
          <w:szCs w:val="20"/>
        </w:rPr>
        <w:t>.</w:t>
      </w:r>
    </w:p>
    <w:p w14:paraId="62DE23E0" w14:textId="77777777" w:rsidR="00F75221" w:rsidRDefault="000B2AC1">
      <w:pPr>
        <w:jc w:val="both"/>
        <w:rPr>
          <w:sz w:val="20"/>
          <w:szCs w:val="20"/>
          <w:lang w:val="en-PH"/>
        </w:rPr>
      </w:pPr>
      <w:r>
        <w:rPr>
          <w:sz w:val="20"/>
          <w:szCs w:val="20"/>
        </w:rPr>
        <w:lastRenderedPageBreak/>
        <w:t xml:space="preserve"> 4. </w:t>
      </w:r>
      <w:r>
        <w:rPr>
          <w:b/>
          <w:color w:val="000000"/>
          <w:sz w:val="20"/>
          <w:szCs w:val="20"/>
        </w:rPr>
        <w:t>CONCLUSION</w:t>
      </w:r>
      <w:r>
        <w:rPr>
          <w:b/>
          <w:color w:val="000000"/>
          <w:sz w:val="20"/>
          <w:szCs w:val="20"/>
          <w:lang w:val="en-PH"/>
        </w:rPr>
        <w:t>S</w:t>
      </w:r>
    </w:p>
    <w:p w14:paraId="7F134248" w14:textId="77777777" w:rsidR="00F75221" w:rsidRDefault="000B2AC1">
      <w:pPr>
        <w:pStyle w:val="NormalWeb"/>
        <w:jc w:val="both"/>
        <w:rPr>
          <w:rFonts w:ascii="Arial" w:hAnsi="Arial" w:cs="Arial"/>
          <w:sz w:val="20"/>
          <w:szCs w:val="20"/>
        </w:rPr>
      </w:pPr>
      <w:r>
        <w:rPr>
          <w:rFonts w:ascii="Arial" w:hAnsi="Arial" w:cs="Arial"/>
          <w:sz w:val="20"/>
          <w:szCs w:val="20"/>
        </w:rPr>
        <w:t xml:space="preserve">This study explored the </w:t>
      </w:r>
      <w:r>
        <w:rPr>
          <w:rStyle w:val="Strong"/>
          <w:rFonts w:ascii="Arial" w:hAnsi="Arial" w:cs="Arial"/>
          <w:b w:val="0"/>
          <w:bCs w:val="0"/>
          <w:sz w:val="20"/>
          <w:szCs w:val="20"/>
        </w:rPr>
        <w:t>perspectives of mental health nurses regarding the rights of healthcare workers against bullying, harassment, and di</w:t>
      </w:r>
      <w:r>
        <w:rPr>
          <w:rStyle w:val="Strong"/>
          <w:rFonts w:ascii="Arial" w:hAnsi="Arial" w:cs="Arial"/>
          <w:b w:val="0"/>
          <w:bCs w:val="0"/>
          <w:sz w:val="20"/>
          <w:szCs w:val="20"/>
        </w:rPr>
        <w:t>scrimination and the compliance of health facilities with existing protection mechanisms</w:t>
      </w:r>
      <w:r>
        <w:rPr>
          <w:rFonts w:ascii="Arial" w:hAnsi="Arial" w:cs="Arial"/>
          <w:sz w:val="20"/>
          <w:szCs w:val="20"/>
        </w:rPr>
        <w:t xml:space="preserve">. Findings revealed that while institutional policies formally recognize healthcare workers’ rights, </w:t>
      </w:r>
      <w:r>
        <w:rPr>
          <w:rStyle w:val="Strong"/>
          <w:rFonts w:ascii="Arial" w:hAnsi="Arial" w:cs="Arial"/>
          <w:b w:val="0"/>
          <w:bCs w:val="0"/>
          <w:sz w:val="20"/>
          <w:szCs w:val="20"/>
        </w:rPr>
        <w:t>meaningful protection in everyday clinical practice remains inconsi</w:t>
      </w:r>
      <w:r>
        <w:rPr>
          <w:rStyle w:val="Strong"/>
          <w:rFonts w:ascii="Arial" w:hAnsi="Arial" w:cs="Arial"/>
          <w:b w:val="0"/>
          <w:bCs w:val="0"/>
          <w:sz w:val="20"/>
          <w:szCs w:val="20"/>
        </w:rPr>
        <w:t>stent</w:t>
      </w:r>
      <w:r>
        <w:rPr>
          <w:rFonts w:ascii="Arial" w:hAnsi="Arial" w:cs="Arial"/>
          <w:sz w:val="20"/>
          <w:szCs w:val="20"/>
        </w:rPr>
        <w:t xml:space="preserve">. Nurses described variability in </w:t>
      </w:r>
      <w:r>
        <w:rPr>
          <w:rStyle w:val="Strong"/>
          <w:rFonts w:ascii="Arial" w:hAnsi="Arial" w:cs="Arial"/>
          <w:b w:val="0"/>
          <w:bCs w:val="0"/>
          <w:sz w:val="20"/>
          <w:szCs w:val="20"/>
        </w:rPr>
        <w:t>institutional enforcement, transparency of reporting systems, and leadership accountability</w:t>
      </w:r>
      <w:r>
        <w:rPr>
          <w:rFonts w:ascii="Arial" w:hAnsi="Arial" w:cs="Arial"/>
          <w:sz w:val="20"/>
          <w:szCs w:val="20"/>
        </w:rPr>
        <w:t>, indicating that policy recognition alone does not ensure workplace safety.</w:t>
      </w:r>
    </w:p>
    <w:p w14:paraId="20E2B24E" w14:textId="77777777" w:rsidR="00F75221" w:rsidRDefault="000B2AC1">
      <w:pPr>
        <w:pStyle w:val="NormalWeb"/>
        <w:jc w:val="both"/>
        <w:rPr>
          <w:rFonts w:ascii="Arial" w:hAnsi="Arial" w:cs="Arial"/>
          <w:sz w:val="20"/>
          <w:szCs w:val="20"/>
        </w:rPr>
      </w:pPr>
      <w:r>
        <w:rPr>
          <w:rFonts w:ascii="Arial" w:hAnsi="Arial" w:cs="Arial"/>
          <w:sz w:val="20"/>
          <w:szCs w:val="20"/>
        </w:rPr>
        <w:t xml:space="preserve">The analysis further demonstrated that </w:t>
      </w:r>
      <w:r>
        <w:rPr>
          <w:rStyle w:val="Strong"/>
          <w:rFonts w:ascii="Arial" w:hAnsi="Arial" w:cs="Arial"/>
          <w:b w:val="0"/>
          <w:bCs w:val="0"/>
          <w:sz w:val="20"/>
          <w:szCs w:val="20"/>
        </w:rPr>
        <w:t>organizational hierarchy, sociocultural norms, and fear of retaliation</w:t>
      </w:r>
      <w:r>
        <w:rPr>
          <w:rFonts w:ascii="Arial" w:hAnsi="Arial" w:cs="Arial"/>
          <w:sz w:val="20"/>
          <w:szCs w:val="20"/>
        </w:rPr>
        <w:t xml:space="preserve"> act as significant barriers to the practical exercise of anti-bullying protections. These structural and cultural conditions contribute to the normalization of workplace incivility and </w:t>
      </w:r>
      <w:r>
        <w:rPr>
          <w:rFonts w:ascii="Arial" w:hAnsi="Arial" w:cs="Arial"/>
          <w:sz w:val="20"/>
          <w:szCs w:val="20"/>
        </w:rPr>
        <w:t>discourage formal reporting, thereby weakening the effectiveness of institutional safeguards.</w:t>
      </w:r>
    </w:p>
    <w:p w14:paraId="33DF0E6A" w14:textId="77777777" w:rsidR="00F75221" w:rsidRDefault="000B2AC1">
      <w:pPr>
        <w:pStyle w:val="NormalWeb"/>
        <w:jc w:val="both"/>
        <w:rPr>
          <w:rFonts w:ascii="Arial" w:hAnsi="Arial" w:cs="Arial"/>
          <w:sz w:val="20"/>
          <w:szCs w:val="20"/>
        </w:rPr>
      </w:pPr>
      <w:r>
        <w:rPr>
          <w:rFonts w:ascii="Arial" w:hAnsi="Arial" w:cs="Arial"/>
          <w:sz w:val="20"/>
          <w:szCs w:val="20"/>
        </w:rPr>
        <w:t xml:space="preserve">Most critically, inadequate protection against workplace bullying was associated with </w:t>
      </w:r>
      <w:r>
        <w:rPr>
          <w:rStyle w:val="Strong"/>
          <w:rFonts w:ascii="Arial" w:hAnsi="Arial" w:cs="Arial"/>
          <w:b w:val="0"/>
          <w:bCs w:val="0"/>
          <w:sz w:val="20"/>
          <w:szCs w:val="20"/>
        </w:rPr>
        <w:t xml:space="preserve">psychological distress, emotional exhaustion, reduced job satisfaction, and </w:t>
      </w:r>
      <w:r>
        <w:rPr>
          <w:rStyle w:val="Strong"/>
          <w:rFonts w:ascii="Arial" w:hAnsi="Arial" w:cs="Arial"/>
          <w:b w:val="0"/>
          <w:bCs w:val="0"/>
          <w:sz w:val="20"/>
          <w:szCs w:val="20"/>
        </w:rPr>
        <w:t>consideration of leaving the profession</w:t>
      </w:r>
      <w:r>
        <w:rPr>
          <w:rFonts w:ascii="Arial" w:hAnsi="Arial" w:cs="Arial"/>
          <w:sz w:val="20"/>
          <w:szCs w:val="20"/>
        </w:rPr>
        <w:t xml:space="preserve">, highlighting the profound </w:t>
      </w:r>
      <w:r>
        <w:rPr>
          <w:rStyle w:val="Strong"/>
          <w:rFonts w:ascii="Arial" w:hAnsi="Arial" w:cs="Arial"/>
          <w:b w:val="0"/>
          <w:bCs w:val="0"/>
          <w:sz w:val="20"/>
          <w:szCs w:val="20"/>
        </w:rPr>
        <w:t>human and workforce consequences</w:t>
      </w:r>
      <w:r>
        <w:rPr>
          <w:rFonts w:ascii="Arial" w:hAnsi="Arial" w:cs="Arial"/>
          <w:sz w:val="20"/>
          <w:szCs w:val="20"/>
        </w:rPr>
        <w:t xml:space="preserve"> of unresolved workplace aggression. Collectively, the findings position workplace bullying in mental health nursing as a </w:t>
      </w:r>
      <w:r>
        <w:rPr>
          <w:rStyle w:val="Strong"/>
          <w:rFonts w:ascii="Arial" w:hAnsi="Arial" w:cs="Arial"/>
          <w:b w:val="0"/>
          <w:bCs w:val="0"/>
          <w:sz w:val="20"/>
          <w:szCs w:val="20"/>
        </w:rPr>
        <w:t>multilevel organizational issue</w:t>
      </w:r>
      <w:r>
        <w:rPr>
          <w:rFonts w:ascii="Arial" w:hAnsi="Arial" w:cs="Arial"/>
          <w:sz w:val="20"/>
          <w:szCs w:val="20"/>
        </w:rPr>
        <w:t xml:space="preserve"> sha</w:t>
      </w:r>
      <w:r>
        <w:rPr>
          <w:rFonts w:ascii="Arial" w:hAnsi="Arial" w:cs="Arial"/>
          <w:sz w:val="20"/>
          <w:szCs w:val="20"/>
        </w:rPr>
        <w:t xml:space="preserve">ped by the interaction of </w:t>
      </w:r>
      <w:r>
        <w:rPr>
          <w:rStyle w:val="Strong"/>
          <w:rFonts w:ascii="Arial" w:hAnsi="Arial" w:cs="Arial"/>
          <w:b w:val="0"/>
          <w:bCs w:val="0"/>
          <w:sz w:val="20"/>
          <w:szCs w:val="20"/>
        </w:rPr>
        <w:t>policy implementation, workplace culture, and individual well-being</w:t>
      </w:r>
      <w:r>
        <w:rPr>
          <w:rFonts w:ascii="Arial" w:hAnsi="Arial" w:cs="Arial"/>
          <w:sz w:val="20"/>
          <w:szCs w:val="20"/>
        </w:rPr>
        <w:t>, rather than an isolated interpersonal conflict.</w:t>
      </w:r>
    </w:p>
    <w:p w14:paraId="0F38B534" w14:textId="77777777" w:rsidR="00F75221" w:rsidRDefault="00F75221">
      <w:pPr>
        <w:jc w:val="both"/>
        <w:rPr>
          <w:color w:val="000000"/>
          <w:sz w:val="20"/>
          <w:szCs w:val="20"/>
        </w:rPr>
      </w:pPr>
    </w:p>
    <w:p w14:paraId="0D8C4451" w14:textId="77777777" w:rsidR="00F75221" w:rsidRDefault="000B2AC1">
      <w:pPr>
        <w:numPr>
          <w:ilvl w:val="0"/>
          <w:numId w:val="2"/>
        </w:numPr>
        <w:jc w:val="both"/>
        <w:rPr>
          <w:b/>
          <w:bCs/>
          <w:color w:val="000000"/>
          <w:sz w:val="20"/>
          <w:szCs w:val="20"/>
          <w:lang w:val="en-PH"/>
        </w:rPr>
      </w:pPr>
      <w:r>
        <w:rPr>
          <w:b/>
          <w:bCs/>
          <w:color w:val="000000"/>
          <w:sz w:val="20"/>
          <w:szCs w:val="20"/>
          <w:lang w:val="en-PH"/>
        </w:rPr>
        <w:t>RECOMMENDATIONS</w:t>
      </w:r>
    </w:p>
    <w:p w14:paraId="59258249" w14:textId="77777777" w:rsidR="00F75221" w:rsidRDefault="000B2AC1">
      <w:pPr>
        <w:pStyle w:val="NormalWeb"/>
        <w:jc w:val="both"/>
        <w:rPr>
          <w:rFonts w:ascii="Arial" w:hAnsi="Arial" w:cs="Arial"/>
          <w:sz w:val="20"/>
          <w:szCs w:val="20"/>
        </w:rPr>
      </w:pPr>
      <w:r>
        <w:rPr>
          <w:rFonts w:ascii="Arial" w:hAnsi="Arial" w:cs="Arial"/>
          <w:sz w:val="20"/>
          <w:szCs w:val="20"/>
        </w:rPr>
        <w:t xml:space="preserve">Healthcare institutions should strengthen the </w:t>
      </w:r>
      <w:r>
        <w:rPr>
          <w:rStyle w:val="Strong"/>
          <w:rFonts w:ascii="Arial" w:hAnsi="Arial" w:cs="Arial"/>
          <w:b w:val="0"/>
          <w:bCs w:val="0"/>
          <w:sz w:val="20"/>
          <w:szCs w:val="20"/>
        </w:rPr>
        <w:t>enforcement and accountability mechanisms</w:t>
      </w:r>
      <w:r>
        <w:rPr>
          <w:rFonts w:ascii="Arial" w:hAnsi="Arial" w:cs="Arial"/>
          <w:sz w:val="20"/>
          <w:szCs w:val="20"/>
        </w:rPr>
        <w:t xml:space="preserve"> associated with the rights of healthcare workers against bullying, harassment, and discrimination by ensuring transparent reporting systems, timely and impartial investigation procedures, and clearly defined administrative consequences for perpetrators. L</w:t>
      </w:r>
      <w:r>
        <w:rPr>
          <w:rFonts w:ascii="Arial" w:hAnsi="Arial" w:cs="Arial"/>
          <w:sz w:val="20"/>
          <w:szCs w:val="20"/>
        </w:rPr>
        <w:t xml:space="preserve">eadership development programs that emphasize </w:t>
      </w:r>
      <w:r>
        <w:rPr>
          <w:rStyle w:val="Strong"/>
          <w:rFonts w:ascii="Arial" w:hAnsi="Arial" w:cs="Arial"/>
          <w:b w:val="0"/>
          <w:bCs w:val="0"/>
          <w:sz w:val="20"/>
          <w:szCs w:val="20"/>
        </w:rPr>
        <w:t>anti-bullying governance, ethical supervision, and worker protection</w:t>
      </w:r>
      <w:r>
        <w:rPr>
          <w:rFonts w:ascii="Arial" w:hAnsi="Arial" w:cs="Arial"/>
          <w:sz w:val="20"/>
          <w:szCs w:val="20"/>
        </w:rPr>
        <w:t xml:space="preserve"> are essential so that institutional compliance moves beyond symbolic policy recognition toward genuine workplace safety.</w:t>
      </w:r>
    </w:p>
    <w:p w14:paraId="0F040077" w14:textId="77777777" w:rsidR="00F75221" w:rsidRDefault="000B2AC1">
      <w:pPr>
        <w:pStyle w:val="NormalWeb"/>
        <w:jc w:val="both"/>
        <w:rPr>
          <w:rFonts w:ascii="Arial" w:hAnsi="Arial" w:cs="Arial"/>
          <w:sz w:val="20"/>
          <w:szCs w:val="20"/>
        </w:rPr>
      </w:pPr>
      <w:r>
        <w:rPr>
          <w:rFonts w:ascii="Arial" w:hAnsi="Arial" w:cs="Arial"/>
          <w:sz w:val="20"/>
          <w:szCs w:val="20"/>
        </w:rPr>
        <w:t>In addition, hospita</w:t>
      </w:r>
      <w:r>
        <w:rPr>
          <w:rFonts w:ascii="Arial" w:hAnsi="Arial" w:cs="Arial"/>
          <w:sz w:val="20"/>
          <w:szCs w:val="20"/>
        </w:rPr>
        <w:t xml:space="preserve">ls should implement </w:t>
      </w:r>
      <w:r>
        <w:rPr>
          <w:rStyle w:val="Strong"/>
          <w:rFonts w:ascii="Arial" w:hAnsi="Arial" w:cs="Arial"/>
          <w:b w:val="0"/>
          <w:bCs w:val="0"/>
          <w:sz w:val="20"/>
          <w:szCs w:val="20"/>
        </w:rPr>
        <w:t>organizational culture–transformation initiatives</w:t>
      </w:r>
      <w:r>
        <w:rPr>
          <w:rFonts w:ascii="Arial" w:hAnsi="Arial" w:cs="Arial"/>
          <w:sz w:val="20"/>
          <w:szCs w:val="20"/>
        </w:rPr>
        <w:t xml:space="preserve"> that address hierarchical power dynamics, normalize respectful communication, and reduce fear of retaliation among staff. Establishing </w:t>
      </w:r>
      <w:r>
        <w:rPr>
          <w:rStyle w:val="Strong"/>
          <w:rFonts w:ascii="Arial" w:hAnsi="Arial" w:cs="Arial"/>
          <w:b w:val="0"/>
          <w:bCs w:val="0"/>
          <w:sz w:val="20"/>
          <w:szCs w:val="20"/>
        </w:rPr>
        <w:t>confidential reporting channels, peer-support syste</w:t>
      </w:r>
      <w:r>
        <w:rPr>
          <w:rStyle w:val="Strong"/>
          <w:rFonts w:ascii="Arial" w:hAnsi="Arial" w:cs="Arial"/>
          <w:b w:val="0"/>
          <w:bCs w:val="0"/>
          <w:sz w:val="20"/>
          <w:szCs w:val="20"/>
        </w:rPr>
        <w:t>ms, and psychologically safe work environments</w:t>
      </w:r>
      <w:r>
        <w:rPr>
          <w:rFonts w:ascii="Arial" w:hAnsi="Arial" w:cs="Arial"/>
          <w:sz w:val="20"/>
          <w:szCs w:val="20"/>
        </w:rPr>
        <w:t xml:space="preserve"> can empower mental health nurses to exercise their rights without risking professional disadvantage or social exclusion.</w:t>
      </w:r>
    </w:p>
    <w:p w14:paraId="279295D2" w14:textId="77777777" w:rsidR="00F75221" w:rsidRDefault="000B2AC1">
      <w:pPr>
        <w:pStyle w:val="NormalWeb"/>
        <w:jc w:val="both"/>
        <w:rPr>
          <w:rFonts w:ascii="Arial" w:hAnsi="Arial" w:cs="Arial"/>
          <w:sz w:val="20"/>
          <w:szCs w:val="20"/>
        </w:rPr>
      </w:pPr>
      <w:r>
        <w:rPr>
          <w:rFonts w:ascii="Arial" w:hAnsi="Arial" w:cs="Arial"/>
          <w:sz w:val="20"/>
          <w:szCs w:val="20"/>
        </w:rPr>
        <w:t xml:space="preserve">Given the significant </w:t>
      </w:r>
      <w:r>
        <w:rPr>
          <w:rStyle w:val="Strong"/>
          <w:rFonts w:ascii="Arial" w:hAnsi="Arial" w:cs="Arial"/>
          <w:b w:val="0"/>
          <w:bCs w:val="0"/>
          <w:sz w:val="20"/>
          <w:szCs w:val="20"/>
        </w:rPr>
        <w:t>psychological and professional consequences</w:t>
      </w:r>
      <w:r>
        <w:rPr>
          <w:rFonts w:ascii="Arial" w:hAnsi="Arial" w:cs="Arial"/>
          <w:sz w:val="20"/>
          <w:szCs w:val="20"/>
        </w:rPr>
        <w:t xml:space="preserve"> associated with inadeq</w:t>
      </w:r>
      <w:r>
        <w:rPr>
          <w:rFonts w:ascii="Arial" w:hAnsi="Arial" w:cs="Arial"/>
          <w:sz w:val="20"/>
          <w:szCs w:val="20"/>
        </w:rPr>
        <w:t xml:space="preserve">uate protection from workplace bullying, healthcare organizations should expand </w:t>
      </w:r>
      <w:r>
        <w:rPr>
          <w:rStyle w:val="Strong"/>
          <w:rFonts w:ascii="Arial" w:hAnsi="Arial" w:cs="Arial"/>
          <w:b w:val="0"/>
          <w:bCs w:val="0"/>
          <w:sz w:val="20"/>
          <w:szCs w:val="20"/>
        </w:rPr>
        <w:t>accessible mental health services, counseling support, and resilience-focused interventions</w:t>
      </w:r>
      <w:r>
        <w:rPr>
          <w:rFonts w:ascii="Arial" w:hAnsi="Arial" w:cs="Arial"/>
          <w:sz w:val="20"/>
          <w:szCs w:val="20"/>
        </w:rPr>
        <w:t xml:space="preserve"> specifically tailored to the needs of mental health nurses. Strengthening these supp</w:t>
      </w:r>
      <w:r>
        <w:rPr>
          <w:rFonts w:ascii="Arial" w:hAnsi="Arial" w:cs="Arial"/>
          <w:sz w:val="20"/>
          <w:szCs w:val="20"/>
        </w:rPr>
        <w:t xml:space="preserve">ort systems may contribute to improved </w:t>
      </w:r>
      <w:r>
        <w:rPr>
          <w:rStyle w:val="Strong"/>
          <w:rFonts w:ascii="Arial" w:hAnsi="Arial" w:cs="Arial"/>
          <w:b w:val="0"/>
          <w:bCs w:val="0"/>
          <w:sz w:val="20"/>
          <w:szCs w:val="20"/>
        </w:rPr>
        <w:t>staff well-being, retention, and quality of patient care</w:t>
      </w:r>
      <w:r>
        <w:rPr>
          <w:rFonts w:ascii="Arial" w:hAnsi="Arial" w:cs="Arial"/>
          <w:sz w:val="20"/>
          <w:szCs w:val="20"/>
        </w:rPr>
        <w:t xml:space="preserve"> within mental health services.</w:t>
      </w:r>
    </w:p>
    <w:p w14:paraId="3D8A62CB" w14:textId="77777777" w:rsidR="00F75221" w:rsidRDefault="000B2AC1">
      <w:pPr>
        <w:pStyle w:val="NormalWeb"/>
        <w:jc w:val="both"/>
        <w:rPr>
          <w:rFonts w:ascii="Arial" w:hAnsi="Arial" w:cs="Arial"/>
          <w:sz w:val="20"/>
          <w:szCs w:val="20"/>
        </w:rPr>
      </w:pPr>
      <w:r>
        <w:rPr>
          <w:rFonts w:ascii="Arial" w:hAnsi="Arial" w:cs="Arial"/>
          <w:sz w:val="20"/>
          <w:szCs w:val="20"/>
        </w:rPr>
        <w:t xml:space="preserve">At the health-system level, the findings highlight the need to enhance </w:t>
      </w:r>
      <w:r>
        <w:rPr>
          <w:rStyle w:val="Strong"/>
          <w:rFonts w:ascii="Arial" w:hAnsi="Arial" w:cs="Arial"/>
          <w:b w:val="0"/>
          <w:bCs w:val="0"/>
          <w:sz w:val="20"/>
          <w:szCs w:val="20"/>
        </w:rPr>
        <w:t>monitoring and evaluation of institutional compliance</w:t>
      </w:r>
      <w:r>
        <w:rPr>
          <w:rFonts w:ascii="Arial" w:hAnsi="Arial" w:cs="Arial"/>
          <w:sz w:val="20"/>
          <w:szCs w:val="20"/>
        </w:rPr>
        <w:t xml:space="preserve"> with</w:t>
      </w:r>
      <w:r>
        <w:rPr>
          <w:rFonts w:ascii="Arial" w:hAnsi="Arial" w:cs="Arial"/>
          <w:sz w:val="20"/>
          <w:szCs w:val="20"/>
        </w:rPr>
        <w:t xml:space="preserve"> healthcare workers’ rights protections and to integrate anti-bullying enforcement into broader </w:t>
      </w:r>
      <w:r>
        <w:rPr>
          <w:rStyle w:val="Strong"/>
          <w:rFonts w:ascii="Arial" w:hAnsi="Arial" w:cs="Arial"/>
          <w:b w:val="0"/>
          <w:bCs w:val="0"/>
          <w:sz w:val="20"/>
          <w:szCs w:val="20"/>
        </w:rPr>
        <w:t>occupational safety, workforce welfare, and mental health policy frameworks</w:t>
      </w:r>
      <w:r>
        <w:rPr>
          <w:rFonts w:ascii="Arial" w:hAnsi="Arial" w:cs="Arial"/>
          <w:sz w:val="20"/>
          <w:szCs w:val="20"/>
        </w:rPr>
        <w:t>. Future research is recommended to examine policy implementation across multiple hea</w:t>
      </w:r>
      <w:r>
        <w:rPr>
          <w:rFonts w:ascii="Arial" w:hAnsi="Arial" w:cs="Arial"/>
          <w:sz w:val="20"/>
          <w:szCs w:val="20"/>
        </w:rPr>
        <w:t xml:space="preserve">lthcare institutions and regions, include other categories of healthcare professionals for comparative analysis, and utilize </w:t>
      </w:r>
      <w:r>
        <w:rPr>
          <w:rStyle w:val="Strong"/>
          <w:rFonts w:ascii="Arial" w:hAnsi="Arial" w:cs="Arial"/>
          <w:b w:val="0"/>
          <w:bCs w:val="0"/>
          <w:sz w:val="20"/>
          <w:szCs w:val="20"/>
        </w:rPr>
        <w:t>mixed-methods or longitudinal designs</w:t>
      </w:r>
      <w:r>
        <w:rPr>
          <w:rFonts w:ascii="Arial" w:hAnsi="Arial" w:cs="Arial"/>
          <w:sz w:val="20"/>
          <w:szCs w:val="20"/>
        </w:rPr>
        <w:t xml:space="preserve"> to better understand the long-term interaction between institutional policy, workplace cultur</w:t>
      </w:r>
      <w:r>
        <w:rPr>
          <w:rFonts w:ascii="Arial" w:hAnsi="Arial" w:cs="Arial"/>
          <w:sz w:val="20"/>
          <w:szCs w:val="20"/>
        </w:rPr>
        <w:t>e, and mental health outcomes among healthcare workers.</w:t>
      </w:r>
    </w:p>
    <w:p w14:paraId="00FCE6DB" w14:textId="77777777" w:rsidR="00F75221" w:rsidRDefault="00F75221">
      <w:pPr>
        <w:jc w:val="both"/>
        <w:rPr>
          <w:color w:val="000000"/>
          <w:sz w:val="20"/>
          <w:szCs w:val="20"/>
        </w:rPr>
      </w:pPr>
    </w:p>
    <w:p w14:paraId="013122A0" w14:textId="77777777" w:rsidR="00F75221" w:rsidRDefault="00F75221">
      <w:pPr>
        <w:jc w:val="both"/>
        <w:rPr>
          <w:color w:val="000000"/>
          <w:sz w:val="20"/>
          <w:szCs w:val="20"/>
        </w:rPr>
      </w:pPr>
    </w:p>
    <w:p w14:paraId="5509F70B" w14:textId="77777777" w:rsidR="00F75221" w:rsidRDefault="000B2AC1">
      <w:pPr>
        <w:jc w:val="both"/>
        <w:rPr>
          <w:b/>
          <w:sz w:val="20"/>
          <w:szCs w:val="20"/>
        </w:rPr>
      </w:pPr>
      <w:r>
        <w:rPr>
          <w:color w:val="000000"/>
          <w:sz w:val="20"/>
          <w:szCs w:val="20"/>
        </w:rPr>
        <w:t xml:space="preserve"> </w:t>
      </w:r>
      <w:r>
        <w:rPr>
          <w:b/>
          <w:sz w:val="20"/>
          <w:szCs w:val="20"/>
        </w:rPr>
        <w:t>REFERENCES</w:t>
      </w:r>
    </w:p>
    <w:p w14:paraId="7A5738B2" w14:textId="77777777" w:rsidR="00F75221" w:rsidRDefault="000B2AC1">
      <w:pPr>
        <w:pStyle w:val="NormalWeb"/>
        <w:rPr>
          <w:rFonts w:ascii="Arial" w:hAnsi="Arial" w:cs="Arial"/>
          <w:sz w:val="20"/>
          <w:szCs w:val="20"/>
        </w:rPr>
      </w:pPr>
      <w:r>
        <w:rPr>
          <w:rFonts w:ascii="Arial" w:hAnsi="Arial" w:cs="Arial"/>
          <w:sz w:val="20"/>
          <w:szCs w:val="20"/>
        </w:rPr>
        <w:t xml:space="preserve">Alharbi, M. F., </w:t>
      </w:r>
      <w:proofErr w:type="spellStart"/>
      <w:r>
        <w:rPr>
          <w:rFonts w:ascii="Arial" w:hAnsi="Arial" w:cs="Arial"/>
          <w:sz w:val="20"/>
          <w:szCs w:val="20"/>
        </w:rPr>
        <w:t>Alotebe</w:t>
      </w:r>
      <w:proofErr w:type="spellEnd"/>
      <w:r>
        <w:rPr>
          <w:rFonts w:ascii="Arial" w:hAnsi="Arial" w:cs="Arial"/>
          <w:sz w:val="20"/>
          <w:szCs w:val="20"/>
        </w:rPr>
        <w:t xml:space="preserve">, S. M., Alotaibi, T. M., Sindi, N. A., </w:t>
      </w:r>
      <w:proofErr w:type="spellStart"/>
      <w:r>
        <w:rPr>
          <w:rFonts w:ascii="Arial" w:hAnsi="Arial" w:cs="Arial"/>
          <w:sz w:val="20"/>
          <w:szCs w:val="20"/>
        </w:rPr>
        <w:t>Alrashidi</w:t>
      </w:r>
      <w:proofErr w:type="spellEnd"/>
      <w:r>
        <w:rPr>
          <w:rFonts w:ascii="Arial" w:hAnsi="Arial" w:cs="Arial"/>
          <w:sz w:val="20"/>
          <w:szCs w:val="20"/>
        </w:rPr>
        <w:t>, D. N., &amp; Alanazi, H. K. (2024).</w:t>
      </w:r>
      <w:r>
        <w:rPr>
          <w:rFonts w:ascii="Arial" w:hAnsi="Arial" w:cs="Arial"/>
          <w:sz w:val="20"/>
          <w:szCs w:val="20"/>
        </w:rPr>
        <w:br/>
        <w:t xml:space="preserve">Exploration of workplace bullying among nurses: A focus on clinical settings. </w:t>
      </w:r>
      <w:r>
        <w:rPr>
          <w:rStyle w:val="Emphasis"/>
          <w:rFonts w:ascii="Arial" w:hAnsi="Arial" w:cs="Arial"/>
          <w:sz w:val="20"/>
          <w:szCs w:val="20"/>
        </w:rPr>
        <w:t>He</w:t>
      </w:r>
      <w:r>
        <w:rPr>
          <w:rStyle w:val="Emphasis"/>
          <w:rFonts w:ascii="Arial" w:hAnsi="Arial" w:cs="Arial"/>
          <w:sz w:val="20"/>
          <w:szCs w:val="20"/>
        </w:rPr>
        <w:t>althcare, 12</w:t>
      </w:r>
      <w:r>
        <w:rPr>
          <w:rFonts w:ascii="Arial" w:hAnsi="Arial" w:cs="Arial"/>
          <w:sz w:val="20"/>
          <w:szCs w:val="20"/>
        </w:rPr>
        <w:t>(17), 1706.</w:t>
      </w:r>
      <w:r>
        <w:rPr>
          <w:rFonts w:ascii="Arial" w:hAnsi="Arial" w:cs="Arial"/>
          <w:sz w:val="20"/>
          <w:szCs w:val="20"/>
        </w:rPr>
        <w:br/>
      </w:r>
      <w:hyperlink r:id="rId8" w:tgtFrame="_new" w:history="1">
        <w:r>
          <w:rPr>
            <w:rStyle w:val="Hyperlink"/>
            <w:rFonts w:ascii="Arial" w:hAnsi="Arial" w:cs="Arial"/>
            <w:sz w:val="20"/>
            <w:szCs w:val="20"/>
          </w:rPr>
          <w:t>https://doi.org/10.3390/healthcare12171706</w:t>
        </w:r>
      </w:hyperlink>
    </w:p>
    <w:p w14:paraId="7F26F221" w14:textId="77777777" w:rsidR="00F75221" w:rsidRDefault="000B2AC1">
      <w:pPr>
        <w:pStyle w:val="NormalWeb"/>
        <w:rPr>
          <w:rFonts w:ascii="Arial" w:hAnsi="Arial" w:cs="Arial"/>
          <w:sz w:val="20"/>
          <w:szCs w:val="20"/>
        </w:rPr>
      </w:pPr>
      <w:r>
        <w:rPr>
          <w:rFonts w:ascii="Arial" w:hAnsi="Arial" w:cs="Arial"/>
          <w:sz w:val="20"/>
          <w:szCs w:val="20"/>
        </w:rPr>
        <w:t>Basit, A. A. (2019).</w:t>
      </w:r>
      <w:r>
        <w:rPr>
          <w:rFonts w:ascii="Arial" w:hAnsi="Arial" w:cs="Arial"/>
          <w:sz w:val="20"/>
          <w:szCs w:val="20"/>
        </w:rPr>
        <w:br/>
      </w:r>
      <w:r>
        <w:rPr>
          <w:rFonts w:ascii="Arial" w:hAnsi="Arial" w:cs="Arial"/>
          <w:sz w:val="20"/>
          <w:szCs w:val="20"/>
        </w:rPr>
        <w:t xml:space="preserve">Examining how respectful engagement affects task performance and affective organizational commitment. </w:t>
      </w:r>
      <w:r>
        <w:rPr>
          <w:rStyle w:val="Emphasis"/>
          <w:rFonts w:ascii="Arial" w:hAnsi="Arial" w:cs="Arial"/>
          <w:sz w:val="20"/>
          <w:szCs w:val="20"/>
        </w:rPr>
        <w:t>Personnel Review, 48</w:t>
      </w:r>
      <w:r>
        <w:rPr>
          <w:rFonts w:ascii="Arial" w:hAnsi="Arial" w:cs="Arial"/>
          <w:sz w:val="20"/>
          <w:szCs w:val="20"/>
        </w:rPr>
        <w:t>(3), 644–658.</w:t>
      </w:r>
      <w:r>
        <w:rPr>
          <w:rFonts w:ascii="Arial" w:hAnsi="Arial" w:cs="Arial"/>
          <w:sz w:val="20"/>
          <w:szCs w:val="20"/>
        </w:rPr>
        <w:br/>
      </w:r>
      <w:hyperlink r:id="rId9" w:tgtFrame="_new" w:history="1">
        <w:r>
          <w:rPr>
            <w:rStyle w:val="Hyperlink"/>
            <w:rFonts w:ascii="Arial" w:hAnsi="Arial" w:cs="Arial"/>
            <w:sz w:val="20"/>
            <w:szCs w:val="20"/>
          </w:rPr>
          <w:t>https://doi.org/10.1108/PR-02-2018-0050</w:t>
        </w:r>
      </w:hyperlink>
    </w:p>
    <w:p w14:paraId="1423EABB" w14:textId="77777777" w:rsidR="00F75221" w:rsidRDefault="000B2AC1">
      <w:pPr>
        <w:pStyle w:val="NormalWeb"/>
        <w:rPr>
          <w:rFonts w:ascii="Arial" w:hAnsi="Arial" w:cs="Arial"/>
          <w:sz w:val="20"/>
          <w:szCs w:val="20"/>
        </w:rPr>
      </w:pPr>
      <w:r>
        <w:rPr>
          <w:rFonts w:ascii="Arial" w:hAnsi="Arial" w:cs="Arial"/>
          <w:sz w:val="20"/>
          <w:szCs w:val="20"/>
        </w:rPr>
        <w:t>Braun, V., &amp; C</w:t>
      </w:r>
      <w:r>
        <w:rPr>
          <w:rFonts w:ascii="Arial" w:hAnsi="Arial" w:cs="Arial"/>
          <w:sz w:val="20"/>
          <w:szCs w:val="20"/>
        </w:rPr>
        <w:t>larke, V. (2006).</w:t>
      </w:r>
      <w:r>
        <w:rPr>
          <w:rFonts w:ascii="Arial" w:hAnsi="Arial" w:cs="Arial"/>
          <w:sz w:val="20"/>
          <w:szCs w:val="20"/>
        </w:rPr>
        <w:br/>
        <w:t xml:space="preserve">Using thematic analysis in psychology. </w:t>
      </w:r>
      <w:r>
        <w:rPr>
          <w:rStyle w:val="Emphasis"/>
          <w:rFonts w:ascii="Arial" w:hAnsi="Arial" w:cs="Arial"/>
          <w:sz w:val="20"/>
          <w:szCs w:val="20"/>
        </w:rPr>
        <w:t>Qualitative Research in Psychology, 3</w:t>
      </w:r>
      <w:r>
        <w:rPr>
          <w:rFonts w:ascii="Arial" w:hAnsi="Arial" w:cs="Arial"/>
          <w:sz w:val="20"/>
          <w:szCs w:val="20"/>
        </w:rPr>
        <w:t>(2), 77–101.</w:t>
      </w:r>
      <w:r>
        <w:rPr>
          <w:rFonts w:ascii="Arial" w:hAnsi="Arial" w:cs="Arial"/>
          <w:sz w:val="20"/>
          <w:szCs w:val="20"/>
        </w:rPr>
        <w:br/>
      </w:r>
      <w:hyperlink r:id="rId10" w:tgtFrame="_new" w:history="1">
        <w:r>
          <w:rPr>
            <w:rStyle w:val="Hyperlink"/>
            <w:rFonts w:ascii="Arial" w:hAnsi="Arial" w:cs="Arial"/>
            <w:sz w:val="20"/>
            <w:szCs w:val="20"/>
          </w:rPr>
          <w:t>https://doi.org/10.1191/1478088706qp063oa</w:t>
        </w:r>
      </w:hyperlink>
    </w:p>
    <w:p w14:paraId="40F0BC75" w14:textId="77777777" w:rsidR="00F75221" w:rsidRDefault="000B2AC1">
      <w:pPr>
        <w:pStyle w:val="NormalWeb"/>
        <w:rPr>
          <w:rFonts w:ascii="Arial" w:hAnsi="Arial" w:cs="Arial"/>
          <w:sz w:val="20"/>
          <w:szCs w:val="20"/>
        </w:rPr>
      </w:pPr>
      <w:r>
        <w:rPr>
          <w:rFonts w:ascii="Arial" w:hAnsi="Arial" w:cs="Arial"/>
          <w:sz w:val="20"/>
          <w:szCs w:val="20"/>
        </w:rPr>
        <w:t>Fida, R., Paciello, M., Tramontano, C.,</w:t>
      </w:r>
      <w:r>
        <w:rPr>
          <w:rFonts w:ascii="Arial" w:hAnsi="Arial" w:cs="Arial"/>
          <w:sz w:val="20"/>
          <w:szCs w:val="20"/>
        </w:rPr>
        <w:t xml:space="preserve"> Fontaine, R. G., &amp; Farnese, M. L. (2015).</w:t>
      </w:r>
      <w:r>
        <w:rPr>
          <w:rFonts w:ascii="Arial" w:hAnsi="Arial" w:cs="Arial"/>
          <w:sz w:val="20"/>
          <w:szCs w:val="20"/>
        </w:rPr>
        <w:br/>
        <w:t xml:space="preserve">An integrative approach to understanding counterproductive work behavior: The roles of stressors, negative emotions, and moral disengagement. </w:t>
      </w:r>
      <w:r>
        <w:rPr>
          <w:rStyle w:val="Emphasis"/>
          <w:rFonts w:ascii="Arial" w:hAnsi="Arial" w:cs="Arial"/>
          <w:sz w:val="20"/>
          <w:szCs w:val="20"/>
        </w:rPr>
        <w:t>Journal of Business Ethics, 130</w:t>
      </w:r>
      <w:r>
        <w:rPr>
          <w:rFonts w:ascii="Arial" w:hAnsi="Arial" w:cs="Arial"/>
          <w:sz w:val="20"/>
          <w:szCs w:val="20"/>
        </w:rPr>
        <w:t>(1), 131–144.</w:t>
      </w:r>
      <w:r>
        <w:rPr>
          <w:rFonts w:ascii="Arial" w:hAnsi="Arial" w:cs="Arial"/>
          <w:sz w:val="20"/>
          <w:szCs w:val="20"/>
        </w:rPr>
        <w:br/>
        <w:t>https://doi.org/10.1007/s1</w:t>
      </w:r>
      <w:r>
        <w:rPr>
          <w:rFonts w:ascii="Arial" w:hAnsi="Arial" w:cs="Arial"/>
          <w:sz w:val="20"/>
          <w:szCs w:val="20"/>
        </w:rPr>
        <w:t>0551-014-2209-5</w:t>
      </w:r>
    </w:p>
    <w:p w14:paraId="6E7ABB01" w14:textId="77777777" w:rsidR="00F75221" w:rsidRDefault="000B2AC1">
      <w:pPr>
        <w:pStyle w:val="NormalWeb"/>
        <w:rPr>
          <w:rFonts w:ascii="Arial" w:hAnsi="Arial" w:cs="Arial"/>
          <w:sz w:val="20"/>
          <w:szCs w:val="20"/>
        </w:rPr>
      </w:pPr>
      <w:r>
        <w:rPr>
          <w:rFonts w:ascii="Arial" w:hAnsi="Arial" w:cs="Arial"/>
          <w:sz w:val="20"/>
          <w:szCs w:val="20"/>
        </w:rPr>
        <w:t xml:space="preserve">Galanis, P., Moisoglou, I., </w:t>
      </w:r>
      <w:proofErr w:type="spellStart"/>
      <w:r>
        <w:rPr>
          <w:rFonts w:ascii="Arial" w:hAnsi="Arial" w:cs="Arial"/>
          <w:sz w:val="20"/>
          <w:szCs w:val="20"/>
        </w:rPr>
        <w:t>Katsiroumpa</w:t>
      </w:r>
      <w:proofErr w:type="spellEnd"/>
      <w:r>
        <w:rPr>
          <w:rFonts w:ascii="Arial" w:hAnsi="Arial" w:cs="Arial"/>
          <w:sz w:val="20"/>
          <w:szCs w:val="20"/>
        </w:rPr>
        <w:t xml:space="preserve">, A., &amp; </w:t>
      </w:r>
      <w:proofErr w:type="spellStart"/>
      <w:r>
        <w:rPr>
          <w:rFonts w:ascii="Arial" w:hAnsi="Arial" w:cs="Arial"/>
          <w:sz w:val="20"/>
          <w:szCs w:val="20"/>
        </w:rPr>
        <w:t>Mastrogianni</w:t>
      </w:r>
      <w:proofErr w:type="spellEnd"/>
      <w:r>
        <w:rPr>
          <w:rFonts w:ascii="Arial" w:hAnsi="Arial" w:cs="Arial"/>
          <w:sz w:val="20"/>
          <w:szCs w:val="20"/>
        </w:rPr>
        <w:t>, M. (2024).</w:t>
      </w:r>
      <w:r>
        <w:rPr>
          <w:rFonts w:ascii="Arial" w:hAnsi="Arial" w:cs="Arial"/>
          <w:sz w:val="20"/>
          <w:szCs w:val="20"/>
        </w:rPr>
        <w:br/>
        <w:t xml:space="preserve">Association between workplace bullying, job stress, and professional quality of life in nurses: A systematic review and meta-analysis. </w:t>
      </w:r>
      <w:r>
        <w:rPr>
          <w:rStyle w:val="Emphasis"/>
          <w:rFonts w:ascii="Arial" w:hAnsi="Arial" w:cs="Arial"/>
          <w:sz w:val="20"/>
          <w:szCs w:val="20"/>
        </w:rPr>
        <w:t>Healthcare, 12</w:t>
      </w:r>
      <w:r>
        <w:rPr>
          <w:rFonts w:ascii="Arial" w:hAnsi="Arial" w:cs="Arial"/>
          <w:sz w:val="20"/>
          <w:szCs w:val="20"/>
        </w:rPr>
        <w:t>(6), 623.</w:t>
      </w:r>
      <w:r>
        <w:rPr>
          <w:rFonts w:ascii="Arial" w:hAnsi="Arial" w:cs="Arial"/>
          <w:sz w:val="20"/>
          <w:szCs w:val="20"/>
        </w:rPr>
        <w:br/>
      </w:r>
      <w:hyperlink r:id="rId11" w:tgtFrame="_new" w:history="1">
        <w:r>
          <w:rPr>
            <w:rStyle w:val="Hyperlink"/>
            <w:rFonts w:ascii="Arial" w:hAnsi="Arial" w:cs="Arial"/>
            <w:sz w:val="20"/>
            <w:szCs w:val="20"/>
          </w:rPr>
          <w:t>https://doi.org/10.3390/healthcare12060623</w:t>
        </w:r>
      </w:hyperlink>
    </w:p>
    <w:p w14:paraId="756501C8" w14:textId="77777777" w:rsidR="00F75221" w:rsidRDefault="000B2AC1">
      <w:pPr>
        <w:pStyle w:val="NormalWeb"/>
        <w:rPr>
          <w:rFonts w:ascii="Arial" w:hAnsi="Arial" w:cs="Arial"/>
          <w:sz w:val="20"/>
          <w:szCs w:val="20"/>
        </w:rPr>
      </w:pPr>
      <w:r>
        <w:rPr>
          <w:rFonts w:ascii="Arial" w:hAnsi="Arial" w:cs="Arial"/>
          <w:sz w:val="20"/>
          <w:szCs w:val="20"/>
        </w:rPr>
        <w:t xml:space="preserve">Galanis, P., Moisoglou, I., </w:t>
      </w:r>
      <w:proofErr w:type="spellStart"/>
      <w:r>
        <w:rPr>
          <w:rFonts w:ascii="Arial" w:hAnsi="Arial" w:cs="Arial"/>
          <w:sz w:val="20"/>
          <w:szCs w:val="20"/>
        </w:rPr>
        <w:t>Katsiroumpa</w:t>
      </w:r>
      <w:proofErr w:type="spellEnd"/>
      <w:r>
        <w:rPr>
          <w:rFonts w:ascii="Arial" w:hAnsi="Arial" w:cs="Arial"/>
          <w:sz w:val="20"/>
          <w:szCs w:val="20"/>
        </w:rPr>
        <w:t xml:space="preserve">, A., </w:t>
      </w:r>
      <w:proofErr w:type="spellStart"/>
      <w:r>
        <w:rPr>
          <w:rFonts w:ascii="Arial" w:hAnsi="Arial" w:cs="Arial"/>
          <w:sz w:val="20"/>
          <w:szCs w:val="20"/>
        </w:rPr>
        <w:t>Malliarou</w:t>
      </w:r>
      <w:proofErr w:type="spellEnd"/>
      <w:r>
        <w:rPr>
          <w:rFonts w:ascii="Arial" w:hAnsi="Arial" w:cs="Arial"/>
          <w:sz w:val="20"/>
          <w:szCs w:val="20"/>
        </w:rPr>
        <w:t>, M., Vraka, I., Gallos, P., Kalogeropoulou, M., &amp; Papathanasiou, I. V. (2024).</w:t>
      </w:r>
      <w:r>
        <w:rPr>
          <w:rFonts w:ascii="Arial" w:hAnsi="Arial" w:cs="Arial"/>
          <w:sz w:val="20"/>
          <w:szCs w:val="20"/>
        </w:rPr>
        <w:br/>
        <w:t>Impact of workplace</w:t>
      </w:r>
      <w:r>
        <w:rPr>
          <w:rFonts w:ascii="Arial" w:hAnsi="Arial" w:cs="Arial"/>
          <w:sz w:val="20"/>
          <w:szCs w:val="20"/>
        </w:rPr>
        <w:t xml:space="preserve"> bullying on quiet quitting in nurses: The mediating effect of coping strategies. </w:t>
      </w:r>
      <w:r>
        <w:rPr>
          <w:rStyle w:val="Emphasis"/>
          <w:rFonts w:ascii="Arial" w:hAnsi="Arial" w:cs="Arial"/>
          <w:sz w:val="20"/>
          <w:szCs w:val="20"/>
        </w:rPr>
        <w:t>Healthcare, 12</w:t>
      </w:r>
      <w:r>
        <w:rPr>
          <w:rFonts w:ascii="Arial" w:hAnsi="Arial" w:cs="Arial"/>
          <w:sz w:val="20"/>
          <w:szCs w:val="20"/>
        </w:rPr>
        <w:t>(7), 797.</w:t>
      </w:r>
      <w:r>
        <w:rPr>
          <w:rFonts w:ascii="Arial" w:hAnsi="Arial" w:cs="Arial"/>
          <w:sz w:val="20"/>
          <w:szCs w:val="20"/>
        </w:rPr>
        <w:br/>
      </w:r>
      <w:hyperlink r:id="rId12" w:tgtFrame="_new" w:history="1">
        <w:r>
          <w:rPr>
            <w:rStyle w:val="Hyperlink"/>
            <w:rFonts w:ascii="Arial" w:hAnsi="Arial" w:cs="Arial"/>
            <w:sz w:val="20"/>
            <w:szCs w:val="20"/>
          </w:rPr>
          <w:t>https://doi.org/10.3390/healthcare12070797</w:t>
        </w:r>
      </w:hyperlink>
    </w:p>
    <w:p w14:paraId="3F024F91" w14:textId="77777777" w:rsidR="00F75221" w:rsidRDefault="000B2AC1">
      <w:pPr>
        <w:pStyle w:val="NormalWeb"/>
        <w:rPr>
          <w:rFonts w:ascii="Arial" w:hAnsi="Arial" w:cs="Arial"/>
          <w:sz w:val="20"/>
          <w:szCs w:val="20"/>
        </w:rPr>
      </w:pPr>
      <w:r>
        <w:rPr>
          <w:rFonts w:ascii="Arial" w:hAnsi="Arial" w:cs="Arial"/>
          <w:sz w:val="20"/>
          <w:szCs w:val="20"/>
        </w:rPr>
        <w:t xml:space="preserve">Jang, I., Jang, S. J., &amp; Chang, S. J. </w:t>
      </w:r>
      <w:r>
        <w:rPr>
          <w:rFonts w:ascii="Arial" w:hAnsi="Arial" w:cs="Arial"/>
          <w:sz w:val="20"/>
          <w:szCs w:val="20"/>
        </w:rPr>
        <w:t>(2024).</w:t>
      </w:r>
      <w:r>
        <w:rPr>
          <w:rFonts w:ascii="Arial" w:hAnsi="Arial" w:cs="Arial"/>
          <w:sz w:val="20"/>
          <w:szCs w:val="20"/>
        </w:rPr>
        <w:br/>
        <w:t xml:space="preserve">Factors influencing hospital nurses’ workplace bullying experiences focusing on meritocracy belief, emotional intelligence, and organizational culture. </w:t>
      </w:r>
      <w:r>
        <w:rPr>
          <w:rStyle w:val="Emphasis"/>
          <w:rFonts w:ascii="Arial" w:hAnsi="Arial" w:cs="Arial"/>
          <w:sz w:val="20"/>
          <w:szCs w:val="20"/>
        </w:rPr>
        <w:t>Journal of Nursing Management</w:t>
      </w:r>
      <w:r>
        <w:rPr>
          <w:rFonts w:ascii="Arial" w:hAnsi="Arial" w:cs="Arial"/>
          <w:sz w:val="20"/>
          <w:szCs w:val="20"/>
        </w:rPr>
        <w:t>, 2024, 1637066.</w:t>
      </w:r>
      <w:r>
        <w:rPr>
          <w:rFonts w:ascii="Arial" w:hAnsi="Arial" w:cs="Arial"/>
          <w:sz w:val="20"/>
          <w:szCs w:val="20"/>
        </w:rPr>
        <w:br/>
      </w:r>
      <w:hyperlink r:id="rId13" w:tgtFrame="_new" w:history="1">
        <w:r>
          <w:rPr>
            <w:rStyle w:val="Hyperlink"/>
            <w:rFonts w:ascii="Arial" w:hAnsi="Arial" w:cs="Arial"/>
            <w:sz w:val="20"/>
            <w:szCs w:val="20"/>
          </w:rPr>
          <w:t>https://doi.org/10.1155/2024/1637066</w:t>
        </w:r>
      </w:hyperlink>
    </w:p>
    <w:p w14:paraId="56B33588" w14:textId="77777777" w:rsidR="00F75221" w:rsidRDefault="000B2AC1">
      <w:pPr>
        <w:pStyle w:val="NormalWeb"/>
        <w:rPr>
          <w:rFonts w:ascii="Arial" w:hAnsi="Arial" w:cs="Arial"/>
          <w:sz w:val="20"/>
          <w:szCs w:val="20"/>
        </w:rPr>
      </w:pPr>
      <w:r>
        <w:rPr>
          <w:rFonts w:ascii="Arial" w:hAnsi="Arial" w:cs="Arial"/>
          <w:sz w:val="20"/>
          <w:szCs w:val="20"/>
        </w:rPr>
        <w:t>Jang, S. J., Son, Y. J., &amp; Lee, H. (2022).</w:t>
      </w:r>
      <w:r>
        <w:rPr>
          <w:rFonts w:ascii="Arial" w:hAnsi="Arial" w:cs="Arial"/>
          <w:sz w:val="20"/>
          <w:szCs w:val="20"/>
        </w:rPr>
        <w:br/>
        <w:t xml:space="preserve">Intervention types and their effects on workplace bullying among nurses: A systematic review. </w:t>
      </w:r>
      <w:r>
        <w:rPr>
          <w:rStyle w:val="Emphasis"/>
          <w:rFonts w:ascii="Arial" w:hAnsi="Arial" w:cs="Arial"/>
          <w:sz w:val="20"/>
          <w:szCs w:val="20"/>
        </w:rPr>
        <w:t>Journal of Nursing Management, 30</w:t>
      </w:r>
      <w:r>
        <w:rPr>
          <w:rFonts w:ascii="Arial" w:hAnsi="Arial" w:cs="Arial"/>
          <w:sz w:val="20"/>
          <w:szCs w:val="20"/>
        </w:rPr>
        <w:t>(6), 1788–1800.</w:t>
      </w:r>
      <w:r>
        <w:rPr>
          <w:rFonts w:ascii="Arial" w:hAnsi="Arial" w:cs="Arial"/>
          <w:sz w:val="20"/>
          <w:szCs w:val="20"/>
        </w:rPr>
        <w:br/>
      </w:r>
      <w:hyperlink r:id="rId14" w:tgtFrame="_new" w:history="1">
        <w:r>
          <w:rPr>
            <w:rStyle w:val="Hyperlink"/>
            <w:rFonts w:ascii="Arial" w:hAnsi="Arial" w:cs="Arial"/>
            <w:sz w:val="20"/>
            <w:szCs w:val="20"/>
          </w:rPr>
          <w:t>https://doi.org/10.1111/jonm.13655</w:t>
        </w:r>
      </w:hyperlink>
    </w:p>
    <w:p w14:paraId="341983AA" w14:textId="77777777" w:rsidR="00F75221" w:rsidRDefault="000B2AC1">
      <w:pPr>
        <w:pStyle w:val="NormalWeb"/>
        <w:rPr>
          <w:rFonts w:ascii="Arial" w:hAnsi="Arial" w:cs="Arial"/>
          <w:sz w:val="20"/>
          <w:szCs w:val="20"/>
        </w:rPr>
      </w:pPr>
      <w:r>
        <w:rPr>
          <w:rFonts w:ascii="Arial" w:hAnsi="Arial" w:cs="Arial"/>
          <w:sz w:val="20"/>
          <w:szCs w:val="20"/>
        </w:rPr>
        <w:t>Jeong, Y., Jung, H. S., &amp; Baek, E. M. (2024).</w:t>
      </w:r>
      <w:r>
        <w:rPr>
          <w:rFonts w:ascii="Arial" w:hAnsi="Arial" w:cs="Arial"/>
          <w:sz w:val="20"/>
          <w:szCs w:val="20"/>
        </w:rPr>
        <w:br/>
        <w:t xml:space="preserve">Effectiveness of cognitive rehearsal programs for the prevention of workplace bullying among hospital nurses: A systematic review and </w:t>
      </w:r>
      <w:r>
        <w:rPr>
          <w:rFonts w:ascii="Arial" w:hAnsi="Arial" w:cs="Arial"/>
          <w:sz w:val="20"/>
          <w:szCs w:val="20"/>
        </w:rPr>
        <w:t xml:space="preserve">meta-analysis. </w:t>
      </w:r>
      <w:r>
        <w:rPr>
          <w:rStyle w:val="Emphasis"/>
          <w:rFonts w:ascii="Arial" w:hAnsi="Arial" w:cs="Arial"/>
          <w:sz w:val="20"/>
          <w:szCs w:val="20"/>
        </w:rPr>
        <w:t>BMC Public Health, 24</w:t>
      </w:r>
      <w:r>
        <w:rPr>
          <w:rFonts w:ascii="Arial" w:hAnsi="Arial" w:cs="Arial"/>
          <w:sz w:val="20"/>
          <w:szCs w:val="20"/>
        </w:rPr>
        <w:t>, 1568.</w:t>
      </w:r>
      <w:r>
        <w:rPr>
          <w:rFonts w:ascii="Arial" w:hAnsi="Arial" w:cs="Arial"/>
          <w:sz w:val="20"/>
          <w:szCs w:val="20"/>
        </w:rPr>
        <w:br/>
      </w:r>
      <w:hyperlink r:id="rId15" w:tgtFrame="_new" w:history="1">
        <w:r>
          <w:rPr>
            <w:rStyle w:val="Hyperlink"/>
            <w:rFonts w:ascii="Arial" w:hAnsi="Arial" w:cs="Arial"/>
            <w:sz w:val="20"/>
            <w:szCs w:val="20"/>
          </w:rPr>
          <w:t>https://doi.org/10.1186/s12889-024-18969-x</w:t>
        </w:r>
      </w:hyperlink>
    </w:p>
    <w:p w14:paraId="51DCE1C1" w14:textId="77777777" w:rsidR="00F75221" w:rsidRDefault="000B2AC1">
      <w:pPr>
        <w:pStyle w:val="NormalWeb"/>
        <w:rPr>
          <w:rFonts w:ascii="Arial" w:hAnsi="Arial" w:cs="Arial"/>
          <w:sz w:val="20"/>
          <w:szCs w:val="20"/>
        </w:rPr>
      </w:pPr>
      <w:r>
        <w:rPr>
          <w:rFonts w:ascii="Arial" w:hAnsi="Arial" w:cs="Arial"/>
          <w:sz w:val="20"/>
          <w:szCs w:val="20"/>
        </w:rPr>
        <w:t xml:space="preserve">Kiger, M. E., &amp; </w:t>
      </w:r>
      <w:proofErr w:type="spellStart"/>
      <w:r>
        <w:rPr>
          <w:rFonts w:ascii="Arial" w:hAnsi="Arial" w:cs="Arial"/>
          <w:sz w:val="20"/>
          <w:szCs w:val="20"/>
        </w:rPr>
        <w:t>Varpio</w:t>
      </w:r>
      <w:proofErr w:type="spellEnd"/>
      <w:r>
        <w:rPr>
          <w:rFonts w:ascii="Arial" w:hAnsi="Arial" w:cs="Arial"/>
          <w:sz w:val="20"/>
          <w:szCs w:val="20"/>
        </w:rPr>
        <w:t>, L. (2020).</w:t>
      </w:r>
      <w:r>
        <w:rPr>
          <w:rFonts w:ascii="Arial" w:hAnsi="Arial" w:cs="Arial"/>
          <w:sz w:val="20"/>
          <w:szCs w:val="20"/>
        </w:rPr>
        <w:br/>
        <w:t xml:space="preserve">Thematic analysis of qualitative data: AMEE Guide No. 131. </w:t>
      </w:r>
      <w:r>
        <w:rPr>
          <w:rStyle w:val="Emphasis"/>
          <w:rFonts w:ascii="Arial" w:hAnsi="Arial" w:cs="Arial"/>
          <w:sz w:val="20"/>
          <w:szCs w:val="20"/>
        </w:rPr>
        <w:t>Medica</w:t>
      </w:r>
      <w:r>
        <w:rPr>
          <w:rStyle w:val="Emphasis"/>
          <w:rFonts w:ascii="Arial" w:hAnsi="Arial" w:cs="Arial"/>
          <w:sz w:val="20"/>
          <w:szCs w:val="20"/>
        </w:rPr>
        <w:t>l Teacher, 42</w:t>
      </w:r>
      <w:r>
        <w:rPr>
          <w:rFonts w:ascii="Arial" w:hAnsi="Arial" w:cs="Arial"/>
          <w:sz w:val="20"/>
          <w:szCs w:val="20"/>
        </w:rPr>
        <w:t>(8), 846–854.</w:t>
      </w:r>
      <w:r>
        <w:rPr>
          <w:rFonts w:ascii="Arial" w:hAnsi="Arial" w:cs="Arial"/>
          <w:sz w:val="20"/>
          <w:szCs w:val="20"/>
        </w:rPr>
        <w:br/>
      </w:r>
      <w:hyperlink r:id="rId16" w:tgtFrame="_new" w:history="1">
        <w:r>
          <w:rPr>
            <w:rStyle w:val="Hyperlink"/>
            <w:rFonts w:ascii="Arial" w:hAnsi="Arial" w:cs="Arial"/>
            <w:sz w:val="20"/>
            <w:szCs w:val="20"/>
          </w:rPr>
          <w:t>https://doi.org/10.1080/0142159X.2020.1755030</w:t>
        </w:r>
      </w:hyperlink>
    </w:p>
    <w:p w14:paraId="21CD9084" w14:textId="77777777" w:rsidR="00F75221" w:rsidRDefault="000B2AC1">
      <w:pPr>
        <w:pStyle w:val="NormalWeb"/>
        <w:rPr>
          <w:rFonts w:ascii="Arial" w:hAnsi="Arial" w:cs="Arial"/>
          <w:sz w:val="20"/>
          <w:szCs w:val="20"/>
        </w:rPr>
      </w:pPr>
      <w:r>
        <w:rPr>
          <w:rFonts w:ascii="Arial" w:hAnsi="Arial" w:cs="Arial"/>
          <w:sz w:val="20"/>
          <w:szCs w:val="20"/>
        </w:rPr>
        <w:lastRenderedPageBreak/>
        <w:t>Kim, Y., Lee, E., &amp; Lee, H. (2019).</w:t>
      </w:r>
      <w:r>
        <w:rPr>
          <w:rFonts w:ascii="Arial" w:hAnsi="Arial" w:cs="Arial"/>
          <w:sz w:val="20"/>
          <w:szCs w:val="20"/>
        </w:rPr>
        <w:br/>
        <w:t>Association between workplace bullying and burnout, professional quality of</w:t>
      </w:r>
      <w:r>
        <w:rPr>
          <w:rFonts w:ascii="Arial" w:hAnsi="Arial" w:cs="Arial"/>
          <w:sz w:val="20"/>
          <w:szCs w:val="20"/>
        </w:rPr>
        <w:t xml:space="preserve"> life, and turnover intention among clinical nurses.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14</w:t>
      </w:r>
      <w:r>
        <w:rPr>
          <w:rFonts w:ascii="Arial" w:hAnsi="Arial" w:cs="Arial"/>
          <w:sz w:val="20"/>
          <w:szCs w:val="20"/>
        </w:rPr>
        <w:t>(12), e0226506.</w:t>
      </w:r>
      <w:r>
        <w:rPr>
          <w:rFonts w:ascii="Arial" w:hAnsi="Arial" w:cs="Arial"/>
          <w:sz w:val="20"/>
          <w:szCs w:val="20"/>
        </w:rPr>
        <w:br/>
      </w:r>
      <w:hyperlink r:id="rId17" w:tgtFrame="_new" w:history="1">
        <w:r>
          <w:rPr>
            <w:rStyle w:val="Hyperlink"/>
            <w:rFonts w:ascii="Arial" w:hAnsi="Arial" w:cs="Arial"/>
            <w:sz w:val="20"/>
            <w:szCs w:val="20"/>
          </w:rPr>
          <w:t>https://doi.org/10.1371/journal.pone.0226506</w:t>
        </w:r>
      </w:hyperlink>
    </w:p>
    <w:p w14:paraId="662DE4E7" w14:textId="77777777" w:rsidR="00F75221" w:rsidRDefault="000B2AC1">
      <w:pPr>
        <w:pStyle w:val="NormalWeb"/>
        <w:rPr>
          <w:rFonts w:ascii="Arial" w:hAnsi="Arial" w:cs="Arial"/>
          <w:sz w:val="20"/>
          <w:szCs w:val="20"/>
        </w:rPr>
      </w:pPr>
      <w:r>
        <w:rPr>
          <w:rFonts w:ascii="Arial" w:hAnsi="Arial" w:cs="Arial"/>
          <w:sz w:val="20"/>
          <w:szCs w:val="20"/>
        </w:rPr>
        <w:t>Laschinger, H. K. S., &amp; Read, E. A. (2016).</w:t>
      </w:r>
      <w:r>
        <w:rPr>
          <w:rFonts w:ascii="Arial" w:hAnsi="Arial" w:cs="Arial"/>
          <w:sz w:val="20"/>
          <w:szCs w:val="20"/>
        </w:rPr>
        <w:br/>
      </w:r>
      <w:r>
        <w:rPr>
          <w:rFonts w:ascii="Arial" w:hAnsi="Arial" w:cs="Arial"/>
          <w:sz w:val="20"/>
          <w:szCs w:val="20"/>
        </w:rPr>
        <w:t xml:space="preserve">The effect of authentic leadership, person–job fit, and civility norms on new graduate nurses’ experiences of coworker incivility and burnout. </w:t>
      </w:r>
      <w:r>
        <w:rPr>
          <w:rStyle w:val="Emphasis"/>
          <w:rFonts w:ascii="Arial" w:hAnsi="Arial" w:cs="Arial"/>
          <w:sz w:val="20"/>
          <w:szCs w:val="20"/>
        </w:rPr>
        <w:t>Journal of Nursing Administration, 46</w:t>
      </w:r>
      <w:r>
        <w:rPr>
          <w:rFonts w:ascii="Arial" w:hAnsi="Arial" w:cs="Arial"/>
          <w:sz w:val="20"/>
          <w:szCs w:val="20"/>
        </w:rPr>
        <w:t>(11), 574–580.</w:t>
      </w:r>
      <w:r>
        <w:rPr>
          <w:rFonts w:ascii="Arial" w:hAnsi="Arial" w:cs="Arial"/>
          <w:sz w:val="20"/>
          <w:szCs w:val="20"/>
        </w:rPr>
        <w:br/>
        <w:t>https://doi.org/10.1097/NNA.0000000000000417</w:t>
      </w:r>
    </w:p>
    <w:p w14:paraId="09B360AA" w14:textId="77777777" w:rsidR="00F75221" w:rsidRDefault="000B2AC1">
      <w:pPr>
        <w:pStyle w:val="NormalWeb"/>
        <w:rPr>
          <w:rFonts w:ascii="Arial" w:hAnsi="Arial" w:cs="Arial"/>
          <w:sz w:val="20"/>
          <w:szCs w:val="20"/>
        </w:rPr>
      </w:pPr>
      <w:r>
        <w:rPr>
          <w:rFonts w:ascii="Arial" w:hAnsi="Arial" w:cs="Arial"/>
          <w:sz w:val="20"/>
          <w:szCs w:val="20"/>
        </w:rPr>
        <w:t>Peng, J., Luo, H</w:t>
      </w:r>
      <w:r>
        <w:rPr>
          <w:rFonts w:ascii="Arial" w:hAnsi="Arial" w:cs="Arial"/>
          <w:sz w:val="20"/>
          <w:szCs w:val="20"/>
        </w:rPr>
        <w:t>., Ma, Q., Zhong, Y., Yang, X., Huang, Y., Sun, X., Wang, X., He, J., &amp; Song, Y. (2022).</w:t>
      </w:r>
      <w:r>
        <w:rPr>
          <w:rFonts w:ascii="Arial" w:hAnsi="Arial" w:cs="Arial"/>
          <w:sz w:val="20"/>
          <w:szCs w:val="20"/>
        </w:rPr>
        <w:br/>
        <w:t xml:space="preserve">Association between workplace bullying and nurses’ professional quality of life: The mediating role of resilience. </w:t>
      </w:r>
      <w:r>
        <w:rPr>
          <w:rStyle w:val="Emphasis"/>
          <w:rFonts w:ascii="Arial" w:hAnsi="Arial" w:cs="Arial"/>
          <w:sz w:val="20"/>
          <w:szCs w:val="20"/>
        </w:rPr>
        <w:t>Journal of Nursing Management, 30</w:t>
      </w:r>
      <w:r>
        <w:rPr>
          <w:rFonts w:ascii="Arial" w:hAnsi="Arial" w:cs="Arial"/>
          <w:sz w:val="20"/>
          <w:szCs w:val="20"/>
        </w:rPr>
        <w:t>(6), 1549–1558.</w:t>
      </w:r>
      <w:r>
        <w:rPr>
          <w:rFonts w:ascii="Arial" w:hAnsi="Arial" w:cs="Arial"/>
          <w:sz w:val="20"/>
          <w:szCs w:val="20"/>
        </w:rPr>
        <w:br/>
      </w:r>
      <w:hyperlink r:id="rId18" w:tgtFrame="_new" w:history="1">
        <w:r>
          <w:rPr>
            <w:rStyle w:val="Hyperlink"/>
            <w:rFonts w:ascii="Arial" w:hAnsi="Arial" w:cs="Arial"/>
            <w:sz w:val="20"/>
            <w:szCs w:val="20"/>
          </w:rPr>
          <w:t>https://doi.org/10.1111/jonm.13471</w:t>
        </w:r>
      </w:hyperlink>
    </w:p>
    <w:p w14:paraId="41901F11" w14:textId="77777777" w:rsidR="00F75221" w:rsidRDefault="000B2AC1">
      <w:pPr>
        <w:pStyle w:val="NormalWeb"/>
        <w:rPr>
          <w:rFonts w:ascii="Arial" w:hAnsi="Arial" w:cs="Arial"/>
          <w:sz w:val="20"/>
          <w:szCs w:val="20"/>
        </w:rPr>
      </w:pPr>
      <w:r>
        <w:rPr>
          <w:rFonts w:ascii="Arial" w:hAnsi="Arial" w:cs="Arial"/>
          <w:sz w:val="20"/>
          <w:szCs w:val="20"/>
        </w:rPr>
        <w:t>Shorey, S., &amp; Wong, P. Z. E. (2021).</w:t>
      </w:r>
      <w:r>
        <w:rPr>
          <w:rFonts w:ascii="Arial" w:hAnsi="Arial" w:cs="Arial"/>
          <w:sz w:val="20"/>
          <w:szCs w:val="20"/>
        </w:rPr>
        <w:br/>
        <w:t xml:space="preserve">A qualitative systematic review on nurses’ experiences of workplace bullying and implications for nursing practice. </w:t>
      </w:r>
      <w:r>
        <w:rPr>
          <w:rStyle w:val="Emphasis"/>
          <w:rFonts w:ascii="Arial" w:hAnsi="Arial" w:cs="Arial"/>
          <w:sz w:val="20"/>
          <w:szCs w:val="20"/>
        </w:rPr>
        <w:t>Journal of</w:t>
      </w:r>
      <w:r>
        <w:rPr>
          <w:rStyle w:val="Emphasis"/>
          <w:rFonts w:ascii="Arial" w:hAnsi="Arial" w:cs="Arial"/>
          <w:sz w:val="20"/>
          <w:szCs w:val="20"/>
        </w:rPr>
        <w:t xml:space="preserve"> Advanced Nursing, 77</w:t>
      </w:r>
      <w:r>
        <w:rPr>
          <w:rFonts w:ascii="Arial" w:hAnsi="Arial" w:cs="Arial"/>
          <w:sz w:val="20"/>
          <w:szCs w:val="20"/>
        </w:rPr>
        <w:t>(11), 4306–4320.</w:t>
      </w:r>
      <w:r>
        <w:rPr>
          <w:rFonts w:ascii="Arial" w:hAnsi="Arial" w:cs="Arial"/>
          <w:sz w:val="20"/>
          <w:szCs w:val="20"/>
        </w:rPr>
        <w:br/>
      </w:r>
      <w:hyperlink r:id="rId19" w:tgtFrame="_new" w:history="1">
        <w:r>
          <w:rPr>
            <w:rStyle w:val="Hyperlink"/>
            <w:rFonts w:ascii="Arial" w:hAnsi="Arial" w:cs="Arial"/>
            <w:sz w:val="20"/>
            <w:szCs w:val="20"/>
          </w:rPr>
          <w:t>https://doi.org/10.1111/jan.14912</w:t>
        </w:r>
      </w:hyperlink>
    </w:p>
    <w:p w14:paraId="5104A9B0" w14:textId="77777777" w:rsidR="00F75221" w:rsidRDefault="000B2AC1">
      <w:pPr>
        <w:pStyle w:val="NormalWeb"/>
        <w:rPr>
          <w:rFonts w:ascii="Arial" w:hAnsi="Arial" w:cs="Arial"/>
          <w:sz w:val="20"/>
          <w:szCs w:val="20"/>
        </w:rPr>
      </w:pPr>
      <w:r>
        <w:rPr>
          <w:rFonts w:ascii="Arial" w:hAnsi="Arial" w:cs="Arial"/>
          <w:sz w:val="20"/>
          <w:szCs w:val="20"/>
        </w:rPr>
        <w:t>Sun, S., Chen, H., He, Y., et al. (2025).</w:t>
      </w:r>
      <w:r>
        <w:rPr>
          <w:rFonts w:ascii="Arial" w:hAnsi="Arial" w:cs="Arial"/>
          <w:sz w:val="20"/>
          <w:szCs w:val="20"/>
        </w:rPr>
        <w:br/>
        <w:t xml:space="preserve">Workplace bullying and turnover intentions among workers: A systematic review and </w:t>
      </w:r>
      <w:r>
        <w:rPr>
          <w:rFonts w:ascii="Arial" w:hAnsi="Arial" w:cs="Arial"/>
          <w:sz w:val="20"/>
          <w:szCs w:val="20"/>
        </w:rPr>
        <w:t xml:space="preserve">meta-analysis. </w:t>
      </w:r>
      <w:r>
        <w:rPr>
          <w:rStyle w:val="Emphasis"/>
          <w:rFonts w:ascii="Arial" w:hAnsi="Arial" w:cs="Arial"/>
          <w:sz w:val="20"/>
          <w:szCs w:val="20"/>
        </w:rPr>
        <w:t>BMC Public Health, 25</w:t>
      </w:r>
      <w:r>
        <w:rPr>
          <w:rFonts w:ascii="Arial" w:hAnsi="Arial" w:cs="Arial"/>
          <w:sz w:val="20"/>
          <w:szCs w:val="20"/>
        </w:rPr>
        <w:t>, 2394.</w:t>
      </w:r>
      <w:r>
        <w:rPr>
          <w:rFonts w:ascii="Arial" w:hAnsi="Arial" w:cs="Arial"/>
          <w:sz w:val="20"/>
          <w:szCs w:val="20"/>
        </w:rPr>
        <w:br/>
      </w:r>
      <w:hyperlink r:id="rId20" w:tgtFrame="_new" w:history="1">
        <w:r>
          <w:rPr>
            <w:rStyle w:val="Hyperlink"/>
            <w:rFonts w:ascii="Arial" w:hAnsi="Arial" w:cs="Arial"/>
            <w:sz w:val="20"/>
            <w:szCs w:val="20"/>
          </w:rPr>
          <w:t>https://doi.org/10.1186/s12889-025-23339-2</w:t>
        </w:r>
      </w:hyperlink>
    </w:p>
    <w:p w14:paraId="3AEEAEF6" w14:textId="77777777" w:rsidR="00F75221" w:rsidRDefault="000B2AC1">
      <w:pPr>
        <w:pStyle w:val="NormalWeb"/>
        <w:rPr>
          <w:rFonts w:ascii="Arial" w:hAnsi="Arial" w:cs="Arial"/>
          <w:sz w:val="20"/>
          <w:szCs w:val="20"/>
        </w:rPr>
      </w:pPr>
      <w:r>
        <w:rPr>
          <w:rFonts w:ascii="Arial" w:hAnsi="Arial" w:cs="Arial"/>
          <w:sz w:val="20"/>
          <w:szCs w:val="20"/>
        </w:rPr>
        <w:t xml:space="preserve">Zha, D., </w:t>
      </w:r>
      <w:proofErr w:type="spellStart"/>
      <w:r>
        <w:rPr>
          <w:rFonts w:ascii="Arial" w:hAnsi="Arial" w:cs="Arial"/>
          <w:sz w:val="20"/>
          <w:szCs w:val="20"/>
        </w:rPr>
        <w:t>Foroudi</w:t>
      </w:r>
      <w:proofErr w:type="spellEnd"/>
      <w:r>
        <w:rPr>
          <w:rFonts w:ascii="Arial" w:hAnsi="Arial" w:cs="Arial"/>
          <w:sz w:val="20"/>
          <w:szCs w:val="20"/>
        </w:rPr>
        <w:t>, P., Jin, Z., &amp; Melewar, T. C. (2021).</w:t>
      </w:r>
      <w:r>
        <w:rPr>
          <w:rFonts w:ascii="Arial" w:hAnsi="Arial" w:cs="Arial"/>
          <w:sz w:val="20"/>
          <w:szCs w:val="20"/>
        </w:rPr>
        <w:br/>
        <w:t>Making sense of sensory brand experience: Co</w:t>
      </w:r>
      <w:r>
        <w:rPr>
          <w:rFonts w:ascii="Arial" w:hAnsi="Arial" w:cs="Arial"/>
          <w:sz w:val="20"/>
          <w:szCs w:val="20"/>
        </w:rPr>
        <w:t xml:space="preserve">nstructing an integrative framework for future research. </w:t>
      </w:r>
      <w:r>
        <w:rPr>
          <w:rStyle w:val="Emphasis"/>
          <w:rFonts w:ascii="Arial" w:hAnsi="Arial" w:cs="Arial"/>
          <w:sz w:val="20"/>
          <w:szCs w:val="20"/>
        </w:rPr>
        <w:t>International Journal of Management Reviews, 24</w:t>
      </w:r>
      <w:r>
        <w:rPr>
          <w:rFonts w:ascii="Arial" w:hAnsi="Arial" w:cs="Arial"/>
          <w:sz w:val="20"/>
          <w:szCs w:val="20"/>
        </w:rPr>
        <w:t>(1), 130–167.</w:t>
      </w:r>
      <w:r>
        <w:rPr>
          <w:rFonts w:ascii="Arial" w:hAnsi="Arial" w:cs="Arial"/>
          <w:sz w:val="20"/>
          <w:szCs w:val="20"/>
        </w:rPr>
        <w:br/>
      </w:r>
      <w:hyperlink r:id="rId21" w:tgtFrame="_new" w:history="1">
        <w:r>
          <w:rPr>
            <w:rStyle w:val="Hyperlink"/>
            <w:rFonts w:ascii="Arial" w:hAnsi="Arial" w:cs="Arial"/>
            <w:sz w:val="20"/>
            <w:szCs w:val="20"/>
          </w:rPr>
          <w:t>https://doi.org/10.1111/ijmr.12270</w:t>
        </w:r>
      </w:hyperlink>
    </w:p>
    <w:p w14:paraId="71BAEE07" w14:textId="77777777" w:rsidR="00F75221" w:rsidRDefault="000B2AC1">
      <w:pPr>
        <w:pStyle w:val="NormalWeb"/>
        <w:rPr>
          <w:rFonts w:ascii="Arial" w:hAnsi="Arial" w:cs="Arial"/>
          <w:sz w:val="20"/>
          <w:szCs w:val="20"/>
        </w:rPr>
      </w:pPr>
      <w:r>
        <w:rPr>
          <w:rFonts w:ascii="Arial" w:hAnsi="Arial" w:cs="Arial"/>
          <w:sz w:val="20"/>
          <w:szCs w:val="20"/>
        </w:rPr>
        <w:t>Zhang, G., Zou, T., &amp; Zhang, M. (2025).</w:t>
      </w:r>
      <w:r>
        <w:rPr>
          <w:rFonts w:ascii="Arial" w:hAnsi="Arial" w:cs="Arial"/>
          <w:sz w:val="20"/>
          <w:szCs w:val="20"/>
        </w:rPr>
        <w:br/>
        <w:t>Ho</w:t>
      </w:r>
      <w:r>
        <w:rPr>
          <w:rFonts w:ascii="Arial" w:hAnsi="Arial" w:cs="Arial"/>
          <w:sz w:val="20"/>
          <w:szCs w:val="20"/>
        </w:rPr>
        <w:t xml:space="preserve">rizontal violence or workplace bullying among intensive care unit nurses: A mixed systematic review. </w:t>
      </w:r>
      <w:r>
        <w:rPr>
          <w:rStyle w:val="Emphasis"/>
          <w:rFonts w:ascii="Arial" w:hAnsi="Arial" w:cs="Arial"/>
          <w:sz w:val="20"/>
          <w:szCs w:val="20"/>
        </w:rPr>
        <w:t>Journal of Advanced Nursing, 81</w:t>
      </w:r>
      <w:r>
        <w:rPr>
          <w:rFonts w:ascii="Arial" w:hAnsi="Arial" w:cs="Arial"/>
          <w:sz w:val="20"/>
          <w:szCs w:val="20"/>
        </w:rPr>
        <w:t>(12), 8394–8408.</w:t>
      </w:r>
      <w:r>
        <w:rPr>
          <w:rFonts w:ascii="Arial" w:hAnsi="Arial" w:cs="Arial"/>
          <w:sz w:val="20"/>
          <w:szCs w:val="20"/>
        </w:rPr>
        <w:br/>
      </w:r>
      <w:hyperlink r:id="rId22" w:tgtFrame="_new" w:history="1">
        <w:r>
          <w:rPr>
            <w:rStyle w:val="Hyperlink"/>
            <w:rFonts w:ascii="Arial" w:hAnsi="Arial" w:cs="Arial"/>
            <w:sz w:val="20"/>
            <w:szCs w:val="20"/>
          </w:rPr>
          <w:t>https://doi.org/10.1111/jan.16849</w:t>
        </w:r>
      </w:hyperlink>
    </w:p>
    <w:p w14:paraId="2B4A7A81" w14:textId="77777777" w:rsidR="00F75221" w:rsidRDefault="00F75221">
      <w:pPr>
        <w:rPr>
          <w:rFonts w:eastAsia="SimSun"/>
          <w:sz w:val="20"/>
          <w:szCs w:val="20"/>
        </w:rPr>
      </w:pPr>
    </w:p>
    <w:sectPr w:rsidR="00F75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85452" w14:textId="77777777" w:rsidR="000B2AC1" w:rsidRDefault="000B2AC1">
      <w:pPr>
        <w:spacing w:line="240" w:lineRule="auto"/>
      </w:pPr>
      <w:r>
        <w:separator/>
      </w:r>
    </w:p>
  </w:endnote>
  <w:endnote w:type="continuationSeparator" w:id="0">
    <w:p w14:paraId="6D0EBA3D" w14:textId="77777777" w:rsidR="000B2AC1" w:rsidRDefault="000B2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718E" w14:textId="77777777" w:rsidR="000B2AC1" w:rsidRDefault="000B2AC1">
      <w:pPr>
        <w:spacing w:before="0"/>
      </w:pPr>
      <w:r>
        <w:separator/>
      </w:r>
    </w:p>
  </w:footnote>
  <w:footnote w:type="continuationSeparator" w:id="0">
    <w:p w14:paraId="65CCA8B5" w14:textId="77777777" w:rsidR="000B2AC1" w:rsidRDefault="000B2AC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25D69A"/>
    <w:multiLevelType w:val="singleLevel"/>
    <w:tmpl w:val="B925D69A"/>
    <w:lvl w:ilvl="0">
      <w:start w:val="3"/>
      <w:numFmt w:val="decimal"/>
      <w:suff w:val="space"/>
      <w:lvlText w:val="%1."/>
      <w:lvlJc w:val="left"/>
    </w:lvl>
  </w:abstractNum>
  <w:abstractNum w:abstractNumId="1" w15:restartNumberingAfterBreak="0">
    <w:nsid w:val="FB07DDCB"/>
    <w:multiLevelType w:val="singleLevel"/>
    <w:tmpl w:val="FB07DDCB"/>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F6"/>
    <w:rsid w:val="000255D8"/>
    <w:rsid w:val="000B2AC1"/>
    <w:rsid w:val="005E4397"/>
    <w:rsid w:val="006F7F14"/>
    <w:rsid w:val="00791074"/>
    <w:rsid w:val="007A17F6"/>
    <w:rsid w:val="00866461"/>
    <w:rsid w:val="00951B2B"/>
    <w:rsid w:val="009C2787"/>
    <w:rsid w:val="009D7622"/>
    <w:rsid w:val="00A60AD5"/>
    <w:rsid w:val="00B2049D"/>
    <w:rsid w:val="00CB240A"/>
    <w:rsid w:val="00CD7D6E"/>
    <w:rsid w:val="00D63C90"/>
    <w:rsid w:val="00DA5548"/>
    <w:rsid w:val="00F75221"/>
    <w:rsid w:val="2A821C72"/>
    <w:rsid w:val="30487418"/>
    <w:rsid w:val="3BFC6974"/>
    <w:rsid w:val="4564235C"/>
    <w:rsid w:val="4F692345"/>
    <w:rsid w:val="65C7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6143"/>
  <w15:docId w15:val="{9C372E1D-AFEB-4CB1-AA9F-FEA84158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line="273" w:lineRule="auto"/>
    </w:pPr>
    <w:rPr>
      <w:rFonts w:ascii="Arial" w:eastAsia="Times New Roman" w:hAnsi="Arial" w:cs="Arial"/>
      <w:sz w:val="22"/>
      <w:szCs w:val="22"/>
      <w:lang w:val="en-US" w:eastAsia="en-US"/>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beforeAutospacing="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beforeAutospacing="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beforeAutospacing="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beforeAutospacing="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before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before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before="0" w:beforeAutospacing="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before="0" w:beforeAutospacing="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0" w:beforeAutospacing="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0" w:beforeAutospacing="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before="0" w:beforeAutospacing="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beforeAutospacing="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99"/>
    <w:qFormat/>
    <w:pPr>
      <w:spacing w:line="240" w:lineRule="auto"/>
    </w:pPr>
  </w:style>
  <w:style w:type="character" w:customStyle="1" w:styleId="15">
    <w:name w:val="15"/>
    <w:basedOn w:val="DefaultParagraphFont"/>
    <w:qFormat/>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B2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healthcare12171706" TargetMode="External"/><Relationship Id="rId13" Type="http://schemas.openxmlformats.org/officeDocument/2006/relationships/hyperlink" Target="https://doi.org/10.1155/2024/1637066" TargetMode="External"/><Relationship Id="rId18" Type="http://schemas.openxmlformats.org/officeDocument/2006/relationships/hyperlink" Target="https://doi.org/10.1111/jonm.13471" TargetMode="External"/><Relationship Id="rId3" Type="http://schemas.openxmlformats.org/officeDocument/2006/relationships/settings" Target="settings.xml"/><Relationship Id="rId21" Type="http://schemas.openxmlformats.org/officeDocument/2006/relationships/hyperlink" Target="https://doi.org/10.1111/ijmr.12270" TargetMode="External"/><Relationship Id="rId7" Type="http://schemas.openxmlformats.org/officeDocument/2006/relationships/image" Target="media/image1.png"/><Relationship Id="rId12" Type="http://schemas.openxmlformats.org/officeDocument/2006/relationships/hyperlink" Target="https://doi.org/10.3390/healthcare12070797" TargetMode="External"/><Relationship Id="rId17" Type="http://schemas.openxmlformats.org/officeDocument/2006/relationships/hyperlink" Target="https://doi.org/10.1371/journal.pone.0226506" TargetMode="External"/><Relationship Id="rId2" Type="http://schemas.openxmlformats.org/officeDocument/2006/relationships/styles" Target="styles.xml"/><Relationship Id="rId16" Type="http://schemas.openxmlformats.org/officeDocument/2006/relationships/hyperlink" Target="https://doi.org/10.1080/0142159X.2020.1755030" TargetMode="External"/><Relationship Id="rId20" Type="http://schemas.openxmlformats.org/officeDocument/2006/relationships/hyperlink" Target="https://doi.org/10.1186/s12889-025-2333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althcare120606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889-024-18969-x" TargetMode="External"/><Relationship Id="rId23" Type="http://schemas.openxmlformats.org/officeDocument/2006/relationships/fontTable" Target="fontTable.xml"/><Relationship Id="rId10" Type="http://schemas.openxmlformats.org/officeDocument/2006/relationships/hyperlink" Target="https://doi.org/10.1191/1478088706qp063oa" TargetMode="External"/><Relationship Id="rId19" Type="http://schemas.openxmlformats.org/officeDocument/2006/relationships/hyperlink" Target="https://doi.org/10.1111/jan.14912" TargetMode="External"/><Relationship Id="rId4" Type="http://schemas.openxmlformats.org/officeDocument/2006/relationships/webSettings" Target="webSettings.xml"/><Relationship Id="rId9" Type="http://schemas.openxmlformats.org/officeDocument/2006/relationships/hyperlink" Target="https://doi.org/10.1108/PR-02-2018-0050" TargetMode="External"/><Relationship Id="rId14" Type="http://schemas.openxmlformats.org/officeDocument/2006/relationships/hyperlink" Target="https://doi.org/10.1111/jonm.13655" TargetMode="External"/><Relationship Id="rId22" Type="http://schemas.openxmlformats.org/officeDocument/2006/relationships/hyperlink" Target="https://doi.org/10.1111/jan.16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5381</Words>
  <Characters>30672</Characters>
  <Application>Microsoft Office Word</Application>
  <DocSecurity>0</DocSecurity>
  <Lines>255</Lines>
  <Paragraphs>71</Paragraphs>
  <ScaleCrop>false</ScaleCrop>
  <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G. Tan</dc:creator>
  <cp:lastModifiedBy>SDI 1181</cp:lastModifiedBy>
  <cp:revision>7</cp:revision>
  <dcterms:created xsi:type="dcterms:W3CDTF">2026-02-11T04:52:00Z</dcterms:created>
  <dcterms:modified xsi:type="dcterms:W3CDTF">2026-02-20T04:30:00Z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9A6E6D7B1F7B45F9ABF10252E7B98339_13</vt:lpwstr>
  </property>
</Properties>
</file>