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E53B4" w14:textId="04EBEE0D" w:rsidR="009B386D" w:rsidRDefault="007C22ED">
      <w:r w:rsidRPr="007C22ED">
        <w:t>Original Research Article</w:t>
      </w:r>
    </w:p>
    <w:p w14:paraId="3BDBCCBB" w14:textId="77777777" w:rsidR="007C22ED" w:rsidRDefault="007C22ED"/>
    <w:p w14:paraId="0F58F743" w14:textId="2BCC370D" w:rsidR="00987D9E" w:rsidRDefault="00987D9E" w:rsidP="00987D9E">
      <w:pPr>
        <w:spacing w:after="0" w:line="240" w:lineRule="auto"/>
        <w:jc w:val="center"/>
        <w:rPr>
          <w:rFonts w:ascii="Times New Roman" w:eastAsia="Calibri" w:hAnsi="Times New Roman" w:cs="Times New Roman"/>
          <w:b/>
          <w:bCs/>
        </w:rPr>
      </w:pPr>
      <w:bookmarkStart w:id="0" w:name="_Hlk219639444"/>
      <w:r w:rsidRPr="00987D9E">
        <w:rPr>
          <w:rFonts w:ascii="Times New Roman" w:eastAsia="Calibri" w:hAnsi="Times New Roman" w:cs="Times New Roman"/>
          <w:b/>
          <w:bCs/>
        </w:rPr>
        <w:t xml:space="preserve">Developing A Conceptual Framework </w:t>
      </w:r>
      <w:r>
        <w:rPr>
          <w:rFonts w:ascii="Times New Roman" w:eastAsia="Calibri" w:hAnsi="Times New Roman" w:cs="Times New Roman"/>
          <w:b/>
          <w:bCs/>
        </w:rPr>
        <w:t>f</w:t>
      </w:r>
      <w:r w:rsidRPr="00987D9E">
        <w:rPr>
          <w:rFonts w:ascii="Times New Roman" w:eastAsia="Calibri" w:hAnsi="Times New Roman" w:cs="Times New Roman"/>
          <w:b/>
          <w:bCs/>
        </w:rPr>
        <w:t xml:space="preserve">or Effective Dissemination </w:t>
      </w:r>
      <w:r>
        <w:rPr>
          <w:rFonts w:ascii="Times New Roman" w:eastAsia="Calibri" w:hAnsi="Times New Roman" w:cs="Times New Roman"/>
          <w:b/>
          <w:bCs/>
        </w:rPr>
        <w:t>a</w:t>
      </w:r>
      <w:r w:rsidRPr="00987D9E">
        <w:rPr>
          <w:rFonts w:ascii="Times New Roman" w:eastAsia="Calibri" w:hAnsi="Times New Roman" w:cs="Times New Roman"/>
          <w:b/>
          <w:bCs/>
        </w:rPr>
        <w:t xml:space="preserve">nd Implementation </w:t>
      </w:r>
      <w:r>
        <w:rPr>
          <w:rFonts w:ascii="Times New Roman" w:eastAsia="Calibri" w:hAnsi="Times New Roman" w:cs="Times New Roman"/>
          <w:b/>
          <w:bCs/>
        </w:rPr>
        <w:t>o</w:t>
      </w:r>
      <w:r w:rsidRPr="00987D9E">
        <w:rPr>
          <w:rFonts w:ascii="Times New Roman" w:eastAsia="Calibri" w:hAnsi="Times New Roman" w:cs="Times New Roman"/>
          <w:b/>
          <w:bCs/>
        </w:rPr>
        <w:t xml:space="preserve">f Doula Support Service </w:t>
      </w:r>
      <w:r>
        <w:rPr>
          <w:rFonts w:ascii="Times New Roman" w:eastAsia="Calibri" w:hAnsi="Times New Roman" w:cs="Times New Roman"/>
          <w:b/>
          <w:bCs/>
        </w:rPr>
        <w:t>i</w:t>
      </w:r>
      <w:r w:rsidRPr="00987D9E">
        <w:rPr>
          <w:rFonts w:ascii="Times New Roman" w:eastAsia="Calibri" w:hAnsi="Times New Roman" w:cs="Times New Roman"/>
          <w:b/>
          <w:bCs/>
        </w:rPr>
        <w:t>n</w:t>
      </w:r>
      <w:r w:rsidR="00FA55DA">
        <w:rPr>
          <w:rFonts w:ascii="Times New Roman" w:eastAsia="Calibri" w:hAnsi="Times New Roman" w:cs="Times New Roman"/>
          <w:b/>
          <w:bCs/>
        </w:rPr>
        <w:t xml:space="preserve"> </w:t>
      </w:r>
      <w:r w:rsidRPr="00987D9E">
        <w:rPr>
          <w:rFonts w:ascii="Times New Roman" w:eastAsia="Calibri" w:hAnsi="Times New Roman" w:cs="Times New Roman"/>
          <w:b/>
          <w:bCs/>
        </w:rPr>
        <w:t>Bayelsa State, Nigeria</w:t>
      </w:r>
    </w:p>
    <w:p w14:paraId="4F58980A" w14:textId="77777777" w:rsidR="00FA55DA" w:rsidRDefault="00FA55DA" w:rsidP="00987D9E">
      <w:pPr>
        <w:spacing w:after="0" w:line="240" w:lineRule="auto"/>
        <w:jc w:val="center"/>
        <w:rPr>
          <w:rFonts w:ascii="Times New Roman" w:eastAsia="Calibri" w:hAnsi="Times New Roman" w:cs="Times New Roman"/>
          <w:b/>
          <w:bCs/>
        </w:rPr>
      </w:pPr>
    </w:p>
    <w:bookmarkEnd w:id="0"/>
    <w:p w14:paraId="67CD8062" w14:textId="77777777" w:rsidR="00173F29" w:rsidRDefault="00173F29" w:rsidP="00414549">
      <w:pPr>
        <w:pStyle w:val="NormalWeb"/>
        <w:jc w:val="both"/>
        <w:rPr>
          <w:rStyle w:val="Strong"/>
          <w:rFonts w:eastAsiaTheme="majorEastAsia"/>
        </w:rPr>
      </w:pPr>
    </w:p>
    <w:p w14:paraId="36F6367C" w14:textId="2B01314F" w:rsidR="00557814" w:rsidRDefault="00557814" w:rsidP="00414549">
      <w:pPr>
        <w:pStyle w:val="NormalWeb"/>
        <w:jc w:val="both"/>
        <w:rPr>
          <w:rStyle w:val="Strong"/>
          <w:rFonts w:eastAsiaTheme="majorEastAsia"/>
        </w:rPr>
      </w:pPr>
      <w:r>
        <w:rPr>
          <w:rStyle w:val="Strong"/>
          <w:rFonts w:eastAsiaTheme="majorEastAsia"/>
        </w:rPr>
        <w:t>Abstract</w:t>
      </w:r>
    </w:p>
    <w:p w14:paraId="215C8E8D" w14:textId="4A3A3AFF" w:rsidR="00F359E2" w:rsidRDefault="00414549" w:rsidP="00414549">
      <w:pPr>
        <w:pStyle w:val="NormalWeb"/>
        <w:jc w:val="both"/>
      </w:pPr>
      <w:r>
        <w:rPr>
          <w:rStyle w:val="Strong"/>
          <w:rFonts w:eastAsiaTheme="majorEastAsia"/>
        </w:rPr>
        <w:t>Background:</w:t>
      </w:r>
      <w:r>
        <w:t xml:space="preserve"> Maternal morbidity and mortality in Bayelsa State are worsened by gaps in culturally congruent companionship, communication, and psychosocial support across pregnancy, </w:t>
      </w:r>
      <w:proofErr w:type="spellStart"/>
      <w:r>
        <w:t>labour</w:t>
      </w:r>
      <w:proofErr w:type="spellEnd"/>
      <w:r>
        <w:t xml:space="preserve">, and the postpartum period. Continuous, non-clinical support can improve women’s experiences and help mitigate the “three delays” in seeking, reaching, and receiving timely care. </w:t>
      </w:r>
    </w:p>
    <w:p w14:paraId="143C94BE" w14:textId="732303FA" w:rsidR="00F359E2" w:rsidRDefault="00F359E2" w:rsidP="00414549">
      <w:pPr>
        <w:pStyle w:val="NormalWeb"/>
        <w:jc w:val="both"/>
      </w:pPr>
      <w:r>
        <w:rPr>
          <w:rStyle w:val="Strong"/>
          <w:rFonts w:eastAsiaTheme="majorEastAsia"/>
        </w:rPr>
        <w:t>Objective</w:t>
      </w:r>
      <w:r w:rsidR="00414549">
        <w:rPr>
          <w:rStyle w:val="Strong"/>
          <w:rFonts w:eastAsiaTheme="majorEastAsia"/>
        </w:rPr>
        <w:t>:</w:t>
      </w:r>
      <w:r w:rsidR="00414549">
        <w:t xml:space="preserve"> To develop a conceptual framework to guide effective dissemination and implementation of doula support services in Bayelsa State, Nigeria. </w:t>
      </w:r>
    </w:p>
    <w:p w14:paraId="74C7228F" w14:textId="77777777" w:rsidR="00F359E2" w:rsidRDefault="00414549" w:rsidP="00414549">
      <w:pPr>
        <w:pStyle w:val="NormalWeb"/>
        <w:jc w:val="both"/>
      </w:pPr>
      <w:r>
        <w:rPr>
          <w:rStyle w:val="Strong"/>
          <w:rFonts w:eastAsiaTheme="majorEastAsia"/>
        </w:rPr>
        <w:t>Methods:</w:t>
      </w:r>
      <w:r>
        <w:t xml:space="preserve"> Phase Two </w:t>
      </w:r>
      <w:proofErr w:type="spellStart"/>
      <w:r>
        <w:t>synthesised</w:t>
      </w:r>
      <w:proofErr w:type="spellEnd"/>
      <w:r>
        <w:t xml:space="preserve"> Phase One qualitative and quantitative findings. Concepts were classified using </w:t>
      </w:r>
      <w:proofErr w:type="spellStart"/>
      <w:r>
        <w:t>Dickoff</w:t>
      </w:r>
      <w:proofErr w:type="spellEnd"/>
      <w:r>
        <w:t xml:space="preserve"> et al.’s survey-list elements (agent, recipient, context, dynamics, process, and terminus) and then structured and described using Chinn and Kramer’s theory-generative steps. </w:t>
      </w:r>
    </w:p>
    <w:p w14:paraId="22CCEF67" w14:textId="77777777" w:rsidR="00F359E2" w:rsidRDefault="00414549" w:rsidP="00414549">
      <w:pPr>
        <w:pStyle w:val="NormalWeb"/>
        <w:jc w:val="both"/>
      </w:pPr>
      <w:r>
        <w:rPr>
          <w:rStyle w:val="Strong"/>
          <w:rFonts w:eastAsiaTheme="majorEastAsia"/>
        </w:rPr>
        <w:t>Results:</w:t>
      </w:r>
      <w:r>
        <w:t xml:space="preserve"> Agents comprised the State Ministry of Health, facility leadership, nurses, midwives, obstetricians, doula trainers/mentors, media, civil society </w:t>
      </w:r>
      <w:proofErr w:type="spellStart"/>
      <w:r>
        <w:t>organisations</w:t>
      </w:r>
      <w:proofErr w:type="spellEnd"/>
      <w:r>
        <w:t xml:space="preserve">, and faith/women’s groups; recipients included pregnant/postpartum women, partners/families, and community influencers. The process specified sequential actions: policy development and adoption, professional endorsement, training and certification, facility integration, community dissemination, piloting with iterative scale-up, monitoring, and sustainability. Dynamics </w:t>
      </w:r>
      <w:proofErr w:type="spellStart"/>
      <w:r>
        <w:t>emphasised</w:t>
      </w:r>
      <w:proofErr w:type="spellEnd"/>
      <w:r>
        <w:t xml:space="preserve"> financing and logistics, government commitment, partnerships, communication, and cultural tailoring; intended outcomes were awareness, acceptability, adoption, fidelity, reduced delays, and improved maternal–neonatal indices. Long-term evaluation is essential. </w:t>
      </w:r>
    </w:p>
    <w:p w14:paraId="2D2438CE" w14:textId="678862A8" w:rsidR="00414549" w:rsidRDefault="00414549" w:rsidP="00414549">
      <w:pPr>
        <w:pStyle w:val="NormalWeb"/>
        <w:jc w:val="both"/>
      </w:pPr>
      <w:r>
        <w:rPr>
          <w:rStyle w:val="Strong"/>
          <w:rFonts w:eastAsiaTheme="majorEastAsia"/>
        </w:rPr>
        <w:t>Conclusion:</w:t>
      </w:r>
      <w:r>
        <w:t xml:space="preserve"> The framework offers a pragmatic pathway for </w:t>
      </w:r>
      <w:proofErr w:type="spellStart"/>
      <w:r>
        <w:t>institutionalising</w:t>
      </w:r>
      <w:proofErr w:type="spellEnd"/>
      <w:r>
        <w:t xml:space="preserve"> doula services through coordinated, stakeholder-driven action and feedback-based improvement. Midwives should lead role clarification, supervise doulas, integrate supportive-care documentation into routine maternity workflows, and drive monitoring and quality-improvement cycles to embed respectful, woman-</w:t>
      </w:r>
      <w:proofErr w:type="spellStart"/>
      <w:r>
        <w:t>centred</w:t>
      </w:r>
      <w:proofErr w:type="spellEnd"/>
      <w:r>
        <w:t xml:space="preserve"> care at scale.</w:t>
      </w:r>
    </w:p>
    <w:p w14:paraId="374B45EC" w14:textId="2974DED0" w:rsidR="00F359E2" w:rsidRDefault="00F359E2" w:rsidP="00F359E2">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 xml:space="preserve">Keywords: </w:t>
      </w:r>
      <w:r w:rsidRPr="00F359E2">
        <w:rPr>
          <w:rFonts w:ascii="Times New Roman" w:eastAsia="Calibri" w:hAnsi="Times New Roman" w:cs="Times New Roman"/>
        </w:rPr>
        <w:t>Conceptual framework; Dissemination; Implementation; Doula support service</w:t>
      </w:r>
      <w:r>
        <w:rPr>
          <w:rFonts w:ascii="Times New Roman" w:eastAsia="Calibri" w:hAnsi="Times New Roman" w:cs="Times New Roman"/>
        </w:rPr>
        <w:t>, Bayelsa state.</w:t>
      </w:r>
    </w:p>
    <w:p w14:paraId="1B597B63" w14:textId="77777777" w:rsidR="00F359E2" w:rsidRDefault="00F359E2" w:rsidP="00987D9E">
      <w:pPr>
        <w:spacing w:after="0" w:line="480" w:lineRule="auto"/>
        <w:jc w:val="both"/>
        <w:rPr>
          <w:rFonts w:ascii="Times New Roman" w:eastAsia="Calibri" w:hAnsi="Times New Roman" w:cs="Times New Roman"/>
          <w:b/>
          <w:bCs/>
        </w:rPr>
      </w:pPr>
    </w:p>
    <w:p w14:paraId="4BFA0C48" w14:textId="4EBD5127" w:rsidR="00414549" w:rsidRPr="00F359E2" w:rsidRDefault="00414549" w:rsidP="00F359E2">
      <w:pPr>
        <w:pStyle w:val="ListParagraph"/>
        <w:numPr>
          <w:ilvl w:val="0"/>
          <w:numId w:val="4"/>
        </w:numPr>
        <w:spacing w:after="0" w:line="480" w:lineRule="auto"/>
        <w:jc w:val="both"/>
        <w:rPr>
          <w:rFonts w:ascii="Times New Roman" w:eastAsia="Calibri" w:hAnsi="Times New Roman" w:cs="Times New Roman"/>
          <w:b/>
          <w:bCs/>
        </w:rPr>
      </w:pPr>
      <w:r w:rsidRPr="00F359E2">
        <w:rPr>
          <w:rFonts w:ascii="Times New Roman" w:eastAsia="Calibri" w:hAnsi="Times New Roman" w:cs="Times New Roman"/>
          <w:b/>
          <w:bCs/>
        </w:rPr>
        <w:t xml:space="preserve">Introduction </w:t>
      </w:r>
    </w:p>
    <w:p w14:paraId="792741C7" w14:textId="45E363E0" w:rsidR="00F359E2" w:rsidRPr="00F359E2" w:rsidRDefault="00F359E2" w:rsidP="00414549">
      <w:pPr>
        <w:spacing w:after="0" w:line="276" w:lineRule="auto"/>
        <w:jc w:val="both"/>
        <w:rPr>
          <w:rFonts w:ascii="Times New Roman" w:hAnsi="Times New Roman" w:cs="Times New Roman"/>
          <w:b/>
          <w:bCs/>
        </w:rPr>
      </w:pPr>
      <w:r>
        <w:rPr>
          <w:rFonts w:ascii="Times New Roman" w:hAnsi="Times New Roman" w:cs="Times New Roman"/>
          <w:b/>
          <w:bCs/>
        </w:rPr>
        <w:lastRenderedPageBreak/>
        <w:t xml:space="preserve">       1.1 </w:t>
      </w:r>
      <w:r w:rsidRPr="00F359E2">
        <w:rPr>
          <w:rFonts w:ascii="Times New Roman" w:hAnsi="Times New Roman" w:cs="Times New Roman"/>
          <w:b/>
          <w:bCs/>
        </w:rPr>
        <w:t>Background</w:t>
      </w:r>
    </w:p>
    <w:p w14:paraId="1814F95C" w14:textId="4AB76840" w:rsidR="00414549" w:rsidRPr="002A6BAF" w:rsidRDefault="00414549" w:rsidP="007F60C6">
      <w:pPr>
        <w:spacing w:after="0" w:line="360" w:lineRule="auto"/>
        <w:jc w:val="both"/>
        <w:rPr>
          <w:rFonts w:ascii="Times New Roman" w:hAnsi="Times New Roman" w:cs="Times New Roman"/>
        </w:rPr>
      </w:pPr>
      <w:r w:rsidRPr="002A6BAF">
        <w:rPr>
          <w:rFonts w:ascii="Times New Roman" w:hAnsi="Times New Roman" w:cs="Times New Roman"/>
        </w:rPr>
        <w:t>Maternal and infant health remain a pressing public health issue in Bayelsa State, Nigeria, where high rates of maternal and neonatal mortality are exacerbated by challenges in accessing quality healthcare during pregnancy, childbirth, and the postpartum period (World Health Organization [WHO], 2022). According to the Nigerian National Demographic and Health Survey, Bayelsa State had one of the highest maternal mortality rates in the country largely due to a combination of healthcare shortage, geographic barriers, and economic constraints that limit access to skilled birth attendants and adequate healthcare facilities (National Population Commission [NPC] 2019). These challenges underscore the critical need for innovative support services that can bridge gaps in maternal healthcare, particularly for women in underserved and remote communities. Therefore, this study is to develop a conceptual framework for the dissemination and implementation of doula support services, in other to reduce maternal and neonatal morbidity and mortality in Bayelsa State.</w:t>
      </w:r>
    </w:p>
    <w:p w14:paraId="0B85B878" w14:textId="5E1892D8" w:rsidR="005820C4" w:rsidRDefault="00414549" w:rsidP="007F60C6">
      <w:pPr>
        <w:spacing w:after="0" w:line="360" w:lineRule="auto"/>
        <w:jc w:val="both"/>
        <w:rPr>
          <w:rFonts w:ascii="Times New Roman" w:eastAsia="Calibri" w:hAnsi="Times New Roman" w:cs="Times New Roman"/>
        </w:rPr>
      </w:pPr>
      <w:r w:rsidRPr="00414549">
        <w:rPr>
          <w:rFonts w:ascii="Times New Roman" w:eastAsia="Calibri" w:hAnsi="Times New Roman" w:cs="Times New Roman"/>
        </w:rPr>
        <w:t>Maternal and infant mortality remain significant global public health challenges, disproportionately affecting low- and middle-income countries (LMICs)</w:t>
      </w:r>
      <w:r w:rsidR="00780F63">
        <w:rPr>
          <w:rFonts w:ascii="Times New Roman" w:eastAsia="Calibri" w:hAnsi="Times New Roman" w:cs="Times New Roman"/>
        </w:rPr>
        <w:t xml:space="preserve"> (</w:t>
      </w:r>
      <w:r w:rsidR="00780F63" w:rsidRPr="00780F63">
        <w:rPr>
          <w:rFonts w:ascii="Times New Roman" w:eastAsia="Calibri" w:hAnsi="Times New Roman" w:cs="Times New Roman"/>
        </w:rPr>
        <w:t>Souza</w:t>
      </w:r>
      <w:r w:rsidR="00780F63">
        <w:rPr>
          <w:rFonts w:ascii="Times New Roman" w:eastAsia="Calibri" w:hAnsi="Times New Roman" w:cs="Times New Roman"/>
        </w:rPr>
        <w:t xml:space="preserve"> et al., 2020; </w:t>
      </w:r>
      <w:proofErr w:type="spellStart"/>
      <w:r w:rsidR="00780F63" w:rsidRPr="00780F63">
        <w:rPr>
          <w:rFonts w:ascii="Times New Roman" w:eastAsia="Calibri" w:hAnsi="Times New Roman" w:cs="Times New Roman"/>
        </w:rPr>
        <w:t>Ekwuazi</w:t>
      </w:r>
      <w:proofErr w:type="spellEnd"/>
      <w:r w:rsidR="00780F63">
        <w:rPr>
          <w:rFonts w:ascii="Times New Roman" w:eastAsia="Calibri" w:hAnsi="Times New Roman" w:cs="Times New Roman"/>
        </w:rPr>
        <w:t xml:space="preserve"> et al., 2023)</w:t>
      </w:r>
      <w:r w:rsidRPr="00414549">
        <w:rPr>
          <w:rFonts w:ascii="Times New Roman" w:eastAsia="Calibri" w:hAnsi="Times New Roman" w:cs="Times New Roman"/>
        </w:rPr>
        <w:t>. According to the World Health Organization (WHO, 2023), approximately 287,000 women died from pregnancy-related complications in 2020, with most deaths occurring in sub-Saharan Africa and South Asia. Similarly, the global neonatal mortality rate (NMR) stood at 17 deaths per 1,000 live births, translating to approximately 2.3 million newborn deaths annually (UNICEF, 2023). These deaths, often preventable, result from factors such as inadequate healthcare infrastructure, lack of skilled birth attendants, poverty, and sociocultural barriers (Kassebaum et al., 2020). In all these, Africa bears the highest burden of maternal and infant mortality. The maternal mortality rate (MMR) in sub-Saharan Africa is 545 deaths per 100,000 live births, significantly above the global average of 223 deaths per 100,000 live births (WHO, 2023). Similarly, the neonatal mortality rate in sub-Saharan Africa is 27 deaths per 1,000 live births, nearly double the global average (UNICEF, 2023). The leading causes include obstetric hemorrhage, hypertensive disorders, infections, and unsafe abortions (Say et al., 2014). The lack of access to quality prenatal and postnatal care further exacerbates the problem.</w:t>
      </w:r>
      <w:r w:rsidR="005820C4">
        <w:rPr>
          <w:rFonts w:ascii="Times New Roman" w:eastAsia="Calibri" w:hAnsi="Times New Roman" w:cs="Times New Roman"/>
        </w:rPr>
        <w:t xml:space="preserve"> </w:t>
      </w:r>
    </w:p>
    <w:p w14:paraId="17F1DC80" w14:textId="40A87C30" w:rsidR="00414549" w:rsidRPr="00414549" w:rsidRDefault="00414549" w:rsidP="007F60C6">
      <w:pPr>
        <w:spacing w:after="0" w:line="360" w:lineRule="auto"/>
        <w:jc w:val="both"/>
        <w:rPr>
          <w:rFonts w:ascii="Times New Roman" w:eastAsia="Calibri" w:hAnsi="Times New Roman" w:cs="Times New Roman"/>
        </w:rPr>
      </w:pPr>
      <w:r w:rsidRPr="00414549">
        <w:rPr>
          <w:rFonts w:ascii="Times New Roman" w:eastAsia="Calibri" w:hAnsi="Times New Roman" w:cs="Times New Roman"/>
        </w:rPr>
        <w:t>Meanwhile, Nigeria contributes significantly to the global burden of maternal and infant mortality</w:t>
      </w:r>
      <w:r w:rsidR="00780F63">
        <w:rPr>
          <w:rFonts w:ascii="Times New Roman" w:eastAsia="Calibri" w:hAnsi="Times New Roman" w:cs="Times New Roman"/>
        </w:rPr>
        <w:t xml:space="preserve"> (</w:t>
      </w:r>
      <w:proofErr w:type="spellStart"/>
      <w:r w:rsidR="00780F63" w:rsidRPr="00780F63">
        <w:rPr>
          <w:rFonts w:ascii="Times New Roman" w:eastAsia="Calibri" w:hAnsi="Times New Roman" w:cs="Times New Roman"/>
        </w:rPr>
        <w:t>Shobiye</w:t>
      </w:r>
      <w:proofErr w:type="spellEnd"/>
      <w:r w:rsidR="00780F63">
        <w:rPr>
          <w:rFonts w:ascii="Times New Roman" w:eastAsia="Calibri" w:hAnsi="Times New Roman" w:cs="Times New Roman"/>
        </w:rPr>
        <w:t xml:space="preserve"> et al., 2022; </w:t>
      </w:r>
      <w:proofErr w:type="spellStart"/>
      <w:r w:rsidR="00780F63" w:rsidRPr="00780F63">
        <w:rPr>
          <w:rFonts w:ascii="Times New Roman" w:eastAsia="Calibri" w:hAnsi="Times New Roman" w:cs="Times New Roman"/>
        </w:rPr>
        <w:t>Adedini</w:t>
      </w:r>
      <w:proofErr w:type="spellEnd"/>
      <w:r w:rsidR="00780F63">
        <w:rPr>
          <w:rFonts w:ascii="Times New Roman" w:eastAsia="Calibri" w:hAnsi="Times New Roman" w:cs="Times New Roman"/>
        </w:rPr>
        <w:t xml:space="preserve"> et al., 2025)</w:t>
      </w:r>
      <w:r w:rsidRPr="00414549">
        <w:rPr>
          <w:rFonts w:ascii="Times New Roman" w:eastAsia="Calibri" w:hAnsi="Times New Roman" w:cs="Times New Roman"/>
        </w:rPr>
        <w:t xml:space="preserve">. The country accounts for nearly 20% of global maternal deaths, with an MMR of 512 per 100,000 live births (World Bank, 2023). Infant mortality remains a pressing issue, with neonatal mortality at 35 deaths per 1,000 live births (National Population </w:t>
      </w:r>
      <w:r w:rsidRPr="00414549">
        <w:rPr>
          <w:rFonts w:ascii="Times New Roman" w:eastAsia="Calibri" w:hAnsi="Times New Roman" w:cs="Times New Roman"/>
        </w:rPr>
        <w:lastRenderedPageBreak/>
        <w:t xml:space="preserve">Commission of Nigeria 2023). The primary drivers include poverty, inadequate healthcare services, limited access to skilled birth attendants, and high rates of adolescent pregnancies (Adewuyi </w:t>
      </w:r>
      <w:r w:rsidRPr="00414549">
        <w:rPr>
          <w:rFonts w:ascii="Times New Roman" w:eastAsia="Calibri" w:hAnsi="Times New Roman" w:cs="Times New Roman"/>
          <w:iCs/>
        </w:rPr>
        <w:t>et al.,</w:t>
      </w:r>
      <w:r w:rsidRPr="00414549">
        <w:rPr>
          <w:rFonts w:ascii="Times New Roman" w:eastAsia="Calibri" w:hAnsi="Times New Roman" w:cs="Times New Roman"/>
        </w:rPr>
        <w:t xml:space="preserve"> 2022).</w:t>
      </w:r>
    </w:p>
    <w:p w14:paraId="34A4DD30" w14:textId="3D16F34A" w:rsidR="00414549" w:rsidRPr="00414549" w:rsidRDefault="00414549" w:rsidP="007F60C6">
      <w:pPr>
        <w:spacing w:after="0" w:line="360" w:lineRule="auto"/>
        <w:jc w:val="both"/>
        <w:rPr>
          <w:rFonts w:ascii="Times New Roman" w:eastAsia="Calibri" w:hAnsi="Times New Roman" w:cs="Times New Roman"/>
        </w:rPr>
      </w:pPr>
      <w:r w:rsidRPr="00414549">
        <w:rPr>
          <w:rFonts w:ascii="Times New Roman" w:eastAsia="Calibri" w:hAnsi="Times New Roman" w:cs="Times New Roman"/>
        </w:rPr>
        <w:t>Bayelsa State, located in Nigeria’s Niger Delta region, has one of the highest maternal and infant mortality rates in the country. The region’s maternal mortality rate is estimated to be above 800 per 100,000 live births, significantly higher than the national average (Federal Ministry of Health, 2022). Infant mortality remains high due to factors such as poor healthcare infrastructure, geographical inaccessibility, lack of trained birth attendants, and socio-economic constraints (</w:t>
      </w:r>
      <w:proofErr w:type="spellStart"/>
      <w:r w:rsidRPr="00414549">
        <w:rPr>
          <w:rFonts w:ascii="Times New Roman" w:eastAsia="Calibri" w:hAnsi="Times New Roman" w:cs="Times New Roman"/>
        </w:rPr>
        <w:t>Akpata</w:t>
      </w:r>
      <w:proofErr w:type="spellEnd"/>
      <w:r w:rsidRPr="00414549">
        <w:rPr>
          <w:rFonts w:ascii="Times New Roman" w:eastAsia="Calibri" w:hAnsi="Times New Roman" w:cs="Times New Roman"/>
        </w:rPr>
        <w:t xml:space="preserve"> et al.</w:t>
      </w:r>
      <w:r w:rsidRPr="00414549">
        <w:rPr>
          <w:rFonts w:ascii="Times New Roman" w:eastAsia="Calibri" w:hAnsi="Times New Roman" w:cs="Times New Roman"/>
          <w:i/>
          <w:iCs/>
        </w:rPr>
        <w:t>,</w:t>
      </w:r>
      <w:r w:rsidRPr="00414549">
        <w:rPr>
          <w:rFonts w:ascii="Times New Roman" w:eastAsia="Calibri" w:hAnsi="Times New Roman" w:cs="Times New Roman"/>
        </w:rPr>
        <w:t xml:space="preserve"> 2021</w:t>
      </w:r>
      <w:r w:rsidR="00205764">
        <w:rPr>
          <w:rFonts w:ascii="Times New Roman" w:eastAsia="Calibri" w:hAnsi="Times New Roman" w:cs="Times New Roman"/>
        </w:rPr>
        <w:t xml:space="preserve">; </w:t>
      </w:r>
      <w:proofErr w:type="spellStart"/>
      <w:r w:rsidR="00205764" w:rsidRPr="00205764">
        <w:rPr>
          <w:rFonts w:ascii="Times New Roman" w:eastAsia="Calibri" w:hAnsi="Times New Roman" w:cs="Times New Roman"/>
        </w:rPr>
        <w:t>Ebinim</w:t>
      </w:r>
      <w:proofErr w:type="spellEnd"/>
      <w:r w:rsidR="00205764">
        <w:rPr>
          <w:rFonts w:ascii="Times New Roman" w:eastAsia="Calibri" w:hAnsi="Times New Roman" w:cs="Times New Roman"/>
        </w:rPr>
        <w:t xml:space="preserve"> et al., 2025</w:t>
      </w:r>
      <w:r w:rsidRPr="00414549">
        <w:rPr>
          <w:rFonts w:ascii="Times New Roman" w:eastAsia="Calibri" w:hAnsi="Times New Roman" w:cs="Times New Roman"/>
        </w:rPr>
        <w:t>). Additionally, cultural practices and a preference for traditional birth attendants (TBAs) over skilled medical professionals significantly contribute to the problem. A significant contributor to these high mortality rates is the acute shortage of skilled maternal health professionals, exacerbated by the persistent migration of healthcare workers, a phenomenon known as ‘brain drain’ (Oluwole et al., 2022). Midwives and nurses, essential for providing quality maternal care, are leaving Nigeria in search of better career prospects, leading to severe workforce shortages. This shortage is particularly detrimental to Bayelsa State, where healthcare facilities are limited, and maternal services are often overstretched.</w:t>
      </w:r>
    </w:p>
    <w:p w14:paraId="33C6473D" w14:textId="4E9065A5" w:rsidR="00414549" w:rsidRPr="00414549" w:rsidRDefault="00414549" w:rsidP="007F60C6">
      <w:pPr>
        <w:spacing w:after="0" w:line="360" w:lineRule="auto"/>
        <w:jc w:val="both"/>
        <w:rPr>
          <w:rFonts w:ascii="Times New Roman" w:eastAsia="Calibri" w:hAnsi="Times New Roman" w:cs="Times New Roman"/>
        </w:rPr>
      </w:pPr>
      <w:r w:rsidRPr="00414549">
        <w:rPr>
          <w:rFonts w:ascii="Times New Roman" w:eastAsia="Calibri" w:hAnsi="Times New Roman" w:cs="Times New Roman"/>
        </w:rPr>
        <w:t>The exodus of skilled birth attendants has created critical gaps in maternal healthcare services, leading to increased complications during pregnancy, childbirth and puerperium phase. The doula support model offers a practical, low-cost, and community-driven solution to complement the already overstretched existing maternal healthcare services. However, despite evidence demonstrating the effectiveness of non-medical support models such as doula services in improving maternal outcomes, Nigeria has yet to incorporate this approach into its healthcare framework (Bohren et al., 2017). Nevertheless, the non-availability of a structured conceptual framework for dissemination and implementation of doula support services in Nigeria in general and Bayelsa State in specific has hindered the adoption of this model, limiting its potential to address the critical maternal care gaps. The doula support model presents a low-cost, sustainable solution to complement the dwindling healthcare workforce by providing non-clinical, culturally sensitive support to expectant mothers, bridging critical gaps in maternal care (Ekpe et al., 2023</w:t>
      </w:r>
      <w:r w:rsidR="00205764">
        <w:rPr>
          <w:rFonts w:ascii="Times New Roman" w:eastAsia="Calibri" w:hAnsi="Times New Roman" w:cs="Times New Roman"/>
        </w:rPr>
        <w:t xml:space="preserve">; </w:t>
      </w:r>
      <w:r w:rsidR="00205764" w:rsidRPr="00205764">
        <w:rPr>
          <w:rFonts w:ascii="Times New Roman" w:eastAsia="Calibri" w:hAnsi="Times New Roman" w:cs="Times New Roman"/>
        </w:rPr>
        <w:t>Sobczak</w:t>
      </w:r>
      <w:r w:rsidR="00205764">
        <w:rPr>
          <w:rFonts w:ascii="Times New Roman" w:eastAsia="Calibri" w:hAnsi="Times New Roman" w:cs="Times New Roman"/>
        </w:rPr>
        <w:t xml:space="preserve"> et al., 2023</w:t>
      </w:r>
      <w:r w:rsidRPr="00414549">
        <w:rPr>
          <w:rFonts w:ascii="Times New Roman" w:eastAsia="Calibri" w:hAnsi="Times New Roman" w:cs="Times New Roman"/>
        </w:rPr>
        <w:t>).</w:t>
      </w:r>
    </w:p>
    <w:p w14:paraId="38E22AA5" w14:textId="77777777" w:rsidR="00414549" w:rsidRPr="00414549" w:rsidRDefault="00414549" w:rsidP="007F60C6">
      <w:pPr>
        <w:spacing w:after="0" w:line="360" w:lineRule="auto"/>
        <w:jc w:val="both"/>
        <w:rPr>
          <w:rFonts w:ascii="Times New Roman" w:eastAsia="Calibri" w:hAnsi="Times New Roman" w:cs="Times New Roman"/>
        </w:rPr>
      </w:pPr>
      <w:r w:rsidRPr="00414549">
        <w:rPr>
          <w:rFonts w:ascii="Times New Roman" w:eastAsia="Calibri" w:hAnsi="Times New Roman" w:cs="Times New Roman"/>
        </w:rPr>
        <w:t xml:space="preserve">Existing research underscores the effectiveness of doula support services in reducing maternal and neonatal complications. Studies by Hodnett et al. (2012) and Steel et al. (2015) confirm that </w:t>
      </w:r>
      <w:r w:rsidRPr="00414549">
        <w:rPr>
          <w:rFonts w:ascii="Times New Roman" w:eastAsia="Calibri" w:hAnsi="Times New Roman" w:cs="Times New Roman"/>
        </w:rPr>
        <w:lastRenderedPageBreak/>
        <w:t xml:space="preserve">continuous labor support provided by doulas improves birth outcomes, decreases medical interventions, and enhances maternal satisfaction. In low-resource settings, Gruber et al. (2013) asserted that doula-assisted births were associated with lower rates of preterm deliveries, higher Apgar scores, and improved neonatal health. Despite these proven benefits, Nigeria has yet to adopt this model of care and there is no structured framework for integrating doulas into maternal healthcare, leaving a critical gap that this study aims to address. Given these challenges, developing a well-defined conceptual framework is critical to facilitate the dissemination and implementation of doula support services in Bayelsa State. This study focuses on Bayelsa State, a region with one of the highest maternal and neonatal mortality rates in Nigeria. </w:t>
      </w:r>
    </w:p>
    <w:p w14:paraId="7B812A9D" w14:textId="77777777" w:rsidR="00C14A73" w:rsidRDefault="00414549" w:rsidP="007F60C6">
      <w:pPr>
        <w:spacing w:after="0" w:line="360" w:lineRule="auto"/>
        <w:jc w:val="both"/>
        <w:rPr>
          <w:rFonts w:ascii="Times New Roman" w:eastAsia="Calibri" w:hAnsi="Times New Roman" w:cs="Times New Roman"/>
        </w:rPr>
      </w:pPr>
      <w:r w:rsidRPr="00414549">
        <w:rPr>
          <w:rFonts w:ascii="Times New Roman" w:eastAsia="Calibri" w:hAnsi="Times New Roman" w:cs="Times New Roman"/>
        </w:rPr>
        <w:t>Developing a conceptual framework for doula support services in Bayelsa State followed by subsequent dissemination and implementation of the same, could have far-reaching benefits, including reducing maternal and neonatal mortality rates by ensuring continuous, personalized support for expectant mothers, easing the burden on midwives and nurses, allowing them to focus on clinical care while doulas provide emotional and informational support, enhancing maternal experiences by improving access to culturally appropriate care and reducing childbirth-related stress and anxiety, and creating a sustainable, community-based maternal care model that mitigates the negative effects of healthcare worker migration. Furthermore, the researcher has observed that in Nigeria and Bayelsa state, there is no empirical study on the dissemination and implementation of doula support service. This study, therefore, aims to develop a conceptual framework for the dissemination and implementation of doula service into the healthcare system, ultimately improving maternal and neonatal outcomes in Bayelsa State, Nigeria.</w:t>
      </w:r>
      <w:r w:rsidR="00C14A73" w:rsidRPr="00C14A73">
        <w:rPr>
          <w:rFonts w:ascii="Times New Roman" w:eastAsia="Calibri" w:hAnsi="Times New Roman" w:cs="Times New Roman"/>
        </w:rPr>
        <w:t xml:space="preserve"> </w:t>
      </w:r>
    </w:p>
    <w:p w14:paraId="2EB18DD3" w14:textId="0A0EF95D" w:rsidR="00C14A73" w:rsidRPr="00414549" w:rsidRDefault="00C14A73" w:rsidP="007F60C6">
      <w:pPr>
        <w:spacing w:after="0" w:line="360" w:lineRule="auto"/>
        <w:jc w:val="both"/>
        <w:rPr>
          <w:rFonts w:ascii="Times New Roman" w:eastAsia="Calibri" w:hAnsi="Times New Roman" w:cs="Times New Roman"/>
          <w:b/>
          <w:bCs/>
        </w:rPr>
      </w:pPr>
      <w:r>
        <w:rPr>
          <w:rFonts w:ascii="Times New Roman" w:eastAsia="Calibri" w:hAnsi="Times New Roman" w:cs="Times New Roman"/>
        </w:rPr>
        <w:t>T</w:t>
      </w:r>
      <w:r w:rsidRPr="00414549">
        <w:rPr>
          <w:rFonts w:ascii="Times New Roman" w:eastAsia="Calibri" w:hAnsi="Times New Roman" w:cs="Times New Roman"/>
        </w:rPr>
        <w:t>he main purpose of this study is to develop a context-appropriate conceptual framework for the effective dissemination and implementation of doula support services in Bayelsa State by identifying stakeholder-endorsed strategies, mapping perceived barriers, highlighting existing strengths, and translating these insights into a practical, scalable framework for rollout.</w:t>
      </w:r>
    </w:p>
    <w:p w14:paraId="04354B76" w14:textId="6C9AAE6B" w:rsidR="00414549" w:rsidRPr="00414549" w:rsidRDefault="00414549" w:rsidP="007F60C6">
      <w:pPr>
        <w:spacing w:after="0" w:line="360" w:lineRule="auto"/>
        <w:jc w:val="both"/>
        <w:rPr>
          <w:rFonts w:ascii="Times New Roman" w:eastAsia="Calibri" w:hAnsi="Times New Roman" w:cs="Times New Roman"/>
        </w:rPr>
      </w:pPr>
    </w:p>
    <w:p w14:paraId="2C820331" w14:textId="77777777" w:rsidR="00C14A73" w:rsidRDefault="00C14A73" w:rsidP="007F60C6">
      <w:pPr>
        <w:spacing w:after="0" w:line="360" w:lineRule="auto"/>
        <w:jc w:val="both"/>
        <w:rPr>
          <w:rFonts w:ascii="Times New Roman" w:eastAsia="Calibri" w:hAnsi="Times New Roman" w:cs="Times New Roman"/>
        </w:rPr>
      </w:pPr>
    </w:p>
    <w:p w14:paraId="7BF81D25" w14:textId="4025B8F3" w:rsidR="00C14A73" w:rsidRDefault="00F359E2" w:rsidP="007F60C6">
      <w:pPr>
        <w:spacing w:after="0" w:line="360" w:lineRule="auto"/>
        <w:jc w:val="both"/>
        <w:rPr>
          <w:rFonts w:ascii="Times New Roman" w:eastAsia="Calibri" w:hAnsi="Times New Roman" w:cs="Times New Roman"/>
          <w:b/>
          <w:bCs/>
        </w:rPr>
      </w:pPr>
      <w:r>
        <w:rPr>
          <w:rFonts w:ascii="Times New Roman" w:eastAsia="Calibri" w:hAnsi="Times New Roman" w:cs="Times New Roman"/>
          <w:b/>
          <w:bCs/>
        </w:rPr>
        <w:t xml:space="preserve">1.2 </w:t>
      </w:r>
      <w:r w:rsidR="00C14A73" w:rsidRPr="00C14A73">
        <w:rPr>
          <w:rFonts w:ascii="Times New Roman" w:eastAsia="Calibri" w:hAnsi="Times New Roman" w:cs="Times New Roman"/>
          <w:b/>
          <w:bCs/>
        </w:rPr>
        <w:t>Research Question</w:t>
      </w:r>
    </w:p>
    <w:p w14:paraId="3E2A5306" w14:textId="082F22A6" w:rsidR="00C14A73" w:rsidRPr="00C14A73" w:rsidRDefault="00C14A73" w:rsidP="007F60C6">
      <w:pPr>
        <w:spacing w:after="0" w:line="360" w:lineRule="auto"/>
        <w:jc w:val="both"/>
        <w:rPr>
          <w:rFonts w:ascii="Times New Roman" w:eastAsia="Calibri" w:hAnsi="Times New Roman" w:cs="Times New Roman"/>
        </w:rPr>
      </w:pPr>
      <w:r w:rsidRPr="00C14A73">
        <w:rPr>
          <w:rFonts w:ascii="Times New Roman" w:eastAsia="Calibri" w:hAnsi="Times New Roman" w:cs="Times New Roman"/>
        </w:rPr>
        <w:t xml:space="preserve">How should a conceptual framework for the effective dissemination and implementation of </w:t>
      </w:r>
      <w:bookmarkStart w:id="1" w:name="_Hlk181300708"/>
      <w:r w:rsidRPr="00C14A73">
        <w:rPr>
          <w:rFonts w:ascii="Times New Roman" w:eastAsia="Calibri" w:hAnsi="Times New Roman" w:cs="Times New Roman"/>
        </w:rPr>
        <w:t>doula</w:t>
      </w:r>
      <w:r>
        <w:rPr>
          <w:rFonts w:ascii="Times New Roman" w:eastAsia="Calibri" w:hAnsi="Times New Roman" w:cs="Times New Roman"/>
        </w:rPr>
        <w:t xml:space="preserve"> </w:t>
      </w:r>
      <w:r w:rsidRPr="00C14A73">
        <w:rPr>
          <w:rFonts w:ascii="Times New Roman" w:eastAsia="Calibri" w:hAnsi="Times New Roman" w:cs="Times New Roman"/>
        </w:rPr>
        <w:t>support service be developed in Bayelsa State</w:t>
      </w:r>
      <w:bookmarkEnd w:id="1"/>
      <w:r w:rsidRPr="00C14A73">
        <w:rPr>
          <w:rFonts w:ascii="Times New Roman" w:eastAsia="Calibri" w:hAnsi="Times New Roman" w:cs="Times New Roman"/>
        </w:rPr>
        <w:t>?</w:t>
      </w:r>
    </w:p>
    <w:p w14:paraId="29C87DF1" w14:textId="77777777" w:rsidR="00C14A73" w:rsidRDefault="00C14A73" w:rsidP="007F60C6">
      <w:pPr>
        <w:spacing w:after="0" w:line="360" w:lineRule="auto"/>
        <w:jc w:val="both"/>
        <w:rPr>
          <w:rFonts w:ascii="Times New Roman" w:eastAsia="Calibri" w:hAnsi="Times New Roman" w:cs="Times New Roman"/>
          <w:b/>
          <w:bCs/>
        </w:rPr>
      </w:pPr>
    </w:p>
    <w:p w14:paraId="62C6E939" w14:textId="2B188509" w:rsidR="004003B9" w:rsidRPr="00F359E2" w:rsidRDefault="00C14A73" w:rsidP="007F60C6">
      <w:pPr>
        <w:pStyle w:val="ListParagraph"/>
        <w:numPr>
          <w:ilvl w:val="0"/>
          <w:numId w:val="4"/>
        </w:numPr>
        <w:spacing w:after="0" w:line="360" w:lineRule="auto"/>
        <w:jc w:val="both"/>
        <w:rPr>
          <w:rFonts w:ascii="Times New Roman" w:eastAsia="Calibri" w:hAnsi="Times New Roman" w:cs="Times New Roman"/>
          <w:b/>
          <w:bCs/>
        </w:rPr>
      </w:pPr>
      <w:r w:rsidRPr="00F359E2">
        <w:rPr>
          <w:rFonts w:ascii="Times New Roman" w:eastAsia="Calibri" w:hAnsi="Times New Roman" w:cs="Times New Roman"/>
          <w:b/>
          <w:bCs/>
        </w:rPr>
        <w:lastRenderedPageBreak/>
        <w:t xml:space="preserve">Methodology </w:t>
      </w:r>
    </w:p>
    <w:p w14:paraId="4120BE61" w14:textId="38A8DE1A" w:rsidR="004003B9" w:rsidRDefault="00C14A73" w:rsidP="007F60C6">
      <w:pPr>
        <w:spacing w:after="0" w:line="360" w:lineRule="auto"/>
        <w:jc w:val="both"/>
        <w:rPr>
          <w:rFonts w:ascii="Times New Roman" w:hAnsi="Times New Roman" w:cs="Times New Roman"/>
        </w:rPr>
      </w:pPr>
      <w:r w:rsidRPr="00B25072">
        <w:rPr>
          <w:rFonts w:ascii="Times New Roman" w:hAnsi="Times New Roman" w:cs="Times New Roman"/>
        </w:rPr>
        <w:t xml:space="preserve">A qualitative </w:t>
      </w:r>
      <w:r w:rsidR="00C323F0">
        <w:rPr>
          <w:rFonts w:ascii="Times New Roman" w:hAnsi="Times New Roman" w:cs="Times New Roman"/>
        </w:rPr>
        <w:t xml:space="preserve">and quantitative </w:t>
      </w:r>
      <w:r w:rsidRPr="00B25072">
        <w:rPr>
          <w:rFonts w:ascii="Times New Roman" w:hAnsi="Times New Roman" w:cs="Times New Roman"/>
        </w:rPr>
        <w:t xml:space="preserve">approach to inquiry was adopted in this study consisting of four stages as follows: the empirical descriptive phase; classification of concepts; development of the framework; and reflections on the framework. </w:t>
      </w:r>
    </w:p>
    <w:p w14:paraId="2AF59D02" w14:textId="61292B1D" w:rsidR="00B25072" w:rsidRPr="004003B9" w:rsidRDefault="00C14A73" w:rsidP="007F60C6">
      <w:pPr>
        <w:spacing w:after="0" w:line="360" w:lineRule="auto"/>
        <w:jc w:val="both"/>
        <w:rPr>
          <w:rFonts w:ascii="Times New Roman" w:eastAsia="Calibri" w:hAnsi="Times New Roman" w:cs="Times New Roman"/>
          <w:b/>
          <w:bCs/>
        </w:rPr>
      </w:pPr>
      <w:r w:rsidRPr="00B25072">
        <w:rPr>
          <w:rFonts w:ascii="Times New Roman" w:hAnsi="Times New Roman" w:cs="Times New Roman"/>
        </w:rPr>
        <w:t xml:space="preserve">Phase 1: Empirical descriptive phase </w:t>
      </w:r>
      <w:r w:rsidR="00C323F0" w:rsidRPr="00C323F0">
        <w:rPr>
          <w:rFonts w:ascii="Times New Roman" w:eastAsia="Calibri" w:hAnsi="Times New Roman" w:cs="Times New Roman"/>
        </w:rPr>
        <w:t>This research utilized an exploratory sequential research design</w:t>
      </w:r>
      <w:r w:rsidR="00C323F0">
        <w:rPr>
          <w:rFonts w:ascii="Times New Roman" w:eastAsia="Calibri" w:hAnsi="Times New Roman" w:cs="Times New Roman"/>
        </w:rPr>
        <w:t>,</w:t>
      </w:r>
      <w:r w:rsidR="00C323F0" w:rsidRPr="00C323F0">
        <w:rPr>
          <w:rFonts w:ascii="Times New Roman" w:eastAsia="Calibri" w:hAnsi="Times New Roman" w:cs="Times New Roman"/>
        </w:rPr>
        <w:t xml:space="preserve"> with a sequential mixed method approach, where qualitative data was collected and analyzed first to explore a phenomenon, and then the findings was used to inform the subsequent collection and analysis of quantitative data. </w:t>
      </w:r>
      <w:r w:rsidR="0007344C">
        <w:rPr>
          <w:rFonts w:ascii="Times New Roman" w:eastAsia="Calibri" w:hAnsi="Times New Roman" w:cs="Times New Roman"/>
        </w:rPr>
        <w:t>This</w:t>
      </w:r>
      <w:r w:rsidRPr="00B25072">
        <w:rPr>
          <w:rFonts w:ascii="Times New Roman" w:hAnsi="Times New Roman" w:cs="Times New Roman"/>
        </w:rPr>
        <w:t xml:space="preserve"> research design was used to collect data from purposively sampled participants from the ministry of health, Niger Delta University teaching hospital</w:t>
      </w:r>
      <w:r w:rsidR="00B25072" w:rsidRPr="00B25072">
        <w:rPr>
          <w:rFonts w:ascii="Times New Roman" w:hAnsi="Times New Roman" w:cs="Times New Roman"/>
        </w:rPr>
        <w:t xml:space="preserve"> </w:t>
      </w:r>
      <w:proofErr w:type="spellStart"/>
      <w:r w:rsidR="00B25072" w:rsidRPr="00B25072">
        <w:rPr>
          <w:rFonts w:ascii="Times New Roman" w:hAnsi="Times New Roman" w:cs="Times New Roman"/>
        </w:rPr>
        <w:t>Okolobiri</w:t>
      </w:r>
      <w:proofErr w:type="spellEnd"/>
      <w:r w:rsidR="00B25072" w:rsidRPr="00B25072">
        <w:rPr>
          <w:rFonts w:ascii="Times New Roman" w:hAnsi="Times New Roman" w:cs="Times New Roman"/>
        </w:rPr>
        <w:t xml:space="preserve">, Federal medical </w:t>
      </w:r>
      <w:proofErr w:type="spellStart"/>
      <w:r w:rsidR="00B25072" w:rsidRPr="00B25072">
        <w:rPr>
          <w:rFonts w:ascii="Times New Roman" w:hAnsi="Times New Roman" w:cs="Times New Roman"/>
        </w:rPr>
        <w:t>centre</w:t>
      </w:r>
      <w:proofErr w:type="spellEnd"/>
      <w:r w:rsidR="00B25072" w:rsidRPr="00B25072">
        <w:rPr>
          <w:rFonts w:ascii="Times New Roman" w:hAnsi="Times New Roman" w:cs="Times New Roman"/>
        </w:rPr>
        <w:t xml:space="preserve"> Yenagoa and Bayelsa State Hospitals’ management board</w:t>
      </w:r>
      <w:r w:rsidRPr="00B25072">
        <w:rPr>
          <w:rFonts w:ascii="Times New Roman" w:hAnsi="Times New Roman" w:cs="Times New Roman"/>
        </w:rPr>
        <w:t>. Data saturation was achieved after interviewing</w:t>
      </w:r>
      <w:r w:rsidR="00B25072" w:rsidRPr="00B25072">
        <w:rPr>
          <w:rFonts w:ascii="Times New Roman" w:hAnsi="Times New Roman" w:cs="Times New Roman"/>
        </w:rPr>
        <w:t xml:space="preserve"> eight</w:t>
      </w:r>
      <w:r w:rsidRPr="00B25072">
        <w:rPr>
          <w:rFonts w:ascii="Times New Roman" w:hAnsi="Times New Roman" w:cs="Times New Roman"/>
        </w:rPr>
        <w:t xml:space="preserve"> </w:t>
      </w:r>
      <w:r w:rsidR="0007344C">
        <w:rPr>
          <w:rFonts w:ascii="Times New Roman" w:hAnsi="Times New Roman" w:cs="Times New Roman"/>
        </w:rPr>
        <w:t xml:space="preserve">(8) </w:t>
      </w:r>
      <w:r w:rsidRPr="00B25072">
        <w:rPr>
          <w:rFonts w:ascii="Times New Roman" w:hAnsi="Times New Roman" w:cs="Times New Roman"/>
        </w:rPr>
        <w:t>participants</w:t>
      </w:r>
      <w:r w:rsidR="0007344C">
        <w:rPr>
          <w:rFonts w:ascii="Times New Roman" w:hAnsi="Times New Roman" w:cs="Times New Roman"/>
        </w:rPr>
        <w:t>, while, one hundred and one (101) respondents provided response for the quantitative aspect of the study.</w:t>
      </w:r>
      <w:r w:rsidRPr="00B25072">
        <w:rPr>
          <w:rFonts w:ascii="Times New Roman" w:hAnsi="Times New Roman" w:cs="Times New Roman"/>
        </w:rPr>
        <w:t xml:space="preserve"> Four themes emerged from the empirical phase as follows: </w:t>
      </w:r>
      <w:r w:rsidR="00B25072" w:rsidRPr="00B25072">
        <w:rPr>
          <w:rFonts w:ascii="Times New Roman" w:eastAsia="Times New Roman" w:hAnsi="Times New Roman" w:cs="Times New Roman"/>
          <w:kern w:val="0"/>
          <w14:ligatures w14:val="none"/>
        </w:rPr>
        <w:t>understanding and perception of doula support services, dissemination channels and strategies, training, roles, and collaboration, and, implementation steps, policy, and readiness.</w:t>
      </w:r>
    </w:p>
    <w:p w14:paraId="7C25CF3A" w14:textId="04F1AAA4" w:rsidR="00414549" w:rsidRPr="00B25072" w:rsidRDefault="00C14A73" w:rsidP="007F60C6">
      <w:pPr>
        <w:spacing w:after="0" w:line="360" w:lineRule="auto"/>
        <w:jc w:val="both"/>
        <w:rPr>
          <w:rFonts w:ascii="Times New Roman" w:eastAsia="Calibri" w:hAnsi="Times New Roman" w:cs="Times New Roman"/>
        </w:rPr>
      </w:pPr>
      <w:r w:rsidRPr="00B25072">
        <w:rPr>
          <w:rFonts w:ascii="Times New Roman" w:hAnsi="Times New Roman" w:cs="Times New Roman"/>
        </w:rPr>
        <w:t>These findings formed the basis for the development of the framework.</w:t>
      </w:r>
    </w:p>
    <w:p w14:paraId="2B306B0D" w14:textId="77777777" w:rsidR="00414549" w:rsidRDefault="00414549" w:rsidP="00987D9E">
      <w:pPr>
        <w:spacing w:after="0" w:line="480" w:lineRule="auto"/>
        <w:jc w:val="both"/>
        <w:rPr>
          <w:rFonts w:ascii="Times New Roman" w:eastAsia="Calibri" w:hAnsi="Times New Roman" w:cs="Times New Roman"/>
        </w:rPr>
      </w:pPr>
    </w:p>
    <w:p w14:paraId="1D8013FD" w14:textId="3CAB1114" w:rsidR="00414549" w:rsidRPr="00F359E2" w:rsidRDefault="00371348" w:rsidP="00F359E2">
      <w:pPr>
        <w:pStyle w:val="ListParagraph"/>
        <w:numPr>
          <w:ilvl w:val="0"/>
          <w:numId w:val="4"/>
        </w:numPr>
        <w:spacing w:after="0" w:line="480" w:lineRule="auto"/>
        <w:jc w:val="both"/>
        <w:rPr>
          <w:rFonts w:ascii="Times New Roman" w:eastAsia="Calibri" w:hAnsi="Times New Roman" w:cs="Times New Roman"/>
          <w:b/>
          <w:bCs/>
        </w:rPr>
      </w:pPr>
      <w:r w:rsidRPr="00F359E2">
        <w:rPr>
          <w:rFonts w:ascii="Times New Roman" w:eastAsia="Calibri" w:hAnsi="Times New Roman" w:cs="Times New Roman"/>
          <w:b/>
          <w:bCs/>
        </w:rPr>
        <w:t>Results</w:t>
      </w:r>
      <w:r w:rsidR="00876B23">
        <w:rPr>
          <w:rFonts w:ascii="Times New Roman" w:eastAsia="Calibri" w:hAnsi="Times New Roman" w:cs="Times New Roman"/>
          <w:b/>
          <w:bCs/>
        </w:rPr>
        <w:t xml:space="preserve"> and </w:t>
      </w:r>
      <w:r w:rsidR="007D452E">
        <w:rPr>
          <w:rFonts w:ascii="Times New Roman" w:eastAsia="Calibri" w:hAnsi="Times New Roman" w:cs="Times New Roman"/>
          <w:b/>
          <w:bCs/>
        </w:rPr>
        <w:t>discussion</w:t>
      </w:r>
    </w:p>
    <w:p w14:paraId="22F81C88" w14:textId="69EA03FF" w:rsidR="00987D9E" w:rsidRPr="00987D9E" w:rsidRDefault="00987D9E" w:rsidP="00987D9E">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 xml:space="preserve">In Phase Two, the combined findings from Phase One (qualitative and quantitative analysis) were employed to develop a conceptual framework for effective dissemination and implementation of Doula support services in Bayelsa state. </w:t>
      </w:r>
    </w:p>
    <w:p w14:paraId="67373228" w14:textId="78DF8CA6" w:rsidR="00987D9E" w:rsidRPr="00987D9E" w:rsidRDefault="00987D9E" w:rsidP="00987D9E">
      <w:pPr>
        <w:spacing w:after="0" w:line="480" w:lineRule="auto"/>
        <w:jc w:val="both"/>
        <w:rPr>
          <w:rFonts w:ascii="Times New Roman" w:eastAsia="Calibri" w:hAnsi="Times New Roman" w:cs="Times New Roman"/>
          <w:b/>
          <w:bCs/>
        </w:rPr>
      </w:pPr>
      <w:r w:rsidRPr="00987D9E">
        <w:rPr>
          <w:rFonts w:ascii="Times New Roman" w:eastAsia="Calibri" w:hAnsi="Times New Roman" w:cs="Times New Roman"/>
          <w:b/>
          <w:bCs/>
        </w:rPr>
        <w:t xml:space="preserve">This consists of two main steps namely: </w:t>
      </w:r>
    </w:p>
    <w:p w14:paraId="4B8C1148" w14:textId="600F81FB" w:rsidR="00987D9E" w:rsidRPr="00F359E2" w:rsidRDefault="00F359E2" w:rsidP="00F359E2">
      <w:pPr>
        <w:spacing w:after="0" w:line="480" w:lineRule="auto"/>
        <w:jc w:val="both"/>
        <w:rPr>
          <w:rFonts w:ascii="Times New Roman" w:eastAsia="Calibri" w:hAnsi="Times New Roman" w:cs="Times New Roman"/>
          <w:b/>
          <w:bCs/>
        </w:rPr>
      </w:pPr>
      <w:r>
        <w:rPr>
          <w:rFonts w:ascii="Times New Roman" w:eastAsia="Calibri" w:hAnsi="Times New Roman" w:cs="Times New Roman"/>
          <w:b/>
          <w:bCs/>
        </w:rPr>
        <w:t>3.</w:t>
      </w:r>
      <w:proofErr w:type="gramStart"/>
      <w:r>
        <w:rPr>
          <w:rFonts w:ascii="Times New Roman" w:eastAsia="Calibri" w:hAnsi="Times New Roman" w:cs="Times New Roman"/>
          <w:b/>
          <w:bCs/>
        </w:rPr>
        <w:t>1.</w:t>
      </w:r>
      <w:r w:rsidR="00987D9E" w:rsidRPr="00F359E2">
        <w:rPr>
          <w:rFonts w:ascii="Times New Roman" w:eastAsia="Calibri" w:hAnsi="Times New Roman" w:cs="Times New Roman"/>
          <w:b/>
          <w:bCs/>
        </w:rPr>
        <w:t>Step</w:t>
      </w:r>
      <w:proofErr w:type="gramEnd"/>
      <w:r w:rsidR="00987D9E" w:rsidRPr="00F359E2">
        <w:rPr>
          <w:rFonts w:ascii="Times New Roman" w:eastAsia="Calibri" w:hAnsi="Times New Roman" w:cs="Times New Roman"/>
          <w:b/>
          <w:bCs/>
        </w:rPr>
        <w:t xml:space="preserve"> 1: Classification of Concepts:</w:t>
      </w:r>
      <w:r w:rsidR="00987D9E" w:rsidRPr="00F359E2">
        <w:rPr>
          <w:rFonts w:ascii="Times New Roman" w:eastAsia="Calibri" w:hAnsi="Times New Roman" w:cs="Times New Roman"/>
        </w:rPr>
        <w:t xml:space="preserve"> This step involves the classification of concepts for both quantitative and qualitative research findings to categorize essential concepts based on </w:t>
      </w:r>
      <w:proofErr w:type="spellStart"/>
      <w:r w:rsidR="00987D9E" w:rsidRPr="00F359E2">
        <w:rPr>
          <w:rFonts w:ascii="Times New Roman" w:eastAsia="Calibri" w:hAnsi="Times New Roman" w:cs="Times New Roman"/>
        </w:rPr>
        <w:t>Dickoff</w:t>
      </w:r>
      <w:proofErr w:type="spellEnd"/>
      <w:r w:rsidR="00987D9E" w:rsidRPr="00F359E2">
        <w:rPr>
          <w:rFonts w:ascii="Times New Roman" w:eastAsia="Calibri" w:hAnsi="Times New Roman" w:cs="Times New Roman"/>
        </w:rPr>
        <w:t xml:space="preserve"> et al.’s (1968) six-step element survey list.</w:t>
      </w:r>
    </w:p>
    <w:p w14:paraId="577FCE72" w14:textId="77777777" w:rsidR="00987D9E" w:rsidRPr="00987D9E" w:rsidRDefault="00987D9E" w:rsidP="00987D9E">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 xml:space="preserve">Classification of concepts. As outlined in Figure 1, the study’s core concepts were distilled from the empirical findings (quantitative and qualitative) were organized using the six “survey list” </w:t>
      </w:r>
      <w:r w:rsidRPr="00987D9E">
        <w:rPr>
          <w:rFonts w:ascii="Times New Roman" w:eastAsia="Calibri" w:hAnsi="Times New Roman" w:cs="Times New Roman"/>
        </w:rPr>
        <w:lastRenderedPageBreak/>
        <w:t xml:space="preserve">elements of </w:t>
      </w:r>
      <w:proofErr w:type="spellStart"/>
      <w:r w:rsidRPr="00987D9E">
        <w:rPr>
          <w:rFonts w:ascii="Times New Roman" w:eastAsia="Calibri" w:hAnsi="Times New Roman" w:cs="Times New Roman"/>
        </w:rPr>
        <w:t>Dickoff</w:t>
      </w:r>
      <w:proofErr w:type="spellEnd"/>
      <w:r w:rsidRPr="00987D9E">
        <w:rPr>
          <w:rFonts w:ascii="Times New Roman" w:eastAsia="Calibri" w:hAnsi="Times New Roman" w:cs="Times New Roman"/>
        </w:rPr>
        <w:t xml:space="preserve"> et al. (1968): agent, recipient, process, dynamics, context, and terminus. The agent refers to the individual(s) who drive activities and procedures to ensure the effective dissemination and implementation of Doula support services. Recipients are the primary beneficiaries those who will adopt the framework and be affected by its successful rollout. The context denotes the setting in which the framework’s activities occur. Dynamics represent the motivating forces that propel the work such as collaborative partnerships, communication, commitment, and institutional support. The process encompasses the steps that secure policy ratification and enable related actions (e.g., capacity building, stakeholder engagement, monitoring, and evaluation) required for dissemination and implementation. The terminus is the desired endpoint that is the effective dissemination and implementation doula support services in Bayelsa state, leading to improved maternal and neonatal indices. </w:t>
      </w:r>
      <w:proofErr w:type="spellStart"/>
      <w:r w:rsidRPr="00987D9E">
        <w:rPr>
          <w:rFonts w:ascii="Times New Roman" w:eastAsia="Calibri" w:hAnsi="Times New Roman" w:cs="Times New Roman"/>
        </w:rPr>
        <w:t>Dickoff</w:t>
      </w:r>
      <w:proofErr w:type="spellEnd"/>
      <w:r w:rsidRPr="00987D9E">
        <w:rPr>
          <w:rFonts w:ascii="Times New Roman" w:eastAsia="Calibri" w:hAnsi="Times New Roman" w:cs="Times New Roman"/>
        </w:rPr>
        <w:t xml:space="preserve"> et al.’s survey list recognized as the third ingredient of situation-producing theory was selected because it is widely recommended and well-suited for structuring critical activity components when generating nursing theory (</w:t>
      </w:r>
      <w:proofErr w:type="spellStart"/>
      <w:r w:rsidRPr="00987D9E">
        <w:rPr>
          <w:rFonts w:ascii="Times New Roman" w:eastAsia="Calibri" w:hAnsi="Times New Roman" w:cs="Times New Roman"/>
        </w:rPr>
        <w:t>Dickoff</w:t>
      </w:r>
      <w:proofErr w:type="spellEnd"/>
      <w:r w:rsidRPr="00987D9E">
        <w:rPr>
          <w:rFonts w:ascii="Times New Roman" w:eastAsia="Calibri" w:hAnsi="Times New Roman" w:cs="Times New Roman"/>
        </w:rPr>
        <w:t xml:space="preserve"> et al., 1968). Figure 1 depicts this classification.</w:t>
      </w:r>
    </w:p>
    <w:p w14:paraId="5D1FDCB4" w14:textId="77777777" w:rsidR="00987D9E" w:rsidRPr="00987D9E" w:rsidRDefault="00987D9E" w:rsidP="00987D9E">
      <w:pPr>
        <w:spacing w:after="0" w:line="480" w:lineRule="auto"/>
        <w:jc w:val="both"/>
        <w:rPr>
          <w:rFonts w:ascii="Times New Roman" w:eastAsia="Calibri" w:hAnsi="Times New Roman" w:cs="Times New Roman"/>
        </w:rPr>
      </w:pPr>
    </w:p>
    <w:p w14:paraId="2A62D7CF" w14:textId="77777777" w:rsidR="00987D9E" w:rsidRPr="00987D9E" w:rsidRDefault="00987D9E" w:rsidP="00987D9E">
      <w:pPr>
        <w:spacing w:after="0" w:line="480" w:lineRule="auto"/>
        <w:jc w:val="both"/>
        <w:rPr>
          <w:rFonts w:ascii="Times New Roman" w:eastAsia="Calibri" w:hAnsi="Times New Roman" w:cs="Times New Roman"/>
        </w:rPr>
      </w:pPr>
    </w:p>
    <w:p w14:paraId="2CFDE1B0" w14:textId="77777777" w:rsidR="00987D9E" w:rsidRPr="00987D9E" w:rsidRDefault="00987D9E" w:rsidP="00987D9E">
      <w:pPr>
        <w:spacing w:after="0" w:line="480" w:lineRule="auto"/>
        <w:jc w:val="both"/>
        <w:rPr>
          <w:rFonts w:ascii="Times New Roman" w:eastAsia="Calibri" w:hAnsi="Times New Roman" w:cs="Times New Roman"/>
        </w:rPr>
      </w:pPr>
    </w:p>
    <w:p w14:paraId="22C7ED56" w14:textId="77777777" w:rsidR="00987D9E" w:rsidRPr="00987D9E" w:rsidRDefault="00987D9E" w:rsidP="00987D9E">
      <w:pPr>
        <w:spacing w:after="0" w:line="480" w:lineRule="auto"/>
        <w:jc w:val="both"/>
        <w:rPr>
          <w:rFonts w:ascii="Times New Roman" w:eastAsia="Calibri" w:hAnsi="Times New Roman" w:cs="Times New Roman"/>
        </w:rPr>
      </w:pPr>
    </w:p>
    <w:p w14:paraId="6AE8D242" w14:textId="77777777" w:rsidR="00987D9E" w:rsidRPr="00987D9E" w:rsidRDefault="00987D9E" w:rsidP="00987D9E">
      <w:pPr>
        <w:spacing w:after="0" w:line="480" w:lineRule="auto"/>
        <w:jc w:val="both"/>
        <w:rPr>
          <w:rFonts w:ascii="Times New Roman" w:eastAsia="Calibri" w:hAnsi="Times New Roman" w:cs="Times New Roman"/>
        </w:rPr>
      </w:pPr>
    </w:p>
    <w:p w14:paraId="00D71BE7" w14:textId="77777777" w:rsidR="00987D9E" w:rsidRPr="00987D9E" w:rsidRDefault="00987D9E" w:rsidP="00987D9E">
      <w:pPr>
        <w:spacing w:after="0" w:line="480" w:lineRule="auto"/>
        <w:jc w:val="both"/>
        <w:rPr>
          <w:rFonts w:ascii="Times New Roman" w:eastAsia="Calibri" w:hAnsi="Times New Roman" w:cs="Times New Roman"/>
        </w:rPr>
      </w:pPr>
    </w:p>
    <w:p w14:paraId="57560C03" w14:textId="77777777" w:rsidR="00987D9E" w:rsidRPr="00987D9E" w:rsidRDefault="00987D9E" w:rsidP="00987D9E">
      <w:pPr>
        <w:spacing w:after="0" w:line="480" w:lineRule="auto"/>
        <w:jc w:val="both"/>
        <w:rPr>
          <w:rFonts w:ascii="Times New Roman" w:eastAsia="Calibri" w:hAnsi="Times New Roman" w:cs="Times New Roman"/>
        </w:rPr>
      </w:pPr>
    </w:p>
    <w:p w14:paraId="1B17B78B" w14:textId="77777777" w:rsidR="00987D9E" w:rsidRPr="00987D9E" w:rsidRDefault="00987D9E" w:rsidP="00987D9E">
      <w:pPr>
        <w:spacing w:after="0" w:line="480" w:lineRule="auto"/>
        <w:jc w:val="both"/>
        <w:rPr>
          <w:rFonts w:ascii="Times New Roman" w:eastAsia="Calibri" w:hAnsi="Times New Roman" w:cs="Times New Roman"/>
        </w:rPr>
      </w:pPr>
    </w:p>
    <w:p w14:paraId="77E91660" w14:textId="77777777" w:rsidR="00987D9E" w:rsidRPr="00987D9E" w:rsidRDefault="00987D9E" w:rsidP="00987D9E">
      <w:pPr>
        <w:spacing w:after="0" w:line="480" w:lineRule="auto"/>
        <w:jc w:val="both"/>
        <w:rPr>
          <w:rFonts w:ascii="Times New Roman" w:eastAsia="Calibri" w:hAnsi="Times New Roman" w:cs="Times New Roman"/>
        </w:rPr>
      </w:pPr>
    </w:p>
    <w:p w14:paraId="440C5AA2" w14:textId="77777777" w:rsidR="00987D9E" w:rsidRPr="00987D9E" w:rsidRDefault="00987D9E" w:rsidP="00987D9E">
      <w:pPr>
        <w:spacing w:after="0" w:line="480" w:lineRule="auto"/>
        <w:ind w:left="5040"/>
        <w:jc w:val="both"/>
        <w:rPr>
          <w:rFonts w:ascii="Times New Roman" w:eastAsia="Calibri" w:hAnsi="Times New Roman" w:cs="Times New Roman"/>
        </w:rPr>
      </w:pPr>
      <w:r w:rsidRPr="00987D9E">
        <w:rPr>
          <w:rFonts w:ascii="Times New Roman" w:eastAsia="Calibri" w:hAnsi="Times New Roman" w:cs="Times New Roman"/>
        </w:rPr>
        <w:lastRenderedPageBreak/>
        <w:t xml:space="preserve">                                                                                                 </w:t>
      </w:r>
    </w:p>
    <w:p w14:paraId="28FDD923" w14:textId="77777777" w:rsidR="00987D9E" w:rsidRPr="00987D9E" w:rsidRDefault="00987D9E" w:rsidP="00987D9E">
      <w:pPr>
        <w:spacing w:after="0" w:line="480" w:lineRule="auto"/>
        <w:jc w:val="both"/>
        <w:rPr>
          <w:rFonts w:ascii="Times New Roman" w:eastAsia="Calibri" w:hAnsi="Times New Roman" w:cs="Times New Roman"/>
        </w:rPr>
      </w:pPr>
    </w:p>
    <w:p w14:paraId="2D7FD6DA" w14:textId="77777777" w:rsidR="00987D9E" w:rsidRPr="00987D9E" w:rsidRDefault="00987D9E" w:rsidP="00987D9E">
      <w:pPr>
        <w:spacing w:after="0" w:line="480" w:lineRule="auto"/>
        <w:jc w:val="both"/>
        <w:rPr>
          <w:rFonts w:ascii="Times New Roman" w:eastAsia="Calibri" w:hAnsi="Times New Roman" w:cs="Times New Roman"/>
        </w:rPr>
      </w:pPr>
    </w:p>
    <w:p w14:paraId="5FD29488" w14:textId="74BCA2F8" w:rsidR="00CD3DCB" w:rsidRPr="00557FE7" w:rsidRDefault="00CD3DCB" w:rsidP="00DE7036">
      <w:pPr>
        <w:spacing w:after="0" w:line="240" w:lineRule="auto"/>
        <w:jc w:val="both"/>
        <w:rPr>
          <w:rFonts w:ascii="Times New Roman" w:eastAsia="Calibri" w:hAnsi="Times New Roman" w:cs="Times New Roman"/>
        </w:rPr>
      </w:pPr>
      <w:bookmarkStart w:id="2" w:name="_Hlk212721715"/>
      <w:r>
        <w:rPr>
          <w:noProof/>
        </w:rPr>
        <w:drawing>
          <wp:inline distT="0" distB="0" distL="0" distR="0" wp14:anchorId="3F1F7CCC" wp14:editId="370C68A2">
            <wp:extent cx="5930900" cy="6648450"/>
            <wp:effectExtent l="0" t="0" r="0" b="0"/>
            <wp:docPr id="20952656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0900" cy="6648450"/>
                    </a:xfrm>
                    <a:prstGeom prst="rect">
                      <a:avLst/>
                    </a:prstGeom>
                    <a:noFill/>
                    <a:ln>
                      <a:noFill/>
                    </a:ln>
                  </pic:spPr>
                </pic:pic>
              </a:graphicData>
            </a:graphic>
          </wp:inline>
        </w:drawing>
      </w:r>
      <w:r w:rsidR="00987D9E" w:rsidRPr="00987D9E">
        <w:rPr>
          <w:rFonts w:ascii="Times New Roman" w:eastAsia="Calibri" w:hAnsi="Times New Roman" w:cs="Times New Roman"/>
        </w:rPr>
        <w:t xml:space="preserve"> </w:t>
      </w:r>
      <w:bookmarkEnd w:id="2"/>
      <w:r w:rsidR="007F187A" w:rsidRPr="00557FE7">
        <w:rPr>
          <w:rFonts w:ascii="Times New Roman" w:eastAsia="Calibri" w:hAnsi="Times New Roman" w:cs="Times New Roman"/>
          <w:b/>
          <w:bCs/>
        </w:rPr>
        <w:t>FIG</w:t>
      </w:r>
      <w:r w:rsidRPr="00557FE7">
        <w:rPr>
          <w:rFonts w:ascii="Times New Roman" w:eastAsia="Calibri" w:hAnsi="Times New Roman" w:cs="Times New Roman"/>
          <w:b/>
          <w:bCs/>
        </w:rPr>
        <w:t xml:space="preserve">. </w:t>
      </w:r>
      <w:r w:rsidR="00557FE7" w:rsidRPr="00557FE7">
        <w:rPr>
          <w:rFonts w:ascii="Times New Roman" w:eastAsia="Calibri" w:hAnsi="Times New Roman" w:cs="Times New Roman"/>
          <w:b/>
          <w:bCs/>
        </w:rPr>
        <w:t>1:</w:t>
      </w:r>
      <w:r w:rsidR="00557FE7">
        <w:rPr>
          <w:rFonts w:ascii="Times New Roman" w:eastAsia="Calibri" w:hAnsi="Times New Roman" w:cs="Times New Roman"/>
        </w:rPr>
        <w:t xml:space="preserve"> </w:t>
      </w:r>
      <w:r w:rsidRPr="00557FE7">
        <w:rPr>
          <w:rFonts w:ascii="Times New Roman" w:eastAsia="Calibri" w:hAnsi="Times New Roman" w:cs="Times New Roman"/>
        </w:rPr>
        <w:t xml:space="preserve">Classification of the Concepts According to the Survey List by </w:t>
      </w:r>
      <w:proofErr w:type="spellStart"/>
      <w:r w:rsidRPr="00557FE7">
        <w:rPr>
          <w:rFonts w:ascii="Times New Roman" w:eastAsia="Calibri" w:hAnsi="Times New Roman" w:cs="Times New Roman"/>
        </w:rPr>
        <w:t>Dickoff</w:t>
      </w:r>
      <w:proofErr w:type="spellEnd"/>
      <w:r w:rsidRPr="00557FE7">
        <w:rPr>
          <w:rFonts w:ascii="Times New Roman" w:eastAsia="Calibri" w:hAnsi="Times New Roman" w:cs="Times New Roman"/>
        </w:rPr>
        <w:t xml:space="preserve"> et al. 1968</w:t>
      </w:r>
    </w:p>
    <w:p w14:paraId="0636F209" w14:textId="77777777" w:rsidR="00CD3DCB" w:rsidRDefault="00CD3DCB" w:rsidP="00DE7036">
      <w:pPr>
        <w:spacing w:after="0" w:line="240" w:lineRule="auto"/>
        <w:jc w:val="both"/>
        <w:rPr>
          <w:rFonts w:ascii="Times New Roman" w:eastAsia="Calibri" w:hAnsi="Times New Roman" w:cs="Times New Roman"/>
        </w:rPr>
      </w:pPr>
    </w:p>
    <w:p w14:paraId="6D6683A2" w14:textId="77777777" w:rsidR="006015FC" w:rsidRDefault="006015FC" w:rsidP="00DE7036">
      <w:pPr>
        <w:spacing w:after="0" w:line="240" w:lineRule="auto"/>
        <w:jc w:val="both"/>
        <w:rPr>
          <w:rFonts w:ascii="Times New Roman" w:eastAsia="Times New Roman" w:hAnsi="Times New Roman" w:cs="Times New Roman"/>
          <w:kern w:val="0"/>
          <w14:ligatures w14:val="none"/>
        </w:rPr>
      </w:pPr>
    </w:p>
    <w:p w14:paraId="5068FB7E" w14:textId="77777777" w:rsidR="006015FC" w:rsidRDefault="006015FC" w:rsidP="00DE7036">
      <w:pPr>
        <w:spacing w:after="0" w:line="240" w:lineRule="auto"/>
        <w:jc w:val="both"/>
        <w:rPr>
          <w:rFonts w:ascii="Times New Roman" w:eastAsia="Times New Roman" w:hAnsi="Times New Roman" w:cs="Times New Roman"/>
          <w:kern w:val="0"/>
          <w14:ligatures w14:val="none"/>
        </w:rPr>
      </w:pPr>
    </w:p>
    <w:p w14:paraId="139C810C" w14:textId="77777777" w:rsidR="006015FC" w:rsidRDefault="006015FC" w:rsidP="00DE7036">
      <w:pPr>
        <w:spacing w:after="0" w:line="240" w:lineRule="auto"/>
        <w:jc w:val="both"/>
        <w:rPr>
          <w:rFonts w:ascii="Times New Roman" w:eastAsia="Times New Roman" w:hAnsi="Times New Roman" w:cs="Times New Roman"/>
          <w:kern w:val="0"/>
          <w14:ligatures w14:val="none"/>
        </w:rPr>
      </w:pPr>
    </w:p>
    <w:p w14:paraId="47DC1EBB" w14:textId="77777777" w:rsidR="006015FC" w:rsidRDefault="006015FC" w:rsidP="00DE7036">
      <w:pPr>
        <w:spacing w:after="0" w:line="240" w:lineRule="auto"/>
        <w:jc w:val="both"/>
        <w:rPr>
          <w:rFonts w:ascii="Times New Roman" w:eastAsia="Times New Roman" w:hAnsi="Times New Roman" w:cs="Times New Roman"/>
          <w:kern w:val="0"/>
          <w14:ligatures w14:val="none"/>
        </w:rPr>
      </w:pPr>
    </w:p>
    <w:p w14:paraId="5ADA85CE" w14:textId="77777777" w:rsidR="006015FC" w:rsidRDefault="006015FC" w:rsidP="00DE7036">
      <w:pPr>
        <w:spacing w:after="0" w:line="240" w:lineRule="auto"/>
        <w:jc w:val="both"/>
        <w:rPr>
          <w:rFonts w:ascii="Times New Roman" w:eastAsia="Times New Roman" w:hAnsi="Times New Roman" w:cs="Times New Roman"/>
          <w:kern w:val="0"/>
          <w14:ligatures w14:val="none"/>
        </w:rPr>
      </w:pPr>
    </w:p>
    <w:p w14:paraId="600A1641" w14:textId="77777777" w:rsidR="006015FC" w:rsidRDefault="006015FC" w:rsidP="00DE7036">
      <w:pPr>
        <w:spacing w:after="0" w:line="240" w:lineRule="auto"/>
        <w:jc w:val="both"/>
        <w:rPr>
          <w:rFonts w:ascii="Times New Roman" w:eastAsia="Times New Roman" w:hAnsi="Times New Roman" w:cs="Times New Roman"/>
          <w:kern w:val="0"/>
          <w14:ligatures w14:val="none"/>
        </w:rPr>
      </w:pPr>
    </w:p>
    <w:p w14:paraId="1C623972" w14:textId="47099B86" w:rsidR="00987D9E" w:rsidRPr="00DE7036" w:rsidRDefault="00F359E2" w:rsidP="00DE7036">
      <w:pPr>
        <w:spacing w:after="0" w:line="240" w:lineRule="auto"/>
        <w:jc w:val="both"/>
        <w:rPr>
          <w:rFonts w:ascii="Times New Roman" w:eastAsia="Calibri" w:hAnsi="Times New Roman" w:cs="Times New Roman"/>
        </w:rPr>
      </w:pPr>
      <w:r>
        <w:rPr>
          <w:rFonts w:ascii="Times New Roman" w:eastAsia="Times New Roman" w:hAnsi="Times New Roman" w:cs="Times New Roman"/>
          <w:b/>
          <w:bCs/>
          <w:kern w:val="0"/>
          <w14:ligatures w14:val="none"/>
        </w:rPr>
        <w:t xml:space="preserve">3.2. </w:t>
      </w:r>
      <w:r w:rsidR="00987D9E" w:rsidRPr="006015FC">
        <w:rPr>
          <w:rFonts w:ascii="Times New Roman" w:eastAsia="Times New Roman" w:hAnsi="Times New Roman" w:cs="Times New Roman"/>
          <w:b/>
          <w:bCs/>
          <w:kern w:val="0"/>
          <w14:ligatures w14:val="none"/>
        </w:rPr>
        <w:t>Step 2:</w:t>
      </w:r>
      <w:r w:rsidR="00987D9E" w:rsidRPr="00DE7036">
        <w:rPr>
          <w:rFonts w:ascii="Times New Roman" w:eastAsia="Times New Roman" w:hAnsi="Times New Roman" w:cs="Times New Roman"/>
          <w:kern w:val="0"/>
          <w14:ligatures w14:val="none"/>
        </w:rPr>
        <w:t xml:space="preserve"> </w:t>
      </w:r>
      <w:r w:rsidR="00987D9E" w:rsidRPr="006015FC">
        <w:rPr>
          <w:rFonts w:ascii="Times New Roman" w:eastAsia="Times New Roman" w:hAnsi="Times New Roman" w:cs="Times New Roman"/>
          <w:b/>
          <w:bCs/>
          <w:kern w:val="0"/>
          <w14:ligatures w14:val="none"/>
        </w:rPr>
        <w:t>Development and Description of conceptual framework for effective dissemination and implementation of Doula Support Services in Bayelsa State</w:t>
      </w:r>
      <w:r w:rsidR="00DE7036" w:rsidRPr="006015FC">
        <w:rPr>
          <w:rFonts w:ascii="Times New Roman" w:eastAsia="Times New Roman" w:hAnsi="Times New Roman" w:cs="Times New Roman"/>
          <w:b/>
          <w:bCs/>
          <w:kern w:val="0"/>
          <w14:ligatures w14:val="none"/>
        </w:rPr>
        <w:t>.</w:t>
      </w:r>
    </w:p>
    <w:p w14:paraId="34472F6C" w14:textId="77777777" w:rsidR="006015FC" w:rsidRDefault="006015FC" w:rsidP="006015FC">
      <w:pPr>
        <w:spacing w:after="0" w:line="276" w:lineRule="auto"/>
        <w:jc w:val="both"/>
        <w:rPr>
          <w:rFonts w:ascii="Times New Roman" w:eastAsia="Calibri" w:hAnsi="Times New Roman" w:cs="Times New Roman"/>
        </w:rPr>
      </w:pPr>
    </w:p>
    <w:p w14:paraId="7F42927E" w14:textId="20FA1011" w:rsidR="00987D9E" w:rsidRPr="00987D9E" w:rsidRDefault="00987D9E" w:rsidP="006015FC">
      <w:pPr>
        <w:spacing w:after="0" w:line="276" w:lineRule="auto"/>
        <w:jc w:val="both"/>
        <w:rPr>
          <w:rFonts w:ascii="Times New Roman" w:eastAsia="Calibri" w:hAnsi="Times New Roman" w:cs="Times New Roman"/>
        </w:rPr>
      </w:pPr>
      <w:r w:rsidRPr="00987D9E">
        <w:rPr>
          <w:rFonts w:ascii="Times New Roman" w:eastAsia="Calibri" w:hAnsi="Times New Roman" w:cs="Times New Roman"/>
        </w:rPr>
        <w:t>In this second phase of the study, a description of the conceptual framework was given, followed</w:t>
      </w:r>
      <w:r w:rsidR="006015FC">
        <w:rPr>
          <w:rFonts w:ascii="Times New Roman" w:eastAsia="Calibri" w:hAnsi="Times New Roman" w:cs="Times New Roman"/>
        </w:rPr>
        <w:t xml:space="preserve"> </w:t>
      </w:r>
      <w:r w:rsidRPr="00987D9E">
        <w:rPr>
          <w:rFonts w:ascii="Times New Roman" w:eastAsia="Calibri" w:hAnsi="Times New Roman" w:cs="Times New Roman"/>
        </w:rPr>
        <w:t xml:space="preserve">by the approach that was adopted in developing the conceptual framework. </w:t>
      </w:r>
    </w:p>
    <w:p w14:paraId="37FAE1F0" w14:textId="20057A70" w:rsidR="00987D9E" w:rsidRPr="00987D9E" w:rsidRDefault="00987D9E" w:rsidP="00987D9E">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The researcher</w:t>
      </w:r>
      <w:r w:rsidR="00DE7036">
        <w:rPr>
          <w:rFonts w:ascii="Times New Roman" w:eastAsia="Calibri" w:hAnsi="Times New Roman" w:cs="Times New Roman"/>
        </w:rPr>
        <w:t>s</w:t>
      </w:r>
      <w:r w:rsidRPr="00987D9E">
        <w:rPr>
          <w:rFonts w:ascii="Times New Roman" w:eastAsia="Calibri" w:hAnsi="Times New Roman" w:cs="Times New Roman"/>
        </w:rPr>
        <w:t xml:space="preserve"> adapted the six-nursing theory-generative steps for the development and description of the conceptual framework (Chinn &amp; Kramer 2014). The first item in the theory-generative step is the structural development of the conceptual framework. The researcher demonstrated the structure with a clear diagram of the conceptual framework, which provided general information of the structure at a glance. The description offers over-all information of the interrelationships of concepts in the conceptual framework, covering the general structural overview. Other areas considered in this phase are the purpose and assumptions. Below is the structural development of the conceptual framework. </w:t>
      </w:r>
    </w:p>
    <w:p w14:paraId="2EBA78E6" w14:textId="77777777" w:rsidR="00987D9E" w:rsidRPr="00987D9E" w:rsidRDefault="00987D9E" w:rsidP="00987D9E">
      <w:pPr>
        <w:numPr>
          <w:ilvl w:val="0"/>
          <w:numId w:val="1"/>
        </w:numPr>
        <w:spacing w:after="0" w:line="480" w:lineRule="auto"/>
        <w:contextualSpacing/>
        <w:jc w:val="both"/>
        <w:rPr>
          <w:rFonts w:ascii="Times New Roman" w:eastAsia="Times New Roman" w:hAnsi="Times New Roman" w:cs="Times New Roman"/>
          <w:b/>
          <w:bCs/>
          <w:kern w:val="0"/>
          <w14:ligatures w14:val="none"/>
        </w:rPr>
      </w:pPr>
      <w:r w:rsidRPr="00987D9E">
        <w:rPr>
          <w:rFonts w:ascii="Times New Roman" w:eastAsia="Times New Roman" w:hAnsi="Times New Roman" w:cs="Times New Roman"/>
          <w:b/>
          <w:bCs/>
          <w:kern w:val="0"/>
          <w14:ligatures w14:val="none"/>
        </w:rPr>
        <w:t>Structural development of the conceptual framework.</w:t>
      </w:r>
    </w:p>
    <w:p w14:paraId="42BCD8AF" w14:textId="5D339C71" w:rsidR="00987D9E" w:rsidRPr="00987D9E" w:rsidRDefault="00987D9E" w:rsidP="00987D9E">
      <w:pPr>
        <w:spacing w:after="0" w:line="480" w:lineRule="auto"/>
        <w:contextualSpacing/>
        <w:jc w:val="both"/>
        <w:rPr>
          <w:rFonts w:ascii="Times New Roman" w:eastAsia="Calibri" w:hAnsi="Times New Roman" w:cs="Times New Roman"/>
        </w:rPr>
      </w:pPr>
      <w:r w:rsidRPr="00987D9E">
        <w:rPr>
          <w:rFonts w:ascii="Times New Roman" w:eastAsia="Calibri" w:hAnsi="Times New Roman" w:cs="Times New Roman"/>
        </w:rPr>
        <w:t>Structural development of a conceptual framework is a step-by-step act to support the effective dissemination and implementation of doula support services in Bayelsa state.</w:t>
      </w:r>
      <w:r w:rsidRPr="00987D9E">
        <w:rPr>
          <w:rFonts w:ascii="Times New Roman" w:eastAsia="Times New Roman" w:hAnsi="Times New Roman" w:cs="Times New Roman"/>
          <w:kern w:val="0"/>
          <w14:ligatures w14:val="none"/>
        </w:rPr>
        <w:t xml:space="preserve"> The structure of the framework involves the following.</w:t>
      </w:r>
      <w:r w:rsidRPr="00987D9E">
        <w:rPr>
          <w:rFonts w:ascii="Times New Roman" w:eastAsia="Calibri" w:hAnsi="Times New Roman" w:cs="Times New Roman"/>
        </w:rPr>
        <w:t xml:space="preserve"> Figure 2 provides a detailed conceptual framework for the effective dissemination and implementation of doula support services in Bayelsa state as described by Chinn and Kramer’s approach. The conceptual framework provide</w:t>
      </w:r>
      <w:r w:rsidR="00DE7036">
        <w:rPr>
          <w:rFonts w:ascii="Times New Roman" w:eastAsia="Calibri" w:hAnsi="Times New Roman" w:cs="Times New Roman"/>
        </w:rPr>
        <w:t>d</w:t>
      </w:r>
      <w:r w:rsidRPr="00987D9E">
        <w:rPr>
          <w:rFonts w:ascii="Times New Roman" w:eastAsia="Calibri" w:hAnsi="Times New Roman" w:cs="Times New Roman"/>
        </w:rPr>
        <w:t xml:space="preserve"> a description of the six survey elements that influenced the process. It involv</w:t>
      </w:r>
      <w:r w:rsidR="00DE7036">
        <w:rPr>
          <w:rFonts w:ascii="Times New Roman" w:eastAsia="Calibri" w:hAnsi="Times New Roman" w:cs="Times New Roman"/>
        </w:rPr>
        <w:t>ed</w:t>
      </w:r>
      <w:r w:rsidRPr="00987D9E">
        <w:rPr>
          <w:rFonts w:ascii="Times New Roman" w:eastAsia="Calibri" w:hAnsi="Times New Roman" w:cs="Times New Roman"/>
        </w:rPr>
        <w:t xml:space="preserve"> a cooperative course between all agents earlier mentioned. The process starts from the development and adoption of the policy on Doula support services, same endorsed by the different professionals in the maternity services. This will be closely followed by training and certification of would-be doulas, with healthcare facilities </w:t>
      </w:r>
      <w:r w:rsidRPr="00987D9E">
        <w:rPr>
          <w:rFonts w:ascii="Times New Roman" w:eastAsia="Calibri" w:hAnsi="Times New Roman" w:cs="Times New Roman"/>
        </w:rPr>
        <w:lastRenderedPageBreak/>
        <w:t xml:space="preserve">ready and fully mobilized for integration and community dissemination where well-crafted messages on doula support services tailored in the local languages (Ijaw, </w:t>
      </w:r>
      <w:proofErr w:type="spellStart"/>
      <w:r w:rsidRPr="00987D9E">
        <w:rPr>
          <w:rFonts w:ascii="Times New Roman" w:eastAsia="Calibri" w:hAnsi="Times New Roman" w:cs="Times New Roman"/>
        </w:rPr>
        <w:t>Epie</w:t>
      </w:r>
      <w:proofErr w:type="spellEnd"/>
      <w:r w:rsidRPr="00987D9E">
        <w:rPr>
          <w:rFonts w:ascii="Times New Roman" w:eastAsia="Calibri" w:hAnsi="Times New Roman" w:cs="Times New Roman"/>
        </w:rPr>
        <w:t xml:space="preserve">, </w:t>
      </w:r>
      <w:proofErr w:type="spellStart"/>
      <w:r w:rsidRPr="00987D9E">
        <w:rPr>
          <w:rFonts w:ascii="Times New Roman" w:eastAsia="Calibri" w:hAnsi="Times New Roman" w:cs="Times New Roman"/>
        </w:rPr>
        <w:t>Nembe</w:t>
      </w:r>
      <w:proofErr w:type="spellEnd"/>
      <w:r w:rsidRPr="00987D9E">
        <w:rPr>
          <w:rFonts w:ascii="Times New Roman" w:eastAsia="Calibri" w:hAnsi="Times New Roman" w:cs="Times New Roman"/>
        </w:rPr>
        <w:t xml:space="preserve"> and </w:t>
      </w:r>
      <w:proofErr w:type="spellStart"/>
      <w:r w:rsidRPr="00987D9E">
        <w:rPr>
          <w:rFonts w:ascii="Times New Roman" w:eastAsia="Calibri" w:hAnsi="Times New Roman" w:cs="Times New Roman"/>
        </w:rPr>
        <w:t>Ogbia</w:t>
      </w:r>
      <w:proofErr w:type="spellEnd"/>
      <w:r w:rsidRPr="00987D9E">
        <w:rPr>
          <w:rFonts w:ascii="Times New Roman" w:eastAsia="Calibri" w:hAnsi="Times New Roman" w:cs="Times New Roman"/>
        </w:rPr>
        <w:t xml:space="preserve">) including pidgin English are broadcasted to the people through the radio, television, social media, women/community groups. The agents (state ministry of health, facility leadership, nurses, midwives, doula trainers’ mentors, media, CSOs, faith/women groups) and the influence of recipients (pregnant/postpartum mothers, husbands/partners, families, community influencers), collaborate and engage each other in programs that would facilitate the dissemination and implementation of doula support services. Such programs include </w:t>
      </w:r>
      <w:r w:rsidRPr="00987D9E">
        <w:rPr>
          <w:rFonts w:ascii="Times New Roman" w:eastAsia="Times New Roman" w:hAnsi="Times New Roman" w:cs="Times New Roman"/>
          <w:bCs/>
        </w:rPr>
        <w:t>policy development and professional endorsement, training and certification, facility integration, community dissemination, piloting and iterative scale-up and monitoring, learning, and sustainability.</w:t>
      </w:r>
      <w:r w:rsidRPr="00987D9E">
        <w:rPr>
          <w:rFonts w:ascii="Times New Roman" w:eastAsia="Calibri" w:hAnsi="Times New Roman" w:cs="Times New Roman"/>
        </w:rPr>
        <w:t xml:space="preserve"> </w:t>
      </w:r>
    </w:p>
    <w:p w14:paraId="61D19634" w14:textId="77777777" w:rsidR="00987D9E" w:rsidRPr="00987D9E" w:rsidRDefault="00987D9E" w:rsidP="00987D9E">
      <w:pPr>
        <w:spacing w:after="0" w:line="480" w:lineRule="auto"/>
        <w:contextualSpacing/>
        <w:jc w:val="both"/>
        <w:rPr>
          <w:rFonts w:ascii="Times New Roman" w:eastAsia="Calibri" w:hAnsi="Times New Roman" w:cs="Times New Roman"/>
        </w:rPr>
      </w:pPr>
      <w:r w:rsidRPr="00987D9E">
        <w:rPr>
          <w:rFonts w:ascii="Times New Roman" w:eastAsia="Calibri" w:hAnsi="Times New Roman" w:cs="Times New Roman"/>
        </w:rPr>
        <w:t>In other words, dissemination and implementation of a doula support services will become possible when the policy has been enacted and ratified in collaboration with various agents that would engage recipients who would monitor and evaluate such policy. These measures would be effective when dynamics in the form of support (finance and logistics) services are provided by governmental and non-governmental agencies; CSOs and the healthcare providers (midwives) unanimously take the lead. Below is the conceptual framework.</w:t>
      </w:r>
    </w:p>
    <w:p w14:paraId="407C208F" w14:textId="77777777" w:rsidR="00987D9E" w:rsidRPr="00987D9E" w:rsidRDefault="00987D9E" w:rsidP="00987D9E">
      <w:pPr>
        <w:spacing w:after="0" w:line="480" w:lineRule="auto"/>
        <w:contextualSpacing/>
        <w:jc w:val="both"/>
        <w:rPr>
          <w:rFonts w:ascii="Times New Roman" w:eastAsia="Calibri" w:hAnsi="Times New Roman" w:cs="Times New Roman"/>
        </w:rPr>
      </w:pPr>
      <w:r w:rsidRPr="00987D9E">
        <w:rPr>
          <w:rFonts w:ascii="Times New Roman" w:eastAsia="Calibri" w:hAnsi="Times New Roman" w:cs="Times New Roman"/>
          <w:noProof/>
        </w:rPr>
        <w:lastRenderedPageBreak/>
        <w:drawing>
          <wp:inline distT="0" distB="0" distL="0" distR="0" wp14:anchorId="5CE062A9" wp14:editId="2735D0C0">
            <wp:extent cx="5213350" cy="4597400"/>
            <wp:effectExtent l="0" t="0" r="6350" b="0"/>
            <wp:docPr id="17209328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228"/>
                    <a:stretch/>
                  </pic:blipFill>
                  <pic:spPr bwMode="auto">
                    <a:xfrm>
                      <a:off x="0" y="0"/>
                      <a:ext cx="5213350" cy="4597400"/>
                    </a:xfrm>
                    <a:prstGeom prst="rect">
                      <a:avLst/>
                    </a:prstGeom>
                    <a:noFill/>
                    <a:ln>
                      <a:noFill/>
                    </a:ln>
                    <a:extLst>
                      <a:ext uri="{53640926-AAD7-44D8-BBD7-CCE9431645EC}">
                        <a14:shadowObscured xmlns:a14="http://schemas.microsoft.com/office/drawing/2010/main"/>
                      </a:ext>
                    </a:extLst>
                  </pic:spPr>
                </pic:pic>
              </a:graphicData>
            </a:graphic>
          </wp:inline>
        </w:drawing>
      </w:r>
    </w:p>
    <w:p w14:paraId="74F9D55A" w14:textId="218BD16B" w:rsidR="00987D9E" w:rsidRPr="00987D9E" w:rsidRDefault="00987D9E" w:rsidP="00987D9E">
      <w:pPr>
        <w:spacing w:after="0" w:line="480" w:lineRule="auto"/>
        <w:contextualSpacing/>
        <w:jc w:val="both"/>
        <w:rPr>
          <w:rFonts w:ascii="Times New Roman" w:eastAsia="Times New Roman" w:hAnsi="Times New Roman" w:cs="Times New Roman"/>
          <w:kern w:val="0"/>
          <w14:ligatures w14:val="none"/>
        </w:rPr>
      </w:pPr>
      <w:r w:rsidRPr="00987D9E">
        <w:rPr>
          <w:rFonts w:ascii="Times New Roman" w:eastAsia="Times New Roman" w:hAnsi="Times New Roman" w:cs="Times New Roman"/>
          <w:b/>
          <w:bCs/>
          <w:kern w:val="36"/>
        </w:rPr>
        <w:t xml:space="preserve">FIG 2: </w:t>
      </w:r>
      <w:r w:rsidRPr="00987D9E">
        <w:rPr>
          <w:rFonts w:ascii="Times New Roman" w:eastAsia="Calibri" w:hAnsi="Times New Roman" w:cs="Times New Roman"/>
        </w:rPr>
        <w:t>Conceptual Framework Diagram for the effective dissemination and implementation of Doula Support Service in Bayelsa state.</w:t>
      </w:r>
    </w:p>
    <w:p w14:paraId="2F7AE1DF" w14:textId="77777777" w:rsidR="00987D9E" w:rsidRPr="00987D9E" w:rsidRDefault="00987D9E" w:rsidP="00987D9E">
      <w:pPr>
        <w:numPr>
          <w:ilvl w:val="0"/>
          <w:numId w:val="1"/>
        </w:numPr>
        <w:spacing w:after="0" w:line="480" w:lineRule="auto"/>
        <w:contextualSpacing/>
        <w:jc w:val="both"/>
        <w:outlineLvl w:val="2"/>
        <w:rPr>
          <w:rFonts w:ascii="Times New Roman" w:eastAsia="Times New Roman" w:hAnsi="Times New Roman" w:cs="Times New Roman"/>
          <w:b/>
          <w:bCs/>
        </w:rPr>
      </w:pPr>
      <w:r w:rsidRPr="00987D9E">
        <w:rPr>
          <w:rFonts w:ascii="Times New Roman" w:eastAsia="Times New Roman" w:hAnsi="Times New Roman" w:cs="Times New Roman"/>
          <w:b/>
          <w:bCs/>
        </w:rPr>
        <w:t>Purpose and Relevance of the Framework</w:t>
      </w:r>
    </w:p>
    <w:p w14:paraId="1837EB60" w14:textId="77777777" w:rsidR="00987D9E" w:rsidRPr="00987D9E" w:rsidRDefault="00987D9E" w:rsidP="00987D9E">
      <w:pPr>
        <w:spacing w:after="0" w:line="480" w:lineRule="auto"/>
        <w:jc w:val="both"/>
        <w:rPr>
          <w:rFonts w:ascii="Times New Roman" w:eastAsia="Times New Roman" w:hAnsi="Times New Roman" w:cs="Times New Roman"/>
        </w:rPr>
      </w:pPr>
      <w:r w:rsidRPr="00987D9E">
        <w:rPr>
          <w:rFonts w:ascii="Times New Roman" w:eastAsia="Times New Roman" w:hAnsi="Times New Roman" w:cs="Times New Roman"/>
        </w:rPr>
        <w:t xml:space="preserve">The Doula dissemination and implementation framework provides a structured pathway for embedding doula support into health systems, especially in culturally diverse and resource-limited settings. The primary purpose of this framework is to professionalize and legitimize doula roles, enhance maternal experiences, and reduce the well-documented “three delays” that contribute to maternal morbidity and mortality. These include delays in deciding to seek care, reaching appropriate health facilities, and receiving timely interventions. By placing doulas within both health facilities and communities, the framework aims to bridge gaps in midwives/skilled birth </w:t>
      </w:r>
      <w:r w:rsidRPr="00987D9E">
        <w:rPr>
          <w:rFonts w:ascii="Times New Roman" w:eastAsia="Times New Roman" w:hAnsi="Times New Roman" w:cs="Times New Roman"/>
        </w:rPr>
        <w:lastRenderedPageBreak/>
        <w:t xml:space="preserve">attendants occasioned by brain drain, communication, cultural sensitivity, and emotional support, ultimately improving maternal health outcomes. Empirical evidence reinforces the importance of such an approach. </w:t>
      </w:r>
      <w:proofErr w:type="spellStart"/>
      <w:r w:rsidRPr="00987D9E">
        <w:rPr>
          <w:rFonts w:ascii="Times New Roman" w:eastAsia="Times New Roman" w:hAnsi="Times New Roman" w:cs="Times New Roman"/>
        </w:rPr>
        <w:t>Quiray</w:t>
      </w:r>
      <w:proofErr w:type="spellEnd"/>
      <w:r w:rsidRPr="00987D9E">
        <w:rPr>
          <w:rFonts w:ascii="Times New Roman" w:eastAsia="Times New Roman" w:hAnsi="Times New Roman" w:cs="Times New Roman"/>
        </w:rPr>
        <w:t xml:space="preserve"> et al. (2024) found that doula support reduces prenatal anxiety and improves maternal mental health, while Attanasio et al. (2021) documented increased satisfaction among women who had continuous support from doulas. </w:t>
      </w:r>
    </w:p>
    <w:p w14:paraId="344D80AA" w14:textId="77777777" w:rsidR="00987D9E" w:rsidRPr="00987D9E" w:rsidRDefault="00987D9E" w:rsidP="00987D9E">
      <w:pPr>
        <w:spacing w:after="0" w:line="480" w:lineRule="auto"/>
        <w:jc w:val="both"/>
        <w:rPr>
          <w:rFonts w:ascii="Times New Roman" w:eastAsia="Times New Roman" w:hAnsi="Times New Roman" w:cs="Times New Roman"/>
        </w:rPr>
      </w:pPr>
      <w:r w:rsidRPr="00987D9E">
        <w:rPr>
          <w:rFonts w:ascii="Times New Roman" w:eastAsia="Times New Roman" w:hAnsi="Times New Roman" w:cs="Times New Roman"/>
        </w:rPr>
        <w:t xml:space="preserve">However, these positive outcomes are often undermined by systemic challenges. Marshall et al. (2022) and Wall et al. (2024) revealed that many doula </w:t>
      </w:r>
      <w:proofErr w:type="spellStart"/>
      <w:r w:rsidRPr="00987D9E">
        <w:rPr>
          <w:rFonts w:ascii="Times New Roman" w:eastAsia="Times New Roman" w:hAnsi="Times New Roman" w:cs="Times New Roman"/>
        </w:rPr>
        <w:t>programmes</w:t>
      </w:r>
      <w:proofErr w:type="spellEnd"/>
      <w:r w:rsidRPr="00987D9E">
        <w:rPr>
          <w:rFonts w:ascii="Times New Roman" w:eastAsia="Times New Roman" w:hAnsi="Times New Roman" w:cs="Times New Roman"/>
        </w:rPr>
        <w:t xml:space="preserve"> lack sustainable financing, professional recognition, or structured pathways for scale-up, leaving them vulnerable to collapse. From a theoretical perspective, this framework aligns with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James, and </w:t>
      </w:r>
      <w:proofErr w:type="spellStart"/>
      <w:r w:rsidRPr="00987D9E">
        <w:rPr>
          <w:rFonts w:ascii="Times New Roman" w:eastAsia="Times New Roman" w:hAnsi="Times New Roman" w:cs="Times New Roman"/>
          <w:bCs/>
        </w:rPr>
        <w:t>Wiedenbach’s</w:t>
      </w:r>
      <w:proofErr w:type="spellEnd"/>
      <w:r w:rsidRPr="00987D9E">
        <w:rPr>
          <w:rFonts w:ascii="Times New Roman" w:eastAsia="Times New Roman" w:hAnsi="Times New Roman" w:cs="Times New Roman"/>
          <w:bCs/>
        </w:rPr>
        <w:t xml:space="preserve"> (1968)</w:t>
      </w:r>
      <w:r w:rsidRPr="00987D9E">
        <w:rPr>
          <w:rFonts w:ascii="Times New Roman" w:eastAsia="Times New Roman" w:hAnsi="Times New Roman" w:cs="Times New Roman"/>
        </w:rPr>
        <w:t xml:space="preserve"> view that practice-oriented theories must specify their purpose (terminus) clearly to direct action. In this case, the terminus is the effective dissemination and implementation of doula support services in Bayelsa state, improved maternal and neonatal outcomes, and experience, and systemic resilience. Likewise, </w:t>
      </w:r>
      <w:r w:rsidRPr="00987D9E">
        <w:rPr>
          <w:rFonts w:ascii="Times New Roman" w:eastAsia="Times New Roman" w:hAnsi="Times New Roman" w:cs="Times New Roman"/>
          <w:bCs/>
        </w:rPr>
        <w:t>Chinn and Kramer (2018)</w:t>
      </w:r>
      <w:r w:rsidRPr="00987D9E">
        <w:rPr>
          <w:rFonts w:ascii="Times New Roman" w:eastAsia="Times New Roman" w:hAnsi="Times New Roman" w:cs="Times New Roman"/>
        </w:rPr>
        <w:t xml:space="preserve"> argue that frameworks must meet evaluative criteria such as purpose and importance to justify their relevance. By responding to a critical gap in maternal health services in Bayelsa state, this framework demonstrates both.</w:t>
      </w:r>
    </w:p>
    <w:p w14:paraId="1C4DDBD7" w14:textId="77777777" w:rsidR="00987D9E" w:rsidRPr="00987D9E" w:rsidRDefault="00987D9E" w:rsidP="00987D9E">
      <w:pPr>
        <w:numPr>
          <w:ilvl w:val="0"/>
          <w:numId w:val="1"/>
        </w:numPr>
        <w:spacing w:after="0" w:line="480" w:lineRule="auto"/>
        <w:contextualSpacing/>
        <w:jc w:val="both"/>
        <w:outlineLvl w:val="2"/>
        <w:rPr>
          <w:rFonts w:ascii="Times New Roman" w:eastAsia="Times New Roman" w:hAnsi="Times New Roman" w:cs="Times New Roman"/>
          <w:b/>
          <w:bCs/>
        </w:rPr>
      </w:pPr>
      <w:r w:rsidRPr="00987D9E">
        <w:rPr>
          <w:rFonts w:ascii="Times New Roman" w:eastAsia="Times New Roman" w:hAnsi="Times New Roman" w:cs="Times New Roman"/>
          <w:b/>
          <w:bCs/>
        </w:rPr>
        <w:t>Assumptions of the Framework</w:t>
      </w:r>
    </w:p>
    <w:p w14:paraId="71F79806" w14:textId="63311CFE" w:rsidR="00987D9E" w:rsidRPr="00987D9E" w:rsidRDefault="00987D9E" w:rsidP="00987D9E">
      <w:pPr>
        <w:spacing w:after="0" w:line="480" w:lineRule="auto"/>
        <w:jc w:val="both"/>
        <w:rPr>
          <w:rFonts w:ascii="Times New Roman" w:eastAsia="Times New Roman" w:hAnsi="Times New Roman" w:cs="Times New Roman"/>
        </w:rPr>
      </w:pPr>
      <w:r w:rsidRPr="00987D9E">
        <w:rPr>
          <w:rFonts w:ascii="Times New Roman" w:eastAsia="Calibri" w:hAnsi="Times New Roman" w:cs="Times New Roman"/>
        </w:rPr>
        <w:t xml:space="preserve">This conceptual framework was developed from the themes derived from the empirical phase of the study. Among others, it was assumed that effective dissemination and implementation of doula support services require the development and adoption of a policy on the dissemination and implementation of doula support services, converting the policy to a legal document in the state to guide the practice of stakeholders and provide a framework for reference. </w:t>
      </w:r>
      <w:r w:rsidRPr="00987D9E">
        <w:rPr>
          <w:rFonts w:ascii="Times New Roman" w:eastAsia="Times New Roman" w:hAnsi="Times New Roman" w:cs="Times New Roman"/>
        </w:rPr>
        <w:t xml:space="preserve">The framework is built on following major assumptions. First, it assumes that policy and professional endorsement are essential for legitimizing doula practice. Without governmental approval or institutional </w:t>
      </w:r>
      <w:r w:rsidRPr="00987D9E">
        <w:rPr>
          <w:rFonts w:ascii="Times New Roman" w:eastAsia="Times New Roman" w:hAnsi="Times New Roman" w:cs="Times New Roman"/>
        </w:rPr>
        <w:lastRenderedPageBreak/>
        <w:t xml:space="preserve">frameworks, doulas may be sidelined as informal actors. This resonates with findings by </w:t>
      </w:r>
      <w:r w:rsidR="00EC51B8" w:rsidRPr="009F1905">
        <w:rPr>
          <w:rFonts w:ascii="Times New Roman" w:hAnsi="Times New Roman" w:cs="Times New Roman"/>
          <w:color w:val="1B1B1B"/>
          <w:shd w:val="clear" w:color="auto" w:fill="FFFFFF"/>
        </w:rPr>
        <w:t>Caci</w:t>
      </w:r>
      <w:r w:rsidRPr="00987D9E">
        <w:rPr>
          <w:rFonts w:ascii="Times New Roman" w:eastAsia="Times New Roman" w:hAnsi="Times New Roman" w:cs="Times New Roman"/>
        </w:rPr>
        <w:t xml:space="preserve"> et al. (202</w:t>
      </w:r>
      <w:r w:rsidR="00EC51B8">
        <w:rPr>
          <w:rFonts w:ascii="Times New Roman" w:eastAsia="Times New Roman" w:hAnsi="Times New Roman" w:cs="Times New Roman"/>
        </w:rPr>
        <w:t>5</w:t>
      </w:r>
      <w:r w:rsidRPr="00987D9E">
        <w:rPr>
          <w:rFonts w:ascii="Times New Roman" w:eastAsia="Times New Roman" w:hAnsi="Times New Roman" w:cs="Times New Roman"/>
        </w:rPr>
        <w:t>), who observed that organizational readiness and leadership buy-in were critical for successful adoption.</w:t>
      </w:r>
    </w:p>
    <w:p w14:paraId="429024FA" w14:textId="318BCFF7" w:rsidR="00987D9E" w:rsidRPr="00987D9E" w:rsidRDefault="00987D9E" w:rsidP="00987D9E">
      <w:pPr>
        <w:spacing w:after="0" w:line="480" w:lineRule="auto"/>
        <w:jc w:val="both"/>
        <w:rPr>
          <w:rFonts w:ascii="Times New Roman" w:eastAsia="Times New Roman" w:hAnsi="Times New Roman" w:cs="Times New Roman"/>
        </w:rPr>
      </w:pPr>
      <w:r w:rsidRPr="00987D9E">
        <w:rPr>
          <w:rFonts w:ascii="Times New Roman" w:eastAsia="Times New Roman" w:hAnsi="Times New Roman" w:cs="Times New Roman"/>
        </w:rPr>
        <w:t>Second, it assumes that successful integration depends on active participation from diverse stakeholders including government, midwives, clinicians, community leaders, and families</w:t>
      </w:r>
      <w:r w:rsidR="007C7CBC">
        <w:rPr>
          <w:rFonts w:ascii="Times New Roman" w:eastAsia="Times New Roman" w:hAnsi="Times New Roman" w:cs="Times New Roman"/>
        </w:rPr>
        <w:t xml:space="preserve"> as described by</w:t>
      </w:r>
      <w:r w:rsidRPr="00987D9E">
        <w:rPr>
          <w:rFonts w:ascii="Times New Roman" w:eastAsia="Times New Roman" w:hAnsi="Times New Roman" w:cs="Times New Roman"/>
        </w:rPr>
        <w:t xml:space="preserve"> </w:t>
      </w:r>
      <w:r w:rsidR="007C7CBC" w:rsidRPr="00F41D1F">
        <w:rPr>
          <w:rFonts w:ascii="Times New Roman" w:hAnsi="Times New Roman" w:cs="Times New Roman"/>
          <w:color w:val="1B1B1B"/>
          <w:shd w:val="clear" w:color="auto" w:fill="FFFFFF"/>
        </w:rPr>
        <w:t>Patil</w:t>
      </w:r>
      <w:r w:rsidRPr="00987D9E">
        <w:rPr>
          <w:rFonts w:ascii="Times New Roman" w:eastAsia="Times New Roman" w:hAnsi="Times New Roman" w:cs="Times New Roman"/>
        </w:rPr>
        <w:t xml:space="preserve"> et al. (2024)</w:t>
      </w:r>
      <w:r w:rsidR="007C7CBC">
        <w:rPr>
          <w:rFonts w:ascii="Times New Roman" w:eastAsia="Times New Roman" w:hAnsi="Times New Roman" w:cs="Times New Roman"/>
        </w:rPr>
        <w:t xml:space="preserve">. Thus, </w:t>
      </w:r>
      <w:r w:rsidRPr="00987D9E">
        <w:rPr>
          <w:rFonts w:ascii="Times New Roman" w:eastAsia="Times New Roman" w:hAnsi="Times New Roman" w:cs="Times New Roman"/>
        </w:rPr>
        <w:t>applying the Consolidated Framework for Implementation Research (CFIR)</w:t>
      </w:r>
      <w:r w:rsidR="00957E55">
        <w:rPr>
          <w:rFonts w:ascii="Times New Roman" w:eastAsia="Times New Roman" w:hAnsi="Times New Roman" w:cs="Times New Roman"/>
        </w:rPr>
        <w:t xml:space="preserve"> by</w:t>
      </w:r>
      <w:r w:rsidR="00957E55" w:rsidRPr="00957E55">
        <w:rPr>
          <w:rFonts w:ascii="Segoe UI" w:hAnsi="Segoe UI" w:cs="Segoe UI"/>
          <w:color w:val="212121"/>
          <w:shd w:val="clear" w:color="auto" w:fill="FFFFFF"/>
        </w:rPr>
        <w:t xml:space="preserve"> </w:t>
      </w:r>
      <w:r w:rsidR="00957E55" w:rsidRPr="00957E55">
        <w:rPr>
          <w:rFonts w:ascii="Times New Roman" w:hAnsi="Times New Roman" w:cs="Times New Roman"/>
          <w:color w:val="212121"/>
          <w:shd w:val="clear" w:color="auto" w:fill="FFFFFF"/>
        </w:rPr>
        <w:t>Damschroder,</w:t>
      </w:r>
      <w:r w:rsidR="00957E55">
        <w:rPr>
          <w:rFonts w:ascii="Segoe UI" w:hAnsi="Segoe UI" w:cs="Segoe UI"/>
          <w:color w:val="212121"/>
          <w:shd w:val="clear" w:color="auto" w:fill="FFFFFF"/>
        </w:rPr>
        <w:t xml:space="preserve"> </w:t>
      </w:r>
      <w:r w:rsidR="00957E55" w:rsidRPr="00646552">
        <w:rPr>
          <w:rFonts w:ascii="Times New Roman" w:hAnsi="Times New Roman" w:cs="Times New Roman"/>
          <w:color w:val="212121"/>
          <w:shd w:val="clear" w:color="auto" w:fill="FFFFFF"/>
        </w:rPr>
        <w:t>et al</w:t>
      </w:r>
      <w:r w:rsidR="00646552">
        <w:rPr>
          <w:rFonts w:ascii="Times New Roman" w:hAnsi="Times New Roman" w:cs="Times New Roman"/>
          <w:color w:val="212121"/>
          <w:shd w:val="clear" w:color="auto" w:fill="FFFFFF"/>
        </w:rPr>
        <w:t xml:space="preserve">., </w:t>
      </w:r>
      <w:r w:rsidR="00957E55" w:rsidRPr="00646552">
        <w:rPr>
          <w:rFonts w:ascii="Times New Roman" w:hAnsi="Times New Roman" w:cs="Times New Roman"/>
          <w:color w:val="212121"/>
          <w:shd w:val="clear" w:color="auto" w:fill="FFFFFF"/>
        </w:rPr>
        <w:t>(2009)</w:t>
      </w:r>
      <w:r w:rsidRPr="00646552">
        <w:rPr>
          <w:rFonts w:ascii="Times New Roman" w:eastAsia="Times New Roman" w:hAnsi="Times New Roman" w:cs="Times New Roman"/>
        </w:rPr>
        <w:t>,</w:t>
      </w:r>
      <w:r w:rsidRPr="00987D9E">
        <w:rPr>
          <w:rFonts w:ascii="Times New Roman" w:eastAsia="Times New Roman" w:hAnsi="Times New Roman" w:cs="Times New Roman"/>
        </w:rPr>
        <w:t xml:space="preserve"> concluded that stakeholder engagement was a non-negotiable requirement for program success.</w:t>
      </w:r>
    </w:p>
    <w:p w14:paraId="2EE75BF8" w14:textId="032CC9E2" w:rsidR="00987D9E" w:rsidRPr="00987D9E" w:rsidRDefault="00987D9E" w:rsidP="00987D9E">
      <w:pPr>
        <w:spacing w:after="0" w:line="480" w:lineRule="auto"/>
        <w:jc w:val="both"/>
        <w:rPr>
          <w:rFonts w:ascii="Times New Roman" w:eastAsia="Times New Roman" w:hAnsi="Times New Roman" w:cs="Times New Roman"/>
        </w:rPr>
      </w:pPr>
      <w:r w:rsidRPr="00987D9E">
        <w:rPr>
          <w:rFonts w:ascii="Times New Roman" w:eastAsia="Times New Roman" w:hAnsi="Times New Roman" w:cs="Times New Roman"/>
        </w:rPr>
        <w:t>Third, the framework assumes that doula care is a collective and social intervention requiring cultural tailoring. Khaw et al</w:t>
      </w:r>
      <w:r w:rsidRPr="00987D9E">
        <w:rPr>
          <w:rFonts w:ascii="Times New Roman" w:eastAsia="Times New Roman" w:hAnsi="Times New Roman" w:cs="Times New Roman"/>
          <w:i/>
          <w:iCs/>
        </w:rPr>
        <w:t>.</w:t>
      </w:r>
      <w:r w:rsidRPr="00987D9E">
        <w:rPr>
          <w:rFonts w:ascii="Times New Roman" w:eastAsia="Times New Roman" w:hAnsi="Times New Roman" w:cs="Times New Roman"/>
        </w:rPr>
        <w:t xml:space="preserve"> (2022) confirmed that cultural and linguistic congruence between doulas and mothers significantly improved acceptance and trust. These assumptions mirror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al.’s (1968)</w:t>
      </w:r>
      <w:r w:rsidRPr="00987D9E">
        <w:rPr>
          <w:rFonts w:ascii="Times New Roman" w:eastAsia="Times New Roman" w:hAnsi="Times New Roman" w:cs="Times New Roman"/>
        </w:rPr>
        <w:t xml:space="preserve"> guidance that every conceptual framework must articulate assumptions about </w:t>
      </w:r>
      <w:r w:rsidRPr="00987D9E">
        <w:rPr>
          <w:rFonts w:ascii="Times New Roman" w:eastAsia="Times New Roman" w:hAnsi="Times New Roman" w:cs="Times New Roman"/>
          <w:i/>
          <w:iCs/>
        </w:rPr>
        <w:t>agents</w:t>
      </w:r>
      <w:r w:rsidRPr="00987D9E">
        <w:rPr>
          <w:rFonts w:ascii="Times New Roman" w:eastAsia="Times New Roman" w:hAnsi="Times New Roman" w:cs="Times New Roman"/>
        </w:rPr>
        <w:t xml:space="preserve"> (those who act), </w:t>
      </w:r>
      <w:r w:rsidRPr="00987D9E">
        <w:rPr>
          <w:rFonts w:ascii="Times New Roman" w:eastAsia="Times New Roman" w:hAnsi="Times New Roman" w:cs="Times New Roman"/>
          <w:i/>
          <w:iCs/>
        </w:rPr>
        <w:t>recipients</w:t>
      </w:r>
      <w:r w:rsidRPr="00987D9E">
        <w:rPr>
          <w:rFonts w:ascii="Times New Roman" w:eastAsia="Times New Roman" w:hAnsi="Times New Roman" w:cs="Times New Roman"/>
        </w:rPr>
        <w:t xml:space="preserve"> (those who benefit), and the </w:t>
      </w:r>
      <w:r w:rsidRPr="00987D9E">
        <w:rPr>
          <w:rFonts w:ascii="Times New Roman" w:eastAsia="Times New Roman" w:hAnsi="Times New Roman" w:cs="Times New Roman"/>
          <w:i/>
          <w:iCs/>
        </w:rPr>
        <w:t>dynamics</w:t>
      </w:r>
      <w:r w:rsidRPr="00987D9E">
        <w:rPr>
          <w:rFonts w:ascii="Times New Roman" w:eastAsia="Times New Roman" w:hAnsi="Times New Roman" w:cs="Times New Roman"/>
        </w:rPr>
        <w:t xml:space="preserve"> that drive the process. However, empirical findings challenge the sufficiency of these assumptions. For example, </w:t>
      </w:r>
      <w:proofErr w:type="spellStart"/>
      <w:r w:rsidRPr="00987D9E">
        <w:rPr>
          <w:rFonts w:ascii="Times New Roman" w:eastAsia="Times New Roman" w:hAnsi="Times New Roman" w:cs="Times New Roman"/>
        </w:rPr>
        <w:t>Wójcik-Brylska</w:t>
      </w:r>
      <w:proofErr w:type="spellEnd"/>
      <w:r w:rsidRPr="00987D9E">
        <w:rPr>
          <w:rFonts w:ascii="Times New Roman" w:eastAsia="Times New Roman" w:hAnsi="Times New Roman" w:cs="Times New Roman"/>
        </w:rPr>
        <w:t xml:space="preserve"> et al. (2023) and Brüggemann et al. (2014) show that policy endorsement alone does not guarantee acceptance; some clinicians </w:t>
      </w:r>
      <w:r w:rsidR="003050AA">
        <w:rPr>
          <w:rFonts w:ascii="Times New Roman" w:eastAsia="Times New Roman" w:hAnsi="Times New Roman" w:cs="Times New Roman"/>
        </w:rPr>
        <w:t xml:space="preserve">may </w:t>
      </w:r>
      <w:r w:rsidRPr="00987D9E">
        <w:rPr>
          <w:rFonts w:ascii="Times New Roman" w:eastAsia="Times New Roman" w:hAnsi="Times New Roman" w:cs="Times New Roman"/>
        </w:rPr>
        <w:t xml:space="preserve">resist doula integration due to unclear role definitions or perceived competition. To address this, the assumptions of the framework should be complemented with explicit role clarification, professional incentives, and trust-building strategies. This reflects </w:t>
      </w:r>
      <w:r w:rsidRPr="00987D9E">
        <w:rPr>
          <w:rFonts w:ascii="Times New Roman" w:eastAsia="Times New Roman" w:hAnsi="Times New Roman" w:cs="Times New Roman"/>
          <w:bCs/>
        </w:rPr>
        <w:t>Chinn and Kramer’s (2018)</w:t>
      </w:r>
      <w:r w:rsidRPr="00987D9E">
        <w:rPr>
          <w:rFonts w:ascii="Times New Roman" w:eastAsia="Times New Roman" w:hAnsi="Times New Roman" w:cs="Times New Roman"/>
        </w:rPr>
        <w:t xml:space="preserve"> evaluative principle of </w:t>
      </w:r>
      <w:r w:rsidRPr="00987D9E">
        <w:rPr>
          <w:rFonts w:ascii="Times New Roman" w:eastAsia="Times New Roman" w:hAnsi="Times New Roman" w:cs="Times New Roman"/>
          <w:i/>
          <w:iCs/>
        </w:rPr>
        <w:t>clarity</w:t>
      </w:r>
      <w:r w:rsidRPr="00987D9E">
        <w:rPr>
          <w:rFonts w:ascii="Times New Roman" w:eastAsia="Times New Roman" w:hAnsi="Times New Roman" w:cs="Times New Roman"/>
        </w:rPr>
        <w:t xml:space="preserve">, which requires frameworks to explicitly address potential areas of conflict. </w:t>
      </w:r>
      <w:r w:rsidRPr="00987D9E">
        <w:rPr>
          <w:rFonts w:ascii="Times New Roman" w:eastAsia="Calibri" w:hAnsi="Times New Roman" w:cs="Times New Roman"/>
        </w:rPr>
        <w:t>Lastly, that dissemination and implementation are social, collective actions and interactive processes, hence one variable relies on the other, no aspect of the conceptual framework is dispensable or stands alone.</w:t>
      </w:r>
    </w:p>
    <w:p w14:paraId="7CC00811" w14:textId="77777777" w:rsidR="00987D9E" w:rsidRPr="00987D9E" w:rsidRDefault="00987D9E" w:rsidP="00987D9E">
      <w:pPr>
        <w:spacing w:after="0" w:line="480" w:lineRule="auto"/>
        <w:contextualSpacing/>
        <w:jc w:val="both"/>
        <w:rPr>
          <w:rFonts w:ascii="Times New Roman" w:eastAsia="Times New Roman" w:hAnsi="Times New Roman" w:cs="Times New Roman"/>
          <w:b/>
          <w:bCs/>
          <w:kern w:val="0"/>
          <w14:ligatures w14:val="none"/>
        </w:rPr>
      </w:pPr>
      <w:bookmarkStart w:id="3" w:name="_Hlk209968509"/>
      <w:r w:rsidRPr="00987D9E">
        <w:rPr>
          <w:rFonts w:ascii="Times New Roman" w:eastAsia="Calibri" w:hAnsi="Times New Roman" w:cs="Times New Roman"/>
          <w:b/>
          <w:bCs/>
        </w:rPr>
        <w:t>4. Concepts Identified from the empirical phase</w:t>
      </w:r>
    </w:p>
    <w:p w14:paraId="6E025F3F" w14:textId="77777777" w:rsidR="00987D9E" w:rsidRPr="00987D9E" w:rsidRDefault="00987D9E" w:rsidP="00987D9E">
      <w:pPr>
        <w:spacing w:after="0" w:line="480" w:lineRule="auto"/>
        <w:jc w:val="both"/>
        <w:outlineLvl w:val="3"/>
        <w:rPr>
          <w:rFonts w:ascii="Times New Roman" w:eastAsia="Times New Roman" w:hAnsi="Times New Roman" w:cs="Times New Roman"/>
        </w:rPr>
      </w:pPr>
      <w:r w:rsidRPr="00987D9E">
        <w:rPr>
          <w:rFonts w:ascii="Times New Roman" w:eastAsia="Times New Roman" w:hAnsi="Times New Roman" w:cs="Times New Roman"/>
          <w:b/>
        </w:rPr>
        <w:lastRenderedPageBreak/>
        <w:t>a. Agents:</w:t>
      </w:r>
      <w:r w:rsidRPr="00987D9E">
        <w:rPr>
          <w:rFonts w:ascii="Times New Roman" w:eastAsia="Times New Roman" w:hAnsi="Times New Roman" w:cs="Times New Roman"/>
          <w:bCs/>
        </w:rPr>
        <w:t xml:space="preserve"> </w:t>
      </w:r>
      <w:r w:rsidRPr="00987D9E">
        <w:rPr>
          <w:rFonts w:ascii="Times New Roman" w:eastAsia="Times New Roman" w:hAnsi="Times New Roman" w:cs="Times New Roman"/>
        </w:rPr>
        <w:t xml:space="preserve">Agents include health system actors (State Ministry of Health, facility leadership, nurses, midwives, and obstetricians), doula trainers and mentors, and broader advocacy groups such as media, CSOs, and faith/women groups. </w:t>
      </w:r>
    </w:p>
    <w:p w14:paraId="6C0CE374"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State Ministry of Health (SMOH): </w:t>
      </w:r>
      <w:r w:rsidRPr="00987D9E">
        <w:rPr>
          <w:rFonts w:ascii="Times New Roman" w:eastAsia="Times New Roman" w:hAnsi="Times New Roman" w:cs="Times New Roman"/>
          <w:kern w:val="0"/>
          <w14:ligatures w14:val="none"/>
        </w:rPr>
        <w:t>The State Ministry of Health provides the mandate, funding, and system linkages that make doula services legitimate and scalable in Bayelsa. By issuing a policy circular that defines doula scope, referral and escalation pathways, supervision, documentation, and data elements, the Ministry gives facilities a clear legal and operational basis to host doulas. It should approve a Bayelsa Doula Core Curriculum, maintain a certification registry, and embed a budget line for training, stipends, supervision, and monitoring under MNCH. The Ministry also integrates a few lean indicators into routine HMIS, convenes quarterly learning reviews across sites, and brokers partnerships with donors and CSR programs to diversify financing. In short, it turns a promising idea into a system program with resources, standards, and accountability.</w:t>
      </w:r>
    </w:p>
    <w:p w14:paraId="457EC4D0"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Facility Leadership: </w:t>
      </w:r>
      <w:r w:rsidRPr="00987D9E">
        <w:rPr>
          <w:rFonts w:ascii="Times New Roman" w:eastAsia="Times New Roman" w:hAnsi="Times New Roman" w:cs="Times New Roman"/>
          <w:kern w:val="0"/>
          <w14:ligatures w14:val="none"/>
        </w:rPr>
        <w:t>Hospital and PHC leadership translate policy into daily practice on the ward. They approve facility SOPs, designate a senior midwife as Doula Supervisor, create duty rosters and IDs, assign lockers/space, and add a doula note to the obstetric record so documentation is visible in audits and morning reviews. Leaders host grand rounds to brief staff, run short PDSA cycles to refine handover, consent flow, and night/weekend coverage, and ensure doulas are invited to handovers and morbidity-and-mortality learning when relevant. They also include doula costs in facility budgets and refresh training annually. With this leadership, doulas are not “visitors” but accountable team members embedded in workflow.</w:t>
      </w:r>
    </w:p>
    <w:p w14:paraId="2B513A27"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Nurses: </w:t>
      </w:r>
      <w:r w:rsidRPr="00987D9E">
        <w:rPr>
          <w:rFonts w:ascii="Times New Roman" w:eastAsia="Times New Roman" w:hAnsi="Times New Roman" w:cs="Times New Roman"/>
          <w:kern w:val="0"/>
          <w14:ligatures w14:val="none"/>
        </w:rPr>
        <w:t>Nurses operationalize the service by ensuring smooth handovers and reliable communication at the bedside. They orient doulas during admission, cue them at partograph-</w:t>
      </w:r>
      <w:r w:rsidRPr="00987D9E">
        <w:rPr>
          <w:rFonts w:ascii="Times New Roman" w:eastAsia="Times New Roman" w:hAnsi="Times New Roman" w:cs="Times New Roman"/>
          <w:kern w:val="0"/>
          <w14:ligatures w14:val="none"/>
        </w:rPr>
        <w:lastRenderedPageBreak/>
        <w:t>aligned touchpoints, and co-document supportive care delivered. Nurses watch for warning signs and escalate clinical issues promptly, while also giving feedback on what helps or hinders workflow. Their consistent use of referral prompt cards, escalation algorithms, and brief charting checklists drives fidelity to the model and reinforces respectful maternity care.</w:t>
      </w:r>
    </w:p>
    <w:p w14:paraId="6630B4CB"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Midwives: </w:t>
      </w:r>
      <w:r w:rsidRPr="00987D9E">
        <w:rPr>
          <w:rFonts w:ascii="Times New Roman" w:eastAsia="Times New Roman" w:hAnsi="Times New Roman" w:cs="Times New Roman"/>
          <w:kern w:val="0"/>
          <w14:ligatures w14:val="none"/>
        </w:rPr>
        <w:t>Midwives act as immediate supervisors and primary clinical counterparts to doulas. They define role boundaries, co-deliver skills practice on comfort measures, positioning, and psychosocial support, and specify red-flag criteria for escalation. In labor, they activate the doula early, coordinate during inductions and augmentations, and verify that documentation is complete. Midwives also mentor new doulas, participate in monthly peer review, and help interpret dashboard trends so that adjustments like strengthening night coverage or improving consent flow are made quickly.</w:t>
      </w:r>
    </w:p>
    <w:p w14:paraId="7594CCA6"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Obstetricians: </w:t>
      </w:r>
      <w:r w:rsidRPr="00987D9E">
        <w:rPr>
          <w:rFonts w:ascii="Times New Roman" w:eastAsia="Times New Roman" w:hAnsi="Times New Roman" w:cs="Times New Roman"/>
          <w:kern w:val="0"/>
          <w14:ligatures w14:val="none"/>
        </w:rPr>
        <w:t>Obstetricians provide clinical governance and visible endorsement that lowers resistance and clarifies safety. Departmental statements that define the non-clinical scope of doulas, alongside grand rounds that present evidence and boundaries, reassure teams and guide appropriate referrals. Consultants help align induction, theatre, and companionship policies where feasible, troubleshoot scope questions early, and include experience-of-care metrics and early breastfeeding outcomes in routine quality discussions. Their support anchors the program’s credibility and ensures it complements clinical decision-making.</w:t>
      </w:r>
    </w:p>
    <w:p w14:paraId="687BF4A3"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Media: </w:t>
      </w:r>
      <w:r w:rsidRPr="00987D9E">
        <w:rPr>
          <w:rFonts w:ascii="Times New Roman" w:eastAsia="Times New Roman" w:hAnsi="Times New Roman" w:cs="Times New Roman"/>
          <w:kern w:val="0"/>
          <w14:ligatures w14:val="none"/>
        </w:rPr>
        <w:t>Media partners state information units, community radio, and social pages build demand and normalize doulas as “trained birth companions who work with nurses and midwives.” Before launch, they help surface misconceptions and co-create simple messages in Pidgin/Izon. Around go-live, they run a short awareness burst featuring testimonials and clear directions to facilities that offer the service. Over time, they keep interest high with quarterly refreshers, Q&amp;A phone-</w:t>
      </w:r>
      <w:r w:rsidRPr="00987D9E">
        <w:rPr>
          <w:rFonts w:ascii="Times New Roman" w:eastAsia="Times New Roman" w:hAnsi="Times New Roman" w:cs="Times New Roman"/>
          <w:kern w:val="0"/>
          <w14:ligatures w14:val="none"/>
        </w:rPr>
        <w:lastRenderedPageBreak/>
        <w:t>ins, and human-interest stories. Effective media work raises ANC attendance, increases self-referrals, and strengthens social license for the program.</w:t>
      </w:r>
    </w:p>
    <w:p w14:paraId="766506A0"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Civil Society Organizations (CSOs) </w:t>
      </w:r>
      <w:r w:rsidRPr="00987D9E">
        <w:rPr>
          <w:rFonts w:ascii="Times New Roman" w:eastAsia="Times New Roman" w:hAnsi="Times New Roman" w:cs="Times New Roman"/>
          <w:kern w:val="0"/>
          <w14:ligatures w14:val="none"/>
        </w:rPr>
        <w:t>CSOs and NGOs mobilize communities, support training logistics, and strengthen accountability. They help recruit motivated community women, coordinate referrals from TBAs, distribute IEC materials, and set up light feedback channels (e.g., WhatsApp/SMS exit comments). CSOs can also conduct periodic spot checks, publish community scorecards, and advocate for sustained budget lines. Their independent voice and community reach improve equity of access, surface barriers quickly, and keep attention on respectful, woman-centered care.</w:t>
      </w:r>
    </w:p>
    <w:p w14:paraId="1CBC1A2B"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Faith and Women’s Groups: </w:t>
      </w:r>
      <w:r w:rsidRPr="00987D9E">
        <w:rPr>
          <w:rFonts w:ascii="Times New Roman" w:eastAsia="Times New Roman" w:hAnsi="Times New Roman" w:cs="Times New Roman"/>
          <w:kern w:val="0"/>
          <w14:ligatures w14:val="none"/>
        </w:rPr>
        <w:t>Faith fellowships, women’s associations, and respected community leaders provide the social permission and last-mile linkage that make doula services culturally resonant. They co-design messages that clarify doulas complement, not replace, clinical care; nominate trusted women for training; and encourage early ANC and facility delivery. By sharing referral slips, accompanying first-time mothers, and celebrating positive birth stories, these groups convert awareness into uptake. Their ongoing feedback to facilities and the Ministry helps the service remain responsive to local needs and beliefs, sustaining demand over time.</w:t>
      </w:r>
    </w:p>
    <w:p w14:paraId="7744A8C7" w14:textId="77777777" w:rsidR="00987D9E" w:rsidRPr="00987D9E" w:rsidRDefault="00987D9E" w:rsidP="00987D9E">
      <w:pPr>
        <w:spacing w:after="0" w:line="480" w:lineRule="auto"/>
        <w:jc w:val="both"/>
        <w:outlineLvl w:val="3"/>
        <w:rPr>
          <w:rFonts w:ascii="Times New Roman" w:eastAsia="Times New Roman" w:hAnsi="Times New Roman" w:cs="Times New Roman"/>
          <w:bCs/>
        </w:rPr>
      </w:pPr>
      <w:r w:rsidRPr="00987D9E">
        <w:rPr>
          <w:rFonts w:ascii="Times New Roman" w:eastAsia="Times New Roman" w:hAnsi="Times New Roman" w:cs="Times New Roman"/>
        </w:rPr>
        <w:t xml:space="preserve">This diversity mirrors empirical evidence showing that successful integration requires collective participation. For instance, Khaw et al. (2023) found that mutual respect and well-defined role boundaries fostered doula–clinician collaboration, while Marshall et al. (2022) showed that partnerships with faith-based organizations helped build community trust. Clearly identifying these agents also reflects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al.’s (1968)</w:t>
      </w:r>
      <w:r w:rsidRPr="00987D9E">
        <w:rPr>
          <w:rFonts w:ascii="Times New Roman" w:eastAsia="Times New Roman" w:hAnsi="Times New Roman" w:cs="Times New Roman"/>
        </w:rPr>
        <w:t xml:space="preserve"> requirement to answer “who performs the activity.”</w:t>
      </w:r>
    </w:p>
    <w:p w14:paraId="200BCD3C" w14:textId="77777777" w:rsidR="00987D9E" w:rsidRPr="00987D9E" w:rsidRDefault="00987D9E" w:rsidP="00987D9E">
      <w:pPr>
        <w:spacing w:after="0" w:line="480" w:lineRule="auto"/>
        <w:jc w:val="both"/>
        <w:outlineLvl w:val="3"/>
        <w:rPr>
          <w:rFonts w:ascii="Times New Roman" w:eastAsia="Times New Roman" w:hAnsi="Times New Roman" w:cs="Times New Roman"/>
          <w:bCs/>
        </w:rPr>
      </w:pPr>
      <w:r w:rsidRPr="00987D9E">
        <w:rPr>
          <w:rFonts w:ascii="Times New Roman" w:eastAsia="Times New Roman" w:hAnsi="Times New Roman" w:cs="Times New Roman"/>
          <w:b/>
        </w:rPr>
        <w:lastRenderedPageBreak/>
        <w:t>b. Recipients:</w:t>
      </w:r>
      <w:r w:rsidRPr="00987D9E">
        <w:rPr>
          <w:rFonts w:ascii="Times New Roman" w:eastAsia="Times New Roman" w:hAnsi="Times New Roman" w:cs="Times New Roman"/>
          <w:bCs/>
        </w:rPr>
        <w:t xml:space="preserve"> </w:t>
      </w:r>
      <w:r w:rsidRPr="00987D9E">
        <w:rPr>
          <w:rFonts w:ascii="Times New Roman" w:eastAsia="Times New Roman" w:hAnsi="Times New Roman" w:cs="Times New Roman"/>
        </w:rPr>
        <w:t xml:space="preserve">Recipients extend beyond mothers to include families, frontline providers, and community influencers. Attanasio et al. (2021) found that family involvement increased </w:t>
      </w:r>
      <w:proofErr w:type="spellStart"/>
      <w:r w:rsidRPr="00987D9E">
        <w:rPr>
          <w:rFonts w:ascii="Times New Roman" w:eastAsia="Times New Roman" w:hAnsi="Times New Roman" w:cs="Times New Roman"/>
        </w:rPr>
        <w:t>programme</w:t>
      </w:r>
      <w:proofErr w:type="spellEnd"/>
      <w:r w:rsidRPr="00987D9E">
        <w:rPr>
          <w:rFonts w:ascii="Times New Roman" w:eastAsia="Times New Roman" w:hAnsi="Times New Roman" w:cs="Times New Roman"/>
        </w:rPr>
        <w:t xml:space="preserve"> uptake, while Marshall et al. (2022) demonstrated that engaging husbands and local leaders reduced resistance. Explicitly naming recipients addresses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w:t>
      </w:r>
      <w:r w:rsidRPr="00987D9E">
        <w:rPr>
          <w:rFonts w:ascii="Times New Roman" w:eastAsia="Times New Roman" w:hAnsi="Times New Roman" w:cs="Times New Roman"/>
          <w:bCs/>
          <w:i/>
          <w:iCs/>
        </w:rPr>
        <w:t>’</w:t>
      </w:r>
      <w:r w:rsidRPr="00987D9E">
        <w:rPr>
          <w:rFonts w:ascii="Times New Roman" w:eastAsia="Times New Roman" w:hAnsi="Times New Roman" w:cs="Times New Roman"/>
          <w:bCs/>
        </w:rPr>
        <w:t>s (1968)</w:t>
      </w:r>
      <w:r w:rsidRPr="00987D9E">
        <w:rPr>
          <w:rFonts w:ascii="Times New Roman" w:eastAsia="Times New Roman" w:hAnsi="Times New Roman" w:cs="Times New Roman"/>
        </w:rPr>
        <w:t xml:space="preserve"> criterion of specifying “who receives the activity.”</w:t>
      </w:r>
    </w:p>
    <w:p w14:paraId="7FCD42D8" w14:textId="77777777" w:rsidR="00987D9E" w:rsidRPr="00987D9E" w:rsidRDefault="00987D9E" w:rsidP="00987D9E">
      <w:pPr>
        <w:spacing w:after="0" w:line="480" w:lineRule="auto"/>
        <w:jc w:val="both"/>
        <w:outlineLvl w:val="3"/>
        <w:rPr>
          <w:rFonts w:ascii="Times New Roman" w:eastAsia="Times New Roman" w:hAnsi="Times New Roman" w:cs="Times New Roman"/>
          <w:bCs/>
        </w:rPr>
      </w:pPr>
      <w:r w:rsidRPr="00987D9E">
        <w:rPr>
          <w:rFonts w:ascii="Times New Roman" w:eastAsia="Times New Roman" w:hAnsi="Times New Roman" w:cs="Times New Roman"/>
          <w:b/>
        </w:rPr>
        <w:t xml:space="preserve">c. Process (Procedure): </w:t>
      </w:r>
      <w:r w:rsidRPr="00987D9E">
        <w:rPr>
          <w:rFonts w:ascii="Times New Roman" w:eastAsia="Calibri" w:hAnsi="Times New Roman" w:cs="Times New Roman"/>
        </w:rPr>
        <w:t>The procedure used in this study provides a detailed description on how to conduct activities and safeguard the other five elements (</w:t>
      </w:r>
      <w:proofErr w:type="spellStart"/>
      <w:r w:rsidRPr="00987D9E">
        <w:rPr>
          <w:rFonts w:ascii="Times New Roman" w:eastAsia="Calibri" w:hAnsi="Times New Roman" w:cs="Times New Roman"/>
        </w:rPr>
        <w:t>Dickoff</w:t>
      </w:r>
      <w:proofErr w:type="spellEnd"/>
      <w:r w:rsidRPr="00987D9E">
        <w:rPr>
          <w:rFonts w:ascii="Times New Roman" w:eastAsia="Calibri" w:hAnsi="Times New Roman" w:cs="Times New Roman"/>
        </w:rPr>
        <w:t xml:space="preserve"> </w:t>
      </w:r>
      <w:r w:rsidRPr="00987D9E">
        <w:rPr>
          <w:rFonts w:ascii="Times New Roman" w:eastAsia="Calibri" w:hAnsi="Times New Roman" w:cs="Times New Roman"/>
          <w:iCs/>
        </w:rPr>
        <w:t>et al.</w:t>
      </w:r>
      <w:r w:rsidRPr="00987D9E">
        <w:rPr>
          <w:rFonts w:ascii="Times New Roman" w:eastAsia="Calibri" w:hAnsi="Times New Roman" w:cs="Times New Roman"/>
        </w:rPr>
        <w:t xml:space="preserve"> 1968). </w:t>
      </w:r>
      <w:r w:rsidRPr="00987D9E">
        <w:rPr>
          <w:rFonts w:ascii="Times New Roman" w:eastAsia="Times New Roman" w:hAnsi="Times New Roman" w:cs="Times New Roman"/>
        </w:rPr>
        <w:t>The framework describes seven sequential steps:</w:t>
      </w:r>
      <w:r w:rsidRPr="00987D9E">
        <w:rPr>
          <w:rFonts w:ascii="Times New Roman" w:eastAsia="Times New Roman" w:hAnsi="Times New Roman" w:cs="Times New Roman"/>
          <w:b/>
        </w:rPr>
        <w:t xml:space="preserve"> </w:t>
      </w:r>
      <w:r w:rsidRPr="00987D9E">
        <w:rPr>
          <w:rFonts w:ascii="Times New Roman" w:eastAsia="Times New Roman" w:hAnsi="Times New Roman" w:cs="Times New Roman"/>
          <w:bCs/>
        </w:rPr>
        <w:t xml:space="preserve">namely, </w:t>
      </w:r>
      <w:bookmarkStart w:id="4" w:name="_Hlk209974303"/>
      <w:r w:rsidRPr="00987D9E">
        <w:rPr>
          <w:rFonts w:ascii="Times New Roman" w:eastAsia="Times New Roman" w:hAnsi="Times New Roman" w:cs="Times New Roman"/>
          <w:bCs/>
        </w:rPr>
        <w:t>policy development and adoption, professional endorsement, training and certification, facility integration, community dissemination, piloting and iterative scale-up and monitoring, and sustainability.</w:t>
      </w:r>
      <w:bookmarkEnd w:id="4"/>
      <w:r w:rsidRPr="00987D9E">
        <w:rPr>
          <w:rFonts w:ascii="Times New Roman" w:eastAsia="Times New Roman" w:hAnsi="Times New Roman" w:cs="Times New Roman"/>
          <w:bCs/>
        </w:rPr>
        <w:t xml:space="preserve"> </w:t>
      </w:r>
    </w:p>
    <w:p w14:paraId="008A66B0"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Policy development and adoption: </w:t>
      </w:r>
      <w:r w:rsidRPr="00987D9E">
        <w:rPr>
          <w:rFonts w:ascii="Times New Roman" w:eastAsia="Times New Roman" w:hAnsi="Times New Roman" w:cs="Times New Roman"/>
          <w:kern w:val="0"/>
          <w14:ligatures w14:val="none"/>
        </w:rPr>
        <w:t xml:space="preserve">A clear state policy that defines who a doula is, the scope of non-clinical support, referral and escalation pathways, supervision, documentation, and minimum training standards gives the program legitimacy and a home inside the health system. In Bayelsa, a signed circular from the Ministry of Health and the Hospitals Management Board empowers FMC </w:t>
      </w:r>
      <w:proofErr w:type="spellStart"/>
      <w:r w:rsidRPr="00987D9E">
        <w:rPr>
          <w:rFonts w:ascii="Times New Roman" w:eastAsia="Times New Roman" w:hAnsi="Times New Roman" w:cs="Times New Roman"/>
          <w:kern w:val="0"/>
          <w14:ligatures w14:val="none"/>
        </w:rPr>
        <w:t>Yenagoa</w:t>
      </w:r>
      <w:proofErr w:type="spellEnd"/>
      <w:r w:rsidRPr="00987D9E">
        <w:rPr>
          <w:rFonts w:ascii="Times New Roman" w:eastAsia="Times New Roman" w:hAnsi="Times New Roman" w:cs="Times New Roman"/>
          <w:kern w:val="0"/>
          <w14:ligatures w14:val="none"/>
        </w:rPr>
        <w:t xml:space="preserve">, NDUTH </w:t>
      </w:r>
      <w:proofErr w:type="spellStart"/>
      <w:r w:rsidRPr="00987D9E">
        <w:rPr>
          <w:rFonts w:ascii="Times New Roman" w:eastAsia="Times New Roman" w:hAnsi="Times New Roman" w:cs="Times New Roman"/>
          <w:kern w:val="0"/>
          <w14:ligatures w14:val="none"/>
        </w:rPr>
        <w:t>Okolobiri</w:t>
      </w:r>
      <w:proofErr w:type="spellEnd"/>
      <w:r w:rsidRPr="00987D9E">
        <w:rPr>
          <w:rFonts w:ascii="Times New Roman" w:eastAsia="Times New Roman" w:hAnsi="Times New Roman" w:cs="Times New Roman"/>
          <w:kern w:val="0"/>
          <w14:ligatures w14:val="none"/>
        </w:rPr>
        <w:t>, and high-volume PHCs to host and schedule doulas, include them in ward routines, and budget for training and stipends. Policy also clarifies medicolegal boundaries doulas support, midwives/OBs treat reducing institutional hesitation and enabling procurement, data reporting, and quality assurance from day one.</w:t>
      </w:r>
    </w:p>
    <w:p w14:paraId="5892181F"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Professional endorsement: </w:t>
      </w:r>
      <w:r w:rsidRPr="00987D9E">
        <w:rPr>
          <w:rFonts w:ascii="Times New Roman" w:eastAsia="Times New Roman" w:hAnsi="Times New Roman" w:cs="Times New Roman"/>
          <w:kern w:val="0"/>
          <w14:ligatures w14:val="none"/>
        </w:rPr>
        <w:t xml:space="preserve">Formal statements from professional bodies (e.g., NANNM chapters, ARD, MDCAN Bayelsa, hospital ethics committees) translate evidence into clinical trust. Endorsements communicated via grand rounds and clinical memos will normalize doulas as part of respectful maternity care, set expectations for collaboration, and reduce turf friction. When midwives and obstetricians publicly back the model and co-present the evidence, facility teams </w:t>
      </w:r>
      <w:r w:rsidRPr="00987D9E">
        <w:rPr>
          <w:rFonts w:ascii="Times New Roman" w:eastAsia="Times New Roman" w:hAnsi="Times New Roman" w:cs="Times New Roman"/>
          <w:kern w:val="0"/>
          <w14:ligatures w14:val="none"/>
        </w:rPr>
        <w:lastRenderedPageBreak/>
        <w:t>are more willing to refer, supervise, and troubleshoot in real time, which accelerates adoption across wards and LGAs.</w:t>
      </w:r>
    </w:p>
    <w:p w14:paraId="77B44137"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Training and certification: </w:t>
      </w:r>
      <w:r w:rsidRPr="00987D9E">
        <w:rPr>
          <w:rFonts w:ascii="Times New Roman" w:eastAsia="Times New Roman" w:hAnsi="Times New Roman" w:cs="Times New Roman"/>
          <w:kern w:val="0"/>
          <w14:ligatures w14:val="none"/>
        </w:rPr>
        <w:t>A standardized Bayelsa Doula Core Curriculum, supervised births during practicum, and competency assessment create a reliable workforce with consistent, safe practice. Certification and an MoH-maintained registry allow facilities to verify skills, schedule coverage, and plan refresher training. Clear competencies communication, comfort measures, danger-sign recognition and escalation, confidentiality, and documentation improve fidelity to the model and patient experience, while annual re-certification and peer review sustain quality over time.</w:t>
      </w:r>
    </w:p>
    <w:p w14:paraId="5936CC1F" w14:textId="19759B26"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Facility integration: </w:t>
      </w:r>
      <w:r w:rsidRPr="00987D9E">
        <w:rPr>
          <w:rFonts w:ascii="Times New Roman" w:eastAsia="Times New Roman" w:hAnsi="Times New Roman" w:cs="Times New Roman"/>
          <w:kern w:val="0"/>
          <w14:ligatures w14:val="none"/>
        </w:rPr>
        <w:t>Implementation becomes tangible when doulas are woven into everyday workflows: on-call rosters, handovers, partograph-aligned check-ins, escalation protocols to midwives, and a space to work from. Simple role cards, consent and referral forms, and a doula note in the obstetric record prevent role confusion and ensure the service is visible in audits and morning review. With a designated supervising matron and inclusion in ward meetings, doulas stop being “visitors” and become accountable members of the maternity care team.</w:t>
      </w:r>
    </w:p>
    <w:p w14:paraId="2641A5E4"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Community dissemination: </w:t>
      </w:r>
      <w:r w:rsidRPr="00987D9E">
        <w:rPr>
          <w:rFonts w:ascii="Times New Roman" w:eastAsia="Times New Roman" w:hAnsi="Times New Roman" w:cs="Times New Roman"/>
          <w:kern w:val="0"/>
          <w14:ligatures w14:val="none"/>
        </w:rPr>
        <w:t>Demand grows when communities recognize doulas as culturally acceptable companions who complement not replace midwives. Co-created messages with women’s groups, faith leaders, and Ward Development Committees, delivered through ANC health talks, outreach clinics, peer educators, and community radio in Pidgin/Izon, address myths, promote “companion of choice,” and guide women to facilities that host trained doulas. This social license increases ANC attendance, facility deliveries, and self-referrals, feeding a healthy pipeline of clients to the integrated service.</w:t>
      </w:r>
    </w:p>
    <w:p w14:paraId="3F85F37F"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lastRenderedPageBreak/>
        <w:t xml:space="preserve">Piloting and iterative scale-up: </w:t>
      </w:r>
      <w:r w:rsidRPr="00987D9E">
        <w:rPr>
          <w:rFonts w:ascii="Times New Roman" w:eastAsia="Times New Roman" w:hAnsi="Times New Roman" w:cs="Times New Roman"/>
          <w:kern w:val="0"/>
          <w14:ligatures w14:val="none"/>
        </w:rPr>
        <w:t xml:space="preserve">Starting with a few flagship sites (e.g., FMC </w:t>
      </w:r>
      <w:proofErr w:type="spellStart"/>
      <w:r w:rsidRPr="00987D9E">
        <w:rPr>
          <w:rFonts w:ascii="Times New Roman" w:eastAsia="Times New Roman" w:hAnsi="Times New Roman" w:cs="Times New Roman"/>
          <w:kern w:val="0"/>
          <w14:ligatures w14:val="none"/>
        </w:rPr>
        <w:t>Yenagoa</w:t>
      </w:r>
      <w:proofErr w:type="spellEnd"/>
      <w:r w:rsidRPr="00987D9E">
        <w:rPr>
          <w:rFonts w:ascii="Times New Roman" w:eastAsia="Times New Roman" w:hAnsi="Times New Roman" w:cs="Times New Roman"/>
          <w:kern w:val="0"/>
          <w14:ligatures w14:val="none"/>
        </w:rPr>
        <w:t xml:space="preserve">, NDUTH </w:t>
      </w:r>
      <w:proofErr w:type="spellStart"/>
      <w:r w:rsidRPr="00987D9E">
        <w:rPr>
          <w:rFonts w:ascii="Times New Roman" w:eastAsia="Times New Roman" w:hAnsi="Times New Roman" w:cs="Times New Roman"/>
          <w:kern w:val="0"/>
          <w14:ligatures w14:val="none"/>
        </w:rPr>
        <w:t>Okolobiri</w:t>
      </w:r>
      <w:proofErr w:type="spellEnd"/>
      <w:r w:rsidRPr="00987D9E">
        <w:rPr>
          <w:rFonts w:ascii="Times New Roman" w:eastAsia="Times New Roman" w:hAnsi="Times New Roman" w:cs="Times New Roman"/>
          <w:kern w:val="0"/>
          <w14:ligatures w14:val="none"/>
        </w:rPr>
        <w:t>, and a high-volume PHC) allows teams to learn quickly with Plan-Do-Study-Act cycles refining handovers, night-shift coverage, consent flow, and data capture. Short learning loops de-risk expansion, generate local evidence, and produce a playbook tailored to Bayelsa’s realities. Once preset success criteria are met, the model scales to additional LGAs with fewer surprises, stronger champions, and clearer cost and staffing estimates.</w:t>
      </w:r>
    </w:p>
    <w:p w14:paraId="10DB168C" w14:textId="77777777" w:rsidR="00987D9E" w:rsidRPr="00987D9E" w:rsidRDefault="00987D9E" w:rsidP="00987D9E">
      <w:pPr>
        <w:spacing w:after="0" w:line="480" w:lineRule="auto"/>
        <w:jc w:val="both"/>
        <w:outlineLvl w:val="0"/>
        <w:rPr>
          <w:rFonts w:ascii="Times New Roman" w:eastAsia="Times New Roman" w:hAnsi="Times New Roman" w:cs="Times New Roman"/>
          <w:b/>
          <w:bCs/>
          <w:kern w:val="36"/>
          <w14:ligatures w14:val="none"/>
        </w:rPr>
      </w:pPr>
      <w:r w:rsidRPr="00987D9E">
        <w:rPr>
          <w:rFonts w:ascii="Times New Roman" w:eastAsia="Times New Roman" w:hAnsi="Times New Roman" w:cs="Times New Roman"/>
          <w:b/>
          <w:bCs/>
          <w:kern w:val="36"/>
          <w14:ligatures w14:val="none"/>
        </w:rPr>
        <w:t xml:space="preserve">Monitoring and sustainability: </w:t>
      </w:r>
      <w:r w:rsidRPr="00987D9E">
        <w:rPr>
          <w:rFonts w:ascii="Times New Roman" w:eastAsia="Times New Roman" w:hAnsi="Times New Roman" w:cs="Times New Roman"/>
          <w:kern w:val="0"/>
          <w14:ligatures w14:val="none"/>
        </w:rPr>
        <w:t>Lean indicators embedded in existing registers time to first doula contact, key support actions, escalations, companionship coverage, experience-of-care, and early breastfeeding show whether the model works and where to improve. Routine supervision, monthly peer review, and annual re-certification maintain standards; dashboards help managers allocate shifts and justify budgets. Blended financing state budget lines, facility revolving funds, donor seed grants, and local CSR protects the program from single-source funding shocks and anchors the service as a durable component of respectful maternity care in Bayelsa.</w:t>
      </w:r>
    </w:p>
    <w:p w14:paraId="3FFCB04F" w14:textId="77777777" w:rsidR="00987D9E" w:rsidRPr="00987D9E" w:rsidRDefault="00987D9E" w:rsidP="00987D9E">
      <w:pPr>
        <w:spacing w:after="0" w:line="480" w:lineRule="auto"/>
        <w:jc w:val="both"/>
        <w:outlineLvl w:val="3"/>
        <w:rPr>
          <w:rFonts w:ascii="Times New Roman" w:eastAsia="Times New Roman" w:hAnsi="Times New Roman" w:cs="Times New Roman"/>
          <w:bCs/>
        </w:rPr>
      </w:pPr>
      <w:r w:rsidRPr="00987D9E">
        <w:rPr>
          <w:rFonts w:ascii="Times New Roman" w:eastAsia="Times New Roman" w:hAnsi="Times New Roman" w:cs="Times New Roman"/>
        </w:rPr>
        <w:t xml:space="preserve">These stages correspond to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al.’s (1968)</w:t>
      </w:r>
      <w:r w:rsidRPr="00987D9E">
        <w:rPr>
          <w:rFonts w:ascii="Times New Roman" w:eastAsia="Times New Roman" w:hAnsi="Times New Roman" w:cs="Times New Roman"/>
        </w:rPr>
        <w:t xml:space="preserve"> notion of the procedure, which defines the actions agents must take to achieve outcomes. Empirical findings validate this structured approach. Van Eijk et al. (2022) emphasized that structured training stabilizes the workforce; Attanasio </w:t>
      </w:r>
      <w:r w:rsidRPr="00987D9E">
        <w:rPr>
          <w:rFonts w:ascii="Times New Roman" w:eastAsia="Times New Roman" w:hAnsi="Times New Roman" w:cs="Times New Roman"/>
          <w:iCs/>
        </w:rPr>
        <w:t>et al.</w:t>
      </w:r>
      <w:r w:rsidRPr="00987D9E">
        <w:rPr>
          <w:rFonts w:ascii="Times New Roman" w:eastAsia="Times New Roman" w:hAnsi="Times New Roman" w:cs="Times New Roman"/>
        </w:rPr>
        <w:t xml:space="preserve"> (2021) observed improved outcomes when doulas were formally embedded within clinical teams; and Wall et al. (2024) stressed the importance of iterative piloting for sustainable scale-up.</w:t>
      </w:r>
    </w:p>
    <w:p w14:paraId="5C048A0F" w14:textId="77777777" w:rsidR="00987D9E" w:rsidRPr="00987D9E" w:rsidRDefault="00987D9E" w:rsidP="00987D9E">
      <w:pPr>
        <w:spacing w:after="0" w:line="480" w:lineRule="auto"/>
        <w:jc w:val="both"/>
        <w:outlineLvl w:val="2"/>
        <w:rPr>
          <w:rFonts w:ascii="Times New Roman" w:eastAsia="Times New Roman" w:hAnsi="Times New Roman" w:cs="Times New Roman"/>
          <w:b/>
          <w:bCs/>
        </w:rPr>
      </w:pPr>
      <w:r w:rsidRPr="00987D9E">
        <w:rPr>
          <w:rFonts w:ascii="Times New Roman" w:eastAsia="Times New Roman" w:hAnsi="Times New Roman" w:cs="Times New Roman"/>
          <w:b/>
        </w:rPr>
        <w:t>d. Context</w:t>
      </w:r>
      <w:r w:rsidRPr="00987D9E">
        <w:rPr>
          <w:rFonts w:ascii="Times New Roman" w:eastAsia="Times New Roman" w:hAnsi="Times New Roman" w:cs="Times New Roman"/>
          <w:bCs/>
        </w:rPr>
        <w:t xml:space="preserve">: </w:t>
      </w:r>
      <w:r w:rsidRPr="00987D9E">
        <w:rPr>
          <w:rFonts w:ascii="Times New Roman" w:eastAsia="Times New Roman" w:hAnsi="Times New Roman" w:cs="Times New Roman"/>
        </w:rPr>
        <w:t>The framework acknowledges that effective dissemination and implementation of doula support services occur within a specific health system and community environment. Factors such as policy climate, cultural norms, and facility capacity act as either enablers or barriers. Brüggemann et al. (2014) demonstrated how institutional routines limited companion participation, while Nguyen et al.</w:t>
      </w:r>
      <w:r w:rsidRPr="00987D9E">
        <w:rPr>
          <w:rFonts w:ascii="Times New Roman" w:eastAsia="Times New Roman" w:hAnsi="Times New Roman" w:cs="Times New Roman"/>
          <w:i/>
          <w:iCs/>
        </w:rPr>
        <w:t xml:space="preserve"> </w:t>
      </w:r>
      <w:r w:rsidRPr="00987D9E">
        <w:rPr>
          <w:rFonts w:ascii="Times New Roman" w:eastAsia="Times New Roman" w:hAnsi="Times New Roman" w:cs="Times New Roman"/>
        </w:rPr>
        <w:t xml:space="preserve">(2022) showed that the rapid adaptation of “virtual doulas” </w:t>
      </w:r>
      <w:r w:rsidRPr="00987D9E">
        <w:rPr>
          <w:rFonts w:ascii="Times New Roman" w:eastAsia="Times New Roman" w:hAnsi="Times New Roman" w:cs="Times New Roman"/>
        </w:rPr>
        <w:lastRenderedPageBreak/>
        <w:t xml:space="preserve">during the COVID-19 pandemic was highly dependent on health system flexibility. By recognizing riverine communities in Nigeria, where access to facilities is often hindered by geographical isolation, the framework demonstrates sensitivity to local realities. This attention to situational factors reflects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al.’s (1968)</w:t>
      </w:r>
      <w:r w:rsidRPr="00987D9E">
        <w:rPr>
          <w:rFonts w:ascii="Times New Roman" w:eastAsia="Times New Roman" w:hAnsi="Times New Roman" w:cs="Times New Roman"/>
        </w:rPr>
        <w:t xml:space="preserve"> emphasis on the </w:t>
      </w:r>
      <w:r w:rsidRPr="00987D9E">
        <w:rPr>
          <w:rFonts w:ascii="Times New Roman" w:eastAsia="Times New Roman" w:hAnsi="Times New Roman" w:cs="Times New Roman"/>
          <w:i/>
          <w:iCs/>
        </w:rPr>
        <w:t>context</w:t>
      </w:r>
      <w:r w:rsidRPr="00987D9E">
        <w:rPr>
          <w:rFonts w:ascii="Times New Roman" w:eastAsia="Times New Roman" w:hAnsi="Times New Roman" w:cs="Times New Roman"/>
        </w:rPr>
        <w:t xml:space="preserve"> of practice as a determinant of outcomes.</w:t>
      </w:r>
    </w:p>
    <w:p w14:paraId="3531469A" w14:textId="77777777" w:rsidR="00987D9E" w:rsidRPr="00987D9E" w:rsidRDefault="00987D9E" w:rsidP="00987D9E">
      <w:pPr>
        <w:spacing w:after="0" w:line="480" w:lineRule="auto"/>
        <w:jc w:val="both"/>
        <w:outlineLvl w:val="3"/>
        <w:rPr>
          <w:rFonts w:ascii="Times New Roman" w:eastAsia="Times New Roman" w:hAnsi="Times New Roman" w:cs="Times New Roman"/>
          <w:bCs/>
        </w:rPr>
      </w:pPr>
      <w:r w:rsidRPr="00987D9E">
        <w:rPr>
          <w:rFonts w:ascii="Times New Roman" w:eastAsia="Times New Roman" w:hAnsi="Times New Roman" w:cs="Times New Roman"/>
          <w:b/>
        </w:rPr>
        <w:t>e. Dynamics:</w:t>
      </w:r>
      <w:r w:rsidRPr="00987D9E">
        <w:rPr>
          <w:rFonts w:ascii="Times New Roman" w:eastAsia="Times New Roman" w:hAnsi="Times New Roman" w:cs="Times New Roman"/>
          <w:bCs/>
        </w:rPr>
        <w:t xml:space="preserve"> </w:t>
      </w:r>
      <w:r w:rsidRPr="00987D9E">
        <w:rPr>
          <w:rFonts w:ascii="Times New Roman" w:eastAsia="Times New Roman" w:hAnsi="Times New Roman" w:cs="Times New Roman"/>
        </w:rPr>
        <w:t xml:space="preserve">Dynamics are the forces that energize the process: communication, cultural tailoring, financing, partnerships, and commitment. Empirical work underscores their importance Khaw et al. (2022) linked cultural adaptation to greater acceptance, Marshall </w:t>
      </w:r>
      <w:r w:rsidRPr="00987D9E">
        <w:rPr>
          <w:rFonts w:ascii="Times New Roman" w:eastAsia="Times New Roman" w:hAnsi="Times New Roman" w:cs="Times New Roman"/>
          <w:i/>
          <w:iCs/>
        </w:rPr>
        <w:t>et al.</w:t>
      </w:r>
      <w:r w:rsidRPr="00987D9E">
        <w:rPr>
          <w:rFonts w:ascii="Times New Roman" w:eastAsia="Times New Roman" w:hAnsi="Times New Roman" w:cs="Times New Roman"/>
        </w:rPr>
        <w:t xml:space="preserve"> (2022) stressed the necessity of financing, and Gebel </w:t>
      </w:r>
      <w:r w:rsidRPr="00987D9E">
        <w:rPr>
          <w:rFonts w:ascii="Times New Roman" w:eastAsia="Times New Roman" w:hAnsi="Times New Roman" w:cs="Times New Roman"/>
          <w:iCs/>
        </w:rPr>
        <w:t>et al.</w:t>
      </w:r>
      <w:r w:rsidRPr="00987D9E">
        <w:rPr>
          <w:rFonts w:ascii="Times New Roman" w:eastAsia="Times New Roman" w:hAnsi="Times New Roman" w:cs="Times New Roman"/>
        </w:rPr>
        <w:t xml:space="preserve"> (2024) highlighted partnerships as vital to sustainability. These dynamics mirror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al.’s (1968)</w:t>
      </w:r>
      <w:r w:rsidRPr="00987D9E">
        <w:rPr>
          <w:rFonts w:ascii="Times New Roman" w:eastAsia="Times New Roman" w:hAnsi="Times New Roman" w:cs="Times New Roman"/>
        </w:rPr>
        <w:t xml:space="preserve"> conceptualization of the energy source that sustains action.</w:t>
      </w:r>
    </w:p>
    <w:p w14:paraId="3E6E6407" w14:textId="77777777" w:rsidR="00987D9E" w:rsidRPr="00987D9E" w:rsidRDefault="00987D9E" w:rsidP="00987D9E">
      <w:pPr>
        <w:spacing w:after="0" w:line="480" w:lineRule="auto"/>
        <w:jc w:val="both"/>
        <w:outlineLvl w:val="3"/>
        <w:rPr>
          <w:rFonts w:ascii="Times New Roman" w:eastAsia="Times New Roman" w:hAnsi="Times New Roman" w:cs="Times New Roman"/>
          <w:b/>
          <w:bCs/>
        </w:rPr>
      </w:pPr>
      <w:r w:rsidRPr="00987D9E">
        <w:rPr>
          <w:rFonts w:ascii="Times New Roman" w:eastAsia="Times New Roman" w:hAnsi="Times New Roman" w:cs="Times New Roman"/>
          <w:b/>
          <w:bCs/>
        </w:rPr>
        <w:t xml:space="preserve">f. Terminus: </w:t>
      </w:r>
      <w:r w:rsidRPr="00987D9E">
        <w:rPr>
          <w:rFonts w:ascii="Times New Roman" w:eastAsia="Times New Roman" w:hAnsi="Times New Roman" w:cs="Times New Roman"/>
        </w:rPr>
        <w:t xml:space="preserve">The expected outcomes include effective dissemination of doula support services, awareness, facility adoption, fidelity-consistent doula practice, improved maternal and neonatal indices, reduced care delays, and long-term sustainability. These reflect the terminus described by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 (1968)</w:t>
      </w:r>
      <w:r w:rsidRPr="00987D9E">
        <w:rPr>
          <w:rFonts w:ascii="Times New Roman" w:eastAsia="Times New Roman" w:hAnsi="Times New Roman" w:cs="Times New Roman"/>
        </w:rPr>
        <w:t xml:space="preserve"> the desired endpoint of practice. Outcomes are also consistent with </w:t>
      </w:r>
      <w:r w:rsidRPr="00987D9E">
        <w:rPr>
          <w:rFonts w:ascii="Times New Roman" w:eastAsia="Times New Roman" w:hAnsi="Times New Roman" w:cs="Times New Roman"/>
          <w:bCs/>
        </w:rPr>
        <w:t>Chinn and Kramer’s (2018)</w:t>
      </w:r>
      <w:r w:rsidRPr="00987D9E">
        <w:rPr>
          <w:rFonts w:ascii="Times New Roman" w:eastAsia="Times New Roman" w:hAnsi="Times New Roman" w:cs="Times New Roman"/>
        </w:rPr>
        <w:t xml:space="preserve"> principle of importance, as they address maternal health system gaps with measurable benefits.</w:t>
      </w:r>
    </w:p>
    <w:bookmarkEnd w:id="3"/>
    <w:p w14:paraId="2C003178" w14:textId="77777777" w:rsidR="00987D9E" w:rsidRPr="00987D9E" w:rsidRDefault="00987D9E" w:rsidP="00987D9E">
      <w:pPr>
        <w:spacing w:after="0" w:line="480" w:lineRule="auto"/>
        <w:jc w:val="both"/>
        <w:outlineLvl w:val="2"/>
        <w:rPr>
          <w:rFonts w:ascii="Times New Roman" w:eastAsia="Times New Roman" w:hAnsi="Times New Roman" w:cs="Times New Roman"/>
          <w:b/>
          <w:bCs/>
        </w:rPr>
      </w:pPr>
      <w:r w:rsidRPr="00987D9E">
        <w:rPr>
          <w:rFonts w:ascii="Times New Roman" w:eastAsia="Times New Roman" w:hAnsi="Times New Roman" w:cs="Times New Roman"/>
          <w:b/>
          <w:bCs/>
        </w:rPr>
        <w:t>5. Relationship Statements</w:t>
      </w:r>
    </w:p>
    <w:p w14:paraId="0E17A763" w14:textId="59B55564" w:rsidR="00987D9E" w:rsidRPr="00FE727C" w:rsidRDefault="00987D9E" w:rsidP="00987D9E">
      <w:pPr>
        <w:spacing w:after="0" w:line="480" w:lineRule="auto"/>
        <w:jc w:val="both"/>
        <w:rPr>
          <w:rFonts w:ascii="Times New Roman" w:eastAsia="Times New Roman" w:hAnsi="Times New Roman" w:cs="Times New Roman"/>
        </w:rPr>
      </w:pPr>
      <w:bookmarkStart w:id="5" w:name="_Hlk213530591"/>
      <w:r w:rsidRPr="00987D9E">
        <w:rPr>
          <w:rFonts w:ascii="Times New Roman" w:eastAsia="Times New Roman" w:hAnsi="Times New Roman" w:cs="Times New Roman"/>
        </w:rPr>
        <w:t xml:space="preserve">The framework proposes that context shapes both agents and recipients, while financing and commitment sustain processes. Monitoring creates feedback loops that refine strategies over time. </w:t>
      </w:r>
      <w:bookmarkEnd w:id="5"/>
      <w:r w:rsidRPr="00987D9E">
        <w:rPr>
          <w:rFonts w:ascii="Times New Roman" w:eastAsia="Times New Roman" w:hAnsi="Times New Roman" w:cs="Times New Roman"/>
        </w:rPr>
        <w:t xml:space="preserve">Khaw et al. (2023) confirmed that role clarity a contextual factor shaped collaboration between agents, while Gebel et al. (2024) demonstrated that organizational readiness determined whether external policies translated into practice. These interdependencies mirror </w:t>
      </w:r>
      <w:proofErr w:type="spellStart"/>
      <w:r w:rsidRPr="00987D9E">
        <w:rPr>
          <w:rFonts w:ascii="Times New Roman" w:eastAsia="Times New Roman" w:hAnsi="Times New Roman" w:cs="Times New Roman"/>
          <w:bCs/>
        </w:rPr>
        <w:t>Dickoff</w:t>
      </w:r>
      <w:proofErr w:type="spellEnd"/>
      <w:r w:rsidRPr="00987D9E">
        <w:rPr>
          <w:rFonts w:ascii="Times New Roman" w:eastAsia="Times New Roman" w:hAnsi="Times New Roman" w:cs="Times New Roman"/>
          <w:bCs/>
        </w:rPr>
        <w:t xml:space="preserve"> et al.’s (1968)</w:t>
      </w:r>
      <w:r w:rsidRPr="00987D9E">
        <w:rPr>
          <w:rFonts w:ascii="Times New Roman" w:eastAsia="Times New Roman" w:hAnsi="Times New Roman" w:cs="Times New Roman"/>
        </w:rPr>
        <w:t xml:space="preserve"> </w:t>
      </w:r>
      <w:r w:rsidRPr="00987D9E">
        <w:rPr>
          <w:rFonts w:ascii="Times New Roman" w:eastAsia="Times New Roman" w:hAnsi="Times New Roman" w:cs="Times New Roman"/>
        </w:rPr>
        <w:lastRenderedPageBreak/>
        <w:t xml:space="preserve">call for relational clarity between framework elements, and align with </w:t>
      </w:r>
      <w:r w:rsidRPr="00987D9E">
        <w:rPr>
          <w:rFonts w:ascii="Times New Roman" w:eastAsia="Times New Roman" w:hAnsi="Times New Roman" w:cs="Times New Roman"/>
          <w:bCs/>
        </w:rPr>
        <w:t>Chinn and Kramer’s (2018)</w:t>
      </w:r>
      <w:r w:rsidRPr="00987D9E">
        <w:rPr>
          <w:rFonts w:ascii="Times New Roman" w:eastAsia="Times New Roman" w:hAnsi="Times New Roman" w:cs="Times New Roman"/>
        </w:rPr>
        <w:t xml:space="preserve"> insistence on clarity and coherence.</w:t>
      </w:r>
    </w:p>
    <w:p w14:paraId="26BCEBE0" w14:textId="77777777" w:rsidR="00987D9E" w:rsidRPr="00987D9E" w:rsidRDefault="00987D9E" w:rsidP="00987D9E">
      <w:pPr>
        <w:spacing w:after="0" w:line="480" w:lineRule="auto"/>
        <w:jc w:val="both"/>
        <w:outlineLvl w:val="2"/>
        <w:rPr>
          <w:rFonts w:ascii="Times New Roman" w:eastAsia="Times New Roman" w:hAnsi="Times New Roman" w:cs="Times New Roman"/>
          <w:b/>
          <w:bCs/>
        </w:rPr>
      </w:pPr>
      <w:r w:rsidRPr="00987D9E">
        <w:rPr>
          <w:rFonts w:ascii="Times New Roman" w:eastAsia="Times New Roman" w:hAnsi="Times New Roman" w:cs="Times New Roman"/>
          <w:b/>
          <w:bCs/>
        </w:rPr>
        <w:t>6. Critical Reflection on the conceptual framework</w:t>
      </w:r>
    </w:p>
    <w:p w14:paraId="48251322" w14:textId="63DA5E4E" w:rsidR="00987D9E" w:rsidRPr="00DF6138" w:rsidRDefault="00987D9E" w:rsidP="00987D9E">
      <w:pPr>
        <w:spacing w:after="0" w:line="480" w:lineRule="auto"/>
        <w:jc w:val="both"/>
        <w:rPr>
          <w:rFonts w:ascii="Times New Roman" w:eastAsia="Times New Roman" w:hAnsi="Times New Roman" w:cs="Times New Roman"/>
        </w:rPr>
      </w:pPr>
      <w:r w:rsidRPr="00987D9E">
        <w:rPr>
          <w:rFonts w:ascii="Times New Roman" w:eastAsia="Times New Roman" w:hAnsi="Times New Roman" w:cs="Times New Roman"/>
        </w:rPr>
        <w:t xml:space="preserve">A critical reflection, also known as confirmation of the appropriateness or assessment of the conceptual framework to the contribution to knowledge and research was done (Chinn &amp; Kramer 2014). This was done to critically authenticate the conceptual framework. The framework demonstrates strong </w:t>
      </w:r>
      <w:r w:rsidRPr="00987D9E">
        <w:rPr>
          <w:rFonts w:ascii="Times New Roman" w:eastAsia="Times New Roman" w:hAnsi="Times New Roman" w:cs="Times New Roman"/>
          <w:bCs/>
        </w:rPr>
        <w:t>clarity</w:t>
      </w:r>
      <w:r w:rsidRPr="00987D9E">
        <w:rPr>
          <w:rFonts w:ascii="Times New Roman" w:eastAsia="Times New Roman" w:hAnsi="Times New Roman" w:cs="Times New Roman"/>
        </w:rPr>
        <w:t xml:space="preserve">, mapping agents, processes, and outcomes in a visually coherent and conceptually accessible way. Its </w:t>
      </w:r>
      <w:r w:rsidRPr="00987D9E">
        <w:rPr>
          <w:rFonts w:ascii="Times New Roman" w:eastAsia="Times New Roman" w:hAnsi="Times New Roman" w:cs="Times New Roman"/>
          <w:bCs/>
        </w:rPr>
        <w:t>simplicity</w:t>
      </w:r>
      <w:r w:rsidRPr="00987D9E">
        <w:rPr>
          <w:rFonts w:ascii="Times New Roman" w:eastAsia="Times New Roman" w:hAnsi="Times New Roman" w:cs="Times New Roman"/>
        </w:rPr>
        <w:t xml:space="preserve"> makes it useful across different contexts, despite involving multiple stakeholders, as t</w:t>
      </w:r>
      <w:r w:rsidRPr="00987D9E">
        <w:rPr>
          <w:rFonts w:ascii="Times New Roman" w:eastAsia="Calibri" w:hAnsi="Times New Roman" w:cs="Times New Roman"/>
        </w:rPr>
        <w:t>he model balances parsimony with adequacy</w:t>
      </w:r>
      <w:r w:rsidRPr="00987D9E">
        <w:rPr>
          <w:rFonts w:ascii="Times New Roman" w:eastAsia="Times New Roman" w:hAnsi="Times New Roman" w:cs="Times New Roman"/>
        </w:rPr>
        <w:t xml:space="preserve">. Its </w:t>
      </w:r>
      <w:r w:rsidRPr="00987D9E">
        <w:rPr>
          <w:rFonts w:ascii="Times New Roman" w:eastAsia="Times New Roman" w:hAnsi="Times New Roman" w:cs="Times New Roman"/>
          <w:bCs/>
        </w:rPr>
        <w:t>purpose</w:t>
      </w:r>
      <w:r w:rsidRPr="00987D9E">
        <w:rPr>
          <w:rFonts w:ascii="Times New Roman" w:eastAsia="Times New Roman" w:hAnsi="Times New Roman" w:cs="Times New Roman"/>
        </w:rPr>
        <w:t xml:space="preserve"> is to provide a roadmap for institutionalizing doula care is practical and directly applicable.</w:t>
      </w:r>
      <w:r w:rsidRPr="00987D9E">
        <w:rPr>
          <w:rFonts w:ascii="Times New Roman" w:eastAsia="Calibri" w:hAnsi="Times New Roman" w:cs="Times New Roman"/>
        </w:rPr>
        <w:t xml:space="preserve"> </w:t>
      </w:r>
      <w:r w:rsidRPr="00987D9E">
        <w:rPr>
          <w:rFonts w:ascii="Times New Roman" w:eastAsia="Times New Roman" w:hAnsi="Times New Roman" w:cs="Times New Roman"/>
        </w:rPr>
        <w:t>It functions as both explanatory (how context and actors produce outcomes) and pragmatic (what to do first: policy, professional endorsement, training; how to sustain: monitoring, financing). This dual role matches Chinn &amp; Kramer’s expectation that a framework should illuminate phenomena and direct action. Its accessibility spans visual readability, practice usability, and transferability. A</w:t>
      </w:r>
      <w:r w:rsidRPr="00987D9E">
        <w:rPr>
          <w:rFonts w:ascii="Times New Roman" w:eastAsia="Times New Roman" w:hAnsi="Times New Roman" w:cs="Times New Roman"/>
          <w:bCs/>
        </w:rPr>
        <w:t>ccessibility</w:t>
      </w:r>
      <w:r w:rsidRPr="00987D9E">
        <w:rPr>
          <w:rFonts w:ascii="Times New Roman" w:eastAsia="Times New Roman" w:hAnsi="Times New Roman" w:cs="Times New Roman"/>
        </w:rPr>
        <w:t xml:space="preserve"> is enhanced by its cultural tailoring and recognition of community influencers. These strengths align directly with </w:t>
      </w:r>
      <w:r w:rsidRPr="00987D9E">
        <w:rPr>
          <w:rFonts w:ascii="Times New Roman" w:eastAsia="Times New Roman" w:hAnsi="Times New Roman" w:cs="Times New Roman"/>
          <w:bCs/>
        </w:rPr>
        <w:t>Chinn and Kramer’s (2018)</w:t>
      </w:r>
      <w:r w:rsidRPr="00987D9E">
        <w:rPr>
          <w:rFonts w:ascii="Times New Roman" w:eastAsia="Times New Roman" w:hAnsi="Times New Roman" w:cs="Times New Roman"/>
        </w:rPr>
        <w:t xml:space="preserve"> five evaluative criteria: clarity, simplicity, accessibility, importance, and purpose.</w:t>
      </w:r>
    </w:p>
    <w:p w14:paraId="515BEA93" w14:textId="7176D509" w:rsidR="00987D9E" w:rsidRPr="00987D9E" w:rsidRDefault="00987D9E" w:rsidP="00987D9E">
      <w:pPr>
        <w:spacing w:after="0" w:line="480" w:lineRule="auto"/>
        <w:jc w:val="both"/>
        <w:rPr>
          <w:rFonts w:ascii="Times New Roman" w:eastAsia="Calibri" w:hAnsi="Times New Roman" w:cs="Times New Roman"/>
          <w:b/>
          <w:bCs/>
        </w:rPr>
      </w:pPr>
      <w:r w:rsidRPr="00987D9E">
        <w:rPr>
          <w:rFonts w:ascii="Times New Roman" w:eastAsia="Calibri" w:hAnsi="Times New Roman" w:cs="Times New Roman"/>
          <w:b/>
          <w:bCs/>
        </w:rPr>
        <w:t>Table 1: Showing critical reflection on the framework</w:t>
      </w:r>
    </w:p>
    <w:tbl>
      <w:tblPr>
        <w:tblStyle w:val="PlainTable41"/>
        <w:tblW w:w="0" w:type="auto"/>
        <w:tblBorders>
          <w:top w:val="single" w:sz="4" w:space="0" w:color="auto"/>
          <w:bottom w:val="single" w:sz="4" w:space="0" w:color="auto"/>
        </w:tblBorders>
        <w:tblLook w:val="04A0" w:firstRow="1" w:lastRow="0" w:firstColumn="1" w:lastColumn="0" w:noHBand="0" w:noVBand="1"/>
      </w:tblPr>
      <w:tblGrid>
        <w:gridCol w:w="1390"/>
        <w:gridCol w:w="7970"/>
      </w:tblGrid>
      <w:tr w:rsidR="00987D9E" w:rsidRPr="00987D9E" w14:paraId="7B327098" w14:textId="77777777" w:rsidTr="00987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hideMark/>
          </w:tcPr>
          <w:p w14:paraId="4E42E078" w14:textId="77777777" w:rsidR="00987D9E" w:rsidRPr="00987D9E" w:rsidRDefault="00987D9E" w:rsidP="00987D9E">
            <w:pPr>
              <w:spacing w:line="360" w:lineRule="auto"/>
              <w:jc w:val="both"/>
              <w:rPr>
                <w:rFonts w:ascii="Times New Roman" w:eastAsia="Calibri" w:hAnsi="Times New Roman" w:cs="Times New Roman"/>
              </w:rPr>
            </w:pPr>
            <w:r w:rsidRPr="00987D9E">
              <w:rPr>
                <w:rFonts w:ascii="Times New Roman" w:eastAsia="Calibri" w:hAnsi="Times New Roman" w:cs="Times New Roman"/>
              </w:rPr>
              <w:t>Criterion</w:t>
            </w:r>
          </w:p>
        </w:tc>
        <w:tc>
          <w:tcPr>
            <w:tcW w:w="0" w:type="auto"/>
            <w:tcBorders>
              <w:top w:val="single" w:sz="4" w:space="0" w:color="auto"/>
              <w:bottom w:val="single" w:sz="4" w:space="0" w:color="auto"/>
            </w:tcBorders>
            <w:shd w:val="clear" w:color="auto" w:fill="FFFFFF"/>
            <w:hideMark/>
          </w:tcPr>
          <w:p w14:paraId="76AA37FA" w14:textId="77777777" w:rsidR="00987D9E" w:rsidRPr="00987D9E" w:rsidRDefault="00987D9E" w:rsidP="00987D9E">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87D9E">
              <w:rPr>
                <w:rFonts w:ascii="Times New Roman" w:eastAsia="Calibri" w:hAnsi="Times New Roman" w:cs="Times New Roman"/>
              </w:rPr>
              <w:t>Evaluation</w:t>
            </w:r>
          </w:p>
        </w:tc>
      </w:tr>
      <w:tr w:rsidR="00987D9E" w:rsidRPr="00987D9E" w14:paraId="2B8911BD" w14:textId="77777777" w:rsidTr="00987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hideMark/>
          </w:tcPr>
          <w:p w14:paraId="5916844F" w14:textId="77777777" w:rsidR="00987D9E" w:rsidRPr="00987D9E" w:rsidRDefault="00987D9E" w:rsidP="00987D9E">
            <w:pPr>
              <w:spacing w:line="360" w:lineRule="auto"/>
              <w:jc w:val="both"/>
              <w:rPr>
                <w:rFonts w:ascii="Times New Roman" w:eastAsia="Calibri" w:hAnsi="Times New Roman" w:cs="Times New Roman"/>
              </w:rPr>
            </w:pPr>
            <w:r w:rsidRPr="00987D9E">
              <w:rPr>
                <w:rFonts w:ascii="Times New Roman" w:eastAsia="Calibri" w:hAnsi="Times New Roman" w:cs="Times New Roman"/>
              </w:rPr>
              <w:t>Clarity</w:t>
            </w:r>
          </w:p>
        </w:tc>
        <w:tc>
          <w:tcPr>
            <w:tcW w:w="0" w:type="auto"/>
            <w:tcBorders>
              <w:top w:val="single" w:sz="4" w:space="0" w:color="auto"/>
            </w:tcBorders>
            <w:shd w:val="clear" w:color="auto" w:fill="FFFFFF"/>
            <w:hideMark/>
          </w:tcPr>
          <w:p w14:paraId="4FDEA5BD" w14:textId="77777777" w:rsidR="00987D9E" w:rsidRPr="00987D9E" w:rsidRDefault="00987D9E" w:rsidP="00987D9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987D9E">
              <w:rPr>
                <w:rFonts w:ascii="Times New Roman" w:eastAsia="Calibri" w:hAnsi="Times New Roman" w:cs="Times New Roman"/>
              </w:rPr>
              <w:t>Concepts and relationships are explicitly defined; actors, actions, and outcomes are unambiguous.</w:t>
            </w:r>
          </w:p>
        </w:tc>
      </w:tr>
      <w:tr w:rsidR="00987D9E" w:rsidRPr="00987D9E" w14:paraId="19999F45" w14:textId="77777777" w:rsidTr="00987D9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447A3D7A" w14:textId="77777777" w:rsidR="00987D9E" w:rsidRPr="00987D9E" w:rsidRDefault="00987D9E" w:rsidP="00987D9E">
            <w:pPr>
              <w:spacing w:line="360" w:lineRule="auto"/>
              <w:jc w:val="both"/>
              <w:rPr>
                <w:rFonts w:ascii="Times New Roman" w:eastAsia="Calibri" w:hAnsi="Times New Roman" w:cs="Times New Roman"/>
              </w:rPr>
            </w:pPr>
            <w:r w:rsidRPr="00987D9E">
              <w:rPr>
                <w:rFonts w:ascii="Times New Roman" w:eastAsia="Calibri" w:hAnsi="Times New Roman" w:cs="Times New Roman"/>
              </w:rPr>
              <w:t>Simplicity</w:t>
            </w:r>
          </w:p>
        </w:tc>
        <w:tc>
          <w:tcPr>
            <w:tcW w:w="0" w:type="auto"/>
            <w:shd w:val="clear" w:color="auto" w:fill="FFFFFF"/>
            <w:hideMark/>
          </w:tcPr>
          <w:p w14:paraId="2095458B" w14:textId="77777777" w:rsidR="00987D9E" w:rsidRPr="00987D9E" w:rsidRDefault="00987D9E" w:rsidP="00987D9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87D9E">
              <w:rPr>
                <w:rFonts w:ascii="Times New Roman" w:eastAsia="Calibri" w:hAnsi="Times New Roman" w:cs="Times New Roman"/>
              </w:rPr>
              <w:t>The model balances parsimony with adequacy.; avoids unnecessary constructs while retaining completeness.</w:t>
            </w:r>
          </w:p>
        </w:tc>
      </w:tr>
      <w:tr w:rsidR="00987D9E" w:rsidRPr="00987D9E" w14:paraId="2BF5117F" w14:textId="77777777" w:rsidTr="00987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357FCF44" w14:textId="77777777" w:rsidR="00987D9E" w:rsidRPr="00987D9E" w:rsidRDefault="00987D9E" w:rsidP="00987D9E">
            <w:pPr>
              <w:spacing w:line="360" w:lineRule="auto"/>
              <w:jc w:val="both"/>
              <w:rPr>
                <w:rFonts w:ascii="Times New Roman" w:eastAsia="Calibri" w:hAnsi="Times New Roman" w:cs="Times New Roman"/>
              </w:rPr>
            </w:pPr>
            <w:r w:rsidRPr="00987D9E">
              <w:rPr>
                <w:rFonts w:ascii="Times New Roman" w:eastAsia="Calibri" w:hAnsi="Times New Roman" w:cs="Times New Roman"/>
              </w:rPr>
              <w:t>Generality</w:t>
            </w:r>
          </w:p>
        </w:tc>
        <w:tc>
          <w:tcPr>
            <w:tcW w:w="0" w:type="auto"/>
            <w:shd w:val="clear" w:color="auto" w:fill="FFFFFF"/>
            <w:hideMark/>
          </w:tcPr>
          <w:p w14:paraId="033F3C33" w14:textId="77777777" w:rsidR="00987D9E" w:rsidRPr="00987D9E" w:rsidRDefault="00987D9E" w:rsidP="00987D9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987D9E">
              <w:rPr>
                <w:rFonts w:ascii="Times New Roman" w:eastAsia="Calibri" w:hAnsi="Times New Roman" w:cs="Times New Roman"/>
              </w:rPr>
              <w:t>Applicability beyond initial settings/contexts.</w:t>
            </w:r>
          </w:p>
        </w:tc>
      </w:tr>
      <w:tr w:rsidR="00987D9E" w:rsidRPr="00987D9E" w14:paraId="43BBCDE9" w14:textId="77777777" w:rsidTr="00987D9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73AD0BFA" w14:textId="77777777" w:rsidR="00987D9E" w:rsidRPr="00987D9E" w:rsidRDefault="00987D9E" w:rsidP="00987D9E">
            <w:pPr>
              <w:spacing w:line="360" w:lineRule="auto"/>
              <w:jc w:val="both"/>
              <w:rPr>
                <w:rFonts w:ascii="Times New Roman" w:eastAsia="Calibri" w:hAnsi="Times New Roman" w:cs="Times New Roman"/>
              </w:rPr>
            </w:pPr>
            <w:r w:rsidRPr="00987D9E">
              <w:rPr>
                <w:rFonts w:ascii="Times New Roman" w:eastAsia="Calibri" w:hAnsi="Times New Roman" w:cs="Times New Roman"/>
              </w:rPr>
              <w:t>Accessibility</w:t>
            </w:r>
          </w:p>
        </w:tc>
        <w:tc>
          <w:tcPr>
            <w:tcW w:w="0" w:type="auto"/>
            <w:shd w:val="clear" w:color="auto" w:fill="FFFFFF"/>
            <w:hideMark/>
          </w:tcPr>
          <w:p w14:paraId="50B17AAB" w14:textId="77777777" w:rsidR="00987D9E" w:rsidRPr="00987D9E" w:rsidRDefault="00987D9E" w:rsidP="00987D9E">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rPr>
            </w:pPr>
            <w:r w:rsidRPr="00987D9E">
              <w:rPr>
                <w:rFonts w:ascii="Times New Roman" w:eastAsia="Calibri" w:hAnsi="Times New Roman" w:cs="Times New Roman"/>
              </w:rPr>
              <w:t>Accessibility spans visual readability</w:t>
            </w:r>
            <w:r w:rsidRPr="00987D9E">
              <w:rPr>
                <w:rFonts w:ascii="Times New Roman" w:eastAsia="Calibri" w:hAnsi="Times New Roman" w:cs="Times New Roman"/>
                <w:b/>
                <w:bCs/>
              </w:rPr>
              <w:t xml:space="preserve">, </w:t>
            </w:r>
            <w:r w:rsidRPr="00987D9E">
              <w:rPr>
                <w:rFonts w:ascii="Times New Roman" w:eastAsia="Calibri" w:hAnsi="Times New Roman" w:cs="Times New Roman"/>
              </w:rPr>
              <w:t>practice usability</w:t>
            </w:r>
            <w:r w:rsidRPr="00987D9E">
              <w:rPr>
                <w:rFonts w:ascii="Times New Roman" w:eastAsia="Calibri" w:hAnsi="Times New Roman" w:cs="Times New Roman"/>
                <w:b/>
                <w:bCs/>
              </w:rPr>
              <w:t xml:space="preserve">, </w:t>
            </w:r>
            <w:r w:rsidRPr="00987D9E">
              <w:rPr>
                <w:rFonts w:ascii="Times New Roman" w:eastAsia="Calibri" w:hAnsi="Times New Roman" w:cs="Times New Roman"/>
              </w:rPr>
              <w:t>and</w:t>
            </w:r>
            <w:r w:rsidRPr="00987D9E">
              <w:rPr>
                <w:rFonts w:ascii="Times New Roman" w:eastAsia="Calibri" w:hAnsi="Times New Roman" w:cs="Times New Roman"/>
                <w:b/>
                <w:bCs/>
              </w:rPr>
              <w:t xml:space="preserve"> </w:t>
            </w:r>
            <w:r w:rsidRPr="00987D9E">
              <w:rPr>
                <w:rFonts w:ascii="Times New Roman" w:eastAsia="Calibri" w:hAnsi="Times New Roman" w:cs="Times New Roman"/>
              </w:rPr>
              <w:t>transferability</w:t>
            </w:r>
          </w:p>
        </w:tc>
      </w:tr>
      <w:tr w:rsidR="00987D9E" w:rsidRPr="00987D9E" w14:paraId="59B28CAD" w14:textId="77777777" w:rsidTr="00987D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14:paraId="16D72AAE" w14:textId="77777777" w:rsidR="00987D9E" w:rsidRPr="00987D9E" w:rsidRDefault="00987D9E" w:rsidP="00987D9E">
            <w:pPr>
              <w:spacing w:line="360" w:lineRule="auto"/>
              <w:jc w:val="both"/>
              <w:rPr>
                <w:rFonts w:ascii="Times New Roman" w:eastAsia="Calibri" w:hAnsi="Times New Roman" w:cs="Times New Roman"/>
              </w:rPr>
            </w:pPr>
            <w:r w:rsidRPr="00987D9E">
              <w:rPr>
                <w:rFonts w:ascii="Times New Roman" w:eastAsia="Calibri" w:hAnsi="Times New Roman" w:cs="Times New Roman"/>
              </w:rPr>
              <w:lastRenderedPageBreak/>
              <w:t>Significance</w:t>
            </w:r>
          </w:p>
        </w:tc>
        <w:tc>
          <w:tcPr>
            <w:tcW w:w="0" w:type="auto"/>
            <w:shd w:val="clear" w:color="auto" w:fill="FFFFFF"/>
            <w:hideMark/>
          </w:tcPr>
          <w:p w14:paraId="578D102E" w14:textId="77777777" w:rsidR="00987D9E" w:rsidRPr="00987D9E" w:rsidRDefault="00987D9E" w:rsidP="00987D9E">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w:r w:rsidRPr="00987D9E">
              <w:rPr>
                <w:rFonts w:ascii="Times New Roman" w:eastAsia="Calibri" w:hAnsi="Times New Roman" w:cs="Times New Roman"/>
              </w:rPr>
              <w:t>Potential to improve outcomes and address salient problems (acceptability, respectful care, delays, equity).</w:t>
            </w:r>
          </w:p>
        </w:tc>
      </w:tr>
    </w:tbl>
    <w:p w14:paraId="31CBAC21" w14:textId="77777777" w:rsidR="00987D9E" w:rsidRDefault="00987D9E" w:rsidP="00987D9E">
      <w:pPr>
        <w:spacing w:after="0" w:line="480" w:lineRule="auto"/>
        <w:jc w:val="both"/>
        <w:rPr>
          <w:rFonts w:ascii="Times New Roman" w:eastAsia="Calibri" w:hAnsi="Times New Roman" w:cs="Times New Roman"/>
          <w:b/>
          <w:bCs/>
        </w:rPr>
      </w:pPr>
    </w:p>
    <w:p w14:paraId="1E314D54" w14:textId="139D5959" w:rsidR="00FE727C" w:rsidRPr="00FE727C" w:rsidRDefault="00FE727C" w:rsidP="00FE727C">
      <w:pPr>
        <w:pStyle w:val="ListParagraph"/>
        <w:numPr>
          <w:ilvl w:val="1"/>
          <w:numId w:val="1"/>
        </w:numPr>
        <w:spacing w:after="0" w:line="480" w:lineRule="auto"/>
        <w:jc w:val="both"/>
        <w:rPr>
          <w:rFonts w:ascii="Times New Roman" w:eastAsia="Times New Roman" w:hAnsi="Times New Roman" w:cs="Times New Roman"/>
          <w:b/>
          <w:bCs/>
        </w:rPr>
      </w:pPr>
      <w:r w:rsidRPr="00FE727C">
        <w:rPr>
          <w:rFonts w:ascii="Times New Roman" w:eastAsia="Times New Roman" w:hAnsi="Times New Roman" w:cs="Times New Roman"/>
          <w:b/>
          <w:bCs/>
        </w:rPr>
        <w:t>Components of the Conceptual Framework</w:t>
      </w:r>
    </w:p>
    <w:p w14:paraId="647046A9" w14:textId="77777777" w:rsidR="00FE727C" w:rsidRPr="00987D9E" w:rsidRDefault="00FE727C" w:rsidP="00FE727C">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The conceptual framework for effective dissemination and implementation of doula support services in Bayelsa state, has six core elements as follows: health system and community environment (context) as where the dissemination and implementation; pregnant/postpartum women, their families, husbands and community influencers are the users (recipients), state ministry of health, facility leadership, nurses, midwives, obstetricians, media, CSOs, faith/women groups (agents), effective dissemination and implementation of doula support services (terminus); policy development and adoption, professional endorsement, training and certification, facility integration, community dissemination, piloting and iterative scale-up, monitoring, and sustainability (process), financial and logistics, government commitment, communication and cultural tailoring, NGOs/CSOs partnership (dynamics). The different meanings presented are explained as follows:</w:t>
      </w:r>
    </w:p>
    <w:p w14:paraId="4253B59C" w14:textId="77777777" w:rsidR="00FE727C" w:rsidRPr="00987D9E" w:rsidRDefault="00FE727C" w:rsidP="00FE727C">
      <w:pPr>
        <w:spacing w:after="0" w:line="480" w:lineRule="auto"/>
        <w:jc w:val="both"/>
        <w:rPr>
          <w:rFonts w:ascii="Times New Roman" w:eastAsia="Times New Roman" w:hAnsi="Times New Roman" w:cs="Times New Roman"/>
          <w:kern w:val="0"/>
          <w14:ligatures w14:val="none"/>
        </w:rPr>
      </w:pPr>
      <w:r w:rsidRPr="00987D9E">
        <w:rPr>
          <w:rFonts w:ascii="Times New Roman" w:eastAsia="Calibri" w:hAnsi="Times New Roman" w:cs="Times New Roman"/>
        </w:rPr>
        <w:t xml:space="preserve"> 1. </w:t>
      </w:r>
      <w:r w:rsidRPr="00987D9E">
        <w:rPr>
          <w:rFonts w:ascii="Times New Roman" w:eastAsia="Times New Roman" w:hAnsi="Times New Roman" w:cs="Times New Roman"/>
          <w:kern w:val="0"/>
          <w14:ligatures w14:val="none"/>
        </w:rPr>
        <w:t xml:space="preserve">The red outer band (“health system &amp; community environment”) is the contextual envelope. It </w:t>
      </w:r>
      <w:r w:rsidRPr="00987D9E">
        <w:rPr>
          <w:rFonts w:ascii="Times New Roman" w:eastAsia="Calibri" w:hAnsi="Times New Roman" w:cs="Times New Roman"/>
        </w:rPr>
        <w:t xml:space="preserve">represents the context in which the dissemination and implementation will take place. </w:t>
      </w:r>
      <w:r w:rsidRPr="00987D9E">
        <w:rPr>
          <w:rFonts w:ascii="Times New Roman" w:eastAsia="Times New Roman" w:hAnsi="Times New Roman" w:cs="Times New Roman"/>
          <w:kern w:val="0"/>
          <w14:ligatures w14:val="none"/>
        </w:rPr>
        <w:t xml:space="preserve">It is a reminder that every activity inside the circle is shaped by the wider </w:t>
      </w:r>
      <w:r w:rsidRPr="00987D9E">
        <w:rPr>
          <w:rFonts w:ascii="Times New Roman" w:eastAsia="Calibri" w:hAnsi="Times New Roman" w:cs="Times New Roman"/>
        </w:rPr>
        <w:t>Bayelsa’s health policies, facility realities, community</w:t>
      </w:r>
      <w:r w:rsidRPr="00987D9E">
        <w:rPr>
          <w:rFonts w:ascii="Times New Roman" w:eastAsia="Times New Roman" w:hAnsi="Times New Roman" w:cs="Times New Roman"/>
          <w:kern w:val="0"/>
          <w14:ligatures w14:val="none"/>
        </w:rPr>
        <w:t xml:space="preserve"> norms, language, and culture(environment). So, nothing runs in a vacuum.</w:t>
      </w:r>
    </w:p>
    <w:p w14:paraId="206AF0F3" w14:textId="77777777" w:rsidR="00FE727C" w:rsidRPr="00987D9E" w:rsidRDefault="00FE727C" w:rsidP="00FE727C">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2. The top yellow rectangle box indicates the actionable steps that power the conceptual framework for the effective dissemination and implementation of doula support services in Bayelsa state</w:t>
      </w:r>
      <w:r w:rsidRPr="00987D9E">
        <w:rPr>
          <w:rFonts w:ascii="Times New Roman" w:eastAsia="Calibri" w:hAnsi="Times New Roman" w:cs="Times New Roman"/>
          <w:i/>
          <w:iCs/>
        </w:rPr>
        <w:t xml:space="preserve">. </w:t>
      </w:r>
      <w:r w:rsidRPr="00987D9E">
        <w:rPr>
          <w:rFonts w:ascii="Times New Roman" w:eastAsia="Calibri" w:hAnsi="Times New Roman" w:cs="Times New Roman"/>
        </w:rPr>
        <w:t>These are the levers you pull to make doulas real in facilities and visible in communities.</w:t>
      </w:r>
    </w:p>
    <w:p w14:paraId="41AA547F" w14:textId="77777777" w:rsidR="00FE727C" w:rsidRPr="00987D9E" w:rsidRDefault="00FE727C" w:rsidP="00FE727C">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lastRenderedPageBreak/>
        <w:t xml:space="preserve">3. Right blue circle embodies the dynamics which are the enabling conditions that keep the program viable: government support and commitments, finance and logistics, NGO/CSO partners, communication and cultural tailoring.  This is where fiscal space, partnerships, and formal commitment live. It represents the energy needed to influence the agents, recipients and the process for the successful dissemination and implementation of doula support services. </w:t>
      </w:r>
    </w:p>
    <w:p w14:paraId="3E786B25" w14:textId="77777777" w:rsidR="00FE727C" w:rsidRPr="00987D9E" w:rsidRDefault="00FE727C" w:rsidP="00FE727C">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 xml:space="preserve">4. The bottom yellow rectangle box represents the organized implementers, which are </w:t>
      </w:r>
      <w:proofErr w:type="spellStart"/>
      <w:r w:rsidRPr="00987D9E">
        <w:rPr>
          <w:rFonts w:ascii="Times New Roman" w:eastAsia="Calibri" w:hAnsi="Times New Roman" w:cs="Times New Roman"/>
        </w:rPr>
        <w:t>SMoH</w:t>
      </w:r>
      <w:proofErr w:type="spellEnd"/>
      <w:r w:rsidRPr="00987D9E">
        <w:rPr>
          <w:rFonts w:ascii="Times New Roman" w:eastAsia="Calibri" w:hAnsi="Times New Roman" w:cs="Times New Roman"/>
        </w:rPr>
        <w:t xml:space="preserve"> &amp; facility leadership; nurses, midwives, obstetricians; media, CSOs &amp; NGOs; community influencers; faith/women groups. Placing this in yellow ties them directly to doing the process steps and being accountable for results. They execute the PROCESS steps, co-create messages, supervise quality, and keep services woman-</w:t>
      </w:r>
      <w:proofErr w:type="spellStart"/>
      <w:r w:rsidRPr="00987D9E">
        <w:rPr>
          <w:rFonts w:ascii="Times New Roman" w:eastAsia="Calibri" w:hAnsi="Times New Roman" w:cs="Times New Roman"/>
        </w:rPr>
        <w:t>centred</w:t>
      </w:r>
      <w:proofErr w:type="spellEnd"/>
      <w:r w:rsidRPr="00987D9E">
        <w:rPr>
          <w:rFonts w:ascii="Times New Roman" w:eastAsia="Calibri" w:hAnsi="Times New Roman" w:cs="Times New Roman"/>
        </w:rPr>
        <w:t>.</w:t>
      </w:r>
    </w:p>
    <w:p w14:paraId="2CB35092" w14:textId="77777777" w:rsidR="00FE727C" w:rsidRPr="00987D9E" w:rsidRDefault="00FE727C" w:rsidP="00FE727C">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5. The blue box on the left represents the intended beneficiaries, which are pregnant/postpartum women; husbands/partners &amp; families, community influencers. Placing this below signal that all upstream actions should translate into better support for women, their families, and community at large.</w:t>
      </w:r>
    </w:p>
    <w:p w14:paraId="479AC500" w14:textId="77777777" w:rsidR="00D81676" w:rsidRDefault="00FE727C" w:rsidP="00D81676">
      <w:pPr>
        <w:spacing w:after="0" w:line="480" w:lineRule="auto"/>
        <w:jc w:val="both"/>
        <w:rPr>
          <w:rFonts w:ascii="Times New Roman" w:eastAsia="Calibri" w:hAnsi="Times New Roman" w:cs="Times New Roman"/>
        </w:rPr>
      </w:pPr>
      <w:r w:rsidRPr="00987D9E">
        <w:rPr>
          <w:rFonts w:ascii="Times New Roman" w:eastAsia="Calibri" w:hAnsi="Times New Roman" w:cs="Times New Roman"/>
        </w:rPr>
        <w:t>6. The deep yellow center box indicates the outcomes which is effective dissemination &amp; implementation of doula support services; awareness &amp; acceptability; adoption by officials; fidelity &amp; consistent practice; improved maternal experience; reduced delays in care. This is the destination of the pathway. Arrows feed into it from the PROCESS and out towards RECIPIENTS, showing that strong processes should culminate in tangible client-level and system-level gains.</w:t>
      </w:r>
    </w:p>
    <w:p w14:paraId="272501BA" w14:textId="4240BE81" w:rsidR="00A541F6" w:rsidRPr="00D81676" w:rsidRDefault="00D81676" w:rsidP="00D81676">
      <w:pPr>
        <w:spacing w:after="0" w:line="480" w:lineRule="auto"/>
        <w:jc w:val="both"/>
        <w:rPr>
          <w:rFonts w:ascii="Times New Roman" w:eastAsia="Calibri" w:hAnsi="Times New Roman" w:cs="Times New Roman"/>
        </w:rPr>
      </w:pPr>
      <w:r>
        <w:rPr>
          <w:rFonts w:ascii="Times New Roman" w:eastAsia="Calibri" w:hAnsi="Times New Roman" w:cs="Times New Roman"/>
        </w:rPr>
        <w:t xml:space="preserve">4. </w:t>
      </w:r>
      <w:r w:rsidR="00A541F6" w:rsidRPr="002A6BAF">
        <w:rPr>
          <w:rFonts w:ascii="Times New Roman" w:hAnsi="Times New Roman" w:cs="Times New Roman"/>
          <w:b/>
          <w:bCs/>
        </w:rPr>
        <w:t xml:space="preserve">Conclusion </w:t>
      </w:r>
    </w:p>
    <w:p w14:paraId="48B7C69C" w14:textId="77A262BA" w:rsidR="006E1137" w:rsidRPr="006553D2" w:rsidRDefault="00A541F6" w:rsidP="006553D2">
      <w:pPr>
        <w:spacing w:after="0" w:line="480" w:lineRule="auto"/>
        <w:jc w:val="both"/>
        <w:outlineLvl w:val="1"/>
        <w:rPr>
          <w:rFonts w:ascii="Times New Roman" w:hAnsi="Times New Roman" w:cs="Times New Roman"/>
        </w:rPr>
      </w:pPr>
      <w:r w:rsidRPr="002A6BAF">
        <w:rPr>
          <w:rFonts w:ascii="Times New Roman" w:hAnsi="Times New Roman" w:cs="Times New Roman"/>
        </w:rPr>
        <w:t>Stakeholders in Bayelsa show strong readiness to adopt doula support, but progress hinges on enabling policy, clear role codification, and financing, and embedding doulas within routine maternal</w:t>
      </w:r>
      <w:r>
        <w:rPr>
          <w:rFonts w:ascii="Times New Roman" w:hAnsi="Times New Roman" w:cs="Times New Roman"/>
        </w:rPr>
        <w:t xml:space="preserve"> and </w:t>
      </w:r>
      <w:r w:rsidRPr="002A6BAF">
        <w:rPr>
          <w:rFonts w:ascii="Times New Roman" w:hAnsi="Times New Roman" w:cs="Times New Roman"/>
        </w:rPr>
        <w:t>newborn services. The study translates local insights into a practical, s</w:t>
      </w:r>
      <w:r>
        <w:rPr>
          <w:rFonts w:ascii="Times New Roman" w:hAnsi="Times New Roman" w:cs="Times New Roman"/>
        </w:rPr>
        <w:t>ix</w:t>
      </w:r>
      <w:r w:rsidRPr="002A6BAF">
        <w:rPr>
          <w:rFonts w:ascii="Times New Roman" w:hAnsi="Times New Roman" w:cs="Times New Roman"/>
        </w:rPr>
        <w:t xml:space="preserve">-component </w:t>
      </w:r>
      <w:r w:rsidRPr="002A6BAF">
        <w:rPr>
          <w:rFonts w:ascii="Times New Roman" w:hAnsi="Times New Roman" w:cs="Times New Roman"/>
        </w:rPr>
        <w:lastRenderedPageBreak/>
        <w:t xml:space="preserve">framework that aligns training, professional endorsement, facility integration, community dissemination, and monitoring to accelerate equitable, respectful, continuous support during childbirth. Successful uptake will require coordinated leadership from government, professional bodies, training institutions, facility managers, and communities. </w:t>
      </w:r>
      <w:bookmarkStart w:id="6" w:name="_GoBack"/>
      <w:bookmarkEnd w:id="6"/>
    </w:p>
    <w:p w14:paraId="5621C97D" w14:textId="77777777" w:rsidR="006E1137" w:rsidRDefault="006E1137" w:rsidP="00D81676">
      <w:pPr>
        <w:rPr>
          <w:rFonts w:ascii="Times New Roman" w:eastAsia="Times New Roman" w:hAnsi="Times New Roman" w:cs="Times New Roman"/>
          <w:kern w:val="0"/>
          <w14:ligatures w14:val="none"/>
        </w:rPr>
      </w:pPr>
    </w:p>
    <w:p w14:paraId="2D79E7DB" w14:textId="2781D889" w:rsidR="006E1137" w:rsidRDefault="006E1137" w:rsidP="00D81676">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REFERENCES</w:t>
      </w:r>
    </w:p>
    <w:p w14:paraId="2F8DB9B7" w14:textId="3F4305B5" w:rsidR="00586F5E" w:rsidRDefault="00586F5E" w:rsidP="00D81676">
      <w:pPr>
        <w:rPr>
          <w:rFonts w:ascii="Times New Roman" w:hAnsi="Times New Roman" w:cs="Times New Roman"/>
        </w:rPr>
      </w:pPr>
      <w:r w:rsidRPr="00586F5E">
        <w:rPr>
          <w:rFonts w:ascii="Times New Roman" w:hAnsi="Times New Roman" w:cs="Times New Roman"/>
        </w:rPr>
        <w:t xml:space="preserve">Souza, J. P., Day, L. T., Rezende-Gomes, A. C., Zhang, J., Mori, R., </w:t>
      </w:r>
      <w:proofErr w:type="spellStart"/>
      <w:r w:rsidRPr="00586F5E">
        <w:rPr>
          <w:rFonts w:ascii="Times New Roman" w:hAnsi="Times New Roman" w:cs="Times New Roman"/>
        </w:rPr>
        <w:t>Baguiya</w:t>
      </w:r>
      <w:proofErr w:type="spellEnd"/>
      <w:r w:rsidRPr="00586F5E">
        <w:rPr>
          <w:rFonts w:ascii="Times New Roman" w:hAnsi="Times New Roman" w:cs="Times New Roman"/>
        </w:rPr>
        <w:t>, A., ... &amp; Oladapo, O. T. (2024). A global analysis of the determinants of maternal health and transitions in maternal mortality. The Lancet Global Health, 12(2), e306-e316.</w:t>
      </w:r>
      <w:r>
        <w:rPr>
          <w:rFonts w:ascii="Times New Roman" w:hAnsi="Times New Roman" w:cs="Times New Roman"/>
        </w:rPr>
        <w:t xml:space="preserve"> </w:t>
      </w:r>
    </w:p>
    <w:p w14:paraId="1D43C5AD" w14:textId="77777777" w:rsidR="00586F5E" w:rsidRPr="00586F5E" w:rsidRDefault="00586F5E" w:rsidP="00586F5E">
      <w:pPr>
        <w:rPr>
          <w:rFonts w:ascii="Times New Roman" w:hAnsi="Times New Roman" w:cs="Times New Roman"/>
        </w:rPr>
      </w:pPr>
      <w:proofErr w:type="spellStart"/>
      <w:r w:rsidRPr="00586F5E">
        <w:rPr>
          <w:rFonts w:ascii="Times New Roman" w:hAnsi="Times New Roman" w:cs="Times New Roman"/>
        </w:rPr>
        <w:t>Ekwuazi</w:t>
      </w:r>
      <w:proofErr w:type="spellEnd"/>
      <w:r w:rsidRPr="00586F5E">
        <w:rPr>
          <w:rFonts w:ascii="Times New Roman" w:hAnsi="Times New Roman" w:cs="Times New Roman"/>
        </w:rPr>
        <w:t xml:space="preserve">, E. K., Chigbu, C. O., &amp; </w:t>
      </w:r>
      <w:proofErr w:type="spellStart"/>
      <w:r w:rsidRPr="00586F5E">
        <w:rPr>
          <w:rFonts w:ascii="Times New Roman" w:hAnsi="Times New Roman" w:cs="Times New Roman"/>
        </w:rPr>
        <w:t>Ngene</w:t>
      </w:r>
      <w:proofErr w:type="spellEnd"/>
      <w:r w:rsidRPr="00586F5E">
        <w:rPr>
          <w:rFonts w:ascii="Times New Roman" w:hAnsi="Times New Roman" w:cs="Times New Roman"/>
        </w:rPr>
        <w:t>, N. C. (2023). Reducing maternal mortality in low- and middle-income countries. Case reports in women's health, 39, e00542. https://doi.org/10.1016/j.crwh.2023.e00542</w:t>
      </w:r>
    </w:p>
    <w:p w14:paraId="71E72825" w14:textId="77777777" w:rsidR="00586F5E" w:rsidRPr="00586F5E" w:rsidRDefault="00586F5E" w:rsidP="00586F5E">
      <w:pPr>
        <w:rPr>
          <w:rFonts w:ascii="Times New Roman" w:hAnsi="Times New Roman" w:cs="Times New Roman"/>
        </w:rPr>
      </w:pPr>
      <w:r>
        <w:rPr>
          <w:rFonts w:ascii="Times New Roman" w:hAnsi="Times New Roman" w:cs="Times New Roman"/>
        </w:rPr>
        <w:t xml:space="preserve"> </w:t>
      </w:r>
      <w:proofErr w:type="spellStart"/>
      <w:r w:rsidRPr="00586F5E">
        <w:rPr>
          <w:rFonts w:ascii="Times New Roman" w:hAnsi="Times New Roman" w:cs="Times New Roman"/>
        </w:rPr>
        <w:t>Shobiye</w:t>
      </w:r>
      <w:proofErr w:type="spellEnd"/>
      <w:r w:rsidRPr="00586F5E">
        <w:rPr>
          <w:rFonts w:ascii="Times New Roman" w:hAnsi="Times New Roman" w:cs="Times New Roman"/>
        </w:rPr>
        <w:t xml:space="preserve">, D. M., Omotola, A., Zhao, Y., Zhang, J., </w:t>
      </w:r>
      <w:proofErr w:type="spellStart"/>
      <w:r w:rsidRPr="00586F5E">
        <w:rPr>
          <w:rFonts w:ascii="Times New Roman" w:hAnsi="Times New Roman" w:cs="Times New Roman"/>
        </w:rPr>
        <w:t>Ekawati</w:t>
      </w:r>
      <w:proofErr w:type="spellEnd"/>
      <w:r w:rsidRPr="00586F5E">
        <w:rPr>
          <w:rFonts w:ascii="Times New Roman" w:hAnsi="Times New Roman" w:cs="Times New Roman"/>
        </w:rPr>
        <w:t xml:space="preserve">, F. M., &amp; </w:t>
      </w:r>
      <w:proofErr w:type="spellStart"/>
      <w:r w:rsidRPr="00586F5E">
        <w:rPr>
          <w:rFonts w:ascii="Times New Roman" w:hAnsi="Times New Roman" w:cs="Times New Roman"/>
        </w:rPr>
        <w:t>Shobiye</w:t>
      </w:r>
      <w:proofErr w:type="spellEnd"/>
      <w:r w:rsidRPr="00586F5E">
        <w:rPr>
          <w:rFonts w:ascii="Times New Roman" w:hAnsi="Times New Roman" w:cs="Times New Roman"/>
        </w:rPr>
        <w:t xml:space="preserve">, H. O. (2022). Infant mortality and risk factors in Nigeria in 2013-2017: A population-level study. </w:t>
      </w:r>
      <w:proofErr w:type="spellStart"/>
      <w:r w:rsidRPr="00586F5E">
        <w:rPr>
          <w:rFonts w:ascii="Times New Roman" w:hAnsi="Times New Roman" w:cs="Times New Roman"/>
        </w:rPr>
        <w:t>EClinicalMedicine</w:t>
      </w:r>
      <w:proofErr w:type="spellEnd"/>
      <w:r w:rsidRPr="00586F5E">
        <w:rPr>
          <w:rFonts w:ascii="Times New Roman" w:hAnsi="Times New Roman" w:cs="Times New Roman"/>
        </w:rPr>
        <w:t>, 51, 101622. https://doi.org/10.1016/j.eclinm.2022.101622</w:t>
      </w:r>
    </w:p>
    <w:p w14:paraId="093ECDF8" w14:textId="41B21B34" w:rsidR="00586F5E" w:rsidRDefault="00586F5E" w:rsidP="00D81676">
      <w:pPr>
        <w:rPr>
          <w:rFonts w:ascii="Times New Roman" w:hAnsi="Times New Roman" w:cs="Times New Roman"/>
        </w:rPr>
      </w:pPr>
      <w:r>
        <w:rPr>
          <w:rFonts w:ascii="Times New Roman" w:hAnsi="Times New Roman" w:cs="Times New Roman"/>
        </w:rPr>
        <w:t xml:space="preserve"> </w:t>
      </w:r>
      <w:r w:rsidRPr="00586F5E">
        <w:rPr>
          <w:rFonts w:ascii="Times New Roman" w:hAnsi="Times New Roman" w:cs="Times New Roman"/>
        </w:rPr>
        <w:t xml:space="preserve">Adedini, S. A., Ibrahim, E. A., </w:t>
      </w:r>
      <w:proofErr w:type="spellStart"/>
      <w:r w:rsidRPr="00586F5E">
        <w:rPr>
          <w:rFonts w:ascii="Times New Roman" w:hAnsi="Times New Roman" w:cs="Times New Roman"/>
        </w:rPr>
        <w:t>Ogunwemimo</w:t>
      </w:r>
      <w:proofErr w:type="spellEnd"/>
      <w:r w:rsidRPr="00586F5E">
        <w:rPr>
          <w:rFonts w:ascii="Times New Roman" w:hAnsi="Times New Roman" w:cs="Times New Roman"/>
        </w:rPr>
        <w:t>, H. S., Oladele, O. S., Abatan, S. M., &amp; Adekola, P. O. (2025). Decomposing the gap in under-five mortality determinants between the low-and high-risk regions of Nigeria. Scientific Reports, 15(1), 36407.</w:t>
      </w:r>
      <w:r>
        <w:rPr>
          <w:rFonts w:ascii="Times New Roman" w:hAnsi="Times New Roman" w:cs="Times New Roman"/>
        </w:rPr>
        <w:t xml:space="preserve"> </w:t>
      </w:r>
    </w:p>
    <w:p w14:paraId="68CA6438" w14:textId="37739960" w:rsidR="00586F5E" w:rsidRDefault="00586F5E" w:rsidP="00D81676">
      <w:pPr>
        <w:rPr>
          <w:rFonts w:ascii="Times New Roman" w:hAnsi="Times New Roman" w:cs="Times New Roman"/>
        </w:rPr>
      </w:pPr>
    </w:p>
    <w:p w14:paraId="68CFDA54" w14:textId="08F7BC49" w:rsidR="00586F5E" w:rsidRDefault="00586F5E" w:rsidP="00D81676">
      <w:pPr>
        <w:rPr>
          <w:rFonts w:ascii="Times New Roman" w:hAnsi="Times New Roman" w:cs="Times New Roman"/>
        </w:rPr>
      </w:pPr>
    </w:p>
    <w:p w14:paraId="67F682C3" w14:textId="562183AE" w:rsidR="00311E8C" w:rsidRDefault="00311E8C" w:rsidP="00D81676">
      <w:pPr>
        <w:rPr>
          <w:rFonts w:ascii="Times New Roman" w:hAnsi="Times New Roman" w:cs="Times New Roman"/>
        </w:rPr>
      </w:pPr>
      <w:proofErr w:type="spellStart"/>
      <w:r w:rsidRPr="00311E8C">
        <w:rPr>
          <w:rFonts w:ascii="Times New Roman" w:hAnsi="Times New Roman" w:cs="Times New Roman"/>
        </w:rPr>
        <w:t>Ebinim</w:t>
      </w:r>
      <w:proofErr w:type="spellEnd"/>
      <w:r w:rsidRPr="00311E8C">
        <w:rPr>
          <w:rFonts w:ascii="Times New Roman" w:hAnsi="Times New Roman" w:cs="Times New Roman"/>
        </w:rPr>
        <w:t xml:space="preserve">, H., Olatunji, O., Samuel, O., Oluwatola, T., </w:t>
      </w:r>
      <w:proofErr w:type="spellStart"/>
      <w:r w:rsidRPr="00311E8C">
        <w:rPr>
          <w:rFonts w:ascii="Times New Roman" w:hAnsi="Times New Roman" w:cs="Times New Roman"/>
        </w:rPr>
        <w:t>Hoemeke</w:t>
      </w:r>
      <w:proofErr w:type="spellEnd"/>
      <w:r w:rsidRPr="00311E8C">
        <w:rPr>
          <w:rFonts w:ascii="Times New Roman" w:hAnsi="Times New Roman" w:cs="Times New Roman"/>
        </w:rPr>
        <w:t xml:space="preserve">, L., </w:t>
      </w:r>
      <w:proofErr w:type="spellStart"/>
      <w:r w:rsidRPr="00311E8C">
        <w:rPr>
          <w:rFonts w:ascii="Times New Roman" w:hAnsi="Times New Roman" w:cs="Times New Roman"/>
        </w:rPr>
        <w:t>Chenge</w:t>
      </w:r>
      <w:proofErr w:type="spellEnd"/>
      <w:r w:rsidRPr="00311E8C">
        <w:rPr>
          <w:rFonts w:ascii="Times New Roman" w:hAnsi="Times New Roman" w:cs="Times New Roman"/>
        </w:rPr>
        <w:t>, C., ... &amp; Sampson, S. (2025). Addressing skilled birth attendants’ needs of primary healthcare facilities in Nigeria using the human resources for health solutions model. Discover Health Systems, 4(1), 59.</w:t>
      </w:r>
      <w:r w:rsidR="00817A60">
        <w:rPr>
          <w:rFonts w:ascii="Times New Roman" w:hAnsi="Times New Roman" w:cs="Times New Roman"/>
        </w:rPr>
        <w:t xml:space="preserve"> </w:t>
      </w:r>
    </w:p>
    <w:p w14:paraId="7139E011" w14:textId="77777777" w:rsidR="00817A60" w:rsidRPr="00817A60" w:rsidRDefault="00817A60" w:rsidP="00817A60">
      <w:pPr>
        <w:rPr>
          <w:rFonts w:ascii="Times New Roman" w:hAnsi="Times New Roman" w:cs="Times New Roman"/>
        </w:rPr>
      </w:pPr>
      <w:r w:rsidRPr="00817A60">
        <w:rPr>
          <w:rFonts w:ascii="Times New Roman" w:hAnsi="Times New Roman" w:cs="Times New Roman"/>
        </w:rPr>
        <w:t>Sobczak, A., Taylor, L., Solomon, S., Ho, J., Kemper, S., Phillips, B., Jacobson, K., Castellano, C., Ring, A., Castellano, B., &amp; Jacobs, R. J. (2023). The Effect of Doulas on Maternal and Birth Outcomes: A Scoping Review. Cureus, 15(5), e39451. https://doi.org/10.7759/cureus.39451</w:t>
      </w:r>
    </w:p>
    <w:p w14:paraId="7D105CDD" w14:textId="77777777" w:rsidR="00817A60" w:rsidRPr="00811345" w:rsidRDefault="00817A60" w:rsidP="00D81676">
      <w:pPr>
        <w:rPr>
          <w:rFonts w:ascii="Times New Roman" w:hAnsi="Times New Roman" w:cs="Times New Roman"/>
        </w:rPr>
      </w:pPr>
    </w:p>
    <w:sectPr w:rsidR="00817A60" w:rsidRPr="008113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B51E8" w14:textId="77777777" w:rsidR="00E069CF" w:rsidRDefault="00E069CF" w:rsidP="00A23367">
      <w:pPr>
        <w:spacing w:after="0" w:line="240" w:lineRule="auto"/>
      </w:pPr>
      <w:r>
        <w:separator/>
      </w:r>
    </w:p>
  </w:endnote>
  <w:endnote w:type="continuationSeparator" w:id="0">
    <w:p w14:paraId="416D9D4E" w14:textId="77777777" w:rsidR="00E069CF" w:rsidRDefault="00E069CF" w:rsidP="00A2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5D49" w14:textId="77777777" w:rsidR="00A23367" w:rsidRDefault="00A23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4FCCE" w14:textId="77777777" w:rsidR="00A23367" w:rsidRDefault="00A23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549A7" w14:textId="77777777" w:rsidR="00A23367" w:rsidRDefault="00A23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891A8" w14:textId="77777777" w:rsidR="00E069CF" w:rsidRDefault="00E069CF" w:rsidP="00A23367">
      <w:pPr>
        <w:spacing w:after="0" w:line="240" w:lineRule="auto"/>
      </w:pPr>
      <w:r>
        <w:separator/>
      </w:r>
    </w:p>
  </w:footnote>
  <w:footnote w:type="continuationSeparator" w:id="0">
    <w:p w14:paraId="7002A80A" w14:textId="77777777" w:rsidR="00E069CF" w:rsidRDefault="00E069CF" w:rsidP="00A2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A9F06" w14:textId="4DA6D795" w:rsidR="00A23367" w:rsidRDefault="00A23367">
    <w:pPr>
      <w:pStyle w:val="Header"/>
    </w:pPr>
    <w:r>
      <w:rPr>
        <w:noProof/>
      </w:rPr>
      <w:pict w14:anchorId="61EC9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34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8712" w14:textId="0C5299C1" w:rsidR="00A23367" w:rsidRDefault="00A23367">
    <w:pPr>
      <w:pStyle w:val="Header"/>
    </w:pPr>
    <w:r>
      <w:rPr>
        <w:noProof/>
      </w:rPr>
      <w:pict w14:anchorId="04C17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34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9C057" w14:textId="45B478F5" w:rsidR="00A23367" w:rsidRDefault="00A23367">
    <w:pPr>
      <w:pStyle w:val="Header"/>
    </w:pPr>
    <w:r>
      <w:rPr>
        <w:noProof/>
      </w:rPr>
      <w:pict w14:anchorId="133079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34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D0D"/>
    <w:multiLevelType w:val="multilevel"/>
    <w:tmpl w:val="3B5CA4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3E73DE1"/>
    <w:multiLevelType w:val="hybridMultilevel"/>
    <w:tmpl w:val="E242B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47B74"/>
    <w:multiLevelType w:val="hybridMultilevel"/>
    <w:tmpl w:val="4F3C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484BF0"/>
    <w:multiLevelType w:val="multilevel"/>
    <w:tmpl w:val="27F64D0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2NzAwNTezNDczsDBR0lEKTi0uzszPAykwrAUAwTRZzCwAAAA="/>
  </w:docVars>
  <w:rsids>
    <w:rsidRoot w:val="00987D9E"/>
    <w:rsid w:val="0007344C"/>
    <w:rsid w:val="00081113"/>
    <w:rsid w:val="000A4CF5"/>
    <w:rsid w:val="00173F29"/>
    <w:rsid w:val="00196977"/>
    <w:rsid w:val="001D6C87"/>
    <w:rsid w:val="00205764"/>
    <w:rsid w:val="003050AA"/>
    <w:rsid w:val="00311E8C"/>
    <w:rsid w:val="00371348"/>
    <w:rsid w:val="003C5399"/>
    <w:rsid w:val="004003B9"/>
    <w:rsid w:val="00414549"/>
    <w:rsid w:val="00557814"/>
    <w:rsid w:val="00557FE7"/>
    <w:rsid w:val="005820C4"/>
    <w:rsid w:val="00586F5E"/>
    <w:rsid w:val="00594148"/>
    <w:rsid w:val="006015FC"/>
    <w:rsid w:val="00610D09"/>
    <w:rsid w:val="00646552"/>
    <w:rsid w:val="006553D2"/>
    <w:rsid w:val="006A521B"/>
    <w:rsid w:val="006A7CEF"/>
    <w:rsid w:val="006E1137"/>
    <w:rsid w:val="00780F63"/>
    <w:rsid w:val="007B5376"/>
    <w:rsid w:val="007C22ED"/>
    <w:rsid w:val="007C7CBC"/>
    <w:rsid w:val="007D452E"/>
    <w:rsid w:val="007F187A"/>
    <w:rsid w:val="007F60C6"/>
    <w:rsid w:val="00811345"/>
    <w:rsid w:val="00817A60"/>
    <w:rsid w:val="00876B23"/>
    <w:rsid w:val="008C2F7F"/>
    <w:rsid w:val="00912EC6"/>
    <w:rsid w:val="0095594B"/>
    <w:rsid w:val="00957E55"/>
    <w:rsid w:val="00987D9E"/>
    <w:rsid w:val="009B386D"/>
    <w:rsid w:val="009F1B6E"/>
    <w:rsid w:val="00A23367"/>
    <w:rsid w:val="00A44CCC"/>
    <w:rsid w:val="00A541F6"/>
    <w:rsid w:val="00B25072"/>
    <w:rsid w:val="00B7591A"/>
    <w:rsid w:val="00BC7D68"/>
    <w:rsid w:val="00C14A73"/>
    <w:rsid w:val="00C323F0"/>
    <w:rsid w:val="00CD3DCB"/>
    <w:rsid w:val="00D659CE"/>
    <w:rsid w:val="00D81676"/>
    <w:rsid w:val="00D82A9D"/>
    <w:rsid w:val="00DB6168"/>
    <w:rsid w:val="00DE7036"/>
    <w:rsid w:val="00DF6138"/>
    <w:rsid w:val="00E069CF"/>
    <w:rsid w:val="00E36BD2"/>
    <w:rsid w:val="00EC51B8"/>
    <w:rsid w:val="00ED324A"/>
    <w:rsid w:val="00F359E2"/>
    <w:rsid w:val="00FA55DA"/>
    <w:rsid w:val="00FC67D5"/>
    <w:rsid w:val="00FE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77F46F"/>
  <w15:chartTrackingRefBased/>
  <w15:docId w15:val="{BFB40749-1C19-4D26-B6E2-63B1856C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D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D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D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D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D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D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D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D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D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D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D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D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D9E"/>
    <w:rPr>
      <w:rFonts w:eastAsiaTheme="majorEastAsia" w:cstheme="majorBidi"/>
      <w:color w:val="272727" w:themeColor="text1" w:themeTint="D8"/>
    </w:rPr>
  </w:style>
  <w:style w:type="paragraph" w:styleId="Title">
    <w:name w:val="Title"/>
    <w:basedOn w:val="Normal"/>
    <w:next w:val="Normal"/>
    <w:link w:val="TitleChar"/>
    <w:uiPriority w:val="10"/>
    <w:qFormat/>
    <w:rsid w:val="00987D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D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D9E"/>
    <w:pPr>
      <w:spacing w:before="160"/>
      <w:jc w:val="center"/>
    </w:pPr>
    <w:rPr>
      <w:i/>
      <w:iCs/>
      <w:color w:val="404040" w:themeColor="text1" w:themeTint="BF"/>
    </w:rPr>
  </w:style>
  <w:style w:type="character" w:customStyle="1" w:styleId="QuoteChar">
    <w:name w:val="Quote Char"/>
    <w:basedOn w:val="DefaultParagraphFont"/>
    <w:link w:val="Quote"/>
    <w:uiPriority w:val="29"/>
    <w:rsid w:val="00987D9E"/>
    <w:rPr>
      <w:i/>
      <w:iCs/>
      <w:color w:val="404040" w:themeColor="text1" w:themeTint="BF"/>
    </w:rPr>
  </w:style>
  <w:style w:type="paragraph" w:styleId="ListParagraph">
    <w:name w:val="List Paragraph"/>
    <w:basedOn w:val="Normal"/>
    <w:uiPriority w:val="34"/>
    <w:qFormat/>
    <w:rsid w:val="00987D9E"/>
    <w:pPr>
      <w:ind w:left="720"/>
      <w:contextualSpacing/>
    </w:pPr>
  </w:style>
  <w:style w:type="character" w:styleId="IntenseEmphasis">
    <w:name w:val="Intense Emphasis"/>
    <w:basedOn w:val="DefaultParagraphFont"/>
    <w:uiPriority w:val="21"/>
    <w:qFormat/>
    <w:rsid w:val="00987D9E"/>
    <w:rPr>
      <w:i/>
      <w:iCs/>
      <w:color w:val="2F5496" w:themeColor="accent1" w:themeShade="BF"/>
    </w:rPr>
  </w:style>
  <w:style w:type="paragraph" w:styleId="IntenseQuote">
    <w:name w:val="Intense Quote"/>
    <w:basedOn w:val="Normal"/>
    <w:next w:val="Normal"/>
    <w:link w:val="IntenseQuoteChar"/>
    <w:uiPriority w:val="30"/>
    <w:qFormat/>
    <w:rsid w:val="00987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D9E"/>
    <w:rPr>
      <w:i/>
      <w:iCs/>
      <w:color w:val="2F5496" w:themeColor="accent1" w:themeShade="BF"/>
    </w:rPr>
  </w:style>
  <w:style w:type="character" w:styleId="IntenseReference">
    <w:name w:val="Intense Reference"/>
    <w:basedOn w:val="DefaultParagraphFont"/>
    <w:uiPriority w:val="32"/>
    <w:qFormat/>
    <w:rsid w:val="00987D9E"/>
    <w:rPr>
      <w:b/>
      <w:bCs/>
      <w:smallCaps/>
      <w:color w:val="2F5496" w:themeColor="accent1" w:themeShade="BF"/>
      <w:spacing w:val="5"/>
    </w:rPr>
  </w:style>
  <w:style w:type="table" w:customStyle="1" w:styleId="PlainTable41">
    <w:name w:val="Plain Table 41"/>
    <w:basedOn w:val="TableNormal"/>
    <w:next w:val="PlainTable4"/>
    <w:uiPriority w:val="44"/>
    <w:rsid w:val="00987D9E"/>
    <w:pPr>
      <w:spacing w:after="0" w:line="240" w:lineRule="auto"/>
    </w:pPr>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987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41454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14549"/>
    <w:rPr>
      <w:b/>
      <w:bCs/>
    </w:rPr>
  </w:style>
  <w:style w:type="character" w:styleId="Hyperlink">
    <w:name w:val="Hyperlink"/>
    <w:basedOn w:val="DefaultParagraphFont"/>
    <w:uiPriority w:val="99"/>
    <w:unhideWhenUsed/>
    <w:rsid w:val="00FA55DA"/>
    <w:rPr>
      <w:color w:val="0563C1" w:themeColor="hyperlink"/>
      <w:u w:val="single"/>
    </w:rPr>
  </w:style>
  <w:style w:type="character" w:customStyle="1" w:styleId="UnresolvedMention1">
    <w:name w:val="Unresolved Mention1"/>
    <w:basedOn w:val="DefaultParagraphFont"/>
    <w:uiPriority w:val="99"/>
    <w:semiHidden/>
    <w:unhideWhenUsed/>
    <w:rsid w:val="00FA55DA"/>
    <w:rPr>
      <w:color w:val="605E5C"/>
      <w:shd w:val="clear" w:color="auto" w:fill="E1DFDD"/>
    </w:rPr>
  </w:style>
  <w:style w:type="table" w:styleId="TableGrid">
    <w:name w:val="Table Grid"/>
    <w:basedOn w:val="TableNormal"/>
    <w:uiPriority w:val="39"/>
    <w:rsid w:val="0019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367"/>
  </w:style>
  <w:style w:type="paragraph" w:styleId="Footer">
    <w:name w:val="footer"/>
    <w:basedOn w:val="Normal"/>
    <w:link w:val="FooterChar"/>
    <w:uiPriority w:val="99"/>
    <w:unhideWhenUsed/>
    <w:rsid w:val="00A23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7311">
      <w:bodyDiv w:val="1"/>
      <w:marLeft w:val="0"/>
      <w:marRight w:val="0"/>
      <w:marTop w:val="0"/>
      <w:marBottom w:val="0"/>
      <w:divBdr>
        <w:top w:val="none" w:sz="0" w:space="0" w:color="auto"/>
        <w:left w:val="none" w:sz="0" w:space="0" w:color="auto"/>
        <w:bottom w:val="none" w:sz="0" w:space="0" w:color="auto"/>
        <w:right w:val="none" w:sz="0" w:space="0" w:color="auto"/>
      </w:divBdr>
      <w:divsChild>
        <w:div w:id="30639647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45502734">
      <w:bodyDiv w:val="1"/>
      <w:marLeft w:val="0"/>
      <w:marRight w:val="0"/>
      <w:marTop w:val="0"/>
      <w:marBottom w:val="0"/>
      <w:divBdr>
        <w:top w:val="none" w:sz="0" w:space="0" w:color="auto"/>
        <w:left w:val="none" w:sz="0" w:space="0" w:color="auto"/>
        <w:bottom w:val="none" w:sz="0" w:space="0" w:color="auto"/>
        <w:right w:val="none" w:sz="0" w:space="0" w:color="auto"/>
      </w:divBdr>
      <w:divsChild>
        <w:div w:id="111355324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82661761">
      <w:bodyDiv w:val="1"/>
      <w:marLeft w:val="0"/>
      <w:marRight w:val="0"/>
      <w:marTop w:val="0"/>
      <w:marBottom w:val="0"/>
      <w:divBdr>
        <w:top w:val="none" w:sz="0" w:space="0" w:color="auto"/>
        <w:left w:val="none" w:sz="0" w:space="0" w:color="auto"/>
        <w:bottom w:val="none" w:sz="0" w:space="0" w:color="auto"/>
        <w:right w:val="none" w:sz="0" w:space="0" w:color="auto"/>
      </w:divBdr>
      <w:divsChild>
        <w:div w:id="18594736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74493140">
      <w:bodyDiv w:val="1"/>
      <w:marLeft w:val="0"/>
      <w:marRight w:val="0"/>
      <w:marTop w:val="0"/>
      <w:marBottom w:val="0"/>
      <w:divBdr>
        <w:top w:val="none" w:sz="0" w:space="0" w:color="auto"/>
        <w:left w:val="none" w:sz="0" w:space="0" w:color="auto"/>
        <w:bottom w:val="none" w:sz="0" w:space="0" w:color="auto"/>
        <w:right w:val="none" w:sz="0" w:space="0" w:color="auto"/>
      </w:divBdr>
      <w:divsChild>
        <w:div w:id="19192098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23</Pages>
  <Words>6526</Words>
  <Characters>37202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Jimmy Agada</dc:creator>
  <cp:keywords/>
  <dc:description/>
  <cp:lastModifiedBy>SDI PC 1170</cp:lastModifiedBy>
  <cp:revision>46</cp:revision>
  <dcterms:created xsi:type="dcterms:W3CDTF">2026-01-11T13:53:00Z</dcterms:created>
  <dcterms:modified xsi:type="dcterms:W3CDTF">2026-01-21T09:48:00Z</dcterms:modified>
</cp:coreProperties>
</file>