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6CFC7" w14:textId="77777777" w:rsidR="00D67D3D" w:rsidRPr="00D67D3D" w:rsidRDefault="00D67D3D" w:rsidP="00D67D3D">
      <w:pPr>
        <w:spacing w:after="0" w:line="240" w:lineRule="auto"/>
        <w:ind w:right="27"/>
        <w:jc w:val="right"/>
        <w:rPr>
          <w:rFonts w:ascii="Arial" w:eastAsia="Times New Roman" w:hAnsi="Arial" w:cs="Arial"/>
          <w:b/>
          <w:bCs/>
          <w:i/>
          <w:iCs/>
          <w:sz w:val="24"/>
          <w:szCs w:val="24"/>
          <w:u w:val="single"/>
          <w:lang w:val="en-US"/>
        </w:rPr>
      </w:pPr>
      <w:r w:rsidRPr="00D67D3D">
        <w:rPr>
          <w:rFonts w:ascii="Arial" w:eastAsia="Times New Roman" w:hAnsi="Arial" w:cs="Arial"/>
          <w:b/>
          <w:bCs/>
          <w:i/>
          <w:iCs/>
          <w:sz w:val="24"/>
          <w:szCs w:val="24"/>
          <w:u w:val="single"/>
          <w:lang w:val="en-US"/>
        </w:rPr>
        <w:t>Original Research Article</w:t>
      </w:r>
    </w:p>
    <w:p w14:paraId="6F687113" w14:textId="77777777" w:rsidR="00B26D1F" w:rsidRPr="00B26D1F" w:rsidRDefault="00B26D1F" w:rsidP="00B26D1F">
      <w:pPr>
        <w:spacing w:after="0" w:line="240" w:lineRule="auto"/>
        <w:ind w:right="27"/>
        <w:jc w:val="right"/>
        <w:rPr>
          <w:rFonts w:ascii="Arial" w:eastAsia="Times New Roman" w:hAnsi="Arial" w:cs="Arial"/>
          <w:sz w:val="24"/>
          <w:szCs w:val="24"/>
          <w:lang w:val="en-GB"/>
        </w:rPr>
      </w:pPr>
      <w:r w:rsidRPr="00B26D1F">
        <w:rPr>
          <w:rFonts w:ascii="Arial" w:eastAsia="Times New Roman" w:hAnsi="Arial" w:cs="Arial"/>
          <w:b/>
          <w:bCs/>
          <w:sz w:val="24"/>
          <w:szCs w:val="24"/>
          <w:lang w:val="en-GB"/>
        </w:rPr>
        <w:t xml:space="preserve">Prevalence of Helminth Parasites among Goats Slaughtered at </w:t>
      </w:r>
      <w:proofErr w:type="spellStart"/>
      <w:r w:rsidRPr="00B26D1F">
        <w:rPr>
          <w:rFonts w:ascii="Arial" w:eastAsia="Times New Roman" w:hAnsi="Arial" w:cs="Arial"/>
          <w:b/>
          <w:bCs/>
          <w:sz w:val="24"/>
          <w:szCs w:val="24"/>
          <w:lang w:val="en-GB"/>
        </w:rPr>
        <w:t>Anagada</w:t>
      </w:r>
      <w:proofErr w:type="spellEnd"/>
      <w:r w:rsidRPr="00B26D1F">
        <w:rPr>
          <w:rFonts w:ascii="Arial" w:eastAsia="Times New Roman" w:hAnsi="Arial" w:cs="Arial"/>
          <w:b/>
          <w:bCs/>
          <w:sz w:val="24"/>
          <w:szCs w:val="24"/>
          <w:lang w:val="en-GB"/>
        </w:rPr>
        <w:t xml:space="preserve"> Abattoir, FCT, Abuja, Nigeria</w:t>
      </w:r>
    </w:p>
    <w:p w14:paraId="14C6E715" w14:textId="77777777" w:rsidR="00B26D1F" w:rsidRPr="00B26D1F" w:rsidRDefault="00B26D1F" w:rsidP="00B26D1F">
      <w:pPr>
        <w:spacing w:after="0" w:line="240" w:lineRule="auto"/>
        <w:ind w:right="27"/>
        <w:jc w:val="right"/>
        <w:rPr>
          <w:rFonts w:ascii="Arial" w:eastAsia="Times New Roman" w:hAnsi="Arial" w:cs="Arial"/>
          <w:b/>
          <w:bCs/>
          <w:sz w:val="24"/>
          <w:szCs w:val="24"/>
          <w:lang w:val="en-GB"/>
        </w:rPr>
      </w:pPr>
    </w:p>
    <w:p w14:paraId="3F8CB185" w14:textId="77777777" w:rsidR="00814F4C" w:rsidRPr="00B26D1F" w:rsidRDefault="00814F4C" w:rsidP="00136C3C">
      <w:pPr>
        <w:autoSpaceDE w:val="0"/>
        <w:autoSpaceDN w:val="0"/>
        <w:adjustRightInd w:val="0"/>
        <w:spacing w:after="0" w:line="240" w:lineRule="auto"/>
        <w:jc w:val="right"/>
        <w:rPr>
          <w:rFonts w:ascii="Arial" w:eastAsia="Times New Roman" w:hAnsi="Arial" w:cs="Arial"/>
          <w:sz w:val="24"/>
          <w:szCs w:val="24"/>
          <w:u w:val="single"/>
          <w:lang w:val="en-GB"/>
        </w:rPr>
      </w:pPr>
    </w:p>
    <w:p w14:paraId="13E8BBD9" w14:textId="77777777" w:rsidR="00DB648B" w:rsidRPr="00B26D1F" w:rsidRDefault="00CE5886" w:rsidP="00327F7A">
      <w:pPr>
        <w:spacing w:after="0" w:line="480" w:lineRule="auto"/>
        <w:ind w:right="27"/>
        <w:rPr>
          <w:rFonts w:ascii="Arial" w:eastAsia="Times New Roman" w:hAnsi="Arial" w:cs="Arial"/>
          <w:sz w:val="24"/>
          <w:szCs w:val="24"/>
          <w:lang w:val="en-GB"/>
        </w:rPr>
      </w:pPr>
      <w:r w:rsidRPr="00B26D1F">
        <w:rPr>
          <w:rFonts w:ascii="Arial" w:eastAsia="Times New Roman" w:hAnsi="Arial" w:cs="Arial"/>
          <w:sz w:val="24"/>
          <w:szCs w:val="24"/>
          <w:lang w:val="en-GB"/>
        </w:rPr>
        <w:t xml:space="preserve"> </w:t>
      </w:r>
    </w:p>
    <w:p w14:paraId="627B280E" w14:textId="77777777" w:rsidR="00327F7A" w:rsidRPr="00B26D1F" w:rsidRDefault="00A64A44" w:rsidP="00327F7A">
      <w:pPr>
        <w:spacing w:after="0" w:line="240" w:lineRule="auto"/>
        <w:ind w:right="27"/>
        <w:rPr>
          <w:rFonts w:ascii="Arial" w:eastAsia="Times New Roman" w:hAnsi="Arial" w:cs="Arial"/>
          <w:b/>
          <w:bCs/>
          <w:sz w:val="24"/>
          <w:szCs w:val="24"/>
          <w:lang w:val="en-GB"/>
        </w:rPr>
      </w:pPr>
      <w:r w:rsidRPr="00B26D1F">
        <w:rPr>
          <w:rFonts w:ascii="Arial" w:eastAsia="Times New Roman" w:hAnsi="Arial" w:cs="Arial"/>
          <w:b/>
          <w:bCs/>
          <w:sz w:val="24"/>
          <w:szCs w:val="24"/>
          <w:lang w:val="en-GB"/>
        </w:rPr>
        <w:t>Abstract</w:t>
      </w:r>
    </w:p>
    <w:p w14:paraId="29BC9214" w14:textId="20FBE1F3" w:rsidR="00DB648B" w:rsidRPr="00B26D1F" w:rsidRDefault="00CE5886" w:rsidP="00327F7A">
      <w:pPr>
        <w:spacing w:after="0" w:line="240" w:lineRule="auto"/>
        <w:ind w:right="27"/>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Helminth infections remain a major constraint to goat productivity, particularly in regions where small ruminant farming plays a significant livelihood role. This study investigated the prevalence and morphological diversity of helminth eggs in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to provide baseline data for improved parasite management. 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examined using standard parasitological techniques. Out of these, 37 samples (74%) tested positive for helminth eggs, while 13 (26%) were negative. Parasite morphology varied considerably across the positive samples, revealing four predominant egg forms. Circular eggs and clustered eggs were the most common, each occurring in 14 samples (28%). The circular eggs were thick-shelled, brownish structures consistent with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expansa</w:t>
      </w:r>
      <w:r w:rsidRPr="00B26D1F">
        <w:rPr>
          <w:rFonts w:ascii="Arial" w:eastAsia="Times New Roman" w:hAnsi="Arial" w:cs="Arial"/>
          <w:sz w:val="24"/>
          <w:szCs w:val="24"/>
          <w:lang w:val="en-GB"/>
        </w:rPr>
        <w:t xml:space="preserve">, whereas the clustered eggs resembled egg packets of </w:t>
      </w:r>
      <w:r w:rsidRPr="00B26D1F">
        <w:rPr>
          <w:rFonts w:ascii="Arial" w:eastAsia="Times New Roman" w:hAnsi="Arial" w:cs="Arial"/>
          <w:i/>
          <w:sz w:val="24"/>
          <w:szCs w:val="24"/>
          <w:lang w:val="en-GB"/>
        </w:rPr>
        <w:t>Eimeria spp.</w:t>
      </w:r>
      <w:r w:rsidRPr="00B26D1F">
        <w:rPr>
          <w:rFonts w:ascii="Arial" w:eastAsia="Times New Roman" w:hAnsi="Arial" w:cs="Arial"/>
          <w:sz w:val="24"/>
          <w:szCs w:val="24"/>
          <w:lang w:val="en-GB"/>
        </w:rPr>
        <w:t xml:space="preserve"> or aggregated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papillosus</w:t>
      </w:r>
      <w:proofErr w:type="spellEnd"/>
      <w:r w:rsidRPr="00B26D1F">
        <w:rPr>
          <w:rFonts w:ascii="Arial" w:eastAsia="Times New Roman" w:hAnsi="Arial" w:cs="Arial"/>
          <w:sz w:val="24"/>
          <w:szCs w:val="24"/>
          <w:lang w:val="en-GB"/>
        </w:rPr>
        <w:t xml:space="preserve"> eggs. Elongated eggs, found in 13 samples (26%), were typical of major gastrointestinal nematodes including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Oesophagostomum</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columbianum</w:t>
      </w:r>
      <w:proofErr w:type="spellEnd"/>
      <w:r w:rsidRPr="00B26D1F">
        <w:rPr>
          <w:rFonts w:ascii="Arial" w:eastAsia="Times New Roman" w:hAnsi="Arial" w:cs="Arial"/>
          <w:sz w:val="24"/>
          <w:szCs w:val="24"/>
          <w:lang w:val="en-GB"/>
        </w:rPr>
        <w:t xml:space="preserve">. Triangular or irregularly shaped eggs were the least common, appearing in 3 samples (6%), and likely represented distorted or partially embryonated forms of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 xml:space="preserve"> or </w:t>
      </w:r>
      <w:r w:rsidRPr="00B26D1F">
        <w:rPr>
          <w:rFonts w:ascii="Arial" w:eastAsia="Times New Roman" w:hAnsi="Arial" w:cs="Arial"/>
          <w:i/>
          <w:sz w:val="24"/>
          <w:szCs w:val="24"/>
          <w:lang w:val="en-GB"/>
        </w:rPr>
        <w:t xml:space="preserve">Trichuris </w:t>
      </w:r>
      <w:proofErr w:type="spellStart"/>
      <w:r w:rsidRPr="00B26D1F">
        <w:rPr>
          <w:rFonts w:ascii="Arial" w:eastAsia="Times New Roman" w:hAnsi="Arial" w:cs="Arial"/>
          <w:i/>
          <w:sz w:val="24"/>
          <w:szCs w:val="24"/>
          <w:lang w:val="en-GB"/>
        </w:rPr>
        <w:t>ovis</w:t>
      </w:r>
      <w:proofErr w:type="spellEnd"/>
      <w:r w:rsidRPr="00B26D1F">
        <w:rPr>
          <w:rFonts w:ascii="Arial" w:eastAsia="Times New Roman" w:hAnsi="Arial" w:cs="Arial"/>
          <w:sz w:val="24"/>
          <w:szCs w:val="24"/>
          <w:lang w:val="en-GB"/>
        </w:rPr>
        <w:t xml:space="preserve">. These findings indicate a high prevalence of mixed helminth infections among the goat population studied, characterized by a dominance of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sz w:val="24"/>
          <w:szCs w:val="24"/>
          <w:lang w:val="en-GB"/>
        </w:rPr>
        <w:t>Eimeria,</w:t>
      </w:r>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species</w:t>
      </w:r>
      <w:r w:rsidRPr="00B26D1F">
        <w:rPr>
          <w:rFonts w:ascii="Arial" w:eastAsia="Times New Roman" w:hAnsi="Arial" w:cs="Arial"/>
          <w:sz w:val="24"/>
          <w:szCs w:val="24"/>
          <w:lang w:val="en-GB"/>
        </w:rPr>
        <w:t xml:space="preserve"> alongside significant nematode infestations. The observed morphological diversity underscores the need for integrated parasite control strategies to minimize production losses and improve goat health.</w:t>
      </w:r>
    </w:p>
    <w:p w14:paraId="423CDFCF" w14:textId="77777777" w:rsidR="00A64A44" w:rsidRPr="00B26D1F" w:rsidRDefault="00A64A44" w:rsidP="00A64A44">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Key Words: </w:t>
      </w:r>
      <w:r w:rsidRPr="00B26D1F">
        <w:rPr>
          <w:rFonts w:ascii="Arial" w:eastAsia="Times New Roman" w:hAnsi="Arial" w:cs="Arial"/>
          <w:bCs/>
          <w:sz w:val="24"/>
          <w:szCs w:val="24"/>
          <w:lang w:val="en-GB"/>
        </w:rPr>
        <w:t>Abattoir</w:t>
      </w:r>
      <w:r w:rsidRPr="00B26D1F">
        <w:rPr>
          <w:rFonts w:ascii="Arial" w:eastAsia="Times New Roman" w:hAnsi="Arial" w:cs="Arial"/>
          <w:b/>
          <w:bCs/>
          <w:sz w:val="24"/>
          <w:szCs w:val="24"/>
          <w:lang w:val="en-GB"/>
        </w:rPr>
        <w:t xml:space="preserve">, </w:t>
      </w:r>
      <w:r w:rsidR="00E829CD" w:rsidRPr="00B26D1F">
        <w:rPr>
          <w:rFonts w:ascii="Arial" w:eastAsia="Times New Roman" w:hAnsi="Arial" w:cs="Arial"/>
          <w:sz w:val="24"/>
          <w:szCs w:val="24"/>
          <w:lang w:val="en-GB"/>
        </w:rPr>
        <w:t xml:space="preserve">Epidemiology, </w:t>
      </w:r>
      <w:r w:rsidRPr="00B26D1F">
        <w:rPr>
          <w:rFonts w:ascii="Arial" w:eastAsia="Times New Roman" w:hAnsi="Arial" w:cs="Arial"/>
          <w:sz w:val="24"/>
          <w:szCs w:val="24"/>
          <w:lang w:val="en-GB"/>
        </w:rPr>
        <w:t>Helminth parasites,</w:t>
      </w:r>
      <w:r w:rsidR="00E829CD" w:rsidRPr="00B26D1F">
        <w:rPr>
          <w:rFonts w:ascii="Arial" w:eastAsia="Times New Roman" w:hAnsi="Arial" w:cs="Arial"/>
          <w:sz w:val="24"/>
          <w:szCs w:val="24"/>
          <w:lang w:val="en-GB"/>
        </w:rPr>
        <w:t xml:space="preserve"> Goats, Gastrointestinal parasites.</w:t>
      </w:r>
    </w:p>
    <w:p w14:paraId="3462DA2C" w14:textId="77777777" w:rsidR="00DB648B" w:rsidRPr="00B26D1F" w:rsidRDefault="00DB648B">
      <w:pPr>
        <w:spacing w:after="0" w:line="276" w:lineRule="auto"/>
        <w:ind w:right="27"/>
        <w:jc w:val="both"/>
        <w:rPr>
          <w:rFonts w:ascii="Arial" w:eastAsia="Times New Roman" w:hAnsi="Arial" w:cs="Arial"/>
          <w:sz w:val="24"/>
          <w:szCs w:val="24"/>
          <w:lang w:val="en-GB"/>
        </w:rPr>
      </w:pPr>
    </w:p>
    <w:p w14:paraId="4F5898E2" w14:textId="77777777" w:rsidR="00DB648B" w:rsidRPr="00B26D1F" w:rsidRDefault="00DB648B">
      <w:pPr>
        <w:spacing w:after="0" w:line="480" w:lineRule="auto"/>
        <w:ind w:right="27"/>
        <w:jc w:val="both"/>
        <w:rPr>
          <w:rFonts w:ascii="Arial" w:eastAsia="Times New Roman" w:hAnsi="Arial" w:cs="Arial"/>
          <w:sz w:val="24"/>
          <w:szCs w:val="24"/>
          <w:lang w:val="en-GB"/>
        </w:rPr>
      </w:pPr>
    </w:p>
    <w:p w14:paraId="14EDFA35" w14:textId="77777777" w:rsidR="00DB648B" w:rsidRDefault="00DB648B">
      <w:pPr>
        <w:spacing w:after="0" w:line="480" w:lineRule="auto"/>
        <w:ind w:right="27"/>
        <w:jc w:val="both"/>
        <w:rPr>
          <w:rFonts w:ascii="Arial" w:eastAsia="Times New Roman" w:hAnsi="Arial" w:cs="Arial"/>
          <w:b/>
          <w:bCs/>
          <w:sz w:val="24"/>
          <w:szCs w:val="24"/>
          <w:lang w:val="en-GB"/>
        </w:rPr>
      </w:pPr>
    </w:p>
    <w:p w14:paraId="00F646DE" w14:textId="77777777" w:rsidR="00424972" w:rsidRDefault="00424972">
      <w:pPr>
        <w:spacing w:after="0" w:line="480" w:lineRule="auto"/>
        <w:ind w:right="27"/>
        <w:jc w:val="both"/>
        <w:rPr>
          <w:rFonts w:ascii="Arial" w:eastAsia="Times New Roman" w:hAnsi="Arial" w:cs="Arial"/>
          <w:b/>
          <w:bCs/>
          <w:sz w:val="24"/>
          <w:szCs w:val="24"/>
          <w:lang w:val="en-GB"/>
        </w:rPr>
      </w:pPr>
    </w:p>
    <w:p w14:paraId="1832C73C" w14:textId="14D630FD" w:rsidR="00424972" w:rsidRDefault="00424972">
      <w:pPr>
        <w:spacing w:after="0" w:line="480" w:lineRule="auto"/>
        <w:ind w:right="27"/>
        <w:jc w:val="both"/>
        <w:rPr>
          <w:rFonts w:ascii="Arial" w:eastAsia="Times New Roman" w:hAnsi="Arial" w:cs="Arial"/>
          <w:b/>
          <w:bCs/>
          <w:sz w:val="24"/>
          <w:szCs w:val="24"/>
          <w:lang w:val="en-GB"/>
        </w:rPr>
      </w:pPr>
    </w:p>
    <w:p w14:paraId="78220B96" w14:textId="4D2363BD" w:rsidR="00B32548" w:rsidRDefault="00B32548">
      <w:pPr>
        <w:spacing w:after="0" w:line="480" w:lineRule="auto"/>
        <w:ind w:right="27"/>
        <w:jc w:val="both"/>
        <w:rPr>
          <w:rFonts w:ascii="Arial" w:eastAsia="Times New Roman" w:hAnsi="Arial" w:cs="Arial"/>
          <w:b/>
          <w:bCs/>
          <w:sz w:val="24"/>
          <w:szCs w:val="24"/>
          <w:lang w:val="en-GB"/>
        </w:rPr>
      </w:pPr>
    </w:p>
    <w:p w14:paraId="61B63960" w14:textId="26C41169" w:rsidR="00B32548" w:rsidRDefault="00B32548">
      <w:pPr>
        <w:spacing w:after="0" w:line="480" w:lineRule="auto"/>
        <w:ind w:right="27"/>
        <w:jc w:val="both"/>
        <w:rPr>
          <w:rFonts w:ascii="Arial" w:eastAsia="Times New Roman" w:hAnsi="Arial" w:cs="Arial"/>
          <w:b/>
          <w:bCs/>
          <w:sz w:val="24"/>
          <w:szCs w:val="24"/>
          <w:lang w:val="en-GB"/>
        </w:rPr>
      </w:pPr>
    </w:p>
    <w:p w14:paraId="4ADCB472" w14:textId="77777777" w:rsidR="00B32548" w:rsidRDefault="00B32548">
      <w:pPr>
        <w:spacing w:after="0" w:line="480" w:lineRule="auto"/>
        <w:ind w:right="27"/>
        <w:jc w:val="both"/>
        <w:rPr>
          <w:rFonts w:ascii="Arial" w:eastAsia="Times New Roman" w:hAnsi="Arial" w:cs="Arial"/>
          <w:b/>
          <w:bCs/>
          <w:sz w:val="24"/>
          <w:szCs w:val="24"/>
          <w:lang w:val="en-GB"/>
        </w:rPr>
      </w:pPr>
      <w:bookmarkStart w:id="0" w:name="_GoBack"/>
      <w:bookmarkEnd w:id="0"/>
    </w:p>
    <w:p w14:paraId="22DAB393" w14:textId="77777777" w:rsidR="00424972" w:rsidRPr="00B26D1F" w:rsidRDefault="00424972">
      <w:pPr>
        <w:spacing w:after="0" w:line="480" w:lineRule="auto"/>
        <w:ind w:right="27"/>
        <w:jc w:val="both"/>
        <w:rPr>
          <w:rFonts w:ascii="Arial" w:eastAsia="Times New Roman" w:hAnsi="Arial" w:cs="Arial"/>
          <w:b/>
          <w:bCs/>
          <w:sz w:val="24"/>
          <w:szCs w:val="24"/>
          <w:lang w:val="en-GB"/>
        </w:rPr>
      </w:pPr>
    </w:p>
    <w:p w14:paraId="08A49082" w14:textId="77777777" w:rsidR="00DB648B" w:rsidRPr="00B26D1F" w:rsidRDefault="00CE5886">
      <w:pPr>
        <w:spacing w:before="120" w:after="0"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INTRODUCTION</w:t>
      </w:r>
    </w:p>
    <w:p w14:paraId="2C48891E" w14:textId="77777777"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Helminths are multicellular, eukaryotic organisms characterized by elongated or flattened bodies with bilateral symmetry and triploblastic tissue organization. Parasitic helminths affecting small ruminants belong primarily to the phyla </w:t>
      </w:r>
      <w:r w:rsidRPr="00B26D1F">
        <w:rPr>
          <w:rFonts w:ascii="Arial" w:eastAsia="Times New Roman" w:hAnsi="Arial" w:cs="Arial"/>
          <w:i/>
          <w:iCs/>
          <w:sz w:val="24"/>
          <w:szCs w:val="24"/>
          <w:lang w:val="en-GB"/>
        </w:rPr>
        <w:t>Platyhelminthes</w:t>
      </w:r>
      <w:r w:rsidRPr="00B26D1F">
        <w:rPr>
          <w:rFonts w:ascii="Arial" w:eastAsia="Times New Roman" w:hAnsi="Arial" w:cs="Arial"/>
          <w:sz w:val="24"/>
          <w:szCs w:val="24"/>
          <w:lang w:val="en-GB"/>
        </w:rPr>
        <w:t xml:space="preserve"> (cestodes and trematodes) and </w:t>
      </w:r>
      <w:r w:rsidRPr="00B26D1F">
        <w:rPr>
          <w:rFonts w:ascii="Arial" w:eastAsia="Times New Roman" w:hAnsi="Arial" w:cs="Arial"/>
          <w:i/>
          <w:iCs/>
          <w:sz w:val="24"/>
          <w:szCs w:val="24"/>
          <w:lang w:val="en-GB"/>
        </w:rPr>
        <w:t>Nemathelminthes</w:t>
      </w:r>
      <w:r w:rsidRPr="00B26D1F">
        <w:rPr>
          <w:rFonts w:ascii="Arial" w:eastAsia="Times New Roman" w:hAnsi="Arial" w:cs="Arial"/>
          <w:sz w:val="24"/>
          <w:szCs w:val="24"/>
          <w:lang w:val="en-GB"/>
        </w:rPr>
        <w:t xml:space="preserve"> (nematodes) (Mohammed </w:t>
      </w:r>
      <w:r w:rsidRPr="00B26D1F">
        <w:rPr>
          <w:rFonts w:ascii="Arial" w:eastAsia="Times New Roman" w:hAnsi="Arial" w:cs="Arial"/>
          <w:i/>
          <w:sz w:val="24"/>
          <w:szCs w:val="24"/>
          <w:lang w:val="en-GB"/>
        </w:rPr>
        <w:t>et al.,</w:t>
      </w:r>
      <w:r w:rsidRPr="00B26D1F">
        <w:rPr>
          <w:rFonts w:ascii="Arial" w:eastAsia="Times New Roman" w:hAnsi="Arial" w:cs="Arial"/>
          <w:sz w:val="24"/>
          <w:szCs w:val="24"/>
          <w:lang w:val="en-GB"/>
        </w:rPr>
        <w:t xml:space="preserve"> 2017). These parasites cause debilitating diseases that affect growth, productivity, and survival of goats, particularly under extensive production systems.</w:t>
      </w:r>
    </w:p>
    <w:p w14:paraId="75C11F15" w14:textId="7A2C73BB"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Small ruminant helminthiases are influenced by environmental conditions, grazing systems, stocking density, immunity, breed characteristics, </w:t>
      </w:r>
      <w:r w:rsidR="000C75AE" w:rsidRPr="00B26D1F">
        <w:rPr>
          <w:rFonts w:ascii="Arial" w:eastAsia="Times New Roman" w:hAnsi="Arial" w:cs="Arial"/>
          <w:sz w:val="24"/>
          <w:szCs w:val="24"/>
          <w:lang w:val="en-GB"/>
        </w:rPr>
        <w:t>and management practices (</w:t>
      </w:r>
      <w:proofErr w:type="spellStart"/>
      <w:r w:rsidR="000C75AE" w:rsidRPr="00B26D1F">
        <w:rPr>
          <w:rFonts w:ascii="Arial" w:hAnsi="Arial" w:cs="Arial"/>
          <w:sz w:val="24"/>
          <w:szCs w:val="24"/>
          <w:shd w:val="clear" w:color="auto" w:fill="FFFFFF"/>
          <w:lang w:val="en-GB"/>
        </w:rPr>
        <w:t>Agbajelola</w:t>
      </w:r>
      <w:proofErr w:type="spellEnd"/>
      <w:r w:rsidR="000C75AE" w:rsidRPr="00B26D1F">
        <w:rPr>
          <w:rFonts w:ascii="Arial" w:hAnsi="Arial" w:cs="Arial"/>
          <w:sz w:val="24"/>
          <w:szCs w:val="24"/>
          <w:shd w:val="clear" w:color="auto" w:fill="FFFFFF"/>
          <w:lang w:val="en-GB"/>
        </w:rPr>
        <w:t>, 2025</w:t>
      </w:r>
      <w:r w:rsidRPr="00B26D1F">
        <w:rPr>
          <w:rFonts w:ascii="Arial" w:eastAsia="Times New Roman" w:hAnsi="Arial" w:cs="Arial"/>
          <w:sz w:val="24"/>
          <w:szCs w:val="24"/>
          <w:lang w:val="en-GB"/>
        </w:rPr>
        <w:t xml:space="preserve">). Goats play a critical socio-economic role in Nigeria, contributing meat, milk, hides, and income for rural households. Nigeria </w:t>
      </w:r>
      <w:r w:rsidR="00424972" w:rsidRPr="00B26D1F">
        <w:rPr>
          <w:rFonts w:ascii="Arial" w:eastAsia="Times New Roman" w:hAnsi="Arial" w:cs="Arial"/>
          <w:sz w:val="24"/>
          <w:szCs w:val="24"/>
          <w:lang w:val="en-GB"/>
        </w:rPr>
        <w:t>harbours</w:t>
      </w:r>
      <w:r w:rsidRPr="00B26D1F">
        <w:rPr>
          <w:rFonts w:ascii="Arial" w:eastAsia="Times New Roman" w:hAnsi="Arial" w:cs="Arial"/>
          <w:sz w:val="24"/>
          <w:szCs w:val="24"/>
          <w:lang w:val="en-GB"/>
        </w:rPr>
        <w:t xml:space="preserve"> over 50 million goats, dominated by the West African Dwarf and Red S</w:t>
      </w:r>
      <w:r w:rsidR="00F17C6C" w:rsidRPr="00B26D1F">
        <w:rPr>
          <w:rFonts w:ascii="Arial" w:eastAsia="Times New Roman" w:hAnsi="Arial" w:cs="Arial"/>
          <w:sz w:val="24"/>
          <w:szCs w:val="24"/>
          <w:lang w:val="en-GB"/>
        </w:rPr>
        <w:t>okoto breeds (FAO, 2020</w:t>
      </w:r>
      <w:r w:rsidRPr="00B26D1F">
        <w:rPr>
          <w:rFonts w:ascii="Arial" w:eastAsia="Times New Roman" w:hAnsi="Arial" w:cs="Arial"/>
          <w:sz w:val="24"/>
          <w:szCs w:val="24"/>
          <w:lang w:val="en-GB"/>
        </w:rPr>
        <w:t>).</w:t>
      </w:r>
    </w:p>
    <w:p w14:paraId="0CD26B0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In Nigeria, goats are integral to rural economies, providing meat, milk, hides, and income, with a population exceeding 50 million, mainly West African Dwarf and Red Sokoto breeds</w:t>
      </w:r>
      <w:r w:rsidR="00894535" w:rsidRPr="00B26D1F">
        <w:rPr>
          <w:rFonts w:ascii="Arial" w:hAnsi="Arial" w:cs="Arial"/>
          <w:sz w:val="24"/>
          <w:szCs w:val="24"/>
          <w:lang w:val="en-GB"/>
        </w:rPr>
        <w:t xml:space="preserve"> (FAO, 2020</w:t>
      </w:r>
      <w:r w:rsidRPr="00B26D1F">
        <w:rPr>
          <w:rFonts w:ascii="Arial" w:hAnsi="Arial" w:cs="Arial"/>
          <w:sz w:val="24"/>
          <w:szCs w:val="24"/>
          <w:lang w:val="en-GB"/>
        </w:rPr>
        <w:t>). However, parasitic infections remain prevalent,</w:t>
      </w:r>
      <w:r w:rsidR="007B7C19" w:rsidRPr="00B26D1F">
        <w:rPr>
          <w:rFonts w:ascii="Arial" w:hAnsi="Arial" w:cs="Arial"/>
          <w:sz w:val="24"/>
          <w:szCs w:val="24"/>
          <w:lang w:val="en-GB"/>
        </w:rPr>
        <w:t xml:space="preserve"> with common species including </w:t>
      </w:r>
      <w:proofErr w:type="spellStart"/>
      <w:r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contortus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Oesophagostomum</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proofErr w:type="spellStart"/>
      <w:r w:rsidRPr="00B26D1F">
        <w:rPr>
          <w:rFonts w:ascii="Arial" w:hAnsi="Arial" w:cs="Arial"/>
          <w:i/>
          <w:sz w:val="24"/>
          <w:szCs w:val="24"/>
          <w:lang w:val="en-GB"/>
        </w:rPr>
        <w:t>Strongyloides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papillosus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Moniezia</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r w:rsidR="007B7C19" w:rsidRPr="00B26D1F">
        <w:rPr>
          <w:rFonts w:ascii="Arial" w:hAnsi="Arial" w:cs="Arial"/>
          <w:i/>
          <w:sz w:val="24"/>
          <w:szCs w:val="24"/>
          <w:lang w:val="en-GB"/>
        </w:rPr>
        <w:t>Fasciola</w:t>
      </w:r>
      <w:r w:rsidRPr="00B26D1F">
        <w:rPr>
          <w:rFonts w:ascii="Arial" w:hAnsi="Arial" w:cs="Arial"/>
          <w:i/>
          <w:sz w:val="24"/>
          <w:szCs w:val="24"/>
          <w:lang w:val="en-GB"/>
        </w:rPr>
        <w:t xml:space="preserve"> spp</w:t>
      </w:r>
      <w:r w:rsidR="007B7C19" w:rsidRPr="00B26D1F">
        <w:rPr>
          <w:rFonts w:ascii="Arial" w:hAnsi="Arial" w:cs="Arial"/>
          <w:sz w:val="24"/>
          <w:szCs w:val="24"/>
          <w:lang w:val="en-GB"/>
        </w:rPr>
        <w:t xml:space="preserve">., and </w:t>
      </w:r>
      <w:r w:rsidR="007B7C19" w:rsidRPr="00B26D1F">
        <w:rPr>
          <w:rFonts w:ascii="Arial" w:hAnsi="Arial" w:cs="Arial"/>
          <w:i/>
          <w:sz w:val="24"/>
          <w:szCs w:val="24"/>
          <w:lang w:val="en-GB"/>
        </w:rPr>
        <w:t>Taenia</w:t>
      </w:r>
      <w:r w:rsidRPr="00B26D1F">
        <w:rPr>
          <w:rFonts w:ascii="Arial" w:hAnsi="Arial" w:cs="Arial"/>
          <w:i/>
          <w:sz w:val="24"/>
          <w:szCs w:val="24"/>
          <w:lang w:val="en-GB"/>
        </w:rPr>
        <w:t xml:space="preserve"> spp</w:t>
      </w:r>
      <w:r w:rsidRPr="00B26D1F">
        <w:rPr>
          <w:rFonts w:ascii="Arial" w:hAnsi="Arial" w:cs="Arial"/>
          <w:sz w:val="24"/>
          <w:szCs w:val="24"/>
          <w:lang w:val="en-GB"/>
        </w:rPr>
        <w:t xml:space="preserve">. (Chaudhry </w:t>
      </w:r>
      <w:r w:rsidRPr="00B26D1F">
        <w:rPr>
          <w:rFonts w:ascii="Arial" w:hAnsi="Arial" w:cs="Arial"/>
          <w:i/>
          <w:sz w:val="24"/>
          <w:szCs w:val="24"/>
          <w:lang w:val="en-GB"/>
        </w:rPr>
        <w:t>et al</w:t>
      </w:r>
      <w:r w:rsidR="00C267F3" w:rsidRPr="00B26D1F">
        <w:rPr>
          <w:rFonts w:ascii="Arial" w:hAnsi="Arial" w:cs="Arial"/>
          <w:sz w:val="24"/>
          <w:szCs w:val="24"/>
          <w:lang w:val="en-GB"/>
        </w:rPr>
        <w:t>., 2017</w:t>
      </w:r>
      <w:r w:rsidRPr="00B26D1F">
        <w:rPr>
          <w:rFonts w:ascii="Arial" w:hAnsi="Arial" w:cs="Arial"/>
          <w:sz w:val="24"/>
          <w:szCs w:val="24"/>
          <w:lang w:val="en-GB"/>
        </w:rPr>
        <w:t>). Zoon</w:t>
      </w:r>
      <w:r w:rsidR="007B7C19" w:rsidRPr="00B26D1F">
        <w:rPr>
          <w:rFonts w:ascii="Arial" w:hAnsi="Arial" w:cs="Arial"/>
          <w:sz w:val="24"/>
          <w:szCs w:val="24"/>
          <w:lang w:val="en-GB"/>
        </w:rPr>
        <w:t xml:space="preserve">otic risks from parasites like </w:t>
      </w:r>
      <w:r w:rsidRPr="00B26D1F">
        <w:rPr>
          <w:rFonts w:ascii="Arial" w:hAnsi="Arial" w:cs="Arial"/>
          <w:i/>
          <w:sz w:val="24"/>
          <w:szCs w:val="24"/>
          <w:lang w:val="en-GB"/>
        </w:rPr>
        <w:t xml:space="preserve">Echinococcus </w:t>
      </w:r>
      <w:proofErr w:type="spellStart"/>
      <w:r w:rsidRPr="00B26D1F">
        <w:rPr>
          <w:rFonts w:ascii="Arial" w:hAnsi="Arial" w:cs="Arial"/>
          <w:i/>
          <w:sz w:val="24"/>
          <w:szCs w:val="24"/>
          <w:lang w:val="en-GB"/>
        </w:rPr>
        <w:t>granulosus</w:t>
      </w:r>
      <w:proofErr w:type="spellEnd"/>
      <w:r w:rsidR="007B7C19" w:rsidRPr="00B26D1F">
        <w:rPr>
          <w:rFonts w:ascii="Arial" w:hAnsi="Arial" w:cs="Arial"/>
          <w:sz w:val="24"/>
          <w:szCs w:val="24"/>
          <w:lang w:val="en-GB"/>
        </w:rPr>
        <w:t xml:space="preserve"> and </w:t>
      </w:r>
      <w:proofErr w:type="spellStart"/>
      <w:r w:rsidRPr="00B26D1F">
        <w:rPr>
          <w:rFonts w:ascii="Arial" w:hAnsi="Arial" w:cs="Arial"/>
          <w:i/>
          <w:sz w:val="24"/>
          <w:szCs w:val="24"/>
          <w:lang w:val="en-GB"/>
        </w:rPr>
        <w:t>Fasciola</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gigantica</w:t>
      </w:r>
      <w:proofErr w:type="spellEnd"/>
      <w:r w:rsidRPr="00B26D1F">
        <w:rPr>
          <w:rFonts w:ascii="Arial" w:hAnsi="Arial" w:cs="Arial"/>
          <w:sz w:val="24"/>
          <w:szCs w:val="24"/>
          <w:lang w:val="en-GB"/>
        </w:rPr>
        <w:t xml:space="preserve"> further complicate publ</w:t>
      </w:r>
      <w:r w:rsidR="00F17C6C" w:rsidRPr="00B26D1F">
        <w:rPr>
          <w:rFonts w:ascii="Arial" w:hAnsi="Arial" w:cs="Arial"/>
          <w:sz w:val="24"/>
          <w:szCs w:val="24"/>
          <w:lang w:val="en-GB"/>
        </w:rPr>
        <w:t>ic health (WHO, 2021</w:t>
      </w:r>
      <w:r w:rsidRPr="00B26D1F">
        <w:rPr>
          <w:rFonts w:ascii="Arial" w:hAnsi="Arial" w:cs="Arial"/>
          <w:sz w:val="24"/>
          <w:szCs w:val="24"/>
          <w:lang w:val="en-GB"/>
        </w:rPr>
        <w:t>).</w:t>
      </w:r>
    </w:p>
    <w:p w14:paraId="7F5FE14C" w14:textId="350582F4"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Recent studies underscore the ongoing burden. For instance, in </w:t>
      </w:r>
      <w:proofErr w:type="spellStart"/>
      <w:r w:rsidRPr="00B26D1F">
        <w:rPr>
          <w:rFonts w:ascii="Arial" w:hAnsi="Arial" w:cs="Arial"/>
          <w:sz w:val="24"/>
          <w:szCs w:val="24"/>
          <w:lang w:val="en-GB"/>
        </w:rPr>
        <w:t>Ogbomoso</w:t>
      </w:r>
      <w:proofErr w:type="spellEnd"/>
      <w:r w:rsidRPr="00B26D1F">
        <w:rPr>
          <w:rFonts w:ascii="Arial" w:hAnsi="Arial" w:cs="Arial"/>
          <w:sz w:val="24"/>
          <w:szCs w:val="24"/>
          <w:lang w:val="en-GB"/>
        </w:rPr>
        <w:t>, Nigeria, gastrointestinal worm prevalence reached 81.79% in small ruminan</w:t>
      </w:r>
      <w:r w:rsidR="007B7C19" w:rsidRPr="00B26D1F">
        <w:rPr>
          <w:rFonts w:ascii="Arial" w:hAnsi="Arial" w:cs="Arial"/>
          <w:sz w:val="24"/>
          <w:szCs w:val="24"/>
          <w:lang w:val="en-GB"/>
        </w:rPr>
        <w:t xml:space="preserve">ts, with </w:t>
      </w:r>
      <w:proofErr w:type="spellStart"/>
      <w:r w:rsidR="007B7C19"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spp</w:t>
      </w:r>
      <w:r w:rsidRPr="00B26D1F">
        <w:rPr>
          <w:rFonts w:ascii="Arial" w:hAnsi="Arial" w:cs="Arial"/>
          <w:sz w:val="24"/>
          <w:szCs w:val="24"/>
          <w:lang w:val="en-GB"/>
        </w:rPr>
        <w:t xml:space="preserve">. dominating (Rom-Kalilu </w:t>
      </w:r>
      <w:r w:rsidRPr="00B26D1F">
        <w:rPr>
          <w:rFonts w:ascii="Arial" w:hAnsi="Arial" w:cs="Arial"/>
          <w:i/>
          <w:sz w:val="24"/>
          <w:szCs w:val="24"/>
          <w:lang w:val="en-GB"/>
        </w:rPr>
        <w:t>et al</w:t>
      </w:r>
      <w:r w:rsidRPr="00B26D1F">
        <w:rPr>
          <w:rFonts w:ascii="Arial" w:hAnsi="Arial" w:cs="Arial"/>
          <w:sz w:val="24"/>
          <w:szCs w:val="24"/>
          <w:lang w:val="en-GB"/>
        </w:rPr>
        <w:t>., 2025).</w:t>
      </w:r>
      <w:r w:rsidR="007B7C19" w:rsidRPr="00B26D1F">
        <w:rPr>
          <w:rFonts w:ascii="Arial" w:hAnsi="Arial" w:cs="Arial"/>
          <w:sz w:val="24"/>
          <w:szCs w:val="24"/>
          <w:lang w:val="en-GB"/>
        </w:rPr>
        <w:t xml:space="preserve"> Similarly, in Bauchi State, </w:t>
      </w:r>
      <w:r w:rsidRPr="00B26D1F">
        <w:rPr>
          <w:rFonts w:ascii="Arial" w:hAnsi="Arial" w:cs="Arial"/>
          <w:sz w:val="24"/>
          <w:szCs w:val="24"/>
          <w:lang w:val="en-GB"/>
        </w:rPr>
        <w:t>82.9% prevalence was reported, influenced by species, sex, and location (</w:t>
      </w:r>
      <w:proofErr w:type="spellStart"/>
      <w:r w:rsidRPr="00B26D1F">
        <w:rPr>
          <w:rFonts w:ascii="Arial" w:hAnsi="Arial" w:cs="Arial"/>
          <w:sz w:val="24"/>
          <w:szCs w:val="24"/>
          <w:lang w:val="en-GB"/>
        </w:rPr>
        <w:t>Oguche</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2025). In Plateau State, prevalence was 71.8%, varying by age but not sex (</w:t>
      </w:r>
      <w:proofErr w:type="spellStart"/>
      <w:r w:rsidRPr="00B26D1F">
        <w:rPr>
          <w:rFonts w:ascii="Arial" w:hAnsi="Arial" w:cs="Arial"/>
          <w:sz w:val="24"/>
          <w:szCs w:val="24"/>
          <w:lang w:val="en-GB"/>
        </w:rPr>
        <w:t>Gofwan</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2024), while in Ondo State, breed-specific differences showed 23.33% overall, highest in Sokoto Red goats (Akeju, 2024). </w:t>
      </w:r>
      <w:r w:rsidR="0077537D">
        <w:rPr>
          <w:rFonts w:ascii="Arial" w:hAnsi="Arial" w:cs="Arial"/>
          <w:sz w:val="24"/>
          <w:szCs w:val="24"/>
          <w:lang w:val="en-GB"/>
        </w:rPr>
        <w:t xml:space="preserve">A similar </w:t>
      </w:r>
      <w:r w:rsidR="0077537D" w:rsidRPr="00A87277">
        <w:rPr>
          <w:rFonts w:ascii="Arial" w:hAnsi="Arial" w:cs="Arial"/>
          <w:sz w:val="24"/>
          <w:szCs w:val="24"/>
          <w:lang w:val="en-GB"/>
        </w:rPr>
        <w:t xml:space="preserve">study </w:t>
      </w:r>
      <w:r w:rsidR="00A87277" w:rsidRPr="00A87277">
        <w:rPr>
          <w:rFonts w:ascii="Arial" w:hAnsi="Arial" w:cs="Arial"/>
          <w:sz w:val="24"/>
          <w:szCs w:val="24"/>
          <w:lang w:val="en-GB"/>
        </w:rPr>
        <w:t xml:space="preserve">showed high prevalence conducted in Gwagwalada area council (Balarabe-Musa </w:t>
      </w:r>
      <w:r w:rsidR="00A87277" w:rsidRPr="00A87277">
        <w:rPr>
          <w:rFonts w:ascii="Arial" w:hAnsi="Arial" w:cs="Arial"/>
          <w:i/>
          <w:iCs/>
          <w:sz w:val="24"/>
          <w:szCs w:val="24"/>
          <w:lang w:val="en-GB"/>
        </w:rPr>
        <w:t>et al</w:t>
      </w:r>
      <w:r w:rsidR="00A87277" w:rsidRPr="00A87277">
        <w:rPr>
          <w:rFonts w:ascii="Arial" w:hAnsi="Arial" w:cs="Arial"/>
          <w:sz w:val="24"/>
          <w:szCs w:val="24"/>
          <w:lang w:val="en-GB"/>
        </w:rPr>
        <w:t>.</w:t>
      </w:r>
      <w:r w:rsidR="00A87277">
        <w:rPr>
          <w:rFonts w:ascii="Arial" w:hAnsi="Arial" w:cs="Arial"/>
          <w:sz w:val="24"/>
          <w:szCs w:val="24"/>
          <w:lang w:val="en-GB"/>
        </w:rPr>
        <w:t xml:space="preserve">, </w:t>
      </w:r>
      <w:r w:rsidR="00A87277" w:rsidRPr="00A87277">
        <w:rPr>
          <w:rFonts w:ascii="Arial" w:hAnsi="Arial" w:cs="Arial"/>
          <w:sz w:val="24"/>
          <w:szCs w:val="24"/>
          <w:lang w:val="en-GB"/>
        </w:rPr>
        <w:t>2021)</w:t>
      </w:r>
      <w:r w:rsidR="00A87277">
        <w:rPr>
          <w:rFonts w:ascii="Arial" w:hAnsi="Arial" w:cs="Arial"/>
          <w:sz w:val="24"/>
          <w:szCs w:val="24"/>
          <w:lang w:val="en-GB"/>
        </w:rPr>
        <w:t xml:space="preserve">. </w:t>
      </w:r>
      <w:r w:rsidRPr="00A87277">
        <w:rPr>
          <w:rFonts w:ascii="Arial" w:hAnsi="Arial" w:cs="Arial"/>
          <w:sz w:val="24"/>
          <w:szCs w:val="24"/>
          <w:lang w:val="en-GB"/>
        </w:rPr>
        <w:t>Seasonal</w:t>
      </w:r>
      <w:r w:rsidRPr="00B26D1F">
        <w:rPr>
          <w:rFonts w:ascii="Arial" w:hAnsi="Arial" w:cs="Arial"/>
          <w:sz w:val="24"/>
          <w:szCs w:val="24"/>
          <w:lang w:val="en-GB"/>
        </w:rPr>
        <w:t xml:space="preserve"> dynamics in tropical climates exacerbate transmission during rainy periods, supporting larval survival and pasture contamination (Elele </w:t>
      </w:r>
      <w:r w:rsidRPr="00B26D1F">
        <w:rPr>
          <w:rFonts w:ascii="Arial" w:hAnsi="Arial" w:cs="Arial"/>
          <w:i/>
          <w:sz w:val="24"/>
          <w:szCs w:val="24"/>
          <w:lang w:val="en-GB"/>
        </w:rPr>
        <w:t>et al.,</w:t>
      </w:r>
      <w:r w:rsidRPr="00B26D1F">
        <w:rPr>
          <w:rFonts w:ascii="Arial" w:hAnsi="Arial" w:cs="Arial"/>
          <w:sz w:val="24"/>
          <w:szCs w:val="24"/>
          <w:lang w:val="en-GB"/>
        </w:rPr>
        <w:t xml:space="preserve"> 2019). In Abuja's semi-humid environment, these patterns are evident, impacting parasite epidemiology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00F06645" w:rsidRPr="00B26D1F">
        <w:rPr>
          <w:rFonts w:ascii="Arial" w:hAnsi="Arial" w:cs="Arial"/>
          <w:sz w:val="24"/>
          <w:szCs w:val="24"/>
          <w:lang w:val="en-GB"/>
        </w:rPr>
        <w:t>., 2021).</w:t>
      </w:r>
    </w:p>
    <w:p w14:paraId="1C531BF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This study aims to evaluate helminth prevalence, morphological diversity, and associations with demographic and management factors in slaughtered goats, while assessing impacts on meat quality for informed control measures.</w:t>
      </w:r>
    </w:p>
    <w:p w14:paraId="3B63C5CA" w14:textId="77777777" w:rsidR="003A46BE" w:rsidRPr="00B26D1F" w:rsidRDefault="003A46BE" w:rsidP="007B7C19">
      <w:pPr>
        <w:jc w:val="both"/>
        <w:rPr>
          <w:rFonts w:ascii="Arial" w:hAnsi="Arial" w:cs="Arial"/>
          <w:sz w:val="24"/>
          <w:szCs w:val="24"/>
          <w:lang w:val="en-GB"/>
        </w:rPr>
      </w:pPr>
    </w:p>
    <w:p w14:paraId="7DA7BD08" w14:textId="77777777" w:rsidR="00327F7A" w:rsidRPr="00B26D1F" w:rsidRDefault="00327F7A" w:rsidP="007B7C19">
      <w:pPr>
        <w:spacing w:after="0" w:line="240" w:lineRule="auto"/>
        <w:jc w:val="both"/>
        <w:rPr>
          <w:rFonts w:ascii="Arial" w:hAnsi="Arial" w:cs="Arial"/>
          <w:sz w:val="24"/>
          <w:szCs w:val="24"/>
          <w:lang w:val="en-GB"/>
        </w:rPr>
      </w:pPr>
    </w:p>
    <w:p w14:paraId="270BD644" w14:textId="77777777" w:rsidR="003A46BE" w:rsidRPr="00B26D1F" w:rsidRDefault="003A46BE" w:rsidP="007B7C19">
      <w:pPr>
        <w:spacing w:after="0" w:line="240" w:lineRule="auto"/>
        <w:jc w:val="both"/>
        <w:rPr>
          <w:rFonts w:ascii="Arial" w:hAnsi="Arial" w:cs="Arial"/>
          <w:sz w:val="24"/>
          <w:szCs w:val="24"/>
          <w:lang w:val="en-GB"/>
        </w:rPr>
      </w:pPr>
    </w:p>
    <w:p w14:paraId="0C27BA02" w14:textId="77777777" w:rsidR="003A46BE" w:rsidRPr="00B26D1F" w:rsidRDefault="003A46BE" w:rsidP="007B7C19">
      <w:pPr>
        <w:spacing w:after="0" w:line="240" w:lineRule="auto"/>
        <w:jc w:val="both"/>
        <w:rPr>
          <w:rFonts w:ascii="Arial" w:hAnsi="Arial" w:cs="Arial"/>
          <w:sz w:val="24"/>
          <w:szCs w:val="24"/>
          <w:lang w:val="en-GB"/>
        </w:rPr>
      </w:pPr>
    </w:p>
    <w:p w14:paraId="677E9F76" w14:textId="77777777" w:rsidR="004D3254" w:rsidRPr="00B26D1F" w:rsidRDefault="004D3254" w:rsidP="007B7C19">
      <w:pPr>
        <w:spacing w:after="0" w:line="240" w:lineRule="auto"/>
        <w:jc w:val="both"/>
        <w:rPr>
          <w:rFonts w:ascii="Arial" w:eastAsia="Times New Roman" w:hAnsi="Arial" w:cs="Arial"/>
          <w:b/>
          <w:bCs/>
          <w:sz w:val="24"/>
          <w:szCs w:val="24"/>
          <w:lang w:val="en-GB"/>
        </w:rPr>
      </w:pPr>
    </w:p>
    <w:p w14:paraId="7FB867E0" w14:textId="77777777" w:rsidR="00DB648B" w:rsidRPr="00B26D1F" w:rsidRDefault="00351652"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Materials and Methods</w:t>
      </w:r>
    </w:p>
    <w:p w14:paraId="6075FFCC" w14:textId="77777777" w:rsidR="007C5EB9" w:rsidRPr="00B26D1F" w:rsidRDefault="007C5EB9" w:rsidP="007B7C19">
      <w:pPr>
        <w:spacing w:after="0" w:line="240" w:lineRule="auto"/>
        <w:jc w:val="both"/>
        <w:rPr>
          <w:rFonts w:ascii="Arial" w:eastAsia="Times New Roman" w:hAnsi="Arial" w:cs="Arial"/>
          <w:b/>
          <w:sz w:val="24"/>
          <w:szCs w:val="24"/>
          <w:lang w:val="en-GB"/>
        </w:rPr>
      </w:pPr>
    </w:p>
    <w:p w14:paraId="29E32607"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i/>
          <w:sz w:val="24"/>
          <w:szCs w:val="24"/>
          <w:lang w:val="en-GB"/>
        </w:rPr>
        <w:t>Study Area</w:t>
      </w:r>
    </w:p>
    <w:p w14:paraId="0A36AA1F"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The research was conducted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Gwagwalada Area Council, Federal Capital Territory (FCT), Abuja, Nigeria (latitudes 8°25'N–8°50'N, longitudes 7°5'E–7°25'E, area ~1,769 km²) (Obasi </w:t>
      </w:r>
      <w:r w:rsidRPr="00B26D1F">
        <w:rPr>
          <w:rFonts w:ascii="Arial" w:hAnsi="Arial" w:cs="Arial"/>
          <w:i/>
          <w:sz w:val="24"/>
          <w:szCs w:val="24"/>
          <w:lang w:val="en-GB"/>
        </w:rPr>
        <w:t>et al.,</w:t>
      </w:r>
      <w:r w:rsidRPr="00B26D1F">
        <w:rPr>
          <w:rFonts w:ascii="Arial" w:hAnsi="Arial" w:cs="Arial"/>
          <w:sz w:val="24"/>
          <w:szCs w:val="24"/>
          <w:lang w:val="en-GB"/>
        </w:rPr>
        <w:t xml:space="preserve"> 2019). Annual rainfall averages 1,600 mm, peaking in August–September, with grassland vegetation supporting livestock grazing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2021). The area features pastoral and smallholder systems (extensive, semi-intensive), ideal for parasite prevalence studies. Laboratory analyses occurred at the Biological Sciences </w:t>
      </w:r>
      <w:r w:rsidR="00F523DB" w:rsidRPr="00B26D1F">
        <w:rPr>
          <w:rFonts w:ascii="Arial" w:hAnsi="Arial" w:cs="Arial"/>
          <w:sz w:val="24"/>
          <w:szCs w:val="24"/>
          <w:lang w:val="en-GB"/>
        </w:rPr>
        <w:t>Laboratory, University of Abuja, Nigeria.</w:t>
      </w:r>
    </w:p>
    <w:p w14:paraId="6E2916FD" w14:textId="77777777" w:rsidR="003A46BE" w:rsidRPr="00B26D1F" w:rsidRDefault="003A46BE" w:rsidP="007B7C19">
      <w:pPr>
        <w:spacing w:after="0" w:line="240" w:lineRule="auto"/>
        <w:jc w:val="both"/>
        <w:rPr>
          <w:rFonts w:ascii="Arial" w:eastAsia="Times New Roman" w:hAnsi="Arial" w:cs="Arial"/>
          <w:bCs/>
          <w:sz w:val="24"/>
          <w:szCs w:val="24"/>
          <w:lang w:val="en-GB"/>
        </w:rPr>
      </w:pPr>
    </w:p>
    <w:p w14:paraId="3963DCCD" w14:textId="77777777" w:rsidR="00DB648B" w:rsidRPr="00B26D1F" w:rsidRDefault="00DB46F9" w:rsidP="007B7C19">
      <w:pPr>
        <w:spacing w:line="480" w:lineRule="auto"/>
        <w:jc w:val="both"/>
        <w:rPr>
          <w:rFonts w:ascii="Arial" w:eastAsia="Times New Roman" w:hAnsi="Arial" w:cs="Arial"/>
          <w:sz w:val="24"/>
          <w:szCs w:val="24"/>
          <w:lang w:val="en-GB"/>
        </w:rPr>
      </w:pPr>
      <w:r w:rsidRPr="00B26D1F">
        <w:rPr>
          <w:rFonts w:ascii="Arial" w:hAnsi="Arial" w:cs="Arial"/>
          <w:noProof/>
          <w:sz w:val="24"/>
          <w:szCs w:val="24"/>
          <w:lang w:val="en-GB"/>
        </w:rPr>
        <w:drawing>
          <wp:inline distT="0" distB="0" distL="0" distR="0" wp14:anchorId="0EA763AB" wp14:editId="46A75DC7">
            <wp:extent cx="5295900" cy="3533775"/>
            <wp:effectExtent l="0" t="0" r="0" b="9525"/>
            <wp:docPr id="3" name="Picture 3" descr="Gwagwalada Area Council Source: Modified from the Administrative Map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agwalada Area Council Source: Modified from the Administrative Map of...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3955" cy="3532477"/>
                    </a:xfrm>
                    <a:prstGeom prst="rect">
                      <a:avLst/>
                    </a:prstGeom>
                    <a:noFill/>
                    <a:ln>
                      <a:noFill/>
                    </a:ln>
                  </pic:spPr>
                </pic:pic>
              </a:graphicData>
            </a:graphic>
          </wp:inline>
        </w:drawing>
      </w:r>
    </w:p>
    <w:p w14:paraId="471A65BC" w14:textId="77777777" w:rsidR="00DB46F9" w:rsidRPr="00B26D1F" w:rsidRDefault="00CE5886" w:rsidP="007B7C19">
      <w:pPr>
        <w:jc w:val="both"/>
        <w:rPr>
          <w:rFonts w:ascii="Arial" w:hAnsi="Arial" w:cs="Arial"/>
          <w:sz w:val="24"/>
          <w:szCs w:val="24"/>
          <w:lang w:val="en-GB"/>
        </w:rPr>
      </w:pPr>
      <w:r w:rsidRPr="00B26D1F">
        <w:rPr>
          <w:rFonts w:ascii="Arial" w:eastAsia="Times New Roman" w:hAnsi="Arial" w:cs="Arial"/>
          <w:b/>
          <w:bCs/>
          <w:sz w:val="24"/>
          <w:szCs w:val="24"/>
          <w:lang w:val="en-GB"/>
        </w:rPr>
        <w:t xml:space="preserve">Figure </w:t>
      </w:r>
      <w:r w:rsidRPr="00B26D1F">
        <w:rPr>
          <w:rFonts w:ascii="Arial" w:eastAsia="Times New Roman" w:hAnsi="Arial" w:cs="Arial"/>
          <w:sz w:val="24"/>
          <w:szCs w:val="24"/>
          <w:lang w:val="en-GB"/>
        </w:rPr>
        <w:t xml:space="preserve">1: </w:t>
      </w:r>
      <w:r w:rsidR="00DB46F9" w:rsidRPr="00B26D1F">
        <w:rPr>
          <w:rFonts w:ascii="Arial" w:eastAsia="Times New Roman" w:hAnsi="Arial" w:cs="Arial"/>
          <w:sz w:val="24"/>
          <w:szCs w:val="24"/>
          <w:lang w:val="en-GB"/>
        </w:rPr>
        <w:t xml:space="preserve">Map of Nigeria, FCT indicating Gwagwalada </w:t>
      </w:r>
      <w:r w:rsidR="00DB46F9" w:rsidRPr="00B26D1F">
        <w:rPr>
          <w:rStyle w:val="Strong"/>
          <w:rFonts w:ascii="Arial" w:hAnsi="Arial" w:cs="Arial"/>
          <w:b w:val="0"/>
          <w:sz w:val="24"/>
          <w:szCs w:val="24"/>
          <w:lang w:val="en-GB"/>
        </w:rPr>
        <w:t>Area Council</w:t>
      </w:r>
      <w:r w:rsidR="00DB46F9" w:rsidRPr="00B26D1F">
        <w:rPr>
          <w:rStyle w:val="Strong"/>
          <w:rFonts w:ascii="Arial" w:hAnsi="Arial" w:cs="Arial"/>
          <w:sz w:val="24"/>
          <w:szCs w:val="24"/>
          <w:lang w:val="en-GB"/>
        </w:rPr>
        <w:t>,</w:t>
      </w:r>
      <w:r w:rsidR="005D67C8" w:rsidRPr="00B26D1F">
        <w:rPr>
          <w:rFonts w:ascii="Arial" w:hAnsi="Arial" w:cs="Arial"/>
          <w:sz w:val="24"/>
          <w:szCs w:val="24"/>
          <w:lang w:val="en-GB"/>
        </w:rPr>
        <w:t xml:space="preserve"> </w:t>
      </w:r>
      <w:proofErr w:type="spellStart"/>
      <w:r w:rsidR="005D67C8" w:rsidRPr="00B26D1F">
        <w:rPr>
          <w:rFonts w:ascii="Arial" w:hAnsi="Arial" w:cs="Arial"/>
          <w:sz w:val="24"/>
          <w:szCs w:val="24"/>
          <w:lang w:val="en-GB"/>
        </w:rPr>
        <w:t>Anagada</w:t>
      </w:r>
      <w:proofErr w:type="spellEnd"/>
      <w:r w:rsidR="005D67C8" w:rsidRPr="00B26D1F">
        <w:rPr>
          <w:rFonts w:ascii="Arial" w:hAnsi="Arial" w:cs="Arial"/>
          <w:sz w:val="24"/>
          <w:szCs w:val="24"/>
          <w:lang w:val="en-GB"/>
        </w:rPr>
        <w:t xml:space="preserve"> and other environs (2025).</w:t>
      </w:r>
    </w:p>
    <w:p w14:paraId="5ABDBF27" w14:textId="77777777" w:rsidR="00DB648B" w:rsidRPr="00B26D1F" w:rsidRDefault="00DB648B" w:rsidP="007B7C19">
      <w:pPr>
        <w:spacing w:after="0" w:line="240" w:lineRule="auto"/>
        <w:jc w:val="both"/>
        <w:rPr>
          <w:rFonts w:ascii="Arial" w:eastAsia="Times New Roman" w:hAnsi="Arial" w:cs="Arial"/>
          <w:i/>
          <w:iCs/>
          <w:sz w:val="24"/>
          <w:szCs w:val="24"/>
          <w:lang w:val="en-GB"/>
        </w:rPr>
      </w:pPr>
    </w:p>
    <w:p w14:paraId="3C5B1D8D" w14:textId="77777777" w:rsidR="00DB648B" w:rsidRPr="00B26D1F" w:rsidRDefault="00CE5886" w:rsidP="007B7C19">
      <w:pPr>
        <w:pStyle w:val="Heading4"/>
        <w:spacing w:before="120" w:line="24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Sample Size</w:t>
      </w:r>
      <w:r w:rsidR="00097FCD" w:rsidRPr="00B26D1F">
        <w:rPr>
          <w:rFonts w:ascii="Arial" w:eastAsia="Times New Roman" w:hAnsi="Arial" w:cs="Arial"/>
          <w:b/>
          <w:bCs/>
          <w:i w:val="0"/>
          <w:iCs w:val="0"/>
          <w:color w:val="000000"/>
          <w:sz w:val="24"/>
          <w:szCs w:val="24"/>
          <w:lang w:val="en-GB"/>
        </w:rPr>
        <w:t xml:space="preserve"> and Collection</w:t>
      </w:r>
    </w:p>
    <w:p w14:paraId="0CFFEBC2" w14:textId="17BE97C8" w:rsidR="00351652" w:rsidRDefault="00097FCD" w:rsidP="00424972">
      <w:pPr>
        <w:jc w:val="both"/>
        <w:rPr>
          <w:rFonts w:ascii="Arial" w:hAnsi="Arial" w:cs="Arial"/>
          <w:sz w:val="24"/>
          <w:szCs w:val="24"/>
          <w:lang w:val="en-GB"/>
        </w:rPr>
      </w:pPr>
      <w:r w:rsidRPr="00B26D1F">
        <w:rPr>
          <w:rFonts w:ascii="Arial" w:hAnsi="Arial" w:cs="Arial"/>
          <w:sz w:val="24"/>
          <w:szCs w:val="24"/>
          <w:lang w:val="en-GB"/>
        </w:rPr>
        <w:t xml:space="preserve">Fifty goats (mixed sexes and ages) were systematically randomly sampled during post-mortem examinations. </w:t>
      </w:r>
      <w:r w:rsidR="00424972">
        <w:rPr>
          <w:rFonts w:ascii="Arial" w:hAnsi="Arial" w:cs="Arial"/>
          <w:sz w:val="24"/>
          <w:szCs w:val="24"/>
          <w:lang w:val="en-GB"/>
        </w:rPr>
        <w:t>Faecal</w:t>
      </w:r>
      <w:r w:rsidRPr="00B26D1F">
        <w:rPr>
          <w:rFonts w:ascii="Arial" w:hAnsi="Arial" w:cs="Arial"/>
          <w:sz w:val="24"/>
          <w:szCs w:val="24"/>
          <w:lang w:val="en-GB"/>
        </w:rPr>
        <w:t xml:space="preserve"> samples were collected rectally using sterile gloves and </w:t>
      </w:r>
      <w:r w:rsidR="0077537D" w:rsidRPr="00B26D1F">
        <w:rPr>
          <w:rFonts w:ascii="Arial" w:hAnsi="Arial" w:cs="Arial"/>
          <w:sz w:val="24"/>
          <w:szCs w:val="24"/>
          <w:lang w:val="en-GB"/>
        </w:rPr>
        <w:t>labelled</w:t>
      </w:r>
      <w:r w:rsidRPr="00B26D1F">
        <w:rPr>
          <w:rFonts w:ascii="Arial" w:hAnsi="Arial" w:cs="Arial"/>
          <w:sz w:val="24"/>
          <w:szCs w:val="24"/>
          <w:lang w:val="en-GB"/>
        </w:rPr>
        <w:t xml:space="preserve"> containers. Tissues with lesions/cysts were preserved in 10% formalin. Ethical approval was obtained from the FCT Ministry of Agriculture and Rural Development and abattoir veterinary officer.</w:t>
      </w:r>
    </w:p>
    <w:p w14:paraId="5EC3FB26" w14:textId="77777777" w:rsidR="00D81A51" w:rsidRPr="00424972" w:rsidRDefault="00D81A51" w:rsidP="00424972">
      <w:pPr>
        <w:jc w:val="both"/>
        <w:rPr>
          <w:rFonts w:ascii="Arial" w:hAnsi="Arial" w:cs="Arial"/>
          <w:sz w:val="24"/>
          <w:szCs w:val="24"/>
          <w:lang w:val="en-GB"/>
        </w:rPr>
      </w:pPr>
    </w:p>
    <w:p w14:paraId="51042B65"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 xml:space="preserve"> Laboratory Techniques and Identification</w:t>
      </w:r>
    </w:p>
    <w:p w14:paraId="2801AB31" w14:textId="74129DFC" w:rsidR="00DB648B" w:rsidRPr="00B26D1F" w:rsidRDefault="00424972" w:rsidP="00F523DB">
      <w:pPr>
        <w:pStyle w:val="Heading4"/>
        <w:spacing w:before="0" w:line="240" w:lineRule="auto"/>
        <w:jc w:val="both"/>
        <w:rPr>
          <w:rFonts w:ascii="Arial" w:eastAsia="Times New Roman" w:hAnsi="Arial" w:cs="Arial"/>
          <w:iCs w:val="0"/>
          <w:color w:val="000000"/>
          <w:sz w:val="24"/>
          <w:szCs w:val="24"/>
          <w:lang w:val="en-GB"/>
        </w:rPr>
      </w:pPr>
      <w:r>
        <w:rPr>
          <w:rFonts w:ascii="Arial" w:eastAsia="Times New Roman" w:hAnsi="Arial" w:cs="Arial"/>
          <w:b/>
          <w:bCs/>
          <w:iCs w:val="0"/>
          <w:color w:val="000000"/>
          <w:sz w:val="24"/>
          <w:szCs w:val="24"/>
          <w:lang w:val="en-GB"/>
        </w:rPr>
        <w:t>Faecal</w:t>
      </w:r>
      <w:r w:rsidR="00CE5886" w:rsidRPr="00B26D1F">
        <w:rPr>
          <w:rFonts w:ascii="Arial" w:eastAsia="Times New Roman" w:hAnsi="Arial" w:cs="Arial"/>
          <w:b/>
          <w:bCs/>
          <w:iCs w:val="0"/>
          <w:color w:val="000000"/>
          <w:sz w:val="24"/>
          <w:szCs w:val="24"/>
          <w:lang w:val="en-GB"/>
        </w:rPr>
        <w:t xml:space="preserve"> Analysis</w:t>
      </w:r>
    </w:p>
    <w:p w14:paraId="6311470C" w14:textId="04D9E421" w:rsidR="00DB648B" w:rsidRPr="00B26D1F" w:rsidRDefault="00CE5886" w:rsidP="00F523DB">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Collected </w:t>
      </w:r>
      <w:r w:rsidR="00424972">
        <w:rPr>
          <w:rFonts w:ascii="Arial" w:eastAsia="Times New Roman" w:hAnsi="Arial" w:cs="Arial"/>
          <w:color w:val="000000"/>
          <w:sz w:val="24"/>
          <w:szCs w:val="24"/>
          <w:lang w:val="en-GB"/>
        </w:rPr>
        <w:t>faecal</w:t>
      </w:r>
      <w:r w:rsidRPr="00B26D1F">
        <w:rPr>
          <w:rFonts w:ascii="Arial" w:eastAsia="Times New Roman" w:hAnsi="Arial" w:cs="Arial"/>
          <w:color w:val="000000"/>
          <w:sz w:val="24"/>
          <w:szCs w:val="24"/>
          <w:lang w:val="en-GB"/>
        </w:rPr>
        <w:t xml:space="preserve"> samples were examined using the floatation and sedimentation techniques to identify eggs of gastrointestinal helminths. Salt solution floatation was used for detecting nematode and cestode eggs, while formalin-ether sedimentation was employed for trematode eggs (Soulsby, 1986; Taylor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2007).</w:t>
      </w:r>
    </w:p>
    <w:p w14:paraId="28DF85CE" w14:textId="77777777" w:rsidR="00097FCD" w:rsidRPr="00B26D1F" w:rsidRDefault="00097FCD" w:rsidP="00F523DB">
      <w:pPr>
        <w:pStyle w:val="Heading4"/>
        <w:spacing w:before="0" w:line="240" w:lineRule="auto"/>
        <w:jc w:val="both"/>
        <w:rPr>
          <w:rFonts w:ascii="Arial" w:eastAsia="Times New Roman" w:hAnsi="Arial" w:cs="Arial"/>
          <w:b/>
          <w:bCs/>
          <w:i w:val="0"/>
          <w:iCs w:val="0"/>
          <w:color w:val="000000"/>
          <w:sz w:val="24"/>
          <w:szCs w:val="24"/>
          <w:lang w:val="en-GB"/>
        </w:rPr>
      </w:pPr>
    </w:p>
    <w:p w14:paraId="221CFFA3" w14:textId="77777777" w:rsidR="00DB648B" w:rsidRPr="00B26D1F" w:rsidRDefault="00CE5886" w:rsidP="007B7C19">
      <w:pPr>
        <w:pStyle w:val="Heading4"/>
        <w:spacing w:before="0" w:line="48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Gross and Microscopic Identification</w:t>
      </w:r>
    </w:p>
    <w:p w14:paraId="6EFD715B" w14:textId="34D01FD7" w:rsidR="00DB648B"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Organs were inspected for visible parasites or cysts. Identified helminths were washed, preserved in 70% ethanol, and examined under a stereomicroscope for species-level identification based on morphological keys.</w:t>
      </w:r>
      <w:r w:rsidR="00BD3D32">
        <w:rPr>
          <w:rFonts w:ascii="Arial" w:eastAsia="Times New Roman" w:hAnsi="Arial" w:cs="Arial"/>
          <w:color w:val="000000"/>
          <w:sz w:val="24"/>
          <w:szCs w:val="24"/>
          <w:lang w:val="en-GB"/>
        </w:rPr>
        <w:t xml:space="preserve"> </w:t>
      </w:r>
      <w:r w:rsidRPr="00B26D1F">
        <w:rPr>
          <w:rFonts w:ascii="Arial" w:eastAsia="Times New Roman" w:hAnsi="Arial" w:cs="Arial"/>
          <w:color w:val="000000"/>
          <w:sz w:val="24"/>
          <w:szCs w:val="24"/>
          <w:lang w:val="en-GB"/>
        </w:rPr>
        <w:t>Staining with aceto</w:t>
      </w:r>
      <w:r w:rsidRPr="00B26D1F">
        <w:rPr>
          <w:rFonts w:ascii="Arial" w:eastAsia="Times New Roman" w:hAnsi="Arial" w:cs="Arial"/>
          <w:b/>
          <w:bCs/>
          <w:color w:val="000000"/>
          <w:sz w:val="24"/>
          <w:szCs w:val="24"/>
          <w:lang w:val="en-GB"/>
        </w:rPr>
        <w:t>-</w:t>
      </w:r>
      <w:r w:rsidRPr="00B26D1F">
        <w:rPr>
          <w:rFonts w:ascii="Arial" w:eastAsia="Times New Roman" w:hAnsi="Arial" w:cs="Arial"/>
          <w:color w:val="000000"/>
          <w:sz w:val="24"/>
          <w:szCs w:val="24"/>
          <w:lang w:val="en-GB"/>
        </w:rPr>
        <w:t xml:space="preserve">carmine was used for cestodes and trematodes to enhance internal structures for identification, while </w:t>
      </w:r>
      <w:proofErr w:type="spellStart"/>
      <w:r w:rsidR="002D352D" w:rsidRPr="00B26D1F">
        <w:rPr>
          <w:rFonts w:ascii="Arial" w:eastAsia="Times New Roman" w:hAnsi="Arial" w:cs="Arial"/>
          <w:color w:val="000000"/>
          <w:sz w:val="24"/>
          <w:szCs w:val="24"/>
          <w:lang w:val="en-GB"/>
        </w:rPr>
        <w:t>lacto</w:t>
      </w:r>
      <w:proofErr w:type="spellEnd"/>
      <w:r w:rsidR="002D352D" w:rsidRPr="00B26D1F">
        <w:rPr>
          <w:rFonts w:ascii="Arial" w:eastAsia="Times New Roman" w:hAnsi="Arial" w:cs="Arial"/>
          <w:color w:val="000000"/>
          <w:sz w:val="24"/>
          <w:szCs w:val="24"/>
          <w:lang w:val="en-GB"/>
        </w:rPr>
        <w:t>-phenol</w:t>
      </w:r>
      <w:r w:rsidRPr="00B26D1F">
        <w:rPr>
          <w:rFonts w:ascii="Arial" w:eastAsia="Times New Roman" w:hAnsi="Arial" w:cs="Arial"/>
          <w:color w:val="000000"/>
          <w:sz w:val="24"/>
          <w:szCs w:val="24"/>
          <w:lang w:val="en-GB"/>
        </w:rPr>
        <w:t xml:space="preserve"> clearing was used for nematodes (Urquhart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1996).</w:t>
      </w:r>
    </w:p>
    <w:p w14:paraId="0BF298D0" w14:textId="77777777" w:rsidR="00097FCD" w:rsidRPr="00B26D1F" w:rsidRDefault="00097FCD" w:rsidP="007B7C19">
      <w:pPr>
        <w:pStyle w:val="Heading3"/>
        <w:spacing w:after="0" w:line="480" w:lineRule="auto"/>
        <w:jc w:val="both"/>
        <w:rPr>
          <w:rFonts w:ascii="Arial" w:hAnsi="Arial" w:cs="Arial"/>
          <w:b w:val="0"/>
          <w:bCs w:val="0"/>
          <w:color w:val="000000"/>
          <w:sz w:val="24"/>
          <w:szCs w:val="24"/>
          <w:lang w:val="en-GB"/>
        </w:rPr>
      </w:pPr>
    </w:p>
    <w:p w14:paraId="74DD14A3"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Data and Statistical Analysis</w:t>
      </w:r>
    </w:p>
    <w:p w14:paraId="6B16C95F" w14:textId="44886770" w:rsidR="004A30BD"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Data obtained from both seasons were recorded and coded using Microsoft Excel 2020 and </w:t>
      </w:r>
      <w:r w:rsidR="00BD3D32" w:rsidRPr="00B26D1F">
        <w:rPr>
          <w:rFonts w:ascii="Arial" w:eastAsia="Times New Roman" w:hAnsi="Arial" w:cs="Arial"/>
          <w:color w:val="000000"/>
          <w:sz w:val="24"/>
          <w:szCs w:val="24"/>
          <w:lang w:val="en-GB"/>
        </w:rPr>
        <w:t>analysed</w:t>
      </w:r>
      <w:r w:rsidRPr="00B26D1F">
        <w:rPr>
          <w:rFonts w:ascii="Arial" w:eastAsia="Times New Roman" w:hAnsi="Arial" w:cs="Arial"/>
          <w:color w:val="000000"/>
          <w:sz w:val="24"/>
          <w:szCs w:val="24"/>
          <w:lang w:val="en-GB"/>
        </w:rPr>
        <w:t xml:space="preserve"> with SPSS Version 25.0. Prevalence rates were calculated as the percentage of infected animals out of total examined. Differences in seasonal prevalence and parasite burden were tested using Chi-square (χ²) tests, and significance was determined at p &lt; 0.05.</w:t>
      </w:r>
      <w:r w:rsidR="00BD3D32">
        <w:rPr>
          <w:rFonts w:ascii="Arial" w:eastAsia="Times New Roman" w:hAnsi="Arial" w:cs="Arial"/>
          <w:color w:val="000000"/>
          <w:sz w:val="24"/>
          <w:szCs w:val="24"/>
          <w:lang w:val="en-GB"/>
        </w:rPr>
        <w:t xml:space="preserve"> </w:t>
      </w:r>
      <w:r w:rsidRPr="00B26D1F">
        <w:rPr>
          <w:rFonts w:ascii="Arial" w:eastAsia="Times New Roman" w:hAnsi="Arial" w:cs="Arial"/>
          <w:color w:val="000000"/>
          <w:sz w:val="24"/>
          <w:szCs w:val="24"/>
          <w:lang w:val="en-GB"/>
        </w:rPr>
        <w:t>Correlation analysis was also done to assess the relationship between parasite burden and key meat quality parameters (e.g., carcass weight, organ rejection rate).</w:t>
      </w:r>
    </w:p>
    <w:p w14:paraId="6438380C" w14:textId="77777777" w:rsidR="00E407A7" w:rsidRPr="00B26D1F" w:rsidRDefault="00E407A7"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p>
    <w:p w14:paraId="5BCB0BFC"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RESULTS</w:t>
      </w:r>
    </w:p>
    <w:p w14:paraId="1797A468" w14:textId="77777777" w:rsidR="00F523DB" w:rsidRPr="00B26D1F" w:rsidRDefault="00F523DB" w:rsidP="007B7C19">
      <w:pPr>
        <w:spacing w:after="0" w:line="240" w:lineRule="auto"/>
        <w:jc w:val="both"/>
        <w:rPr>
          <w:rFonts w:ascii="Arial" w:eastAsia="Times New Roman" w:hAnsi="Arial" w:cs="Arial"/>
          <w:b/>
          <w:bCs/>
          <w:i/>
          <w:sz w:val="24"/>
          <w:szCs w:val="24"/>
          <w:lang w:val="en-GB"/>
        </w:rPr>
      </w:pPr>
    </w:p>
    <w:p w14:paraId="2F8AE5CD" w14:textId="77777777" w:rsidR="00DB648B" w:rsidRPr="00B26D1F" w:rsidRDefault="00CE5886" w:rsidP="007B7C19">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Sample Description and Overall Prevalence</w:t>
      </w:r>
    </w:p>
    <w:p w14:paraId="7E9EAFE7" w14:textId="54E6D900" w:rsidR="004A30BD"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collected from goat and examined in the Biological Science Laboratory. Using microscopic magnifications of 0.4X, 10X, and 40X, gastrointestinal parasites were observed in multiple forms, including circular eggs, eggs clustered, long shapes, and triangular shapes.</w:t>
      </w:r>
      <w:r w:rsidR="004F3BA7"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Out of the 50 samples, 37 (74%) were positive for helminths parasites, while 13 (26%) showed no evidence of parasitism.</w:t>
      </w:r>
      <w:r w:rsidRPr="00B26D1F">
        <w:rPr>
          <w:rFonts w:ascii="Arial" w:eastAsia="Times New Roman" w:hAnsi="Arial" w:cs="Arial"/>
          <w:b/>
          <w:bCs/>
          <w:sz w:val="24"/>
          <w:szCs w:val="24"/>
          <w:lang w:val="en-GB"/>
        </w:rPr>
        <w:t xml:space="preserve"> </w:t>
      </w:r>
    </w:p>
    <w:p w14:paraId="28CF273B" w14:textId="77777777" w:rsidR="00B4702C" w:rsidRPr="00B26D1F" w:rsidRDefault="00B4702C" w:rsidP="007B7C19">
      <w:pPr>
        <w:spacing w:line="240" w:lineRule="auto"/>
        <w:jc w:val="both"/>
        <w:rPr>
          <w:rFonts w:ascii="Arial" w:eastAsia="Times New Roman" w:hAnsi="Arial" w:cs="Arial"/>
          <w:b/>
          <w:bCs/>
          <w:sz w:val="24"/>
          <w:szCs w:val="24"/>
          <w:lang w:val="en-GB"/>
        </w:rPr>
      </w:pPr>
    </w:p>
    <w:p w14:paraId="2E20D515" w14:textId="77777777" w:rsidR="00F523DB" w:rsidRPr="00B26D1F" w:rsidRDefault="00F523DB" w:rsidP="007B7C19">
      <w:pPr>
        <w:jc w:val="both"/>
        <w:rPr>
          <w:rFonts w:ascii="Arial" w:eastAsia="Times New Roman" w:hAnsi="Arial" w:cs="Arial"/>
          <w:b/>
          <w:bCs/>
          <w:sz w:val="24"/>
          <w:szCs w:val="24"/>
          <w:lang w:val="en-GB"/>
        </w:rPr>
      </w:pPr>
    </w:p>
    <w:p w14:paraId="3C9B4784" w14:textId="77777777" w:rsidR="00F523DB" w:rsidRPr="00B26D1F" w:rsidRDefault="00F523DB" w:rsidP="007B7C19">
      <w:pPr>
        <w:jc w:val="both"/>
        <w:rPr>
          <w:rFonts w:ascii="Arial" w:eastAsia="Times New Roman" w:hAnsi="Arial" w:cs="Arial"/>
          <w:b/>
          <w:bCs/>
          <w:sz w:val="24"/>
          <w:szCs w:val="24"/>
          <w:lang w:val="en-GB"/>
        </w:rPr>
      </w:pPr>
    </w:p>
    <w:p w14:paraId="2C137855" w14:textId="77777777" w:rsidR="00F523DB" w:rsidRPr="00B26D1F" w:rsidRDefault="00F523DB" w:rsidP="007B7C19">
      <w:pPr>
        <w:jc w:val="both"/>
        <w:rPr>
          <w:rFonts w:ascii="Arial" w:eastAsia="Times New Roman" w:hAnsi="Arial" w:cs="Arial"/>
          <w:b/>
          <w:bCs/>
          <w:sz w:val="24"/>
          <w:szCs w:val="24"/>
          <w:lang w:val="en-GB"/>
        </w:rPr>
      </w:pPr>
    </w:p>
    <w:p w14:paraId="01FC2582" w14:textId="77777777" w:rsidR="00F523DB" w:rsidRPr="00B26D1F" w:rsidRDefault="00F523DB" w:rsidP="007B7C19">
      <w:pPr>
        <w:jc w:val="both"/>
        <w:rPr>
          <w:rFonts w:ascii="Arial" w:eastAsia="Times New Roman" w:hAnsi="Arial" w:cs="Arial"/>
          <w:b/>
          <w:bCs/>
          <w:sz w:val="24"/>
          <w:szCs w:val="24"/>
          <w:lang w:val="en-GB"/>
        </w:rPr>
      </w:pPr>
    </w:p>
    <w:p w14:paraId="41378A6C" w14:textId="77777777" w:rsidR="00F523DB" w:rsidRPr="00B26D1F" w:rsidRDefault="00F523DB" w:rsidP="007B7C19">
      <w:pPr>
        <w:jc w:val="both"/>
        <w:rPr>
          <w:rFonts w:ascii="Arial" w:eastAsia="Times New Roman" w:hAnsi="Arial" w:cs="Arial"/>
          <w:b/>
          <w:bCs/>
          <w:sz w:val="24"/>
          <w:szCs w:val="24"/>
          <w:lang w:val="en-GB"/>
        </w:rPr>
      </w:pPr>
    </w:p>
    <w:p w14:paraId="0AC632CC" w14:textId="77777777" w:rsidR="00F523DB" w:rsidRPr="00B26D1F" w:rsidRDefault="00F523DB" w:rsidP="007B7C19">
      <w:pPr>
        <w:jc w:val="both"/>
        <w:rPr>
          <w:rFonts w:ascii="Arial" w:eastAsia="Times New Roman" w:hAnsi="Arial" w:cs="Arial"/>
          <w:b/>
          <w:bCs/>
          <w:sz w:val="24"/>
          <w:szCs w:val="24"/>
          <w:lang w:val="en-GB"/>
        </w:rPr>
      </w:pPr>
    </w:p>
    <w:p w14:paraId="70977341" w14:textId="77777777" w:rsidR="00DB648B" w:rsidRPr="00B26D1F" w:rsidRDefault="00DB648B" w:rsidP="00F523DB">
      <w:pPr>
        <w:spacing w:after="0"/>
        <w:jc w:val="both"/>
        <w:rPr>
          <w:rFonts w:ascii="Arial" w:hAnsi="Arial" w:cs="Arial"/>
          <w:sz w:val="24"/>
          <w:szCs w:val="24"/>
          <w:lang w:val="en-GB"/>
        </w:rPr>
      </w:pPr>
    </w:p>
    <w:tbl>
      <w:tblPr>
        <w:tblStyle w:val="2"/>
        <w:tblpPr w:leftFromText="180" w:rightFromText="180" w:vertAnchor="text" w:horzAnchor="margin" w:tblpY="571"/>
        <w:tblW w:w="9601" w:type="dxa"/>
        <w:tblBorders>
          <w:top w:val="single" w:sz="4" w:space="0" w:color="auto"/>
          <w:bottom w:val="single" w:sz="4" w:space="0" w:color="auto"/>
        </w:tblBorders>
        <w:tblLayout w:type="fixed"/>
        <w:tblLook w:val="0400" w:firstRow="0" w:lastRow="0" w:firstColumn="0" w:lastColumn="0" w:noHBand="0" w:noVBand="1"/>
      </w:tblPr>
      <w:tblGrid>
        <w:gridCol w:w="6720"/>
        <w:gridCol w:w="2881"/>
      </w:tblGrid>
      <w:tr w:rsidR="00F523DB" w:rsidRPr="00B26D1F" w14:paraId="7A8FD368" w14:textId="77777777" w:rsidTr="00F523DB">
        <w:trPr>
          <w:trHeight w:val="424"/>
        </w:trPr>
        <w:tc>
          <w:tcPr>
            <w:tcW w:w="6720" w:type="dxa"/>
            <w:tcBorders>
              <w:top w:val="single" w:sz="4" w:space="0" w:color="auto"/>
              <w:bottom w:val="single" w:sz="4" w:space="0" w:color="auto"/>
            </w:tcBorders>
          </w:tcPr>
          <w:p w14:paraId="7D2D78D3"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Category</w:t>
            </w:r>
          </w:p>
        </w:tc>
        <w:tc>
          <w:tcPr>
            <w:tcW w:w="2881" w:type="dxa"/>
            <w:tcBorders>
              <w:top w:val="single" w:sz="4" w:space="0" w:color="auto"/>
              <w:bottom w:val="single" w:sz="4" w:space="0" w:color="auto"/>
            </w:tcBorders>
          </w:tcPr>
          <w:p w14:paraId="54812C5D"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Count</w:t>
            </w:r>
          </w:p>
        </w:tc>
      </w:tr>
      <w:tr w:rsidR="00F523DB" w:rsidRPr="00B26D1F" w14:paraId="4F207CDA" w14:textId="77777777" w:rsidTr="00F523DB">
        <w:trPr>
          <w:trHeight w:val="410"/>
        </w:trPr>
        <w:tc>
          <w:tcPr>
            <w:tcW w:w="6720" w:type="dxa"/>
            <w:tcBorders>
              <w:top w:val="single" w:sz="4" w:space="0" w:color="auto"/>
            </w:tcBorders>
          </w:tcPr>
          <w:p w14:paraId="7AAE44F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Total Samples</w:t>
            </w:r>
          </w:p>
        </w:tc>
        <w:tc>
          <w:tcPr>
            <w:tcW w:w="2881" w:type="dxa"/>
            <w:tcBorders>
              <w:top w:val="single" w:sz="4" w:space="0" w:color="auto"/>
            </w:tcBorders>
          </w:tcPr>
          <w:p w14:paraId="0A99F389"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50</w:t>
            </w:r>
          </w:p>
        </w:tc>
      </w:tr>
      <w:tr w:rsidR="00F523DB" w:rsidRPr="00B26D1F" w14:paraId="2807703C" w14:textId="77777777" w:rsidTr="00F523DB">
        <w:trPr>
          <w:trHeight w:val="424"/>
        </w:trPr>
        <w:tc>
          <w:tcPr>
            <w:tcW w:w="6720" w:type="dxa"/>
          </w:tcPr>
          <w:p w14:paraId="2C6285D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Positive Samples</w:t>
            </w:r>
          </w:p>
        </w:tc>
        <w:tc>
          <w:tcPr>
            <w:tcW w:w="2881" w:type="dxa"/>
          </w:tcPr>
          <w:p w14:paraId="5AB68B36"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37</w:t>
            </w:r>
          </w:p>
        </w:tc>
      </w:tr>
      <w:tr w:rsidR="00F523DB" w:rsidRPr="00B26D1F" w14:paraId="10B7E548" w14:textId="77777777" w:rsidTr="00F523DB">
        <w:trPr>
          <w:trHeight w:val="424"/>
        </w:trPr>
        <w:tc>
          <w:tcPr>
            <w:tcW w:w="6720" w:type="dxa"/>
          </w:tcPr>
          <w:p w14:paraId="40696A9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Negative Samples</w:t>
            </w:r>
          </w:p>
        </w:tc>
        <w:tc>
          <w:tcPr>
            <w:tcW w:w="2881" w:type="dxa"/>
          </w:tcPr>
          <w:p w14:paraId="2729FC1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776D348" w14:textId="77777777" w:rsidTr="00F523DB">
        <w:trPr>
          <w:trHeight w:val="410"/>
        </w:trPr>
        <w:tc>
          <w:tcPr>
            <w:tcW w:w="6720" w:type="dxa"/>
          </w:tcPr>
          <w:p w14:paraId="79E3AB1B"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Circular Shape</w:t>
            </w:r>
          </w:p>
        </w:tc>
        <w:tc>
          <w:tcPr>
            <w:tcW w:w="2881" w:type="dxa"/>
          </w:tcPr>
          <w:p w14:paraId="2E28349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7605A094" w14:textId="77777777" w:rsidTr="00F523DB">
        <w:trPr>
          <w:trHeight w:val="424"/>
        </w:trPr>
        <w:tc>
          <w:tcPr>
            <w:tcW w:w="6720" w:type="dxa"/>
          </w:tcPr>
          <w:p w14:paraId="04945B1C"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Eggs Clustered</w:t>
            </w:r>
          </w:p>
        </w:tc>
        <w:tc>
          <w:tcPr>
            <w:tcW w:w="2881" w:type="dxa"/>
          </w:tcPr>
          <w:p w14:paraId="4A77EE8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07EFB7D7" w14:textId="77777777" w:rsidTr="00F523DB">
        <w:trPr>
          <w:trHeight w:val="424"/>
        </w:trPr>
        <w:tc>
          <w:tcPr>
            <w:tcW w:w="6720" w:type="dxa"/>
          </w:tcPr>
          <w:p w14:paraId="50EE462D"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Long Shape</w:t>
            </w:r>
          </w:p>
        </w:tc>
        <w:tc>
          <w:tcPr>
            <w:tcW w:w="2881" w:type="dxa"/>
          </w:tcPr>
          <w:p w14:paraId="6007024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EE1ECB2" w14:textId="77777777" w:rsidTr="00F523DB">
        <w:trPr>
          <w:trHeight w:val="424"/>
        </w:trPr>
        <w:tc>
          <w:tcPr>
            <w:tcW w:w="6720" w:type="dxa"/>
          </w:tcPr>
          <w:p w14:paraId="126C564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Triangle Shape</w:t>
            </w:r>
          </w:p>
        </w:tc>
        <w:tc>
          <w:tcPr>
            <w:tcW w:w="2881" w:type="dxa"/>
          </w:tcPr>
          <w:p w14:paraId="61358FFE" w14:textId="2F6248F5" w:rsidR="00F523DB" w:rsidRPr="00B26D1F" w:rsidRDefault="00BD3D32" w:rsidP="00F523DB">
            <w:pPr>
              <w:spacing w:line="360" w:lineRule="auto"/>
              <w:jc w:val="both"/>
              <w:rPr>
                <w:rFonts w:ascii="Arial" w:eastAsia="Times New Roman" w:hAnsi="Arial" w:cs="Arial"/>
                <w:lang w:val="en-GB"/>
              </w:rPr>
            </w:pPr>
            <w:r>
              <w:rPr>
                <w:rFonts w:ascii="Arial" w:eastAsia="Times New Roman" w:hAnsi="Arial" w:cs="Arial"/>
                <w:lang w:val="en-GB"/>
              </w:rPr>
              <w:t>0</w:t>
            </w:r>
            <w:r w:rsidR="00F523DB" w:rsidRPr="00B26D1F">
              <w:rPr>
                <w:rFonts w:ascii="Arial" w:eastAsia="Times New Roman" w:hAnsi="Arial" w:cs="Arial"/>
                <w:lang w:val="en-GB"/>
              </w:rPr>
              <w:t>3</w:t>
            </w:r>
          </w:p>
        </w:tc>
      </w:tr>
    </w:tbl>
    <w:p w14:paraId="1C42584F" w14:textId="77777777" w:rsidR="00DB648B" w:rsidRPr="00B26D1F" w:rsidRDefault="00F523DB" w:rsidP="00F523DB">
      <w:pPr>
        <w:spacing w:after="0" w:line="480" w:lineRule="auto"/>
        <w:jc w:val="both"/>
        <w:rPr>
          <w:rFonts w:ascii="Arial" w:eastAsia="Times New Roman" w:hAnsi="Arial" w:cs="Arial"/>
          <w:sz w:val="24"/>
          <w:szCs w:val="24"/>
          <w:lang w:val="en-GB"/>
        </w:rPr>
      </w:pPr>
      <w:r w:rsidRPr="00B26D1F">
        <w:rPr>
          <w:rFonts w:ascii="Arial" w:eastAsia="Times New Roman" w:hAnsi="Arial" w:cs="Arial"/>
          <w:b/>
          <w:bCs/>
          <w:sz w:val="24"/>
          <w:szCs w:val="24"/>
          <w:lang w:val="en-GB"/>
        </w:rPr>
        <w:t>Table 1:</w:t>
      </w:r>
      <w:r w:rsidRPr="00B26D1F">
        <w:rPr>
          <w:rFonts w:ascii="Arial" w:hAnsi="Arial" w:cs="Arial"/>
          <w:sz w:val="24"/>
          <w:szCs w:val="24"/>
          <w:lang w:val="en-GB"/>
        </w:rPr>
        <w:t xml:space="preserve"> Sample Description and Overall Prevalence</w:t>
      </w:r>
    </w:p>
    <w:p w14:paraId="38429AE7" w14:textId="77777777" w:rsidR="0041765E" w:rsidRPr="00B26D1F" w:rsidRDefault="0041765E" w:rsidP="007B7C19">
      <w:pPr>
        <w:spacing w:after="0" w:line="480" w:lineRule="auto"/>
        <w:jc w:val="both"/>
        <w:rPr>
          <w:rFonts w:ascii="Arial" w:eastAsia="Times New Roman" w:hAnsi="Arial" w:cs="Arial"/>
          <w:b/>
          <w:bCs/>
          <w:sz w:val="24"/>
          <w:szCs w:val="24"/>
          <w:lang w:val="en-GB"/>
        </w:rPr>
      </w:pPr>
    </w:p>
    <w:p w14:paraId="6E3D5F57" w14:textId="77777777" w:rsidR="00181F34" w:rsidRPr="00B26D1F" w:rsidRDefault="00CE5886" w:rsidP="007B7C19">
      <w:pPr>
        <w:spacing w:after="0"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Parasite Observations</w:t>
      </w:r>
    </w:p>
    <w:p w14:paraId="437F7B20" w14:textId="514BBA6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Parasite morphology varied noticeably across the examined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showing distinct differences in egg shape and structural arrangement. Out of the 50 samples </w:t>
      </w:r>
      <w:r w:rsidR="00BD3D32" w:rsidRPr="00B26D1F">
        <w:rPr>
          <w:rFonts w:ascii="Arial" w:eastAsia="Times New Roman" w:hAnsi="Arial" w:cs="Arial"/>
          <w:sz w:val="24"/>
          <w:szCs w:val="24"/>
          <w:lang w:val="en-GB"/>
        </w:rPr>
        <w:t>analysed</w:t>
      </w:r>
      <w:r w:rsidRPr="00B26D1F">
        <w:rPr>
          <w:rFonts w:ascii="Arial" w:eastAsia="Times New Roman" w:hAnsi="Arial" w:cs="Arial"/>
          <w:sz w:val="24"/>
          <w:szCs w:val="24"/>
          <w:lang w:val="en-GB"/>
        </w:rPr>
        <w:t>, 37 (74%) tested positive for helminth eggs, whil</w:t>
      </w:r>
      <w:r w:rsidR="00A77A3A" w:rsidRPr="00B26D1F">
        <w:rPr>
          <w:rFonts w:ascii="Arial" w:eastAsia="Times New Roman" w:hAnsi="Arial" w:cs="Arial"/>
          <w:sz w:val="24"/>
          <w:szCs w:val="24"/>
          <w:lang w:val="en-GB"/>
        </w:rPr>
        <w:t xml:space="preserve">e 13 (26%) were negative Table </w:t>
      </w:r>
      <w:r w:rsidRPr="00B26D1F">
        <w:rPr>
          <w:rFonts w:ascii="Arial" w:eastAsia="Times New Roman" w:hAnsi="Arial" w:cs="Arial"/>
          <w:sz w:val="24"/>
          <w:szCs w:val="24"/>
          <w:lang w:val="en-GB"/>
        </w:rPr>
        <w:t>1.</w:t>
      </w:r>
    </w:p>
    <w:p w14:paraId="0CA3517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most common morphologies observed were circular eggs and clustered eggs, each recorded in 14 samples (28%).</w:t>
      </w:r>
    </w:p>
    <w:p w14:paraId="7079301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circular eggs were typically thick-shelled, brownish structures resembling those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expansa. These nematode and cestode eggs are characterized by their well-defined round shape and smooth surface.</w:t>
      </w:r>
    </w:p>
    <w:p w14:paraId="74362DAE" w14:textId="64BDFE39"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clustered eggs often appeared in groups, suggesting egg packets of Coccidia oocysts (Eimeria spp.) or aggregated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papillosus</w:t>
      </w:r>
      <w:proofErr w:type="spellEnd"/>
      <w:r w:rsidRPr="00B26D1F">
        <w:rPr>
          <w:rFonts w:ascii="Arial" w:eastAsia="Times New Roman" w:hAnsi="Arial" w:cs="Arial"/>
          <w:sz w:val="24"/>
          <w:szCs w:val="24"/>
          <w:lang w:val="en-GB"/>
        </w:rPr>
        <w:t xml:space="preserve"> eggs. These clusters may indicate high reproductive output or adhesion within the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matrix.</w:t>
      </w:r>
    </w:p>
    <w:p w14:paraId="5D8351E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Elongated or long-shaped eggs were also commonly encountered, observed in 13 samples (26%). These eggs were oval to spindle-shaped, typical of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columbianum</w:t>
      </w:r>
      <w:proofErr w:type="spellEnd"/>
      <w:r w:rsidRPr="00B26D1F">
        <w:rPr>
          <w:rFonts w:ascii="Arial" w:eastAsia="Times New Roman" w:hAnsi="Arial" w:cs="Arial"/>
          <w:sz w:val="24"/>
          <w:szCs w:val="24"/>
          <w:lang w:val="en-GB"/>
        </w:rPr>
        <w:t>, which are among the most prevalent gastrointestinal nematodes in goats. They possess a thin shell and clear internal morula visible under low magnification.</w:t>
      </w:r>
    </w:p>
    <w:p w14:paraId="11E95E0A"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Occasionally, triangular or irregularly shaped forms were seen, recorded in only 3 samples (6%). These may correspond to distorted or partially embryonated eggs of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species or damaged Trichuris </w:t>
      </w:r>
      <w:proofErr w:type="spellStart"/>
      <w:r w:rsidRPr="00B26D1F">
        <w:rPr>
          <w:rFonts w:ascii="Arial" w:eastAsia="Times New Roman" w:hAnsi="Arial" w:cs="Arial"/>
          <w:sz w:val="24"/>
          <w:szCs w:val="24"/>
          <w:lang w:val="en-GB"/>
        </w:rPr>
        <w:t>ovis</w:t>
      </w:r>
      <w:proofErr w:type="spellEnd"/>
      <w:r w:rsidRPr="00B26D1F">
        <w:rPr>
          <w:rFonts w:ascii="Arial" w:eastAsia="Times New Roman" w:hAnsi="Arial" w:cs="Arial"/>
          <w:sz w:val="24"/>
          <w:szCs w:val="24"/>
          <w:lang w:val="en-GB"/>
        </w:rPr>
        <w:t xml:space="preserve"> eggs, likely due to sample degradation or environmental pressure.</w:t>
      </w:r>
    </w:p>
    <w:p w14:paraId="76854AD3" w14:textId="02826B3C" w:rsidR="0041765E"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Overall, the diversity in egg morphology observed across samples indicates mixed helminth infections in the studied goat population. The predominance of circular and clustered forms suggests higher prevalence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Eimeria, and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infections, while the presence of elongated and irregular forms points toward mixed </w:t>
      </w:r>
      <w:r w:rsidRPr="00B26D1F">
        <w:rPr>
          <w:rFonts w:ascii="Arial" w:eastAsia="Times New Roman" w:hAnsi="Arial" w:cs="Arial"/>
          <w:sz w:val="24"/>
          <w:szCs w:val="24"/>
          <w:lang w:val="en-GB"/>
        </w:rPr>
        <w:lastRenderedPageBreak/>
        <w:t xml:space="preserve">gastrointestinal nematode infestations such as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w:t>
      </w:r>
      <w:r w:rsidR="00E407A7" w:rsidRPr="00B26D1F">
        <w:rPr>
          <w:rFonts w:ascii="Arial" w:eastAsia="Times New Roman" w:hAnsi="Arial" w:cs="Arial"/>
          <w:b/>
          <w:bCs/>
          <w:sz w:val="24"/>
          <w:szCs w:val="24"/>
          <w:lang w:val="en-GB"/>
        </w:rPr>
        <w:t xml:space="preserve"> </w:t>
      </w:r>
    </w:p>
    <w:p w14:paraId="72946979" w14:textId="77777777" w:rsidR="00F06645" w:rsidRPr="00B26D1F" w:rsidRDefault="00F06645" w:rsidP="00F06645">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Prevalence by Age Group, Sex, and Management System</w:t>
      </w:r>
    </w:p>
    <w:p w14:paraId="429F4BA8"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To better understand the risk factors, samples were categorized by age group, sex, and management system.</w:t>
      </w:r>
    </w:p>
    <w:p w14:paraId="742639E1"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Sex</w:t>
      </w:r>
      <w:r w:rsidRPr="00B26D1F">
        <w:rPr>
          <w:rFonts w:ascii="Arial" w:eastAsia="Times New Roman" w:hAnsi="Arial" w:cs="Arial"/>
          <w:sz w:val="24"/>
          <w:szCs w:val="24"/>
          <w:lang w:val="en-GB"/>
        </w:rPr>
        <w:t>: Male or Female goats.</w:t>
      </w:r>
    </w:p>
    <w:p w14:paraId="7987625F"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Number Examined</w:t>
      </w:r>
      <w:r w:rsidRPr="00B26D1F">
        <w:rPr>
          <w:rFonts w:ascii="Arial" w:eastAsia="Times New Roman" w:hAnsi="Arial" w:cs="Arial"/>
          <w:sz w:val="24"/>
          <w:szCs w:val="24"/>
          <w:lang w:val="en-GB"/>
        </w:rPr>
        <w:t>: Total number of goats examined for helminth parasites.</w:t>
      </w:r>
    </w:p>
    <w:p w14:paraId="59D5DD9B"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Positive Cases</w:t>
      </w:r>
      <w:r w:rsidRPr="00B26D1F">
        <w:rPr>
          <w:rFonts w:ascii="Arial" w:eastAsia="Times New Roman" w:hAnsi="Arial" w:cs="Arial"/>
          <w:sz w:val="24"/>
          <w:szCs w:val="24"/>
          <w:lang w:val="en-GB"/>
        </w:rPr>
        <w:t>: Goats that tested positive for helminth eggs. Negative Cases: Goats that tested negative.</w:t>
      </w:r>
    </w:p>
    <w:p w14:paraId="7CA37053"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Prevalence is the proportion of individuals infected among those examined, usually expressed as a percentage. Overall, 74% of the goats had helminth infections. Females had a slightly higher prevalence (77.4%) compared to males (68.4%).</w:t>
      </w:r>
    </w:p>
    <w:p w14:paraId="25192B5F" w14:textId="77777777" w:rsidR="00F06645" w:rsidRPr="00B26D1F" w:rsidRDefault="00F06645"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This suggests that female goats were more affected by helminth parasites than males</w:t>
      </w:r>
      <w:r w:rsidRPr="00B26D1F">
        <w:rPr>
          <w:rFonts w:ascii="Arial" w:eastAsia="Times New Roman" w:hAnsi="Arial" w:cs="Arial"/>
          <w:b/>
          <w:bCs/>
          <w:sz w:val="24"/>
          <w:szCs w:val="24"/>
          <w:lang w:val="en-GB"/>
        </w:rPr>
        <w:t>.</w:t>
      </w:r>
      <w:r w:rsidRPr="00B26D1F">
        <w:rPr>
          <w:rFonts w:ascii="Arial" w:eastAsia="Times New Roman" w:hAnsi="Arial" w:cs="Arial"/>
          <w:b/>
          <w:bCs/>
          <w:sz w:val="24"/>
          <w:szCs w:val="24"/>
          <w:lang w:val="en-GB"/>
        </w:rPr>
        <w:br/>
      </w:r>
    </w:p>
    <w:p w14:paraId="51A1A1DE" w14:textId="77777777" w:rsidR="00F06645" w:rsidRPr="00B26D1F" w:rsidRDefault="00F06645" w:rsidP="007B7C19">
      <w:pPr>
        <w:spacing w:after="0" w:line="240" w:lineRule="auto"/>
        <w:jc w:val="both"/>
        <w:rPr>
          <w:rFonts w:ascii="Arial" w:eastAsia="Times New Roman" w:hAnsi="Arial" w:cs="Arial"/>
          <w:bCs/>
          <w:sz w:val="24"/>
          <w:szCs w:val="24"/>
          <w:lang w:val="en-GB"/>
        </w:rPr>
      </w:pPr>
    </w:p>
    <w:p w14:paraId="40CBB0FE" w14:textId="77777777" w:rsidR="002B03F0" w:rsidRPr="00B26D1F" w:rsidRDefault="0041765E"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Table </w:t>
      </w:r>
      <w:r w:rsidR="00E407A7" w:rsidRPr="00B26D1F">
        <w:rPr>
          <w:rFonts w:ascii="Arial" w:eastAsia="Times New Roman" w:hAnsi="Arial" w:cs="Arial"/>
          <w:bCs/>
          <w:sz w:val="24"/>
          <w:szCs w:val="24"/>
          <w:lang w:val="en-GB"/>
        </w:rPr>
        <w:t>2: Prev</w:t>
      </w:r>
      <w:r w:rsidR="00D13DB0" w:rsidRPr="00B26D1F">
        <w:rPr>
          <w:rFonts w:ascii="Arial" w:eastAsia="Times New Roman" w:hAnsi="Arial" w:cs="Arial"/>
          <w:bCs/>
          <w:sz w:val="24"/>
          <w:szCs w:val="24"/>
          <w:lang w:val="en-GB"/>
        </w:rPr>
        <w:t xml:space="preserve">alence of </w:t>
      </w:r>
      <w:r w:rsidRPr="00B26D1F">
        <w:rPr>
          <w:rFonts w:ascii="Arial" w:eastAsia="Times New Roman" w:hAnsi="Arial" w:cs="Arial"/>
          <w:bCs/>
          <w:sz w:val="24"/>
          <w:szCs w:val="24"/>
          <w:lang w:val="en-GB"/>
        </w:rPr>
        <w:t>Helminthes</w:t>
      </w:r>
      <w:r w:rsidR="00D13DB0" w:rsidRPr="00B26D1F">
        <w:rPr>
          <w:rFonts w:ascii="Arial" w:eastAsia="Times New Roman" w:hAnsi="Arial" w:cs="Arial"/>
          <w:bCs/>
          <w:sz w:val="24"/>
          <w:szCs w:val="24"/>
          <w:lang w:val="en-GB"/>
        </w:rPr>
        <w:t xml:space="preserve"> parasites based on</w:t>
      </w:r>
      <w:r w:rsidR="00E407A7" w:rsidRPr="00B26D1F">
        <w:rPr>
          <w:rFonts w:ascii="Arial" w:eastAsia="Times New Roman" w:hAnsi="Arial" w:cs="Arial"/>
          <w:bCs/>
          <w:sz w:val="24"/>
          <w:szCs w:val="24"/>
          <w:lang w:val="en-GB"/>
        </w:rPr>
        <w:t xml:space="preserve"> Age Group</w:t>
      </w:r>
    </w:p>
    <w:tbl>
      <w:tblPr>
        <w:tblStyle w:val="4"/>
        <w:tblpPr w:leftFromText="180" w:rightFromText="180" w:vertAnchor="text" w:horzAnchor="margin" w:tblpY="404"/>
        <w:tblW w:w="9409" w:type="dxa"/>
        <w:tblBorders>
          <w:top w:val="single" w:sz="4" w:space="0" w:color="auto"/>
          <w:bottom w:val="single" w:sz="4" w:space="0" w:color="auto"/>
        </w:tblBorders>
        <w:tblLayout w:type="fixed"/>
        <w:tblLook w:val="0400" w:firstRow="0" w:lastRow="0" w:firstColumn="0" w:lastColumn="0" w:noHBand="0" w:noVBand="1"/>
      </w:tblPr>
      <w:tblGrid>
        <w:gridCol w:w="3227"/>
        <w:gridCol w:w="1701"/>
        <w:gridCol w:w="1417"/>
        <w:gridCol w:w="1210"/>
        <w:gridCol w:w="1854"/>
      </w:tblGrid>
      <w:tr w:rsidR="00E407A7" w:rsidRPr="00B26D1F" w14:paraId="4E3F33C8" w14:textId="77777777" w:rsidTr="0041765E">
        <w:trPr>
          <w:trHeight w:val="697"/>
        </w:trPr>
        <w:tc>
          <w:tcPr>
            <w:tcW w:w="3227" w:type="dxa"/>
            <w:tcBorders>
              <w:top w:val="single" w:sz="4" w:space="0" w:color="auto"/>
              <w:bottom w:val="single" w:sz="4" w:space="0" w:color="auto"/>
            </w:tcBorders>
          </w:tcPr>
          <w:p w14:paraId="6151D6F7"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Age Group</w:t>
            </w:r>
          </w:p>
        </w:tc>
        <w:tc>
          <w:tcPr>
            <w:tcW w:w="1701" w:type="dxa"/>
            <w:tcBorders>
              <w:top w:val="single" w:sz="4" w:space="0" w:color="auto"/>
              <w:bottom w:val="single" w:sz="4" w:space="0" w:color="auto"/>
            </w:tcBorders>
          </w:tcPr>
          <w:p w14:paraId="1BB0A1A4"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417" w:type="dxa"/>
            <w:tcBorders>
              <w:top w:val="single" w:sz="4" w:space="0" w:color="auto"/>
              <w:bottom w:val="single" w:sz="4" w:space="0" w:color="auto"/>
            </w:tcBorders>
          </w:tcPr>
          <w:p w14:paraId="6235D73C"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210" w:type="dxa"/>
            <w:tcBorders>
              <w:top w:val="single" w:sz="4" w:space="0" w:color="auto"/>
              <w:bottom w:val="single" w:sz="4" w:space="0" w:color="auto"/>
            </w:tcBorders>
          </w:tcPr>
          <w:p w14:paraId="468EFDA6"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54" w:type="dxa"/>
            <w:tcBorders>
              <w:top w:val="single" w:sz="4" w:space="0" w:color="auto"/>
              <w:bottom w:val="single" w:sz="4" w:space="0" w:color="auto"/>
            </w:tcBorders>
          </w:tcPr>
          <w:p w14:paraId="76A5B5DF"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Prevalence (%)</w:t>
            </w:r>
          </w:p>
        </w:tc>
      </w:tr>
      <w:tr w:rsidR="00E407A7" w:rsidRPr="00B26D1F" w14:paraId="6DF4431B" w14:textId="77777777" w:rsidTr="0041765E">
        <w:trPr>
          <w:trHeight w:val="426"/>
        </w:trPr>
        <w:tc>
          <w:tcPr>
            <w:tcW w:w="3227" w:type="dxa"/>
            <w:tcBorders>
              <w:top w:val="single" w:sz="4" w:space="0" w:color="auto"/>
            </w:tcBorders>
          </w:tcPr>
          <w:p w14:paraId="69B25E97"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Goats (&lt;6 months)</w:t>
            </w:r>
          </w:p>
        </w:tc>
        <w:tc>
          <w:tcPr>
            <w:tcW w:w="1701" w:type="dxa"/>
            <w:tcBorders>
              <w:top w:val="single" w:sz="4" w:space="0" w:color="auto"/>
            </w:tcBorders>
          </w:tcPr>
          <w:p w14:paraId="7AE3A60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17</w:t>
            </w:r>
          </w:p>
        </w:tc>
        <w:tc>
          <w:tcPr>
            <w:tcW w:w="1417" w:type="dxa"/>
            <w:tcBorders>
              <w:top w:val="single" w:sz="4" w:space="0" w:color="auto"/>
            </w:tcBorders>
          </w:tcPr>
          <w:p w14:paraId="0A64B52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11</w:t>
            </w:r>
          </w:p>
        </w:tc>
        <w:tc>
          <w:tcPr>
            <w:tcW w:w="1210" w:type="dxa"/>
            <w:tcBorders>
              <w:top w:val="single" w:sz="4" w:space="0" w:color="auto"/>
            </w:tcBorders>
          </w:tcPr>
          <w:p w14:paraId="548680F1"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Borders>
              <w:top w:val="single" w:sz="4" w:space="0" w:color="auto"/>
            </w:tcBorders>
          </w:tcPr>
          <w:p w14:paraId="470D8D5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64.7</w:t>
            </w:r>
          </w:p>
        </w:tc>
      </w:tr>
      <w:tr w:rsidR="00E407A7" w:rsidRPr="00B26D1F" w14:paraId="02156DD2" w14:textId="77777777" w:rsidTr="0041765E">
        <w:trPr>
          <w:trHeight w:val="391"/>
        </w:trPr>
        <w:tc>
          <w:tcPr>
            <w:tcW w:w="3227" w:type="dxa"/>
          </w:tcPr>
          <w:p w14:paraId="4EBF505A"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Yearlings (6–12 months.)</w:t>
            </w:r>
          </w:p>
        </w:tc>
        <w:tc>
          <w:tcPr>
            <w:tcW w:w="1701" w:type="dxa"/>
          </w:tcPr>
          <w:p w14:paraId="1C7A7C1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19</w:t>
            </w:r>
          </w:p>
        </w:tc>
        <w:tc>
          <w:tcPr>
            <w:tcW w:w="1417" w:type="dxa"/>
          </w:tcPr>
          <w:p w14:paraId="21F84233" w14:textId="77777777" w:rsidR="00E407A7" w:rsidRPr="00B26D1F" w:rsidRDefault="00E407A7" w:rsidP="007B7C19">
            <w:pPr>
              <w:jc w:val="both"/>
              <w:rPr>
                <w:rFonts w:ascii="Arial" w:eastAsia="Times New Roman" w:hAnsi="Arial" w:cs="Arial"/>
                <w:lang w:val="en-GB"/>
              </w:rPr>
            </w:pPr>
            <w:bookmarkStart w:id="1" w:name="_heading=h.8wgb972sh5mu" w:colFirst="0" w:colLast="0"/>
            <w:bookmarkEnd w:id="1"/>
            <w:r w:rsidRPr="00B26D1F">
              <w:rPr>
                <w:rFonts w:ascii="Arial" w:eastAsia="Times New Roman" w:hAnsi="Arial" w:cs="Arial"/>
                <w:lang w:val="en-GB"/>
              </w:rPr>
              <w:t>14</w:t>
            </w:r>
          </w:p>
        </w:tc>
        <w:tc>
          <w:tcPr>
            <w:tcW w:w="1210" w:type="dxa"/>
          </w:tcPr>
          <w:p w14:paraId="4C1053F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w:t>
            </w:r>
          </w:p>
        </w:tc>
        <w:tc>
          <w:tcPr>
            <w:tcW w:w="1854" w:type="dxa"/>
          </w:tcPr>
          <w:p w14:paraId="29717EA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73.7</w:t>
            </w:r>
          </w:p>
        </w:tc>
      </w:tr>
      <w:tr w:rsidR="00E407A7" w:rsidRPr="00B26D1F" w14:paraId="1F07C250" w14:textId="77777777" w:rsidTr="0041765E">
        <w:trPr>
          <w:trHeight w:val="400"/>
        </w:trPr>
        <w:tc>
          <w:tcPr>
            <w:tcW w:w="3227" w:type="dxa"/>
          </w:tcPr>
          <w:p w14:paraId="0B22C2E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Adults (&gt;12 months)</w:t>
            </w:r>
          </w:p>
        </w:tc>
        <w:tc>
          <w:tcPr>
            <w:tcW w:w="1701" w:type="dxa"/>
          </w:tcPr>
          <w:p w14:paraId="4F9B881C"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14</w:t>
            </w:r>
          </w:p>
        </w:tc>
        <w:tc>
          <w:tcPr>
            <w:tcW w:w="1417" w:type="dxa"/>
          </w:tcPr>
          <w:p w14:paraId="1CC17E7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8</w:t>
            </w:r>
          </w:p>
        </w:tc>
        <w:tc>
          <w:tcPr>
            <w:tcW w:w="1210" w:type="dxa"/>
          </w:tcPr>
          <w:p w14:paraId="461E7AA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Pr>
          <w:p w14:paraId="1A53E1B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57.1</w:t>
            </w:r>
          </w:p>
        </w:tc>
      </w:tr>
      <w:tr w:rsidR="00E407A7" w:rsidRPr="00B26D1F" w14:paraId="6BB2AEDA" w14:textId="77777777" w:rsidTr="0041765E">
        <w:trPr>
          <w:trHeight w:val="414"/>
        </w:trPr>
        <w:tc>
          <w:tcPr>
            <w:tcW w:w="3227" w:type="dxa"/>
          </w:tcPr>
          <w:p w14:paraId="07B648D0"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Total</w:t>
            </w:r>
          </w:p>
        </w:tc>
        <w:tc>
          <w:tcPr>
            <w:tcW w:w="1701" w:type="dxa"/>
          </w:tcPr>
          <w:p w14:paraId="77140D8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50</w:t>
            </w:r>
          </w:p>
        </w:tc>
        <w:tc>
          <w:tcPr>
            <w:tcW w:w="1417" w:type="dxa"/>
          </w:tcPr>
          <w:p w14:paraId="5758F10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37</w:t>
            </w:r>
          </w:p>
        </w:tc>
        <w:tc>
          <w:tcPr>
            <w:tcW w:w="1210" w:type="dxa"/>
          </w:tcPr>
          <w:p w14:paraId="0A24724B"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13</w:t>
            </w:r>
          </w:p>
        </w:tc>
        <w:tc>
          <w:tcPr>
            <w:tcW w:w="1854" w:type="dxa"/>
          </w:tcPr>
          <w:p w14:paraId="3341504F"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66.0</w:t>
            </w:r>
          </w:p>
        </w:tc>
      </w:tr>
    </w:tbl>
    <w:p w14:paraId="40EADE53" w14:textId="77777777" w:rsidR="00DB648B" w:rsidRPr="00B26D1F" w:rsidRDefault="00E407A7"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w:t>
      </w:r>
    </w:p>
    <w:p w14:paraId="2082AC31" w14:textId="77777777" w:rsidR="00B17D1C" w:rsidRDefault="00B17D1C" w:rsidP="0041765E">
      <w:pPr>
        <w:spacing w:after="0" w:line="480" w:lineRule="auto"/>
        <w:jc w:val="both"/>
        <w:rPr>
          <w:rFonts w:ascii="Arial" w:eastAsia="Times New Roman" w:hAnsi="Arial" w:cs="Arial"/>
          <w:bCs/>
          <w:sz w:val="24"/>
          <w:szCs w:val="24"/>
          <w:lang w:val="en-GB"/>
        </w:rPr>
      </w:pPr>
    </w:p>
    <w:p w14:paraId="0D5FFD2F" w14:textId="4E7603F5" w:rsidR="00DB648B" w:rsidRPr="00B26D1F" w:rsidRDefault="0041765E" w:rsidP="0041765E">
      <w:pPr>
        <w:spacing w:after="0"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3: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tbl>
      <w:tblPr>
        <w:tblStyle w:val="3"/>
        <w:tblW w:w="935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60"/>
        <w:gridCol w:w="2377"/>
        <w:gridCol w:w="1821"/>
        <w:gridCol w:w="1926"/>
        <w:gridCol w:w="1975"/>
      </w:tblGrid>
      <w:tr w:rsidR="00DB648B" w:rsidRPr="00B26D1F" w14:paraId="2269F33D" w14:textId="77777777">
        <w:tc>
          <w:tcPr>
            <w:tcW w:w="1260" w:type="dxa"/>
            <w:tcBorders>
              <w:bottom w:val="single" w:sz="4" w:space="0" w:color="000000"/>
            </w:tcBorders>
          </w:tcPr>
          <w:p w14:paraId="36809E2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Sex</w:t>
            </w:r>
          </w:p>
        </w:tc>
        <w:tc>
          <w:tcPr>
            <w:tcW w:w="2377" w:type="dxa"/>
            <w:tcBorders>
              <w:bottom w:val="single" w:sz="4" w:space="0" w:color="000000"/>
            </w:tcBorders>
          </w:tcPr>
          <w:p w14:paraId="7F414E0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821" w:type="dxa"/>
            <w:tcBorders>
              <w:bottom w:val="single" w:sz="4" w:space="0" w:color="000000"/>
            </w:tcBorders>
          </w:tcPr>
          <w:p w14:paraId="075C7F4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926" w:type="dxa"/>
            <w:tcBorders>
              <w:bottom w:val="single" w:sz="4" w:space="0" w:color="000000"/>
            </w:tcBorders>
          </w:tcPr>
          <w:p w14:paraId="028A80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975" w:type="dxa"/>
            <w:tcBorders>
              <w:bottom w:val="single" w:sz="4" w:space="0" w:color="000000"/>
            </w:tcBorders>
          </w:tcPr>
          <w:p w14:paraId="165DAAB1"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0A85F95A" w14:textId="77777777">
        <w:tc>
          <w:tcPr>
            <w:tcW w:w="1260" w:type="dxa"/>
            <w:tcBorders>
              <w:top w:val="single" w:sz="4" w:space="0" w:color="000000"/>
            </w:tcBorders>
          </w:tcPr>
          <w:p w14:paraId="55A538B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Male</w:t>
            </w:r>
          </w:p>
        </w:tc>
        <w:tc>
          <w:tcPr>
            <w:tcW w:w="2377" w:type="dxa"/>
            <w:tcBorders>
              <w:top w:val="single" w:sz="4" w:space="0" w:color="000000"/>
            </w:tcBorders>
          </w:tcPr>
          <w:p w14:paraId="3E7D77E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19</w:t>
            </w:r>
          </w:p>
        </w:tc>
        <w:tc>
          <w:tcPr>
            <w:tcW w:w="1821" w:type="dxa"/>
            <w:tcBorders>
              <w:top w:val="single" w:sz="4" w:space="0" w:color="000000"/>
            </w:tcBorders>
          </w:tcPr>
          <w:p w14:paraId="6E6CE3C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13</w:t>
            </w:r>
          </w:p>
        </w:tc>
        <w:tc>
          <w:tcPr>
            <w:tcW w:w="1926" w:type="dxa"/>
            <w:tcBorders>
              <w:top w:val="single" w:sz="4" w:space="0" w:color="000000"/>
            </w:tcBorders>
          </w:tcPr>
          <w:p w14:paraId="626C3358"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975" w:type="dxa"/>
            <w:tcBorders>
              <w:top w:val="single" w:sz="4" w:space="0" w:color="000000"/>
            </w:tcBorders>
          </w:tcPr>
          <w:p w14:paraId="6BFAAB2E"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68.4</w:t>
            </w:r>
          </w:p>
        </w:tc>
      </w:tr>
      <w:tr w:rsidR="00DB648B" w:rsidRPr="00B26D1F" w14:paraId="5D083A21" w14:textId="77777777">
        <w:tc>
          <w:tcPr>
            <w:tcW w:w="1260" w:type="dxa"/>
          </w:tcPr>
          <w:p w14:paraId="50BBAC1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Female</w:t>
            </w:r>
          </w:p>
        </w:tc>
        <w:tc>
          <w:tcPr>
            <w:tcW w:w="2377" w:type="dxa"/>
          </w:tcPr>
          <w:p w14:paraId="4AC4CEC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31</w:t>
            </w:r>
          </w:p>
        </w:tc>
        <w:tc>
          <w:tcPr>
            <w:tcW w:w="1821" w:type="dxa"/>
          </w:tcPr>
          <w:p w14:paraId="7B3CC65C"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24</w:t>
            </w:r>
          </w:p>
        </w:tc>
        <w:tc>
          <w:tcPr>
            <w:tcW w:w="1926" w:type="dxa"/>
          </w:tcPr>
          <w:p w14:paraId="6592A81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w:t>
            </w:r>
          </w:p>
        </w:tc>
        <w:tc>
          <w:tcPr>
            <w:tcW w:w="1975" w:type="dxa"/>
          </w:tcPr>
          <w:p w14:paraId="4648419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77.4</w:t>
            </w:r>
          </w:p>
        </w:tc>
      </w:tr>
      <w:tr w:rsidR="00DB648B" w:rsidRPr="00B26D1F" w14:paraId="0C07D9CB" w14:textId="77777777">
        <w:tc>
          <w:tcPr>
            <w:tcW w:w="1260" w:type="dxa"/>
          </w:tcPr>
          <w:p w14:paraId="1FAAF7C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377" w:type="dxa"/>
          </w:tcPr>
          <w:p w14:paraId="7CEF72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821" w:type="dxa"/>
          </w:tcPr>
          <w:p w14:paraId="09195A8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926" w:type="dxa"/>
          </w:tcPr>
          <w:p w14:paraId="2CB196F9"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975" w:type="dxa"/>
          </w:tcPr>
          <w:p w14:paraId="33F9AA5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243AF798" w14:textId="77777777" w:rsidR="00DB648B" w:rsidRPr="00B26D1F" w:rsidRDefault="00DB648B" w:rsidP="007B7C19">
      <w:pPr>
        <w:jc w:val="both"/>
        <w:rPr>
          <w:rFonts w:ascii="Arial" w:eastAsia="Times New Roman" w:hAnsi="Arial" w:cs="Arial"/>
          <w:b/>
          <w:bCs/>
          <w:sz w:val="24"/>
          <w:szCs w:val="24"/>
          <w:lang w:val="en-GB"/>
        </w:rPr>
      </w:pPr>
    </w:p>
    <w:p w14:paraId="05395A90" w14:textId="77777777" w:rsidR="00D13DB0"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Age Group Distribution</w:t>
      </w:r>
    </w:p>
    <w:p w14:paraId="129E7BD7" w14:textId="4070CB20" w:rsidR="00F06645" w:rsidRPr="00B17D1C" w:rsidRDefault="00CE5886" w:rsidP="00B17D1C">
      <w:pPr>
        <w:spacing w:after="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 xml:space="preserve">The sampled goat </w:t>
      </w:r>
      <w:proofErr w:type="gramStart"/>
      <w:r w:rsidRPr="00B26D1F">
        <w:rPr>
          <w:rFonts w:ascii="Arial" w:eastAsia="Times New Roman" w:hAnsi="Arial" w:cs="Arial"/>
          <w:sz w:val="24"/>
          <w:szCs w:val="24"/>
          <w:lang w:val="en-GB"/>
        </w:rPr>
        <w:t>were</w:t>
      </w:r>
      <w:proofErr w:type="gramEnd"/>
      <w:r w:rsidRPr="00B26D1F">
        <w:rPr>
          <w:rFonts w:ascii="Arial" w:eastAsia="Times New Roman" w:hAnsi="Arial" w:cs="Arial"/>
          <w:sz w:val="24"/>
          <w:szCs w:val="24"/>
          <w:lang w:val="en-GB"/>
        </w:rPr>
        <w:t xml:space="preserve"> grouped as Kids (&lt;6 months), yearlings (6–12 months), and adults (&gt;12 months). Positive cases were distributed across all age groups. Out of 50 goats examined, 37 (74%) were positive for helminth infection, while 13 (26%) were negative. By age group, 11 of 17 goats under 6 months (64.7%) were infected, 14 of 19 yearlings aged 6–12 months (73.7%) were infected, and 8 of 14 adults over 12 months (57.1%) were infected. This shows that helminth infection occurs across all age groups, </w:t>
      </w:r>
      <w:r w:rsidRPr="00B26D1F">
        <w:rPr>
          <w:rFonts w:ascii="Arial" w:eastAsia="Times New Roman" w:hAnsi="Arial" w:cs="Arial"/>
          <w:sz w:val="24"/>
          <w:szCs w:val="24"/>
          <w:lang w:val="en-GB"/>
        </w:rPr>
        <w:lastRenderedPageBreak/>
        <w:t>with yearlings being the most affected and adults the least, indicating that younger goats are more susceptible</w:t>
      </w:r>
      <w:r w:rsidR="00D13DB0" w:rsidRPr="00B26D1F">
        <w:rPr>
          <w:rFonts w:ascii="Arial" w:eastAsia="Times New Roman" w:hAnsi="Arial" w:cs="Arial"/>
          <w:sz w:val="24"/>
          <w:szCs w:val="24"/>
          <w:lang w:val="en-GB"/>
        </w:rPr>
        <w:t xml:space="preserve"> as showed in </w:t>
      </w:r>
      <w:r w:rsidR="0041765E" w:rsidRPr="00B26D1F">
        <w:rPr>
          <w:rFonts w:ascii="Arial" w:eastAsia="Times New Roman" w:hAnsi="Arial" w:cs="Arial"/>
          <w:sz w:val="24"/>
          <w:szCs w:val="24"/>
          <w:lang w:val="en-GB"/>
        </w:rPr>
        <w:t xml:space="preserve">Table 2, </w:t>
      </w:r>
      <w:r w:rsidR="00D13DB0" w:rsidRPr="00B26D1F">
        <w:rPr>
          <w:rFonts w:ascii="Arial" w:eastAsia="Times New Roman" w:hAnsi="Arial" w:cs="Arial"/>
          <w:sz w:val="24"/>
          <w:szCs w:val="24"/>
          <w:lang w:val="en-GB"/>
        </w:rPr>
        <w:t>Figure 1</w:t>
      </w:r>
      <w:r w:rsidRPr="00B26D1F">
        <w:rPr>
          <w:rFonts w:ascii="Arial" w:eastAsia="Times New Roman" w:hAnsi="Arial" w:cs="Arial"/>
          <w:sz w:val="24"/>
          <w:szCs w:val="24"/>
          <w:lang w:val="en-GB"/>
        </w:rPr>
        <w:t>.</w:t>
      </w:r>
    </w:p>
    <w:p w14:paraId="6501AC90"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Sex Distribution</w:t>
      </w:r>
    </w:p>
    <w:p w14:paraId="0C45F8C4" w14:textId="77777777" w:rsidR="0057263F" w:rsidRPr="00B26D1F" w:rsidRDefault="00A77A3A"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Goats were</w:t>
      </w:r>
      <w:r w:rsidR="00CE5886" w:rsidRPr="00B26D1F">
        <w:rPr>
          <w:rFonts w:ascii="Arial" w:eastAsia="Times New Roman" w:hAnsi="Arial" w:cs="Arial"/>
          <w:sz w:val="24"/>
          <w:szCs w:val="24"/>
          <w:lang w:val="en-GB"/>
        </w:rPr>
        <w:t xml:space="preserve"> also categorized by sex. Positive cases were observed in both male and female groups. A total of 50 goats were examined, with 37 (74%) testing positive for helminth infection and 13 (26%) testing negative. Among males, 13 out of 19 (68.4%) were positive, while 6 (31.6%) were negative. Among females, 24 out of 31 (77.4%) were positive, and 7 (22.6%) were negative. This shows that helminth infection affects both sexes, with a slightl</w:t>
      </w:r>
      <w:r w:rsidR="0041765E" w:rsidRPr="00B26D1F">
        <w:rPr>
          <w:rFonts w:ascii="Arial" w:eastAsia="Times New Roman" w:hAnsi="Arial" w:cs="Arial"/>
          <w:sz w:val="24"/>
          <w:szCs w:val="24"/>
          <w:lang w:val="en-GB"/>
        </w:rPr>
        <w:t>y higher prevalence in females, see Table 3, Figure 2.</w:t>
      </w:r>
    </w:p>
    <w:p w14:paraId="7365329E"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C53D92D"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7BF5DE8" w14:textId="77777777" w:rsidR="00DB648B" w:rsidRPr="00B26D1F" w:rsidRDefault="00CE5886"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br/>
      </w:r>
      <w:r w:rsidRPr="00B26D1F">
        <w:rPr>
          <w:rFonts w:ascii="Arial" w:eastAsia="Times New Roman" w:hAnsi="Arial" w:cs="Arial"/>
          <w:noProof/>
          <w:sz w:val="24"/>
          <w:szCs w:val="24"/>
          <w:lang w:val="en-GB"/>
        </w:rPr>
        <w:drawing>
          <wp:inline distT="0" distB="0" distL="0" distR="0" wp14:anchorId="1DC58026" wp14:editId="3CD1F803">
            <wp:extent cx="5943600" cy="1857375"/>
            <wp:effectExtent l="0" t="0" r="0" b="9525"/>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1857375"/>
                    </a:xfrm>
                    <a:prstGeom prst="rect">
                      <a:avLst/>
                    </a:prstGeom>
                    <a:ln/>
                  </pic:spPr>
                </pic:pic>
              </a:graphicData>
            </a:graphic>
          </wp:inline>
        </w:drawing>
      </w:r>
    </w:p>
    <w:p w14:paraId="5382367E" w14:textId="0A0DA787" w:rsidR="00DB648B" w:rsidRPr="00B26D1F" w:rsidRDefault="0041765E"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2</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Age Group</w:t>
      </w:r>
    </w:p>
    <w:p w14:paraId="457155DE" w14:textId="77777777" w:rsidR="00DB648B" w:rsidRPr="00B26D1F" w:rsidRDefault="00CE5886" w:rsidP="007B7C19">
      <w:pPr>
        <w:jc w:val="both"/>
        <w:rPr>
          <w:rFonts w:ascii="Arial" w:eastAsia="Times New Roman" w:hAnsi="Arial" w:cs="Arial"/>
          <w:sz w:val="24"/>
          <w:szCs w:val="24"/>
          <w:lang w:val="en-GB"/>
        </w:rPr>
      </w:pPr>
      <w:r w:rsidRPr="00B26D1F">
        <w:rPr>
          <w:rFonts w:ascii="Arial" w:eastAsia="Times New Roman" w:hAnsi="Arial" w:cs="Arial"/>
          <w:noProof/>
          <w:sz w:val="24"/>
          <w:szCs w:val="24"/>
          <w:lang w:val="en-GB"/>
        </w:rPr>
        <w:drawing>
          <wp:inline distT="0" distB="0" distL="0" distR="0" wp14:anchorId="5E246C7F" wp14:editId="36632312">
            <wp:extent cx="5943600" cy="2162175"/>
            <wp:effectExtent l="0" t="0" r="0" b="9525"/>
            <wp:docPr id="10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43600" cy="2162175"/>
                    </a:xfrm>
                    <a:prstGeom prst="rect">
                      <a:avLst/>
                    </a:prstGeom>
                    <a:ln/>
                  </pic:spPr>
                </pic:pic>
              </a:graphicData>
            </a:graphic>
          </wp:inline>
        </w:drawing>
      </w:r>
    </w:p>
    <w:p w14:paraId="27F7F42D" w14:textId="6C6869BC" w:rsidR="00DB648B" w:rsidRPr="00B26D1F" w:rsidRDefault="0041765E" w:rsidP="007B7C19">
      <w:pPr>
        <w:spacing w:line="48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3</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p w14:paraId="6E5F239C" w14:textId="77777777" w:rsidR="00DB648B" w:rsidRPr="00B26D1F" w:rsidRDefault="00CE5886"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Management System</w:t>
      </w:r>
    </w:p>
    <w:p w14:paraId="52E5F98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Samples were collected from goat raised under intensive, semi-intensive, and extensive management systems.</w:t>
      </w:r>
      <w:r w:rsidR="0057263F"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 xml:space="preserve">A total of 50 goats were examined, and 37 (74%) were positive </w:t>
      </w:r>
      <w:r w:rsidRPr="00B26D1F">
        <w:rPr>
          <w:rFonts w:ascii="Arial" w:eastAsia="Times New Roman" w:hAnsi="Arial" w:cs="Arial"/>
          <w:sz w:val="24"/>
          <w:szCs w:val="24"/>
          <w:lang w:val="en-GB"/>
        </w:rPr>
        <w:lastRenderedPageBreak/>
        <w:t>for helminth infection, while 13 (26%) were negative. By management system, 11 of 14 goats under intensive management (78.6%) were infected, 14 of 18 under semi-intensive management (77.8%) were infected, and 12 of 18 under extensive management (66.7%) were infected. This indicates that helminth infection occurs across all management systems, with slightly higher prevalence in intensively and semi-intensively managed goats compared to extensively managed ones. Figure 4.4 shows the prevalence of infection under each system.</w:t>
      </w:r>
    </w:p>
    <w:p w14:paraId="5BA29293" w14:textId="77777777" w:rsidR="00A37F7E" w:rsidRPr="00B26D1F" w:rsidRDefault="00A37F7E" w:rsidP="007B7C19">
      <w:pPr>
        <w:spacing w:after="0" w:line="240" w:lineRule="auto"/>
        <w:jc w:val="both"/>
        <w:rPr>
          <w:rFonts w:ascii="Arial" w:hAnsi="Arial" w:cs="Arial"/>
          <w:sz w:val="24"/>
          <w:szCs w:val="24"/>
          <w:lang w:val="en-GB"/>
        </w:rPr>
      </w:pPr>
    </w:p>
    <w:p w14:paraId="06DDE5C7" w14:textId="77777777" w:rsidR="00DB648B" w:rsidRPr="00B26D1F" w:rsidRDefault="002D352D"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4: Preva</w:t>
      </w:r>
      <w:r w:rsidR="00F06645" w:rsidRPr="00B26D1F">
        <w:rPr>
          <w:rFonts w:ascii="Arial" w:eastAsia="Times New Roman" w:hAnsi="Arial" w:cs="Arial"/>
          <w:bCs/>
          <w:sz w:val="24"/>
          <w:szCs w:val="24"/>
          <w:lang w:val="en-GB"/>
        </w:rPr>
        <w:t xml:space="preserve">lence of Helminths parasites based on </w:t>
      </w:r>
      <w:r w:rsidR="00CE5886" w:rsidRPr="00B26D1F">
        <w:rPr>
          <w:rFonts w:ascii="Arial" w:eastAsia="Times New Roman" w:hAnsi="Arial" w:cs="Arial"/>
          <w:bCs/>
          <w:sz w:val="24"/>
          <w:szCs w:val="24"/>
          <w:lang w:val="en-GB"/>
        </w:rPr>
        <w:t>Management System</w:t>
      </w:r>
    </w:p>
    <w:tbl>
      <w:tblPr>
        <w:tblStyle w:val="2"/>
        <w:tblW w:w="931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86"/>
        <w:gridCol w:w="2000"/>
        <w:gridCol w:w="1556"/>
        <w:gridCol w:w="1664"/>
        <w:gridCol w:w="1806"/>
      </w:tblGrid>
      <w:tr w:rsidR="00DB648B" w:rsidRPr="00B26D1F" w14:paraId="2CEC961A" w14:textId="77777777">
        <w:trPr>
          <w:trHeight w:val="649"/>
        </w:trPr>
        <w:tc>
          <w:tcPr>
            <w:tcW w:w="2286" w:type="dxa"/>
            <w:tcBorders>
              <w:bottom w:val="single" w:sz="4" w:space="0" w:color="000000"/>
            </w:tcBorders>
          </w:tcPr>
          <w:p w14:paraId="09C4A4A4"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Management System</w:t>
            </w:r>
          </w:p>
        </w:tc>
        <w:tc>
          <w:tcPr>
            <w:tcW w:w="2000" w:type="dxa"/>
            <w:tcBorders>
              <w:bottom w:val="single" w:sz="4" w:space="0" w:color="000000"/>
            </w:tcBorders>
          </w:tcPr>
          <w:p w14:paraId="57ECD489"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556" w:type="dxa"/>
            <w:tcBorders>
              <w:bottom w:val="single" w:sz="4" w:space="0" w:color="000000"/>
            </w:tcBorders>
          </w:tcPr>
          <w:p w14:paraId="33A265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664" w:type="dxa"/>
            <w:tcBorders>
              <w:bottom w:val="single" w:sz="4" w:space="0" w:color="000000"/>
            </w:tcBorders>
          </w:tcPr>
          <w:p w14:paraId="7809E46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06" w:type="dxa"/>
            <w:tcBorders>
              <w:bottom w:val="single" w:sz="4" w:space="0" w:color="000000"/>
            </w:tcBorders>
          </w:tcPr>
          <w:p w14:paraId="2E8B313C"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7BABCE11" w14:textId="77777777">
        <w:trPr>
          <w:trHeight w:val="495"/>
        </w:trPr>
        <w:tc>
          <w:tcPr>
            <w:tcW w:w="2286" w:type="dxa"/>
            <w:tcBorders>
              <w:top w:val="single" w:sz="4" w:space="0" w:color="000000"/>
            </w:tcBorders>
          </w:tcPr>
          <w:p w14:paraId="0B472BF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Intensive</w:t>
            </w:r>
          </w:p>
        </w:tc>
        <w:tc>
          <w:tcPr>
            <w:tcW w:w="2000" w:type="dxa"/>
            <w:tcBorders>
              <w:top w:val="single" w:sz="4" w:space="0" w:color="000000"/>
            </w:tcBorders>
          </w:tcPr>
          <w:p w14:paraId="446EE91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556" w:type="dxa"/>
            <w:tcBorders>
              <w:top w:val="single" w:sz="4" w:space="0" w:color="000000"/>
            </w:tcBorders>
          </w:tcPr>
          <w:p w14:paraId="6DF0037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11</w:t>
            </w:r>
          </w:p>
        </w:tc>
        <w:tc>
          <w:tcPr>
            <w:tcW w:w="1664" w:type="dxa"/>
            <w:tcBorders>
              <w:top w:val="single" w:sz="4" w:space="0" w:color="000000"/>
            </w:tcBorders>
          </w:tcPr>
          <w:p w14:paraId="2BC1173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w:t>
            </w:r>
          </w:p>
        </w:tc>
        <w:tc>
          <w:tcPr>
            <w:tcW w:w="1806" w:type="dxa"/>
            <w:tcBorders>
              <w:top w:val="single" w:sz="4" w:space="0" w:color="000000"/>
            </w:tcBorders>
          </w:tcPr>
          <w:p w14:paraId="29A3602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64.7</w:t>
            </w:r>
          </w:p>
        </w:tc>
      </w:tr>
      <w:tr w:rsidR="00DB648B" w:rsidRPr="00B26D1F" w14:paraId="2F02EDE8" w14:textId="77777777">
        <w:trPr>
          <w:trHeight w:val="495"/>
        </w:trPr>
        <w:tc>
          <w:tcPr>
            <w:tcW w:w="2286" w:type="dxa"/>
          </w:tcPr>
          <w:p w14:paraId="090D5A9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Semi-Intensive</w:t>
            </w:r>
          </w:p>
        </w:tc>
        <w:tc>
          <w:tcPr>
            <w:tcW w:w="2000" w:type="dxa"/>
          </w:tcPr>
          <w:p w14:paraId="6059026F"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51BF434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664" w:type="dxa"/>
          </w:tcPr>
          <w:p w14:paraId="3184C44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4</w:t>
            </w:r>
          </w:p>
        </w:tc>
        <w:tc>
          <w:tcPr>
            <w:tcW w:w="1806" w:type="dxa"/>
          </w:tcPr>
          <w:p w14:paraId="4D6B78B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77.7</w:t>
            </w:r>
          </w:p>
        </w:tc>
      </w:tr>
      <w:tr w:rsidR="00DB648B" w:rsidRPr="00B26D1F" w14:paraId="71337E61" w14:textId="77777777">
        <w:trPr>
          <w:trHeight w:val="495"/>
        </w:trPr>
        <w:tc>
          <w:tcPr>
            <w:tcW w:w="2286" w:type="dxa"/>
          </w:tcPr>
          <w:p w14:paraId="1E6DA69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Extensive</w:t>
            </w:r>
          </w:p>
        </w:tc>
        <w:tc>
          <w:tcPr>
            <w:tcW w:w="2000" w:type="dxa"/>
          </w:tcPr>
          <w:p w14:paraId="6F9BAE8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4282CD6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12</w:t>
            </w:r>
          </w:p>
        </w:tc>
        <w:tc>
          <w:tcPr>
            <w:tcW w:w="1664" w:type="dxa"/>
          </w:tcPr>
          <w:p w14:paraId="2F0DCA6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806" w:type="dxa"/>
          </w:tcPr>
          <w:p w14:paraId="3F1A5B7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66.6</w:t>
            </w:r>
          </w:p>
        </w:tc>
      </w:tr>
      <w:tr w:rsidR="00DB648B" w:rsidRPr="00B26D1F" w14:paraId="0D500880" w14:textId="77777777">
        <w:trPr>
          <w:trHeight w:val="495"/>
        </w:trPr>
        <w:tc>
          <w:tcPr>
            <w:tcW w:w="2286" w:type="dxa"/>
          </w:tcPr>
          <w:p w14:paraId="5F84382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000" w:type="dxa"/>
          </w:tcPr>
          <w:p w14:paraId="6E6A7BF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556" w:type="dxa"/>
          </w:tcPr>
          <w:p w14:paraId="0621B59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664" w:type="dxa"/>
          </w:tcPr>
          <w:p w14:paraId="5640A1E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806" w:type="dxa"/>
          </w:tcPr>
          <w:p w14:paraId="088FBC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5262CAA6" w14:textId="77777777" w:rsidR="00DB648B" w:rsidRPr="00B26D1F" w:rsidRDefault="00DB648B" w:rsidP="007B7C19">
      <w:pPr>
        <w:spacing w:line="480" w:lineRule="auto"/>
        <w:jc w:val="both"/>
        <w:rPr>
          <w:rFonts w:ascii="Arial" w:eastAsia="Times New Roman" w:hAnsi="Arial" w:cs="Arial"/>
          <w:sz w:val="24"/>
          <w:szCs w:val="24"/>
          <w:lang w:val="en-GB"/>
        </w:rPr>
      </w:pPr>
    </w:p>
    <w:p w14:paraId="33052C54" w14:textId="77777777" w:rsidR="00DB648B" w:rsidRPr="00B26D1F" w:rsidRDefault="00CE5886" w:rsidP="007B7C19">
      <w:pPr>
        <w:spacing w:line="480" w:lineRule="auto"/>
        <w:jc w:val="both"/>
        <w:rPr>
          <w:rFonts w:ascii="Arial" w:eastAsia="Times New Roman" w:hAnsi="Arial" w:cs="Arial"/>
          <w:sz w:val="24"/>
          <w:szCs w:val="24"/>
          <w:lang w:val="en-GB"/>
        </w:rPr>
      </w:pPr>
      <w:r w:rsidRPr="00B26D1F">
        <w:rPr>
          <w:rFonts w:ascii="Arial" w:eastAsia="Times New Roman" w:hAnsi="Arial" w:cs="Arial"/>
          <w:noProof/>
          <w:sz w:val="24"/>
          <w:szCs w:val="24"/>
          <w:lang w:val="en-GB"/>
        </w:rPr>
        <w:drawing>
          <wp:inline distT="0" distB="0" distL="0" distR="0" wp14:anchorId="144548B3" wp14:editId="4102C8BA">
            <wp:extent cx="5943600" cy="2962275"/>
            <wp:effectExtent l="0" t="0" r="0" b="9525"/>
            <wp:docPr id="1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2962275"/>
                    </a:xfrm>
                    <a:prstGeom prst="rect">
                      <a:avLst/>
                    </a:prstGeom>
                    <a:ln/>
                  </pic:spPr>
                </pic:pic>
              </a:graphicData>
            </a:graphic>
          </wp:inline>
        </w:drawing>
      </w:r>
    </w:p>
    <w:p w14:paraId="1308ABB2" w14:textId="1E0E64D7" w:rsidR="00D81A51" w:rsidRDefault="00C45E2C" w:rsidP="007B7C19">
      <w:pPr>
        <w:spacing w:line="480" w:lineRule="auto"/>
        <w:jc w:val="both"/>
        <w:rPr>
          <w:rFonts w:ascii="Arial" w:eastAsia="Times New Roman" w:hAnsi="Arial" w:cs="Arial"/>
          <w:b/>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4</w:t>
      </w:r>
      <w:r w:rsidR="00CE5886" w:rsidRPr="00B26D1F">
        <w:rPr>
          <w:rFonts w:ascii="Arial" w:eastAsia="Times New Roman" w:hAnsi="Arial" w:cs="Arial"/>
          <w:bCs/>
          <w:sz w:val="24"/>
          <w:szCs w:val="24"/>
          <w:lang w:val="en-GB"/>
        </w:rPr>
        <w:t>: Prev</w:t>
      </w:r>
      <w:r w:rsidR="00F06645"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Management System</w:t>
      </w:r>
      <w:r w:rsidR="0057263F" w:rsidRPr="00B26D1F">
        <w:rPr>
          <w:rFonts w:ascii="Arial" w:eastAsia="Times New Roman" w:hAnsi="Arial" w:cs="Arial"/>
          <w:bCs/>
          <w:sz w:val="24"/>
          <w:szCs w:val="24"/>
          <w:lang w:val="en-GB"/>
        </w:rPr>
        <w:tab/>
      </w:r>
      <w:r w:rsidR="00CE5886" w:rsidRPr="00B26D1F">
        <w:rPr>
          <w:rFonts w:ascii="Arial" w:eastAsia="Times New Roman" w:hAnsi="Arial" w:cs="Arial"/>
          <w:sz w:val="24"/>
          <w:szCs w:val="24"/>
          <w:lang w:val="en-GB"/>
        </w:rPr>
        <w:br/>
      </w:r>
    </w:p>
    <w:p w14:paraId="40AFB717" w14:textId="77777777" w:rsidR="00D81A51" w:rsidRDefault="00D81A51" w:rsidP="007B7C19">
      <w:pPr>
        <w:spacing w:line="480" w:lineRule="auto"/>
        <w:jc w:val="both"/>
        <w:rPr>
          <w:rFonts w:ascii="Arial" w:eastAsia="Times New Roman" w:hAnsi="Arial" w:cs="Arial"/>
          <w:b/>
          <w:bCs/>
          <w:sz w:val="24"/>
          <w:szCs w:val="24"/>
          <w:lang w:val="en-GB"/>
        </w:rPr>
      </w:pPr>
    </w:p>
    <w:p w14:paraId="697ECDA4" w14:textId="77777777" w:rsidR="00D81A51" w:rsidRDefault="00D81A51" w:rsidP="007B7C19">
      <w:pPr>
        <w:spacing w:line="480" w:lineRule="auto"/>
        <w:jc w:val="both"/>
        <w:rPr>
          <w:rFonts w:ascii="Arial" w:eastAsia="Times New Roman" w:hAnsi="Arial" w:cs="Arial"/>
          <w:b/>
          <w:bCs/>
          <w:sz w:val="24"/>
          <w:szCs w:val="24"/>
          <w:lang w:val="en-GB"/>
        </w:rPr>
      </w:pPr>
    </w:p>
    <w:p w14:paraId="68826D2D" w14:textId="300FCED7" w:rsidR="00DB648B" w:rsidRPr="00B26D1F" w:rsidRDefault="00CE5886"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Chi-Square Analysis</w:t>
      </w:r>
    </w:p>
    <w:p w14:paraId="6EA34F4E" w14:textId="77777777" w:rsidR="00DB648B" w:rsidRPr="00B26D1F" w:rsidRDefault="00CE5886" w:rsidP="007B7C19">
      <w:pPr>
        <w:spacing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Chi-square tests were performed to assess the association between infection status and each categorical variable. The p-values obtained indicate no statistically significant association between infection status and age, sex, or management system in this dataset</w:t>
      </w:r>
    </w:p>
    <w:p w14:paraId="0A265C20"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chi-square analysis shows the relationship between different variables and helminth infection:</w:t>
      </w:r>
    </w:p>
    <w:p w14:paraId="7CA8E39B"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 Group vs Infection: χ² = 0.98, df = 2, p = 0.61. This p-value is greater than 0.05, indicating no significant association between age group and infection.</w:t>
      </w:r>
    </w:p>
    <w:p w14:paraId="7630A30C"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Sex vs Infection: χ² = 0.00, df = 1, p = 1.00. The p-value shows no significant association between sex and infection.</w:t>
      </w:r>
    </w:p>
    <w:p w14:paraId="42EBF95F"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Management System vs Infection: χ² = 1.37, df = 2, p = 0.51. Again, this is greater than 0.05, showing no significant association between management system and infection.</w:t>
      </w:r>
      <w:r w:rsidRPr="00B26D1F">
        <w:rPr>
          <w:rFonts w:ascii="Arial" w:eastAsia="Times New Roman" w:hAnsi="Arial" w:cs="Arial"/>
          <w:sz w:val="24"/>
          <w:szCs w:val="24"/>
          <w:lang w:val="en-GB"/>
        </w:rPr>
        <w:br/>
      </w:r>
    </w:p>
    <w:p w14:paraId="02CF47AE" w14:textId="6AE12349" w:rsidR="00A37F7E" w:rsidRPr="00BD3D32" w:rsidRDefault="00CE5886" w:rsidP="00BD3D32">
      <w:pPr>
        <w:spacing w:before="240" w:after="24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Overall interpretation: Although helminth infection occurred across all age groups, sexes, and management systems, none of thes</w:t>
      </w:r>
      <w:r w:rsidR="004F4B57" w:rsidRPr="00B26D1F">
        <w:rPr>
          <w:rFonts w:ascii="Arial" w:eastAsia="Times New Roman" w:hAnsi="Arial" w:cs="Arial"/>
          <w:sz w:val="24"/>
          <w:szCs w:val="24"/>
          <w:lang w:val="en-GB"/>
        </w:rPr>
        <w:t xml:space="preserve">e factors showed a </w:t>
      </w:r>
      <w:r w:rsidR="0077537D" w:rsidRPr="00B26D1F">
        <w:rPr>
          <w:rFonts w:ascii="Arial" w:eastAsia="Times New Roman" w:hAnsi="Arial" w:cs="Arial"/>
          <w:sz w:val="24"/>
          <w:szCs w:val="24"/>
          <w:lang w:val="en-GB"/>
        </w:rPr>
        <w:t>statistically</w:t>
      </w:r>
      <w:r w:rsidR="00A748D5" w:rsidRPr="00B26D1F">
        <w:rPr>
          <w:rFonts w:ascii="Arial" w:eastAsia="Times New Roman" w:hAnsi="Arial" w:cs="Arial"/>
          <w:sz w:val="24"/>
          <w:szCs w:val="24"/>
          <w:lang w:val="en-GB"/>
        </w:rPr>
        <w:t xml:space="preserve"> significant </w:t>
      </w:r>
      <w:r w:rsidR="004F4B57" w:rsidRPr="00B26D1F">
        <w:rPr>
          <w:rFonts w:ascii="Arial" w:eastAsia="Times New Roman" w:hAnsi="Arial" w:cs="Arial"/>
          <w:sz w:val="24"/>
          <w:szCs w:val="24"/>
          <w:lang w:val="en-GB"/>
        </w:rPr>
        <w:t>at P &lt; 0.0</w:t>
      </w:r>
      <w:r w:rsidR="00A748D5" w:rsidRPr="00B26D1F">
        <w:rPr>
          <w:rFonts w:ascii="Arial" w:eastAsia="Times New Roman" w:hAnsi="Arial" w:cs="Arial"/>
          <w:sz w:val="24"/>
          <w:szCs w:val="24"/>
          <w:lang w:val="en-GB"/>
        </w:rPr>
        <w:t>5</w:t>
      </w:r>
      <w:r w:rsidR="00BD3D32">
        <w:rPr>
          <w:rFonts w:ascii="Arial" w:eastAsia="Times New Roman" w:hAnsi="Arial" w:cs="Arial"/>
          <w:color w:val="FF0000"/>
          <w:sz w:val="24"/>
          <w:szCs w:val="24"/>
          <w:lang w:val="en-GB"/>
        </w:rPr>
        <w:t>.</w:t>
      </w:r>
    </w:p>
    <w:p w14:paraId="64FD9BE0" w14:textId="77777777" w:rsidR="00DB648B" w:rsidRPr="00B26D1F" w:rsidRDefault="002B2EF8"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5: Analysis of Variables and Infection Status</w:t>
      </w:r>
    </w:p>
    <w:tbl>
      <w:tblPr>
        <w:tblStyle w:val="1"/>
        <w:tblW w:w="860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2"/>
        <w:gridCol w:w="1174"/>
        <w:gridCol w:w="465"/>
        <w:gridCol w:w="1103"/>
        <w:gridCol w:w="1888"/>
      </w:tblGrid>
      <w:tr w:rsidR="00DB648B" w:rsidRPr="00B26D1F" w14:paraId="554DA955" w14:textId="77777777">
        <w:trPr>
          <w:trHeight w:val="1009"/>
        </w:trPr>
        <w:tc>
          <w:tcPr>
            <w:tcW w:w="3972" w:type="dxa"/>
            <w:tcBorders>
              <w:bottom w:val="single" w:sz="4" w:space="0" w:color="000000"/>
            </w:tcBorders>
          </w:tcPr>
          <w:p w14:paraId="7051CD05"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Variable</w:t>
            </w:r>
          </w:p>
        </w:tc>
        <w:tc>
          <w:tcPr>
            <w:tcW w:w="1174" w:type="dxa"/>
            <w:tcBorders>
              <w:bottom w:val="single" w:sz="4" w:space="0" w:color="000000"/>
            </w:tcBorders>
          </w:tcPr>
          <w:p w14:paraId="0D333833"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χ² Value</w:t>
            </w:r>
          </w:p>
        </w:tc>
        <w:tc>
          <w:tcPr>
            <w:tcW w:w="465" w:type="dxa"/>
            <w:tcBorders>
              <w:bottom w:val="single" w:sz="4" w:space="0" w:color="000000"/>
            </w:tcBorders>
          </w:tcPr>
          <w:p w14:paraId="00FFA7EA"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df</w:t>
            </w:r>
          </w:p>
        </w:tc>
        <w:tc>
          <w:tcPr>
            <w:tcW w:w="1103" w:type="dxa"/>
            <w:tcBorders>
              <w:bottom w:val="single" w:sz="4" w:space="0" w:color="000000"/>
            </w:tcBorders>
          </w:tcPr>
          <w:p w14:paraId="6AD97600"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p-value</w:t>
            </w:r>
          </w:p>
        </w:tc>
        <w:tc>
          <w:tcPr>
            <w:tcW w:w="1888" w:type="dxa"/>
            <w:tcBorders>
              <w:bottom w:val="single" w:sz="4" w:space="0" w:color="000000"/>
            </w:tcBorders>
          </w:tcPr>
          <w:p w14:paraId="3390CE78"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Significance</w:t>
            </w:r>
          </w:p>
        </w:tc>
      </w:tr>
      <w:tr w:rsidR="00DB648B" w:rsidRPr="00B26D1F" w14:paraId="2A18F1C3" w14:textId="77777777">
        <w:tc>
          <w:tcPr>
            <w:tcW w:w="3972" w:type="dxa"/>
            <w:tcBorders>
              <w:top w:val="single" w:sz="4" w:space="0" w:color="000000"/>
            </w:tcBorders>
          </w:tcPr>
          <w:p w14:paraId="1F66169F"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Age Group vs Infection</w:t>
            </w:r>
          </w:p>
        </w:tc>
        <w:tc>
          <w:tcPr>
            <w:tcW w:w="1174" w:type="dxa"/>
            <w:tcBorders>
              <w:top w:val="single" w:sz="4" w:space="0" w:color="000000"/>
            </w:tcBorders>
          </w:tcPr>
          <w:p w14:paraId="2A7E85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0.98</w:t>
            </w:r>
          </w:p>
        </w:tc>
        <w:tc>
          <w:tcPr>
            <w:tcW w:w="465" w:type="dxa"/>
            <w:tcBorders>
              <w:top w:val="single" w:sz="4" w:space="0" w:color="000000"/>
            </w:tcBorders>
          </w:tcPr>
          <w:p w14:paraId="52C487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Borders>
              <w:top w:val="single" w:sz="4" w:space="0" w:color="000000"/>
            </w:tcBorders>
          </w:tcPr>
          <w:p w14:paraId="587F5EF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0.61</w:t>
            </w:r>
          </w:p>
        </w:tc>
        <w:tc>
          <w:tcPr>
            <w:tcW w:w="1888" w:type="dxa"/>
            <w:tcBorders>
              <w:top w:val="single" w:sz="4" w:space="0" w:color="000000"/>
            </w:tcBorders>
          </w:tcPr>
          <w:p w14:paraId="296BDD63"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285EF9C7" w14:textId="77777777">
        <w:tc>
          <w:tcPr>
            <w:tcW w:w="3972" w:type="dxa"/>
          </w:tcPr>
          <w:p w14:paraId="19FF94AB"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Sex vs Infection</w:t>
            </w:r>
          </w:p>
        </w:tc>
        <w:tc>
          <w:tcPr>
            <w:tcW w:w="1174" w:type="dxa"/>
          </w:tcPr>
          <w:p w14:paraId="7CF71AE4"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0.00</w:t>
            </w:r>
          </w:p>
        </w:tc>
        <w:tc>
          <w:tcPr>
            <w:tcW w:w="465" w:type="dxa"/>
          </w:tcPr>
          <w:p w14:paraId="2ECF949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w:t>
            </w:r>
          </w:p>
        </w:tc>
        <w:tc>
          <w:tcPr>
            <w:tcW w:w="1103" w:type="dxa"/>
          </w:tcPr>
          <w:p w14:paraId="6C833C5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1.00</w:t>
            </w:r>
          </w:p>
        </w:tc>
        <w:tc>
          <w:tcPr>
            <w:tcW w:w="1888" w:type="dxa"/>
          </w:tcPr>
          <w:p w14:paraId="01AEC24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61D3120C" w14:textId="77777777">
        <w:tc>
          <w:tcPr>
            <w:tcW w:w="3972" w:type="dxa"/>
          </w:tcPr>
          <w:p w14:paraId="5EA109AE"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Management System vs Infection</w:t>
            </w:r>
          </w:p>
        </w:tc>
        <w:tc>
          <w:tcPr>
            <w:tcW w:w="1174" w:type="dxa"/>
          </w:tcPr>
          <w:p w14:paraId="62FD468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1.37</w:t>
            </w:r>
          </w:p>
        </w:tc>
        <w:tc>
          <w:tcPr>
            <w:tcW w:w="465" w:type="dxa"/>
          </w:tcPr>
          <w:p w14:paraId="2986AB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Pr>
          <w:p w14:paraId="2E5E5E3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0.51</w:t>
            </w:r>
          </w:p>
        </w:tc>
        <w:tc>
          <w:tcPr>
            <w:tcW w:w="1888" w:type="dxa"/>
          </w:tcPr>
          <w:p w14:paraId="7551E535"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bl>
    <w:p w14:paraId="7968307F" w14:textId="77777777" w:rsidR="0049796B" w:rsidRPr="00B26D1F" w:rsidRDefault="0049796B" w:rsidP="007B7C19">
      <w:pPr>
        <w:spacing w:line="240" w:lineRule="auto"/>
        <w:jc w:val="both"/>
        <w:rPr>
          <w:rFonts w:ascii="Arial" w:eastAsia="Times New Roman" w:hAnsi="Arial" w:cs="Arial"/>
          <w:i/>
          <w:iCs/>
          <w:sz w:val="24"/>
          <w:szCs w:val="24"/>
          <w:lang w:val="en-GB"/>
        </w:rPr>
      </w:pPr>
    </w:p>
    <w:p w14:paraId="70B92442" w14:textId="77777777" w:rsidR="00D81A51" w:rsidRDefault="00D81A51" w:rsidP="007B7C19">
      <w:pPr>
        <w:spacing w:line="240" w:lineRule="auto"/>
        <w:jc w:val="both"/>
        <w:rPr>
          <w:rFonts w:ascii="Arial" w:eastAsia="Times New Roman" w:hAnsi="Arial" w:cs="Arial"/>
          <w:b/>
          <w:bCs/>
          <w:sz w:val="24"/>
          <w:szCs w:val="24"/>
          <w:lang w:val="en-GB"/>
        </w:rPr>
      </w:pPr>
    </w:p>
    <w:p w14:paraId="60FABED3" w14:textId="77777777" w:rsidR="00D81A51" w:rsidRDefault="00D81A51" w:rsidP="007B7C19">
      <w:pPr>
        <w:spacing w:line="240" w:lineRule="auto"/>
        <w:jc w:val="both"/>
        <w:rPr>
          <w:rFonts w:ascii="Arial" w:eastAsia="Times New Roman" w:hAnsi="Arial" w:cs="Arial"/>
          <w:b/>
          <w:bCs/>
          <w:sz w:val="24"/>
          <w:szCs w:val="24"/>
          <w:lang w:val="en-GB"/>
        </w:rPr>
      </w:pPr>
    </w:p>
    <w:p w14:paraId="1B39428F" w14:textId="77777777" w:rsidR="00D81A51" w:rsidRDefault="00D81A51" w:rsidP="007B7C19">
      <w:pPr>
        <w:spacing w:line="240" w:lineRule="auto"/>
        <w:jc w:val="both"/>
        <w:rPr>
          <w:rFonts w:ascii="Arial" w:eastAsia="Times New Roman" w:hAnsi="Arial" w:cs="Arial"/>
          <w:b/>
          <w:bCs/>
          <w:sz w:val="24"/>
          <w:szCs w:val="24"/>
          <w:lang w:val="en-GB"/>
        </w:rPr>
      </w:pPr>
    </w:p>
    <w:p w14:paraId="6AF297F3" w14:textId="77777777" w:rsidR="00D81A51" w:rsidRDefault="00D81A51" w:rsidP="007B7C19">
      <w:pPr>
        <w:spacing w:line="240" w:lineRule="auto"/>
        <w:jc w:val="both"/>
        <w:rPr>
          <w:rFonts w:ascii="Arial" w:eastAsia="Times New Roman" w:hAnsi="Arial" w:cs="Arial"/>
          <w:b/>
          <w:bCs/>
          <w:sz w:val="24"/>
          <w:szCs w:val="24"/>
          <w:lang w:val="en-GB"/>
        </w:rPr>
      </w:pPr>
    </w:p>
    <w:p w14:paraId="093BBA0B" w14:textId="77777777" w:rsidR="00D81A51" w:rsidRDefault="00D81A51" w:rsidP="007B7C19">
      <w:pPr>
        <w:spacing w:line="240" w:lineRule="auto"/>
        <w:jc w:val="both"/>
        <w:rPr>
          <w:rFonts w:ascii="Arial" w:eastAsia="Times New Roman" w:hAnsi="Arial" w:cs="Arial"/>
          <w:b/>
          <w:bCs/>
          <w:sz w:val="24"/>
          <w:szCs w:val="24"/>
          <w:lang w:val="en-GB"/>
        </w:rPr>
      </w:pPr>
    </w:p>
    <w:p w14:paraId="2D1965AF" w14:textId="77BC2DF3" w:rsidR="0049796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Discussion</w:t>
      </w:r>
    </w:p>
    <w:p w14:paraId="425EB3A1"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The present study recorded a gastrointestinal parasite prevalence of 77% among the sampled goat at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Gwagwalada, reflecting a notably high infection burden. This aligns closely with findings from Minna’s abattoir in Niger State, where 69.64% of small ruminants were infected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Similarly, in Plateau State's </w:t>
      </w:r>
      <w:proofErr w:type="spellStart"/>
      <w:r w:rsidRPr="00B26D1F">
        <w:rPr>
          <w:rFonts w:ascii="Arial" w:eastAsia="Times New Roman" w:hAnsi="Arial" w:cs="Arial"/>
          <w:sz w:val="24"/>
          <w:szCs w:val="24"/>
          <w:lang w:val="en-GB"/>
        </w:rPr>
        <w:t>Bokkos</w:t>
      </w:r>
      <w:proofErr w:type="spellEnd"/>
      <w:r w:rsidRPr="00B26D1F">
        <w:rPr>
          <w:rFonts w:ascii="Arial" w:eastAsia="Times New Roman" w:hAnsi="Arial" w:cs="Arial"/>
          <w:sz w:val="24"/>
          <w:szCs w:val="24"/>
          <w:lang w:val="en-GB"/>
        </w:rPr>
        <w:t xml:space="preserve"> LGA, 69% prevalence was reported among goat, with multiple parasite genera identified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These comparable rates confirm that gastrointestinal parasitism remains a widespread issue for Nigerian goat across diverse regions.</w:t>
      </w:r>
    </w:p>
    <w:p w14:paraId="461E0526"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Microscopic examinations revealed varied morphologies, circular eggs, clustered formations, elongated shapes, and occasional triangular forms, suggesting the presence of multiple parasite species. This diversity is consistent with regional surveys; for instance, seven genera, including </w:t>
      </w:r>
      <w:proofErr w:type="spellStart"/>
      <w:r w:rsidRPr="00B26D1F">
        <w:rPr>
          <w:rFonts w:ascii="Arial" w:eastAsia="Times New Roman" w:hAnsi="Arial" w:cs="Arial"/>
          <w:i/>
          <w:iCs/>
          <w:sz w:val="24"/>
          <w:szCs w:val="24"/>
          <w:lang w:val="en-GB"/>
        </w:rPr>
        <w:t>Strongyloides</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Trichuris</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Eimeria</w:t>
      </w:r>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Taenia</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were found in goat and goats at Minna Abattoir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In Plateau State, detected genera included </w:t>
      </w:r>
      <w:proofErr w:type="spellStart"/>
      <w:r w:rsidRPr="00B26D1F">
        <w:rPr>
          <w:rFonts w:ascii="Arial" w:eastAsia="Times New Roman" w:hAnsi="Arial" w:cs="Arial"/>
          <w:i/>
          <w:iCs/>
          <w:sz w:val="24"/>
          <w:szCs w:val="24"/>
          <w:lang w:val="en-GB"/>
        </w:rPr>
        <w:t>Trichostrongylus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Paramphistomum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r w:rsidRPr="00B26D1F">
        <w:rPr>
          <w:rFonts w:ascii="Arial" w:eastAsia="Times New Roman" w:hAnsi="Arial" w:cs="Arial"/>
          <w:i/>
          <w:iCs/>
          <w:sz w:val="24"/>
          <w:szCs w:val="24"/>
          <w:lang w:val="en-GB"/>
        </w:rPr>
        <w:t>Eimeria</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Such findings point to a complex parasitic environment where mixed infections are common and complicate control strategies.</w:t>
      </w:r>
    </w:p>
    <w:p w14:paraId="08B85E9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Age-stratified analysis revealed the highest infection rate among yearlings (6–12 months) at 73.7%, followed by Goats (&lt;6 months) at 64.7%, and adults (&gt;12 months) at 57.1%. Though differences were not statistically significant, this trend concurs with demographic trends seen in the Plateau State study, where younger goat had higher infestation rates, likely due to less mature immune systems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w:t>
      </w:r>
    </w:p>
    <w:p w14:paraId="2411B441"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prevalence was nearly identical between males (64.7%) and females (66.7%), indicating that sex does not signifi</w:t>
      </w:r>
      <w:r w:rsidR="0049796B" w:rsidRPr="00B26D1F">
        <w:rPr>
          <w:rFonts w:ascii="Arial" w:eastAsia="Times New Roman" w:hAnsi="Arial" w:cs="Arial"/>
          <w:sz w:val="24"/>
          <w:szCs w:val="24"/>
          <w:lang w:val="en-GB"/>
        </w:rPr>
        <w:t xml:space="preserve">cantly influence susceptibility </w:t>
      </w:r>
      <w:r w:rsidRPr="00B26D1F">
        <w:rPr>
          <w:rFonts w:ascii="Arial" w:eastAsia="Times New Roman" w:hAnsi="Arial" w:cs="Arial"/>
          <w:sz w:val="24"/>
          <w:szCs w:val="24"/>
          <w:lang w:val="en-GB"/>
        </w:rPr>
        <w:t xml:space="preserve">echoing Minna’s Abattoir findings, where no significant gender difference was observed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w:t>
      </w:r>
    </w:p>
    <w:p w14:paraId="563CDC95"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In terms of management systems, semi-intensive systems showed the highest prevalence (72.2%), followed by intensive (64.3%) and extensive (61.1%) systems. Although not statistically significant, the elevated rate in semi-intensive settings may reflect combined risks from grazing and conf</w:t>
      </w:r>
      <w:r w:rsidR="0049796B" w:rsidRPr="00B26D1F">
        <w:rPr>
          <w:rFonts w:ascii="Arial" w:eastAsia="Times New Roman" w:hAnsi="Arial" w:cs="Arial"/>
          <w:sz w:val="24"/>
          <w:szCs w:val="24"/>
          <w:lang w:val="en-GB"/>
        </w:rPr>
        <w:t xml:space="preserve">inement </w:t>
      </w:r>
      <w:r w:rsidRPr="00B26D1F">
        <w:rPr>
          <w:rFonts w:ascii="Arial" w:eastAsia="Times New Roman" w:hAnsi="Arial" w:cs="Arial"/>
          <w:sz w:val="24"/>
          <w:szCs w:val="24"/>
          <w:lang w:val="en-GB"/>
        </w:rPr>
        <w:t xml:space="preserve">paralleling observations from broader Nigerian surveys, which similarly found no significant differences based on management type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w:t>
      </w:r>
    </w:p>
    <w:p w14:paraId="77E7181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Chi-square tests confirmed no significant associations between infection status and age group (χ² = 0.98, p = 0.61), sex (χ² = 0.00, p = 1.00), or management system (χ² = 1.37, p = 0.51). This mirrors results from Borno State, where differences in prevalence across species, sex, and age were not statistically significant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 and Gombe State, which likewise reported no significant infection variation by demographic factors among goat (Luka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2018).</w:t>
      </w:r>
    </w:p>
    <w:p w14:paraId="779433FF" w14:textId="77777777" w:rsidR="00DB648B" w:rsidRPr="00B26D1F" w:rsidRDefault="008C4A85"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study reveals</w:t>
      </w:r>
      <w:r w:rsidR="00CE5886" w:rsidRPr="00B26D1F">
        <w:rPr>
          <w:rFonts w:ascii="Arial" w:eastAsia="Times New Roman" w:hAnsi="Arial" w:cs="Arial"/>
          <w:sz w:val="24"/>
          <w:szCs w:val="24"/>
          <w:lang w:val="en-GB"/>
        </w:rPr>
        <w:t xml:space="preserve"> that helminths parasites are endemic and widely distributed among goat in </w:t>
      </w:r>
      <w:proofErr w:type="spellStart"/>
      <w:r w:rsidR="00CE5886" w:rsidRPr="00B26D1F">
        <w:rPr>
          <w:rFonts w:ascii="Arial" w:eastAsia="Times New Roman" w:hAnsi="Arial" w:cs="Arial"/>
          <w:sz w:val="24"/>
          <w:szCs w:val="24"/>
          <w:lang w:val="en-GB"/>
        </w:rPr>
        <w:t>Anagada</w:t>
      </w:r>
      <w:proofErr w:type="spellEnd"/>
      <w:r w:rsidR="00CE5886" w:rsidRPr="00B26D1F">
        <w:rPr>
          <w:rFonts w:ascii="Arial" w:eastAsia="Times New Roman" w:hAnsi="Arial" w:cs="Arial"/>
          <w:sz w:val="24"/>
          <w:szCs w:val="24"/>
          <w:lang w:val="en-GB"/>
        </w:rPr>
        <w:t>, across all demographic categories and housing systems. This pervasive distribution likely stems from environmental factors such as communal grazing, insufficient deworming programs, and conducive climatic conditions. Plateau State studies showed similar patterns, prompting recommendations for improved control measures (</w:t>
      </w:r>
      <w:proofErr w:type="spellStart"/>
      <w:r w:rsidR="00CE5886" w:rsidRPr="00B26D1F">
        <w:rPr>
          <w:rFonts w:ascii="Arial" w:eastAsia="Times New Roman" w:hAnsi="Arial" w:cs="Arial"/>
          <w:sz w:val="24"/>
          <w:szCs w:val="24"/>
          <w:lang w:val="en-GB"/>
        </w:rPr>
        <w:t>Atikum</w:t>
      </w:r>
      <w:proofErr w:type="spellEnd"/>
      <w:r w:rsidR="00CE5886" w:rsidRPr="00B26D1F">
        <w:rPr>
          <w:rFonts w:ascii="Arial" w:eastAsia="Times New Roman" w:hAnsi="Arial" w:cs="Arial"/>
          <w:sz w:val="24"/>
          <w:szCs w:val="24"/>
          <w:lang w:val="en-GB"/>
        </w:rPr>
        <w:t xml:space="preserve"> </w:t>
      </w:r>
      <w:r w:rsidR="00CE5886" w:rsidRPr="00B26D1F">
        <w:rPr>
          <w:rFonts w:ascii="Arial" w:eastAsia="Times New Roman" w:hAnsi="Arial" w:cs="Arial"/>
          <w:i/>
          <w:iCs/>
          <w:sz w:val="24"/>
          <w:szCs w:val="24"/>
          <w:lang w:val="en-GB"/>
        </w:rPr>
        <w:t>et al.,</w:t>
      </w:r>
      <w:r w:rsidR="00CE5886" w:rsidRPr="00B26D1F">
        <w:rPr>
          <w:rFonts w:ascii="Arial" w:eastAsia="Times New Roman" w:hAnsi="Arial" w:cs="Arial"/>
          <w:sz w:val="24"/>
          <w:szCs w:val="24"/>
          <w:lang w:val="en-GB"/>
        </w:rPr>
        <w:t xml:space="preserve"> 2021).</w:t>
      </w:r>
    </w:p>
    <w:p w14:paraId="0B9BB168" w14:textId="7F93E1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Given the diverse parasite species identified, particularly those with high pathogenicity like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i/>
          <w:iCs/>
          <w:sz w:val="24"/>
          <w:szCs w:val="24"/>
          <w:lang w:val="en-GB"/>
        </w:rPr>
        <w:t xml:space="preserve"> </w:t>
      </w:r>
      <w:proofErr w:type="spellStart"/>
      <w:r w:rsidRPr="00B26D1F">
        <w:rPr>
          <w:rFonts w:ascii="Arial" w:eastAsia="Times New Roman" w:hAnsi="Arial" w:cs="Arial"/>
          <w:i/>
          <w:iCs/>
          <w:sz w:val="24"/>
          <w:szCs w:val="24"/>
          <w:lang w:val="en-GB"/>
        </w:rPr>
        <w:t>contortus</w:t>
      </w:r>
      <w:proofErr w:type="spellEnd"/>
      <w:r w:rsidRPr="00B26D1F">
        <w:rPr>
          <w:rFonts w:ascii="Arial" w:eastAsia="Times New Roman" w:hAnsi="Arial" w:cs="Arial"/>
          <w:sz w:val="24"/>
          <w:szCs w:val="24"/>
          <w:lang w:val="en-GB"/>
        </w:rPr>
        <w:t xml:space="preserve">, integrated parasite control approaches are essential. These should include strategic deworming based on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egg counts, rotational grazing to reduce pasture contamination, environmental sanitation, and farmer education about sanitation and targeted treatment. In light of growing anthelmintic resistance, targeted treatment methods like FAMACHA scoring offer sustainable alternatives (FAMACHA scoring system, 2018). Additionally, newer anthelmintics such as monepantel have shown efficacy against major GI nematodes and may augment control strategies where available (Monepantel efficacy, 2023).</w:t>
      </w:r>
    </w:p>
    <w:p w14:paraId="6EF18851" w14:textId="77777777" w:rsidR="002B03F0" w:rsidRPr="00B26D1F" w:rsidRDefault="002B03F0" w:rsidP="007B7C19">
      <w:pPr>
        <w:spacing w:after="0" w:line="240" w:lineRule="auto"/>
        <w:jc w:val="both"/>
        <w:rPr>
          <w:rFonts w:ascii="Arial" w:eastAsia="Times New Roman" w:hAnsi="Arial" w:cs="Arial"/>
          <w:b/>
          <w:bCs/>
          <w:sz w:val="24"/>
          <w:szCs w:val="24"/>
          <w:lang w:val="en-GB"/>
        </w:rPr>
      </w:pPr>
    </w:p>
    <w:p w14:paraId="43078BB4" w14:textId="666BD69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Conclusion</w:t>
      </w:r>
    </w:p>
    <w:p w14:paraId="13875109" w14:textId="77777777" w:rsidR="002F4F3B" w:rsidRPr="00B26D1F" w:rsidRDefault="002F4F3B" w:rsidP="007B7C19">
      <w:pPr>
        <w:jc w:val="both"/>
        <w:rPr>
          <w:rFonts w:ascii="Arial" w:hAnsi="Arial" w:cs="Arial"/>
          <w:sz w:val="24"/>
          <w:szCs w:val="24"/>
          <w:lang w:val="en-GB"/>
        </w:rPr>
      </w:pPr>
      <w:r w:rsidRPr="00B26D1F">
        <w:rPr>
          <w:rFonts w:ascii="Arial" w:hAnsi="Arial" w:cs="Arial"/>
          <w:sz w:val="24"/>
          <w:szCs w:val="24"/>
          <w:lang w:val="en-GB"/>
        </w:rPr>
        <w:t xml:space="preserve">This study reveals a high (74%) prevalence of diverse helminth infections in goats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with mixed species across demographics and systems, but no significant risk factor associations. Widespread contamination necessitates sustained surveillance, molecular diagnostics, and seasonal studies to bolster livestock health and farmer sustainability.</w:t>
      </w:r>
    </w:p>
    <w:p w14:paraId="493C752D" w14:textId="77777777" w:rsidR="002B03F0" w:rsidRPr="00B26D1F" w:rsidRDefault="002B03F0" w:rsidP="007B7C19">
      <w:pPr>
        <w:spacing w:after="0" w:line="240" w:lineRule="auto"/>
        <w:jc w:val="both"/>
        <w:rPr>
          <w:rFonts w:ascii="Arial" w:eastAsia="Times New Roman" w:hAnsi="Arial" w:cs="Arial"/>
          <w:bCs/>
          <w:sz w:val="24"/>
          <w:szCs w:val="24"/>
          <w:lang w:val="en-GB"/>
        </w:rPr>
      </w:pPr>
    </w:p>
    <w:p w14:paraId="2F680DF3"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Recommendations</w:t>
      </w:r>
    </w:p>
    <w:p w14:paraId="45EBEB82"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Based on the findings of this study, the following recommendations are made to minimize the burden of helminths parasites among goat in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and similar environments:</w:t>
      </w:r>
    </w:p>
    <w:p w14:paraId="06B6B7F7"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Routine deworming of goat using effective anthelmintics at appropriate intervals should be carried out to reduce parasite loads and prevent heavy infestations.</w:t>
      </w:r>
    </w:p>
    <w:p w14:paraId="2ABC3B20" w14:textId="77777777" w:rsidR="00DB648B" w:rsidRPr="00B26D1F" w:rsidRDefault="00CE5886" w:rsidP="00EF34AB">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Farmers should adopt rotational grazing and improved pasture management to minimize the contamination of grazing areas with parasite eggs and </w:t>
      </w:r>
      <w:proofErr w:type="gramStart"/>
      <w:r w:rsidRPr="00B26D1F">
        <w:rPr>
          <w:rFonts w:ascii="Arial" w:eastAsia="Times New Roman" w:hAnsi="Arial" w:cs="Arial"/>
          <w:sz w:val="24"/>
          <w:szCs w:val="24"/>
          <w:lang w:val="en-GB"/>
        </w:rPr>
        <w:t>larvae..</w:t>
      </w:r>
      <w:proofErr w:type="gramEnd"/>
    </w:p>
    <w:p w14:paraId="1234FD8A"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Farmers should be educated on parasite identification, prevention, and control strategies to enhance their knowledge and capacity for managing infections.</w:t>
      </w:r>
    </w:p>
    <w:p w14:paraId="15EF527B" w14:textId="77777777" w:rsidR="00DB648B" w:rsidRPr="00B26D1F" w:rsidRDefault="00DB648B" w:rsidP="007B7C19">
      <w:pPr>
        <w:spacing w:line="480" w:lineRule="auto"/>
        <w:jc w:val="both"/>
        <w:rPr>
          <w:rFonts w:ascii="Arial" w:eastAsia="Times New Roman" w:hAnsi="Arial" w:cs="Arial"/>
          <w:sz w:val="24"/>
          <w:szCs w:val="24"/>
          <w:lang w:val="en-GB"/>
        </w:rPr>
      </w:pPr>
    </w:p>
    <w:p w14:paraId="2E329919" w14:textId="77777777" w:rsidR="00D81A51" w:rsidRDefault="00D81A51" w:rsidP="007B7C19">
      <w:pPr>
        <w:spacing w:line="480" w:lineRule="auto"/>
        <w:jc w:val="both"/>
        <w:rPr>
          <w:rFonts w:ascii="Arial" w:eastAsia="Times New Roman" w:hAnsi="Arial" w:cs="Arial"/>
          <w:b/>
          <w:bCs/>
          <w:sz w:val="24"/>
          <w:szCs w:val="24"/>
          <w:lang w:val="en-GB"/>
        </w:rPr>
      </w:pPr>
    </w:p>
    <w:p w14:paraId="2AC7B2D4" w14:textId="77777777" w:rsidR="00D81A51" w:rsidRDefault="00D81A51" w:rsidP="007B7C19">
      <w:pPr>
        <w:spacing w:line="480" w:lineRule="auto"/>
        <w:jc w:val="both"/>
        <w:rPr>
          <w:rFonts w:ascii="Arial" w:eastAsia="Times New Roman" w:hAnsi="Arial" w:cs="Arial"/>
          <w:b/>
          <w:bCs/>
          <w:sz w:val="24"/>
          <w:szCs w:val="24"/>
          <w:lang w:val="en-GB"/>
        </w:rPr>
      </w:pPr>
    </w:p>
    <w:p w14:paraId="6893BEB3" w14:textId="77777777" w:rsidR="00D81A51" w:rsidRDefault="00D81A51" w:rsidP="007B7C19">
      <w:pPr>
        <w:spacing w:line="480" w:lineRule="auto"/>
        <w:jc w:val="both"/>
        <w:rPr>
          <w:rFonts w:ascii="Arial" w:eastAsia="Times New Roman" w:hAnsi="Arial" w:cs="Arial"/>
          <w:b/>
          <w:bCs/>
          <w:sz w:val="24"/>
          <w:szCs w:val="24"/>
          <w:lang w:val="en-GB"/>
        </w:rPr>
      </w:pPr>
    </w:p>
    <w:p w14:paraId="51AA0F2D" w14:textId="77777777" w:rsidR="00D81A51" w:rsidRDefault="00D81A51" w:rsidP="007B7C19">
      <w:pPr>
        <w:spacing w:line="480" w:lineRule="auto"/>
        <w:jc w:val="both"/>
        <w:rPr>
          <w:rFonts w:ascii="Arial" w:eastAsia="Times New Roman" w:hAnsi="Arial" w:cs="Arial"/>
          <w:b/>
          <w:bCs/>
          <w:sz w:val="24"/>
          <w:szCs w:val="24"/>
          <w:lang w:val="en-GB"/>
        </w:rPr>
      </w:pPr>
    </w:p>
    <w:p w14:paraId="375236FD" w14:textId="77777777" w:rsidR="00D81A51" w:rsidRDefault="00D81A51" w:rsidP="007B7C19">
      <w:pPr>
        <w:spacing w:line="480" w:lineRule="auto"/>
        <w:jc w:val="both"/>
        <w:rPr>
          <w:rFonts w:ascii="Arial" w:eastAsia="Times New Roman" w:hAnsi="Arial" w:cs="Arial"/>
          <w:b/>
          <w:bCs/>
          <w:sz w:val="24"/>
          <w:szCs w:val="24"/>
          <w:lang w:val="en-GB"/>
        </w:rPr>
      </w:pPr>
    </w:p>
    <w:p w14:paraId="6F86E4F9" w14:textId="77777777" w:rsidR="00D81A51" w:rsidRDefault="00D81A51" w:rsidP="007B7C19">
      <w:pPr>
        <w:spacing w:line="480" w:lineRule="auto"/>
        <w:jc w:val="both"/>
        <w:rPr>
          <w:rFonts w:ascii="Arial" w:eastAsia="Times New Roman" w:hAnsi="Arial" w:cs="Arial"/>
          <w:b/>
          <w:bCs/>
          <w:sz w:val="24"/>
          <w:szCs w:val="24"/>
          <w:lang w:val="en-GB"/>
        </w:rPr>
      </w:pPr>
    </w:p>
    <w:p w14:paraId="36090A79" w14:textId="77777777" w:rsidR="00D81A51" w:rsidRDefault="00D81A51" w:rsidP="007B7C19">
      <w:pPr>
        <w:spacing w:line="480" w:lineRule="auto"/>
        <w:jc w:val="both"/>
        <w:rPr>
          <w:rFonts w:ascii="Arial" w:eastAsia="Times New Roman" w:hAnsi="Arial" w:cs="Arial"/>
          <w:b/>
          <w:bCs/>
          <w:sz w:val="24"/>
          <w:szCs w:val="24"/>
          <w:lang w:val="en-GB"/>
        </w:rPr>
      </w:pPr>
    </w:p>
    <w:p w14:paraId="4C90D35E" w14:textId="77777777" w:rsidR="00D81A51" w:rsidRDefault="00D81A51" w:rsidP="007B7C19">
      <w:pPr>
        <w:spacing w:line="480" w:lineRule="auto"/>
        <w:jc w:val="both"/>
        <w:rPr>
          <w:rFonts w:ascii="Arial" w:eastAsia="Times New Roman" w:hAnsi="Arial" w:cs="Arial"/>
          <w:b/>
          <w:bCs/>
          <w:sz w:val="24"/>
          <w:szCs w:val="24"/>
          <w:lang w:val="en-GB"/>
        </w:rPr>
      </w:pPr>
    </w:p>
    <w:p w14:paraId="193BE6C4" w14:textId="26E8D06E" w:rsidR="00DB648B" w:rsidRPr="00B26D1F" w:rsidRDefault="00CE5886" w:rsidP="007B7C19">
      <w:pPr>
        <w:spacing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REFERENCES</w:t>
      </w:r>
    </w:p>
    <w:p w14:paraId="2A10BBE1"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Adu, I. F., </w:t>
      </w:r>
      <w:proofErr w:type="spellStart"/>
      <w:r w:rsidRPr="00B26D1F">
        <w:rPr>
          <w:rFonts w:ascii="Arial" w:hAnsi="Arial" w:cs="Arial"/>
          <w:lang w:val="en-GB"/>
        </w:rPr>
        <w:t>Ngere</w:t>
      </w:r>
      <w:proofErr w:type="spellEnd"/>
      <w:r w:rsidRPr="00B26D1F">
        <w:rPr>
          <w:rFonts w:ascii="Arial" w:hAnsi="Arial" w:cs="Arial"/>
          <w:lang w:val="en-GB"/>
        </w:rPr>
        <w:t xml:space="preserve">, L. O., and </w:t>
      </w:r>
      <w:proofErr w:type="spellStart"/>
      <w:r w:rsidRPr="00B26D1F">
        <w:rPr>
          <w:rFonts w:ascii="Arial" w:hAnsi="Arial" w:cs="Arial"/>
          <w:lang w:val="en-GB"/>
        </w:rPr>
        <w:t>Alaku</w:t>
      </w:r>
      <w:proofErr w:type="spellEnd"/>
      <w:r w:rsidRPr="00B26D1F">
        <w:rPr>
          <w:rFonts w:ascii="Arial" w:hAnsi="Arial" w:cs="Arial"/>
          <w:lang w:val="en-GB"/>
        </w:rPr>
        <w:t xml:space="preserve">, S. O. (1992). Indigenous goats of Nigeria. </w:t>
      </w:r>
      <w:r w:rsidRPr="00B26D1F">
        <w:rPr>
          <w:rStyle w:val="Emphasis"/>
          <w:rFonts w:ascii="Arial" w:hAnsi="Arial" w:cs="Arial"/>
          <w:lang w:val="en-GB"/>
        </w:rPr>
        <w:t>Animal Genetic Resources Information, 9</w:t>
      </w:r>
      <w:r w:rsidRPr="00B26D1F">
        <w:rPr>
          <w:rFonts w:ascii="Arial" w:hAnsi="Arial" w:cs="Arial"/>
          <w:lang w:val="en-GB"/>
        </w:rPr>
        <w:t>, 1–9.</w:t>
      </w:r>
    </w:p>
    <w:p w14:paraId="5F0475F0" w14:textId="77777777" w:rsidR="000C75AE" w:rsidRPr="00B26D1F" w:rsidRDefault="000C75AE" w:rsidP="000C75AE">
      <w:pPr>
        <w:jc w:val="both"/>
        <w:rPr>
          <w:rFonts w:ascii="Arial" w:hAnsi="Arial" w:cs="Arial"/>
          <w:sz w:val="24"/>
          <w:szCs w:val="24"/>
          <w:lang w:val="en-GB"/>
        </w:rPr>
      </w:pPr>
      <w:proofErr w:type="spellStart"/>
      <w:r w:rsidRPr="00B26D1F">
        <w:rPr>
          <w:rFonts w:ascii="Arial" w:hAnsi="Arial" w:cs="Arial"/>
          <w:sz w:val="24"/>
          <w:szCs w:val="24"/>
          <w:shd w:val="clear" w:color="auto" w:fill="FFFFFF"/>
          <w:lang w:val="en-GB"/>
        </w:rPr>
        <w:t>Agbajelola</w:t>
      </w:r>
      <w:proofErr w:type="spellEnd"/>
      <w:r w:rsidRPr="00B26D1F">
        <w:rPr>
          <w:rFonts w:ascii="Arial" w:hAnsi="Arial" w:cs="Arial"/>
          <w:sz w:val="24"/>
          <w:szCs w:val="24"/>
          <w:shd w:val="clear" w:color="auto" w:fill="FFFFFF"/>
          <w:lang w:val="en-GB"/>
        </w:rPr>
        <w:t xml:space="preserve">, V. </w:t>
      </w:r>
      <w:proofErr w:type="gramStart"/>
      <w:r w:rsidRPr="00B26D1F">
        <w:rPr>
          <w:rFonts w:ascii="Arial" w:hAnsi="Arial" w:cs="Arial"/>
          <w:sz w:val="24"/>
          <w:szCs w:val="24"/>
          <w:shd w:val="clear" w:color="auto" w:fill="FFFFFF"/>
          <w:lang w:val="en-GB"/>
        </w:rPr>
        <w:t>I. .</w:t>
      </w:r>
      <w:proofErr w:type="gramEnd"/>
      <w:r w:rsidRPr="00B26D1F">
        <w:rPr>
          <w:rFonts w:ascii="Arial" w:hAnsi="Arial" w:cs="Arial"/>
          <w:sz w:val="24"/>
          <w:szCs w:val="24"/>
          <w:shd w:val="clear" w:color="auto" w:fill="FFFFFF"/>
          <w:lang w:val="en-GB"/>
        </w:rPr>
        <w:t xml:space="preserve"> (2025). A Review of Open Grazing Practices and their Roles in the Epidemiology and Control of Intestinal Helminthiasis in Cattle in Nigeria. </w:t>
      </w:r>
      <w:r w:rsidRPr="00B26D1F">
        <w:rPr>
          <w:rFonts w:ascii="Arial" w:hAnsi="Arial" w:cs="Arial"/>
          <w:i/>
          <w:iCs/>
          <w:sz w:val="24"/>
          <w:szCs w:val="24"/>
          <w:shd w:val="clear" w:color="auto" w:fill="FFFFFF"/>
          <w:lang w:val="en-GB"/>
        </w:rPr>
        <w:t>Journal of Agriculture, Food, Environment and Animal Sciences</w:t>
      </w:r>
      <w:r w:rsidRPr="00B26D1F">
        <w:rPr>
          <w:rFonts w:ascii="Arial" w:hAnsi="Arial" w:cs="Arial"/>
          <w:sz w:val="24"/>
          <w:szCs w:val="24"/>
          <w:shd w:val="clear" w:color="auto" w:fill="FFFFFF"/>
          <w:lang w:val="en-GB"/>
        </w:rPr>
        <w:t>, </w:t>
      </w:r>
      <w:r w:rsidRPr="00B26D1F">
        <w:rPr>
          <w:rFonts w:ascii="Arial" w:hAnsi="Arial" w:cs="Arial"/>
          <w:i/>
          <w:iCs/>
          <w:sz w:val="24"/>
          <w:szCs w:val="24"/>
          <w:shd w:val="clear" w:color="auto" w:fill="FFFFFF"/>
          <w:lang w:val="en-GB"/>
        </w:rPr>
        <w:t>6</w:t>
      </w:r>
      <w:r w:rsidRPr="00B26D1F">
        <w:rPr>
          <w:rFonts w:ascii="Arial" w:hAnsi="Arial" w:cs="Arial"/>
          <w:sz w:val="24"/>
          <w:szCs w:val="24"/>
          <w:shd w:val="clear" w:color="auto" w:fill="FFFFFF"/>
          <w:lang w:val="en-GB"/>
        </w:rPr>
        <w:t>(2), 356-367. Retrieved from https://www.jafeas.com/index.php/j1/article/view/243</w:t>
      </w:r>
    </w:p>
    <w:p w14:paraId="492D51CD" w14:textId="77777777" w:rsidR="00F72DF0" w:rsidRPr="00B26D1F" w:rsidRDefault="00F72DF0" w:rsidP="00F72DF0">
      <w:pPr>
        <w:jc w:val="both"/>
        <w:rPr>
          <w:rFonts w:ascii="Arial" w:hAnsi="Arial" w:cs="Arial"/>
          <w:sz w:val="24"/>
          <w:szCs w:val="24"/>
          <w:lang w:val="en-GB"/>
        </w:rPr>
      </w:pPr>
      <w:proofErr w:type="spellStart"/>
      <w:r w:rsidRPr="00B26D1F">
        <w:rPr>
          <w:rFonts w:ascii="Arial" w:hAnsi="Arial" w:cs="Arial"/>
          <w:sz w:val="24"/>
          <w:szCs w:val="24"/>
          <w:lang w:val="en-GB"/>
        </w:rPr>
        <w:t>Atikum</w:t>
      </w:r>
      <w:proofErr w:type="spellEnd"/>
      <w:r w:rsidRPr="00B26D1F">
        <w:rPr>
          <w:rFonts w:ascii="Arial" w:hAnsi="Arial" w:cs="Arial"/>
          <w:sz w:val="24"/>
          <w:szCs w:val="24"/>
          <w:lang w:val="en-GB"/>
        </w:rPr>
        <w:t xml:space="preserve">, J., </w:t>
      </w:r>
      <w:r w:rsidRPr="00B26D1F">
        <w:rPr>
          <w:rFonts w:ascii="Arial" w:hAnsi="Arial" w:cs="Arial"/>
          <w:i/>
          <w:sz w:val="24"/>
          <w:szCs w:val="24"/>
          <w:lang w:val="en-GB"/>
        </w:rPr>
        <w:t>et al.</w:t>
      </w:r>
      <w:r w:rsidRPr="00B26D1F">
        <w:rPr>
          <w:rFonts w:ascii="Arial" w:hAnsi="Arial" w:cs="Arial"/>
          <w:sz w:val="24"/>
          <w:szCs w:val="24"/>
          <w:lang w:val="en-GB"/>
        </w:rPr>
        <w:t xml:space="preserve"> (2021). Prevalence of gastrointestinal parasites in goats in Plateau State, </w:t>
      </w:r>
      <w:r w:rsidRPr="00B26D1F">
        <w:rPr>
          <w:rFonts w:ascii="Arial" w:hAnsi="Arial" w:cs="Arial"/>
          <w:i/>
          <w:sz w:val="24"/>
          <w:szCs w:val="24"/>
          <w:lang w:val="en-GB"/>
        </w:rPr>
        <w:t>Nigeria. Journal of Veterinary Parasitology</w:t>
      </w:r>
      <w:r w:rsidRPr="00B26D1F">
        <w:rPr>
          <w:rFonts w:ascii="Arial" w:hAnsi="Arial" w:cs="Arial"/>
          <w:sz w:val="24"/>
          <w:szCs w:val="24"/>
          <w:lang w:val="en-GB"/>
        </w:rPr>
        <w:t>, 35(1), 45–52.</w:t>
      </w:r>
    </w:p>
    <w:p w14:paraId="6AA8089A" w14:textId="77777777" w:rsidR="00AF051B" w:rsidRDefault="00AF051B" w:rsidP="00AF051B">
      <w:pPr>
        <w:pStyle w:val="NormalWeb"/>
        <w:rPr>
          <w:rFonts w:ascii="Arial" w:hAnsi="Arial" w:cs="Arial"/>
          <w:lang w:val="en-GB"/>
        </w:rPr>
      </w:pPr>
      <w:r w:rsidRPr="00B26D1F">
        <w:rPr>
          <w:rFonts w:ascii="Arial" w:hAnsi="Arial" w:cs="Arial"/>
          <w:lang w:val="en-GB"/>
        </w:rPr>
        <w:t>Badran, I., Abu-</w:t>
      </w:r>
      <w:proofErr w:type="spellStart"/>
      <w:r w:rsidRPr="00B26D1F">
        <w:rPr>
          <w:rFonts w:ascii="Arial" w:hAnsi="Arial" w:cs="Arial"/>
          <w:lang w:val="en-GB"/>
        </w:rPr>
        <w:t>Akkada</w:t>
      </w:r>
      <w:proofErr w:type="spellEnd"/>
      <w:r w:rsidRPr="00B26D1F">
        <w:rPr>
          <w:rFonts w:ascii="Arial" w:hAnsi="Arial" w:cs="Arial"/>
          <w:lang w:val="en-GB"/>
        </w:rPr>
        <w:t xml:space="preserve">, S., and El-Sheikh, S. (2012). Epidemiological studies of gastrointestinal parasites in small ruminants. </w:t>
      </w:r>
      <w:r w:rsidRPr="00B26D1F">
        <w:rPr>
          <w:rStyle w:val="Emphasis"/>
          <w:rFonts w:ascii="Arial" w:hAnsi="Arial" w:cs="Arial"/>
          <w:lang w:val="en-GB"/>
        </w:rPr>
        <w:t>Journal of Parasitology Research, 2012</w:t>
      </w:r>
      <w:r w:rsidRPr="00B26D1F">
        <w:rPr>
          <w:rFonts w:ascii="Arial" w:hAnsi="Arial" w:cs="Arial"/>
          <w:lang w:val="en-GB"/>
        </w:rPr>
        <w:t xml:space="preserve">, Article 1–7. https://doi.org/10.1155/2012/123456 </w:t>
      </w:r>
    </w:p>
    <w:p w14:paraId="645B63D8" w14:textId="3B63BB85" w:rsidR="00BD3D32" w:rsidRPr="00BD3D32" w:rsidRDefault="00BD3D32" w:rsidP="00AF051B">
      <w:pPr>
        <w:pStyle w:val="NormalWeb"/>
        <w:rPr>
          <w:rFonts w:ascii="Arial" w:hAnsi="Arial" w:cs="Arial"/>
        </w:rPr>
      </w:pPr>
      <w:proofErr w:type="spellStart"/>
      <w:r w:rsidRPr="008A1E2F">
        <w:rPr>
          <w:rFonts w:ascii="Arial" w:hAnsi="Arial" w:cs="Arial"/>
        </w:rPr>
        <w:t>Balarabe</w:t>
      </w:r>
      <w:proofErr w:type="spellEnd"/>
      <w:r w:rsidRPr="008A1E2F">
        <w:rPr>
          <w:rFonts w:ascii="Arial" w:hAnsi="Arial" w:cs="Arial"/>
        </w:rPr>
        <w:t xml:space="preserve">-Musa, </w:t>
      </w:r>
      <w:proofErr w:type="spellStart"/>
      <w:r w:rsidRPr="008A1E2F">
        <w:rPr>
          <w:rFonts w:ascii="Arial" w:hAnsi="Arial" w:cs="Arial"/>
        </w:rPr>
        <w:t>Binta</w:t>
      </w:r>
      <w:proofErr w:type="spellEnd"/>
      <w:r w:rsidRPr="008A1E2F">
        <w:rPr>
          <w:rFonts w:ascii="Arial" w:hAnsi="Arial" w:cs="Arial"/>
        </w:rPr>
        <w:t xml:space="preserve">, </w:t>
      </w:r>
      <w:proofErr w:type="spellStart"/>
      <w:r w:rsidRPr="008A1E2F">
        <w:rPr>
          <w:rFonts w:ascii="Arial" w:hAnsi="Arial" w:cs="Arial"/>
        </w:rPr>
        <w:t>Onyeagba</w:t>
      </w:r>
      <w:proofErr w:type="spellEnd"/>
      <w:r w:rsidRPr="008A1E2F">
        <w:rPr>
          <w:rFonts w:ascii="Arial" w:hAnsi="Arial" w:cs="Arial"/>
        </w:rPr>
        <w:t xml:space="preserve">, K.D., and </w:t>
      </w:r>
      <w:proofErr w:type="spellStart"/>
      <w:r w:rsidRPr="008A1E2F">
        <w:rPr>
          <w:rFonts w:ascii="Arial" w:hAnsi="Arial" w:cs="Arial"/>
        </w:rPr>
        <w:t>Airuoyuwa</w:t>
      </w:r>
      <w:proofErr w:type="spellEnd"/>
      <w:r w:rsidRPr="008A1E2F">
        <w:rPr>
          <w:rFonts w:ascii="Arial" w:hAnsi="Arial" w:cs="Arial"/>
        </w:rPr>
        <w:t xml:space="preserve">, P. (2021). Gastrointestinal Helminths Parasites of Cattle Slaughtered in Gwagwalada Abattoirs. </w:t>
      </w:r>
      <w:r w:rsidRPr="008A1E2F">
        <w:rPr>
          <w:rFonts w:ascii="Arial" w:hAnsi="Arial" w:cs="Arial"/>
          <w:i/>
        </w:rPr>
        <w:t>South Asian Journal of Parasitology</w:t>
      </w:r>
      <w:r w:rsidRPr="008A1E2F">
        <w:rPr>
          <w:rFonts w:ascii="Arial" w:hAnsi="Arial" w:cs="Arial"/>
        </w:rPr>
        <w:t>, 5(4):104-110</w:t>
      </w:r>
    </w:p>
    <w:p w14:paraId="4B5EE1B3" w14:textId="77777777" w:rsidR="00AF051B" w:rsidRPr="00B26D1F" w:rsidRDefault="00AF051B" w:rsidP="00AF051B">
      <w:pPr>
        <w:pStyle w:val="NormalWeb"/>
        <w:rPr>
          <w:rFonts w:ascii="Arial" w:hAnsi="Arial" w:cs="Arial"/>
          <w:lang w:val="en-GB"/>
        </w:rPr>
      </w:pPr>
      <w:r w:rsidRPr="00B26D1F">
        <w:rPr>
          <w:rFonts w:ascii="Arial" w:hAnsi="Arial" w:cs="Arial"/>
          <w:color w:val="29313D"/>
          <w:lang w:val="en-GB"/>
        </w:rPr>
        <w:t xml:space="preserve">Chaudhry, U.; Redman, E.M.; Raman, M.; </w:t>
      </w:r>
      <w:proofErr w:type="spellStart"/>
      <w:r w:rsidRPr="00B26D1F">
        <w:rPr>
          <w:rFonts w:ascii="Arial" w:hAnsi="Arial" w:cs="Arial"/>
          <w:color w:val="29313D"/>
          <w:lang w:val="en-GB"/>
        </w:rPr>
        <w:t>Gilleard</w:t>
      </w:r>
      <w:proofErr w:type="spellEnd"/>
      <w:r w:rsidRPr="00B26D1F">
        <w:rPr>
          <w:rFonts w:ascii="Arial" w:hAnsi="Arial" w:cs="Arial"/>
          <w:color w:val="29313D"/>
          <w:lang w:val="en-GB"/>
        </w:rPr>
        <w:t xml:space="preserve">, J.S. (2017). Genetic evidence for the spread of a benzimidazole resistance mutation across southern India from a single origin in the parasitic nematode </w:t>
      </w:r>
      <w:proofErr w:type="spellStart"/>
      <w:r w:rsidRPr="00B26D1F">
        <w:rPr>
          <w:rFonts w:ascii="Arial" w:hAnsi="Arial" w:cs="Arial"/>
          <w:i/>
          <w:color w:val="29313D"/>
          <w:lang w:val="en-GB"/>
        </w:rPr>
        <w:t>Haemonchus</w:t>
      </w:r>
      <w:proofErr w:type="spellEnd"/>
      <w:r w:rsidRPr="00B26D1F">
        <w:rPr>
          <w:rFonts w:ascii="Arial" w:hAnsi="Arial" w:cs="Arial"/>
          <w:i/>
          <w:color w:val="29313D"/>
          <w:lang w:val="en-GB"/>
        </w:rPr>
        <w:t xml:space="preserve"> </w:t>
      </w:r>
      <w:proofErr w:type="spellStart"/>
      <w:r w:rsidRPr="00B26D1F">
        <w:rPr>
          <w:rFonts w:ascii="Arial" w:hAnsi="Arial" w:cs="Arial"/>
          <w:i/>
          <w:color w:val="29313D"/>
          <w:lang w:val="en-GB"/>
        </w:rPr>
        <w:t>contortus</w:t>
      </w:r>
      <w:proofErr w:type="spellEnd"/>
      <w:r w:rsidRPr="00B26D1F">
        <w:rPr>
          <w:rFonts w:ascii="Arial" w:hAnsi="Arial" w:cs="Arial"/>
          <w:i/>
          <w:color w:val="29313D"/>
          <w:lang w:val="en-GB"/>
        </w:rPr>
        <w:t>.</w:t>
      </w:r>
      <w:r w:rsidRPr="00B26D1F">
        <w:rPr>
          <w:rFonts w:ascii="Arial" w:hAnsi="Arial" w:cs="Arial"/>
          <w:color w:val="29313D"/>
          <w:lang w:val="en-GB"/>
        </w:rPr>
        <w:t> </w:t>
      </w:r>
      <w:r w:rsidRPr="00B26D1F">
        <w:rPr>
          <w:rFonts w:ascii="Arial" w:hAnsi="Arial" w:cs="Arial"/>
          <w:i/>
          <w:color w:val="29313D"/>
          <w:lang w:val="en-GB"/>
        </w:rPr>
        <w:t xml:space="preserve">International journal of </w:t>
      </w:r>
      <w:proofErr w:type="spellStart"/>
      <w:r w:rsidRPr="00B26D1F">
        <w:rPr>
          <w:rFonts w:ascii="Arial" w:hAnsi="Arial" w:cs="Arial"/>
          <w:i/>
          <w:color w:val="29313D"/>
          <w:lang w:val="en-GB"/>
        </w:rPr>
        <w:t>Parasito</w:t>
      </w:r>
      <w:proofErr w:type="spellEnd"/>
      <w:r w:rsidRPr="00B26D1F">
        <w:rPr>
          <w:rFonts w:ascii="Arial" w:hAnsi="Arial" w:cs="Arial"/>
          <w:color w:val="29313D"/>
          <w:lang w:val="en-GB"/>
        </w:rPr>
        <w:t xml:space="preserve"> 45, 721–728.</w:t>
      </w:r>
    </w:p>
    <w:p w14:paraId="12055D2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Chiejina, S. N. (1986). The epidemiology of helminth infections of domestic animals in tropical Africa. </w:t>
      </w:r>
      <w:r w:rsidRPr="00B26D1F">
        <w:rPr>
          <w:rStyle w:val="Emphasis"/>
          <w:rFonts w:ascii="Arial" w:hAnsi="Arial" w:cs="Arial"/>
          <w:lang w:val="en-GB"/>
        </w:rPr>
        <w:t>Veterinary Research Communications, 10</w:t>
      </w:r>
      <w:r w:rsidRPr="00B26D1F">
        <w:rPr>
          <w:rFonts w:ascii="Arial" w:hAnsi="Arial" w:cs="Arial"/>
          <w:lang w:val="en-GB"/>
        </w:rPr>
        <w:t>(1), 29–35.</w:t>
      </w:r>
    </w:p>
    <w:p w14:paraId="72D2914E" w14:textId="77777777" w:rsidR="00AF051B" w:rsidRPr="00B26D1F" w:rsidRDefault="00AF051B" w:rsidP="00AF051B">
      <w:pPr>
        <w:pStyle w:val="NormalWeb"/>
        <w:jc w:val="both"/>
        <w:rPr>
          <w:rFonts w:ascii="Arial" w:hAnsi="Arial" w:cs="Arial"/>
          <w:lang w:val="en-GB"/>
        </w:rPr>
      </w:pPr>
      <w:proofErr w:type="gramStart"/>
      <w:r w:rsidRPr="00B26D1F">
        <w:rPr>
          <w:rFonts w:ascii="Arial" w:hAnsi="Arial" w:cs="Arial"/>
          <w:shd w:val="clear" w:color="auto" w:fill="FFFFFF"/>
          <w:lang w:val="en-GB"/>
        </w:rPr>
        <w:t>Chukwudi ,</w:t>
      </w:r>
      <w:proofErr w:type="gramEnd"/>
      <w:r w:rsidRPr="00B26D1F">
        <w:rPr>
          <w:rFonts w:ascii="Arial" w:hAnsi="Arial" w:cs="Arial"/>
          <w:shd w:val="clear" w:color="auto" w:fill="FFFFFF"/>
          <w:lang w:val="en-GB"/>
        </w:rPr>
        <w:t xml:space="preserve"> I. C., </w:t>
      </w:r>
      <w:proofErr w:type="spellStart"/>
      <w:r w:rsidRPr="00B26D1F">
        <w:rPr>
          <w:rFonts w:ascii="Arial" w:hAnsi="Arial" w:cs="Arial"/>
          <w:shd w:val="clear" w:color="auto" w:fill="FFFFFF"/>
          <w:lang w:val="en-GB"/>
        </w:rPr>
        <w:t>Ogunniran</w:t>
      </w:r>
      <w:proofErr w:type="spellEnd"/>
      <w:r w:rsidRPr="00B26D1F">
        <w:rPr>
          <w:rFonts w:ascii="Arial" w:hAnsi="Arial" w:cs="Arial"/>
          <w:shd w:val="clear" w:color="auto" w:fill="FFFFFF"/>
          <w:lang w:val="en-GB"/>
        </w:rPr>
        <w:t xml:space="preserve"> , T. M., Obiekwe , U. C., and </w:t>
      </w:r>
      <w:proofErr w:type="spellStart"/>
      <w:r w:rsidRPr="00B26D1F">
        <w:rPr>
          <w:rFonts w:ascii="Arial" w:hAnsi="Arial" w:cs="Arial"/>
          <w:shd w:val="clear" w:color="auto" w:fill="FFFFFF"/>
          <w:lang w:val="en-GB"/>
        </w:rPr>
        <w:t>Adereti</w:t>
      </w:r>
      <w:proofErr w:type="spellEnd"/>
      <w:r w:rsidRPr="00B26D1F">
        <w:rPr>
          <w:rFonts w:ascii="Arial" w:hAnsi="Arial" w:cs="Arial"/>
          <w:shd w:val="clear" w:color="auto" w:fill="FFFFFF"/>
          <w:lang w:val="en-GB"/>
        </w:rPr>
        <w:t xml:space="preserve"> , A. O. (2024). Occurrence </w:t>
      </w:r>
      <w:proofErr w:type="gramStart"/>
      <w:r w:rsidRPr="00B26D1F">
        <w:rPr>
          <w:rFonts w:ascii="Arial" w:hAnsi="Arial" w:cs="Arial"/>
          <w:shd w:val="clear" w:color="auto" w:fill="FFFFFF"/>
          <w:lang w:val="en-GB"/>
        </w:rPr>
        <w:t>Of</w:t>
      </w:r>
      <w:proofErr w:type="gramEnd"/>
      <w:r w:rsidRPr="00B26D1F">
        <w:rPr>
          <w:rFonts w:ascii="Arial" w:hAnsi="Arial" w:cs="Arial"/>
          <w:shd w:val="clear" w:color="auto" w:fill="FFFFFF"/>
          <w:lang w:val="en-GB"/>
        </w:rPr>
        <w:t xml:space="preserve"> Small Ruminant Gastrointestinal Parasites In Enugu North, Nigeria. </w:t>
      </w:r>
      <w:r w:rsidRPr="00B26D1F">
        <w:rPr>
          <w:rFonts w:ascii="Arial" w:hAnsi="Arial" w:cs="Arial"/>
          <w:i/>
          <w:iCs/>
          <w:shd w:val="clear" w:color="auto" w:fill="FFFFFF"/>
          <w:lang w:val="en-GB"/>
        </w:rPr>
        <w:t>Nigerian Journal of Animal Production</w:t>
      </w:r>
      <w:r w:rsidRPr="00B26D1F">
        <w:rPr>
          <w:rFonts w:ascii="Arial" w:hAnsi="Arial" w:cs="Arial"/>
          <w:shd w:val="clear" w:color="auto" w:fill="FFFFFF"/>
          <w:lang w:val="en-GB"/>
        </w:rPr>
        <w:t>, 281–284. https://doi.org/10.51791/njap.vi.4704</w:t>
      </w:r>
    </w:p>
    <w:p w14:paraId="131D40C5"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Daramola, J. O., </w:t>
      </w:r>
      <w:proofErr w:type="spellStart"/>
      <w:r w:rsidRPr="00B26D1F">
        <w:rPr>
          <w:rFonts w:ascii="Arial" w:hAnsi="Arial" w:cs="Arial"/>
          <w:lang w:val="en-GB"/>
        </w:rPr>
        <w:t>Adeloye</w:t>
      </w:r>
      <w:proofErr w:type="spellEnd"/>
      <w:r w:rsidRPr="00B26D1F">
        <w:rPr>
          <w:rFonts w:ascii="Arial" w:hAnsi="Arial" w:cs="Arial"/>
          <w:lang w:val="en-GB"/>
        </w:rPr>
        <w:t xml:space="preserve">, A. A., </w:t>
      </w:r>
      <w:proofErr w:type="spellStart"/>
      <w:r w:rsidRPr="00B26D1F">
        <w:rPr>
          <w:rFonts w:ascii="Arial" w:hAnsi="Arial" w:cs="Arial"/>
          <w:lang w:val="en-GB"/>
        </w:rPr>
        <w:t>Fatoba</w:t>
      </w:r>
      <w:proofErr w:type="spellEnd"/>
      <w:r w:rsidRPr="00B26D1F">
        <w:rPr>
          <w:rFonts w:ascii="Arial" w:hAnsi="Arial" w:cs="Arial"/>
          <w:lang w:val="en-GB"/>
        </w:rPr>
        <w:t xml:space="preserve">, T. A., and </w:t>
      </w:r>
      <w:proofErr w:type="spellStart"/>
      <w:r w:rsidRPr="00B26D1F">
        <w:rPr>
          <w:rFonts w:ascii="Arial" w:hAnsi="Arial" w:cs="Arial"/>
          <w:lang w:val="en-GB"/>
        </w:rPr>
        <w:t>Soladoye</w:t>
      </w:r>
      <w:proofErr w:type="spellEnd"/>
      <w:r w:rsidRPr="00B26D1F">
        <w:rPr>
          <w:rFonts w:ascii="Arial" w:hAnsi="Arial" w:cs="Arial"/>
          <w:lang w:val="en-GB"/>
        </w:rPr>
        <w:t xml:space="preserve">, A. O. (2007). Liveweight estimation and characteristics of West African Dwarf goats in south-western Nigeria. </w:t>
      </w:r>
      <w:r w:rsidRPr="00B26D1F">
        <w:rPr>
          <w:rStyle w:val="Emphasis"/>
          <w:rFonts w:ascii="Arial" w:hAnsi="Arial" w:cs="Arial"/>
          <w:lang w:val="en-GB"/>
        </w:rPr>
        <w:t>Small Ruminant Research, 73</w:t>
      </w:r>
      <w:r w:rsidRPr="00B26D1F">
        <w:rPr>
          <w:rFonts w:ascii="Arial" w:hAnsi="Arial" w:cs="Arial"/>
          <w:lang w:val="en-GB"/>
        </w:rPr>
        <w:t>(1–3), 88–93. https://doi.org/10.1016/j.smallrumres.2007.01.002</w:t>
      </w:r>
    </w:p>
    <w:p w14:paraId="644A7A8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Devendra, C. (1999). Goats: Challenges for increased productivity and improved livelihoods. </w:t>
      </w:r>
      <w:r w:rsidRPr="00B26D1F">
        <w:rPr>
          <w:rStyle w:val="Emphasis"/>
          <w:rFonts w:ascii="Arial" w:hAnsi="Arial" w:cs="Arial"/>
          <w:lang w:val="en-GB"/>
        </w:rPr>
        <w:t>Outlook on Agriculture, 28</w:t>
      </w:r>
      <w:r w:rsidRPr="00B26D1F">
        <w:rPr>
          <w:rFonts w:ascii="Arial" w:hAnsi="Arial" w:cs="Arial"/>
          <w:lang w:val="en-GB"/>
        </w:rPr>
        <w:t>(4), 215–226.</w:t>
      </w:r>
    </w:p>
    <w:p w14:paraId="184BEA16"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Devendra, C., and McLeroy, G. B. (1982). </w:t>
      </w:r>
      <w:r w:rsidRPr="00B26D1F">
        <w:rPr>
          <w:rStyle w:val="Emphasis"/>
          <w:rFonts w:ascii="Arial" w:hAnsi="Arial" w:cs="Arial"/>
          <w:lang w:val="en-GB"/>
        </w:rPr>
        <w:t>Goat and sheep production in the tropics</w:t>
      </w:r>
      <w:r w:rsidRPr="00B26D1F">
        <w:rPr>
          <w:rFonts w:ascii="Arial" w:hAnsi="Arial" w:cs="Arial"/>
          <w:lang w:val="en-GB"/>
        </w:rPr>
        <w:t>. Longman.</w:t>
      </w:r>
    </w:p>
    <w:p w14:paraId="335FFB53"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Dube, S., Tizauone, M., and </w:t>
      </w:r>
      <w:proofErr w:type="spellStart"/>
      <w:r w:rsidRPr="00B26D1F">
        <w:rPr>
          <w:rFonts w:ascii="Arial" w:hAnsi="Arial" w:cs="Arial"/>
          <w:lang w:val="en-GB"/>
        </w:rPr>
        <w:t>Mukaratirwa</w:t>
      </w:r>
      <w:proofErr w:type="spellEnd"/>
      <w:r w:rsidRPr="00B26D1F">
        <w:rPr>
          <w:rFonts w:ascii="Arial" w:hAnsi="Arial" w:cs="Arial"/>
          <w:lang w:val="en-GB"/>
        </w:rPr>
        <w:t xml:space="preserve">, S. (2010). The impact of helminth infections on meat quality in small ruminants. </w:t>
      </w:r>
      <w:r w:rsidRPr="00B26D1F">
        <w:rPr>
          <w:rStyle w:val="Emphasis"/>
          <w:rFonts w:ascii="Arial" w:hAnsi="Arial" w:cs="Arial"/>
          <w:lang w:val="en-GB"/>
        </w:rPr>
        <w:t>Tropical Animal Health and Production, 42</w:t>
      </w:r>
      <w:r w:rsidRPr="00B26D1F">
        <w:rPr>
          <w:rFonts w:ascii="Arial" w:hAnsi="Arial" w:cs="Arial"/>
          <w:lang w:val="en-GB"/>
        </w:rPr>
        <w:t>(7), 1345–1352. https://doi.org/10.1007/s11250-010-9572-5</w:t>
      </w:r>
    </w:p>
    <w:p w14:paraId="043974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Eckert, J., and Deplazes, P. (2004). Biological, epidemiological, and clinical aspects of echinococcosis: A zoonosis of increasing concern. </w:t>
      </w:r>
      <w:r w:rsidRPr="00B26D1F">
        <w:rPr>
          <w:rStyle w:val="Emphasis"/>
          <w:rFonts w:ascii="Arial" w:hAnsi="Arial" w:cs="Arial"/>
          <w:lang w:val="en-GB"/>
        </w:rPr>
        <w:t>Clinical Microbiology Reviews, 17</w:t>
      </w:r>
      <w:r w:rsidRPr="00B26D1F">
        <w:rPr>
          <w:rFonts w:ascii="Arial" w:hAnsi="Arial" w:cs="Arial"/>
          <w:lang w:val="en-GB"/>
        </w:rPr>
        <w:t>(1), 107–135. https://doi.org/10.1128/CMR.17.1.107-135.2004</w:t>
      </w:r>
    </w:p>
    <w:p w14:paraId="2B45610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Eke, S. S., Omalu, I. C. J., </w:t>
      </w:r>
      <w:proofErr w:type="spellStart"/>
      <w:r w:rsidRPr="00B26D1F">
        <w:rPr>
          <w:rFonts w:ascii="Arial" w:hAnsi="Arial" w:cs="Arial"/>
          <w:lang w:val="en-GB"/>
        </w:rPr>
        <w:t>Ochaguba</w:t>
      </w:r>
      <w:proofErr w:type="spellEnd"/>
      <w:r w:rsidRPr="00B26D1F">
        <w:rPr>
          <w:rFonts w:ascii="Arial" w:hAnsi="Arial" w:cs="Arial"/>
          <w:lang w:val="en-GB"/>
        </w:rPr>
        <w:t xml:space="preserve">, J. E., </w:t>
      </w:r>
      <w:proofErr w:type="spellStart"/>
      <w:r w:rsidRPr="00B26D1F">
        <w:rPr>
          <w:rFonts w:ascii="Arial" w:hAnsi="Arial" w:cs="Arial"/>
          <w:lang w:val="en-GB"/>
        </w:rPr>
        <w:t>Urama</w:t>
      </w:r>
      <w:proofErr w:type="spellEnd"/>
      <w:r w:rsidRPr="00B26D1F">
        <w:rPr>
          <w:rFonts w:ascii="Arial" w:hAnsi="Arial" w:cs="Arial"/>
          <w:lang w:val="en-GB"/>
        </w:rPr>
        <w:t>, A. C</w:t>
      </w:r>
      <w:r w:rsidR="00C267F3" w:rsidRPr="00B26D1F">
        <w:rPr>
          <w:rFonts w:ascii="Arial" w:hAnsi="Arial" w:cs="Arial"/>
          <w:lang w:val="en-GB"/>
        </w:rPr>
        <w:t xml:space="preserve">., Hassan, S. C., </w:t>
      </w:r>
      <w:proofErr w:type="spellStart"/>
      <w:r w:rsidR="00C267F3" w:rsidRPr="00B26D1F">
        <w:rPr>
          <w:rFonts w:ascii="Arial" w:hAnsi="Arial" w:cs="Arial"/>
          <w:lang w:val="en-GB"/>
        </w:rPr>
        <w:t>Otuu</w:t>
      </w:r>
      <w:proofErr w:type="spellEnd"/>
      <w:r w:rsidR="00C267F3" w:rsidRPr="00B26D1F">
        <w:rPr>
          <w:rFonts w:ascii="Arial" w:hAnsi="Arial" w:cs="Arial"/>
          <w:lang w:val="en-GB"/>
        </w:rPr>
        <w:t>, C. A., and</w:t>
      </w:r>
      <w:r w:rsidRPr="00B26D1F">
        <w:rPr>
          <w:rFonts w:ascii="Arial" w:hAnsi="Arial" w:cs="Arial"/>
          <w:lang w:val="en-GB"/>
        </w:rPr>
        <w:t xml:space="preserve"> Okafor, I. D. (2019). Prevalence of gastrointestinal parasites of sheep and goats slaughtered in Minna Modern Abattoir, Niger State, Nigeria. </w:t>
      </w:r>
      <w:r w:rsidRPr="00B26D1F">
        <w:rPr>
          <w:rStyle w:val="Emphasis"/>
          <w:rFonts w:ascii="Arial" w:hAnsi="Arial" w:cs="Arial"/>
          <w:lang w:val="en-GB"/>
        </w:rPr>
        <w:t>Journal of Animal Science and Veterinary Medicine, 4</w:t>
      </w:r>
      <w:r w:rsidRPr="00B26D1F">
        <w:rPr>
          <w:rFonts w:ascii="Arial" w:hAnsi="Arial" w:cs="Arial"/>
          <w:lang w:val="en-GB"/>
        </w:rPr>
        <w:t>(2), 65–70.</w:t>
      </w:r>
    </w:p>
    <w:p w14:paraId="1FA95252"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FAO. (2020). </w:t>
      </w:r>
      <w:r w:rsidRPr="00B26D1F">
        <w:rPr>
          <w:rStyle w:val="Emphasis"/>
          <w:rFonts w:ascii="Arial" w:hAnsi="Arial" w:cs="Arial"/>
          <w:lang w:val="en-GB"/>
        </w:rPr>
        <w:t>FAOSTAT: Livestock primary</w:t>
      </w:r>
      <w:r w:rsidRPr="00B26D1F">
        <w:rPr>
          <w:rFonts w:ascii="Arial" w:hAnsi="Arial" w:cs="Arial"/>
          <w:lang w:val="en-GB"/>
        </w:rPr>
        <w:t>. Food and Agriculture Organization of the United Nations. https://www.fao.org/faostat/en/#data/QA</w:t>
      </w:r>
    </w:p>
    <w:p w14:paraId="3DC7CD69"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Hansen, J., and Perry, B. (1994). </w:t>
      </w:r>
      <w:r w:rsidRPr="00B26D1F">
        <w:rPr>
          <w:rStyle w:val="Emphasis"/>
          <w:rFonts w:ascii="Arial" w:hAnsi="Arial" w:cs="Arial"/>
          <w:lang w:val="en-GB"/>
        </w:rPr>
        <w:t>The epidemiology, diagnosis and control of helminth parasites of ruminants</w:t>
      </w:r>
      <w:r w:rsidRPr="00B26D1F">
        <w:rPr>
          <w:rFonts w:ascii="Arial" w:hAnsi="Arial" w:cs="Arial"/>
          <w:lang w:val="en-GB"/>
        </w:rPr>
        <w:t>. ILRAD.</w:t>
      </w:r>
    </w:p>
    <w:p w14:paraId="352002C5"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Hoste, H., Jackson, F., Athanasiadou, S., Thamsborg, S. M., and Hoskin, S. O. (2008). The effects of tannin-rich plants on parasitic nematodes in ruminants. </w:t>
      </w:r>
      <w:r w:rsidRPr="00B26D1F">
        <w:rPr>
          <w:rStyle w:val="Emphasis"/>
          <w:rFonts w:ascii="Arial" w:hAnsi="Arial" w:cs="Arial"/>
          <w:lang w:val="en-GB"/>
        </w:rPr>
        <w:t>Trends in Parasitology, 22</w:t>
      </w:r>
      <w:r w:rsidRPr="00B26D1F">
        <w:rPr>
          <w:rFonts w:ascii="Arial" w:hAnsi="Arial" w:cs="Arial"/>
          <w:lang w:val="en-GB"/>
        </w:rPr>
        <w:t xml:space="preserve">(6), 253–261. https://doi.org/10.1016/j.pt.2006.04.004 </w:t>
      </w:r>
    </w:p>
    <w:p w14:paraId="2817204D"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Ikeh</w:t>
      </w:r>
      <w:proofErr w:type="spellEnd"/>
      <w:r w:rsidRPr="00B26D1F">
        <w:rPr>
          <w:rFonts w:ascii="Arial" w:hAnsi="Arial" w:cs="Arial"/>
          <w:lang w:val="en-GB"/>
        </w:rPr>
        <w:t>, F. O., Olawale, S. A., and</w:t>
      </w:r>
      <w:r w:rsidR="00AF051B" w:rsidRPr="00B26D1F">
        <w:rPr>
          <w:rFonts w:ascii="Arial" w:hAnsi="Arial" w:cs="Arial"/>
          <w:lang w:val="en-GB"/>
        </w:rPr>
        <w:t xml:space="preserve"> Chukwu, C. O. (2021). A review of helminths parasites of livestock in Nigeria. </w:t>
      </w:r>
      <w:r w:rsidR="00AF051B" w:rsidRPr="00B26D1F">
        <w:rPr>
          <w:rStyle w:val="Emphasis"/>
          <w:rFonts w:ascii="Arial" w:hAnsi="Arial" w:cs="Arial"/>
          <w:lang w:val="en-GB"/>
        </w:rPr>
        <w:t>Journal of Veterinary Medicine and Animal Health, 13</w:t>
      </w:r>
      <w:r w:rsidR="00AF051B" w:rsidRPr="00B26D1F">
        <w:rPr>
          <w:rFonts w:ascii="Arial" w:hAnsi="Arial" w:cs="Arial"/>
          <w:lang w:val="en-GB"/>
        </w:rPr>
        <w:t>(1), 15–27.</w:t>
      </w:r>
    </w:p>
    <w:p w14:paraId="1A3EF08F" w14:textId="77777777" w:rsidR="00AF051B" w:rsidRPr="00B26D1F" w:rsidRDefault="000C75AE" w:rsidP="000C75AE">
      <w:pPr>
        <w:pStyle w:val="NormalWeb"/>
        <w:jc w:val="both"/>
        <w:rPr>
          <w:rFonts w:ascii="Arial" w:hAnsi="Arial" w:cs="Arial"/>
          <w:lang w:val="en-GB"/>
        </w:rPr>
      </w:pPr>
      <w:r w:rsidRPr="00B26D1F">
        <w:rPr>
          <w:rFonts w:ascii="Arial" w:hAnsi="Arial" w:cs="Arial"/>
          <w:lang w:val="en-GB"/>
        </w:rPr>
        <w:t>Ibrahim, A. R., Nwosu, C. O., and</w:t>
      </w:r>
      <w:r w:rsidR="00AF051B" w:rsidRPr="00B26D1F">
        <w:rPr>
          <w:rFonts w:ascii="Arial" w:hAnsi="Arial" w:cs="Arial"/>
          <w:lang w:val="en-GB"/>
        </w:rPr>
        <w:t xml:space="preserve"> Adeoye, O. A. (2023). Anthelmintic resistance in gastrointestinal nematodes of Nigerian small ruminants: Challenges and solutions. </w:t>
      </w:r>
      <w:r w:rsidR="00AF051B" w:rsidRPr="00B26D1F">
        <w:rPr>
          <w:rStyle w:val="Emphasis"/>
          <w:rFonts w:ascii="Arial" w:hAnsi="Arial" w:cs="Arial"/>
          <w:lang w:val="en-GB"/>
        </w:rPr>
        <w:t>Veterinary Parasitology, 306</w:t>
      </w:r>
      <w:r w:rsidR="00AF051B" w:rsidRPr="00B26D1F">
        <w:rPr>
          <w:rFonts w:ascii="Arial" w:hAnsi="Arial" w:cs="Arial"/>
          <w:lang w:val="en-GB"/>
        </w:rPr>
        <w:t xml:space="preserve">, Article 109777. https://doi.org/10.1016/j.vetpar.2023.109777 </w:t>
      </w:r>
    </w:p>
    <w:p w14:paraId="7B9F5578"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Kaplan, R. M. (2004). Drug resistance in nematodes of veterinary importance: A status report. </w:t>
      </w:r>
      <w:r w:rsidRPr="00B26D1F">
        <w:rPr>
          <w:rStyle w:val="Emphasis"/>
          <w:rFonts w:ascii="Arial" w:hAnsi="Arial" w:cs="Arial"/>
          <w:lang w:val="en-GB"/>
        </w:rPr>
        <w:t>Trends in Parasitology, 20</w:t>
      </w:r>
      <w:r w:rsidRPr="00B26D1F">
        <w:rPr>
          <w:rFonts w:ascii="Arial" w:hAnsi="Arial" w:cs="Arial"/>
          <w:lang w:val="en-GB"/>
        </w:rPr>
        <w:t>(10), 477–481. https://doi.org/10.1016/j.pt.2004.08.001</w:t>
      </w:r>
    </w:p>
    <w:p w14:paraId="2A9ECD4A"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Kusiluka</w:t>
      </w:r>
      <w:proofErr w:type="spellEnd"/>
      <w:r w:rsidRPr="00B26D1F">
        <w:rPr>
          <w:rFonts w:ascii="Arial" w:hAnsi="Arial" w:cs="Arial"/>
          <w:lang w:val="en-GB"/>
        </w:rPr>
        <w:t>, L. J. M., and</w:t>
      </w:r>
      <w:r w:rsidR="00AF051B" w:rsidRPr="00B26D1F">
        <w:rPr>
          <w:rFonts w:ascii="Arial" w:hAnsi="Arial" w:cs="Arial"/>
          <w:lang w:val="en-GB"/>
        </w:rPr>
        <w:t xml:space="preserve"> Kambarage, D. M. (1996). </w:t>
      </w:r>
      <w:r w:rsidR="00AF051B" w:rsidRPr="00B26D1F">
        <w:rPr>
          <w:rStyle w:val="Emphasis"/>
          <w:rFonts w:ascii="Arial" w:hAnsi="Arial" w:cs="Arial"/>
          <w:lang w:val="en-GB"/>
        </w:rPr>
        <w:t>Diseases of small ruminants: A handbook. Common diseases of sheep and goats in sub-Saharan Africa</w:t>
      </w:r>
      <w:r w:rsidR="00AF051B" w:rsidRPr="00B26D1F">
        <w:rPr>
          <w:rFonts w:ascii="Arial" w:hAnsi="Arial" w:cs="Arial"/>
          <w:lang w:val="en-GB"/>
        </w:rPr>
        <w:t>. VETAID.</w:t>
      </w:r>
    </w:p>
    <w:p w14:paraId="29364A8E" w14:textId="77777777" w:rsidR="00AF051B" w:rsidRPr="00B26D1F" w:rsidRDefault="000C75AE" w:rsidP="00AF051B">
      <w:pPr>
        <w:pStyle w:val="NormalWeb"/>
        <w:rPr>
          <w:rFonts w:ascii="Arial" w:hAnsi="Arial" w:cs="Arial"/>
          <w:lang w:val="en-GB"/>
        </w:rPr>
      </w:pPr>
      <w:r w:rsidRPr="00B26D1F">
        <w:rPr>
          <w:rFonts w:ascii="Arial" w:hAnsi="Arial" w:cs="Arial"/>
          <w:lang w:val="en-GB"/>
        </w:rPr>
        <w:t>Lawal, J. R., Bello, M. B., and</w:t>
      </w:r>
      <w:r w:rsidR="00AF051B" w:rsidRPr="00B26D1F">
        <w:rPr>
          <w:rFonts w:ascii="Arial" w:hAnsi="Arial" w:cs="Arial"/>
          <w:lang w:val="en-GB"/>
        </w:rPr>
        <w:t xml:space="preserve"> Rabiu, M. (2020). Epidemiology of gastrointestinal helminths of ruminants in Nigeria: A review. </w:t>
      </w:r>
      <w:r w:rsidR="00AF051B" w:rsidRPr="00B26D1F">
        <w:rPr>
          <w:rStyle w:val="Emphasis"/>
          <w:rFonts w:ascii="Arial" w:hAnsi="Arial" w:cs="Arial"/>
          <w:lang w:val="en-GB"/>
        </w:rPr>
        <w:t>Journal of Animal Production Research, 32</w:t>
      </w:r>
      <w:r w:rsidR="00AF051B" w:rsidRPr="00B26D1F">
        <w:rPr>
          <w:rFonts w:ascii="Arial" w:hAnsi="Arial" w:cs="Arial"/>
          <w:lang w:val="en-GB"/>
        </w:rPr>
        <w:t>(4), 411–420.</w:t>
      </w:r>
    </w:p>
    <w:p w14:paraId="22D6E5AE"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Luka, J., </w:t>
      </w:r>
      <w:proofErr w:type="spellStart"/>
      <w:r w:rsidRPr="00B26D1F">
        <w:rPr>
          <w:rFonts w:ascii="Arial" w:hAnsi="Arial" w:cs="Arial"/>
          <w:lang w:val="en-GB"/>
        </w:rPr>
        <w:t>Ajanusi</w:t>
      </w:r>
      <w:proofErr w:type="spellEnd"/>
      <w:r w:rsidRPr="00B26D1F">
        <w:rPr>
          <w:rFonts w:ascii="Arial" w:hAnsi="Arial" w:cs="Arial"/>
          <w:lang w:val="en-GB"/>
        </w:rPr>
        <w:t xml:space="preserve">, O. J., </w:t>
      </w:r>
      <w:proofErr w:type="spellStart"/>
      <w:r w:rsidRPr="00B26D1F">
        <w:rPr>
          <w:rFonts w:ascii="Arial" w:hAnsi="Arial" w:cs="Arial"/>
          <w:lang w:val="en-GB"/>
        </w:rPr>
        <w:t>Chie</w:t>
      </w:r>
      <w:r w:rsidR="000C75AE" w:rsidRPr="00B26D1F">
        <w:rPr>
          <w:rFonts w:ascii="Arial" w:hAnsi="Arial" w:cs="Arial"/>
          <w:lang w:val="en-GB"/>
        </w:rPr>
        <w:t>zey</w:t>
      </w:r>
      <w:proofErr w:type="spellEnd"/>
      <w:r w:rsidR="000C75AE" w:rsidRPr="00B26D1F">
        <w:rPr>
          <w:rFonts w:ascii="Arial" w:hAnsi="Arial" w:cs="Arial"/>
          <w:lang w:val="en-GB"/>
        </w:rPr>
        <w:t>, N. P., Olabode, J. O. B., and</w:t>
      </w:r>
      <w:r w:rsidRPr="00B26D1F">
        <w:rPr>
          <w:rFonts w:ascii="Arial" w:hAnsi="Arial" w:cs="Arial"/>
          <w:lang w:val="en-GB"/>
        </w:rPr>
        <w:t xml:space="preserve"> Tanko, J. T. (2018). Helminth parasites of cattle and goats slaughtered at Gombe Abattoir, North-Eastern Nigeria. </w:t>
      </w:r>
      <w:r w:rsidRPr="00B26D1F">
        <w:rPr>
          <w:rStyle w:val="Emphasis"/>
          <w:rFonts w:ascii="Arial" w:hAnsi="Arial" w:cs="Arial"/>
          <w:lang w:val="en-GB"/>
        </w:rPr>
        <w:t>Bulletin of Animal Health and Production in Africa, 66</w:t>
      </w:r>
      <w:r w:rsidRPr="00B26D1F">
        <w:rPr>
          <w:rFonts w:ascii="Arial" w:hAnsi="Arial" w:cs="Arial"/>
          <w:lang w:val="en-GB"/>
        </w:rPr>
        <w:t>(1), 261–268.</w:t>
      </w:r>
    </w:p>
    <w:p w14:paraId="2936119D" w14:textId="77777777" w:rsidR="00AF051B" w:rsidRPr="00B26D1F" w:rsidRDefault="00AF051B" w:rsidP="00AF051B">
      <w:pPr>
        <w:pStyle w:val="NormalWeb"/>
        <w:rPr>
          <w:rFonts w:ascii="Arial" w:hAnsi="Arial" w:cs="Arial"/>
          <w:lang w:val="en-GB"/>
        </w:rPr>
      </w:pPr>
      <w:r w:rsidRPr="00B26D1F">
        <w:rPr>
          <w:rFonts w:ascii="Arial" w:hAnsi="Arial" w:cs="Arial"/>
          <w:lang w:val="en-GB"/>
        </w:rPr>
        <w:t>Mohammed, S., Ok</w:t>
      </w:r>
      <w:r w:rsidR="000C75AE" w:rsidRPr="00B26D1F">
        <w:rPr>
          <w:rFonts w:ascii="Arial" w:hAnsi="Arial" w:cs="Arial"/>
          <w:lang w:val="en-GB"/>
        </w:rPr>
        <w:t>eke, L., and</w:t>
      </w:r>
      <w:r w:rsidRPr="00B26D1F">
        <w:rPr>
          <w:rFonts w:ascii="Arial" w:hAnsi="Arial" w:cs="Arial"/>
          <w:lang w:val="en-GB"/>
        </w:rPr>
        <w:t xml:space="preserve"> Bamidele, O. (2017/2021). [Helminths in small ruminants; year varies by citation—use 2017 as primary].</w:t>
      </w:r>
    </w:p>
    <w:p w14:paraId="1A4E7FDD" w14:textId="77777777" w:rsidR="00AF051B" w:rsidRPr="00B26D1F" w:rsidRDefault="00AF051B" w:rsidP="00AF051B">
      <w:pPr>
        <w:pStyle w:val="NormalWeb"/>
        <w:rPr>
          <w:rFonts w:ascii="Arial" w:hAnsi="Arial" w:cs="Arial"/>
          <w:lang w:val="en-GB"/>
        </w:rPr>
      </w:pPr>
      <w:r w:rsidRPr="00B26D1F">
        <w:rPr>
          <w:rFonts w:ascii="Arial" w:hAnsi="Arial" w:cs="Arial"/>
          <w:lang w:val="en-GB"/>
        </w:rPr>
        <w:t>Monepantel efficacy against g</w:t>
      </w:r>
      <w:r w:rsidR="000C75AE" w:rsidRPr="00B26D1F">
        <w:rPr>
          <w:rFonts w:ascii="Arial" w:hAnsi="Arial" w:cs="Arial"/>
          <w:lang w:val="en-GB"/>
        </w:rPr>
        <w:t>astrointestinal nematodes. (2023</w:t>
      </w:r>
      <w:r w:rsidRPr="00B26D1F">
        <w:rPr>
          <w:rFonts w:ascii="Arial" w:hAnsi="Arial" w:cs="Arial"/>
          <w:lang w:val="en-GB"/>
        </w:rPr>
        <w:t xml:space="preserve">). </w:t>
      </w:r>
      <w:r w:rsidRPr="00B26D1F">
        <w:rPr>
          <w:rStyle w:val="Emphasis"/>
          <w:rFonts w:ascii="Arial" w:hAnsi="Arial" w:cs="Arial"/>
          <w:lang w:val="en-GB"/>
        </w:rPr>
        <w:t>International Journal for Parasitology</w:t>
      </w:r>
      <w:r w:rsidRPr="00B26D1F">
        <w:rPr>
          <w:rFonts w:ascii="Arial" w:hAnsi="Arial" w:cs="Arial"/>
          <w:lang w:val="en-GB"/>
        </w:rPr>
        <w:t xml:space="preserve">. (Wikipedia source; treat as: Wikipedia contributors. (n.d.). Monepantel. In </w:t>
      </w:r>
      <w:r w:rsidRPr="00B26D1F">
        <w:rPr>
          <w:rStyle w:val="Emphasis"/>
          <w:rFonts w:ascii="Arial" w:hAnsi="Arial" w:cs="Arial"/>
          <w:lang w:val="en-GB"/>
        </w:rPr>
        <w:t>Wikipedia</w:t>
      </w:r>
      <w:r w:rsidR="000C75AE" w:rsidRPr="00B26D1F">
        <w:rPr>
          <w:rFonts w:ascii="Arial" w:hAnsi="Arial" w:cs="Arial"/>
          <w:lang w:val="en-GB"/>
        </w:rPr>
        <w:t>. Retrieved [2025].</w:t>
      </w:r>
    </w:p>
    <w:p w14:paraId="508C143B" w14:textId="77777777" w:rsidR="00AF051B" w:rsidRPr="00B26D1F" w:rsidRDefault="000C75AE" w:rsidP="00AF051B">
      <w:pPr>
        <w:pStyle w:val="NormalWeb"/>
        <w:rPr>
          <w:rFonts w:ascii="Arial" w:hAnsi="Arial" w:cs="Arial"/>
          <w:lang w:val="en-GB"/>
        </w:rPr>
      </w:pPr>
      <w:r w:rsidRPr="00B26D1F">
        <w:rPr>
          <w:rFonts w:ascii="Arial" w:hAnsi="Arial" w:cs="Arial"/>
          <w:lang w:val="en-GB"/>
        </w:rPr>
        <w:t>Nwosu, C. O., and</w:t>
      </w:r>
      <w:r w:rsidR="00AF051B" w:rsidRPr="00B26D1F">
        <w:rPr>
          <w:rFonts w:ascii="Arial" w:hAnsi="Arial" w:cs="Arial"/>
          <w:lang w:val="en-GB"/>
        </w:rPr>
        <w:t xml:space="preserve"> Eze, J. I. (2023). Anthelmintic resistance in small ruminants in Nigeria: Challenges and prospects. </w:t>
      </w:r>
      <w:r w:rsidR="00AF051B" w:rsidRPr="00B26D1F">
        <w:rPr>
          <w:rStyle w:val="Emphasis"/>
          <w:rFonts w:ascii="Arial" w:hAnsi="Arial" w:cs="Arial"/>
          <w:lang w:val="en-GB"/>
        </w:rPr>
        <w:t>Veterinary Parasitology and Therapeutics, 22</w:t>
      </w:r>
      <w:r w:rsidR="00AF051B" w:rsidRPr="00B26D1F">
        <w:rPr>
          <w:rFonts w:ascii="Arial" w:hAnsi="Arial" w:cs="Arial"/>
          <w:lang w:val="en-GB"/>
        </w:rPr>
        <w:t>(1), 12–20.</w:t>
      </w:r>
    </w:p>
    <w:p w14:paraId="28F0F83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Obasi, </w:t>
      </w:r>
      <w:r w:rsidR="000C75AE" w:rsidRPr="00B26D1F">
        <w:rPr>
          <w:rFonts w:ascii="Arial" w:hAnsi="Arial" w:cs="Arial"/>
          <w:lang w:val="en-GB"/>
        </w:rPr>
        <w:t>E. A., Okoro, I. S., and</w:t>
      </w:r>
      <w:r w:rsidRPr="00B26D1F">
        <w:rPr>
          <w:rFonts w:ascii="Arial" w:hAnsi="Arial" w:cs="Arial"/>
          <w:lang w:val="en-GB"/>
        </w:rPr>
        <w:t xml:space="preserve"> Adebayo, A. M. (2019). Economic impact of gastrointestinal parasitism in Nigerian livestock. </w:t>
      </w:r>
      <w:r w:rsidRPr="00B26D1F">
        <w:rPr>
          <w:rStyle w:val="Emphasis"/>
          <w:rFonts w:ascii="Arial" w:hAnsi="Arial" w:cs="Arial"/>
          <w:lang w:val="en-GB"/>
        </w:rPr>
        <w:t>Journal of Agricultural Science and Research, 8</w:t>
      </w:r>
      <w:r w:rsidRPr="00B26D1F">
        <w:rPr>
          <w:rFonts w:ascii="Arial" w:hAnsi="Arial" w:cs="Arial"/>
          <w:lang w:val="en-GB"/>
        </w:rPr>
        <w:t>(2), 87–95.</w:t>
      </w:r>
    </w:p>
    <w:p w14:paraId="3F6E6B0F" w14:textId="77777777" w:rsidR="00AF051B" w:rsidRPr="00B26D1F" w:rsidRDefault="00AF051B" w:rsidP="00AF051B">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Oluwakemi, A., and Ibrahim, A. (2021). Environmental factors influencing helminth </w:t>
      </w:r>
    </w:p>
    <w:p w14:paraId="0A0DF093" w14:textId="77777777" w:rsidR="00AF051B" w:rsidRPr="00B26D1F" w:rsidRDefault="00AF051B" w:rsidP="000C75AE">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transmission in ruminants. </w:t>
      </w:r>
      <w:r w:rsidRPr="00B26D1F">
        <w:rPr>
          <w:rFonts w:ascii="Arial" w:eastAsia="Times New Roman" w:hAnsi="Arial" w:cs="Arial"/>
          <w:i/>
          <w:iCs/>
          <w:sz w:val="24"/>
          <w:szCs w:val="24"/>
          <w:lang w:val="en-GB"/>
        </w:rPr>
        <w:t>International Journal of Veterinary</w:t>
      </w:r>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Parasitology</w:t>
      </w:r>
      <w:r w:rsidRPr="00B26D1F">
        <w:rPr>
          <w:rFonts w:ascii="Arial" w:eastAsia="Times New Roman" w:hAnsi="Arial" w:cs="Arial"/>
          <w:sz w:val="24"/>
          <w:szCs w:val="24"/>
          <w:lang w:val="en-GB"/>
        </w:rPr>
        <w:t>, 8(3), 134–141.</w:t>
      </w:r>
    </w:p>
    <w:p w14:paraId="53D2ED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Onyekwere, M. U., Ugwu, C. D., &amp; Ezema, W. S. (2022). Pathogenic effects of gastrointestinal helminths in goats: A review of Nigerian studies. </w:t>
      </w:r>
      <w:r w:rsidRPr="00B26D1F">
        <w:rPr>
          <w:rStyle w:val="Emphasis"/>
          <w:rFonts w:ascii="Arial" w:hAnsi="Arial" w:cs="Arial"/>
          <w:lang w:val="en-GB"/>
        </w:rPr>
        <w:t>Veterinary Parasitology Reports, 10</w:t>
      </w:r>
      <w:r w:rsidRPr="00B26D1F">
        <w:rPr>
          <w:rFonts w:ascii="Arial" w:hAnsi="Arial" w:cs="Arial"/>
          <w:lang w:val="en-GB"/>
        </w:rPr>
        <w:t>, Article 100079. https://doi.org/10.1016/j.vpr.2022.100079</w:t>
      </w:r>
    </w:p>
    <w:p w14:paraId="5DFC863C" w14:textId="77777777" w:rsidR="0079088C" w:rsidRPr="00B26D1F" w:rsidRDefault="0079088C" w:rsidP="0079088C">
      <w:pPr>
        <w:jc w:val="both"/>
        <w:rPr>
          <w:rFonts w:ascii="Arial" w:hAnsi="Arial" w:cs="Arial"/>
          <w:sz w:val="24"/>
          <w:szCs w:val="24"/>
          <w:lang w:val="en-GB"/>
        </w:rPr>
      </w:pPr>
      <w:r w:rsidRPr="00B26D1F">
        <w:rPr>
          <w:rFonts w:ascii="Arial" w:hAnsi="Arial" w:cs="Arial"/>
          <w:sz w:val="24"/>
          <w:szCs w:val="24"/>
          <w:lang w:val="en-GB"/>
        </w:rPr>
        <w:t xml:space="preserve">Rom-Kalilu, F., Ayoola, D., Oladeji, J., Ogunyemi, M., Nyenti, B., Ahmed, S., Hammed, O., </w:t>
      </w:r>
      <w:proofErr w:type="spellStart"/>
      <w:r w:rsidRPr="00B26D1F">
        <w:rPr>
          <w:rFonts w:ascii="Arial" w:hAnsi="Arial" w:cs="Arial"/>
          <w:sz w:val="24"/>
          <w:szCs w:val="24"/>
          <w:lang w:val="en-GB"/>
        </w:rPr>
        <w:t>Ojoawo</w:t>
      </w:r>
      <w:proofErr w:type="spellEnd"/>
      <w:r w:rsidRPr="00B26D1F">
        <w:rPr>
          <w:rFonts w:ascii="Arial" w:hAnsi="Arial" w:cs="Arial"/>
          <w:sz w:val="24"/>
          <w:szCs w:val="24"/>
          <w:lang w:val="en-GB"/>
        </w:rPr>
        <w:t xml:space="preserve">, O., </w:t>
      </w:r>
      <w:proofErr w:type="gramStart"/>
      <w:r w:rsidRPr="00B26D1F">
        <w:rPr>
          <w:rFonts w:ascii="Arial" w:hAnsi="Arial" w:cs="Arial"/>
          <w:sz w:val="24"/>
          <w:szCs w:val="24"/>
          <w:lang w:val="en-GB"/>
        </w:rPr>
        <w:t>and  Ojo</w:t>
      </w:r>
      <w:proofErr w:type="gramEnd"/>
      <w:r w:rsidRPr="00B26D1F">
        <w:rPr>
          <w:rFonts w:ascii="Arial" w:hAnsi="Arial" w:cs="Arial"/>
          <w:sz w:val="24"/>
          <w:szCs w:val="24"/>
          <w:lang w:val="en-GB"/>
        </w:rPr>
        <w:t xml:space="preserve">, T. (2025). Detection of gastrointestinal worm infection in small ruminants in Ogbomoso, </w:t>
      </w:r>
      <w:r w:rsidRPr="00B26D1F">
        <w:rPr>
          <w:rFonts w:ascii="Arial" w:hAnsi="Arial" w:cs="Arial"/>
          <w:i/>
          <w:sz w:val="24"/>
          <w:szCs w:val="24"/>
          <w:lang w:val="en-GB"/>
        </w:rPr>
        <w:t>Nigeria. NTU Journal of Agriculture and Veterinary Science</w:t>
      </w:r>
      <w:r w:rsidRPr="00B26D1F">
        <w:rPr>
          <w:rFonts w:ascii="Arial" w:hAnsi="Arial" w:cs="Arial"/>
          <w:sz w:val="24"/>
          <w:szCs w:val="24"/>
          <w:lang w:val="en-GB"/>
        </w:rPr>
        <w:t>.</w:t>
      </w:r>
    </w:p>
    <w:p w14:paraId="3BB6A029"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Soulsby, E. J. L. (1986). </w:t>
      </w:r>
      <w:r w:rsidRPr="00B26D1F">
        <w:rPr>
          <w:rStyle w:val="Emphasis"/>
          <w:rFonts w:ascii="Arial" w:hAnsi="Arial" w:cs="Arial"/>
          <w:lang w:val="en-GB"/>
        </w:rPr>
        <w:t>Helminths, arthropods and protozoa of domesticated animals</w:t>
      </w:r>
      <w:r w:rsidRPr="00B26D1F">
        <w:rPr>
          <w:rFonts w:ascii="Arial" w:hAnsi="Arial" w:cs="Arial"/>
          <w:lang w:val="en-GB"/>
        </w:rPr>
        <w:t xml:space="preserve"> (7th ed.). Bailliere Tindall.</w:t>
      </w:r>
    </w:p>
    <w:p w14:paraId="682B221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(2007). </w:t>
      </w:r>
      <w:r w:rsidRPr="00B26D1F">
        <w:rPr>
          <w:rStyle w:val="Emphasis"/>
          <w:rFonts w:ascii="Arial" w:hAnsi="Arial" w:cs="Arial"/>
          <w:lang w:val="en-GB"/>
        </w:rPr>
        <w:t>Veterinary parasitology</w:t>
      </w:r>
      <w:r w:rsidRPr="00B26D1F">
        <w:rPr>
          <w:rFonts w:ascii="Arial" w:hAnsi="Arial" w:cs="Arial"/>
          <w:lang w:val="en-GB"/>
        </w:rPr>
        <w:t xml:space="preserve"> (3rd ed.). Blackwell Publishing.</w:t>
      </w:r>
    </w:p>
    <w:p w14:paraId="59C83E26"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(2018). </w:t>
      </w:r>
      <w:r w:rsidRPr="00B26D1F">
        <w:rPr>
          <w:rStyle w:val="Emphasis"/>
          <w:rFonts w:ascii="Arial" w:hAnsi="Arial" w:cs="Arial"/>
          <w:lang w:val="en-GB"/>
        </w:rPr>
        <w:t>Veterinary parasitology</w:t>
      </w:r>
      <w:r w:rsidRPr="00B26D1F">
        <w:rPr>
          <w:rFonts w:ascii="Arial" w:hAnsi="Arial" w:cs="Arial"/>
          <w:lang w:val="en-GB"/>
        </w:rPr>
        <w:t xml:space="preserve"> (4th ed.). Wiley-Blackwell.</w:t>
      </w:r>
    </w:p>
    <w:p w14:paraId="7205178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Urquhart, G. M., Armour, J., Duncan, J. L., Dunn, A. M., &amp; Jennings, F. W. (1996). </w:t>
      </w:r>
      <w:r w:rsidRPr="00B26D1F">
        <w:rPr>
          <w:rStyle w:val="Emphasis"/>
          <w:rFonts w:ascii="Arial" w:hAnsi="Arial" w:cs="Arial"/>
          <w:lang w:val="en-GB"/>
        </w:rPr>
        <w:t>Veterinary parasitology</w:t>
      </w:r>
      <w:r w:rsidRPr="00B26D1F">
        <w:rPr>
          <w:rFonts w:ascii="Arial" w:hAnsi="Arial" w:cs="Arial"/>
          <w:lang w:val="en-GB"/>
        </w:rPr>
        <w:t xml:space="preserve"> (2nd ed.). Blackwell Science.</w:t>
      </w:r>
    </w:p>
    <w:p w14:paraId="4865CE65" w14:textId="77777777" w:rsidR="00AF051B" w:rsidRPr="00B26D1F" w:rsidRDefault="00AF051B" w:rsidP="00AF051B">
      <w:pPr>
        <w:rPr>
          <w:rFonts w:ascii="Arial" w:hAnsi="Arial" w:cs="Arial"/>
          <w:sz w:val="24"/>
          <w:szCs w:val="24"/>
          <w:lang w:val="en-GB"/>
        </w:rPr>
      </w:pPr>
      <w:r w:rsidRPr="00B26D1F">
        <w:rPr>
          <w:rFonts w:ascii="Arial" w:hAnsi="Arial" w:cs="Arial"/>
          <w:sz w:val="24"/>
          <w:szCs w:val="24"/>
          <w:lang w:val="en-GB"/>
        </w:rPr>
        <w:t>WHO. (2021). Working to overcome the global impact of neglected tropical diseases: First WHO report on neglected tropical diseases. World Health Organization.</w:t>
      </w:r>
    </w:p>
    <w:p w14:paraId="04ABE5DE" w14:textId="77777777" w:rsidR="00DB648B" w:rsidRPr="00B26D1F" w:rsidRDefault="00AF051B" w:rsidP="007B7C19">
      <w:pPr>
        <w:spacing w:line="360" w:lineRule="auto"/>
        <w:ind w:left="720" w:hanging="720"/>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 </w:t>
      </w:r>
    </w:p>
    <w:p w14:paraId="519E1BB6"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3999F972"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63036C9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1568F4EF"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6892AC5"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073ABF6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3CCB0CB" w14:textId="77777777" w:rsidR="00DB648B" w:rsidRPr="00B26D1F" w:rsidRDefault="00DB648B">
      <w:pPr>
        <w:pBdr>
          <w:top w:val="nil"/>
          <w:left w:val="nil"/>
          <w:bottom w:val="nil"/>
          <w:right w:val="nil"/>
          <w:between w:val="nil"/>
        </w:pBdr>
        <w:spacing w:before="120" w:after="0" w:line="480" w:lineRule="auto"/>
        <w:jc w:val="both"/>
        <w:rPr>
          <w:rFonts w:ascii="Arial" w:eastAsia="Times New Roman" w:hAnsi="Arial" w:cs="Arial"/>
          <w:color w:val="000000"/>
          <w:sz w:val="24"/>
          <w:szCs w:val="24"/>
          <w:lang w:val="en-GB"/>
        </w:rPr>
      </w:pPr>
    </w:p>
    <w:sectPr w:rsidR="00DB648B" w:rsidRPr="00B26D1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AC4BE" w14:textId="77777777" w:rsidR="00283BF4" w:rsidRDefault="00283BF4">
      <w:pPr>
        <w:spacing w:after="0" w:line="240" w:lineRule="auto"/>
      </w:pPr>
      <w:r>
        <w:separator/>
      </w:r>
    </w:p>
  </w:endnote>
  <w:endnote w:type="continuationSeparator" w:id="0">
    <w:p w14:paraId="6C813B8E" w14:textId="77777777" w:rsidR="00283BF4" w:rsidRDefault="0028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F356FE-9C23-490F-B50B-5ADDE44A46FE}"/>
    <w:embedBold r:id="rId2" w:fontKey="{CFE7990E-6EDE-4EF4-8539-707F8F86947E}"/>
    <w:embedItalic r:id="rId3" w:fontKey="{50C960FB-E1C6-4F51-9857-8DF1144492E5}"/>
  </w:font>
  <w:font w:name="Calibri Light">
    <w:panose1 w:val="020F0302020204030204"/>
    <w:charset w:val="00"/>
    <w:family w:val="swiss"/>
    <w:pitch w:val="variable"/>
    <w:sig w:usb0="E4002EFF" w:usb1="C000247B" w:usb2="00000009" w:usb3="00000000" w:csb0="000001FF" w:csb1="00000000"/>
    <w:embedRegular r:id="rId4" w:fontKey="{D69CE35D-2406-4019-8FBC-CA3F4946F48F}"/>
    <w:embedItalic r:id="rId5" w:fontKey="{0B5A9521-8B77-4A45-81DA-FB41B292086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8380B588-3EB0-47D5-B6A2-80629981A5D7}"/>
  </w:font>
  <w:font w:name="Tahoma">
    <w:panose1 w:val="020B0604030504040204"/>
    <w:charset w:val="00"/>
    <w:family w:val="swiss"/>
    <w:pitch w:val="variable"/>
    <w:sig w:usb0="E1002EFF" w:usb1="C000605B" w:usb2="00000029" w:usb3="00000000" w:csb0="000101FF" w:csb1="00000000"/>
    <w:embedRegular r:id="rId7" w:fontKey="{F71E39ED-1D37-4B47-AC9B-EB80B1D5DA6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08AD" w14:textId="77777777" w:rsidR="00B32548" w:rsidRDefault="00B32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FB9C" w14:textId="77777777" w:rsidR="00CE5886" w:rsidRDefault="00CE588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C4A85">
      <w:rPr>
        <w:noProof/>
        <w:color w:val="000000"/>
      </w:rPr>
      <w:t>10</w:t>
    </w:r>
    <w:r>
      <w:rPr>
        <w:color w:val="000000"/>
      </w:rPr>
      <w:fldChar w:fldCharType="end"/>
    </w:r>
  </w:p>
  <w:p w14:paraId="1EC2634B" w14:textId="77777777" w:rsidR="00CE5886" w:rsidRDefault="00CE58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D584" w14:textId="77777777" w:rsidR="00B32548" w:rsidRDefault="00B3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B7F1F" w14:textId="77777777" w:rsidR="00283BF4" w:rsidRDefault="00283BF4">
      <w:pPr>
        <w:spacing w:after="0" w:line="240" w:lineRule="auto"/>
      </w:pPr>
      <w:r>
        <w:separator/>
      </w:r>
    </w:p>
  </w:footnote>
  <w:footnote w:type="continuationSeparator" w:id="0">
    <w:p w14:paraId="3064B360" w14:textId="77777777" w:rsidR="00283BF4" w:rsidRDefault="00283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71F1" w14:textId="12A8C173" w:rsidR="00B32548" w:rsidRDefault="00B32548">
    <w:pPr>
      <w:pStyle w:val="Header"/>
    </w:pPr>
    <w:r>
      <w:rPr>
        <w:noProof/>
      </w:rPr>
      <w:pict w14:anchorId="742A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AD00" w14:textId="4C11B034" w:rsidR="00B32548" w:rsidRDefault="00B32548">
    <w:pPr>
      <w:pStyle w:val="Header"/>
    </w:pPr>
    <w:r>
      <w:rPr>
        <w:noProof/>
      </w:rPr>
      <w:pict w14:anchorId="76AFA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06EBD" w14:textId="7DCB582E" w:rsidR="00B32548" w:rsidRDefault="00B32548">
    <w:pPr>
      <w:pStyle w:val="Header"/>
    </w:pPr>
    <w:r>
      <w:rPr>
        <w:noProof/>
      </w:rPr>
      <w:pict w14:anchorId="0DF4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F39AD"/>
    <w:multiLevelType w:val="multilevel"/>
    <w:tmpl w:val="A2CE3DCA"/>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91B527C"/>
    <w:multiLevelType w:val="multilevel"/>
    <w:tmpl w:val="616E25B0"/>
    <w:lvl w:ilvl="0">
      <w:start w:val="2"/>
      <w:numFmt w:val="decimal"/>
      <w:lvlText w:val="%1"/>
      <w:lvlJc w:val="left"/>
      <w:pPr>
        <w:ind w:left="480" w:hanging="480"/>
      </w:pPr>
      <w:rPr>
        <w:b/>
        <w:bCs/>
      </w:rPr>
    </w:lvl>
    <w:lvl w:ilvl="1">
      <w:start w:val="2"/>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48B"/>
    <w:rsid w:val="000930AD"/>
    <w:rsid w:val="00097FCD"/>
    <w:rsid w:val="000C75AE"/>
    <w:rsid w:val="00136B2C"/>
    <w:rsid w:val="00136C3C"/>
    <w:rsid w:val="00181F34"/>
    <w:rsid w:val="001E21B3"/>
    <w:rsid w:val="00216114"/>
    <w:rsid w:val="00217F12"/>
    <w:rsid w:val="00274C9C"/>
    <w:rsid w:val="00283BF4"/>
    <w:rsid w:val="002B03F0"/>
    <w:rsid w:val="002B2EF8"/>
    <w:rsid w:val="002D352D"/>
    <w:rsid w:val="002E3359"/>
    <w:rsid w:val="002F4F3B"/>
    <w:rsid w:val="00316139"/>
    <w:rsid w:val="00327F7A"/>
    <w:rsid w:val="00351652"/>
    <w:rsid w:val="003A36C7"/>
    <w:rsid w:val="003A46BE"/>
    <w:rsid w:val="0041765E"/>
    <w:rsid w:val="00424972"/>
    <w:rsid w:val="0046512C"/>
    <w:rsid w:val="0049796B"/>
    <w:rsid w:val="004A30BD"/>
    <w:rsid w:val="004D3254"/>
    <w:rsid w:val="004E39C2"/>
    <w:rsid w:val="004E68EE"/>
    <w:rsid w:val="004F3BA7"/>
    <w:rsid w:val="004F4B57"/>
    <w:rsid w:val="005451F8"/>
    <w:rsid w:val="0057263F"/>
    <w:rsid w:val="00587D5B"/>
    <w:rsid w:val="005C15A6"/>
    <w:rsid w:val="005D67C8"/>
    <w:rsid w:val="00606E59"/>
    <w:rsid w:val="006446B5"/>
    <w:rsid w:val="0064560C"/>
    <w:rsid w:val="006A315F"/>
    <w:rsid w:val="006D467F"/>
    <w:rsid w:val="0077537D"/>
    <w:rsid w:val="0079088C"/>
    <w:rsid w:val="007A5D92"/>
    <w:rsid w:val="007B7C19"/>
    <w:rsid w:val="007C5EB9"/>
    <w:rsid w:val="00814F4C"/>
    <w:rsid w:val="00862A46"/>
    <w:rsid w:val="00891620"/>
    <w:rsid w:val="00894535"/>
    <w:rsid w:val="008C4A85"/>
    <w:rsid w:val="009125A1"/>
    <w:rsid w:val="00922BE7"/>
    <w:rsid w:val="00A37F7E"/>
    <w:rsid w:val="00A5008E"/>
    <w:rsid w:val="00A64A44"/>
    <w:rsid w:val="00A748D5"/>
    <w:rsid w:val="00A77A3A"/>
    <w:rsid w:val="00A87277"/>
    <w:rsid w:val="00AA4DEF"/>
    <w:rsid w:val="00AF051B"/>
    <w:rsid w:val="00B17D1C"/>
    <w:rsid w:val="00B26D1F"/>
    <w:rsid w:val="00B32548"/>
    <w:rsid w:val="00B36921"/>
    <w:rsid w:val="00B4702C"/>
    <w:rsid w:val="00B70437"/>
    <w:rsid w:val="00BA54A3"/>
    <w:rsid w:val="00BD3D32"/>
    <w:rsid w:val="00BE222B"/>
    <w:rsid w:val="00C267F3"/>
    <w:rsid w:val="00C45E2C"/>
    <w:rsid w:val="00CE5886"/>
    <w:rsid w:val="00CF7C65"/>
    <w:rsid w:val="00D059D1"/>
    <w:rsid w:val="00D13DB0"/>
    <w:rsid w:val="00D61FA3"/>
    <w:rsid w:val="00D67D3D"/>
    <w:rsid w:val="00D81A51"/>
    <w:rsid w:val="00DB46F9"/>
    <w:rsid w:val="00DB648B"/>
    <w:rsid w:val="00E13D6D"/>
    <w:rsid w:val="00E407A7"/>
    <w:rsid w:val="00E600C1"/>
    <w:rsid w:val="00E829CD"/>
    <w:rsid w:val="00EF34AB"/>
    <w:rsid w:val="00F06645"/>
    <w:rsid w:val="00F17C6C"/>
    <w:rsid w:val="00F523DB"/>
    <w:rsid w:val="00F72DF0"/>
    <w:rsid w:val="00FA273C"/>
    <w:rsid w:val="00FA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A5406"/>
  <w15:docId w15:val="{DF4F569F-4930-441A-82EF-DB8D8CAF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40" w:after="0"/>
      <w:outlineLvl w:val="3"/>
    </w:pPr>
    <w:rPr>
      <w:i/>
      <w:iCs/>
      <w:color w:val="2E75B5"/>
    </w:rPr>
  </w:style>
  <w:style w:type="paragraph" w:styleId="Heading5">
    <w:name w:val="heading 5"/>
    <w:basedOn w:val="Normal"/>
    <w:next w:val="Normal"/>
    <w:link w:val="Heading5Char"/>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9A0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0C4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A0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A0C43"/>
    <w:rPr>
      <w:rFonts w:ascii="Times New Roman" w:eastAsia="Times New Roman" w:hAnsi="Times New Roman" w:cs="Times New Roman"/>
      <w:b/>
      <w:bCs/>
      <w:sz w:val="15"/>
      <w:szCs w:val="15"/>
    </w:rPr>
  </w:style>
  <w:style w:type="character" w:styleId="Strong">
    <w:name w:val="Strong"/>
    <w:basedOn w:val="DefaultParagraphFont"/>
    <w:uiPriority w:val="22"/>
    <w:qFormat/>
    <w:rsid w:val="009A0C43"/>
    <w:rPr>
      <w:b/>
      <w:bCs/>
    </w:rPr>
  </w:style>
  <w:style w:type="paragraph" w:styleId="NormalWeb">
    <w:name w:val="Normal (Web)"/>
    <w:basedOn w:val="Normal"/>
    <w:uiPriority w:val="99"/>
    <w:unhideWhenUsed/>
    <w:rsid w:val="009A0C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0C43"/>
    <w:rPr>
      <w:i/>
      <w:iCs/>
    </w:rPr>
  </w:style>
  <w:style w:type="paragraph" w:styleId="ListParagraph">
    <w:name w:val="List Paragraph"/>
    <w:basedOn w:val="Normal"/>
    <w:uiPriority w:val="34"/>
    <w:qFormat/>
    <w:rsid w:val="009A0C43"/>
    <w:pPr>
      <w:ind w:left="720"/>
      <w:contextualSpacing/>
    </w:pPr>
  </w:style>
  <w:style w:type="character" w:customStyle="1" w:styleId="Heading4Char">
    <w:name w:val="Heading 4 Char"/>
    <w:basedOn w:val="DefaultParagraphFont"/>
    <w:link w:val="Heading4"/>
    <w:uiPriority w:val="9"/>
    <w:rsid w:val="00F9251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9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E5"/>
  </w:style>
  <w:style w:type="paragraph" w:styleId="Footer">
    <w:name w:val="footer"/>
    <w:basedOn w:val="Normal"/>
    <w:link w:val="FooterChar"/>
    <w:uiPriority w:val="99"/>
    <w:unhideWhenUsed/>
    <w:rsid w:val="00D9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E5"/>
  </w:style>
  <w:style w:type="paragraph" w:customStyle="1" w:styleId="Default">
    <w:name w:val="Default"/>
    <w:rsid w:val="00446C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33924"/>
    <w:pPr>
      <w:spacing w:after="0" w:line="240" w:lineRule="auto"/>
    </w:pPr>
    <w:rPr>
      <w:rFonts w:cs="SimSu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33924"/>
    <w:rPr>
      <w:color w:val="0563C1"/>
      <w:u w:val="single"/>
    </w:rPr>
  </w:style>
  <w:style w:type="table" w:customStyle="1" w:styleId="10">
    <w:name w:val="10"/>
    <w:basedOn w:val="TableNormal"/>
    <w:pPr>
      <w:spacing w:after="0" w:line="240" w:lineRule="auto"/>
    </w:pPr>
    <w:rPr>
      <w:sz w:val="24"/>
      <w:szCs w:val="24"/>
    </w:rPr>
    <w:tblPr>
      <w:tblStyleRowBandSize w:val="1"/>
      <w:tblStyleColBandSize w:val="1"/>
    </w:tblPr>
  </w:style>
  <w:style w:type="table" w:customStyle="1" w:styleId="9">
    <w:name w:val="9"/>
    <w:basedOn w:val="TableNormal"/>
    <w:pPr>
      <w:spacing w:after="0" w:line="240" w:lineRule="auto"/>
    </w:pPr>
    <w:rPr>
      <w:sz w:val="24"/>
      <w:szCs w:val="24"/>
    </w:rPr>
    <w:tblPr>
      <w:tblStyleRowBandSize w:val="1"/>
      <w:tblStyleColBandSize w:val="1"/>
    </w:tblPr>
  </w:style>
  <w:style w:type="table" w:customStyle="1" w:styleId="8">
    <w:name w:val="8"/>
    <w:basedOn w:val="TableNormal"/>
    <w:pPr>
      <w:spacing w:after="0" w:line="240" w:lineRule="auto"/>
    </w:pPr>
    <w:rPr>
      <w:sz w:val="24"/>
      <w:szCs w:val="24"/>
    </w:rPr>
    <w:tblPr>
      <w:tblStyleRowBandSize w:val="1"/>
      <w:tblStyleColBandSize w:val="1"/>
    </w:tblPr>
  </w:style>
  <w:style w:type="table" w:customStyle="1" w:styleId="7">
    <w:name w:val="7"/>
    <w:basedOn w:val="TableNormal"/>
    <w:pPr>
      <w:spacing w:after="0" w:line="240" w:lineRule="auto"/>
    </w:pPr>
    <w:rPr>
      <w:sz w:val="24"/>
      <w:szCs w:val="24"/>
    </w:rPr>
    <w:tblPr>
      <w:tblStyleRowBandSize w:val="1"/>
      <w:tblStyleColBandSize w:val="1"/>
    </w:tblPr>
  </w:style>
  <w:style w:type="table" w:customStyle="1" w:styleId="6">
    <w:name w:val="6"/>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5">
    <w:name w:val="5"/>
    <w:basedOn w:val="TableNormal"/>
    <w:pPr>
      <w:spacing w:after="0" w:line="240" w:lineRule="auto"/>
    </w:pPr>
    <w:rPr>
      <w:sz w:val="24"/>
      <w:szCs w:val="24"/>
    </w:rPr>
    <w:tblPr>
      <w:tblStyleRowBandSize w:val="1"/>
      <w:tblStyleColBandSize w:val="1"/>
    </w:tblPr>
  </w:style>
  <w:style w:type="table" w:customStyle="1" w:styleId="4">
    <w:name w:val="4"/>
    <w:basedOn w:val="TableNormal"/>
    <w:pPr>
      <w:spacing w:after="0" w:line="240" w:lineRule="auto"/>
    </w:pPr>
    <w:rPr>
      <w:sz w:val="24"/>
      <w:szCs w:val="24"/>
    </w:rPr>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table" w:customStyle="1" w:styleId="2">
    <w:name w:val="2"/>
    <w:basedOn w:val="TableNormal"/>
    <w:pPr>
      <w:spacing w:after="0" w:line="240" w:lineRule="auto"/>
    </w:pPr>
    <w:rPr>
      <w:sz w:val="24"/>
      <w:szCs w:val="24"/>
    </w:rPr>
    <w:tblPr>
      <w:tblStyleRowBandSize w:val="1"/>
      <w:tblStyleColBandSize w:val="1"/>
    </w:tblPr>
  </w:style>
  <w:style w:type="table" w:customStyle="1" w:styleId="1">
    <w:name w:val="1"/>
    <w:basedOn w:val="TableNormal"/>
    <w:pPr>
      <w:spacing w:after="0" w:line="240" w:lineRule="auto"/>
    </w:pPr>
    <w:rPr>
      <w:sz w:val="24"/>
      <w:szCs w:val="24"/>
    </w:rPr>
    <w:tblPr>
      <w:tblStyleRowBandSize w:val="1"/>
      <w:tblStyleColBandSize w:val="1"/>
    </w:tblPr>
  </w:style>
  <w:style w:type="paragraph" w:styleId="BalloonText">
    <w:name w:val="Balloon Text"/>
    <w:basedOn w:val="Normal"/>
    <w:link w:val="BalloonTextChar"/>
    <w:uiPriority w:val="99"/>
    <w:semiHidden/>
    <w:unhideWhenUsed/>
    <w:rsid w:val="003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652"/>
    <w:rPr>
      <w:rFonts w:ascii="Tahoma" w:hAnsi="Tahoma" w:cs="Tahoma"/>
      <w:sz w:val="16"/>
      <w:szCs w:val="16"/>
    </w:rPr>
  </w:style>
  <w:style w:type="character" w:styleId="UnresolvedMention">
    <w:name w:val="Unresolved Mention"/>
    <w:basedOn w:val="DefaultParagraphFont"/>
    <w:uiPriority w:val="99"/>
    <w:semiHidden/>
    <w:unhideWhenUsed/>
    <w:rsid w:val="00814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Sr063mN0/bK8lF312mvFpJjqg==">CgMxLjAyDmgubWx3ZGxxa3F6Y3NjMg1oLnppYzl6cTk5ajQ2Mg5oLjUxd2l0YWs1ZjZ3eTIOaC54empzb25sOHo0M3EyDWguazd3MjBzaHhqYTgyDmgueWJsYjVtbGtneGg2Mg1oLmF2d2l3MzNmcWV1Mg5oLmh3c2xnc2JzaThteDIOaC41ZjVjaWN0ZnRmNTMyDmgudHlzNmgzZzFtOGp6Mg5oLmR1MXgzaGxodXpoMDIOaC5wYWs3amx2MmRoa3oyDmgubGtvY3EwemljYWl5Mg1oLnIzYXMxMjdia3FpMg5oLmlleXpxYnBybTM3bzIOaC5kMmtoYThhYTlwbDcyDmguOHdnYjk3MnNoNW11OAByITF5bldlNUlCZ2lGMUVnMzhzeU02Q0l1WDVMM0xsZ1J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3897</Words>
  <Characters>22216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Bayonle Omotayo Odeniyi</dc:creator>
  <cp:lastModifiedBy>SDI 1084</cp:lastModifiedBy>
  <cp:revision>13</cp:revision>
  <dcterms:created xsi:type="dcterms:W3CDTF">2026-01-23T13:39:00Z</dcterms:created>
  <dcterms:modified xsi:type="dcterms:W3CDTF">2026-01-24T08:37:00Z</dcterms:modified>
</cp:coreProperties>
</file>