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DAA5" w14:textId="78FD139E" w:rsidR="00754C9A" w:rsidRPr="004C5D82" w:rsidRDefault="004C5D82" w:rsidP="004C5D82">
      <w:pPr>
        <w:pStyle w:val="Title"/>
        <w:spacing w:after="0"/>
        <w:rPr>
          <w:rFonts w:ascii="Arial" w:hAnsi="Arial" w:cs="Arial"/>
          <w:i/>
          <w:u w:val="single"/>
        </w:rPr>
      </w:pPr>
      <w:r w:rsidRPr="004C5D82">
        <w:rPr>
          <w:rFonts w:ascii="Arial" w:hAnsi="Arial" w:cs="Arial"/>
          <w:i/>
          <w:u w:val="single"/>
        </w:rPr>
        <w:t>Original Research Article</w:t>
      </w:r>
    </w:p>
    <w:p w14:paraId="1FE67BBA" w14:textId="77777777" w:rsidR="004C5D82" w:rsidRDefault="004C5D82" w:rsidP="00441B6F">
      <w:pPr>
        <w:pStyle w:val="Title"/>
        <w:spacing w:after="0"/>
        <w:jc w:val="both"/>
        <w:rPr>
          <w:rFonts w:ascii="Arial" w:hAnsi="Arial" w:cs="Arial"/>
        </w:rPr>
      </w:pPr>
    </w:p>
    <w:p w14:paraId="2D80CF86" w14:textId="613663E3" w:rsidR="00163BC4" w:rsidRPr="00163BC4" w:rsidRDefault="00924466" w:rsidP="00441B6F">
      <w:pPr>
        <w:pStyle w:val="Author"/>
        <w:spacing w:line="240" w:lineRule="auto"/>
        <w:rPr>
          <w:rFonts w:ascii="Arial" w:hAnsi="Arial" w:cs="Arial"/>
          <w:bCs/>
          <w:iCs/>
          <w:kern w:val="28"/>
          <w:sz w:val="36"/>
        </w:rPr>
      </w:pPr>
      <w:r>
        <w:rPr>
          <w:rFonts w:ascii="Arial" w:hAnsi="Arial" w:cs="Arial"/>
          <w:bCs/>
          <w:iCs/>
          <w:kern w:val="28"/>
          <w:sz w:val="36"/>
        </w:rPr>
        <w:t>Standardization of White Mangrove (</w:t>
      </w:r>
      <w:proofErr w:type="spellStart"/>
      <w:r>
        <w:rPr>
          <w:rFonts w:ascii="Arial" w:hAnsi="Arial" w:cs="Arial"/>
          <w:bCs/>
          <w:iCs/>
          <w:kern w:val="28"/>
          <w:sz w:val="36"/>
        </w:rPr>
        <w:t>Avicennia</w:t>
      </w:r>
      <w:proofErr w:type="spellEnd"/>
      <w:r>
        <w:rPr>
          <w:rFonts w:ascii="Arial" w:hAnsi="Arial" w:cs="Arial"/>
          <w:bCs/>
          <w:iCs/>
          <w:kern w:val="28"/>
          <w:sz w:val="36"/>
        </w:rPr>
        <w:t xml:space="preserve"> marina) Ethanol and </w:t>
      </w:r>
      <w:proofErr w:type="spellStart"/>
      <w:r>
        <w:rPr>
          <w:rFonts w:ascii="Arial" w:hAnsi="Arial" w:cs="Arial"/>
          <w:bCs/>
          <w:iCs/>
          <w:kern w:val="28"/>
          <w:sz w:val="36"/>
        </w:rPr>
        <w:t>Flavanoid</w:t>
      </w:r>
      <w:proofErr w:type="spellEnd"/>
      <w:r>
        <w:rPr>
          <w:rFonts w:ascii="Arial" w:hAnsi="Arial" w:cs="Arial"/>
          <w:bCs/>
          <w:iCs/>
          <w:kern w:val="28"/>
          <w:sz w:val="36"/>
        </w:rPr>
        <w:t xml:space="preserve"> Content from Three Location in Central Java, Indonesia</w:t>
      </w:r>
      <w:r w:rsidR="00231920">
        <w:rPr>
          <w:rFonts w:ascii="Arial" w:hAnsi="Arial" w:cs="Arial"/>
          <w:bCs/>
          <w:iCs/>
          <w:kern w:val="28"/>
          <w:sz w:val="36"/>
        </w:rPr>
        <w:t xml:space="preserve"> </w:t>
      </w:r>
    </w:p>
    <w:p w14:paraId="41A60A84" w14:textId="77777777" w:rsidR="00A258C3" w:rsidRPr="00790ADA" w:rsidRDefault="00A258C3" w:rsidP="00441B6F">
      <w:pPr>
        <w:pStyle w:val="Author"/>
        <w:spacing w:line="240" w:lineRule="auto"/>
        <w:jc w:val="both"/>
        <w:rPr>
          <w:rFonts w:ascii="Arial" w:hAnsi="Arial" w:cs="Arial"/>
          <w:sz w:val="36"/>
        </w:rPr>
      </w:pPr>
    </w:p>
    <w:p w14:paraId="0C9C98ED" w14:textId="77777777" w:rsidR="002C57D2" w:rsidRPr="00FB3A86" w:rsidRDefault="002C57D2" w:rsidP="00441B6F">
      <w:pPr>
        <w:pStyle w:val="Affiliation"/>
        <w:spacing w:after="0" w:line="240" w:lineRule="auto"/>
        <w:jc w:val="both"/>
        <w:rPr>
          <w:rFonts w:ascii="Arial" w:hAnsi="Arial" w:cs="Arial"/>
        </w:rPr>
      </w:pPr>
    </w:p>
    <w:p w14:paraId="6EA37D22" w14:textId="77777777" w:rsidR="00B01FCD" w:rsidRPr="00FB3A86" w:rsidRDefault="008D5D75" w:rsidP="00441B6F">
      <w:pPr>
        <w:pStyle w:val="Copyright"/>
        <w:spacing w:after="0" w:line="240" w:lineRule="auto"/>
        <w:jc w:val="both"/>
        <w:rPr>
          <w:rFonts w:ascii="Arial" w:hAnsi="Arial" w:cs="Arial"/>
        </w:rPr>
        <w:sectPr w:rsidR="00B01FCD" w:rsidRPr="00FB3A86" w:rsidSect="004239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2EF43492">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0474AB" w14:textId="10C173A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FC8C93" w14:textId="77777777" w:rsidR="00790ADA" w:rsidRPr="000E4AB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E4AB5" w14:paraId="7073B535" w14:textId="77777777" w:rsidTr="001E44FE">
        <w:tc>
          <w:tcPr>
            <w:tcW w:w="9576" w:type="dxa"/>
            <w:shd w:val="clear" w:color="auto" w:fill="F2F2F2"/>
          </w:tcPr>
          <w:p w14:paraId="303B5D36" w14:textId="34F7591D" w:rsidR="00505F06" w:rsidRPr="000E4AB5" w:rsidRDefault="000E4AB5" w:rsidP="00441B6F">
            <w:pPr>
              <w:pStyle w:val="Body"/>
              <w:spacing w:after="0"/>
              <w:rPr>
                <w:rFonts w:ascii="Arial" w:eastAsia="Calibri" w:hAnsi="Arial" w:cs="Arial"/>
                <w:szCs w:val="22"/>
              </w:rPr>
            </w:pPr>
            <w:r w:rsidRPr="000E4AB5">
              <w:rPr>
                <w:rFonts w:ascii="Arial" w:hAnsi="Arial" w:cs="Arial"/>
                <w:szCs w:val="24"/>
              </w:rPr>
              <w:t>Standardization is a process of determining characteristics based on certain parameters to achieve a good quality level. Traditional medicines circulating in Indonesia must meet the requirements of efficacy, safety and quality. One of the plants used is White mangrove (</w:t>
            </w:r>
            <w:proofErr w:type="spellStart"/>
            <w:r w:rsidRPr="000E4AB5">
              <w:rPr>
                <w:rFonts w:ascii="Arial" w:hAnsi="Arial" w:cs="Arial"/>
                <w:szCs w:val="24"/>
              </w:rPr>
              <w:t>Avicennia</w:t>
            </w:r>
            <w:proofErr w:type="spellEnd"/>
            <w:r w:rsidRPr="000E4AB5">
              <w:rPr>
                <w:rFonts w:ascii="Arial" w:hAnsi="Arial" w:cs="Arial"/>
                <w:szCs w:val="24"/>
              </w:rPr>
              <w:t xml:space="preserve"> marina). This study aims to standardize the specific and non-specific parameters of white mangrove fruit extract taken from </w:t>
            </w:r>
            <w:r>
              <w:rPr>
                <w:rFonts w:ascii="Arial" w:hAnsi="Arial" w:cs="Arial"/>
                <w:szCs w:val="24"/>
              </w:rPr>
              <w:t>three</w:t>
            </w:r>
            <w:r w:rsidRPr="000E4AB5">
              <w:rPr>
                <w:rFonts w:ascii="Arial" w:hAnsi="Arial" w:cs="Arial"/>
                <w:szCs w:val="24"/>
              </w:rPr>
              <w:t xml:space="preserve"> different areas in Central Java Province, namely </w:t>
            </w:r>
            <w:proofErr w:type="spellStart"/>
            <w:r w:rsidRPr="000E4AB5">
              <w:rPr>
                <w:rFonts w:ascii="Arial" w:hAnsi="Arial" w:cs="Arial"/>
                <w:szCs w:val="24"/>
              </w:rPr>
              <w:t>Mangkang</w:t>
            </w:r>
            <w:proofErr w:type="spellEnd"/>
            <w:r w:rsidRPr="000E4AB5">
              <w:rPr>
                <w:rFonts w:ascii="Arial" w:hAnsi="Arial" w:cs="Arial"/>
                <w:szCs w:val="24"/>
              </w:rPr>
              <w:t xml:space="preserve"> Semarang, </w:t>
            </w:r>
            <w:proofErr w:type="spellStart"/>
            <w:r w:rsidRPr="000E4AB5">
              <w:rPr>
                <w:rFonts w:ascii="Arial" w:hAnsi="Arial" w:cs="Arial"/>
                <w:szCs w:val="24"/>
              </w:rPr>
              <w:t>Baros</w:t>
            </w:r>
            <w:proofErr w:type="spellEnd"/>
            <w:r w:rsidRPr="000E4AB5">
              <w:rPr>
                <w:rFonts w:ascii="Arial" w:hAnsi="Arial" w:cs="Arial"/>
                <w:szCs w:val="24"/>
              </w:rPr>
              <w:t xml:space="preserve"> River Yogyakarta and </w:t>
            </w:r>
            <w:proofErr w:type="spellStart"/>
            <w:r w:rsidRPr="000E4AB5">
              <w:rPr>
                <w:rFonts w:ascii="Arial" w:hAnsi="Arial" w:cs="Arial"/>
                <w:szCs w:val="24"/>
              </w:rPr>
              <w:t>Teluk</w:t>
            </w:r>
            <w:proofErr w:type="spellEnd"/>
            <w:r w:rsidRPr="000E4AB5">
              <w:rPr>
                <w:rFonts w:ascii="Arial" w:hAnsi="Arial" w:cs="Arial"/>
                <w:szCs w:val="24"/>
              </w:rPr>
              <w:t xml:space="preserve"> </w:t>
            </w:r>
            <w:proofErr w:type="spellStart"/>
            <w:r w:rsidRPr="000E4AB5">
              <w:rPr>
                <w:rFonts w:ascii="Arial" w:hAnsi="Arial" w:cs="Arial"/>
                <w:szCs w:val="24"/>
              </w:rPr>
              <w:t>Awur</w:t>
            </w:r>
            <w:proofErr w:type="spellEnd"/>
            <w:r w:rsidRPr="000E4AB5">
              <w:rPr>
                <w:rFonts w:ascii="Arial" w:hAnsi="Arial" w:cs="Arial"/>
                <w:szCs w:val="24"/>
              </w:rPr>
              <w:t xml:space="preserve"> </w:t>
            </w:r>
            <w:proofErr w:type="spellStart"/>
            <w:r w:rsidRPr="000E4AB5">
              <w:rPr>
                <w:rFonts w:ascii="Arial" w:hAnsi="Arial" w:cs="Arial"/>
                <w:szCs w:val="24"/>
              </w:rPr>
              <w:t>Jepara</w:t>
            </w:r>
            <w:proofErr w:type="spellEnd"/>
            <w:r w:rsidRPr="000E4AB5">
              <w:rPr>
                <w:rFonts w:ascii="Arial" w:hAnsi="Arial" w:cs="Arial"/>
                <w:szCs w:val="24"/>
              </w:rPr>
              <w:t>. Standardization was carried out on specific parameters including organoleptic, soluble compound content, chemical content of the extract and total flavonoid content, while non-specific parameters of the extract include loss on dryi</w:t>
            </w:r>
            <w:bookmarkStart w:id="0" w:name="_GoBack"/>
            <w:bookmarkEnd w:id="0"/>
            <w:r w:rsidRPr="000E4AB5">
              <w:rPr>
                <w:rFonts w:ascii="Arial" w:hAnsi="Arial" w:cs="Arial"/>
                <w:szCs w:val="24"/>
              </w:rPr>
              <w:t xml:space="preserve">ng, water content, residual ash content, acid-soluble ash content residue, microbial and fungal contamination. The specific parameters of the extracts sequentially from </w:t>
            </w:r>
            <w:proofErr w:type="spellStart"/>
            <w:r w:rsidRPr="000E4AB5">
              <w:rPr>
                <w:rFonts w:ascii="Arial" w:hAnsi="Arial" w:cs="Arial"/>
                <w:szCs w:val="24"/>
              </w:rPr>
              <w:t>Mangkang</w:t>
            </w:r>
            <w:proofErr w:type="spellEnd"/>
            <w:r w:rsidRPr="000E4AB5">
              <w:rPr>
                <w:rFonts w:ascii="Arial" w:hAnsi="Arial" w:cs="Arial"/>
                <w:szCs w:val="24"/>
              </w:rPr>
              <w:t xml:space="preserve"> Semarang, </w:t>
            </w:r>
            <w:proofErr w:type="spellStart"/>
            <w:r w:rsidRPr="000E4AB5">
              <w:rPr>
                <w:rFonts w:ascii="Arial" w:hAnsi="Arial" w:cs="Arial"/>
                <w:szCs w:val="24"/>
              </w:rPr>
              <w:t>Baros</w:t>
            </w:r>
            <w:proofErr w:type="spellEnd"/>
            <w:r w:rsidRPr="000E4AB5">
              <w:rPr>
                <w:rFonts w:ascii="Arial" w:hAnsi="Arial" w:cs="Arial"/>
                <w:szCs w:val="24"/>
              </w:rPr>
              <w:t xml:space="preserve"> River Yogyakarta and </w:t>
            </w:r>
            <w:proofErr w:type="spellStart"/>
            <w:r w:rsidRPr="000E4AB5">
              <w:rPr>
                <w:rFonts w:ascii="Arial" w:hAnsi="Arial" w:cs="Arial"/>
                <w:szCs w:val="24"/>
              </w:rPr>
              <w:t>Teluk</w:t>
            </w:r>
            <w:proofErr w:type="spellEnd"/>
            <w:r w:rsidRPr="000E4AB5">
              <w:rPr>
                <w:rFonts w:ascii="Arial" w:hAnsi="Arial" w:cs="Arial"/>
                <w:szCs w:val="24"/>
              </w:rPr>
              <w:t xml:space="preserve"> </w:t>
            </w:r>
            <w:proofErr w:type="spellStart"/>
            <w:r w:rsidRPr="000E4AB5">
              <w:rPr>
                <w:rFonts w:ascii="Arial" w:hAnsi="Arial" w:cs="Arial"/>
                <w:szCs w:val="24"/>
              </w:rPr>
              <w:t>Awur</w:t>
            </w:r>
            <w:proofErr w:type="spellEnd"/>
            <w:r w:rsidRPr="000E4AB5">
              <w:rPr>
                <w:rFonts w:ascii="Arial" w:hAnsi="Arial" w:cs="Arial"/>
                <w:szCs w:val="24"/>
              </w:rPr>
              <w:t xml:space="preserve"> </w:t>
            </w:r>
            <w:proofErr w:type="spellStart"/>
            <w:r w:rsidRPr="000E4AB5">
              <w:rPr>
                <w:rFonts w:ascii="Arial" w:hAnsi="Arial" w:cs="Arial"/>
                <w:szCs w:val="24"/>
              </w:rPr>
              <w:t>Jepara</w:t>
            </w:r>
            <w:proofErr w:type="spellEnd"/>
            <w:r w:rsidRPr="000E4AB5">
              <w:rPr>
                <w:rFonts w:ascii="Arial" w:hAnsi="Arial" w:cs="Arial"/>
                <w:szCs w:val="24"/>
              </w:rPr>
              <w:t xml:space="preserve"> showed that the extract content was greenish black, slightly bitter taste and distinctive odor; the extract content that was soluble in water was 13.16-22.40%; the extract content that was soluble in ethanol was 25.17-44.18%; total flavonoid content of 3.26-13.27 mg QE/g. Non-specific parameters showed that the loss on drying was 6.69-11.56%; moisture content was 8.99-16.98%; total ash content was 7.48-19.50%; acid-soluble ash content was 0.89-3.47%; the total number of yeast and fungi ranged from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5</w:t>
            </w:r>
            <w:r w:rsidRPr="000E4AB5">
              <w:rPr>
                <w:rFonts w:ascii="Arial" w:hAnsi="Arial" w:cs="Arial"/>
                <w:szCs w:val="24"/>
              </w:rPr>
              <w:t xml:space="preserve"> CFU/g and the number of microbial colonies was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3</w:t>
            </w:r>
            <w:r w:rsidRPr="000E4AB5">
              <w:rPr>
                <w:rFonts w:ascii="Arial" w:hAnsi="Arial" w:cs="Arial"/>
                <w:szCs w:val="24"/>
              </w:rPr>
              <w:t xml:space="preserve"> CFU/g. It can be concluded that the white mangrove fruit extract from the </w:t>
            </w:r>
            <w:proofErr w:type="spellStart"/>
            <w:r w:rsidRPr="000E4AB5">
              <w:rPr>
                <w:rFonts w:ascii="Arial" w:hAnsi="Arial" w:cs="Arial"/>
                <w:szCs w:val="24"/>
              </w:rPr>
              <w:t>Mangkang</w:t>
            </w:r>
            <w:proofErr w:type="spellEnd"/>
            <w:r w:rsidRPr="000E4AB5">
              <w:rPr>
                <w:rFonts w:ascii="Arial" w:hAnsi="Arial" w:cs="Arial"/>
                <w:szCs w:val="24"/>
              </w:rPr>
              <w:t xml:space="preserve"> area of ​​Central Java Province, Indonesia meets the requirements as a raw material for herbal products in Indonesia.</w:t>
            </w:r>
          </w:p>
        </w:tc>
      </w:tr>
    </w:tbl>
    <w:p w14:paraId="21FBB53B" w14:textId="77777777" w:rsidR="00636EB2" w:rsidRDefault="00636EB2" w:rsidP="00441B6F">
      <w:pPr>
        <w:pStyle w:val="Body"/>
        <w:spacing w:after="0"/>
        <w:rPr>
          <w:rFonts w:ascii="Arial" w:hAnsi="Arial" w:cs="Arial"/>
          <w:i/>
        </w:rPr>
      </w:pPr>
    </w:p>
    <w:p w14:paraId="3B2F4B63" w14:textId="34A6BF16" w:rsidR="0024282C" w:rsidRPr="000E4AB5" w:rsidRDefault="00A24E7E" w:rsidP="00441B6F">
      <w:pPr>
        <w:pStyle w:val="Body"/>
        <w:spacing w:after="0"/>
        <w:rPr>
          <w:rFonts w:ascii="Arial" w:hAnsi="Arial" w:cs="Arial"/>
          <w:i/>
        </w:rPr>
      </w:pPr>
      <w:r>
        <w:rPr>
          <w:rFonts w:ascii="Arial" w:hAnsi="Arial" w:cs="Arial"/>
          <w:i/>
        </w:rPr>
        <w:t>Keywords:</w:t>
      </w:r>
      <w:r w:rsidR="000E4AB5" w:rsidRPr="000E4AB5">
        <w:rPr>
          <w:rFonts w:ascii="Arial" w:hAnsi="Arial" w:cs="Arial"/>
          <w:i/>
          <w:iCs/>
        </w:rPr>
        <w:t xml:space="preserve"> </w:t>
      </w:r>
      <w:r w:rsidR="000E4AB5" w:rsidRPr="001F3BEF">
        <w:rPr>
          <w:rFonts w:ascii="Arial" w:hAnsi="Arial" w:cs="Arial"/>
          <w:i/>
          <w:iCs/>
        </w:rPr>
        <w:t>Standardization; Specific parameters; Non-Specific parameters; Total</w:t>
      </w:r>
      <w:r w:rsidR="000E4AB5">
        <w:rPr>
          <w:rFonts w:ascii="Arial" w:hAnsi="Arial" w:cs="Arial"/>
          <w:i/>
          <w:iCs/>
        </w:rPr>
        <w:t xml:space="preserve"> </w:t>
      </w:r>
      <w:proofErr w:type="spellStart"/>
      <w:r w:rsidR="000E4AB5" w:rsidRPr="001F3BEF">
        <w:rPr>
          <w:rFonts w:ascii="Arial" w:hAnsi="Arial" w:cs="Arial"/>
          <w:i/>
          <w:iCs/>
        </w:rPr>
        <w:t>Flavanoids</w:t>
      </w:r>
      <w:proofErr w:type="spellEnd"/>
      <w:r w:rsidR="000E4AB5" w:rsidRPr="001F3BEF">
        <w:rPr>
          <w:rFonts w:ascii="Arial" w:hAnsi="Arial" w:cs="Arial"/>
          <w:i/>
          <w:iCs/>
        </w:rPr>
        <w:t>; White mangrove fruit.</w:t>
      </w:r>
    </w:p>
    <w:p w14:paraId="206BEA29" w14:textId="77777777" w:rsidR="00505F06" w:rsidRPr="00A24E7E" w:rsidRDefault="00505F06" w:rsidP="00441B6F">
      <w:pPr>
        <w:pStyle w:val="Body"/>
        <w:spacing w:after="0"/>
        <w:rPr>
          <w:rFonts w:ascii="Arial" w:hAnsi="Arial" w:cs="Arial"/>
          <w:i/>
        </w:rPr>
      </w:pPr>
    </w:p>
    <w:p w14:paraId="33213993" w14:textId="77777777" w:rsidR="006432B1" w:rsidRDefault="006432B1" w:rsidP="00441B6F">
      <w:pPr>
        <w:pStyle w:val="AbstHead"/>
        <w:spacing w:after="0"/>
        <w:jc w:val="both"/>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6702EE86" w14:textId="3AA6FC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857D64" w14:textId="77777777" w:rsidR="00790ADA" w:rsidRPr="00FB3A86" w:rsidRDefault="00790ADA" w:rsidP="00441B6F">
      <w:pPr>
        <w:pStyle w:val="AbstHead"/>
        <w:spacing w:after="0"/>
        <w:jc w:val="both"/>
        <w:rPr>
          <w:rFonts w:ascii="Arial" w:hAnsi="Arial" w:cs="Arial"/>
        </w:rPr>
      </w:pPr>
    </w:p>
    <w:p w14:paraId="7758AC22" w14:textId="29DC2CAF" w:rsidR="000E4AB5" w:rsidRDefault="000E4AB5" w:rsidP="000E4AB5">
      <w:pPr>
        <w:tabs>
          <w:tab w:val="center" w:pos="4513"/>
          <w:tab w:val="right" w:pos="9026"/>
        </w:tabs>
        <w:jc w:val="both"/>
        <w:rPr>
          <w:rFonts w:ascii="Arial" w:hAnsi="Arial" w:cs="Arial"/>
          <w:lang w:val="id-ID"/>
        </w:rPr>
      </w:pPr>
      <w:r w:rsidRPr="001F3B9B">
        <w:rPr>
          <w:rFonts w:ascii="Arial" w:hAnsi="Arial" w:cs="Arial"/>
          <w:lang w:val="id-ID"/>
        </w:rPr>
        <w:t>Improving the quality of medicinal raw materials can be achieved through cultivation efforts and the implementation of standardization processes, both for materials in their simple form and in extract form. Standardization encompasses a series of methods, measurement techniques, and parameters aimed at producing quality components that meet standards and ensure the stability of medicinal preparations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{"citationItems":[{"id":"ITEM-1","itemData":{"DOI":"10.35799/pha.9.2020.31362","ISSN":"2302-2493","abstract":"ABSTRACTThis study aims to determine the standardization of betel leaf extracts and determine the concentration of extracts that can inhibit bacteria. In this study, the extraction was carried out by the maceration method. The specific parameters were identity of the extracts, organoleptic test, levels of water, ethanol soluble compounds, and chemical content, meanwhile, the non-specific parameters were drying loss, moisture content, and specific gravity. The results of the standardization of specific parameters showed the name of the Green Betel leaf extract (Piper betle L.), organoleptic (thick, dark green color, and strong betel odor), water-soluble and ethanol-soluble extracts content (68.27% and 82%), containing alkaloid compounds, steroids, and tannins. The results of non-specific parameters showed drying shrinkage (10.91%), moisture content (22.73%), and specific gravity (0.874 g / mL). Antibacterial test against Pseudomonas aeruginosa showed that betel leaf extracts at a concentration of 25%, 20%, and 15% experienced a decrease in Optical Density (OD) values respectively -0.192, -0.065, -0.098 while at concentrations of 10% and 5% had an increase Optical Density (OD) values were 0.512, 0.767, respectively. From the results obtained, it was concluded that the betel leaf extracts (Piper betle L.) fulfilled specific and non-specific parameters and had the ability to inhibit the growth of Pseudomonas aeruginosa bacteria with an MIC value of 15%.Keywords: Betel leaf (Piper betle L.), Standardization, Antibacterial, Pseudomonas aeruginosa. ABSTRAKPenelitian ini bertujuan untuk menentukan standarisasi ekstrak daun sirih hijau dan menentukan konsentrasi ekstrak yang mampu menghambat bakteri. Dalam penelitian ini penyarian dilakukan dengan metode maserasi. Parameter spesifik yaitu identitas ekstrak, uji organoleptik, kadar senyawa larut air dan larut etanol, dan kandungan kimia, sedangkan parameter non spesifik yaitu susut pengeringan, kadar air, dan bobot jenis. Hasil standarisasi parameter spesifik menunjukkan nama ekstrak etanol Daun Sirih Hijau (Piper betle L.), organoleptik (kental, warna hijau pekat, dan bau khas sirih yang tajam), kadar sari larut air dan larut etanol masing masing (68,27% dan 82%), dengan kandungan senyawa alkaloid, steroid, tanin. Hasil parameter non spesifik menunjukkan nilai susut pengeringan (10,91%), kadar air (22,73%), dan bobot jenis (0,874 g/mL). Uji antibakteri terhadap Pseudomonas aeruginosa menunjukkan bahwa ekstrak da…","author":[{"dropping-particle":"","family":"Manarisip","given":"Geraldin Ester","non-dropping-particle":"","parse-names":false,"suffix":""},{"dropping-particle":"","family":"Fatimawa;i","given":"Fatimawali","non-dropping-particle":"","parse-names":false,"suffix":""},{"dropping-particle":"","family":"Rotinsulu","given":"Henki","non-dropping-particle":"","parse-names":false,"suffix":""}],"container-title":"Pharmacon","id":"ITEM-1","issue":"4","issued":{"date-parts":[["2020"]]},"page":"533","title":"Standarisasi Ekstrak Daun Sirih Hijau (Piper Betle L.) Dan Uji Antibakteri Terhadap Bakteri Pseudomonas Aeruginosa","type":"article-journal","volume":"9"},"uris":["http://www.mendeley.com/documents/?uuid=33b6563f-bd9d-4e6a-a5c7-ce86d4689f23"]}],"mendeley":{"formattedCitation":"[1]","plainTextFormattedCitation":"[1]","previouslyFormattedCitation":"&lt;sup&gt;1&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[1]</w:t>
      </w:r>
      <w:r>
        <w:rPr>
          <w:rFonts w:ascii="Arial" w:hAnsi="Arial" w:cs="Arial"/>
        </w:rPr>
        <w:fldChar w:fldCharType="end"/>
      </w:r>
      <w:r w:rsidRPr="001F3B9B">
        <w:rPr>
          <w:rFonts w:ascii="Arial" w:hAnsi="Arial" w:cs="Arial"/>
        </w:rPr>
        <w:t xml:space="preserve">. </w:t>
      </w:r>
      <w:r w:rsidRPr="001F3B9B">
        <w:rPr>
          <w:rFonts w:ascii="Arial" w:hAnsi="Arial" w:cs="Arial"/>
          <w:lang w:val="id-ID"/>
        </w:rPr>
        <w:t xml:space="preserve">A medicinal plant will be deemed to meet the quality requirements for raw materials if the plant extract has been standardized </w:t>
      </w:r>
      <w:r w:rsidRPr="001F3B9B">
        <w:rPr>
          <w:rFonts w:ascii="Arial" w:hAnsi="Arial" w:cs="Arial"/>
          <w:lang w:val="id-ID"/>
        </w:rPr>
        <w:lastRenderedPageBreak/>
        <w:t>specifically or non-specificall</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{"citationItems":[{"id":"ITEM-1","itemData":{"DOI":"10.33096/jffi.v4i2.268","ISSN":"2356-0398","abstract":"ABSTRAK Teh hijau memiliki nama spesies Camellia sinensis (L.) Kuntze, family Theaceae dan Jati belanda (Guazuma ulmifolia Lam.) termasuk kedalam family sterculiaceae Tujuan Penelitian ini adalah melakukan standarisasi ekstrak air daun jati belanda dan ekstrak air the hijau. Ekstrak distandardisasi dengan beberapa dua parameter yaitu parameter spesifik dan parameter non spesifik. Kadar sari larut air pada jati belanda 12,88 % dan teh hijau 40,88, sedangkan kadar sari larut etanol pada jati belanda 4, 23 % dan pada teh hijau 4,23 %. Hasil pengujian kandungan kimia menunjukkan pada ekstrak jati belanda mengandung saponin dan flavonoid sedangkan pada teh hijau mengandung tannin dan flavonoid. Kadar air ekstrak daun jati belanda 0,95 % dan teh hijau 2,79%. Hasil kadar abu total jati belanda sebesar 37,61% dan teh hijau 36,84 %. Kadar abu tidak larut asam yaitu pada jati belanda sebesar 3,54% dan teh hijau 3,77%. Hasil dari penetapan susut pengeringan pada ekstrak jati belanda yaitu 0,46 % dan teh hijau 0,46 %. Ekstrak jati belanda maupun teh hijau berdasarkan pengujian standarisasi meliputi parameter spesifik dan no-spesifik memenuhi standarisasi mutu bahan baku.","author":[{"dropping-particle":"","family":"Najib","given":"Ahmad","non-dropping-particle":"","parse-names":false,"suffix":""},{"dropping-particle":"","family":"Malik","given":"Abd.","non-dropping-particle":"","parse-names":false,"suffix":""},{"dropping-particle":"","family":"Ahmad","given":"Aktsar Roskiana","non-dropping-particle":"","parse-names":false,"suffix":""},{"dropping-particle":"","family":"Handayani","given":"Virsa","non-dropping-particle":"","parse-names":false,"suffix":""},{"dropping-particle":"","family":"Syarif","given":"Rezki Amriati","non-dropping-particle":"","parse-names":false,"suffix":""},{"dropping-particle":"","family":"Waris","given":"Risda","non-dropping-particle":"","parse-names":false,"suffix":""}],"container-title":"Jurnal Fitofarmaka Indonesia","id":"ITEM-1","issue":"2","issued":{"date-parts":[["2017"]]},"page":"241-245","title":"Standarisasi Ekstrak Air Daun Jati Belanda Dan Teh Hijau","type":"article-journal","volume":"4"},"uris":["http://www.mendeley.com/documents/?uuid=3844fcc8-6da2-4877-87e2-f5634c26e2d8"]}],"mendeley":{"formattedCitation":"[2]","plainTextFormattedCitation":"[2]","previouslyFormattedCitation":"&lt;sup&gt;2&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[2]</w:t>
      </w:r>
      <w:r>
        <w:rPr>
          <w:rFonts w:ascii="Arial" w:hAnsi="Arial" w:cs="Arial"/>
        </w:rPr>
        <w:fldChar w:fldCharType="end"/>
      </w:r>
      <w:r w:rsidRPr="001F3B9B">
        <w:rPr>
          <w:rFonts w:ascii="Arial" w:hAnsi="Arial" w:cs="Arial"/>
        </w:rPr>
        <w:t xml:space="preserve">. </w:t>
      </w:r>
      <w:r w:rsidRPr="001F3B9B">
        <w:rPr>
          <w:rFonts w:ascii="Arial" w:hAnsi="Arial" w:cs="Arial"/>
          <w:lang w:val="id-ID"/>
        </w:rPr>
        <w:t>The active compound content and extract quality of medicinal plants can vary, influenced by factors such as seed type, growing location, climatic conditions, age and harvesting method, as well as post-harvest processing up to the final preparation stage. Therefore, extract standardization is crucial to ensure high-quality extracts before further processing on an industrial scale.</w:t>
      </w:r>
    </w:p>
    <w:p w14:paraId="1FD083FF" w14:textId="77777777" w:rsidR="000E4AB5" w:rsidRPr="001F3B9B" w:rsidRDefault="000E4AB5" w:rsidP="000E4AB5">
      <w:pPr>
        <w:tabs>
          <w:tab w:val="center" w:pos="4513"/>
          <w:tab w:val="right" w:pos="9026"/>
        </w:tabs>
        <w:jc w:val="both"/>
        <w:rPr>
          <w:rFonts w:ascii="Arial" w:hAnsi="Arial" w:cs="Arial"/>
          <w:lang w:val="id-ID"/>
        </w:rPr>
      </w:pPr>
    </w:p>
    <w:p w14:paraId="1D6499FE" w14:textId="663FFAE8" w:rsidR="000E4AB5" w:rsidRPr="001F3B9B" w:rsidRDefault="000E4AB5" w:rsidP="000E4AB5">
      <w:pPr>
        <w:tabs>
          <w:tab w:val="center" w:pos="4513"/>
          <w:tab w:val="right" w:pos="9026"/>
        </w:tabs>
        <w:jc w:val="both"/>
        <w:rPr>
          <w:rFonts w:ascii="Arial" w:hAnsi="Arial" w:cs="Arial"/>
        </w:rPr>
      </w:pPr>
      <w:r w:rsidRPr="001F3B9B">
        <w:rPr>
          <w:rFonts w:ascii="Arial" w:hAnsi="Arial" w:cs="Arial"/>
          <w:lang w:val="id-ID"/>
        </w:rPr>
        <w:t xml:space="preserve">One medicinal plant currently under extensive study is </w:t>
      </w:r>
      <w:r w:rsidRPr="001F3B9B">
        <w:rPr>
          <w:rFonts w:ascii="Arial" w:hAnsi="Arial" w:cs="Arial"/>
        </w:rPr>
        <w:t xml:space="preserve">white mangrove </w:t>
      </w:r>
      <w:r w:rsidRPr="001F3B9B">
        <w:rPr>
          <w:rFonts w:ascii="Arial" w:hAnsi="Arial" w:cs="Arial"/>
          <w:lang w:val="id-ID"/>
        </w:rPr>
        <w:t>(Avicennia marina), a type of mangrove that grows abundantly in coastal areas of Indonesia. Traditionally, the leaves and fruit are the most commonly used parts of the plant. Empirically, people have long used both parts of the plant to treat various ailments such as hepatitis, smallpox, rheumatism, and as an antifertility agent. In India, the crushed unripe fruit of the api-api plant is used as an ointment to treat skin abscesse</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{"citationItems":[{"id":"ITEM-1","itemData":{"ISSN":"1880-7682","abstract":"… Avicennia marina foliage as a salt enrichment nutrient for … fruits of a Beibu gulf mangrove Avicennia marina. Marine Drugs 12… Antiviral activity of Avicennia marina against herpes simplex …","author":[{"dropping-particle":"","family":"Baba","given":"Shigeyuki","non-dropping-particle":"","parse-names":false,"suffix":""},{"dropping-particle":"","family":"Chan","given":"Hung Tuck","non-dropping-particle":"","parse-names":false,"suffix":""},{"dropping-particle":"","family":"Oshiro","given":"Nozomi","non-dropping-particle":"","parse-names":false,"suffix":""},{"dropping-particle":"","family":"Maxwell","given":"Gordon S","non-dropping-particle":"","parse-names":false,"suffix":""},{"dropping-particle":"","family":"Inoue","given":"Tomomi","non-dropping-particle":"","parse-names":false,"suffix":""},{"dropping-particle":"","family":"Chan","given":"Eric W C","non-dropping-particle":"","parse-names":false,"suffix":""}],"container-title":"ISME/GLOMIS Electronic Journal ","id":"ITEM-1","issue":"2","issued":{"date-parts":[["2016"]]},"page":"5-10","title":"Botany, uses, chemistry and bioactivities of mangrove plants IV: Avicennia marina","type":"article-journal","volume":"14"},"uris":["http://www.mendeley.com/documents/?uuid=58f4ed5f-258d-4489-a584-a25e1f334ce6"]}],"mendeley":{"formattedCitation":"[3]","plainTextFormattedCitation":"[3]","previouslyFormattedCitation":"&lt;sup&gt;3&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[3]</w:t>
      </w:r>
      <w:r>
        <w:rPr>
          <w:rFonts w:ascii="Arial" w:hAnsi="Arial" w:cs="Arial"/>
        </w:rPr>
        <w:fldChar w:fldCharType="end"/>
      </w:r>
      <w:r w:rsidRPr="001F3B9B">
        <w:rPr>
          <w:rFonts w:ascii="Arial" w:hAnsi="Arial" w:cs="Arial"/>
          <w:lang w:val="id-ID"/>
        </w:rPr>
        <w:t>. Various studies have identified the bioactive compounds contained in Avicennia marina. Results indicate that this plant contains flavonoids, tannins, saponins, and alkaloids, which are known to possess various biological activities, such as antioxidant, antimicrobial, anticancer, and anti-inflammatory properties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{"citationItems":[{"id":"ITEM-1","itemData":{"DOI":"10.29303/jbt.v24i1b.7987","ISSN":"2549-7863","abstract":"&lt;p&gt;Indonesia, as a maritime nation, possesses numerous mangrove ecosystems that have significant potential for exploring their benefits. One species of mangrove that has attracted attention is Avicennia marina, which contains various bioactive compounds. This article aims to provide a comprehensive review of the bioactive components of the Avicennia marina plant and its biological activities, particularly its therapeutic potential and benefits in the pharmaceutical field. We conducted a literature search to find relevant articles in the PubMed, Scopus, and Google Scholar databases using the keywords: plant identification + Avicennia marina; compound identification + Avicennia marina; biological activity + Avicennia marina. The bioactive content from the leaves, fruits, stems, and roots of Avicennia marina has been shown to exhibit antioxidant, antimicrobial, anticancer, and anti-inflammatory effects. This effect is strongly correlated to the presence of active metabolites of triterpenes, terpene alcohols, diterpenes, tannins, dodecanoic acid, octadecanoic acid, phenolic compound, flavonoid, squalene, and phytol. This indicates that Avicennia marina is a promising natural source for further research in the development of a new drug. Our finding further the notion of Avicennia marina as a potential medicinal plant.&lt;/p&gt;","author":[{"dropping-particle":"","family":"Budastra","given":"Cintya","non-dropping-particle":"","parse-names":false,"suffix":""},{"dropping-particle":"","family":"Ulya","given":"Tuhfatul","non-dropping-particle":"","parse-names":false,"suffix":""},{"dropping-particle":"","family":"Maulidya","given":"Selvira Anandia Intan","non-dropping-particle":"","parse-names":false,"suffix":""},{"dropping-particle":"","family":"Purnomo","given":"Indra","non-dropping-particle":"","parse-names":false,"suffix":""},{"dropping-particle":"","family":"Lisnasari","given":"Baiq Risky Wahyu","non-dropping-particle":"","parse-names":false,"suffix":""},{"dropping-particle":"","family":"Permatasari","given":"Lina","non-dropping-particle":"","parse-names":false,"suffix":""}],"container-title":"Jurnal Biologi Tropis","id":"ITEM-1","issue":"1b","issued":{"date-parts":[["2024","12","15"]]},"page":"474-481","title":"Literature Review: Exploration of Bioactive Components of Avicennia marina and Its Biological Activities","type":"article-journal","volume":"24"},"uris":["http://www.mendeley.com/documents/?uuid=08a74653-0e62-3dd5-8d22-e002ade700c2"]}],"mendeley":{"formattedCitation":"[4]","plainTextFormattedCitation":"[4]","previouslyFormattedCitation":"&lt;sup&gt;4&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[4]</w:t>
      </w:r>
      <w:r>
        <w:rPr>
          <w:rFonts w:ascii="Arial" w:hAnsi="Arial" w:cs="Arial"/>
        </w:rPr>
        <w:fldChar w:fldCharType="end"/>
      </w:r>
      <w:r w:rsidRPr="001F3B9B">
        <w:rPr>
          <w:rFonts w:ascii="Arial" w:hAnsi="Arial" w:cs="Arial"/>
        </w:rPr>
        <w:t>.</w:t>
      </w:r>
    </w:p>
    <w:p w14:paraId="37745C46" w14:textId="77777777" w:rsidR="000E4AB5" w:rsidRDefault="000E4AB5" w:rsidP="000E4AB5">
      <w:pPr>
        <w:tabs>
          <w:tab w:val="center" w:pos="4513"/>
          <w:tab w:val="right" w:pos="9026"/>
        </w:tabs>
        <w:jc w:val="both"/>
        <w:rPr>
          <w:rFonts w:ascii="Arial" w:hAnsi="Arial" w:cs="Arial"/>
          <w:lang w:val="id-ID"/>
        </w:rPr>
      </w:pPr>
    </w:p>
    <w:p w14:paraId="0604A959" w14:textId="77777777" w:rsidR="000E4AB5" w:rsidRPr="001F3B9B" w:rsidRDefault="000E4AB5" w:rsidP="000E4AB5">
      <w:pPr>
        <w:tabs>
          <w:tab w:val="center" w:pos="4513"/>
          <w:tab w:val="right" w:pos="9026"/>
        </w:tabs>
        <w:jc w:val="both"/>
        <w:rPr>
          <w:rFonts w:ascii="Arial" w:hAnsi="Arial" w:cs="Arial"/>
          <w:lang w:val="id-ID"/>
        </w:rPr>
      </w:pPr>
      <w:r w:rsidRPr="001F3B9B">
        <w:rPr>
          <w:rFonts w:ascii="Arial" w:hAnsi="Arial" w:cs="Arial"/>
          <w:lang w:val="id-ID"/>
        </w:rPr>
        <w:t>Based on this description, this study will standardiz</w:t>
      </w:r>
      <w:proofErr w:type="spellStart"/>
      <w:r w:rsidRPr="001F3B9B">
        <w:rPr>
          <w:rFonts w:ascii="Arial" w:hAnsi="Arial" w:cs="Arial"/>
        </w:rPr>
        <w:t>ation</w:t>
      </w:r>
      <w:proofErr w:type="spellEnd"/>
      <w:r w:rsidRPr="001F3B9B">
        <w:rPr>
          <w:rFonts w:ascii="Arial" w:hAnsi="Arial" w:cs="Arial"/>
          <w:lang w:val="id-ID"/>
        </w:rPr>
        <w:t xml:space="preserve"> the mangrove white extract to determine whether it meets standardization parameters before being used for therapy.</w:t>
      </w:r>
    </w:p>
    <w:p w14:paraId="4EF3E483" w14:textId="77777777" w:rsidR="00790ADA" w:rsidRPr="00FB3A86" w:rsidRDefault="00790ADA" w:rsidP="00441B6F">
      <w:pPr>
        <w:pStyle w:val="Body"/>
        <w:spacing w:after="0"/>
        <w:rPr>
          <w:rFonts w:ascii="Arial" w:hAnsi="Arial" w:cs="Arial"/>
        </w:rPr>
      </w:pPr>
    </w:p>
    <w:p w14:paraId="7D925F3C" w14:textId="01C0615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5C8558" w14:textId="77777777" w:rsidR="00790ADA" w:rsidRPr="00FB3A86" w:rsidRDefault="00790ADA" w:rsidP="00441B6F">
      <w:pPr>
        <w:pStyle w:val="AbstHead"/>
        <w:spacing w:after="0"/>
        <w:jc w:val="both"/>
        <w:rPr>
          <w:rFonts w:ascii="Arial" w:hAnsi="Arial" w:cs="Arial"/>
        </w:rPr>
      </w:pPr>
    </w:p>
    <w:p w14:paraId="0298C550" w14:textId="77777777" w:rsidR="000E4AB5" w:rsidRPr="0008465F" w:rsidRDefault="000E4AB5" w:rsidP="000E4AB5">
      <w:pPr>
        <w:pBdr>
          <w:top w:val="nil"/>
          <w:left w:val="nil"/>
          <w:bottom w:val="nil"/>
          <w:right w:val="nil"/>
          <w:between w:val="nil"/>
        </w:pBdr>
        <w:jc w:val="both"/>
        <w:rPr>
          <w:rFonts w:ascii="Arial" w:eastAsia="Cambria" w:hAnsi="Arial" w:cs="Arial"/>
          <w:color w:val="000000"/>
        </w:rPr>
      </w:pPr>
      <w:r w:rsidRPr="0008465F">
        <w:rPr>
          <w:rFonts w:ascii="Arial" w:eastAsia="Cambria" w:hAnsi="Arial" w:cs="Arial"/>
          <w:color w:val="000000"/>
        </w:rPr>
        <w:t>The study was tools used are glassware, analytical scales, test tube racks, stirring rods, ovens, desiccators, measuring cups, blenders, water baths, rotary evaporators, test tubes, dropper pipettes, filter paper, capillary tubes, dropper plates, chambers, silica gel plates 60 F</w:t>
      </w:r>
      <w:r w:rsidRPr="0008465F">
        <w:rPr>
          <w:rFonts w:ascii="Arial" w:eastAsia="Cambria" w:hAnsi="Arial" w:cs="Arial"/>
          <w:color w:val="000000"/>
          <w:vertAlign w:val="subscript"/>
        </w:rPr>
        <w:t>254</w:t>
      </w:r>
      <w:r w:rsidRPr="0008465F">
        <w:rPr>
          <w:rFonts w:ascii="Arial" w:eastAsia="Cambria" w:hAnsi="Arial" w:cs="Arial"/>
          <w:color w:val="000000"/>
        </w:rPr>
        <w:t>, UV lamps 254 nm, porcelain crucibles, muffles.</w:t>
      </w:r>
    </w:p>
    <w:p w14:paraId="39D641D7" w14:textId="77777777" w:rsidR="000E4AB5" w:rsidRDefault="000E4AB5" w:rsidP="000E4AB5">
      <w:pPr>
        <w:keepNext/>
        <w:keepLines/>
        <w:pBdr>
          <w:top w:val="nil"/>
          <w:left w:val="nil"/>
          <w:bottom w:val="nil"/>
          <w:right w:val="nil"/>
          <w:between w:val="nil"/>
        </w:pBdr>
        <w:jc w:val="both"/>
        <w:rPr>
          <w:rFonts w:ascii="Arial" w:eastAsia="Cambria" w:hAnsi="Arial" w:cs="Arial"/>
          <w:color w:val="000000"/>
        </w:rPr>
      </w:pPr>
      <w:bookmarkStart w:id="1" w:name="_heading=h.gjdgxs" w:colFirst="0" w:colLast="0"/>
      <w:bookmarkEnd w:id="1"/>
    </w:p>
    <w:p w14:paraId="6BA89C4A" w14:textId="77777777" w:rsidR="000E4AB5" w:rsidRPr="0008465F" w:rsidRDefault="000E4AB5" w:rsidP="000E4AB5">
      <w:pPr>
        <w:keepNext/>
        <w:keepLines/>
        <w:pBdr>
          <w:top w:val="nil"/>
          <w:left w:val="nil"/>
          <w:bottom w:val="nil"/>
          <w:right w:val="nil"/>
          <w:between w:val="nil"/>
        </w:pBdr>
        <w:jc w:val="both"/>
        <w:rPr>
          <w:rFonts w:ascii="Arial" w:eastAsia="Cambria" w:hAnsi="Arial" w:cs="Arial"/>
          <w:color w:val="000000"/>
        </w:rPr>
      </w:pPr>
      <w:r w:rsidRPr="0008465F">
        <w:rPr>
          <w:rFonts w:ascii="Arial" w:eastAsia="Cambria" w:hAnsi="Arial" w:cs="Arial"/>
          <w:color w:val="000000"/>
        </w:rPr>
        <w:t xml:space="preserve">The materials used in this research were mangrove white taken from the </w:t>
      </w:r>
      <w:proofErr w:type="spellStart"/>
      <w:r w:rsidRPr="0008465F">
        <w:rPr>
          <w:rFonts w:ascii="Arial" w:eastAsia="Cambria" w:hAnsi="Arial" w:cs="Arial"/>
          <w:color w:val="000000"/>
        </w:rPr>
        <w:t>Mangkang</w:t>
      </w:r>
      <w:proofErr w:type="spellEnd"/>
      <w:r w:rsidRPr="0008465F">
        <w:rPr>
          <w:rFonts w:ascii="Arial" w:eastAsia="Cambria" w:hAnsi="Arial" w:cs="Arial"/>
          <w:color w:val="000000"/>
        </w:rPr>
        <w:t xml:space="preserve"> area, Semarang, Central Java, the </w:t>
      </w:r>
      <w:proofErr w:type="spellStart"/>
      <w:r w:rsidRPr="0008465F">
        <w:rPr>
          <w:rFonts w:ascii="Arial" w:eastAsia="Cambria" w:hAnsi="Arial" w:cs="Arial"/>
          <w:color w:val="000000"/>
        </w:rPr>
        <w:t>Buros</w:t>
      </w:r>
      <w:proofErr w:type="spellEnd"/>
      <w:r w:rsidRPr="0008465F">
        <w:rPr>
          <w:rFonts w:ascii="Arial" w:eastAsia="Cambria" w:hAnsi="Arial" w:cs="Arial"/>
          <w:color w:val="000000"/>
        </w:rPr>
        <w:t xml:space="preserve"> River, Yogyakarta, and the </w:t>
      </w:r>
      <w:proofErr w:type="spellStart"/>
      <w:r w:rsidRPr="0008465F">
        <w:rPr>
          <w:rFonts w:ascii="Arial" w:eastAsia="Cambria" w:hAnsi="Arial" w:cs="Arial"/>
          <w:color w:val="000000"/>
        </w:rPr>
        <w:t>Awur</w:t>
      </w:r>
      <w:proofErr w:type="spellEnd"/>
      <w:r w:rsidRPr="0008465F">
        <w:rPr>
          <w:rFonts w:ascii="Arial" w:eastAsia="Cambria" w:hAnsi="Arial" w:cs="Arial"/>
          <w:color w:val="000000"/>
        </w:rPr>
        <w:t xml:space="preserve"> Bay Coast, </w:t>
      </w:r>
      <w:proofErr w:type="spellStart"/>
      <w:r w:rsidRPr="0008465F">
        <w:rPr>
          <w:rFonts w:ascii="Arial" w:eastAsia="Cambria" w:hAnsi="Arial" w:cs="Arial"/>
          <w:color w:val="000000"/>
        </w:rPr>
        <w:t>Jepara</w:t>
      </w:r>
      <w:proofErr w:type="spellEnd"/>
      <w:r w:rsidRPr="0008465F">
        <w:rPr>
          <w:rFonts w:ascii="Arial" w:eastAsia="Cambria" w:hAnsi="Arial" w:cs="Arial"/>
          <w:color w:val="000000"/>
        </w:rPr>
        <w:t xml:space="preserve"> Regency. </w:t>
      </w:r>
      <w:proofErr w:type="spellStart"/>
      <w:r w:rsidRPr="0008465F">
        <w:rPr>
          <w:rFonts w:ascii="Arial" w:eastAsia="Cambria" w:hAnsi="Arial" w:cs="Arial"/>
          <w:color w:val="000000"/>
        </w:rPr>
        <w:t>Sulfanilic</w:t>
      </w:r>
      <w:proofErr w:type="spellEnd"/>
      <w:r w:rsidRPr="0008465F">
        <w:rPr>
          <w:rFonts w:ascii="Arial" w:eastAsia="Cambria" w:hAnsi="Arial" w:cs="Arial"/>
          <w:color w:val="000000"/>
        </w:rPr>
        <w:t xml:space="preserve"> acid, NaNO</w:t>
      </w:r>
      <w:r w:rsidRPr="0008465F">
        <w:rPr>
          <w:rFonts w:ascii="Arial" w:eastAsia="Cambria" w:hAnsi="Arial" w:cs="Arial"/>
          <w:color w:val="000000"/>
          <w:vertAlign w:val="subscript"/>
        </w:rPr>
        <w:t>2</w:t>
      </w:r>
      <w:r w:rsidRPr="0008465F">
        <w:rPr>
          <w:rFonts w:ascii="Arial" w:eastAsia="Cambria" w:hAnsi="Arial" w:cs="Arial"/>
          <w:color w:val="000000"/>
        </w:rPr>
        <w:t>, NaOH, HCl, 25% ammonia, chloroform, distilled water, Mg powder, amyl alcohol, FeCl</w:t>
      </w:r>
      <w:r w:rsidRPr="0008465F">
        <w:rPr>
          <w:rFonts w:ascii="Arial" w:eastAsia="Cambria" w:hAnsi="Arial" w:cs="Arial"/>
          <w:color w:val="000000"/>
          <w:vertAlign w:val="subscript"/>
        </w:rPr>
        <w:t>3</w:t>
      </w:r>
      <w:r w:rsidRPr="0008465F">
        <w:rPr>
          <w:rFonts w:ascii="Arial" w:eastAsia="Cambria" w:hAnsi="Arial" w:cs="Arial"/>
          <w:color w:val="000000"/>
        </w:rPr>
        <w:t xml:space="preserve">, NaCl, gelatin, </w:t>
      </w:r>
      <w:proofErr w:type="spellStart"/>
      <w:r w:rsidRPr="0008465F">
        <w:rPr>
          <w:rFonts w:ascii="Arial" w:eastAsia="Cambria" w:hAnsi="Arial" w:cs="Arial"/>
          <w:color w:val="000000"/>
        </w:rPr>
        <w:t>Dragendorff's</w:t>
      </w:r>
      <w:proofErr w:type="spellEnd"/>
      <w:r w:rsidRPr="0008465F">
        <w:rPr>
          <w:rFonts w:ascii="Arial" w:eastAsia="Cambria" w:hAnsi="Arial" w:cs="Arial"/>
          <w:color w:val="000000"/>
        </w:rPr>
        <w:t xml:space="preserve"> reagent, Mayer's reagent, </w:t>
      </w:r>
      <w:proofErr w:type="spellStart"/>
      <w:r w:rsidRPr="0008465F">
        <w:rPr>
          <w:rFonts w:ascii="Arial" w:eastAsia="Cambria" w:hAnsi="Arial" w:cs="Arial"/>
          <w:color w:val="000000"/>
        </w:rPr>
        <w:t>Bouchardat's</w:t>
      </w:r>
      <w:proofErr w:type="spellEnd"/>
      <w:r w:rsidRPr="0008465F">
        <w:rPr>
          <w:rFonts w:ascii="Arial" w:eastAsia="Cambria" w:hAnsi="Arial" w:cs="Arial"/>
          <w:color w:val="000000"/>
        </w:rPr>
        <w:t xml:space="preserve"> reagent, anhydrous acetic acid, H</w:t>
      </w:r>
      <w:r w:rsidRPr="0008465F">
        <w:rPr>
          <w:rFonts w:ascii="Arial" w:eastAsia="Cambria" w:hAnsi="Arial" w:cs="Arial"/>
          <w:color w:val="000000"/>
          <w:vertAlign w:val="subscript"/>
        </w:rPr>
        <w:t>2</w:t>
      </w:r>
      <w:r w:rsidRPr="0008465F">
        <w:rPr>
          <w:rFonts w:ascii="Arial" w:eastAsia="Cambria" w:hAnsi="Arial" w:cs="Arial"/>
          <w:color w:val="000000"/>
        </w:rPr>
        <w:t>SO</w:t>
      </w:r>
      <w:r w:rsidRPr="0008465F">
        <w:rPr>
          <w:rFonts w:ascii="Arial" w:eastAsia="Cambria" w:hAnsi="Arial" w:cs="Arial"/>
          <w:color w:val="000000"/>
          <w:vertAlign w:val="subscript"/>
        </w:rPr>
        <w:t>4</w:t>
      </w:r>
      <w:r w:rsidRPr="0008465F">
        <w:rPr>
          <w:rFonts w:ascii="Arial" w:eastAsia="Cambria" w:hAnsi="Arial" w:cs="Arial"/>
          <w:color w:val="000000"/>
        </w:rPr>
        <w:t>.</w:t>
      </w:r>
    </w:p>
    <w:p w14:paraId="1129C1BB" w14:textId="77777777" w:rsidR="00790ADA" w:rsidRPr="00FB3A86" w:rsidRDefault="00790ADA" w:rsidP="00441B6F">
      <w:pPr>
        <w:pStyle w:val="Body"/>
        <w:spacing w:after="0"/>
        <w:rPr>
          <w:rFonts w:ascii="Arial" w:hAnsi="Arial" w:cs="Arial"/>
        </w:rPr>
      </w:pPr>
    </w:p>
    <w:p w14:paraId="1564D0DC" w14:textId="3B9C9CD4" w:rsidR="000E4AB5" w:rsidRDefault="00AA74E0" w:rsidP="000E4AB5">
      <w:pPr>
        <w:pStyle w:val="Body"/>
        <w:spacing w:after="0"/>
        <w:rPr>
          <w:rFonts w:ascii="Arial" w:hAnsi="Arial" w:cs="Arial"/>
          <w:b/>
          <w:sz w:val="22"/>
        </w:rPr>
      </w:pPr>
      <w:r w:rsidRPr="00C30A0F">
        <w:rPr>
          <w:rFonts w:ascii="Arial" w:hAnsi="Arial" w:cs="Arial"/>
          <w:b/>
          <w:caps/>
          <w:sz w:val="22"/>
        </w:rPr>
        <w:t xml:space="preserve">2.1 </w:t>
      </w:r>
      <w:r w:rsidR="000E4AB5">
        <w:rPr>
          <w:rFonts w:ascii="Arial" w:hAnsi="Arial" w:cs="Arial"/>
          <w:b/>
          <w:sz w:val="22"/>
        </w:rPr>
        <w:t>White Mangrove</w:t>
      </w:r>
      <w:r w:rsidR="000E4AB5">
        <w:rPr>
          <w:rFonts w:ascii="Arial" w:hAnsi="Arial" w:cs="Arial"/>
          <w:b/>
          <w:caps/>
          <w:sz w:val="22"/>
        </w:rPr>
        <w:t xml:space="preserve"> </w:t>
      </w:r>
      <w:r w:rsidR="000E4AB5">
        <w:rPr>
          <w:rFonts w:ascii="Arial" w:hAnsi="Arial" w:cs="Arial"/>
          <w:b/>
          <w:sz w:val="22"/>
        </w:rPr>
        <w:t>Preparation</w:t>
      </w:r>
    </w:p>
    <w:p w14:paraId="26A5EC99" w14:textId="77777777" w:rsidR="000E4AB5" w:rsidRDefault="000E4AB5" w:rsidP="000E4AB5">
      <w:pPr>
        <w:jc w:val="both"/>
        <w:rPr>
          <w:rFonts w:ascii="Arial" w:eastAsia="Cambria" w:hAnsi="Arial" w:cs="Arial"/>
          <w:color w:val="000000"/>
        </w:rPr>
      </w:pPr>
    </w:p>
    <w:p w14:paraId="57AD376D" w14:textId="23DD1C43" w:rsidR="000E4AB5" w:rsidRPr="00153C60" w:rsidRDefault="000E4AB5" w:rsidP="000E4AB5">
      <w:pPr>
        <w:jc w:val="both"/>
        <w:rPr>
          <w:rFonts w:ascii="Arial" w:hAnsi="Arial" w:cs="Arial"/>
          <w:bCs/>
          <w:iCs/>
          <w:szCs w:val="24"/>
        </w:rPr>
      </w:pPr>
      <w:r w:rsidRPr="00153C60">
        <w:rPr>
          <w:rFonts w:ascii="Arial" w:eastAsia="Cambria" w:hAnsi="Arial" w:cs="Arial"/>
          <w:color w:val="000000"/>
        </w:rPr>
        <w:t xml:space="preserve">White mangrove was extracted using maceration. </w:t>
      </w:r>
      <w:r w:rsidRPr="00153C60">
        <w:rPr>
          <w:rFonts w:ascii="Arial" w:hAnsi="Arial" w:cs="Arial"/>
          <w:bCs/>
          <w:iCs/>
          <w:szCs w:val="24"/>
        </w:rPr>
        <w:t>A total of 300 g of white mangrove was extracted with 3000 ml 96% ethanol which was carried out at room temperature (25</w:t>
      </w:r>
      <w:r w:rsidRPr="00153C60">
        <w:rPr>
          <w:rFonts w:ascii="Arial" w:hAnsi="Arial" w:cs="Arial"/>
          <w:bCs/>
          <w:iCs/>
          <w:szCs w:val="24"/>
          <w:vertAlign w:val="superscript"/>
        </w:rPr>
        <w:t>o</w:t>
      </w:r>
      <w:r w:rsidRPr="00153C60">
        <w:rPr>
          <w:rFonts w:ascii="Arial" w:hAnsi="Arial" w:cs="Arial"/>
          <w:bCs/>
          <w:iCs/>
          <w:szCs w:val="24"/>
        </w:rPr>
        <w:t>C) 3x24 hours with occasional stirring. The filtrate obtained was evaporated with an evaporator using a temperature of 50</w:t>
      </w:r>
      <w:r w:rsidRPr="00153C60">
        <w:rPr>
          <w:rFonts w:ascii="Arial" w:hAnsi="Arial" w:cs="Arial"/>
          <w:bCs/>
          <w:iCs/>
          <w:szCs w:val="24"/>
          <w:vertAlign w:val="superscript"/>
        </w:rPr>
        <w:t>o</w:t>
      </w:r>
      <w:r w:rsidRPr="00153C60">
        <w:rPr>
          <w:rFonts w:ascii="Arial" w:hAnsi="Arial" w:cs="Arial"/>
          <w:bCs/>
          <w:iCs/>
          <w:szCs w:val="24"/>
        </w:rPr>
        <w:t>C until a thick extract was obtained</w:t>
      </w:r>
      <w:r>
        <w:rPr>
          <w:rFonts w:ascii="Arial" w:hAnsi="Arial" w:cs="Arial"/>
          <w:bCs/>
          <w:iCs/>
          <w:szCs w:val="24"/>
        </w:rPr>
        <w:t xml:space="preserve"> </w:t>
      </w:r>
      <w:r>
        <w:rPr>
          <w:rFonts w:ascii="Arial" w:hAnsi="Arial" w:cs="Arial"/>
          <w:bCs/>
          <w:iCs/>
          <w:szCs w:val="24"/>
        </w:rPr>
        <w:fldChar w:fldCharType="begin" w:fldLock="1"/>
      </w:r>
      <w:r w:rsidR="00DD5BA0">
        <w:rPr>
          <w:rFonts w:ascii="Arial" w:hAnsi="Arial" w:cs="Arial"/>
          <w:bCs/>
          <w:iCs/>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bCs/>
          <w:iCs/>
          <w:szCs w:val="24"/>
        </w:rPr>
        <w:fldChar w:fldCharType="separate"/>
      </w:r>
      <w:r w:rsidR="00DD5BA0" w:rsidRPr="00DD5BA0">
        <w:rPr>
          <w:rFonts w:ascii="Arial" w:hAnsi="Arial" w:cs="Arial"/>
          <w:bCs/>
          <w:iCs/>
          <w:noProof/>
          <w:szCs w:val="24"/>
        </w:rPr>
        <w:t>[5]</w:t>
      </w:r>
      <w:r>
        <w:rPr>
          <w:rFonts w:ascii="Arial" w:hAnsi="Arial" w:cs="Arial"/>
          <w:bCs/>
          <w:iCs/>
          <w:szCs w:val="24"/>
        </w:rPr>
        <w:fldChar w:fldCharType="end"/>
      </w:r>
      <w:r>
        <w:rPr>
          <w:rFonts w:ascii="Arial" w:hAnsi="Arial" w:cs="Arial"/>
          <w:bCs/>
          <w:iCs/>
          <w:szCs w:val="24"/>
        </w:rPr>
        <w:t>.</w:t>
      </w:r>
    </w:p>
    <w:p w14:paraId="09F9E805" w14:textId="52E186A2" w:rsidR="00AA74E0" w:rsidRDefault="00AA74E0" w:rsidP="00441B6F">
      <w:pPr>
        <w:pStyle w:val="Body"/>
        <w:spacing w:after="0"/>
        <w:rPr>
          <w:rFonts w:ascii="Arial" w:hAnsi="Arial" w:cs="Arial"/>
        </w:rPr>
      </w:pPr>
    </w:p>
    <w:p w14:paraId="73E3C149" w14:textId="77777777" w:rsidR="000E4AB5" w:rsidRPr="006A01CA" w:rsidRDefault="000E4AB5" w:rsidP="000E4AB5">
      <w:pPr>
        <w:pStyle w:val="Heading1"/>
        <w:numPr>
          <w:ilvl w:val="1"/>
          <w:numId w:val="31"/>
        </w:numPr>
        <w:tabs>
          <w:tab w:val="num" w:pos="360"/>
        </w:tabs>
        <w:ind w:left="0" w:firstLine="0"/>
        <w:jc w:val="both"/>
        <w:rPr>
          <w:sz w:val="22"/>
          <w:szCs w:val="22"/>
        </w:rPr>
      </w:pPr>
      <w:r w:rsidRPr="006A01CA">
        <w:rPr>
          <w:sz w:val="22"/>
          <w:szCs w:val="22"/>
        </w:rPr>
        <w:t>St</w:t>
      </w:r>
      <w:r>
        <w:rPr>
          <w:sz w:val="22"/>
          <w:szCs w:val="22"/>
        </w:rPr>
        <w:t xml:space="preserve">andardization of </w:t>
      </w:r>
      <w:proofErr w:type="spellStart"/>
      <w:r>
        <w:rPr>
          <w:sz w:val="22"/>
          <w:szCs w:val="22"/>
        </w:rPr>
        <w:t>Spesific</w:t>
      </w:r>
      <w:proofErr w:type="spellEnd"/>
      <w:r>
        <w:rPr>
          <w:sz w:val="22"/>
          <w:szCs w:val="22"/>
        </w:rPr>
        <w:t xml:space="preserve"> Parameters</w:t>
      </w:r>
    </w:p>
    <w:p w14:paraId="5346CD6D" w14:textId="77777777" w:rsidR="00505F06" w:rsidRDefault="00505F06" w:rsidP="00441B6F">
      <w:pPr>
        <w:pStyle w:val="Body"/>
        <w:spacing w:after="0"/>
        <w:rPr>
          <w:rFonts w:ascii="Arial" w:hAnsi="Arial" w:cs="Arial"/>
        </w:rPr>
      </w:pPr>
    </w:p>
    <w:p w14:paraId="7BB4A4E0" w14:textId="15DEA2F6" w:rsidR="00F60FE3" w:rsidRDefault="000E4AB5" w:rsidP="00F60FE3">
      <w:pPr>
        <w:pStyle w:val="Body"/>
        <w:numPr>
          <w:ilvl w:val="2"/>
          <w:numId w:val="31"/>
        </w:numPr>
        <w:spacing w:after="0"/>
        <w:ind w:left="567" w:hanging="567"/>
        <w:rPr>
          <w:rFonts w:ascii="Arial" w:hAnsi="Arial" w:cs="Arial"/>
          <w:b/>
          <w:u w:val="single"/>
        </w:rPr>
      </w:pPr>
      <w:r>
        <w:rPr>
          <w:rFonts w:ascii="Arial" w:hAnsi="Arial" w:cs="Arial"/>
          <w:b/>
          <w:u w:val="single"/>
        </w:rPr>
        <w:t>Organoleptic</w:t>
      </w:r>
    </w:p>
    <w:p w14:paraId="191E6347" w14:textId="77777777" w:rsidR="00F60FE3" w:rsidRDefault="00F60FE3" w:rsidP="00F60FE3">
      <w:pPr>
        <w:pStyle w:val="Body"/>
        <w:spacing w:after="0"/>
        <w:ind w:left="567"/>
        <w:rPr>
          <w:rFonts w:ascii="Arial" w:hAnsi="Arial" w:cs="Arial"/>
          <w:b/>
          <w:u w:val="single"/>
        </w:rPr>
      </w:pPr>
    </w:p>
    <w:p w14:paraId="6329134D" w14:textId="212485B3" w:rsidR="00505F06" w:rsidRDefault="000E4AB5" w:rsidP="00F60FE3">
      <w:pPr>
        <w:pStyle w:val="Body"/>
        <w:spacing w:after="0"/>
        <w:rPr>
          <w:rFonts w:ascii="Arial" w:hAnsi="Arial" w:cs="Arial"/>
          <w:lang w:val="sv-SE"/>
        </w:rPr>
      </w:pPr>
      <w:r w:rsidRPr="00153C60">
        <w:rPr>
          <w:rFonts w:ascii="Arial" w:hAnsi="Arial" w:cs="Arial"/>
          <w:lang w:val="sv-SE"/>
        </w:rPr>
        <w:t>Macroscopic observations of the physical properties of the extract, such as color, shape, aroma, and taste, are carried out. Organoleptic testing aims to provide information on the characteristics of the extract, thus assisting in the standardization and identification of the quality of natural raw materials</w:t>
      </w:r>
      <w:r>
        <w:rPr>
          <w:rFonts w:ascii="Arial" w:hAnsi="Arial" w:cs="Arial"/>
          <w:lang w:val="sv-SE"/>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p>
    <w:p w14:paraId="7DF95085" w14:textId="0ED9CEE9" w:rsidR="00F60FE3" w:rsidRDefault="00F60FE3" w:rsidP="00F60FE3">
      <w:pPr>
        <w:pStyle w:val="Body"/>
        <w:spacing w:after="0"/>
        <w:rPr>
          <w:rFonts w:ascii="Arial" w:hAnsi="Arial" w:cs="Arial"/>
        </w:rPr>
      </w:pPr>
    </w:p>
    <w:p w14:paraId="5712D23A"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The Essence is Dissolved in Water Solvent</w:t>
      </w:r>
    </w:p>
    <w:p w14:paraId="0817E266" w14:textId="77777777" w:rsidR="00F60FE3" w:rsidRPr="00153C60" w:rsidRDefault="00F60FE3" w:rsidP="00F60FE3">
      <w:pPr>
        <w:pStyle w:val="ListParagraph"/>
        <w:jc w:val="both"/>
        <w:rPr>
          <w:rFonts w:ascii="Arial" w:hAnsi="Arial" w:cs="Arial"/>
          <w:b/>
          <w:szCs w:val="24"/>
        </w:rPr>
      </w:pPr>
    </w:p>
    <w:p w14:paraId="1755290A" w14:textId="0A1C8F00" w:rsidR="00F60FE3" w:rsidRPr="00153C60" w:rsidRDefault="00F60FE3" w:rsidP="00F60FE3">
      <w:pPr>
        <w:jc w:val="both"/>
        <w:rPr>
          <w:rFonts w:ascii="Arial" w:hAnsi="Arial" w:cs="Arial"/>
          <w:lang w:val="sv-SE"/>
        </w:rPr>
      </w:pPr>
      <w:r w:rsidRPr="00153C60">
        <w:rPr>
          <w:rFonts w:ascii="Arial" w:hAnsi="Arial" w:cs="Arial"/>
        </w:rPr>
        <w:t xml:space="preserve">The process began by </w:t>
      </w:r>
      <w:proofErr w:type="spellStart"/>
      <w:r w:rsidRPr="00153C60">
        <w:rPr>
          <w:rFonts w:ascii="Arial" w:hAnsi="Arial" w:cs="Arial"/>
        </w:rPr>
        <w:t>disosolving</w:t>
      </w:r>
      <w:proofErr w:type="spellEnd"/>
      <w:r w:rsidRPr="00153C60">
        <w:rPr>
          <w:rFonts w:ascii="Arial" w:hAnsi="Arial" w:cs="Arial"/>
        </w:rPr>
        <w:t xml:space="preserve"> 5 grams of the extract in 100 mL chloroform for 24 hours, using a clogged flask while shaking frequently for the first 6 hours. It was then left to stand </w:t>
      </w:r>
      <w:r w:rsidRPr="00153C60">
        <w:rPr>
          <w:rFonts w:ascii="Arial" w:hAnsi="Arial" w:cs="Arial"/>
        </w:rPr>
        <w:lastRenderedPageBreak/>
        <w:t xml:space="preserve">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39143123" w14:textId="77777777" w:rsidR="00F60FE3" w:rsidRPr="00153C60" w:rsidRDefault="00F60FE3" w:rsidP="00F60FE3">
      <w:pPr>
        <w:jc w:val="both"/>
        <w:rPr>
          <w:rFonts w:ascii="Arial" w:hAnsi="Arial" w:cs="Arial"/>
          <w:bCs/>
          <w:szCs w:val="24"/>
        </w:rPr>
      </w:pPr>
    </w:p>
    <w:p w14:paraId="56ADD0A6"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The Essence is Dissolved in Ethanol Solvent</w:t>
      </w:r>
    </w:p>
    <w:p w14:paraId="652A4E56" w14:textId="77777777" w:rsidR="00F60FE3" w:rsidRPr="00153C60" w:rsidRDefault="00F60FE3" w:rsidP="00F60FE3">
      <w:pPr>
        <w:pStyle w:val="ListParagraph"/>
        <w:ind w:left="567"/>
        <w:jc w:val="both"/>
        <w:rPr>
          <w:rFonts w:ascii="Arial" w:hAnsi="Arial" w:cs="Arial"/>
          <w:b/>
          <w:szCs w:val="24"/>
        </w:rPr>
      </w:pPr>
    </w:p>
    <w:p w14:paraId="230C37E0" w14:textId="267BDBE7" w:rsidR="00F60FE3" w:rsidRPr="00153C60" w:rsidRDefault="00F60FE3" w:rsidP="00F60FE3">
      <w:pPr>
        <w:jc w:val="both"/>
        <w:rPr>
          <w:rFonts w:ascii="Arial" w:hAnsi="Arial" w:cs="Arial"/>
          <w:lang w:val="sv-SE"/>
        </w:rPr>
      </w:pPr>
      <w:r w:rsidRPr="00153C60">
        <w:rPr>
          <w:rFonts w:ascii="Arial" w:hAnsi="Arial" w:cs="Arial"/>
        </w:rPr>
        <w:t xml:space="preserve">The process began by </w:t>
      </w:r>
      <w:proofErr w:type="spellStart"/>
      <w:r w:rsidRPr="00153C60">
        <w:rPr>
          <w:rFonts w:ascii="Arial" w:hAnsi="Arial" w:cs="Arial"/>
        </w:rPr>
        <w:t>disosolving</w:t>
      </w:r>
      <w:proofErr w:type="spellEnd"/>
      <w:r w:rsidRPr="00153C60">
        <w:rPr>
          <w:rFonts w:ascii="Arial" w:hAnsi="Arial" w:cs="Arial"/>
        </w:rPr>
        <w:t xml:space="preserve"> 5 grams of the extract </w:t>
      </w:r>
      <w:r w:rsidRPr="00153C60">
        <w:rPr>
          <w:rFonts w:ascii="Arial" w:hAnsi="Arial" w:cs="Arial"/>
          <w:lang w:eastAsia="zh-CN"/>
        </w:rPr>
        <w:t xml:space="preserve">in 100 mL of 70% ethanol for 24 hours, using a clogged flask while shaking repeatedly for the first 6 hours. It was then left to stand 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4E37F95" w14:textId="77777777" w:rsidR="00F60FE3" w:rsidRDefault="00F60FE3" w:rsidP="00F60FE3">
      <w:pPr>
        <w:pStyle w:val="Body"/>
        <w:spacing w:after="0"/>
        <w:rPr>
          <w:rFonts w:ascii="Arial" w:hAnsi="Arial" w:cs="Arial"/>
        </w:rPr>
      </w:pPr>
    </w:p>
    <w:p w14:paraId="5A381368" w14:textId="4B4BB111" w:rsidR="00F60FE3" w:rsidRDefault="00F60FE3" w:rsidP="00F60FE3">
      <w:pPr>
        <w:pStyle w:val="Heading1"/>
        <w:numPr>
          <w:ilvl w:val="1"/>
          <w:numId w:val="31"/>
        </w:numPr>
        <w:tabs>
          <w:tab w:val="num" w:pos="360"/>
        </w:tabs>
        <w:ind w:left="0" w:firstLine="0"/>
        <w:jc w:val="both"/>
        <w:rPr>
          <w:sz w:val="22"/>
          <w:szCs w:val="22"/>
        </w:rPr>
      </w:pPr>
      <w:r w:rsidRPr="006A01CA">
        <w:rPr>
          <w:sz w:val="22"/>
          <w:szCs w:val="22"/>
        </w:rPr>
        <w:t>St</w:t>
      </w:r>
      <w:r>
        <w:rPr>
          <w:sz w:val="22"/>
          <w:szCs w:val="22"/>
        </w:rPr>
        <w:t>andardization of Non-</w:t>
      </w:r>
      <w:proofErr w:type="spellStart"/>
      <w:r>
        <w:rPr>
          <w:sz w:val="22"/>
          <w:szCs w:val="22"/>
        </w:rPr>
        <w:t>spesific</w:t>
      </w:r>
      <w:proofErr w:type="spellEnd"/>
      <w:r>
        <w:rPr>
          <w:sz w:val="22"/>
          <w:szCs w:val="22"/>
        </w:rPr>
        <w:t xml:space="preserve"> Parameters</w:t>
      </w:r>
    </w:p>
    <w:p w14:paraId="31D4AB00" w14:textId="77777777" w:rsidR="00F60FE3" w:rsidRPr="00F60FE3" w:rsidRDefault="00F60FE3" w:rsidP="00F60FE3"/>
    <w:p w14:paraId="40A02C4F" w14:textId="6D84E0B9"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Loss on Drying </w:t>
      </w:r>
    </w:p>
    <w:p w14:paraId="1DADF812" w14:textId="77777777" w:rsidR="00F60FE3" w:rsidRPr="00153C60" w:rsidRDefault="00F60FE3" w:rsidP="00F60FE3">
      <w:pPr>
        <w:pStyle w:val="ListParagraph"/>
        <w:ind w:left="567"/>
        <w:jc w:val="both"/>
        <w:rPr>
          <w:rFonts w:ascii="Arial" w:hAnsi="Arial" w:cs="Arial"/>
          <w:b/>
          <w:szCs w:val="24"/>
        </w:rPr>
      </w:pPr>
    </w:p>
    <w:p w14:paraId="5BD09F46" w14:textId="788DC7BF" w:rsidR="00F60FE3" w:rsidRDefault="00F60FE3" w:rsidP="00F60FE3">
      <w:pPr>
        <w:jc w:val="both"/>
        <w:rPr>
          <w:rFonts w:ascii="Arial" w:hAnsi="Arial" w:cs="Arial"/>
          <w:lang w:val="sv-SE"/>
        </w:rPr>
      </w:pPr>
      <w:r w:rsidRPr="00153C60">
        <w:rPr>
          <w:rFonts w:ascii="Arial" w:hAnsi="Arial" w:cs="Arial"/>
        </w:rPr>
        <w:t>The extract was weighed and placed in a closed porcelain crucible (which had been heated at 105</w:t>
      </w:r>
      <w:r w:rsidRPr="00153C60">
        <w:rPr>
          <w:rFonts w:ascii="Arial" w:hAnsi="Arial" w:cs="Arial"/>
          <w:vertAlign w:val="superscript"/>
        </w:rPr>
        <w:t>o</w:t>
      </w:r>
      <w:r w:rsidRPr="00153C60">
        <w:rPr>
          <w:rFonts w:ascii="Arial" w:hAnsi="Arial" w:cs="Arial"/>
        </w:rPr>
        <w:t>C for 30 minutes) as much as 1 gram. Before weighing, the extract was leveled in the porcelain crucible using a stirring rod to make it even and placed in an oven, and opened the lid, dried at 105</w:t>
      </w:r>
      <w:r w:rsidRPr="00153C60">
        <w:rPr>
          <w:rFonts w:ascii="Arial" w:hAnsi="Arial" w:cs="Arial"/>
          <w:vertAlign w:val="superscript"/>
        </w:rPr>
        <w:t>o</w:t>
      </w:r>
      <w:r w:rsidRPr="00153C60">
        <w:rPr>
          <w:rFonts w:ascii="Arial" w:hAnsi="Arial" w:cs="Arial"/>
        </w:rPr>
        <w:t xml:space="preserve">C for 30 minutes. Remove it and cool it in a desiccator for 15 minutes until it reaches room temperature, then weighed. Repeat the treatment until a constant weight is obtained, then replicated three times. The percentage of drying loss is calculated from the constant weight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6D7B32B1" w14:textId="77777777" w:rsidR="00F60FE3" w:rsidRPr="00153C60" w:rsidRDefault="00F60FE3" w:rsidP="00F60FE3">
      <w:pPr>
        <w:jc w:val="both"/>
        <w:rPr>
          <w:rFonts w:ascii="Arial" w:hAnsi="Arial" w:cs="Arial"/>
          <w:lang w:val="sv-SE"/>
        </w:rPr>
      </w:pPr>
    </w:p>
    <w:p w14:paraId="2A54B094"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Water Content </w:t>
      </w:r>
    </w:p>
    <w:p w14:paraId="0E06F669" w14:textId="77777777" w:rsidR="00F60FE3" w:rsidRPr="00153C60" w:rsidRDefault="00F60FE3" w:rsidP="00F60FE3">
      <w:pPr>
        <w:pStyle w:val="ListParagraph"/>
        <w:ind w:left="567"/>
        <w:jc w:val="both"/>
        <w:rPr>
          <w:rFonts w:ascii="Arial" w:hAnsi="Arial" w:cs="Arial"/>
          <w:b/>
          <w:szCs w:val="24"/>
        </w:rPr>
      </w:pPr>
    </w:p>
    <w:p w14:paraId="3C27C90D" w14:textId="1E27C6B1" w:rsidR="00F60FE3" w:rsidRDefault="00F60FE3" w:rsidP="00F60FE3">
      <w:pPr>
        <w:jc w:val="both"/>
        <w:rPr>
          <w:rFonts w:ascii="Arial" w:hAnsi="Arial" w:cs="Arial"/>
          <w:lang w:val="sv-SE"/>
        </w:rPr>
      </w:pPr>
      <w:r w:rsidRPr="00153C60">
        <w:rPr>
          <w:rFonts w:ascii="Arial" w:hAnsi="Arial" w:cs="Arial"/>
        </w:rPr>
        <w:t xml:space="preserve">Determination of water content using the gravimetric method. Accurately weigh approximately 10 g of the extract and place it in a tared container. Dry at 105°C for 5 hours and weigh. Continue drying and weighing at 1-hour intervals until the difference between two successive </w:t>
      </w:r>
      <w:proofErr w:type="spellStart"/>
      <w:r w:rsidRPr="00153C60">
        <w:rPr>
          <w:rFonts w:ascii="Arial" w:hAnsi="Arial" w:cs="Arial"/>
        </w:rPr>
        <w:t>weighings</w:t>
      </w:r>
      <w:proofErr w:type="spellEnd"/>
      <w:r w:rsidRPr="00153C60">
        <w:rPr>
          <w:rFonts w:ascii="Arial" w:hAnsi="Arial" w:cs="Arial"/>
        </w:rPr>
        <w:t xml:space="preserve"> is no more than 0.25%. Quality requirements are met if the difference is no more than 10%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D58C652" w14:textId="77777777" w:rsidR="00F60FE3" w:rsidRPr="00153C60" w:rsidRDefault="00F60FE3" w:rsidP="00F60FE3">
      <w:pPr>
        <w:jc w:val="both"/>
        <w:rPr>
          <w:rFonts w:ascii="Arial" w:hAnsi="Arial" w:cs="Arial"/>
          <w:bCs/>
          <w:szCs w:val="24"/>
        </w:rPr>
      </w:pPr>
    </w:p>
    <w:p w14:paraId="31BD2662"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Ash Content </w:t>
      </w:r>
    </w:p>
    <w:p w14:paraId="40765B56" w14:textId="77777777" w:rsidR="00F60FE3" w:rsidRPr="00153C60" w:rsidRDefault="00F60FE3" w:rsidP="00F60FE3">
      <w:pPr>
        <w:pStyle w:val="ListParagraph"/>
        <w:ind w:left="567"/>
        <w:jc w:val="both"/>
        <w:rPr>
          <w:rFonts w:ascii="Arial" w:hAnsi="Arial" w:cs="Arial"/>
          <w:b/>
          <w:szCs w:val="24"/>
        </w:rPr>
      </w:pPr>
      <w:r w:rsidRPr="00153C60">
        <w:rPr>
          <w:rFonts w:ascii="Arial" w:hAnsi="Arial" w:cs="Arial"/>
          <w:b/>
          <w:szCs w:val="24"/>
        </w:rPr>
        <w:t xml:space="preserve"> </w:t>
      </w:r>
    </w:p>
    <w:p w14:paraId="179AD500" w14:textId="1379336A" w:rsidR="00F60FE3" w:rsidRDefault="00F60FE3" w:rsidP="00F60FE3">
      <w:pPr>
        <w:jc w:val="both"/>
        <w:rPr>
          <w:rFonts w:ascii="Arial" w:hAnsi="Arial" w:cs="Arial"/>
          <w:lang w:val="sv-SE"/>
        </w:rPr>
      </w:pPr>
      <w:r w:rsidRPr="00153C60">
        <w:rPr>
          <w:rFonts w:ascii="Arial" w:hAnsi="Arial" w:cs="Arial"/>
        </w:rPr>
        <w:t xml:space="preserve">Put the </w:t>
      </w:r>
      <w:proofErr w:type="gramStart"/>
      <w:r w:rsidRPr="00153C60">
        <w:rPr>
          <w:rFonts w:ascii="Arial" w:hAnsi="Arial" w:cs="Arial"/>
        </w:rPr>
        <w:t>extract  into</w:t>
      </w:r>
      <w:proofErr w:type="gramEnd"/>
      <w:r w:rsidRPr="00153C60">
        <w:rPr>
          <w:rFonts w:ascii="Arial" w:hAnsi="Arial" w:cs="Arial"/>
        </w:rPr>
        <w:t xml:space="preserve"> a porcelain cup that has been heated to a temperature 800</w:t>
      </w:r>
      <w:r w:rsidRPr="00153C60">
        <w:rPr>
          <w:rFonts w:ascii="Arial" w:hAnsi="Arial" w:cs="Arial"/>
          <w:vertAlign w:val="superscript"/>
        </w:rPr>
        <w:t>o</w:t>
      </w:r>
      <w:r w:rsidRPr="00153C60">
        <w:rPr>
          <w:rFonts w:ascii="Arial" w:hAnsi="Arial" w:cs="Arial"/>
        </w:rPr>
        <w:t>C as much as 2-3 grams. The extract is incandescent until the charcoal is gone, cooled and weighed. If the water cannot be removed by this method, add hot water, stir, filter through ash-free filter paper. Ignite the filter paper and the remaining filtration in the same porcelain crucible. The filtrate is put into the porcelain crucible, evaporated and incandescent until the weight remains constant. The total ash content is calculated against the weight of the test material, expressed as % w/w. Quality requirements are met if it is not more than 10%</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29EA23EA" w14:textId="77777777" w:rsidR="00F60FE3" w:rsidRPr="00153C60" w:rsidRDefault="00F60FE3" w:rsidP="00F60FE3">
      <w:pPr>
        <w:jc w:val="both"/>
        <w:rPr>
          <w:rFonts w:ascii="Arial" w:hAnsi="Arial" w:cs="Arial"/>
          <w:lang w:val="sv-SE"/>
        </w:rPr>
      </w:pPr>
    </w:p>
    <w:p w14:paraId="1670835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Acid-insoluble Ash Content </w:t>
      </w:r>
    </w:p>
    <w:p w14:paraId="756BE823" w14:textId="77777777" w:rsidR="00F60FE3" w:rsidRPr="00153C60" w:rsidRDefault="00F60FE3" w:rsidP="00F60FE3">
      <w:pPr>
        <w:pStyle w:val="ListParagraph"/>
        <w:ind w:left="567"/>
        <w:jc w:val="both"/>
        <w:rPr>
          <w:rFonts w:ascii="Arial" w:hAnsi="Arial" w:cs="Arial"/>
          <w:b/>
          <w:szCs w:val="24"/>
        </w:rPr>
      </w:pPr>
    </w:p>
    <w:p w14:paraId="47B57BC1" w14:textId="5F4A6510" w:rsidR="00F60FE3" w:rsidRDefault="00F60FE3" w:rsidP="00F60FE3">
      <w:pPr>
        <w:jc w:val="both"/>
        <w:rPr>
          <w:rFonts w:ascii="Arial" w:hAnsi="Arial" w:cs="Arial"/>
          <w:lang w:val="sv-SE"/>
        </w:rPr>
      </w:pPr>
      <w:proofErr w:type="spellStart"/>
      <w:r w:rsidRPr="00153C60">
        <w:rPr>
          <w:rFonts w:ascii="Arial" w:hAnsi="Arial" w:cs="Arial"/>
          <w:lang w:val="es-ES"/>
        </w:rPr>
        <w:t>Boil</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obtained</w:t>
      </w:r>
      <w:proofErr w:type="spellEnd"/>
      <w:r w:rsidRPr="00153C60">
        <w:rPr>
          <w:rFonts w:ascii="Arial" w:hAnsi="Arial" w:cs="Arial"/>
          <w:lang w:val="es-ES"/>
        </w:rPr>
        <w:t xml:space="preserve"> in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determination</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total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content</w:t>
      </w:r>
      <w:proofErr w:type="spellEnd"/>
      <w:r w:rsidRPr="00153C60">
        <w:rPr>
          <w:rFonts w:ascii="Arial" w:hAnsi="Arial" w:cs="Arial"/>
          <w:lang w:val="es-ES"/>
        </w:rPr>
        <w:t xml:space="preserve"> </w:t>
      </w:r>
      <w:proofErr w:type="spellStart"/>
      <w:r w:rsidRPr="00153C60">
        <w:rPr>
          <w:rFonts w:ascii="Arial" w:hAnsi="Arial" w:cs="Arial"/>
          <w:lang w:val="es-ES"/>
        </w:rPr>
        <w:t>with</w:t>
      </w:r>
      <w:proofErr w:type="spellEnd"/>
      <w:r w:rsidRPr="00153C60">
        <w:rPr>
          <w:rFonts w:ascii="Arial" w:hAnsi="Arial" w:cs="Arial"/>
          <w:lang w:val="es-ES"/>
        </w:rPr>
        <w:t xml:space="preserve"> 25 </w:t>
      </w:r>
      <w:proofErr w:type="spellStart"/>
      <w:r w:rsidRPr="00153C60">
        <w:rPr>
          <w:rFonts w:ascii="Arial" w:hAnsi="Arial" w:cs="Arial"/>
          <w:lang w:val="es-ES"/>
        </w:rPr>
        <w:t>mL</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w:t>
      </w:r>
      <w:proofErr w:type="spellStart"/>
      <w:r w:rsidRPr="00153C60">
        <w:rPr>
          <w:rFonts w:ascii="Arial" w:hAnsi="Arial" w:cs="Arial"/>
          <w:lang w:val="es-ES"/>
        </w:rPr>
        <w:t>dilute</w:t>
      </w:r>
      <w:proofErr w:type="spellEnd"/>
      <w:r w:rsidRPr="00153C60">
        <w:rPr>
          <w:rFonts w:ascii="Arial" w:hAnsi="Arial" w:cs="Arial"/>
          <w:lang w:val="es-ES"/>
        </w:rPr>
        <w:t xml:space="preserve"> </w:t>
      </w:r>
      <w:proofErr w:type="spellStart"/>
      <w:r w:rsidRPr="00153C60">
        <w:rPr>
          <w:rFonts w:ascii="Arial" w:hAnsi="Arial" w:cs="Arial"/>
          <w:lang w:val="es-ES"/>
        </w:rPr>
        <w:t>hydrochloric</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 xml:space="preserve"> </w:t>
      </w:r>
      <w:proofErr w:type="spellStart"/>
      <w:r w:rsidRPr="00153C60">
        <w:rPr>
          <w:rFonts w:ascii="Arial" w:hAnsi="Arial" w:cs="Arial"/>
          <w:lang w:val="es-ES"/>
        </w:rPr>
        <w:t>for</w:t>
      </w:r>
      <w:proofErr w:type="spellEnd"/>
      <w:r w:rsidRPr="00153C60">
        <w:rPr>
          <w:rFonts w:ascii="Arial" w:hAnsi="Arial" w:cs="Arial"/>
          <w:lang w:val="es-ES"/>
        </w:rPr>
        <w:t xml:space="preserve"> 5 minutes. </w:t>
      </w:r>
      <w:proofErr w:type="spellStart"/>
      <w:r w:rsidRPr="00153C60">
        <w:rPr>
          <w:rFonts w:ascii="Arial" w:hAnsi="Arial" w:cs="Arial"/>
          <w:lang w:val="es-ES"/>
        </w:rPr>
        <w:t>Collect</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 xml:space="preserve">-insoluble </w:t>
      </w:r>
      <w:proofErr w:type="spellStart"/>
      <w:r w:rsidRPr="00153C60">
        <w:rPr>
          <w:rFonts w:ascii="Arial" w:hAnsi="Arial" w:cs="Arial"/>
          <w:lang w:val="es-ES"/>
        </w:rPr>
        <w:t>part</w:t>
      </w:r>
      <w:proofErr w:type="spellEnd"/>
      <w:r w:rsidRPr="00153C60">
        <w:rPr>
          <w:rFonts w:ascii="Arial" w:hAnsi="Arial" w:cs="Arial"/>
          <w:lang w:val="es-ES"/>
        </w:rPr>
        <w:t xml:space="preserve">, </w:t>
      </w:r>
      <w:proofErr w:type="spellStart"/>
      <w:r w:rsidRPr="00153C60">
        <w:rPr>
          <w:rFonts w:ascii="Arial" w:hAnsi="Arial" w:cs="Arial"/>
          <w:lang w:val="es-ES"/>
        </w:rPr>
        <w:t>filter</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through</w:t>
      </w:r>
      <w:proofErr w:type="spellEnd"/>
      <w:r w:rsidRPr="00153C60">
        <w:rPr>
          <w:rFonts w:ascii="Arial" w:hAnsi="Arial" w:cs="Arial"/>
          <w:lang w:val="es-ES"/>
        </w:rPr>
        <w:t xml:space="preserve"> </w:t>
      </w:r>
      <w:proofErr w:type="spellStart"/>
      <w:r w:rsidRPr="00153C60">
        <w:rPr>
          <w:rFonts w:ascii="Arial" w:hAnsi="Arial" w:cs="Arial"/>
          <w:lang w:val="es-ES"/>
        </w:rPr>
        <w:t>ash</w:t>
      </w:r>
      <w:proofErr w:type="spellEnd"/>
      <w:r w:rsidRPr="00153C60">
        <w:rPr>
          <w:rFonts w:ascii="Arial" w:hAnsi="Arial" w:cs="Arial"/>
          <w:lang w:val="es-ES"/>
        </w:rPr>
        <w:t xml:space="preserve">-free </w:t>
      </w:r>
      <w:proofErr w:type="spellStart"/>
      <w:r w:rsidRPr="00153C60">
        <w:rPr>
          <w:rFonts w:ascii="Arial" w:hAnsi="Arial" w:cs="Arial"/>
          <w:lang w:val="es-ES"/>
        </w:rPr>
        <w:t>filter</w:t>
      </w:r>
      <w:proofErr w:type="spellEnd"/>
      <w:r w:rsidRPr="00153C60">
        <w:rPr>
          <w:rFonts w:ascii="Arial" w:hAnsi="Arial" w:cs="Arial"/>
          <w:lang w:val="es-ES"/>
        </w:rPr>
        <w:t xml:space="preserve"> </w:t>
      </w:r>
      <w:proofErr w:type="spellStart"/>
      <w:r w:rsidRPr="00153C60">
        <w:rPr>
          <w:rFonts w:ascii="Arial" w:hAnsi="Arial" w:cs="Arial"/>
          <w:lang w:val="es-ES"/>
        </w:rPr>
        <w:t>paper</w:t>
      </w:r>
      <w:proofErr w:type="spellEnd"/>
      <w:r w:rsidRPr="00153C60">
        <w:rPr>
          <w:rFonts w:ascii="Arial" w:hAnsi="Arial" w:cs="Arial"/>
          <w:lang w:val="es-ES"/>
        </w:rPr>
        <w:t xml:space="preserve">, </w:t>
      </w:r>
      <w:proofErr w:type="spellStart"/>
      <w:r w:rsidRPr="00153C60">
        <w:rPr>
          <w:rFonts w:ascii="Arial" w:hAnsi="Arial" w:cs="Arial"/>
          <w:lang w:val="es-ES"/>
        </w:rPr>
        <w:t>wash</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with</w:t>
      </w:r>
      <w:proofErr w:type="spellEnd"/>
      <w:r w:rsidRPr="00153C60">
        <w:rPr>
          <w:rFonts w:ascii="Arial" w:hAnsi="Arial" w:cs="Arial"/>
          <w:lang w:val="es-ES"/>
        </w:rPr>
        <w:t xml:space="preserve"> </w:t>
      </w:r>
      <w:proofErr w:type="spellStart"/>
      <w:r w:rsidRPr="00153C60">
        <w:rPr>
          <w:rFonts w:ascii="Arial" w:hAnsi="Arial" w:cs="Arial"/>
          <w:lang w:val="es-ES"/>
        </w:rPr>
        <w:t>hot</w:t>
      </w:r>
      <w:proofErr w:type="spellEnd"/>
      <w:r w:rsidRPr="00153C60">
        <w:rPr>
          <w:rFonts w:ascii="Arial" w:hAnsi="Arial" w:cs="Arial"/>
          <w:lang w:val="es-ES"/>
        </w:rPr>
        <w:t xml:space="preserve"> </w:t>
      </w:r>
      <w:proofErr w:type="spellStart"/>
      <w:r w:rsidRPr="00153C60">
        <w:rPr>
          <w:rFonts w:ascii="Arial" w:hAnsi="Arial" w:cs="Arial"/>
          <w:lang w:val="es-ES"/>
        </w:rPr>
        <w:t>water</w:t>
      </w:r>
      <w:proofErr w:type="spellEnd"/>
      <w:r w:rsidRPr="00153C60">
        <w:rPr>
          <w:rFonts w:ascii="Arial" w:hAnsi="Arial" w:cs="Arial"/>
          <w:lang w:val="es-ES"/>
        </w:rPr>
        <w:t xml:space="preserve">, and </w:t>
      </w:r>
      <w:proofErr w:type="spellStart"/>
      <w:r w:rsidRPr="00153C60">
        <w:rPr>
          <w:rFonts w:ascii="Arial" w:hAnsi="Arial" w:cs="Arial"/>
          <w:lang w:val="es-ES"/>
        </w:rPr>
        <w:t>ignite</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in a </w:t>
      </w:r>
      <w:proofErr w:type="spellStart"/>
      <w:r w:rsidRPr="00153C60">
        <w:rPr>
          <w:rFonts w:ascii="Arial" w:hAnsi="Arial" w:cs="Arial"/>
          <w:lang w:val="es-ES"/>
        </w:rPr>
        <w:t>crucible</w:t>
      </w:r>
      <w:proofErr w:type="spellEnd"/>
      <w:r w:rsidRPr="00153C60">
        <w:rPr>
          <w:rFonts w:ascii="Arial" w:hAnsi="Arial" w:cs="Arial"/>
          <w:lang w:val="es-ES"/>
        </w:rPr>
        <w:t xml:space="preserve"> </w:t>
      </w:r>
      <w:proofErr w:type="spellStart"/>
      <w:r w:rsidRPr="00153C60">
        <w:rPr>
          <w:rFonts w:ascii="Arial" w:hAnsi="Arial" w:cs="Arial"/>
          <w:lang w:val="es-ES"/>
        </w:rPr>
        <w:t>until</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weight</w:t>
      </w:r>
      <w:proofErr w:type="spellEnd"/>
      <w:r w:rsidRPr="00153C60">
        <w:rPr>
          <w:rFonts w:ascii="Arial" w:hAnsi="Arial" w:cs="Arial"/>
          <w:lang w:val="es-ES"/>
        </w:rPr>
        <w:t xml:space="preserve"> </w:t>
      </w:r>
      <w:proofErr w:type="spellStart"/>
      <w:r w:rsidRPr="00153C60">
        <w:rPr>
          <w:rFonts w:ascii="Arial" w:hAnsi="Arial" w:cs="Arial"/>
          <w:lang w:val="es-ES"/>
        </w:rPr>
        <w:t>remains</w:t>
      </w:r>
      <w:proofErr w:type="spellEnd"/>
      <w:r w:rsidRPr="00153C60">
        <w:rPr>
          <w:rFonts w:ascii="Arial" w:hAnsi="Arial" w:cs="Arial"/>
          <w:lang w:val="es-ES"/>
        </w:rPr>
        <w:t xml:space="preserve"> </w:t>
      </w:r>
      <w:proofErr w:type="spellStart"/>
      <w:r w:rsidRPr="00153C60">
        <w:rPr>
          <w:rFonts w:ascii="Arial" w:hAnsi="Arial" w:cs="Arial"/>
          <w:lang w:val="es-ES"/>
        </w:rPr>
        <w:t>constant</w:t>
      </w:r>
      <w:proofErr w:type="spellEnd"/>
      <w:r w:rsidRPr="00153C60">
        <w:rPr>
          <w:rFonts w:ascii="Arial" w:hAnsi="Arial" w:cs="Arial"/>
          <w:lang w:val="es-ES"/>
        </w:rPr>
        <w:t xml:space="preserve"> at 800±25ºC.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acid</w:t>
      </w:r>
      <w:proofErr w:type="spellEnd"/>
      <w:r w:rsidRPr="00153C60">
        <w:rPr>
          <w:rFonts w:ascii="Arial" w:hAnsi="Arial" w:cs="Arial"/>
          <w:lang w:val="es-ES"/>
        </w:rPr>
        <w:t xml:space="preserve">-insoluble </w:t>
      </w:r>
      <w:proofErr w:type="spellStart"/>
      <w:r w:rsidRPr="00153C60">
        <w:rPr>
          <w:rFonts w:ascii="Arial" w:hAnsi="Arial" w:cs="Arial"/>
          <w:lang w:val="es-ES"/>
        </w:rPr>
        <w:t>ash</w:t>
      </w:r>
      <w:proofErr w:type="spellEnd"/>
      <w:r w:rsidRPr="00153C60">
        <w:rPr>
          <w:rFonts w:ascii="Arial" w:hAnsi="Arial" w:cs="Arial"/>
          <w:lang w:val="es-ES"/>
        </w:rPr>
        <w:t xml:space="preserve"> </w:t>
      </w:r>
      <w:proofErr w:type="spellStart"/>
      <w:r w:rsidRPr="00153C60">
        <w:rPr>
          <w:rFonts w:ascii="Arial" w:hAnsi="Arial" w:cs="Arial"/>
          <w:lang w:val="es-ES"/>
        </w:rPr>
        <w:t>content</w:t>
      </w:r>
      <w:proofErr w:type="spellEnd"/>
      <w:r w:rsidRPr="00153C60">
        <w:rPr>
          <w:rFonts w:ascii="Arial" w:hAnsi="Arial" w:cs="Arial"/>
          <w:lang w:val="es-ES"/>
        </w:rPr>
        <w:t xml:space="preserve"> </w:t>
      </w:r>
      <w:proofErr w:type="spellStart"/>
      <w:r w:rsidRPr="00153C60">
        <w:rPr>
          <w:rFonts w:ascii="Arial" w:hAnsi="Arial" w:cs="Arial"/>
          <w:lang w:val="es-ES"/>
        </w:rPr>
        <w:t>is</w:t>
      </w:r>
      <w:proofErr w:type="spellEnd"/>
      <w:r w:rsidRPr="00153C60">
        <w:rPr>
          <w:rFonts w:ascii="Arial" w:hAnsi="Arial" w:cs="Arial"/>
          <w:lang w:val="es-ES"/>
        </w:rPr>
        <w:t xml:space="preserve"> </w:t>
      </w:r>
      <w:proofErr w:type="spellStart"/>
      <w:r w:rsidRPr="00153C60">
        <w:rPr>
          <w:rFonts w:ascii="Arial" w:hAnsi="Arial" w:cs="Arial"/>
          <w:lang w:val="es-ES"/>
        </w:rPr>
        <w:t>calculated</w:t>
      </w:r>
      <w:proofErr w:type="spellEnd"/>
      <w:r w:rsidRPr="00153C60">
        <w:rPr>
          <w:rFonts w:ascii="Arial" w:hAnsi="Arial" w:cs="Arial"/>
          <w:lang w:val="es-ES"/>
        </w:rPr>
        <w:t xml:space="preserve"> </w:t>
      </w:r>
      <w:proofErr w:type="spellStart"/>
      <w:r w:rsidRPr="00153C60">
        <w:rPr>
          <w:rFonts w:ascii="Arial" w:hAnsi="Arial" w:cs="Arial"/>
          <w:lang w:val="es-ES"/>
        </w:rPr>
        <w:t>against</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w:t>
      </w:r>
      <w:proofErr w:type="spellStart"/>
      <w:r w:rsidRPr="00153C60">
        <w:rPr>
          <w:rFonts w:ascii="Arial" w:hAnsi="Arial" w:cs="Arial"/>
          <w:lang w:val="es-ES"/>
        </w:rPr>
        <w:t>weight</w:t>
      </w:r>
      <w:proofErr w:type="spellEnd"/>
      <w:r w:rsidRPr="00153C60">
        <w:rPr>
          <w:rFonts w:ascii="Arial" w:hAnsi="Arial" w:cs="Arial"/>
          <w:lang w:val="es-ES"/>
        </w:rPr>
        <w:t xml:space="preserve"> </w:t>
      </w:r>
      <w:proofErr w:type="spellStart"/>
      <w:r w:rsidRPr="00153C60">
        <w:rPr>
          <w:rFonts w:ascii="Arial" w:hAnsi="Arial" w:cs="Arial"/>
          <w:lang w:val="es-ES"/>
        </w:rPr>
        <w:t>of</w:t>
      </w:r>
      <w:proofErr w:type="spellEnd"/>
      <w:r w:rsidRPr="00153C60">
        <w:rPr>
          <w:rFonts w:ascii="Arial" w:hAnsi="Arial" w:cs="Arial"/>
          <w:lang w:val="es-ES"/>
        </w:rPr>
        <w:t xml:space="preserve"> </w:t>
      </w:r>
      <w:proofErr w:type="spellStart"/>
      <w:r w:rsidRPr="00153C60">
        <w:rPr>
          <w:rFonts w:ascii="Arial" w:hAnsi="Arial" w:cs="Arial"/>
          <w:lang w:val="es-ES"/>
        </w:rPr>
        <w:t>the</w:t>
      </w:r>
      <w:proofErr w:type="spellEnd"/>
      <w:r w:rsidRPr="00153C60">
        <w:rPr>
          <w:rFonts w:ascii="Arial" w:hAnsi="Arial" w:cs="Arial"/>
          <w:lang w:val="es-ES"/>
        </w:rPr>
        <w:t xml:space="preserve"> test material, </w:t>
      </w:r>
      <w:proofErr w:type="spellStart"/>
      <w:r w:rsidRPr="00153C60">
        <w:rPr>
          <w:rFonts w:ascii="Arial" w:hAnsi="Arial" w:cs="Arial"/>
          <w:lang w:val="es-ES"/>
        </w:rPr>
        <w:t>expressed</w:t>
      </w:r>
      <w:proofErr w:type="spellEnd"/>
      <w:r w:rsidRPr="00153C60">
        <w:rPr>
          <w:rFonts w:ascii="Arial" w:hAnsi="Arial" w:cs="Arial"/>
          <w:lang w:val="es-ES"/>
        </w:rPr>
        <w:t xml:space="preserve"> as % w/w. </w:t>
      </w:r>
      <w:proofErr w:type="spellStart"/>
      <w:r w:rsidRPr="00153C60">
        <w:rPr>
          <w:rFonts w:ascii="Arial" w:hAnsi="Arial" w:cs="Arial"/>
          <w:lang w:val="es-ES"/>
        </w:rPr>
        <w:t>Quality</w:t>
      </w:r>
      <w:proofErr w:type="spellEnd"/>
      <w:r w:rsidRPr="00153C60">
        <w:rPr>
          <w:rFonts w:ascii="Arial" w:hAnsi="Arial" w:cs="Arial"/>
          <w:lang w:val="es-ES"/>
        </w:rPr>
        <w:t xml:space="preserve"> </w:t>
      </w:r>
      <w:proofErr w:type="spellStart"/>
      <w:r w:rsidRPr="00153C60">
        <w:rPr>
          <w:rFonts w:ascii="Arial" w:hAnsi="Arial" w:cs="Arial"/>
          <w:lang w:val="es-ES"/>
        </w:rPr>
        <w:t>requirements</w:t>
      </w:r>
      <w:proofErr w:type="spellEnd"/>
      <w:r w:rsidRPr="00153C60">
        <w:rPr>
          <w:rFonts w:ascii="Arial" w:hAnsi="Arial" w:cs="Arial"/>
          <w:lang w:val="es-ES"/>
        </w:rPr>
        <w:t xml:space="preserve"> are </w:t>
      </w:r>
      <w:proofErr w:type="spellStart"/>
      <w:r w:rsidRPr="00153C60">
        <w:rPr>
          <w:rFonts w:ascii="Arial" w:hAnsi="Arial" w:cs="Arial"/>
          <w:lang w:val="es-ES"/>
        </w:rPr>
        <w:t>met</w:t>
      </w:r>
      <w:proofErr w:type="spellEnd"/>
      <w:r w:rsidRPr="00153C60">
        <w:rPr>
          <w:rFonts w:ascii="Arial" w:hAnsi="Arial" w:cs="Arial"/>
          <w:lang w:val="es-ES"/>
        </w:rPr>
        <w:t xml:space="preserve"> </w:t>
      </w:r>
      <w:proofErr w:type="spellStart"/>
      <w:r w:rsidRPr="00153C60">
        <w:rPr>
          <w:rFonts w:ascii="Arial" w:hAnsi="Arial" w:cs="Arial"/>
          <w:lang w:val="es-ES"/>
        </w:rPr>
        <w:t>if</w:t>
      </w:r>
      <w:proofErr w:type="spellEnd"/>
      <w:r w:rsidRPr="00153C60">
        <w:rPr>
          <w:rFonts w:ascii="Arial" w:hAnsi="Arial" w:cs="Arial"/>
          <w:lang w:val="es-ES"/>
        </w:rPr>
        <w:t xml:space="preserve"> </w:t>
      </w:r>
      <w:proofErr w:type="spellStart"/>
      <w:r w:rsidRPr="00153C60">
        <w:rPr>
          <w:rFonts w:ascii="Arial" w:hAnsi="Arial" w:cs="Arial"/>
          <w:lang w:val="es-ES"/>
        </w:rPr>
        <w:t>it</w:t>
      </w:r>
      <w:proofErr w:type="spellEnd"/>
      <w:r w:rsidRPr="00153C60">
        <w:rPr>
          <w:rFonts w:ascii="Arial" w:hAnsi="Arial" w:cs="Arial"/>
          <w:lang w:val="es-ES"/>
        </w:rPr>
        <w:t xml:space="preserve"> </w:t>
      </w:r>
      <w:proofErr w:type="spellStart"/>
      <w:r w:rsidRPr="00153C60">
        <w:rPr>
          <w:rFonts w:ascii="Arial" w:hAnsi="Arial" w:cs="Arial"/>
          <w:lang w:val="es-ES"/>
        </w:rPr>
        <w:t>is</w:t>
      </w:r>
      <w:proofErr w:type="spellEnd"/>
      <w:r w:rsidRPr="00153C60">
        <w:rPr>
          <w:rFonts w:ascii="Arial" w:hAnsi="Arial" w:cs="Arial"/>
          <w:lang w:val="es-ES"/>
        </w:rPr>
        <w:t xml:space="preserve"> </w:t>
      </w:r>
      <w:proofErr w:type="spellStart"/>
      <w:r w:rsidRPr="00153C60">
        <w:rPr>
          <w:rFonts w:ascii="Arial" w:hAnsi="Arial" w:cs="Arial"/>
          <w:lang w:val="es-ES"/>
        </w:rPr>
        <w:t>not</w:t>
      </w:r>
      <w:proofErr w:type="spellEnd"/>
      <w:r w:rsidRPr="00153C60">
        <w:rPr>
          <w:rFonts w:ascii="Arial" w:hAnsi="Arial" w:cs="Arial"/>
          <w:lang w:val="es-ES"/>
        </w:rPr>
        <w:t xml:space="preserve"> more </w:t>
      </w:r>
      <w:r w:rsidRPr="00153C60">
        <w:rPr>
          <w:rFonts w:ascii="Arial" w:hAnsi="Arial" w:cs="Arial"/>
          <w:lang w:val="es-ES"/>
        </w:rPr>
        <w:pgNum/>
      </w:r>
      <w:proofErr w:type="spellStart"/>
      <w:r w:rsidRPr="00153C60">
        <w:rPr>
          <w:rFonts w:ascii="Arial" w:hAnsi="Arial" w:cs="Arial"/>
          <w:lang w:val="es-ES"/>
        </w:rPr>
        <w:t>an</w:t>
      </w:r>
      <w:proofErr w:type="spellEnd"/>
      <w:r w:rsidRPr="00153C60">
        <w:rPr>
          <w:rFonts w:ascii="Arial" w:hAnsi="Arial" w:cs="Arial"/>
          <w:lang w:val="es-ES"/>
        </w:rPr>
        <w:t xml:space="preserve"> 1.6%</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18596A77" w14:textId="77777777" w:rsidR="00F60FE3" w:rsidRPr="00153C60" w:rsidRDefault="00F60FE3" w:rsidP="00F60FE3">
      <w:pPr>
        <w:jc w:val="both"/>
        <w:rPr>
          <w:rFonts w:ascii="Arial" w:hAnsi="Arial" w:cs="Arial"/>
          <w:lang w:val="sv-SE"/>
        </w:rPr>
      </w:pPr>
    </w:p>
    <w:p w14:paraId="3956186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Plate Count </w:t>
      </w:r>
    </w:p>
    <w:p w14:paraId="36F39BC3" w14:textId="77777777" w:rsidR="00F60FE3" w:rsidRPr="00153C60" w:rsidRDefault="00F60FE3" w:rsidP="00F60FE3">
      <w:pPr>
        <w:pStyle w:val="ListParagraph"/>
        <w:ind w:left="567"/>
        <w:jc w:val="both"/>
        <w:rPr>
          <w:rFonts w:ascii="Arial" w:hAnsi="Arial" w:cs="Arial"/>
          <w:b/>
          <w:szCs w:val="24"/>
        </w:rPr>
      </w:pPr>
    </w:p>
    <w:p w14:paraId="3AAB47FB" w14:textId="7447C4DD" w:rsidR="00F60FE3" w:rsidRDefault="00F60FE3" w:rsidP="00F60FE3">
      <w:pPr>
        <w:jc w:val="both"/>
        <w:rPr>
          <w:rFonts w:ascii="Arial" w:hAnsi="Arial" w:cs="Arial"/>
          <w:bCs/>
          <w:szCs w:val="24"/>
        </w:rPr>
      </w:pPr>
      <w:r w:rsidRPr="00153C60">
        <w:rPr>
          <w:rFonts w:ascii="Arial" w:hAnsi="Arial" w:cs="Arial"/>
          <w:bCs/>
          <w:szCs w:val="24"/>
        </w:rPr>
        <w:lastRenderedPageBreak/>
        <w:t xml:space="preserve">Pipette 1 mL of each previously prepared dilution into sterile petri dishes. Then add 15 mL of PCA to each petri dish. After the agar solidifies, incubate for 24 hours at 37°C. Then count the Total Plate Count in each petri dish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57F52E3E" w14:textId="77777777" w:rsidR="00F60FE3" w:rsidRPr="00153C60" w:rsidRDefault="00F60FE3" w:rsidP="00F60FE3">
      <w:pPr>
        <w:jc w:val="both"/>
        <w:rPr>
          <w:rFonts w:ascii="Arial" w:hAnsi="Arial" w:cs="Arial"/>
          <w:bCs/>
          <w:szCs w:val="24"/>
        </w:rPr>
      </w:pPr>
    </w:p>
    <w:p w14:paraId="73FBD3FE"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Yeast and Mold Content </w:t>
      </w:r>
    </w:p>
    <w:p w14:paraId="1F009E74" w14:textId="77777777" w:rsidR="00F60FE3" w:rsidRPr="00153C60" w:rsidRDefault="00F60FE3" w:rsidP="00F60FE3">
      <w:pPr>
        <w:pStyle w:val="ListParagraph"/>
        <w:ind w:left="567"/>
        <w:jc w:val="both"/>
        <w:rPr>
          <w:rFonts w:ascii="Arial" w:hAnsi="Arial" w:cs="Arial"/>
          <w:b/>
          <w:szCs w:val="24"/>
        </w:rPr>
      </w:pPr>
    </w:p>
    <w:p w14:paraId="75CB8042" w14:textId="11390413" w:rsidR="00F60FE3" w:rsidRPr="00153C60" w:rsidRDefault="00F60FE3" w:rsidP="00F60FE3">
      <w:pPr>
        <w:jc w:val="both"/>
        <w:rPr>
          <w:rFonts w:ascii="Arial" w:hAnsi="Arial" w:cs="Arial"/>
          <w:bCs/>
          <w:szCs w:val="24"/>
        </w:rPr>
      </w:pPr>
      <w:r w:rsidRPr="00153C60">
        <w:rPr>
          <w:rFonts w:ascii="Arial" w:hAnsi="Arial" w:cs="Arial"/>
          <w:bCs/>
          <w:szCs w:val="24"/>
        </w:rPr>
        <w:t>Pipette 1 mL of each previously prepared dilution into sterile petri dishes. Then add 15 mL of PDA to each petri dish. After the agar solidifies, incubate at 25°C for 3 days. Then count the number of Yeast Mold Numbers in each petri dish</w:t>
      </w:r>
      <w:r>
        <w:rPr>
          <w:rFonts w:ascii="Arial" w:hAnsi="Arial" w:cs="Arial"/>
          <w:bCs/>
          <w:szCs w:val="24"/>
        </w:rPr>
        <w:t xml:space="preserve">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0B4F2BE3" w14:textId="77777777" w:rsidR="00F60FE3" w:rsidRPr="00F60FE3" w:rsidRDefault="00F60FE3" w:rsidP="00F60FE3"/>
    <w:p w14:paraId="5461A987" w14:textId="2D2FE49A" w:rsidR="00F60FE3" w:rsidRDefault="00F60FE3" w:rsidP="00F60FE3">
      <w:pPr>
        <w:pStyle w:val="Heading1"/>
        <w:numPr>
          <w:ilvl w:val="1"/>
          <w:numId w:val="31"/>
        </w:numPr>
        <w:tabs>
          <w:tab w:val="num" w:pos="360"/>
        </w:tabs>
        <w:ind w:left="0" w:firstLine="0"/>
        <w:jc w:val="both"/>
        <w:rPr>
          <w:sz w:val="22"/>
          <w:szCs w:val="22"/>
        </w:rPr>
      </w:pPr>
      <w:r>
        <w:rPr>
          <w:sz w:val="22"/>
          <w:szCs w:val="22"/>
        </w:rPr>
        <w:t xml:space="preserve">Determination of Total </w:t>
      </w:r>
      <w:proofErr w:type="spellStart"/>
      <w:r>
        <w:rPr>
          <w:sz w:val="22"/>
          <w:szCs w:val="22"/>
        </w:rPr>
        <w:t>Flavanoid</w:t>
      </w:r>
      <w:proofErr w:type="spellEnd"/>
      <w:r>
        <w:rPr>
          <w:sz w:val="22"/>
          <w:szCs w:val="22"/>
        </w:rPr>
        <w:t xml:space="preserve"> Content</w:t>
      </w:r>
    </w:p>
    <w:p w14:paraId="3C1F886E" w14:textId="77777777" w:rsidR="00F60FE3" w:rsidRDefault="00F60FE3" w:rsidP="00F60FE3">
      <w:pPr>
        <w:jc w:val="both"/>
        <w:rPr>
          <w:rFonts w:ascii="Arial" w:hAnsi="Arial" w:cs="Arial"/>
          <w:bCs/>
        </w:rPr>
      </w:pPr>
    </w:p>
    <w:p w14:paraId="3DB3D841" w14:textId="3CF66823" w:rsidR="00F60FE3" w:rsidRPr="00F60FE3" w:rsidRDefault="00F60FE3" w:rsidP="00F60FE3">
      <w:pPr>
        <w:jc w:val="both"/>
        <w:rPr>
          <w:rFonts w:ascii="Arial" w:hAnsi="Arial" w:cs="Arial"/>
          <w:bCs/>
        </w:rPr>
      </w:pPr>
      <w:r w:rsidRPr="00F60FE3">
        <w:rPr>
          <w:rFonts w:ascii="Arial" w:hAnsi="Arial" w:cs="Arial"/>
          <w:bCs/>
        </w:rPr>
        <w:t xml:space="preserve">Total flavonoid content was determined spectrophotometrically using the aluminum chloride colorimetric method </w:t>
      </w:r>
      <w:r w:rsidRPr="00F60FE3">
        <w:rPr>
          <w:rFonts w:ascii="Arial" w:hAnsi="Arial" w:cs="Arial"/>
          <w:bCs/>
        </w:rPr>
        <w:fldChar w:fldCharType="begin" w:fldLock="1"/>
      </w:r>
      <w:r w:rsidR="00DD5BA0">
        <w:rPr>
          <w:rFonts w:ascii="Arial" w:hAnsi="Arial" w:cs="Arial"/>
          <w:bCs/>
        </w:rPr>
        <w:instrText>ADDIN CSL_CITATION {"citationItems":[{"id":"ITEM-1","itemData":{"author":[{"dropping-particle":"","family":"Wilujeng D","given":"Anggarani M","non-dropping-particle":"","parse-names":false,"suffix":""}],"id":"ITEM-1","issue":"3","issued":{"date-parts":[["2021"]]},"page":"295-306","title":"Penentuan Fenolik Total, Flavanoid Total, dan Antioksidan Ekstrak Bawang Lanang (Allium sativum L.)","type":"article-journal","volume":"10"},"uris":["http://www.mendeley.com/documents/?uuid=fb6c05a4-f6db-4b77-b515-51c4043b4e3a"]},{"id":"ITEM-2","itemData":{"DOI":"10.5530/pj.2021.13.11","ISSN":"09753575","abstract":"Background: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Journal","id":"ITEM-2","issue":"1","issued":{"date-parts":[["2021"]]},"page":"73-80","title":"Standardization of eleutherine bulbosa urb. bulbs and total flavonoid content from three locations in Kalimantan, Indonesia","type":"article-journal","volume":"13"},"uris":["http://www.mendeley.com/documents/?uuid=02429631-2413-42f5-a189-a01fe43016a6"]}],"mendeley":{"formattedCitation":"[8], [9]","manualFormatting":"[8]","plainTextFormattedCitation":"[8], [9]","previouslyFormattedCitation":"&lt;sup&gt;8,9&lt;/sup&gt;"},"properties":{"noteIndex":0},"schema":"https://github.com/citation-style-language/schema/raw/master/csl-citation.json"}</w:instrText>
      </w:r>
      <w:r w:rsidRPr="00F60FE3">
        <w:rPr>
          <w:rFonts w:ascii="Arial" w:hAnsi="Arial" w:cs="Arial"/>
          <w:bCs/>
        </w:rPr>
        <w:fldChar w:fldCharType="separate"/>
      </w:r>
      <w:r w:rsidRPr="00F60FE3">
        <w:rPr>
          <w:rFonts w:ascii="Arial" w:hAnsi="Arial" w:cs="Arial"/>
          <w:bCs/>
          <w:noProof/>
        </w:rPr>
        <w:t>[8]</w:t>
      </w:r>
      <w:r w:rsidRPr="00F60FE3">
        <w:rPr>
          <w:rFonts w:ascii="Arial" w:hAnsi="Arial" w:cs="Arial"/>
          <w:bCs/>
        </w:rPr>
        <w:fldChar w:fldCharType="end"/>
      </w:r>
      <w:r w:rsidRPr="00F60FE3">
        <w:rPr>
          <w:rFonts w:ascii="Arial" w:hAnsi="Arial" w:cs="Arial"/>
          <w:bCs/>
        </w:rPr>
        <w:t>. Initially, the maximum absorbance wavelength and optimum time were determined by reacting 0.5 mL of quercetin (60 µg/mL) with 0.1 mL of AlCl</w:t>
      </w:r>
      <w:r w:rsidRPr="00F60FE3">
        <w:rPr>
          <w:rFonts w:ascii="Arial" w:hAnsi="Arial" w:cs="Arial"/>
          <w:bCs/>
          <w:vertAlign w:val="subscript"/>
        </w:rPr>
        <w:t>3</w:t>
      </w:r>
      <w:r w:rsidRPr="00F60FE3">
        <w:rPr>
          <w:rFonts w:ascii="Arial" w:hAnsi="Arial" w:cs="Arial"/>
          <w:bCs/>
        </w:rPr>
        <w:t xml:space="preserve">, 0.1 mL of 1 M sodium acetate, and 2.8 mL of distilled water; the mixture was read at a wavelength of 400–600 nm. For quantification, a standard calibration curve was constructed using various concentrations of quercetin (20–60 µg/mL) derived from a 1000 µg/mL stock solution. Finally, 0.5 mL of the extract (1000 µg/mL) prepared with the same reagent composition was incubated for the optimized operating time, and its absorbance was measured at the peak wavelength to calculate the flavonoid concentration relative to the quercetin standard </w:t>
      </w:r>
      <w:r w:rsidRPr="00F60FE3">
        <w:rPr>
          <w:rFonts w:ascii="Arial" w:hAnsi="Arial" w:cs="Arial"/>
          <w:bCs/>
        </w:rPr>
        <w:fldChar w:fldCharType="begin" w:fldLock="1"/>
      </w:r>
      <w:r w:rsidR="00DD5BA0">
        <w:rPr>
          <w:rFonts w:ascii="Arial" w:hAnsi="Arial" w:cs="Arial"/>
          <w:bCs/>
        </w:rPr>
        <w:instrText>ADDIN CSL_CITATION {"citationItems":[{"id":"ITEM-1","itemData":{"DOI":"10.5530/pj.2021.13.11","ISSN":"09753575","abstract":"Background: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Journal","id":"ITEM-1","issue":"1","issued":{"date-parts":[["2021"]]},"page":"73-80","title":"Standardization of eleutherine bulbosa urb. bulbs and total flavonoid content from three locations in Kalimantan, Indonesia","type":"article-journal","volume":"13"},"uris":["http://www.mendeley.com/documents/?uuid=02429631-2413-42f5-a189-a01fe43016a6"]}],"mendeley":{"formattedCitation":"[9]","plainTextFormattedCitation":"[9]","previouslyFormattedCitation":"&lt;sup&gt;9&lt;/sup&gt;"},"properties":{"noteIndex":0},"schema":"https://github.com/citation-style-language/schema/raw/master/csl-citation.json"}</w:instrText>
      </w:r>
      <w:r w:rsidRPr="00F60FE3">
        <w:rPr>
          <w:rFonts w:ascii="Arial" w:hAnsi="Arial" w:cs="Arial"/>
          <w:bCs/>
        </w:rPr>
        <w:fldChar w:fldCharType="separate"/>
      </w:r>
      <w:r w:rsidR="00DD5BA0" w:rsidRPr="00DD5BA0">
        <w:rPr>
          <w:rFonts w:ascii="Arial" w:hAnsi="Arial" w:cs="Arial"/>
          <w:bCs/>
          <w:noProof/>
        </w:rPr>
        <w:t>[9]</w:t>
      </w:r>
      <w:r w:rsidRPr="00F60FE3">
        <w:rPr>
          <w:rFonts w:ascii="Arial" w:hAnsi="Arial" w:cs="Arial"/>
          <w:bCs/>
        </w:rPr>
        <w:fldChar w:fldCharType="end"/>
      </w:r>
      <w:r w:rsidRPr="00F60FE3">
        <w:rPr>
          <w:rFonts w:ascii="Arial" w:hAnsi="Arial" w:cs="Arial"/>
          <w:bCs/>
        </w:rPr>
        <w:t>.</w:t>
      </w:r>
    </w:p>
    <w:p w14:paraId="53088B99" w14:textId="77777777" w:rsidR="006432B1" w:rsidRDefault="006432B1" w:rsidP="00F60FE3">
      <w:pPr>
        <w:sectPr w:rsidR="006432B1" w:rsidSect="004239FA">
          <w:type w:val="continuous"/>
          <w:pgSz w:w="12240" w:h="15840"/>
          <w:pgMar w:top="1440" w:right="2016" w:bottom="2016" w:left="2016" w:header="720" w:footer="1123" w:gutter="0"/>
          <w:cols w:space="720"/>
          <w:titlePg/>
          <w:docGrid w:linePitch="272"/>
        </w:sectPr>
      </w:pPr>
    </w:p>
    <w:p w14:paraId="2161B832" w14:textId="1CAA799F" w:rsidR="00F60FE3" w:rsidRPr="00F60FE3" w:rsidRDefault="00F60FE3" w:rsidP="00F60FE3"/>
    <w:p w14:paraId="6D59FB39" w14:textId="77777777" w:rsidR="00790ADA" w:rsidRPr="00FB3A86" w:rsidRDefault="00790ADA" w:rsidP="00441B6F">
      <w:pPr>
        <w:pStyle w:val="Body"/>
        <w:spacing w:after="0"/>
        <w:rPr>
          <w:rFonts w:ascii="Arial" w:hAnsi="Arial" w:cs="Arial"/>
        </w:rPr>
      </w:pPr>
    </w:p>
    <w:p w14:paraId="3007AC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CE7F3" w14:textId="77777777" w:rsidR="00790ADA" w:rsidRPr="00FB3A86" w:rsidRDefault="00790ADA" w:rsidP="00441B6F">
      <w:pPr>
        <w:pStyle w:val="Head1"/>
        <w:spacing w:after="0"/>
        <w:jc w:val="both"/>
        <w:rPr>
          <w:rFonts w:ascii="Arial" w:hAnsi="Arial" w:cs="Arial"/>
        </w:rPr>
      </w:pPr>
    </w:p>
    <w:p w14:paraId="1BC7ADF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73649EA4" w14:textId="7A409CAE"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Result of White Mangrove Extraction</w:t>
      </w:r>
    </w:p>
    <w:p w14:paraId="76D4B9F2" w14:textId="77777777" w:rsidR="00F60FE3" w:rsidRDefault="00F60FE3" w:rsidP="00F60FE3">
      <w:pPr>
        <w:jc w:val="both"/>
        <w:rPr>
          <w:rFonts w:ascii="Arial" w:hAnsi="Arial" w:cs="Arial"/>
          <w:szCs w:val="24"/>
        </w:rPr>
      </w:pPr>
    </w:p>
    <w:p w14:paraId="76682335" w14:textId="213A0339" w:rsidR="00F60FE3" w:rsidRDefault="00F60FE3" w:rsidP="00F60FE3">
      <w:pPr>
        <w:jc w:val="both"/>
        <w:rPr>
          <w:rFonts w:ascii="Arial" w:hAnsi="Arial" w:cs="Arial"/>
          <w:szCs w:val="24"/>
        </w:rPr>
      </w:pPr>
      <w:r w:rsidRPr="00153C60">
        <w:rPr>
          <w:rFonts w:ascii="Arial" w:hAnsi="Arial" w:cs="Arial"/>
          <w:szCs w:val="24"/>
        </w:rPr>
        <w:t>White Mangrove Fruit samples were collected in three different locations</w:t>
      </w:r>
      <w:r>
        <w:rPr>
          <w:rFonts w:ascii="Arial" w:hAnsi="Arial" w:cs="Arial"/>
          <w:szCs w:val="24"/>
        </w:rPr>
        <w:t xml:space="preserve"> of </w:t>
      </w:r>
      <w:proofErr w:type="spellStart"/>
      <w:r w:rsidRPr="00153C60">
        <w:rPr>
          <w:rFonts w:ascii="Arial" w:hAnsi="Arial" w:cs="Arial"/>
          <w:szCs w:val="24"/>
        </w:rPr>
        <w:t>Mangkang</w:t>
      </w:r>
      <w:proofErr w:type="spellEnd"/>
      <w:r w:rsidRPr="00153C60">
        <w:rPr>
          <w:rFonts w:ascii="Arial" w:hAnsi="Arial" w:cs="Arial"/>
          <w:szCs w:val="24"/>
        </w:rPr>
        <w:t xml:space="preserve"> Semarang, </w:t>
      </w:r>
      <w:proofErr w:type="spellStart"/>
      <w:r w:rsidRPr="00153C60">
        <w:rPr>
          <w:rFonts w:ascii="Arial" w:hAnsi="Arial" w:cs="Arial"/>
          <w:szCs w:val="24"/>
        </w:rPr>
        <w:t>Baros</w:t>
      </w:r>
      <w:proofErr w:type="spellEnd"/>
      <w:r w:rsidRPr="00153C60">
        <w:rPr>
          <w:rFonts w:ascii="Arial" w:hAnsi="Arial" w:cs="Arial"/>
          <w:szCs w:val="24"/>
        </w:rPr>
        <w:t xml:space="preserve"> River Yogyakarta, and </w:t>
      </w:r>
      <w:proofErr w:type="spellStart"/>
      <w:r w:rsidRPr="00153C60">
        <w:rPr>
          <w:rFonts w:ascii="Arial" w:hAnsi="Arial" w:cs="Arial"/>
          <w:szCs w:val="24"/>
        </w:rPr>
        <w:t>Teluk</w:t>
      </w:r>
      <w:proofErr w:type="spellEnd"/>
      <w:r w:rsidRPr="00153C60">
        <w:rPr>
          <w:rFonts w:ascii="Arial" w:hAnsi="Arial" w:cs="Arial"/>
          <w:szCs w:val="24"/>
        </w:rPr>
        <w:t xml:space="preserve"> </w:t>
      </w:r>
      <w:proofErr w:type="spellStart"/>
      <w:r w:rsidRPr="00153C60">
        <w:rPr>
          <w:rFonts w:ascii="Arial" w:hAnsi="Arial" w:cs="Arial"/>
          <w:szCs w:val="24"/>
        </w:rPr>
        <w:t>Awur</w:t>
      </w:r>
      <w:proofErr w:type="spellEnd"/>
      <w:r w:rsidRPr="00153C60">
        <w:rPr>
          <w:rFonts w:ascii="Arial" w:hAnsi="Arial" w:cs="Arial"/>
          <w:szCs w:val="24"/>
        </w:rPr>
        <w:t xml:space="preserve"> </w:t>
      </w:r>
      <w:proofErr w:type="spellStart"/>
      <w:r w:rsidRPr="00153C60">
        <w:rPr>
          <w:rFonts w:ascii="Arial" w:hAnsi="Arial" w:cs="Arial"/>
          <w:szCs w:val="24"/>
        </w:rPr>
        <w:t>Jepara</w:t>
      </w:r>
      <w:proofErr w:type="spellEnd"/>
      <w:r w:rsidRPr="00153C60">
        <w:rPr>
          <w:rFonts w:ascii="Arial" w:hAnsi="Arial" w:cs="Arial"/>
          <w:szCs w:val="24"/>
        </w:rPr>
        <w:t xml:space="preserve">. This was done to determine standardization parameters based on the different growing locations. Differences in growing locations can affect the values ​​of standardization parameters. These differences can be influenced by several factors, including altitude, rainfall, air humidity, light intensity, and soil nutrient and mineral content </w:t>
      </w:r>
      <w:r>
        <w:rPr>
          <w:rFonts w:ascii="Arial" w:hAnsi="Arial" w:cs="Arial"/>
          <w:szCs w:val="24"/>
        </w:rPr>
        <w:fldChar w:fldCharType="begin" w:fldLock="1"/>
      </w:r>
      <w:r w:rsidR="00DD5BA0">
        <w:rPr>
          <w:rFonts w:ascii="Arial" w:hAnsi="Arial" w:cs="Arial"/>
          <w:szCs w:val="24"/>
        </w:rPr>
        <w:instrText>ADDIN CSL_CITATION {"citationItems":[{"id":"ITEM-1","itemData":{"DOI":"10.12928/mf.v13i2.7773","ISSN":"1412-7946","abstract":"Standardisasi ekstrak tumbuhan obat di Indonesia merupakan salah satu tahapan penting dalam pengembangan obat asli Indonesia. Daun pacar kuku ( Lawsonia inermis L.) merupakan salah satu tanaman yang mengandung senyawa naftokuinon dengan berbagai aktivitas. Penelitian ini bertujuan untuk me lakukan standardisasi ekstrak daun pacar kuku sehingga diharapkan dapat digunakan sebagai acuan parameter standar mutu ekstrak karena standarisasi ekstrak pacar kuku belum tercantum di MMI dan FHI. Dalam penelitian ini peny arian ekstrak daun pacar kuku dilakukan menggunakan metode infundasi. Penetapan parameter non spesifik meliputi kadar air, kadar abu total, kadar abu tidak larut asam dan cemaran mikroba dengan metode ALT. Penetapan parameter spesifik yaitu dengan mengetah ui organoleptis ekstrak, profil KLT dan menetapkan kadar naftokuinon total menggunakan metode kromatografi lapis Tipis (KLT) dengan fase diam silika gel 60 F254 , fase gerak metanol : kloroform (2:8) dan analisis kuantitatif menggunakan densitometri pada panjang gelombang maksimal. Hasil standardisasi untuk parameter non spesifik menunjukkan kadar air (7,33±0,52% v/b), kadar abu total (6,43±0,25%), kadar abu tidak larut asam (0,106±0,004% ), dan uji cemaran mikroba (85x102 CFU/g). Hasil untuk parameter spesifik menunjukkan organoleptis ekstrak (kental, warna coklat tua, rasa agak pahit dan berbau khas daun pacar kuku), dengan kandungan senyawa naftokuinon, kumarin, flavonoid, polifenol, alkaloid, dan kadar naftokuinon total (7,43±0,28%). Ekstrak daun pacar kuku sudah memenuhi persyaratan sesuai acuan standar Farmakope Herbal Indonesia tentang syarat ekstrak sebagai bahan baku sediaan obat tradisional.","author":[{"dropping-particle":"","family":"Zainab","given":"Zainab","non-dropping-particle":"","parse-names":false,"suffix":""},{"dropping-particle":"","family":"Sulistyani","given":"Nanik","non-dropping-particle":"","parse-names":false,"suffix":""},{"dropping-particle":"","family":"Anisaningrum","given":"Anisaningrum","non-dropping-particle":"","parse-names":false,"suffix":""}],"container-title":"Media Farmasi: Jurnal Ilmu Farmasi","id":"ITEM-1","issue":"2","issued":{"date-parts":[["2016"]]},"page":"212","title":"Penetapan Parameter Standardisasi Non Spesifik dan Spesifik Ekstrak Daun Pacar Kuku (Lawsonia inermis L.)","type":"article-journal","volume":"13"},"uris":["http://www.mendeley.com/documents/?uuid=2e9c3713-3930-47d0-939c-b38fd9b59640"]}],"mendeley":{"formattedCitation":"[10]","plainTextFormattedCitation":"[10]","previouslyFormattedCitation":"&lt;sup&gt;10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[10]</w:t>
      </w:r>
      <w:r>
        <w:rPr>
          <w:rFonts w:ascii="Arial" w:hAnsi="Arial" w:cs="Arial"/>
          <w:szCs w:val="24"/>
        </w:rPr>
        <w:fldChar w:fldCharType="end"/>
      </w:r>
      <w:r>
        <w:rPr>
          <w:rFonts w:ascii="Arial" w:hAnsi="Arial" w:cs="Arial"/>
          <w:szCs w:val="24"/>
        </w:rPr>
        <w:t>.</w:t>
      </w:r>
    </w:p>
    <w:p w14:paraId="141BAA08" w14:textId="77777777" w:rsidR="00F60FE3" w:rsidRPr="00153C60" w:rsidRDefault="00F60FE3" w:rsidP="00F60FE3">
      <w:pPr>
        <w:jc w:val="both"/>
        <w:rPr>
          <w:rFonts w:ascii="Arial" w:hAnsi="Arial" w:cs="Arial"/>
          <w:szCs w:val="24"/>
        </w:rPr>
      </w:pPr>
    </w:p>
    <w:p w14:paraId="0456BF77" w14:textId="77777777" w:rsidR="00F60FE3" w:rsidRPr="00153C60" w:rsidRDefault="00F60FE3" w:rsidP="00F60FE3">
      <w:pPr>
        <w:jc w:val="both"/>
        <w:rPr>
          <w:rFonts w:ascii="Arial" w:hAnsi="Arial" w:cs="Arial"/>
          <w:szCs w:val="24"/>
        </w:rPr>
      </w:pPr>
      <w:r w:rsidRPr="00153C60">
        <w:rPr>
          <w:rFonts w:ascii="Arial" w:hAnsi="Arial" w:cs="Arial"/>
          <w:szCs w:val="24"/>
        </w:rPr>
        <w:t xml:space="preserve">Extraction of white mangrove fruit was performed using 96% ethanol as a solvent, considering that more bioactive compounds could be obtained due to its universal properties. The highest extract yield was shown by the white mangrove fruit extract </w:t>
      </w:r>
      <w:proofErr w:type="spellStart"/>
      <w:r w:rsidRPr="00153C60">
        <w:rPr>
          <w:rFonts w:ascii="Arial" w:hAnsi="Arial" w:cs="Arial"/>
          <w:szCs w:val="24"/>
        </w:rPr>
        <w:t>Mangkang</w:t>
      </w:r>
      <w:proofErr w:type="spellEnd"/>
      <w:r w:rsidRPr="00153C60">
        <w:rPr>
          <w:rFonts w:ascii="Arial" w:hAnsi="Arial" w:cs="Arial"/>
          <w:szCs w:val="24"/>
        </w:rPr>
        <w:t xml:space="preserve"> Semarang, which was 45,98%. </w:t>
      </w:r>
    </w:p>
    <w:p w14:paraId="2200785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22BCFED9" w14:textId="56695576" w:rsidR="00790ADA" w:rsidRDefault="00790ADA" w:rsidP="00441B6F">
      <w:pPr>
        <w:pStyle w:val="Body"/>
        <w:spacing w:after="0"/>
        <w:rPr>
          <w:rFonts w:ascii="Arial" w:hAnsi="Arial" w:cs="Arial"/>
        </w:rPr>
      </w:pPr>
    </w:p>
    <w:p w14:paraId="1EDC923B" w14:textId="77777777" w:rsidR="00F60FE3" w:rsidRPr="00153C60" w:rsidRDefault="00F60FE3" w:rsidP="00F60FE3">
      <w:pPr>
        <w:jc w:val="center"/>
        <w:rPr>
          <w:rFonts w:ascii="Arial" w:hAnsi="Arial" w:cs="Arial"/>
        </w:rPr>
      </w:pPr>
      <w:r w:rsidRPr="00153C60">
        <w:rPr>
          <w:rFonts w:ascii="Arial" w:hAnsi="Arial" w:cs="Arial"/>
        </w:rPr>
        <w:object w:dxaOrig="3144" w:dyaOrig="5023" w14:anchorId="267C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9pt;height:250.85pt" o:ole="">
            <v:imagedata r:id="rId14" o:title=""/>
          </v:shape>
          <o:OLEObject Type="Embed" ProgID="Prism10.Document" ShapeID="_x0000_i1026" DrawAspect="Content" ObjectID="_1832428945" r:id="rId15"/>
        </w:object>
      </w:r>
    </w:p>
    <w:p w14:paraId="0EE2B44F" w14:textId="77777777" w:rsidR="00F60FE3" w:rsidRPr="00B1191B" w:rsidRDefault="00F60FE3" w:rsidP="00F60FE3">
      <w:pPr>
        <w:ind w:left="567" w:hanging="567"/>
        <w:jc w:val="both"/>
        <w:rPr>
          <w:rFonts w:ascii="Arial" w:hAnsi="Arial" w:cs="Arial"/>
          <w:b/>
          <w:iCs/>
          <w:szCs w:val="24"/>
        </w:rPr>
      </w:pPr>
      <w:r w:rsidRPr="00B1191B">
        <w:rPr>
          <w:rFonts w:ascii="Arial" w:hAnsi="Arial" w:cs="Arial"/>
          <w:b/>
          <w:iCs/>
          <w:szCs w:val="24"/>
        </w:rPr>
        <w:t>Figure 1: Yield of white mangrove fruit extract (</w:t>
      </w:r>
      <w:proofErr w:type="spellStart"/>
      <w:r w:rsidRPr="00B1191B">
        <w:rPr>
          <w:rFonts w:ascii="Arial" w:hAnsi="Arial" w:cs="Arial"/>
          <w:b/>
          <w:iCs/>
          <w:szCs w:val="24"/>
        </w:rPr>
        <w:t>Avicennia</w:t>
      </w:r>
      <w:proofErr w:type="spellEnd"/>
      <w:r w:rsidRPr="00B1191B">
        <w:rPr>
          <w:rFonts w:ascii="Arial" w:hAnsi="Arial" w:cs="Arial"/>
          <w:b/>
          <w:iCs/>
          <w:szCs w:val="24"/>
        </w:rPr>
        <w:t xml:space="preserve"> marina) from three plant growth locations.</w:t>
      </w:r>
    </w:p>
    <w:p w14:paraId="5BD6662C" w14:textId="68F4CD2C" w:rsidR="00F60FE3" w:rsidRDefault="00F60FE3" w:rsidP="00441B6F">
      <w:pPr>
        <w:pStyle w:val="Body"/>
        <w:spacing w:after="0"/>
        <w:rPr>
          <w:rFonts w:ascii="Arial" w:hAnsi="Arial" w:cs="Arial"/>
        </w:rPr>
      </w:pPr>
    </w:p>
    <w:p w14:paraId="15F898E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2F96E786" w14:textId="1472DF98"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 xml:space="preserve">Standardization Test Results for </w:t>
      </w:r>
      <w:proofErr w:type="spellStart"/>
      <w:r w:rsidRPr="00B1191B">
        <w:rPr>
          <w:rFonts w:ascii="Arial" w:hAnsi="Arial" w:cs="Arial"/>
          <w:b/>
          <w:bCs/>
          <w:color w:val="000000"/>
          <w:sz w:val="22"/>
          <w:szCs w:val="22"/>
        </w:rPr>
        <w:t>Spesific</w:t>
      </w:r>
      <w:proofErr w:type="spellEnd"/>
      <w:r w:rsidRPr="00B1191B">
        <w:rPr>
          <w:rFonts w:ascii="Arial" w:hAnsi="Arial" w:cs="Arial"/>
          <w:b/>
          <w:bCs/>
          <w:color w:val="000000"/>
          <w:sz w:val="22"/>
          <w:szCs w:val="22"/>
        </w:rPr>
        <w:t xml:space="preserve"> and Non-</w:t>
      </w:r>
      <w:proofErr w:type="spellStart"/>
      <w:r w:rsidRPr="00B1191B">
        <w:rPr>
          <w:rFonts w:ascii="Arial" w:hAnsi="Arial" w:cs="Arial"/>
          <w:b/>
          <w:bCs/>
          <w:color w:val="000000"/>
          <w:sz w:val="22"/>
          <w:szCs w:val="22"/>
        </w:rPr>
        <w:t>spesific</w:t>
      </w:r>
      <w:proofErr w:type="spellEnd"/>
      <w:r w:rsidRPr="00B1191B">
        <w:rPr>
          <w:rFonts w:ascii="Arial" w:hAnsi="Arial" w:cs="Arial"/>
          <w:b/>
          <w:bCs/>
          <w:color w:val="000000"/>
          <w:sz w:val="22"/>
          <w:szCs w:val="22"/>
        </w:rPr>
        <w:t xml:space="preserve"> Parameters of White Mangrove Extract</w:t>
      </w:r>
    </w:p>
    <w:p w14:paraId="4B3CCD28" w14:textId="77777777" w:rsidR="00F60FE3" w:rsidRPr="00257D84" w:rsidRDefault="00F60FE3" w:rsidP="00F60FE3"/>
    <w:p w14:paraId="250B4758" w14:textId="0711D072" w:rsidR="00F60FE3" w:rsidRDefault="00F60FE3" w:rsidP="00F60FE3">
      <w:pPr>
        <w:jc w:val="both"/>
        <w:rPr>
          <w:rFonts w:ascii="Arial" w:hAnsi="Arial" w:cs="Arial"/>
          <w:szCs w:val="24"/>
        </w:rPr>
      </w:pPr>
      <w:r w:rsidRPr="00153C60">
        <w:rPr>
          <w:rFonts w:ascii="Arial" w:hAnsi="Arial" w:cs="Arial"/>
          <w:szCs w:val="24"/>
        </w:rPr>
        <w:t>Evaluation of specific parameters of the white mangrove extract was conducted using organoleptic tests, phytochemical tests, and soluble compounds in ethanol and water.</w:t>
      </w:r>
      <w:r>
        <w:rPr>
          <w:rFonts w:ascii="Arial" w:hAnsi="Arial" w:cs="Arial"/>
          <w:szCs w:val="24"/>
        </w:rPr>
        <w:t xml:space="preserve"> </w:t>
      </w:r>
      <w:r w:rsidRPr="00153C60">
        <w:rPr>
          <w:rFonts w:ascii="Arial" w:hAnsi="Arial" w:cs="Arial"/>
          <w:szCs w:val="24"/>
        </w:rPr>
        <w:t xml:space="preserve">The phytochemical test in the white mangrove extract using a color test was used as a preliminary identification to determine the bioactive compounds in white mangrove fruit. Results showed that the ethanol extract of white mangrove fruit from </w:t>
      </w:r>
      <w:proofErr w:type="spellStart"/>
      <w:r w:rsidRPr="00153C60">
        <w:rPr>
          <w:rFonts w:ascii="Arial" w:hAnsi="Arial" w:cs="Arial"/>
          <w:szCs w:val="24"/>
        </w:rPr>
        <w:t>Mangkang</w:t>
      </w:r>
      <w:proofErr w:type="spellEnd"/>
      <w:r w:rsidRPr="00153C60">
        <w:rPr>
          <w:rFonts w:ascii="Arial" w:hAnsi="Arial" w:cs="Arial"/>
          <w:szCs w:val="24"/>
        </w:rPr>
        <w:t xml:space="preserve"> contained flavonoids, alkaloids, tannins, saponins, phenolics, steroids, and triterpenoids (Table 1).</w:t>
      </w:r>
    </w:p>
    <w:p w14:paraId="3CBCB1BE" w14:textId="77777777" w:rsidR="00F60FE3" w:rsidRDefault="00F60FE3" w:rsidP="00F60FE3">
      <w:pPr>
        <w:jc w:val="both"/>
        <w:rPr>
          <w:rFonts w:ascii="Arial" w:hAnsi="Arial" w:cs="Arial"/>
          <w:szCs w:val="24"/>
        </w:rPr>
      </w:pPr>
      <w:r w:rsidRPr="00153C60">
        <w:rPr>
          <w:rFonts w:ascii="Arial" w:hAnsi="Arial" w:cs="Arial"/>
          <w:szCs w:val="24"/>
        </w:rPr>
        <w:t xml:space="preserve"> </w:t>
      </w:r>
    </w:p>
    <w:p w14:paraId="2A61CDF2" w14:textId="77777777" w:rsidR="006432B1" w:rsidRDefault="00F60FE3"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r w:rsidRPr="00153C60">
        <w:rPr>
          <w:rFonts w:ascii="Arial" w:hAnsi="Arial" w:cs="Arial"/>
          <w:szCs w:val="24"/>
        </w:rPr>
        <w:t xml:space="preserve">Extracts from the </w:t>
      </w:r>
      <w:proofErr w:type="spellStart"/>
      <w:r w:rsidRPr="00153C60">
        <w:rPr>
          <w:rFonts w:ascii="Arial" w:hAnsi="Arial" w:cs="Arial"/>
          <w:szCs w:val="24"/>
        </w:rPr>
        <w:t>Baros</w:t>
      </w:r>
      <w:proofErr w:type="spellEnd"/>
      <w:r w:rsidRPr="00153C60">
        <w:rPr>
          <w:rFonts w:ascii="Arial" w:hAnsi="Arial" w:cs="Arial"/>
          <w:szCs w:val="24"/>
        </w:rPr>
        <w:t xml:space="preserve"> River and </w:t>
      </w:r>
      <w:proofErr w:type="spellStart"/>
      <w:r w:rsidRPr="00153C60">
        <w:rPr>
          <w:rFonts w:ascii="Arial" w:hAnsi="Arial" w:cs="Arial"/>
          <w:szCs w:val="24"/>
        </w:rPr>
        <w:t>Teluk</w:t>
      </w:r>
      <w:proofErr w:type="spellEnd"/>
      <w:r w:rsidRPr="00153C60">
        <w:rPr>
          <w:rFonts w:ascii="Arial" w:hAnsi="Arial" w:cs="Arial"/>
          <w:szCs w:val="24"/>
        </w:rPr>
        <w:t xml:space="preserve"> </w:t>
      </w:r>
      <w:proofErr w:type="spellStart"/>
      <w:r w:rsidRPr="00153C60">
        <w:rPr>
          <w:rFonts w:ascii="Arial" w:hAnsi="Arial" w:cs="Arial"/>
          <w:szCs w:val="24"/>
        </w:rPr>
        <w:t>Awur</w:t>
      </w:r>
      <w:proofErr w:type="spellEnd"/>
      <w:r w:rsidRPr="00153C60">
        <w:rPr>
          <w:rFonts w:ascii="Arial" w:hAnsi="Arial" w:cs="Arial"/>
          <w:szCs w:val="24"/>
        </w:rPr>
        <w:t xml:space="preserve"> River were free of alkaloids. Previous research showed different results compared to the extract from </w:t>
      </w:r>
      <w:proofErr w:type="spellStart"/>
      <w:r w:rsidRPr="00153C60">
        <w:rPr>
          <w:rFonts w:ascii="Arial" w:hAnsi="Arial" w:cs="Arial"/>
          <w:szCs w:val="24"/>
        </w:rPr>
        <w:t>Mangkang</w:t>
      </w:r>
      <w:proofErr w:type="spellEnd"/>
      <w:r w:rsidRPr="00153C60">
        <w:rPr>
          <w:rFonts w:ascii="Arial" w:hAnsi="Arial" w:cs="Arial"/>
          <w:szCs w:val="24"/>
        </w:rPr>
        <w:t xml:space="preserve">, Semarang, where no alkaloids were detected in the ethanol extract of white mangrove fruit obtained from the </w:t>
      </w:r>
      <w:proofErr w:type="spellStart"/>
      <w:r w:rsidRPr="00153C60">
        <w:rPr>
          <w:rFonts w:ascii="Arial" w:hAnsi="Arial" w:cs="Arial"/>
          <w:szCs w:val="24"/>
        </w:rPr>
        <w:t>Kaliwungu</w:t>
      </w:r>
      <w:proofErr w:type="spellEnd"/>
      <w:r w:rsidRPr="00153C60">
        <w:rPr>
          <w:rFonts w:ascii="Arial" w:hAnsi="Arial" w:cs="Arial"/>
          <w:szCs w:val="24"/>
        </w:rPr>
        <w:t xml:space="preserve"> area, Kendal Regency</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[5]</w:t>
      </w:r>
      <w:r>
        <w:rPr>
          <w:rFonts w:ascii="Arial" w:hAnsi="Arial" w:cs="Arial"/>
          <w:szCs w:val="24"/>
        </w:rPr>
        <w:fldChar w:fldCharType="end"/>
      </w:r>
      <w:r w:rsidRPr="00153C60">
        <w:rPr>
          <w:rFonts w:ascii="Arial" w:hAnsi="Arial" w:cs="Arial"/>
          <w:szCs w:val="24"/>
        </w:rPr>
        <w:t xml:space="preserve">. This is likely due to differences in growth location. Furthermore, phytochemical extraction results are also influenced by factors related to the sample and the extraction process. Plant part, plant origin, particle size, drying method, and air content are some of the sample factors. Extraction factors include solvent </w:t>
      </w:r>
    </w:p>
    <w:p w14:paraId="2DFB9766" w14:textId="7D0E5863" w:rsidR="00F60FE3" w:rsidRPr="00153C60" w:rsidRDefault="00F60FE3" w:rsidP="00F60FE3">
      <w:pPr>
        <w:jc w:val="both"/>
        <w:rPr>
          <w:rFonts w:ascii="Arial" w:hAnsi="Arial" w:cs="Arial"/>
          <w:szCs w:val="24"/>
        </w:rPr>
      </w:pPr>
      <w:r w:rsidRPr="00153C60">
        <w:rPr>
          <w:rFonts w:ascii="Arial" w:hAnsi="Arial" w:cs="Arial"/>
          <w:szCs w:val="24"/>
        </w:rPr>
        <w:t xml:space="preserve">type, extraction method, solvent composition, temperature, and extraction duration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{"citationItems":[{"id":"ITEM-1","itemData":{"author":[{"dropping-particle":"","family":"Shaikh","given":"Junaid R","non-dropping-particle":"","parse-names":false,"suffix":""}],"id":"ITEM-1","issue":"2","issued":{"date-parts":[["2020"]]},"page":"603-608","title":"Qualitative tests for preliminary phytochemical screening : An overview","type":"article-journal","volume":"8"},"uris":["http://www.mendeley.com/documents/?uuid=85caed54-4b8e-429f-aa44-5763eae5e6f1"]}],"mendeley":{"formattedCitation":"[11]","plainTextFormattedCitation":"[11]","previouslyFormattedCitation":"&lt;sup&gt;11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[11]</w:t>
      </w:r>
      <w:r>
        <w:rPr>
          <w:rFonts w:ascii="Arial" w:hAnsi="Arial" w:cs="Arial"/>
          <w:szCs w:val="24"/>
        </w:rPr>
        <w:fldChar w:fldCharType="end"/>
      </w:r>
      <w:r>
        <w:rPr>
          <w:rFonts w:ascii="Arial" w:hAnsi="Arial" w:cs="Arial"/>
          <w:szCs w:val="24"/>
        </w:rPr>
        <w:t>.</w:t>
      </w:r>
    </w:p>
    <w:p w14:paraId="1270032E" w14:textId="3C441BE6" w:rsidR="00F60FE3" w:rsidRDefault="00F60FE3" w:rsidP="00441B6F">
      <w:pPr>
        <w:pStyle w:val="Body"/>
        <w:spacing w:after="0"/>
        <w:rPr>
          <w:rFonts w:ascii="Arial" w:hAnsi="Arial" w:cs="Arial"/>
        </w:rPr>
      </w:pPr>
    </w:p>
    <w:p w14:paraId="4D0540E0" w14:textId="77777777" w:rsidR="00F60FE3" w:rsidRPr="00B1191B" w:rsidRDefault="00F60FE3" w:rsidP="00F60FE3">
      <w:pPr>
        <w:spacing w:after="240"/>
        <w:jc w:val="both"/>
        <w:rPr>
          <w:rFonts w:ascii="Arial" w:hAnsi="Arial" w:cs="Arial"/>
          <w:b/>
          <w:bCs/>
        </w:rPr>
      </w:pPr>
      <w:r w:rsidRPr="00B1191B">
        <w:rPr>
          <w:rFonts w:ascii="Arial" w:hAnsi="Arial" w:cs="Arial"/>
          <w:b/>
          <w:bCs/>
        </w:rPr>
        <w:t xml:space="preserve">Table 1. Qualitative phytochemical screening of </w:t>
      </w:r>
      <w:r w:rsidRPr="00B1191B">
        <w:rPr>
          <w:rFonts w:ascii="Arial" w:hAnsi="Arial" w:cs="Arial"/>
          <w:b/>
          <w:bCs/>
          <w:i/>
          <w:iCs/>
        </w:rPr>
        <w:t>White Mangrove</w:t>
      </w:r>
      <w:r w:rsidRPr="00B1191B">
        <w:rPr>
          <w:rFonts w:ascii="Arial" w:hAnsi="Arial" w:cs="Arial"/>
          <w:b/>
          <w:bCs/>
        </w:rPr>
        <w:t xml:space="preserve"> from three Location</w:t>
      </w:r>
    </w:p>
    <w:tbl>
      <w:tblPr>
        <w:tblW w:w="63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6"/>
        <w:gridCol w:w="1833"/>
        <w:gridCol w:w="1354"/>
        <w:gridCol w:w="1265"/>
        <w:gridCol w:w="1336"/>
      </w:tblGrid>
      <w:tr w:rsidR="00F60FE3" w:rsidRPr="00153C60" w14:paraId="0F4E159D" w14:textId="77777777" w:rsidTr="00991734">
        <w:trPr>
          <w:trHeight w:val="145"/>
          <w:jc w:val="center"/>
        </w:trPr>
        <w:tc>
          <w:tcPr>
            <w:tcW w:w="606" w:type="dxa"/>
            <w:tcBorders>
              <w:bottom w:val="single" w:sz="4" w:space="0" w:color="auto"/>
            </w:tcBorders>
          </w:tcPr>
          <w:p w14:paraId="5D96BDCB" w14:textId="77777777" w:rsidR="00F60FE3" w:rsidRPr="00153C60" w:rsidRDefault="00F60FE3" w:rsidP="00991734">
            <w:pPr>
              <w:jc w:val="both"/>
              <w:rPr>
                <w:rFonts w:ascii="Arial" w:hAnsi="Arial" w:cs="Arial"/>
                <w:bCs/>
              </w:rPr>
            </w:pPr>
            <w:r w:rsidRPr="00153C60">
              <w:rPr>
                <w:rFonts w:ascii="Arial" w:hAnsi="Arial" w:cs="Arial"/>
                <w:bCs/>
              </w:rPr>
              <w:t>No</w:t>
            </w:r>
          </w:p>
        </w:tc>
        <w:tc>
          <w:tcPr>
            <w:tcW w:w="1833" w:type="dxa"/>
            <w:tcBorders>
              <w:bottom w:val="single" w:sz="4" w:space="0" w:color="auto"/>
            </w:tcBorders>
          </w:tcPr>
          <w:p w14:paraId="7AFC0E94" w14:textId="77777777" w:rsidR="00F60FE3" w:rsidRPr="00153C60" w:rsidRDefault="00F60FE3" w:rsidP="00991734">
            <w:pPr>
              <w:jc w:val="both"/>
              <w:rPr>
                <w:rFonts w:ascii="Arial" w:hAnsi="Arial" w:cs="Arial"/>
                <w:bCs/>
              </w:rPr>
            </w:pPr>
            <w:r w:rsidRPr="00153C60">
              <w:rPr>
                <w:rFonts w:ascii="Arial" w:hAnsi="Arial" w:cs="Arial"/>
                <w:bCs/>
              </w:rPr>
              <w:t>Parameter</w:t>
            </w:r>
          </w:p>
        </w:tc>
        <w:tc>
          <w:tcPr>
            <w:tcW w:w="1354" w:type="dxa"/>
            <w:tcBorders>
              <w:bottom w:val="single" w:sz="4" w:space="0" w:color="auto"/>
            </w:tcBorders>
            <w:vAlign w:val="center"/>
          </w:tcPr>
          <w:p w14:paraId="32C82AF1" w14:textId="77777777" w:rsidR="00F60FE3" w:rsidRPr="00153C60" w:rsidRDefault="00F60FE3" w:rsidP="00991734">
            <w:pPr>
              <w:jc w:val="both"/>
              <w:rPr>
                <w:rFonts w:ascii="Arial" w:hAnsi="Arial" w:cs="Arial"/>
                <w:bCs/>
              </w:rPr>
            </w:pPr>
            <w:proofErr w:type="spellStart"/>
            <w:r w:rsidRPr="00153C60">
              <w:rPr>
                <w:rFonts w:ascii="Arial" w:hAnsi="Arial" w:cs="Arial"/>
                <w:bCs/>
                <w:color w:val="000000"/>
                <w:lang w:eastAsia="en-ID"/>
              </w:rPr>
              <w:t>Mangkang</w:t>
            </w:r>
            <w:proofErr w:type="spellEnd"/>
            <w:r w:rsidRPr="00153C60">
              <w:rPr>
                <w:rFonts w:ascii="Arial" w:hAnsi="Arial" w:cs="Arial"/>
                <w:bCs/>
                <w:color w:val="000000"/>
                <w:lang w:eastAsia="en-ID"/>
              </w:rPr>
              <w:t xml:space="preserve"> Semarang</w:t>
            </w:r>
          </w:p>
        </w:tc>
        <w:tc>
          <w:tcPr>
            <w:tcW w:w="1265" w:type="dxa"/>
            <w:tcBorders>
              <w:bottom w:val="single" w:sz="4" w:space="0" w:color="auto"/>
            </w:tcBorders>
            <w:vAlign w:val="center"/>
          </w:tcPr>
          <w:p w14:paraId="44243E09" w14:textId="77777777" w:rsidR="00F60FE3" w:rsidRPr="00153C60" w:rsidRDefault="00F60FE3" w:rsidP="00991734">
            <w:pPr>
              <w:jc w:val="both"/>
              <w:rPr>
                <w:rFonts w:ascii="Arial" w:hAnsi="Arial" w:cs="Arial"/>
                <w:bCs/>
              </w:rPr>
            </w:pPr>
            <w:proofErr w:type="spellStart"/>
            <w:r w:rsidRPr="00153C60">
              <w:rPr>
                <w:rFonts w:ascii="Arial" w:hAnsi="Arial" w:cs="Arial"/>
                <w:bCs/>
                <w:color w:val="000000"/>
                <w:lang w:eastAsia="en-ID"/>
              </w:rPr>
              <w:t>Baros</w:t>
            </w:r>
            <w:proofErr w:type="spellEnd"/>
            <w:r w:rsidRPr="00153C60">
              <w:rPr>
                <w:rFonts w:ascii="Arial" w:hAnsi="Arial" w:cs="Arial"/>
                <w:bCs/>
                <w:color w:val="000000"/>
                <w:lang w:eastAsia="en-ID"/>
              </w:rPr>
              <w:t xml:space="preserve"> River Yogyakarta</w:t>
            </w:r>
          </w:p>
        </w:tc>
        <w:tc>
          <w:tcPr>
            <w:tcW w:w="1336" w:type="dxa"/>
            <w:tcBorders>
              <w:bottom w:val="single" w:sz="4" w:space="0" w:color="auto"/>
            </w:tcBorders>
            <w:vAlign w:val="center"/>
          </w:tcPr>
          <w:p w14:paraId="3D6CBAFB" w14:textId="77777777" w:rsidR="00F60FE3" w:rsidRPr="00153C60" w:rsidRDefault="00F60FE3" w:rsidP="00991734">
            <w:pPr>
              <w:jc w:val="both"/>
              <w:rPr>
                <w:rFonts w:ascii="Arial" w:hAnsi="Arial" w:cs="Arial"/>
                <w:bCs/>
              </w:rPr>
            </w:pPr>
            <w:proofErr w:type="spellStart"/>
            <w:r w:rsidRPr="00153C60">
              <w:rPr>
                <w:rFonts w:ascii="Arial" w:hAnsi="Arial" w:cs="Arial"/>
                <w:bCs/>
                <w:color w:val="000000"/>
                <w:lang w:eastAsia="en-ID"/>
              </w:rPr>
              <w:t>Teluk</w:t>
            </w:r>
            <w:proofErr w:type="spellEnd"/>
            <w:r w:rsidRPr="00153C60">
              <w:rPr>
                <w:rFonts w:ascii="Arial" w:hAnsi="Arial" w:cs="Arial"/>
                <w:bCs/>
                <w:color w:val="000000"/>
                <w:lang w:eastAsia="en-ID"/>
              </w:rPr>
              <w:t xml:space="preserve"> </w:t>
            </w:r>
            <w:proofErr w:type="spellStart"/>
            <w:r w:rsidRPr="00153C60">
              <w:rPr>
                <w:rFonts w:ascii="Arial" w:hAnsi="Arial" w:cs="Arial"/>
                <w:bCs/>
                <w:color w:val="000000"/>
                <w:lang w:eastAsia="en-ID"/>
              </w:rPr>
              <w:t>Awur</w:t>
            </w:r>
            <w:proofErr w:type="spellEnd"/>
            <w:r w:rsidRPr="00153C60">
              <w:rPr>
                <w:rFonts w:ascii="Arial" w:hAnsi="Arial" w:cs="Arial"/>
                <w:bCs/>
                <w:color w:val="000000"/>
                <w:lang w:eastAsia="en-ID"/>
              </w:rPr>
              <w:t xml:space="preserve"> </w:t>
            </w:r>
            <w:proofErr w:type="spellStart"/>
            <w:r w:rsidRPr="00153C60">
              <w:rPr>
                <w:rFonts w:ascii="Arial" w:hAnsi="Arial" w:cs="Arial"/>
                <w:bCs/>
                <w:color w:val="000000"/>
                <w:lang w:eastAsia="en-ID"/>
              </w:rPr>
              <w:t>Jepara</w:t>
            </w:r>
            <w:proofErr w:type="spellEnd"/>
          </w:p>
        </w:tc>
      </w:tr>
      <w:tr w:rsidR="00F60FE3" w:rsidRPr="00153C60" w14:paraId="4F85C3A6" w14:textId="77777777" w:rsidTr="00991734">
        <w:trPr>
          <w:trHeight w:val="113"/>
          <w:jc w:val="center"/>
        </w:trPr>
        <w:tc>
          <w:tcPr>
            <w:tcW w:w="606" w:type="dxa"/>
            <w:tcBorders>
              <w:top w:val="single" w:sz="4" w:space="0" w:color="auto"/>
              <w:bottom w:val="nil"/>
            </w:tcBorders>
          </w:tcPr>
          <w:p w14:paraId="419FE720" w14:textId="77777777" w:rsidR="00F60FE3" w:rsidRPr="00153C60" w:rsidRDefault="00F60FE3" w:rsidP="00991734">
            <w:pPr>
              <w:jc w:val="both"/>
              <w:rPr>
                <w:rFonts w:ascii="Arial" w:hAnsi="Arial" w:cs="Arial"/>
              </w:rPr>
            </w:pPr>
            <w:r w:rsidRPr="00153C60">
              <w:rPr>
                <w:rFonts w:ascii="Arial" w:hAnsi="Arial" w:cs="Arial"/>
              </w:rPr>
              <w:t>1</w:t>
            </w:r>
          </w:p>
        </w:tc>
        <w:tc>
          <w:tcPr>
            <w:tcW w:w="1833" w:type="dxa"/>
            <w:tcBorders>
              <w:top w:val="single" w:sz="4" w:space="0" w:color="auto"/>
              <w:bottom w:val="nil"/>
            </w:tcBorders>
          </w:tcPr>
          <w:p w14:paraId="2E728E38" w14:textId="77777777" w:rsidR="00F60FE3" w:rsidRPr="00153C60" w:rsidRDefault="00F60FE3" w:rsidP="00991734">
            <w:pPr>
              <w:jc w:val="both"/>
              <w:rPr>
                <w:rFonts w:ascii="Arial" w:hAnsi="Arial" w:cs="Arial"/>
              </w:rPr>
            </w:pPr>
            <w:proofErr w:type="spellStart"/>
            <w:r w:rsidRPr="00153C60">
              <w:rPr>
                <w:rFonts w:ascii="Arial" w:hAnsi="Arial" w:cs="Arial"/>
              </w:rPr>
              <w:t>Flavanoid</w:t>
            </w:r>
            <w:proofErr w:type="spellEnd"/>
          </w:p>
        </w:tc>
        <w:tc>
          <w:tcPr>
            <w:tcW w:w="1354" w:type="dxa"/>
            <w:tcBorders>
              <w:top w:val="single" w:sz="4" w:space="0" w:color="auto"/>
              <w:bottom w:val="nil"/>
            </w:tcBorders>
          </w:tcPr>
          <w:p w14:paraId="7BC6BAC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single" w:sz="4" w:space="0" w:color="auto"/>
              <w:bottom w:val="nil"/>
            </w:tcBorders>
          </w:tcPr>
          <w:p w14:paraId="11F86C97"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single" w:sz="4" w:space="0" w:color="auto"/>
              <w:bottom w:val="nil"/>
            </w:tcBorders>
          </w:tcPr>
          <w:p w14:paraId="026A9FEC"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65705AB" w14:textId="77777777" w:rsidTr="00991734">
        <w:trPr>
          <w:jc w:val="center"/>
        </w:trPr>
        <w:tc>
          <w:tcPr>
            <w:tcW w:w="606" w:type="dxa"/>
            <w:tcBorders>
              <w:top w:val="nil"/>
              <w:bottom w:val="nil"/>
            </w:tcBorders>
          </w:tcPr>
          <w:p w14:paraId="59AFA9DF" w14:textId="77777777" w:rsidR="00F60FE3" w:rsidRPr="00153C60" w:rsidRDefault="00F60FE3" w:rsidP="00991734">
            <w:pPr>
              <w:jc w:val="both"/>
              <w:rPr>
                <w:rFonts w:ascii="Arial" w:hAnsi="Arial" w:cs="Arial"/>
              </w:rPr>
            </w:pPr>
            <w:r w:rsidRPr="00153C60">
              <w:rPr>
                <w:rFonts w:ascii="Arial" w:hAnsi="Arial" w:cs="Arial"/>
              </w:rPr>
              <w:t>2</w:t>
            </w:r>
          </w:p>
        </w:tc>
        <w:tc>
          <w:tcPr>
            <w:tcW w:w="1833" w:type="dxa"/>
            <w:tcBorders>
              <w:top w:val="nil"/>
              <w:bottom w:val="nil"/>
            </w:tcBorders>
          </w:tcPr>
          <w:p w14:paraId="4314B670" w14:textId="77777777" w:rsidR="00F60FE3" w:rsidRPr="00153C60" w:rsidRDefault="00F60FE3" w:rsidP="00991734">
            <w:pPr>
              <w:jc w:val="both"/>
              <w:rPr>
                <w:rFonts w:ascii="Arial" w:hAnsi="Arial" w:cs="Arial"/>
              </w:rPr>
            </w:pPr>
            <w:r w:rsidRPr="00153C60">
              <w:rPr>
                <w:rFonts w:ascii="Arial" w:hAnsi="Arial" w:cs="Arial"/>
              </w:rPr>
              <w:t>Alkaloid</w:t>
            </w:r>
          </w:p>
        </w:tc>
        <w:tc>
          <w:tcPr>
            <w:tcW w:w="1354" w:type="dxa"/>
            <w:tcBorders>
              <w:top w:val="nil"/>
              <w:bottom w:val="nil"/>
            </w:tcBorders>
          </w:tcPr>
          <w:p w14:paraId="0CA7CC25" w14:textId="77777777" w:rsidR="00F60FE3" w:rsidRPr="00153C60" w:rsidRDefault="00F60FE3" w:rsidP="00991734">
            <w:pPr>
              <w:jc w:val="center"/>
              <w:rPr>
                <w:rFonts w:ascii="Arial" w:hAnsi="Arial" w:cs="Arial"/>
              </w:rPr>
            </w:pPr>
          </w:p>
        </w:tc>
        <w:tc>
          <w:tcPr>
            <w:tcW w:w="1265" w:type="dxa"/>
            <w:tcBorders>
              <w:top w:val="nil"/>
              <w:bottom w:val="nil"/>
            </w:tcBorders>
          </w:tcPr>
          <w:p w14:paraId="1C4F58AC" w14:textId="77777777" w:rsidR="00F60FE3" w:rsidRPr="00153C60" w:rsidRDefault="00F60FE3" w:rsidP="00991734">
            <w:pPr>
              <w:jc w:val="center"/>
              <w:rPr>
                <w:rFonts w:ascii="Arial" w:hAnsi="Arial" w:cs="Arial"/>
              </w:rPr>
            </w:pPr>
          </w:p>
        </w:tc>
        <w:tc>
          <w:tcPr>
            <w:tcW w:w="1336" w:type="dxa"/>
            <w:tcBorders>
              <w:top w:val="nil"/>
              <w:bottom w:val="nil"/>
            </w:tcBorders>
          </w:tcPr>
          <w:p w14:paraId="2B097EED" w14:textId="77777777" w:rsidR="00F60FE3" w:rsidRPr="00153C60" w:rsidRDefault="00F60FE3" w:rsidP="00991734">
            <w:pPr>
              <w:jc w:val="center"/>
              <w:rPr>
                <w:rFonts w:ascii="Arial" w:hAnsi="Arial" w:cs="Arial"/>
              </w:rPr>
            </w:pPr>
          </w:p>
        </w:tc>
      </w:tr>
      <w:tr w:rsidR="00F60FE3" w:rsidRPr="00153C60" w14:paraId="69C59C8F" w14:textId="77777777" w:rsidTr="00991734">
        <w:trPr>
          <w:jc w:val="center"/>
        </w:trPr>
        <w:tc>
          <w:tcPr>
            <w:tcW w:w="606" w:type="dxa"/>
            <w:tcBorders>
              <w:top w:val="nil"/>
              <w:bottom w:val="nil"/>
            </w:tcBorders>
          </w:tcPr>
          <w:p w14:paraId="7381341B" w14:textId="77777777" w:rsidR="00F60FE3" w:rsidRPr="00153C60" w:rsidRDefault="00F60FE3" w:rsidP="00991734">
            <w:pPr>
              <w:jc w:val="both"/>
              <w:rPr>
                <w:rFonts w:ascii="Arial" w:hAnsi="Arial" w:cs="Arial"/>
              </w:rPr>
            </w:pPr>
          </w:p>
        </w:tc>
        <w:tc>
          <w:tcPr>
            <w:tcW w:w="1833" w:type="dxa"/>
            <w:tcBorders>
              <w:top w:val="nil"/>
              <w:bottom w:val="nil"/>
            </w:tcBorders>
          </w:tcPr>
          <w:p w14:paraId="3EB8D87C" w14:textId="77777777" w:rsidR="00F60FE3" w:rsidRPr="00153C60" w:rsidRDefault="00F60FE3" w:rsidP="00F60FE3">
            <w:pPr>
              <w:pStyle w:val="ListParagraph"/>
              <w:numPr>
                <w:ilvl w:val="0"/>
                <w:numId w:val="34"/>
              </w:numPr>
              <w:ind w:left="350" w:right="-117"/>
              <w:jc w:val="both"/>
              <w:rPr>
                <w:rFonts w:ascii="Arial" w:hAnsi="Arial" w:cs="Arial"/>
              </w:rPr>
            </w:pPr>
            <w:proofErr w:type="spellStart"/>
            <w:r w:rsidRPr="00153C60">
              <w:rPr>
                <w:rFonts w:ascii="Arial" w:hAnsi="Arial" w:cs="Arial"/>
              </w:rPr>
              <w:t>Bouchardat</w:t>
            </w:r>
            <w:proofErr w:type="spellEnd"/>
          </w:p>
        </w:tc>
        <w:tc>
          <w:tcPr>
            <w:tcW w:w="1354" w:type="dxa"/>
            <w:tcBorders>
              <w:top w:val="nil"/>
              <w:bottom w:val="nil"/>
            </w:tcBorders>
          </w:tcPr>
          <w:p w14:paraId="5455DD72"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7D1D346E"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714DE1"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5310D5A3" w14:textId="77777777" w:rsidTr="00991734">
        <w:trPr>
          <w:jc w:val="center"/>
        </w:trPr>
        <w:tc>
          <w:tcPr>
            <w:tcW w:w="606" w:type="dxa"/>
            <w:tcBorders>
              <w:top w:val="nil"/>
              <w:bottom w:val="nil"/>
            </w:tcBorders>
          </w:tcPr>
          <w:p w14:paraId="5D140266" w14:textId="77777777" w:rsidR="00F60FE3" w:rsidRPr="00153C60" w:rsidRDefault="00F60FE3" w:rsidP="00991734">
            <w:pPr>
              <w:jc w:val="both"/>
              <w:rPr>
                <w:rFonts w:ascii="Arial" w:hAnsi="Arial" w:cs="Arial"/>
              </w:rPr>
            </w:pPr>
          </w:p>
        </w:tc>
        <w:tc>
          <w:tcPr>
            <w:tcW w:w="1833" w:type="dxa"/>
            <w:tcBorders>
              <w:top w:val="nil"/>
              <w:bottom w:val="nil"/>
            </w:tcBorders>
          </w:tcPr>
          <w:p w14:paraId="63ACE4D6" w14:textId="77777777" w:rsidR="00F60FE3" w:rsidRPr="00153C60" w:rsidRDefault="00F60FE3" w:rsidP="00F60FE3">
            <w:pPr>
              <w:pStyle w:val="ListParagraph"/>
              <w:numPr>
                <w:ilvl w:val="0"/>
                <w:numId w:val="34"/>
              </w:numPr>
              <w:ind w:left="350" w:right="-117"/>
              <w:jc w:val="both"/>
              <w:rPr>
                <w:rFonts w:ascii="Arial" w:hAnsi="Arial" w:cs="Arial"/>
              </w:rPr>
            </w:pPr>
            <w:proofErr w:type="spellStart"/>
            <w:r w:rsidRPr="00153C60">
              <w:rPr>
                <w:rFonts w:ascii="Arial" w:hAnsi="Arial" w:cs="Arial"/>
              </w:rPr>
              <w:t>Asam</w:t>
            </w:r>
            <w:proofErr w:type="spellEnd"/>
            <w:r w:rsidRPr="00153C60">
              <w:rPr>
                <w:rFonts w:ascii="Arial" w:hAnsi="Arial" w:cs="Arial"/>
              </w:rPr>
              <w:t xml:space="preserve"> </w:t>
            </w:r>
            <w:proofErr w:type="spellStart"/>
            <w:r w:rsidRPr="00153C60">
              <w:rPr>
                <w:rFonts w:ascii="Arial" w:hAnsi="Arial" w:cs="Arial"/>
              </w:rPr>
              <w:t>fosfomolibdat</w:t>
            </w:r>
            <w:proofErr w:type="spellEnd"/>
          </w:p>
        </w:tc>
        <w:tc>
          <w:tcPr>
            <w:tcW w:w="1354" w:type="dxa"/>
            <w:tcBorders>
              <w:top w:val="nil"/>
              <w:bottom w:val="nil"/>
            </w:tcBorders>
          </w:tcPr>
          <w:p w14:paraId="7AD3C12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28A5E616"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7F78A9A3"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4E5126" w14:textId="77777777" w:rsidTr="00991734">
        <w:trPr>
          <w:jc w:val="center"/>
        </w:trPr>
        <w:tc>
          <w:tcPr>
            <w:tcW w:w="606" w:type="dxa"/>
            <w:tcBorders>
              <w:top w:val="nil"/>
              <w:bottom w:val="nil"/>
            </w:tcBorders>
          </w:tcPr>
          <w:p w14:paraId="47E0BF22" w14:textId="77777777" w:rsidR="00F60FE3" w:rsidRPr="00153C60" w:rsidRDefault="00F60FE3" w:rsidP="00991734">
            <w:pPr>
              <w:jc w:val="both"/>
              <w:rPr>
                <w:rFonts w:ascii="Arial" w:hAnsi="Arial" w:cs="Arial"/>
              </w:rPr>
            </w:pPr>
          </w:p>
        </w:tc>
        <w:tc>
          <w:tcPr>
            <w:tcW w:w="1833" w:type="dxa"/>
            <w:tcBorders>
              <w:top w:val="nil"/>
              <w:bottom w:val="nil"/>
            </w:tcBorders>
          </w:tcPr>
          <w:p w14:paraId="14114AEE"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Hager</w:t>
            </w:r>
          </w:p>
        </w:tc>
        <w:tc>
          <w:tcPr>
            <w:tcW w:w="1354" w:type="dxa"/>
            <w:tcBorders>
              <w:top w:val="nil"/>
              <w:bottom w:val="nil"/>
            </w:tcBorders>
          </w:tcPr>
          <w:p w14:paraId="76743C30"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35F253"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49E41C8"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D3A1D18" w14:textId="77777777" w:rsidTr="00991734">
        <w:trPr>
          <w:jc w:val="center"/>
        </w:trPr>
        <w:tc>
          <w:tcPr>
            <w:tcW w:w="606" w:type="dxa"/>
            <w:tcBorders>
              <w:top w:val="nil"/>
              <w:bottom w:val="nil"/>
            </w:tcBorders>
          </w:tcPr>
          <w:p w14:paraId="458C012F" w14:textId="77777777" w:rsidR="00F60FE3" w:rsidRPr="00153C60" w:rsidRDefault="00F60FE3" w:rsidP="00991734">
            <w:pPr>
              <w:jc w:val="both"/>
              <w:rPr>
                <w:rFonts w:ascii="Arial" w:hAnsi="Arial" w:cs="Arial"/>
              </w:rPr>
            </w:pPr>
          </w:p>
        </w:tc>
        <w:tc>
          <w:tcPr>
            <w:tcW w:w="1833" w:type="dxa"/>
            <w:tcBorders>
              <w:top w:val="nil"/>
              <w:bottom w:val="nil"/>
            </w:tcBorders>
          </w:tcPr>
          <w:p w14:paraId="271654DF"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Mayer</w:t>
            </w:r>
          </w:p>
        </w:tc>
        <w:tc>
          <w:tcPr>
            <w:tcW w:w="1354" w:type="dxa"/>
            <w:tcBorders>
              <w:top w:val="nil"/>
              <w:bottom w:val="nil"/>
            </w:tcBorders>
          </w:tcPr>
          <w:p w14:paraId="1EC2BEF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3024B5F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B649879"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1A4AD243" w14:textId="77777777" w:rsidTr="00991734">
        <w:trPr>
          <w:jc w:val="center"/>
        </w:trPr>
        <w:tc>
          <w:tcPr>
            <w:tcW w:w="606" w:type="dxa"/>
            <w:tcBorders>
              <w:top w:val="nil"/>
              <w:bottom w:val="nil"/>
            </w:tcBorders>
          </w:tcPr>
          <w:p w14:paraId="297AF1F8" w14:textId="77777777" w:rsidR="00F60FE3" w:rsidRPr="00153C60" w:rsidRDefault="00F60FE3" w:rsidP="00991734">
            <w:pPr>
              <w:jc w:val="both"/>
              <w:rPr>
                <w:rFonts w:ascii="Arial" w:hAnsi="Arial" w:cs="Arial"/>
              </w:rPr>
            </w:pPr>
            <w:r w:rsidRPr="00153C60">
              <w:rPr>
                <w:rFonts w:ascii="Arial" w:hAnsi="Arial" w:cs="Arial"/>
              </w:rPr>
              <w:t>3</w:t>
            </w:r>
          </w:p>
        </w:tc>
        <w:tc>
          <w:tcPr>
            <w:tcW w:w="1833" w:type="dxa"/>
            <w:tcBorders>
              <w:top w:val="nil"/>
              <w:bottom w:val="nil"/>
            </w:tcBorders>
          </w:tcPr>
          <w:p w14:paraId="6CA17F2C" w14:textId="77777777" w:rsidR="00F60FE3" w:rsidRPr="00153C60" w:rsidRDefault="00F60FE3" w:rsidP="00991734">
            <w:pPr>
              <w:jc w:val="both"/>
              <w:rPr>
                <w:rFonts w:ascii="Arial" w:hAnsi="Arial" w:cs="Arial"/>
              </w:rPr>
            </w:pPr>
            <w:r w:rsidRPr="00153C60">
              <w:rPr>
                <w:rFonts w:ascii="Arial" w:hAnsi="Arial" w:cs="Arial"/>
              </w:rPr>
              <w:t>Tannin</w:t>
            </w:r>
          </w:p>
        </w:tc>
        <w:tc>
          <w:tcPr>
            <w:tcW w:w="1354" w:type="dxa"/>
            <w:tcBorders>
              <w:top w:val="nil"/>
              <w:bottom w:val="nil"/>
            </w:tcBorders>
          </w:tcPr>
          <w:p w14:paraId="0A98B12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1ED0C384"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49E96815"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7C361934" w14:textId="77777777" w:rsidTr="00991734">
        <w:trPr>
          <w:jc w:val="center"/>
        </w:trPr>
        <w:tc>
          <w:tcPr>
            <w:tcW w:w="606" w:type="dxa"/>
            <w:tcBorders>
              <w:top w:val="nil"/>
              <w:bottom w:val="nil"/>
            </w:tcBorders>
          </w:tcPr>
          <w:p w14:paraId="437105A5" w14:textId="77777777" w:rsidR="00F60FE3" w:rsidRPr="00153C60" w:rsidRDefault="00F60FE3" w:rsidP="00991734">
            <w:pPr>
              <w:jc w:val="both"/>
              <w:rPr>
                <w:rFonts w:ascii="Arial" w:hAnsi="Arial" w:cs="Arial"/>
              </w:rPr>
            </w:pPr>
            <w:r w:rsidRPr="00153C60">
              <w:rPr>
                <w:rFonts w:ascii="Arial" w:hAnsi="Arial" w:cs="Arial"/>
              </w:rPr>
              <w:t>4</w:t>
            </w:r>
          </w:p>
        </w:tc>
        <w:tc>
          <w:tcPr>
            <w:tcW w:w="1833" w:type="dxa"/>
            <w:tcBorders>
              <w:top w:val="nil"/>
              <w:bottom w:val="nil"/>
            </w:tcBorders>
          </w:tcPr>
          <w:p w14:paraId="61F25259" w14:textId="77777777" w:rsidR="00F60FE3" w:rsidRPr="00153C60" w:rsidRDefault="00F60FE3" w:rsidP="00991734">
            <w:pPr>
              <w:jc w:val="both"/>
              <w:rPr>
                <w:rFonts w:ascii="Arial" w:hAnsi="Arial" w:cs="Arial"/>
              </w:rPr>
            </w:pPr>
            <w:proofErr w:type="spellStart"/>
            <w:r w:rsidRPr="00153C60">
              <w:rPr>
                <w:rFonts w:ascii="Arial" w:hAnsi="Arial" w:cs="Arial"/>
              </w:rPr>
              <w:t>Saponnin</w:t>
            </w:r>
            <w:proofErr w:type="spellEnd"/>
          </w:p>
        </w:tc>
        <w:tc>
          <w:tcPr>
            <w:tcW w:w="1354" w:type="dxa"/>
            <w:tcBorders>
              <w:top w:val="nil"/>
              <w:bottom w:val="nil"/>
            </w:tcBorders>
          </w:tcPr>
          <w:p w14:paraId="284DFE25"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531B94CD"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2861A0"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223D13A" w14:textId="77777777" w:rsidTr="00991734">
        <w:trPr>
          <w:jc w:val="center"/>
        </w:trPr>
        <w:tc>
          <w:tcPr>
            <w:tcW w:w="606" w:type="dxa"/>
            <w:tcBorders>
              <w:top w:val="nil"/>
              <w:bottom w:val="nil"/>
            </w:tcBorders>
          </w:tcPr>
          <w:p w14:paraId="4271D72D" w14:textId="77777777" w:rsidR="00F60FE3" w:rsidRPr="00153C60" w:rsidRDefault="00F60FE3" w:rsidP="00991734">
            <w:pPr>
              <w:jc w:val="both"/>
              <w:rPr>
                <w:rFonts w:ascii="Arial" w:hAnsi="Arial" w:cs="Arial"/>
              </w:rPr>
            </w:pPr>
            <w:r w:rsidRPr="00153C60">
              <w:rPr>
                <w:rFonts w:ascii="Arial" w:hAnsi="Arial" w:cs="Arial"/>
              </w:rPr>
              <w:t>5</w:t>
            </w:r>
          </w:p>
        </w:tc>
        <w:tc>
          <w:tcPr>
            <w:tcW w:w="1833" w:type="dxa"/>
            <w:tcBorders>
              <w:top w:val="nil"/>
              <w:bottom w:val="nil"/>
            </w:tcBorders>
          </w:tcPr>
          <w:p w14:paraId="2458B9C8" w14:textId="77777777" w:rsidR="00F60FE3" w:rsidRPr="00153C60" w:rsidRDefault="00F60FE3" w:rsidP="00991734">
            <w:pPr>
              <w:jc w:val="both"/>
              <w:rPr>
                <w:rFonts w:ascii="Arial" w:hAnsi="Arial" w:cs="Arial"/>
              </w:rPr>
            </w:pPr>
            <w:r w:rsidRPr="00153C60">
              <w:rPr>
                <w:rFonts w:ascii="Arial" w:hAnsi="Arial" w:cs="Arial"/>
              </w:rPr>
              <w:t>Phenolic</w:t>
            </w:r>
          </w:p>
        </w:tc>
        <w:tc>
          <w:tcPr>
            <w:tcW w:w="1354" w:type="dxa"/>
            <w:tcBorders>
              <w:top w:val="nil"/>
              <w:bottom w:val="nil"/>
            </w:tcBorders>
          </w:tcPr>
          <w:p w14:paraId="7ADBFEBA"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C813F0"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AB1CD74"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6530A948" w14:textId="77777777" w:rsidTr="00991734">
        <w:trPr>
          <w:jc w:val="center"/>
        </w:trPr>
        <w:tc>
          <w:tcPr>
            <w:tcW w:w="606" w:type="dxa"/>
            <w:tcBorders>
              <w:top w:val="nil"/>
              <w:bottom w:val="nil"/>
            </w:tcBorders>
          </w:tcPr>
          <w:p w14:paraId="731E8219" w14:textId="77777777" w:rsidR="00F60FE3" w:rsidRPr="00153C60" w:rsidRDefault="00F60FE3" w:rsidP="00991734">
            <w:pPr>
              <w:jc w:val="both"/>
              <w:rPr>
                <w:rFonts w:ascii="Arial" w:hAnsi="Arial" w:cs="Arial"/>
              </w:rPr>
            </w:pPr>
            <w:r w:rsidRPr="00153C60">
              <w:rPr>
                <w:rFonts w:ascii="Arial" w:hAnsi="Arial" w:cs="Arial"/>
              </w:rPr>
              <w:t>6</w:t>
            </w:r>
          </w:p>
        </w:tc>
        <w:tc>
          <w:tcPr>
            <w:tcW w:w="1833" w:type="dxa"/>
            <w:tcBorders>
              <w:top w:val="nil"/>
              <w:bottom w:val="nil"/>
            </w:tcBorders>
          </w:tcPr>
          <w:p w14:paraId="7471E5BA" w14:textId="77777777" w:rsidR="00F60FE3" w:rsidRPr="00153C60" w:rsidRDefault="00F60FE3" w:rsidP="00991734">
            <w:pPr>
              <w:jc w:val="both"/>
              <w:rPr>
                <w:rFonts w:ascii="Arial" w:hAnsi="Arial" w:cs="Arial"/>
              </w:rPr>
            </w:pPr>
            <w:r w:rsidRPr="00153C60">
              <w:rPr>
                <w:rFonts w:ascii="Arial" w:hAnsi="Arial" w:cs="Arial"/>
              </w:rPr>
              <w:t>Steroid</w:t>
            </w:r>
          </w:p>
        </w:tc>
        <w:tc>
          <w:tcPr>
            <w:tcW w:w="1354" w:type="dxa"/>
            <w:tcBorders>
              <w:top w:val="nil"/>
              <w:bottom w:val="nil"/>
            </w:tcBorders>
          </w:tcPr>
          <w:p w14:paraId="5086F918"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50EF68B"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A1510C2"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A268B4" w14:textId="77777777" w:rsidTr="00991734">
        <w:trPr>
          <w:jc w:val="center"/>
        </w:trPr>
        <w:tc>
          <w:tcPr>
            <w:tcW w:w="606" w:type="dxa"/>
            <w:tcBorders>
              <w:top w:val="nil"/>
              <w:bottom w:val="single" w:sz="4" w:space="0" w:color="auto"/>
            </w:tcBorders>
          </w:tcPr>
          <w:p w14:paraId="16DB21F3" w14:textId="77777777" w:rsidR="00F60FE3" w:rsidRPr="00153C60" w:rsidRDefault="00F60FE3" w:rsidP="00991734">
            <w:pPr>
              <w:jc w:val="both"/>
              <w:rPr>
                <w:rFonts w:ascii="Arial" w:hAnsi="Arial" w:cs="Arial"/>
              </w:rPr>
            </w:pPr>
            <w:r w:rsidRPr="00153C60">
              <w:rPr>
                <w:rFonts w:ascii="Arial" w:hAnsi="Arial" w:cs="Arial"/>
              </w:rPr>
              <w:t>7</w:t>
            </w:r>
          </w:p>
        </w:tc>
        <w:tc>
          <w:tcPr>
            <w:tcW w:w="1833" w:type="dxa"/>
            <w:tcBorders>
              <w:top w:val="nil"/>
              <w:bottom w:val="single" w:sz="4" w:space="0" w:color="auto"/>
            </w:tcBorders>
          </w:tcPr>
          <w:p w14:paraId="6FB2253E" w14:textId="77777777" w:rsidR="00F60FE3" w:rsidRPr="00153C60" w:rsidRDefault="00F60FE3" w:rsidP="00991734">
            <w:pPr>
              <w:jc w:val="both"/>
              <w:rPr>
                <w:rFonts w:ascii="Arial" w:hAnsi="Arial" w:cs="Arial"/>
              </w:rPr>
            </w:pPr>
            <w:r w:rsidRPr="00153C60">
              <w:rPr>
                <w:rFonts w:ascii="Arial" w:hAnsi="Arial" w:cs="Arial"/>
              </w:rPr>
              <w:t>Triterpenoid</w:t>
            </w:r>
          </w:p>
        </w:tc>
        <w:tc>
          <w:tcPr>
            <w:tcW w:w="1354" w:type="dxa"/>
            <w:tcBorders>
              <w:top w:val="nil"/>
              <w:bottom w:val="single" w:sz="4" w:space="0" w:color="auto"/>
            </w:tcBorders>
          </w:tcPr>
          <w:p w14:paraId="204B9DAF"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single" w:sz="4" w:space="0" w:color="auto"/>
            </w:tcBorders>
          </w:tcPr>
          <w:p w14:paraId="0FECF44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single" w:sz="4" w:space="0" w:color="auto"/>
            </w:tcBorders>
          </w:tcPr>
          <w:p w14:paraId="10632580" w14:textId="77777777" w:rsidR="00F60FE3" w:rsidRPr="00153C60" w:rsidRDefault="00F60FE3" w:rsidP="00991734">
            <w:pPr>
              <w:jc w:val="center"/>
              <w:rPr>
                <w:rFonts w:ascii="Arial" w:hAnsi="Arial" w:cs="Arial"/>
              </w:rPr>
            </w:pPr>
            <w:r w:rsidRPr="00153C60">
              <w:rPr>
                <w:rFonts w:ascii="Arial" w:hAnsi="Arial" w:cs="Arial"/>
              </w:rPr>
              <w:t>+</w:t>
            </w:r>
          </w:p>
        </w:tc>
      </w:tr>
    </w:tbl>
    <w:p w14:paraId="5F97ACFC" w14:textId="77777777" w:rsidR="00F60FE3" w:rsidRPr="00B1191B" w:rsidRDefault="00F60FE3" w:rsidP="00F60FE3">
      <w:pPr>
        <w:jc w:val="both"/>
        <w:rPr>
          <w:rFonts w:ascii="Arial" w:hAnsi="Arial" w:cs="Arial"/>
          <w:i/>
          <w:sz w:val="18"/>
          <w:szCs w:val="18"/>
        </w:rPr>
      </w:pPr>
      <w:r w:rsidRPr="00B1191B">
        <w:rPr>
          <w:rFonts w:ascii="Arial" w:hAnsi="Arial" w:cs="Arial"/>
          <w:bCs/>
          <w:i/>
          <w:sz w:val="18"/>
          <w:szCs w:val="18"/>
        </w:rPr>
        <w:t xml:space="preserve">*Description: </w:t>
      </w:r>
      <w:r w:rsidRPr="00B1191B">
        <w:rPr>
          <w:rFonts w:ascii="Arial" w:hAnsi="Arial" w:cs="Arial"/>
          <w:i/>
          <w:sz w:val="18"/>
          <w:szCs w:val="18"/>
        </w:rPr>
        <w:t>+ results indicate the presence of secondary metabolic compounds</w:t>
      </w:r>
    </w:p>
    <w:p w14:paraId="1BEF2172" w14:textId="5EE2B35C" w:rsidR="00F60FE3" w:rsidRDefault="00F60FE3" w:rsidP="00441B6F">
      <w:pPr>
        <w:pStyle w:val="Body"/>
        <w:spacing w:after="0"/>
        <w:rPr>
          <w:rFonts w:ascii="Arial" w:hAnsi="Arial" w:cs="Arial"/>
        </w:rPr>
      </w:pPr>
    </w:p>
    <w:p w14:paraId="260F7CD8"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30E37008" w14:textId="630DDE21" w:rsidR="00F60FE3" w:rsidRPr="00153C60" w:rsidRDefault="00F60FE3" w:rsidP="00F60FE3">
      <w:pPr>
        <w:jc w:val="both"/>
        <w:rPr>
          <w:rFonts w:ascii="Arial" w:hAnsi="Arial" w:cs="Arial"/>
          <w:szCs w:val="24"/>
        </w:rPr>
      </w:pPr>
      <w:r w:rsidRPr="00153C60">
        <w:rPr>
          <w:rFonts w:ascii="Arial" w:hAnsi="Arial" w:cs="Arial"/>
          <w:szCs w:val="24"/>
        </w:rPr>
        <w:t>Specific parameters describe the identity of an extract. The identification process is an important part of the quality control of traditional medicinal products because the ingredients usually come from different cultivation areas and have many physical similarities with other plants of the same genus. The first parameter to be determined is the identity of the extract. Assessing the quality of the extract is the organoleptic determination of the extract, which involves observing the color, taste, and odor</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The results of the organoleptic test from three locations showed similarities in color, taste, and odor. The slightly bitter taste is caused by the content of saponins, tannins, and alkaloid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{"citationItems":[{"id":"ITEM-1","itemData":{"author":[{"dropping-particle":"","family":"Permadi","given":"Yusup Bayu","non-dropping-particle":"","parse-names":false,"suffix":""},{"dropping-particle":"","family":"Sedjati","given":"Sri","non-dropping-particle":"","parse-names":false,"suffix":""},{"dropping-particle":"","family":"Supriyantini","given":"Endang","non-dropping-particle":"","parse-names":false,"suffix":""}],"id":"ITEM-1","issued":{"date-parts":[["2012"]]},"page":"39-47","title":"Waktu Perendaman Air Terhadap Kandungan Nutrisi Tepung Buah Mangrove Avicenia marina","type":"article-journal","volume":"1"},"uris":["http://www.mendeley.com/documents/?uuid=d28fef8b-951c-4088-9005-770a7f6c535b"]}],"mendeley":{"formattedCitation":"[12]","plainTextFormattedCitation":"[12]","previouslyFormattedCitation":"&lt;sup&gt;12&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[12]</w:t>
      </w:r>
      <w:r>
        <w:rPr>
          <w:rFonts w:ascii="Arial" w:hAnsi="Arial" w:cs="Arial"/>
          <w:szCs w:val="24"/>
        </w:rPr>
        <w:fldChar w:fldCharType="end"/>
      </w:r>
      <w:r w:rsidRPr="00153C60">
        <w:rPr>
          <w:rFonts w:ascii="Arial" w:hAnsi="Arial" w:cs="Arial"/>
          <w:szCs w:val="24"/>
        </w:rPr>
        <w:t>. This is proven by the results of phytochemical screening with the presence of saponins, tannins, and alkaloids which showed positive results. The solubility of the extract in water and ethanol solvents indicates the presence of active compounds that are polar (soluble in water) and polar-nonpolar (soluble in ethanol</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{"citationItems":[{"id":"ITEM-1","itemData":{"abstract":"Daun leilem (Clerodendrum minahassae Teisjm. &amp; Binn) memiliki banyak efek farmakologis sebagai obat tradisional. Bahan baku obat tradisional perlu standardisasi. Standardisasi simplisia dan ekstrak etanol daun leilem dilakukan untuk menetapkan parameter standar simplisia dan ekstrak etanol daun leilem. Penetapan standar mutu simplisia dan ekstrak meliputi parameter spesifik dan non spesifik.Ekstrak kental diperoleh dari hasil maserasi daun leilem menggunakan etanol 70% dengan perolehan rendemen sebesar 22%. Pengamatan makroskopik menunjukkan simplisia daun leilem berwarna cokelat kehijauan, berbentuk bundar telur, ujungnya runcing, berpangkal tumpul, permukaannya licin, bertepi rata, umumnya terdapat 6 pasang tulang daun yang menyirip, panjang rata-rata 11,1 cm dan lebar rata-rata 5,3 cm. Organoleptik dari ekstrak etanol daun leilem yaitu berkonsistensi kental, berwarna hitam, berbau khas dan berasa pahit. Fragmen pengenal simplisia daun leilem berupa hablur kalsium oksalat berbentuk stiloid, berkas pembuluh dengan penebalan cincin, rambut penutup berbentuk kerucut dan memiliki ujung rambut yang runcing, stomata dengan sel batu, epidermis atas dengan stomata tipe anomositik serta epidermis bawah berbentuk poligonal tidak beraturan. Kadar senyawa terlarut dalam air pada simplisia sebesar 19,932% dan pada ekstrak sebesar 52,096%, sedangkan kadar senyawa terlarut dalam etanol pada simplisia sebesar 11,776% dan pada ekstrak sebesar 35,108%. Ekstrak mengandung senyawa alkaloid, steroid, flavonoid dan tanin. Kadar air dalam simplisia dan ekstrak masing-masing ≤ 10%. Kadar abu total dalam simplisia sebesar 27,783% dan dalam ekstrak sebesar 12%, kadar abu tidak larut asam dalam simplisia sebesar 4,242% dan dalam ekstrak sebesar 2,518%. Susut pengeringan pada simplisia sebesar 12,399% dan pada ekstrak sebesar 24,603%. Bobot jenis ekstrak sebesar 1,055 g/ ml. Total cemaran bakteri dan kapang pada ekstrak memenuhi syarat dengan nilai masing-masing sebesar 5,4 x 102 koloni/g dan 5,0 x 102 koloni/g. A","author":[{"dropping-particle":"","family":"Utami","given":"Yuri Pratiwi","non-dropping-particle":"","parse-names":false,"suffix":""},{"dropping-particle":"","family":"Umar","given":"Abdul Halim","non-dropping-particle":"","parse-names":false,"suffix":""},{"dropping-particle":"","family":"Syahruni","given":"Reny","non-dropping-particle":"","parse-names":false,"suffix":""},{"dropping-particle":"","family":"Kadullah","given":"Indah","non-dropping-particle":"","parse-names":false,"suffix":""}],"container-title":"Journal of Pharmaceutical and Medicinal Sciences","id":"ITEM-1","issue":"1","issued":{"date-parts":[["2017"]]},"page":"32-39","title":"Standardisasi Simplisia dan Ekstrak Etanol Daun Leilem ( Clerodendrum","type":"article-journal","volume":"2"},"uris":["http://www.mendeley.com/documents/?uuid=6cb682de-4a41-4292-b459-3ccb64dd8141"]}],"mendeley":{"formattedCitation":"[13]","plainTextFormattedCitation":"[13]","previouslyFormattedCitation":"&lt;sup&gt;13&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[13]</w:t>
      </w:r>
      <w:r>
        <w:rPr>
          <w:rFonts w:ascii="Arial" w:hAnsi="Arial" w:cs="Arial"/>
          <w:szCs w:val="24"/>
        </w:rPr>
        <w:fldChar w:fldCharType="end"/>
      </w:r>
      <w:r w:rsidRPr="00153C60">
        <w:rPr>
          <w:rFonts w:ascii="Arial" w:hAnsi="Arial" w:cs="Arial"/>
          <w:szCs w:val="24"/>
        </w:rPr>
        <w:t>. Each plant contains different compounds, which are soluble or attracted based on their polarity. Table 2 shows that the extracts from the three locations are more soluble in ethanol than in water, so it can be concluded that the attracted compounds are semipolar.</w:t>
      </w:r>
    </w:p>
    <w:p w14:paraId="02993E4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3A07AE4F" w14:textId="3B3530AD" w:rsidR="00F60FE3" w:rsidRDefault="00F60FE3" w:rsidP="00441B6F">
      <w:pPr>
        <w:pStyle w:val="Body"/>
        <w:spacing w:after="0"/>
        <w:rPr>
          <w:rFonts w:ascii="Arial" w:hAnsi="Arial" w:cs="Arial"/>
        </w:rPr>
      </w:pPr>
    </w:p>
    <w:p w14:paraId="4F6396FD" w14:textId="77777777" w:rsidR="00F60FE3" w:rsidRPr="00153C60" w:rsidRDefault="00F60FE3" w:rsidP="00F60FE3">
      <w:pPr>
        <w:tabs>
          <w:tab w:val="left" w:pos="900"/>
        </w:tabs>
        <w:spacing w:after="240"/>
        <w:ind w:left="900" w:hanging="900"/>
        <w:jc w:val="both"/>
        <w:rPr>
          <w:rFonts w:ascii="Arial" w:hAnsi="Arial" w:cs="Arial"/>
          <w:b/>
          <w:szCs w:val="24"/>
        </w:rPr>
      </w:pPr>
      <w:r w:rsidRPr="00153C60">
        <w:rPr>
          <w:rFonts w:ascii="Arial" w:hAnsi="Arial" w:cs="Arial"/>
          <w:b/>
          <w:szCs w:val="24"/>
        </w:rPr>
        <w:t>Table 2.</w:t>
      </w:r>
      <w:r w:rsidRPr="00153C60">
        <w:rPr>
          <w:rFonts w:ascii="Arial" w:hAnsi="Arial" w:cs="Arial"/>
          <w:b/>
          <w:szCs w:val="24"/>
        </w:rPr>
        <w:tab/>
        <w:t xml:space="preserve">Results </w:t>
      </w:r>
      <w:proofErr w:type="spellStart"/>
      <w:r w:rsidRPr="00153C60">
        <w:rPr>
          <w:rFonts w:ascii="Arial" w:hAnsi="Arial" w:cs="Arial"/>
          <w:b/>
          <w:szCs w:val="24"/>
        </w:rPr>
        <w:t>Spesific</w:t>
      </w:r>
      <w:proofErr w:type="spellEnd"/>
      <w:r w:rsidRPr="00153C60">
        <w:rPr>
          <w:rFonts w:ascii="Arial" w:hAnsi="Arial" w:cs="Arial"/>
          <w:b/>
          <w:szCs w:val="24"/>
        </w:rPr>
        <w:t xml:space="preserve"> and non-</w:t>
      </w:r>
      <w:proofErr w:type="spellStart"/>
      <w:r w:rsidRPr="00153C60">
        <w:rPr>
          <w:rFonts w:ascii="Arial" w:hAnsi="Arial" w:cs="Arial"/>
          <w:b/>
          <w:szCs w:val="24"/>
        </w:rPr>
        <w:t>spesific</w:t>
      </w:r>
      <w:proofErr w:type="spellEnd"/>
      <w:r w:rsidRPr="00153C60">
        <w:rPr>
          <w:rFonts w:ascii="Arial" w:hAnsi="Arial" w:cs="Arial"/>
          <w:b/>
          <w:szCs w:val="24"/>
        </w:rPr>
        <w:t xml:space="preserve"> parameters of </w:t>
      </w:r>
      <w:r w:rsidRPr="00153C60">
        <w:rPr>
          <w:rFonts w:ascii="Arial" w:hAnsi="Arial" w:cs="Arial"/>
          <w:b/>
          <w:i/>
          <w:iCs/>
          <w:szCs w:val="24"/>
        </w:rPr>
        <w:t>White Mangrove</w:t>
      </w:r>
      <w:r w:rsidRPr="00153C60">
        <w:rPr>
          <w:rFonts w:ascii="Arial" w:hAnsi="Arial" w:cs="Arial"/>
          <w:b/>
          <w:szCs w:val="24"/>
        </w:rPr>
        <w:t xml:space="preserve"> from three Location</w:t>
      </w:r>
    </w:p>
    <w:tbl>
      <w:tblPr>
        <w:tblW w:w="8430" w:type="dxa"/>
        <w:jc w:val="center"/>
        <w:tblLayout w:type="fixed"/>
        <w:tblLook w:val="04A0" w:firstRow="1" w:lastRow="0" w:firstColumn="1" w:lastColumn="0" w:noHBand="0" w:noVBand="1"/>
      </w:tblPr>
      <w:tblGrid>
        <w:gridCol w:w="1040"/>
        <w:gridCol w:w="1416"/>
        <w:gridCol w:w="1276"/>
        <w:gridCol w:w="269"/>
        <w:gridCol w:w="1596"/>
        <w:gridCol w:w="159"/>
        <w:gridCol w:w="1730"/>
        <w:gridCol w:w="806"/>
        <w:gridCol w:w="138"/>
      </w:tblGrid>
      <w:tr w:rsidR="00F60FE3" w:rsidRPr="00B1191B" w14:paraId="5216756E" w14:textId="77777777" w:rsidTr="00991734">
        <w:trPr>
          <w:trHeight w:val="54"/>
          <w:jc w:val="center"/>
        </w:trPr>
        <w:tc>
          <w:tcPr>
            <w:tcW w:w="1040" w:type="dxa"/>
            <w:vMerge w:val="restart"/>
            <w:tcBorders>
              <w:top w:val="single" w:sz="4" w:space="0" w:color="auto"/>
              <w:left w:val="nil"/>
              <w:bottom w:val="single" w:sz="4" w:space="0" w:color="000000"/>
              <w:right w:val="nil"/>
            </w:tcBorders>
            <w:vAlign w:val="center"/>
            <w:hideMark/>
          </w:tcPr>
          <w:p w14:paraId="3AA440B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Parameter</w:t>
            </w:r>
          </w:p>
        </w:tc>
        <w:tc>
          <w:tcPr>
            <w:tcW w:w="1417" w:type="dxa"/>
            <w:vMerge w:val="restart"/>
            <w:tcBorders>
              <w:top w:val="single" w:sz="4" w:space="0" w:color="auto"/>
              <w:left w:val="nil"/>
              <w:bottom w:val="single" w:sz="4" w:space="0" w:color="000000"/>
              <w:right w:val="nil"/>
            </w:tcBorders>
            <w:vAlign w:val="center"/>
            <w:hideMark/>
          </w:tcPr>
          <w:p w14:paraId="4A52F63B"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Test type</w:t>
            </w:r>
          </w:p>
        </w:tc>
        <w:tc>
          <w:tcPr>
            <w:tcW w:w="5032" w:type="dxa"/>
            <w:gridSpan w:val="5"/>
            <w:tcBorders>
              <w:top w:val="single" w:sz="4" w:space="0" w:color="auto"/>
              <w:left w:val="nil"/>
              <w:bottom w:val="nil"/>
              <w:right w:val="nil"/>
            </w:tcBorders>
            <w:vAlign w:val="center"/>
            <w:hideMark/>
          </w:tcPr>
          <w:p w14:paraId="6BBD2227"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Location</w:t>
            </w:r>
          </w:p>
        </w:tc>
        <w:tc>
          <w:tcPr>
            <w:tcW w:w="941" w:type="dxa"/>
            <w:gridSpan w:val="2"/>
            <w:tcBorders>
              <w:top w:val="single" w:sz="4" w:space="0" w:color="auto"/>
              <w:left w:val="nil"/>
              <w:right w:val="nil"/>
            </w:tcBorders>
            <w:vAlign w:val="center"/>
            <w:hideMark/>
          </w:tcPr>
          <w:p w14:paraId="51D4218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Condition</w:t>
            </w:r>
          </w:p>
        </w:tc>
      </w:tr>
      <w:tr w:rsidR="00F60FE3" w:rsidRPr="00B1191B" w14:paraId="1F7EFB82" w14:textId="77777777" w:rsidTr="00991734">
        <w:trPr>
          <w:trHeight w:val="349"/>
          <w:jc w:val="center"/>
        </w:trPr>
        <w:tc>
          <w:tcPr>
            <w:tcW w:w="1040" w:type="dxa"/>
            <w:vMerge/>
            <w:tcBorders>
              <w:top w:val="single" w:sz="4" w:space="0" w:color="auto"/>
              <w:left w:val="nil"/>
              <w:bottom w:val="single" w:sz="4" w:space="0" w:color="000000"/>
              <w:right w:val="nil"/>
            </w:tcBorders>
            <w:vAlign w:val="center"/>
            <w:hideMark/>
          </w:tcPr>
          <w:p w14:paraId="42A3EACE" w14:textId="77777777" w:rsidR="00F60FE3" w:rsidRPr="00B1191B" w:rsidRDefault="00F60FE3" w:rsidP="006432B1">
            <w:pPr>
              <w:jc w:val="center"/>
              <w:rPr>
                <w:rFonts w:ascii="Arial" w:hAnsi="Arial" w:cs="Arial"/>
                <w:b/>
                <w:bCs/>
                <w:color w:val="000000"/>
                <w:lang w:val="en-ID" w:eastAsia="en-ID"/>
              </w:rPr>
            </w:pPr>
          </w:p>
        </w:tc>
        <w:tc>
          <w:tcPr>
            <w:tcW w:w="1417" w:type="dxa"/>
            <w:vMerge/>
            <w:tcBorders>
              <w:top w:val="single" w:sz="4" w:space="0" w:color="auto"/>
              <w:left w:val="nil"/>
              <w:bottom w:val="single" w:sz="4" w:space="0" w:color="000000"/>
              <w:right w:val="nil"/>
            </w:tcBorders>
            <w:vAlign w:val="center"/>
            <w:hideMark/>
          </w:tcPr>
          <w:p w14:paraId="2573C59E" w14:textId="77777777" w:rsidR="00F60FE3" w:rsidRPr="00B1191B" w:rsidRDefault="00F60FE3" w:rsidP="006432B1">
            <w:pPr>
              <w:jc w:val="center"/>
              <w:rPr>
                <w:rFonts w:ascii="Arial" w:hAnsi="Arial" w:cs="Arial"/>
                <w:b/>
                <w:bCs/>
                <w:color w:val="000000"/>
                <w:lang w:val="en-ID" w:eastAsia="en-ID"/>
              </w:rPr>
            </w:pPr>
          </w:p>
        </w:tc>
        <w:tc>
          <w:tcPr>
            <w:tcW w:w="1276" w:type="dxa"/>
            <w:tcBorders>
              <w:top w:val="single" w:sz="4" w:space="0" w:color="auto"/>
              <w:left w:val="nil"/>
              <w:bottom w:val="single" w:sz="4" w:space="0" w:color="auto"/>
              <w:right w:val="nil"/>
            </w:tcBorders>
            <w:vAlign w:val="center"/>
            <w:hideMark/>
          </w:tcPr>
          <w:p w14:paraId="6570FDA3" w14:textId="77777777" w:rsidR="00F60FE3" w:rsidRPr="00B1191B" w:rsidRDefault="00F60FE3" w:rsidP="006432B1">
            <w:pPr>
              <w:jc w:val="center"/>
              <w:rPr>
                <w:rFonts w:ascii="Arial" w:hAnsi="Arial" w:cs="Arial"/>
                <w:b/>
                <w:bCs/>
                <w:color w:val="000000"/>
                <w:lang w:val="en-ID" w:eastAsia="en-ID"/>
              </w:rPr>
            </w:pPr>
            <w:proofErr w:type="spellStart"/>
            <w:r w:rsidRPr="00B1191B">
              <w:rPr>
                <w:rFonts w:ascii="Arial" w:hAnsi="Arial" w:cs="Arial"/>
                <w:b/>
                <w:bCs/>
                <w:color w:val="000000"/>
                <w:lang w:eastAsia="en-ID"/>
              </w:rPr>
              <w:t>Mangkang</w:t>
            </w:r>
            <w:proofErr w:type="spellEnd"/>
            <w:r w:rsidRPr="00B1191B">
              <w:rPr>
                <w:rFonts w:ascii="Arial" w:hAnsi="Arial" w:cs="Arial"/>
                <w:b/>
                <w:bCs/>
                <w:color w:val="000000"/>
                <w:lang w:eastAsia="en-ID"/>
              </w:rPr>
              <w:t xml:space="preserve"> Semarang</w:t>
            </w:r>
          </w:p>
        </w:tc>
        <w:tc>
          <w:tcPr>
            <w:tcW w:w="2025" w:type="dxa"/>
            <w:gridSpan w:val="3"/>
            <w:tcBorders>
              <w:top w:val="single" w:sz="4" w:space="0" w:color="auto"/>
              <w:left w:val="nil"/>
              <w:bottom w:val="single" w:sz="4" w:space="0" w:color="auto"/>
              <w:right w:val="nil"/>
            </w:tcBorders>
            <w:vAlign w:val="center"/>
            <w:hideMark/>
          </w:tcPr>
          <w:p w14:paraId="3ABF3BBE" w14:textId="77777777" w:rsidR="00F60FE3" w:rsidRPr="00B1191B" w:rsidRDefault="00F60FE3" w:rsidP="006432B1">
            <w:pPr>
              <w:jc w:val="center"/>
              <w:rPr>
                <w:rFonts w:ascii="Arial" w:hAnsi="Arial" w:cs="Arial"/>
                <w:b/>
                <w:bCs/>
                <w:color w:val="000000"/>
                <w:lang w:val="en-ID" w:eastAsia="en-ID"/>
              </w:rPr>
            </w:pPr>
            <w:proofErr w:type="spellStart"/>
            <w:proofErr w:type="gramStart"/>
            <w:r w:rsidRPr="00B1191B">
              <w:rPr>
                <w:rFonts w:ascii="Arial" w:hAnsi="Arial" w:cs="Arial"/>
                <w:b/>
                <w:bCs/>
                <w:color w:val="000000"/>
                <w:lang w:eastAsia="en-ID"/>
              </w:rPr>
              <w:t>Baros</w:t>
            </w:r>
            <w:proofErr w:type="spellEnd"/>
            <w:r w:rsidRPr="00B1191B">
              <w:rPr>
                <w:rFonts w:ascii="Arial" w:hAnsi="Arial" w:cs="Arial"/>
                <w:b/>
                <w:bCs/>
                <w:color w:val="000000"/>
                <w:lang w:eastAsia="en-ID"/>
              </w:rPr>
              <w:t xml:space="preserve"> </w:t>
            </w:r>
            <w:r>
              <w:rPr>
                <w:rFonts w:ascii="Arial" w:hAnsi="Arial" w:cs="Arial"/>
                <w:b/>
                <w:bCs/>
                <w:color w:val="000000"/>
                <w:lang w:eastAsia="en-ID"/>
              </w:rPr>
              <w:t xml:space="preserve"> </w:t>
            </w:r>
            <w:r w:rsidRPr="00B1191B">
              <w:rPr>
                <w:rFonts w:ascii="Arial" w:hAnsi="Arial" w:cs="Arial"/>
                <w:b/>
                <w:bCs/>
                <w:color w:val="000000"/>
                <w:lang w:eastAsia="en-ID"/>
              </w:rPr>
              <w:t>River</w:t>
            </w:r>
            <w:proofErr w:type="gramEnd"/>
            <w:r w:rsidRPr="00B1191B">
              <w:rPr>
                <w:rFonts w:ascii="Arial" w:hAnsi="Arial" w:cs="Arial"/>
                <w:b/>
                <w:bCs/>
                <w:color w:val="000000"/>
                <w:lang w:eastAsia="en-ID"/>
              </w:rPr>
              <w:t xml:space="preserve"> Yogyakarta</w:t>
            </w:r>
          </w:p>
        </w:tc>
        <w:tc>
          <w:tcPr>
            <w:tcW w:w="1731" w:type="dxa"/>
            <w:tcBorders>
              <w:top w:val="single" w:sz="4" w:space="0" w:color="auto"/>
              <w:left w:val="nil"/>
              <w:bottom w:val="single" w:sz="4" w:space="0" w:color="auto"/>
              <w:right w:val="nil"/>
            </w:tcBorders>
            <w:vAlign w:val="center"/>
            <w:hideMark/>
          </w:tcPr>
          <w:p w14:paraId="5563C695" w14:textId="77777777" w:rsidR="00F60FE3" w:rsidRPr="00B1191B" w:rsidRDefault="00F60FE3" w:rsidP="006432B1">
            <w:pPr>
              <w:ind w:left="-101" w:right="-268"/>
              <w:jc w:val="center"/>
              <w:rPr>
                <w:rFonts w:ascii="Arial" w:hAnsi="Arial" w:cs="Arial"/>
                <w:b/>
                <w:bCs/>
                <w:color w:val="000000"/>
                <w:lang w:val="en-ID" w:eastAsia="en-ID"/>
              </w:rPr>
            </w:pPr>
            <w:proofErr w:type="spellStart"/>
            <w:r w:rsidRPr="00B1191B">
              <w:rPr>
                <w:rFonts w:ascii="Arial" w:hAnsi="Arial" w:cs="Arial"/>
                <w:b/>
                <w:bCs/>
                <w:color w:val="000000"/>
                <w:lang w:eastAsia="en-ID"/>
              </w:rPr>
              <w:t>Teluk</w:t>
            </w:r>
            <w:proofErr w:type="spellEnd"/>
            <w:r w:rsidRPr="00B1191B">
              <w:rPr>
                <w:rFonts w:ascii="Arial" w:hAnsi="Arial" w:cs="Arial"/>
                <w:b/>
                <w:bCs/>
                <w:color w:val="000000"/>
                <w:lang w:eastAsia="en-ID"/>
              </w:rPr>
              <w:t xml:space="preserve"> </w:t>
            </w:r>
            <w:proofErr w:type="spellStart"/>
            <w:r w:rsidRPr="00B1191B">
              <w:rPr>
                <w:rFonts w:ascii="Arial" w:hAnsi="Arial" w:cs="Arial"/>
                <w:b/>
                <w:bCs/>
                <w:color w:val="000000"/>
                <w:lang w:eastAsia="en-ID"/>
              </w:rPr>
              <w:t>Awur</w:t>
            </w:r>
            <w:proofErr w:type="spellEnd"/>
            <w:r w:rsidRPr="00B1191B">
              <w:rPr>
                <w:rFonts w:ascii="Arial" w:hAnsi="Arial" w:cs="Arial"/>
                <w:b/>
                <w:bCs/>
                <w:color w:val="000000"/>
                <w:lang w:eastAsia="en-ID"/>
              </w:rPr>
              <w:t xml:space="preserve"> </w:t>
            </w:r>
            <w:proofErr w:type="spellStart"/>
            <w:r w:rsidRPr="00B1191B">
              <w:rPr>
                <w:rFonts w:ascii="Arial" w:hAnsi="Arial" w:cs="Arial"/>
                <w:b/>
                <w:bCs/>
                <w:color w:val="000000"/>
                <w:lang w:eastAsia="en-ID"/>
              </w:rPr>
              <w:t>Jepara</w:t>
            </w:r>
            <w:proofErr w:type="spellEnd"/>
          </w:p>
        </w:tc>
        <w:tc>
          <w:tcPr>
            <w:tcW w:w="941" w:type="dxa"/>
            <w:gridSpan w:val="2"/>
            <w:tcBorders>
              <w:left w:val="nil"/>
              <w:bottom w:val="single" w:sz="4" w:space="0" w:color="auto"/>
              <w:right w:val="nil"/>
            </w:tcBorders>
            <w:vAlign w:val="center"/>
            <w:hideMark/>
          </w:tcPr>
          <w:p w14:paraId="6FC624CF" w14:textId="77777777" w:rsidR="00F60FE3" w:rsidRPr="00B1191B" w:rsidRDefault="00F60FE3" w:rsidP="006432B1">
            <w:pPr>
              <w:jc w:val="center"/>
              <w:rPr>
                <w:rFonts w:ascii="Arial" w:hAnsi="Arial" w:cs="Arial"/>
                <w:b/>
                <w:bCs/>
                <w:color w:val="000000"/>
                <w:lang w:val="en-ID" w:eastAsia="en-ID"/>
              </w:rPr>
            </w:pPr>
          </w:p>
        </w:tc>
      </w:tr>
      <w:tr w:rsidR="00F60FE3" w:rsidRPr="00B1191B" w14:paraId="63521F91" w14:textId="77777777" w:rsidTr="00991734">
        <w:trPr>
          <w:trHeight w:val="54"/>
          <w:jc w:val="center"/>
        </w:trPr>
        <w:tc>
          <w:tcPr>
            <w:tcW w:w="1040" w:type="dxa"/>
            <w:vMerge w:val="restart"/>
            <w:tcBorders>
              <w:top w:val="nil"/>
              <w:left w:val="nil"/>
              <w:bottom w:val="single" w:sz="4" w:space="0" w:color="000000"/>
              <w:right w:val="nil"/>
            </w:tcBorders>
            <w:vAlign w:val="center"/>
            <w:hideMark/>
          </w:tcPr>
          <w:p w14:paraId="658369B0" w14:textId="77777777" w:rsidR="00F60FE3" w:rsidRPr="00B1191B" w:rsidRDefault="00F60FE3" w:rsidP="006432B1">
            <w:pPr>
              <w:jc w:val="both"/>
              <w:rPr>
                <w:rFonts w:ascii="Arial" w:hAnsi="Arial" w:cs="Arial"/>
                <w:color w:val="000000"/>
                <w:lang w:val="en-ID" w:eastAsia="en-ID"/>
              </w:rPr>
            </w:pPr>
            <w:proofErr w:type="spellStart"/>
            <w:r w:rsidRPr="00B1191B">
              <w:rPr>
                <w:rFonts w:ascii="Arial" w:hAnsi="Arial" w:cs="Arial"/>
                <w:color w:val="000000"/>
                <w:lang w:eastAsia="en-ID"/>
              </w:rPr>
              <w:t>Spesific</w:t>
            </w:r>
            <w:proofErr w:type="spellEnd"/>
          </w:p>
        </w:tc>
        <w:tc>
          <w:tcPr>
            <w:tcW w:w="2693" w:type="dxa"/>
            <w:gridSpan w:val="2"/>
            <w:tcBorders>
              <w:top w:val="single" w:sz="4" w:space="0" w:color="auto"/>
              <w:left w:val="nil"/>
              <w:bottom w:val="nil"/>
              <w:right w:val="nil"/>
            </w:tcBorders>
            <w:noWrap/>
            <w:vAlign w:val="center"/>
            <w:hideMark/>
          </w:tcPr>
          <w:p w14:paraId="7D7A7F5E"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Organoleptic</w:t>
            </w:r>
          </w:p>
        </w:tc>
        <w:tc>
          <w:tcPr>
            <w:tcW w:w="2025" w:type="dxa"/>
            <w:gridSpan w:val="3"/>
            <w:tcBorders>
              <w:top w:val="single" w:sz="4" w:space="0" w:color="auto"/>
              <w:left w:val="nil"/>
              <w:bottom w:val="nil"/>
              <w:right w:val="nil"/>
            </w:tcBorders>
            <w:hideMark/>
          </w:tcPr>
          <w:p w14:paraId="5F7531B5" w14:textId="77777777" w:rsidR="00F60FE3" w:rsidRPr="00B1191B" w:rsidRDefault="00F60FE3" w:rsidP="006432B1">
            <w:pPr>
              <w:jc w:val="center"/>
              <w:rPr>
                <w:rFonts w:ascii="Arial" w:hAnsi="Arial" w:cs="Arial"/>
                <w:color w:val="000000"/>
                <w:lang w:val="en-ID" w:eastAsia="en-ID"/>
              </w:rPr>
            </w:pPr>
          </w:p>
        </w:tc>
        <w:tc>
          <w:tcPr>
            <w:tcW w:w="1731" w:type="dxa"/>
            <w:tcBorders>
              <w:top w:val="single" w:sz="4" w:space="0" w:color="auto"/>
              <w:left w:val="nil"/>
              <w:bottom w:val="nil"/>
              <w:right w:val="nil"/>
            </w:tcBorders>
            <w:hideMark/>
          </w:tcPr>
          <w:p w14:paraId="2E00D0A2" w14:textId="77777777" w:rsidR="00F60FE3" w:rsidRPr="00B1191B" w:rsidRDefault="00F60FE3" w:rsidP="006432B1">
            <w:pPr>
              <w:jc w:val="center"/>
              <w:rPr>
                <w:rFonts w:ascii="Arial" w:hAnsi="Arial" w:cs="Arial"/>
                <w:color w:val="000000"/>
                <w:lang w:val="en-ID" w:eastAsia="en-ID"/>
              </w:rPr>
            </w:pPr>
          </w:p>
        </w:tc>
        <w:tc>
          <w:tcPr>
            <w:tcW w:w="941" w:type="dxa"/>
            <w:gridSpan w:val="2"/>
            <w:tcBorders>
              <w:top w:val="single" w:sz="4" w:space="0" w:color="auto"/>
              <w:left w:val="nil"/>
              <w:bottom w:val="nil"/>
              <w:right w:val="nil"/>
            </w:tcBorders>
            <w:vAlign w:val="center"/>
            <w:hideMark/>
          </w:tcPr>
          <w:p w14:paraId="7050B58F"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r>
      <w:tr w:rsidR="00F60FE3" w:rsidRPr="00B1191B" w14:paraId="2D1354C1" w14:textId="77777777" w:rsidTr="00991734">
        <w:trPr>
          <w:trHeight w:val="75"/>
          <w:jc w:val="center"/>
        </w:trPr>
        <w:tc>
          <w:tcPr>
            <w:tcW w:w="1040" w:type="dxa"/>
            <w:vMerge/>
            <w:tcBorders>
              <w:top w:val="nil"/>
              <w:left w:val="nil"/>
              <w:bottom w:val="single" w:sz="4" w:space="0" w:color="000000"/>
              <w:right w:val="nil"/>
            </w:tcBorders>
            <w:vAlign w:val="center"/>
            <w:hideMark/>
          </w:tcPr>
          <w:p w14:paraId="6091D7D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5611341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Color</w:t>
            </w:r>
          </w:p>
        </w:tc>
        <w:tc>
          <w:tcPr>
            <w:tcW w:w="1276" w:type="dxa"/>
            <w:tcBorders>
              <w:top w:val="nil"/>
              <w:left w:val="nil"/>
              <w:bottom w:val="nil"/>
              <w:right w:val="nil"/>
            </w:tcBorders>
            <w:vAlign w:val="center"/>
            <w:hideMark/>
          </w:tcPr>
          <w:p w14:paraId="6D08DF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2025" w:type="dxa"/>
            <w:gridSpan w:val="3"/>
            <w:tcBorders>
              <w:top w:val="nil"/>
              <w:left w:val="nil"/>
              <w:bottom w:val="nil"/>
              <w:right w:val="nil"/>
            </w:tcBorders>
            <w:vAlign w:val="center"/>
            <w:hideMark/>
          </w:tcPr>
          <w:p w14:paraId="0862D1FE"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1731" w:type="dxa"/>
            <w:tcBorders>
              <w:top w:val="nil"/>
              <w:left w:val="nil"/>
              <w:bottom w:val="nil"/>
              <w:right w:val="nil"/>
            </w:tcBorders>
            <w:vAlign w:val="center"/>
            <w:hideMark/>
          </w:tcPr>
          <w:p w14:paraId="521EBAF0"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941" w:type="dxa"/>
            <w:gridSpan w:val="2"/>
            <w:tcBorders>
              <w:top w:val="nil"/>
              <w:left w:val="nil"/>
              <w:bottom w:val="nil"/>
              <w:right w:val="nil"/>
            </w:tcBorders>
            <w:vAlign w:val="center"/>
            <w:hideMark/>
          </w:tcPr>
          <w:p w14:paraId="7FF675D4" w14:textId="77777777" w:rsidR="00F60FE3" w:rsidRPr="00B1191B" w:rsidRDefault="00F60FE3" w:rsidP="006432B1">
            <w:pPr>
              <w:jc w:val="both"/>
              <w:rPr>
                <w:rFonts w:ascii="Arial" w:hAnsi="Arial" w:cs="Arial"/>
                <w:color w:val="000000"/>
                <w:lang w:val="en-ID" w:eastAsia="en-ID"/>
              </w:rPr>
            </w:pPr>
          </w:p>
        </w:tc>
      </w:tr>
      <w:tr w:rsidR="00F60FE3" w:rsidRPr="00B1191B" w14:paraId="2E96FFAC" w14:textId="77777777" w:rsidTr="00991734">
        <w:trPr>
          <w:trHeight w:val="71"/>
          <w:jc w:val="center"/>
        </w:trPr>
        <w:tc>
          <w:tcPr>
            <w:tcW w:w="1040" w:type="dxa"/>
            <w:vMerge/>
            <w:tcBorders>
              <w:top w:val="nil"/>
              <w:left w:val="nil"/>
              <w:bottom w:val="single" w:sz="4" w:space="0" w:color="000000"/>
              <w:right w:val="nil"/>
            </w:tcBorders>
            <w:vAlign w:val="center"/>
            <w:hideMark/>
          </w:tcPr>
          <w:p w14:paraId="59A74B0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1F5258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     Taste</w:t>
            </w:r>
          </w:p>
        </w:tc>
        <w:tc>
          <w:tcPr>
            <w:tcW w:w="1276" w:type="dxa"/>
            <w:tcBorders>
              <w:top w:val="nil"/>
              <w:left w:val="nil"/>
              <w:bottom w:val="nil"/>
              <w:right w:val="nil"/>
            </w:tcBorders>
            <w:vAlign w:val="center"/>
            <w:hideMark/>
          </w:tcPr>
          <w:p w14:paraId="34AC8BEC"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2025" w:type="dxa"/>
            <w:gridSpan w:val="3"/>
            <w:tcBorders>
              <w:top w:val="nil"/>
              <w:left w:val="nil"/>
              <w:bottom w:val="nil"/>
              <w:right w:val="nil"/>
            </w:tcBorders>
            <w:vAlign w:val="center"/>
            <w:hideMark/>
          </w:tcPr>
          <w:p w14:paraId="5A80B03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1731" w:type="dxa"/>
            <w:tcBorders>
              <w:top w:val="nil"/>
              <w:left w:val="nil"/>
              <w:bottom w:val="nil"/>
              <w:right w:val="nil"/>
            </w:tcBorders>
            <w:vAlign w:val="center"/>
            <w:hideMark/>
          </w:tcPr>
          <w:p w14:paraId="15F4B9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941" w:type="dxa"/>
            <w:gridSpan w:val="2"/>
            <w:tcBorders>
              <w:top w:val="nil"/>
              <w:left w:val="nil"/>
              <w:bottom w:val="nil"/>
              <w:right w:val="nil"/>
            </w:tcBorders>
            <w:vAlign w:val="center"/>
            <w:hideMark/>
          </w:tcPr>
          <w:p w14:paraId="686CBCE1" w14:textId="77777777" w:rsidR="00F60FE3" w:rsidRPr="00B1191B" w:rsidRDefault="00F60FE3" w:rsidP="006432B1">
            <w:pPr>
              <w:jc w:val="both"/>
              <w:rPr>
                <w:rFonts w:ascii="Arial" w:hAnsi="Arial" w:cs="Arial"/>
                <w:color w:val="000000"/>
                <w:lang w:val="en-ID" w:eastAsia="en-ID"/>
              </w:rPr>
            </w:pPr>
          </w:p>
        </w:tc>
      </w:tr>
      <w:tr w:rsidR="00F60FE3" w:rsidRPr="00B1191B" w14:paraId="40C5E847" w14:textId="77777777" w:rsidTr="00991734">
        <w:trPr>
          <w:trHeight w:val="54"/>
          <w:jc w:val="center"/>
        </w:trPr>
        <w:tc>
          <w:tcPr>
            <w:tcW w:w="1040" w:type="dxa"/>
            <w:vMerge/>
            <w:tcBorders>
              <w:top w:val="nil"/>
              <w:left w:val="nil"/>
              <w:bottom w:val="single" w:sz="4" w:space="0" w:color="000000"/>
              <w:right w:val="nil"/>
            </w:tcBorders>
            <w:vAlign w:val="center"/>
            <w:hideMark/>
          </w:tcPr>
          <w:p w14:paraId="71DB2D97"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070FE5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c.     Odor</w:t>
            </w:r>
          </w:p>
        </w:tc>
        <w:tc>
          <w:tcPr>
            <w:tcW w:w="1276" w:type="dxa"/>
            <w:tcBorders>
              <w:top w:val="nil"/>
              <w:left w:val="nil"/>
              <w:bottom w:val="nil"/>
              <w:right w:val="nil"/>
            </w:tcBorders>
            <w:vAlign w:val="center"/>
            <w:hideMark/>
          </w:tcPr>
          <w:p w14:paraId="09D9BBC1"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2025" w:type="dxa"/>
            <w:gridSpan w:val="3"/>
            <w:tcBorders>
              <w:top w:val="nil"/>
              <w:left w:val="nil"/>
              <w:bottom w:val="nil"/>
              <w:right w:val="nil"/>
            </w:tcBorders>
            <w:vAlign w:val="center"/>
            <w:hideMark/>
          </w:tcPr>
          <w:p w14:paraId="0104896D"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1731" w:type="dxa"/>
            <w:tcBorders>
              <w:top w:val="nil"/>
              <w:left w:val="nil"/>
              <w:bottom w:val="nil"/>
              <w:right w:val="nil"/>
            </w:tcBorders>
            <w:vAlign w:val="center"/>
            <w:hideMark/>
          </w:tcPr>
          <w:p w14:paraId="2618BCF4" w14:textId="77777777" w:rsidR="00F60FE3" w:rsidRPr="00B1191B" w:rsidRDefault="00F60FE3" w:rsidP="006432B1">
            <w:pPr>
              <w:ind w:right="-126"/>
              <w:jc w:val="center"/>
              <w:rPr>
                <w:rFonts w:ascii="Arial" w:hAnsi="Arial" w:cs="Arial"/>
                <w:color w:val="000000"/>
                <w:lang w:val="en-ID" w:eastAsia="en-ID"/>
              </w:rPr>
            </w:pPr>
            <w:r w:rsidRPr="00B1191B">
              <w:rPr>
                <w:rFonts w:ascii="Arial" w:hAnsi="Arial" w:cs="Arial"/>
                <w:color w:val="000000"/>
                <w:lang w:eastAsia="en-ID"/>
              </w:rPr>
              <w:t>Distinctive smell</w:t>
            </w:r>
          </w:p>
        </w:tc>
        <w:tc>
          <w:tcPr>
            <w:tcW w:w="941" w:type="dxa"/>
            <w:gridSpan w:val="2"/>
            <w:tcBorders>
              <w:top w:val="nil"/>
              <w:left w:val="nil"/>
              <w:bottom w:val="nil"/>
              <w:right w:val="nil"/>
            </w:tcBorders>
            <w:vAlign w:val="center"/>
            <w:hideMark/>
          </w:tcPr>
          <w:p w14:paraId="1E15AE21" w14:textId="77777777" w:rsidR="00F60FE3" w:rsidRPr="00B1191B" w:rsidRDefault="00F60FE3" w:rsidP="006432B1">
            <w:pPr>
              <w:jc w:val="both"/>
              <w:rPr>
                <w:rFonts w:ascii="Arial" w:hAnsi="Arial" w:cs="Arial"/>
                <w:color w:val="000000"/>
                <w:lang w:val="en-ID" w:eastAsia="en-ID"/>
              </w:rPr>
            </w:pPr>
          </w:p>
        </w:tc>
      </w:tr>
      <w:tr w:rsidR="00F60FE3" w:rsidRPr="00B1191B" w14:paraId="2A29B939" w14:textId="77777777" w:rsidTr="00991734">
        <w:trPr>
          <w:trHeight w:val="54"/>
          <w:jc w:val="center"/>
        </w:trPr>
        <w:tc>
          <w:tcPr>
            <w:tcW w:w="1040" w:type="dxa"/>
            <w:vMerge/>
            <w:tcBorders>
              <w:top w:val="nil"/>
              <w:left w:val="nil"/>
              <w:bottom w:val="single" w:sz="4" w:space="0" w:color="000000"/>
              <w:right w:val="nil"/>
            </w:tcBorders>
            <w:vAlign w:val="center"/>
            <w:hideMark/>
          </w:tcPr>
          <w:p w14:paraId="036CBFC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noWrap/>
            <w:vAlign w:val="center"/>
            <w:hideMark/>
          </w:tcPr>
          <w:p w14:paraId="7E06739B"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Soluble Content (% w/w)</w:t>
            </w:r>
          </w:p>
        </w:tc>
        <w:tc>
          <w:tcPr>
            <w:tcW w:w="1276" w:type="dxa"/>
            <w:tcBorders>
              <w:top w:val="nil"/>
              <w:left w:val="nil"/>
              <w:bottom w:val="nil"/>
              <w:right w:val="nil"/>
            </w:tcBorders>
            <w:vAlign w:val="center"/>
            <w:hideMark/>
          </w:tcPr>
          <w:p w14:paraId="588E0F99"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13,16 ± 5,79</w:t>
            </w:r>
          </w:p>
        </w:tc>
        <w:tc>
          <w:tcPr>
            <w:tcW w:w="2025" w:type="dxa"/>
            <w:gridSpan w:val="3"/>
            <w:tcBorders>
              <w:top w:val="nil"/>
              <w:left w:val="nil"/>
              <w:bottom w:val="nil"/>
              <w:right w:val="nil"/>
            </w:tcBorders>
            <w:vAlign w:val="center"/>
            <w:hideMark/>
          </w:tcPr>
          <w:p w14:paraId="5CF93806"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17,28 ± 5,15</w:t>
            </w:r>
          </w:p>
        </w:tc>
        <w:tc>
          <w:tcPr>
            <w:tcW w:w="1731" w:type="dxa"/>
            <w:tcBorders>
              <w:top w:val="nil"/>
              <w:left w:val="nil"/>
              <w:bottom w:val="nil"/>
              <w:right w:val="nil"/>
            </w:tcBorders>
            <w:vAlign w:val="center"/>
            <w:hideMark/>
          </w:tcPr>
          <w:p w14:paraId="5FE7170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22,40 ± 13,68</w:t>
            </w:r>
          </w:p>
        </w:tc>
        <w:tc>
          <w:tcPr>
            <w:tcW w:w="941" w:type="dxa"/>
            <w:gridSpan w:val="2"/>
            <w:tcBorders>
              <w:top w:val="nil"/>
              <w:left w:val="nil"/>
              <w:bottom w:val="nil"/>
              <w:right w:val="nil"/>
            </w:tcBorders>
            <w:noWrap/>
            <w:vAlign w:val="center"/>
            <w:hideMark/>
          </w:tcPr>
          <w:p w14:paraId="3F6BEB2B" w14:textId="77777777" w:rsidR="00F60FE3" w:rsidRPr="00B1191B" w:rsidRDefault="00F60FE3" w:rsidP="006432B1">
            <w:pPr>
              <w:jc w:val="both"/>
              <w:rPr>
                <w:rFonts w:ascii="Arial" w:hAnsi="Arial" w:cs="Arial"/>
                <w:color w:val="000000"/>
                <w:lang w:val="en-ID" w:eastAsia="en-ID"/>
              </w:rPr>
            </w:pPr>
          </w:p>
        </w:tc>
      </w:tr>
      <w:tr w:rsidR="00F60FE3" w:rsidRPr="00B1191B" w14:paraId="0F05A4F1" w14:textId="77777777" w:rsidTr="00991734">
        <w:trPr>
          <w:trHeight w:val="54"/>
          <w:jc w:val="center"/>
        </w:trPr>
        <w:tc>
          <w:tcPr>
            <w:tcW w:w="1040" w:type="dxa"/>
            <w:vMerge/>
            <w:tcBorders>
              <w:top w:val="nil"/>
              <w:left w:val="nil"/>
              <w:bottom w:val="single" w:sz="4" w:space="0" w:color="000000"/>
              <w:right w:val="nil"/>
            </w:tcBorders>
            <w:vAlign w:val="center"/>
            <w:hideMark/>
          </w:tcPr>
          <w:p w14:paraId="1DB3891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single" w:sz="4" w:space="0" w:color="auto"/>
              <w:right w:val="nil"/>
            </w:tcBorders>
            <w:noWrap/>
            <w:vAlign w:val="center"/>
            <w:hideMark/>
          </w:tcPr>
          <w:p w14:paraId="0B9DFDFD"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Ethanol Soluble Content (% w/w)</w:t>
            </w:r>
          </w:p>
        </w:tc>
        <w:tc>
          <w:tcPr>
            <w:tcW w:w="1276" w:type="dxa"/>
            <w:tcBorders>
              <w:top w:val="nil"/>
              <w:left w:val="nil"/>
              <w:bottom w:val="single" w:sz="4" w:space="0" w:color="auto"/>
              <w:right w:val="nil"/>
            </w:tcBorders>
            <w:vAlign w:val="center"/>
            <w:hideMark/>
          </w:tcPr>
          <w:p w14:paraId="472577DA"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44,18 ± 0,95</w:t>
            </w:r>
          </w:p>
        </w:tc>
        <w:tc>
          <w:tcPr>
            <w:tcW w:w="2025" w:type="dxa"/>
            <w:gridSpan w:val="3"/>
            <w:tcBorders>
              <w:top w:val="nil"/>
              <w:left w:val="nil"/>
              <w:bottom w:val="single" w:sz="4" w:space="0" w:color="auto"/>
              <w:right w:val="nil"/>
            </w:tcBorders>
            <w:vAlign w:val="center"/>
            <w:hideMark/>
          </w:tcPr>
          <w:p w14:paraId="0373AEB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40,41 ± 4,04</w:t>
            </w:r>
          </w:p>
        </w:tc>
        <w:tc>
          <w:tcPr>
            <w:tcW w:w="1731" w:type="dxa"/>
            <w:tcBorders>
              <w:top w:val="nil"/>
              <w:left w:val="nil"/>
              <w:bottom w:val="single" w:sz="4" w:space="0" w:color="auto"/>
              <w:right w:val="nil"/>
            </w:tcBorders>
            <w:vAlign w:val="center"/>
            <w:hideMark/>
          </w:tcPr>
          <w:p w14:paraId="0802E8D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25,17 ± 11,31</w:t>
            </w:r>
          </w:p>
        </w:tc>
        <w:tc>
          <w:tcPr>
            <w:tcW w:w="941" w:type="dxa"/>
            <w:gridSpan w:val="2"/>
            <w:tcBorders>
              <w:top w:val="nil"/>
              <w:left w:val="nil"/>
              <w:bottom w:val="single" w:sz="4" w:space="0" w:color="auto"/>
              <w:right w:val="nil"/>
            </w:tcBorders>
            <w:noWrap/>
            <w:vAlign w:val="center"/>
            <w:hideMark/>
          </w:tcPr>
          <w:p w14:paraId="72AA6C32" w14:textId="77777777" w:rsidR="00F60FE3" w:rsidRPr="00B1191B" w:rsidRDefault="00F60FE3" w:rsidP="006432B1">
            <w:pPr>
              <w:jc w:val="both"/>
              <w:rPr>
                <w:rFonts w:ascii="Arial" w:hAnsi="Arial" w:cs="Arial"/>
                <w:b/>
                <w:bCs/>
                <w:lang w:val="en-ID" w:eastAsia="en-ID"/>
              </w:rPr>
            </w:pPr>
            <w:r w:rsidRPr="00B1191B">
              <w:rPr>
                <w:rFonts w:ascii="Arial" w:hAnsi="Arial" w:cs="Arial"/>
                <w:b/>
                <w:bCs/>
                <w:lang w:val="en-ID" w:eastAsia="en-ID"/>
              </w:rPr>
              <w:t> </w:t>
            </w:r>
          </w:p>
        </w:tc>
      </w:tr>
      <w:tr w:rsidR="00F60FE3" w:rsidRPr="00B1191B" w14:paraId="367D0944" w14:textId="77777777" w:rsidTr="00991734">
        <w:trPr>
          <w:gridAfter w:val="1"/>
          <w:wAfter w:w="138" w:type="dxa"/>
          <w:trHeight w:val="54"/>
          <w:jc w:val="center"/>
        </w:trPr>
        <w:tc>
          <w:tcPr>
            <w:tcW w:w="1040" w:type="dxa"/>
            <w:vMerge w:val="restart"/>
            <w:tcBorders>
              <w:top w:val="nil"/>
              <w:left w:val="nil"/>
              <w:bottom w:val="nil"/>
              <w:right w:val="nil"/>
            </w:tcBorders>
            <w:vAlign w:val="center"/>
            <w:hideMark/>
          </w:tcPr>
          <w:p w14:paraId="66955EE1"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eastAsia="en-ID"/>
              </w:rPr>
              <w:t xml:space="preserve">Non </w:t>
            </w:r>
            <w:proofErr w:type="spellStart"/>
            <w:r w:rsidRPr="00B1191B">
              <w:rPr>
                <w:rFonts w:ascii="Arial" w:hAnsi="Arial" w:cs="Arial"/>
                <w:color w:val="000000"/>
                <w:lang w:eastAsia="en-ID"/>
              </w:rPr>
              <w:t>spesific</w:t>
            </w:r>
            <w:proofErr w:type="spellEnd"/>
          </w:p>
        </w:tc>
        <w:tc>
          <w:tcPr>
            <w:tcW w:w="1417" w:type="dxa"/>
            <w:tcBorders>
              <w:top w:val="nil"/>
              <w:left w:val="nil"/>
              <w:bottom w:val="nil"/>
              <w:right w:val="nil"/>
            </w:tcBorders>
            <w:vAlign w:val="center"/>
            <w:hideMark/>
          </w:tcPr>
          <w:p w14:paraId="0B65D9D3"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 xml:space="preserve">Loss on </w:t>
            </w:r>
            <w:proofErr w:type="gramStart"/>
            <w:r w:rsidRPr="00B1191B">
              <w:rPr>
                <w:rFonts w:ascii="Arial" w:hAnsi="Arial" w:cs="Arial"/>
                <w:color w:val="000000"/>
                <w:lang w:eastAsia="en-ID"/>
              </w:rPr>
              <w:t>Drying  (</w:t>
            </w:r>
            <w:proofErr w:type="gramEnd"/>
            <w:r w:rsidRPr="00B1191B">
              <w:rPr>
                <w:rFonts w:ascii="Arial" w:hAnsi="Arial" w:cs="Arial"/>
                <w:color w:val="000000"/>
                <w:lang w:eastAsia="en-ID"/>
              </w:rPr>
              <w:t>%)</w:t>
            </w:r>
          </w:p>
        </w:tc>
        <w:tc>
          <w:tcPr>
            <w:tcW w:w="1545" w:type="dxa"/>
            <w:gridSpan w:val="2"/>
            <w:tcBorders>
              <w:top w:val="nil"/>
              <w:left w:val="nil"/>
              <w:bottom w:val="nil"/>
              <w:right w:val="nil"/>
            </w:tcBorders>
            <w:vAlign w:val="center"/>
            <w:hideMark/>
          </w:tcPr>
          <w:p w14:paraId="5D621F5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6,69 ± 0,67</w:t>
            </w:r>
          </w:p>
        </w:tc>
        <w:tc>
          <w:tcPr>
            <w:tcW w:w="1597" w:type="dxa"/>
            <w:tcBorders>
              <w:top w:val="nil"/>
              <w:left w:val="nil"/>
              <w:bottom w:val="nil"/>
              <w:right w:val="nil"/>
            </w:tcBorders>
            <w:vAlign w:val="center"/>
            <w:hideMark/>
          </w:tcPr>
          <w:p w14:paraId="1858FC1D"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9,63 ± 0,85</w:t>
            </w:r>
          </w:p>
        </w:tc>
        <w:tc>
          <w:tcPr>
            <w:tcW w:w="1887" w:type="dxa"/>
            <w:gridSpan w:val="2"/>
            <w:tcBorders>
              <w:top w:val="nil"/>
              <w:left w:val="nil"/>
              <w:bottom w:val="nil"/>
              <w:right w:val="nil"/>
            </w:tcBorders>
            <w:vAlign w:val="center"/>
            <w:hideMark/>
          </w:tcPr>
          <w:p w14:paraId="28CC9E28"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11,56 ± 1,26</w:t>
            </w:r>
          </w:p>
        </w:tc>
        <w:tc>
          <w:tcPr>
            <w:tcW w:w="806" w:type="dxa"/>
            <w:tcBorders>
              <w:top w:val="nil"/>
              <w:left w:val="nil"/>
              <w:bottom w:val="nil"/>
              <w:right w:val="nil"/>
            </w:tcBorders>
            <w:noWrap/>
            <w:vAlign w:val="center"/>
            <w:hideMark/>
          </w:tcPr>
          <w:p w14:paraId="4CDC3228" w14:textId="1BBB633E"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4CAFAC7E"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75D93C48"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29EA9A6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Content (%)</w:t>
            </w:r>
          </w:p>
        </w:tc>
        <w:tc>
          <w:tcPr>
            <w:tcW w:w="1545" w:type="dxa"/>
            <w:gridSpan w:val="2"/>
            <w:tcBorders>
              <w:top w:val="nil"/>
              <w:left w:val="nil"/>
              <w:bottom w:val="nil"/>
              <w:right w:val="nil"/>
            </w:tcBorders>
            <w:vAlign w:val="center"/>
            <w:hideMark/>
          </w:tcPr>
          <w:p w14:paraId="28325230"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8,99 ± 1,57</w:t>
            </w:r>
          </w:p>
        </w:tc>
        <w:tc>
          <w:tcPr>
            <w:tcW w:w="1597" w:type="dxa"/>
            <w:tcBorders>
              <w:top w:val="nil"/>
              <w:left w:val="nil"/>
              <w:bottom w:val="nil"/>
              <w:right w:val="nil"/>
            </w:tcBorders>
            <w:vAlign w:val="center"/>
            <w:hideMark/>
          </w:tcPr>
          <w:p w14:paraId="2D87BD1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11,29 ± 0,76</w:t>
            </w:r>
          </w:p>
        </w:tc>
        <w:tc>
          <w:tcPr>
            <w:tcW w:w="1887" w:type="dxa"/>
            <w:gridSpan w:val="2"/>
            <w:tcBorders>
              <w:top w:val="nil"/>
              <w:left w:val="nil"/>
              <w:bottom w:val="nil"/>
              <w:right w:val="nil"/>
            </w:tcBorders>
            <w:vAlign w:val="center"/>
            <w:hideMark/>
          </w:tcPr>
          <w:p w14:paraId="4B6D603D"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16,98 ± 2,73</w:t>
            </w:r>
          </w:p>
        </w:tc>
        <w:tc>
          <w:tcPr>
            <w:tcW w:w="806" w:type="dxa"/>
            <w:tcBorders>
              <w:top w:val="nil"/>
              <w:left w:val="nil"/>
              <w:bottom w:val="nil"/>
              <w:right w:val="nil"/>
            </w:tcBorders>
            <w:noWrap/>
            <w:vAlign w:val="center"/>
            <w:hideMark/>
          </w:tcPr>
          <w:p w14:paraId="3E11D1F0" w14:textId="7E09AE7C"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662ADCF9"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0A79427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68F820F4"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Ash Content (%)</w:t>
            </w:r>
          </w:p>
        </w:tc>
        <w:tc>
          <w:tcPr>
            <w:tcW w:w="1545" w:type="dxa"/>
            <w:gridSpan w:val="2"/>
            <w:tcBorders>
              <w:top w:val="nil"/>
              <w:left w:val="nil"/>
              <w:bottom w:val="nil"/>
              <w:right w:val="nil"/>
            </w:tcBorders>
            <w:vAlign w:val="center"/>
            <w:hideMark/>
          </w:tcPr>
          <w:p w14:paraId="12151A4B"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7,48 ± 2,10</w:t>
            </w:r>
          </w:p>
        </w:tc>
        <w:tc>
          <w:tcPr>
            <w:tcW w:w="1597" w:type="dxa"/>
            <w:tcBorders>
              <w:top w:val="nil"/>
              <w:left w:val="nil"/>
              <w:bottom w:val="nil"/>
              <w:right w:val="nil"/>
            </w:tcBorders>
            <w:vAlign w:val="center"/>
            <w:hideMark/>
          </w:tcPr>
          <w:p w14:paraId="4E9E6711"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15,57 ± 2,32</w:t>
            </w:r>
          </w:p>
        </w:tc>
        <w:tc>
          <w:tcPr>
            <w:tcW w:w="1887" w:type="dxa"/>
            <w:gridSpan w:val="2"/>
            <w:tcBorders>
              <w:top w:val="nil"/>
              <w:left w:val="nil"/>
              <w:bottom w:val="nil"/>
              <w:right w:val="nil"/>
            </w:tcBorders>
            <w:vAlign w:val="center"/>
            <w:hideMark/>
          </w:tcPr>
          <w:p w14:paraId="2DE4DD61"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19,50 ± 5,83</w:t>
            </w:r>
          </w:p>
        </w:tc>
        <w:tc>
          <w:tcPr>
            <w:tcW w:w="806" w:type="dxa"/>
            <w:tcBorders>
              <w:top w:val="nil"/>
              <w:left w:val="nil"/>
              <w:bottom w:val="nil"/>
              <w:right w:val="nil"/>
            </w:tcBorders>
            <w:noWrap/>
            <w:vAlign w:val="center"/>
            <w:hideMark/>
          </w:tcPr>
          <w:p w14:paraId="400DA2C9" w14:textId="151F85CB"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515DE47"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156C2223"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70665ED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 xml:space="preserve">Acid </w:t>
            </w:r>
            <w:r w:rsidRPr="00B1191B">
              <w:rPr>
                <w:rFonts w:ascii="Arial" w:hAnsi="Arial" w:cs="Arial"/>
                <w:color w:val="000000"/>
                <w:lang w:eastAsia="en-ID"/>
              </w:rPr>
              <w:lastRenderedPageBreak/>
              <w:t>Insoluble Ash Content (% w/w)</w:t>
            </w:r>
          </w:p>
        </w:tc>
        <w:tc>
          <w:tcPr>
            <w:tcW w:w="1545" w:type="dxa"/>
            <w:gridSpan w:val="2"/>
            <w:tcBorders>
              <w:top w:val="nil"/>
              <w:left w:val="nil"/>
              <w:bottom w:val="nil"/>
              <w:right w:val="nil"/>
            </w:tcBorders>
            <w:vAlign w:val="center"/>
            <w:hideMark/>
          </w:tcPr>
          <w:p w14:paraId="2251854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lastRenderedPageBreak/>
              <w:t>0,89 ± 0,50</w:t>
            </w:r>
          </w:p>
        </w:tc>
        <w:tc>
          <w:tcPr>
            <w:tcW w:w="1597" w:type="dxa"/>
            <w:tcBorders>
              <w:top w:val="nil"/>
              <w:left w:val="nil"/>
              <w:bottom w:val="nil"/>
              <w:right w:val="nil"/>
            </w:tcBorders>
            <w:vAlign w:val="center"/>
            <w:hideMark/>
          </w:tcPr>
          <w:p w14:paraId="2C728B3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2,89 ± 0,36</w:t>
            </w:r>
          </w:p>
        </w:tc>
        <w:tc>
          <w:tcPr>
            <w:tcW w:w="1887" w:type="dxa"/>
            <w:gridSpan w:val="2"/>
            <w:tcBorders>
              <w:top w:val="nil"/>
              <w:left w:val="nil"/>
              <w:bottom w:val="nil"/>
              <w:right w:val="nil"/>
            </w:tcBorders>
            <w:vAlign w:val="center"/>
            <w:hideMark/>
          </w:tcPr>
          <w:p w14:paraId="4152E2E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3,47 ± 0,79</w:t>
            </w:r>
          </w:p>
        </w:tc>
        <w:tc>
          <w:tcPr>
            <w:tcW w:w="806" w:type="dxa"/>
            <w:tcBorders>
              <w:top w:val="nil"/>
              <w:left w:val="nil"/>
              <w:bottom w:val="nil"/>
              <w:right w:val="nil"/>
            </w:tcBorders>
            <w:noWrap/>
            <w:vAlign w:val="center"/>
            <w:hideMark/>
          </w:tcPr>
          <w:p w14:paraId="23D81E79" w14:textId="7B204A30"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w:t>
            </w:r>
            <w:r w:rsidRPr="00B1191B">
              <w:rPr>
                <w:rFonts w:ascii="Arial" w:hAnsi="Arial" w:cs="Arial"/>
                <w:lang w:val="en-ID" w:eastAsia="en-ID"/>
              </w:rPr>
              <w:lastRenderedPageBreak/>
              <w:t xml:space="preserve">1,6%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F88E7C1" w14:textId="77777777" w:rsidTr="00991734">
        <w:trPr>
          <w:gridAfter w:val="1"/>
          <w:wAfter w:w="138" w:type="dxa"/>
          <w:trHeight w:val="64"/>
          <w:jc w:val="center"/>
        </w:trPr>
        <w:tc>
          <w:tcPr>
            <w:tcW w:w="1040" w:type="dxa"/>
            <w:tcBorders>
              <w:top w:val="nil"/>
              <w:left w:val="nil"/>
              <w:bottom w:val="nil"/>
              <w:right w:val="nil"/>
            </w:tcBorders>
            <w:hideMark/>
          </w:tcPr>
          <w:p w14:paraId="22FD06DD" w14:textId="77777777" w:rsidR="00F60FE3" w:rsidRPr="00B1191B" w:rsidRDefault="00F60FE3" w:rsidP="006432B1">
            <w:pPr>
              <w:jc w:val="both"/>
              <w:rPr>
                <w:rFonts w:ascii="Arial" w:hAnsi="Arial" w:cs="Arial"/>
                <w:b/>
                <w:bCs/>
                <w:lang w:val="en-ID" w:eastAsia="en-ID"/>
              </w:rPr>
            </w:pPr>
          </w:p>
        </w:tc>
        <w:tc>
          <w:tcPr>
            <w:tcW w:w="1417" w:type="dxa"/>
            <w:tcBorders>
              <w:top w:val="nil"/>
              <w:left w:val="nil"/>
              <w:bottom w:val="nil"/>
              <w:right w:val="nil"/>
            </w:tcBorders>
            <w:vAlign w:val="center"/>
            <w:hideMark/>
          </w:tcPr>
          <w:p w14:paraId="5FFD012F"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yeast and mold (CFU/g)</w:t>
            </w:r>
          </w:p>
        </w:tc>
        <w:tc>
          <w:tcPr>
            <w:tcW w:w="1545" w:type="dxa"/>
            <w:gridSpan w:val="2"/>
            <w:tcBorders>
              <w:top w:val="nil"/>
              <w:left w:val="nil"/>
              <w:bottom w:val="nil"/>
              <w:right w:val="nil"/>
            </w:tcBorders>
            <w:vAlign w:val="center"/>
            <w:hideMark/>
          </w:tcPr>
          <w:p w14:paraId="08234B0F"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3</w:t>
            </w:r>
            <w:r w:rsidRPr="00B1191B">
              <w:rPr>
                <w:rFonts w:ascii="Arial" w:hAnsi="Arial" w:cs="Arial"/>
                <w:color w:val="000000"/>
                <w:lang w:eastAsia="en-ID"/>
              </w:rPr>
              <w:t xml:space="preserve"> (2,0x10</w:t>
            </w:r>
            <w:r w:rsidRPr="00B1191B">
              <w:rPr>
                <w:rFonts w:ascii="Arial" w:hAnsi="Arial" w:cs="Arial"/>
                <w:color w:val="000000"/>
                <w:vertAlign w:val="superscript"/>
                <w:lang w:eastAsia="en-ID"/>
              </w:rPr>
              <w:t>3</w:t>
            </w:r>
            <w:r w:rsidRPr="00B1191B">
              <w:rPr>
                <w:rFonts w:ascii="Arial" w:hAnsi="Arial" w:cs="Arial"/>
                <w:color w:val="000000"/>
                <w:lang w:eastAsia="en-ID"/>
              </w:rPr>
              <w:t>)</w:t>
            </w:r>
          </w:p>
        </w:tc>
        <w:tc>
          <w:tcPr>
            <w:tcW w:w="1597" w:type="dxa"/>
            <w:tcBorders>
              <w:top w:val="nil"/>
              <w:left w:val="nil"/>
              <w:bottom w:val="nil"/>
              <w:right w:val="nil"/>
            </w:tcBorders>
            <w:vAlign w:val="center"/>
            <w:hideMark/>
          </w:tcPr>
          <w:p w14:paraId="4D032FE7"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(5,7x10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1887" w:type="dxa"/>
            <w:gridSpan w:val="2"/>
            <w:tcBorders>
              <w:top w:val="nil"/>
              <w:left w:val="nil"/>
              <w:bottom w:val="nil"/>
              <w:right w:val="nil"/>
            </w:tcBorders>
            <w:vAlign w:val="center"/>
            <w:hideMark/>
          </w:tcPr>
          <w:p w14:paraId="0E518644"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(2x10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806" w:type="dxa"/>
            <w:tcBorders>
              <w:top w:val="nil"/>
              <w:left w:val="nil"/>
              <w:bottom w:val="nil"/>
              <w:right w:val="nil"/>
            </w:tcBorders>
            <w:vAlign w:val="center"/>
            <w:hideMark/>
          </w:tcPr>
          <w:p w14:paraId="68988DE8" w14:textId="371039DA" w:rsidR="00F60FE3" w:rsidRPr="00B1191B" w:rsidRDefault="00F60FE3" w:rsidP="006432B1">
            <w:pPr>
              <w:ind w:left="-104" w:right="-107"/>
              <w:jc w:val="both"/>
              <w:rPr>
                <w:rFonts w:ascii="Arial" w:hAnsi="Arial" w:cs="Arial"/>
                <w:color w:val="000000"/>
                <w:lang w:val="en-ID" w:eastAsia="en-ID"/>
              </w:rPr>
            </w:pPr>
            <w:r w:rsidRPr="00B1191B">
              <w:rPr>
                <w:rFonts w:ascii="Arial" w:hAnsi="Arial" w:cs="Arial"/>
                <w:lang w:val="en-ID" w:eastAsia="en-ID"/>
              </w:rPr>
              <w:t>≤ 10</w:t>
            </w:r>
            <w:r w:rsidRPr="00B1191B">
              <w:rPr>
                <w:rFonts w:ascii="Arial" w:hAnsi="Arial" w:cs="Arial"/>
                <w:vertAlign w:val="superscript"/>
                <w:lang w:val="en-ID" w:eastAsia="en-ID"/>
              </w:rPr>
              <w:t>3</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r w:rsidR="00F60FE3" w:rsidRPr="00B1191B" w14:paraId="6074D754" w14:textId="77777777" w:rsidTr="00991734">
        <w:trPr>
          <w:trHeight w:val="64"/>
          <w:jc w:val="center"/>
        </w:trPr>
        <w:tc>
          <w:tcPr>
            <w:tcW w:w="1040" w:type="dxa"/>
            <w:tcBorders>
              <w:top w:val="nil"/>
              <w:left w:val="nil"/>
              <w:bottom w:val="single" w:sz="4" w:space="0" w:color="auto"/>
              <w:right w:val="nil"/>
            </w:tcBorders>
            <w:hideMark/>
          </w:tcPr>
          <w:p w14:paraId="022FB53A"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c>
          <w:tcPr>
            <w:tcW w:w="1417" w:type="dxa"/>
            <w:tcBorders>
              <w:top w:val="nil"/>
              <w:left w:val="nil"/>
              <w:bottom w:val="single" w:sz="4" w:space="0" w:color="auto"/>
              <w:right w:val="nil"/>
            </w:tcBorders>
            <w:vAlign w:val="center"/>
            <w:hideMark/>
          </w:tcPr>
          <w:p w14:paraId="7B482AF0"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plate count (CFU/g)</w:t>
            </w:r>
          </w:p>
        </w:tc>
        <w:tc>
          <w:tcPr>
            <w:tcW w:w="1276" w:type="dxa"/>
            <w:tcBorders>
              <w:top w:val="nil"/>
              <w:left w:val="nil"/>
              <w:bottom w:val="single" w:sz="4" w:space="0" w:color="auto"/>
              <w:right w:val="nil"/>
            </w:tcBorders>
            <w:vAlign w:val="center"/>
            <w:hideMark/>
          </w:tcPr>
          <w:p w14:paraId="1AA4343A"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w:t>
            </w:r>
          </w:p>
        </w:tc>
        <w:tc>
          <w:tcPr>
            <w:tcW w:w="2025" w:type="dxa"/>
            <w:gridSpan w:val="3"/>
            <w:tcBorders>
              <w:top w:val="nil"/>
              <w:left w:val="nil"/>
              <w:bottom w:val="single" w:sz="4" w:space="0" w:color="auto"/>
              <w:right w:val="nil"/>
            </w:tcBorders>
            <w:vAlign w:val="center"/>
            <w:hideMark/>
          </w:tcPr>
          <w:p w14:paraId="28744301" w14:textId="77777777" w:rsidR="00F60FE3" w:rsidRPr="00B1191B" w:rsidRDefault="00F60FE3" w:rsidP="006432B1">
            <w:pPr>
              <w:ind w:right="-97"/>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5</w:t>
            </w:r>
            <w:r w:rsidRPr="00B1191B">
              <w:rPr>
                <w:rFonts w:ascii="Arial" w:hAnsi="Arial" w:cs="Arial"/>
                <w:color w:val="000000"/>
                <w:lang w:eastAsia="en-ID"/>
              </w:rPr>
              <w:t xml:space="preserve"> (2,0 x 10</w:t>
            </w:r>
            <w:r w:rsidRPr="00B1191B">
              <w:rPr>
                <w:rFonts w:ascii="Arial" w:hAnsi="Arial" w:cs="Arial"/>
                <w:color w:val="000000"/>
                <w:vertAlign w:val="superscript"/>
                <w:lang w:eastAsia="en-ID"/>
              </w:rPr>
              <w:t>5</w:t>
            </w:r>
            <w:r w:rsidRPr="00B1191B">
              <w:rPr>
                <w:rFonts w:ascii="Arial" w:hAnsi="Arial" w:cs="Arial"/>
                <w:color w:val="000000"/>
                <w:lang w:eastAsia="en-ID"/>
              </w:rPr>
              <w:t>)</w:t>
            </w:r>
          </w:p>
        </w:tc>
        <w:tc>
          <w:tcPr>
            <w:tcW w:w="1731" w:type="dxa"/>
            <w:tcBorders>
              <w:top w:val="nil"/>
              <w:left w:val="nil"/>
              <w:bottom w:val="single" w:sz="4" w:space="0" w:color="auto"/>
              <w:right w:val="nil"/>
            </w:tcBorders>
            <w:vAlign w:val="center"/>
            <w:hideMark/>
          </w:tcPr>
          <w:p w14:paraId="0F3B3E1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2</w:t>
            </w:r>
            <w:r w:rsidRPr="00B1191B">
              <w:rPr>
                <w:rFonts w:ascii="Arial" w:hAnsi="Arial" w:cs="Arial"/>
                <w:color w:val="000000"/>
                <w:lang w:eastAsia="en-ID"/>
              </w:rPr>
              <w:t>(2,0x10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941" w:type="dxa"/>
            <w:gridSpan w:val="2"/>
            <w:tcBorders>
              <w:top w:val="nil"/>
              <w:left w:val="nil"/>
              <w:bottom w:val="single" w:sz="4" w:space="0" w:color="auto"/>
              <w:right w:val="nil"/>
            </w:tcBorders>
            <w:vAlign w:val="center"/>
            <w:hideMark/>
          </w:tcPr>
          <w:p w14:paraId="6ECA42E2" w14:textId="311E4225" w:rsidR="00F60FE3" w:rsidRPr="00B1191B" w:rsidRDefault="00F60FE3" w:rsidP="006432B1">
            <w:pPr>
              <w:ind w:left="-104" w:right="-110"/>
              <w:jc w:val="both"/>
              <w:rPr>
                <w:rFonts w:ascii="Arial" w:hAnsi="Arial" w:cs="Arial"/>
                <w:color w:val="000000"/>
                <w:lang w:eastAsia="en-ID"/>
              </w:rPr>
            </w:pPr>
            <w:r w:rsidRPr="00B1191B">
              <w:rPr>
                <w:rFonts w:ascii="Arial" w:hAnsi="Arial" w:cs="Arial"/>
                <w:lang w:val="en-ID" w:eastAsia="en-ID"/>
              </w:rPr>
              <w:t>≤ 10</w:t>
            </w:r>
            <w:r w:rsidRPr="00B1191B">
              <w:rPr>
                <w:rFonts w:ascii="Arial" w:hAnsi="Arial" w:cs="Arial"/>
                <w:vertAlign w:val="superscript"/>
                <w:lang w:val="en-ID" w:eastAsia="en-ID"/>
              </w:rPr>
              <w:t>4</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bl>
    <w:p w14:paraId="7D759BD6" w14:textId="77777777" w:rsidR="00F60FE3" w:rsidRPr="00B1191B" w:rsidRDefault="00F60FE3" w:rsidP="00F60FE3">
      <w:pPr>
        <w:pStyle w:val="BodyText3"/>
        <w:tabs>
          <w:tab w:val="left" w:pos="1080"/>
        </w:tabs>
        <w:spacing w:after="0"/>
        <w:jc w:val="both"/>
        <w:rPr>
          <w:rFonts w:ascii="Arial" w:hAnsi="Arial" w:cs="Arial"/>
          <w:i/>
          <w:sz w:val="18"/>
          <w:szCs w:val="18"/>
        </w:rPr>
      </w:pPr>
      <w:r w:rsidRPr="00153C60">
        <w:rPr>
          <w:rFonts w:ascii="Arial" w:hAnsi="Arial" w:cs="Arial"/>
          <w:bCs/>
          <w:i/>
          <w:sz w:val="24"/>
          <w:szCs w:val="24"/>
        </w:rPr>
        <w:tab/>
      </w:r>
      <w:r w:rsidRPr="00B1191B">
        <w:rPr>
          <w:rFonts w:ascii="Arial" w:hAnsi="Arial" w:cs="Arial"/>
          <w:bCs/>
          <w:i/>
          <w:sz w:val="18"/>
          <w:szCs w:val="18"/>
        </w:rPr>
        <w:t xml:space="preserve">*Description: </w:t>
      </w:r>
      <w:r w:rsidRPr="00B1191B">
        <w:rPr>
          <w:rFonts w:ascii="Arial" w:hAnsi="Arial" w:cs="Arial"/>
          <w:i/>
          <w:sz w:val="18"/>
          <w:szCs w:val="18"/>
        </w:rPr>
        <w:t>Value are means of triplicate determination ± Standard Deviation</w:t>
      </w:r>
    </w:p>
    <w:p w14:paraId="4B6368BF" w14:textId="5F1603D1" w:rsidR="00F60FE3" w:rsidRDefault="00F60FE3" w:rsidP="00441B6F">
      <w:pPr>
        <w:pStyle w:val="Body"/>
        <w:spacing w:after="0"/>
        <w:rPr>
          <w:rFonts w:ascii="Arial" w:hAnsi="Arial" w:cs="Arial"/>
        </w:rPr>
      </w:pPr>
    </w:p>
    <w:p w14:paraId="57CBDEB1"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40EDA9F5" w14:textId="514B7B73" w:rsidR="00F60FE3" w:rsidRDefault="00F60FE3" w:rsidP="00F60FE3">
      <w:pPr>
        <w:jc w:val="both"/>
        <w:rPr>
          <w:rFonts w:ascii="Arial" w:hAnsi="Arial" w:cs="Arial"/>
          <w:szCs w:val="24"/>
        </w:rPr>
      </w:pPr>
      <w:r w:rsidRPr="00153C60">
        <w:rPr>
          <w:rFonts w:ascii="Arial" w:hAnsi="Arial" w:cs="Arial"/>
          <w:szCs w:val="24"/>
        </w:rPr>
        <w:t xml:space="preserve">The loss on drying aims to determine the </w:t>
      </w:r>
      <w:proofErr w:type="gramStart"/>
      <w:r w:rsidRPr="00153C60">
        <w:rPr>
          <w:rFonts w:ascii="Arial" w:hAnsi="Arial" w:cs="Arial"/>
          <w:szCs w:val="24"/>
        </w:rPr>
        <w:t>amount</w:t>
      </w:r>
      <w:proofErr w:type="gramEnd"/>
      <w:r w:rsidRPr="00153C60">
        <w:rPr>
          <w:rFonts w:ascii="Arial" w:hAnsi="Arial" w:cs="Arial"/>
          <w:szCs w:val="24"/>
        </w:rPr>
        <w:t xml:space="preserve"> of compounds lost or evaporated during the drying process. The lower the drying loss value, the better the drying process performed on the sample. This means a lower water content in the sample, reducing the likelihood of mold growth in the herbal medicine. Compounds lost during the drying process include water, essential oils, and volatile compounds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Hasanah","given":"Norijatil","non-dropping-particle":"","parse-names":false,"suffix":""},{"dropping-particle":"","family":"Sriyono","given":"Agung","non-dropping-particle":"","parse-names":false,"suffix":""}],"id":"ITEM-1","issue":"01","issued":{"date-parts":[["2021"]]},"page":"101-110","title":"Standardisasi Simplisia dan Ekstrak Daun Matoa ( Pometia pinnata J . R Forst &amp; G . Forst ) Asal","type":"article-journal","volume":"08"},"uris":["http://www.mendeley.com/documents/?uuid=863ab47f-b5bf-4620-a56f-c9428aa2310f"]}],"mendeley":{"formattedCitation":"[15]","plainTextFormattedCitation":"[15]","previouslyFormattedCitation":"&lt;sup&gt;15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[15]</w:t>
      </w:r>
      <w:r>
        <w:rPr>
          <w:rFonts w:ascii="Arial" w:hAnsi="Arial" w:cs="Arial"/>
          <w:szCs w:val="24"/>
        </w:rPr>
        <w:fldChar w:fldCharType="end"/>
      </w:r>
      <w:r w:rsidRPr="00153C60">
        <w:rPr>
          <w:rFonts w:ascii="Arial" w:hAnsi="Arial" w:cs="Arial"/>
          <w:szCs w:val="24"/>
        </w:rPr>
        <w:t xml:space="preserve">. The higher the water content in a material, the more susceptible the extract is to damage and decay caused by microbial growth. High water content can also cause decomposition of active compounds in the extract due to enzymatic reactions. Therefore, water content determines the quality and stability of the extract, as well as the formation of the extract preparation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Yumita","given":"Agustin","non-dropping-particle":"","parse-names":false,"suffix":""},{"dropping-particle":"","family":"Si","given":"M","non-dropping-particle":"","parse-names":false,"suffix":""},{"dropping-particle":"","family":"Rahmadini","given":"Nuriza","non-dropping-particle":"","parse-names":false,"suffix":""},{"dropping-particle":"","family":"Cmm","given":"M","non-dropping-particle":"","parse-names":false,"suffix":""},{"dropping-particle":"","family":"Dewanti","given":"Ema","non-dropping-particle":"","parse-names":false,"suffix":""},{"dropping-particle":"","family":"Si","given":"M","non-dropping-particle":"","parse-names":false,"suffix":""}],"id":"ITEM-1","issued":{"date-parts":[["2023"]]},"title":"Modul pembelajaran standarisasi obat bahan alam","type":"article-journal"},"uris":["http://www.mendeley.com/documents/?uuid=5f3389ab-e47d-4e33-bb84-ef11cac43c0e"]}],"mendeley":{"formattedCitation":"[16]","plainTextFormattedCitation":"[16]","previouslyFormattedCitation":"&lt;sup&gt;16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[16]</w:t>
      </w:r>
      <w:r>
        <w:rPr>
          <w:rFonts w:ascii="Arial" w:hAnsi="Arial" w:cs="Arial"/>
          <w:szCs w:val="24"/>
        </w:rPr>
        <w:fldChar w:fldCharType="end"/>
      </w:r>
      <w:r>
        <w:rPr>
          <w:rFonts w:ascii="Arial" w:hAnsi="Arial" w:cs="Arial"/>
          <w:szCs w:val="24"/>
        </w:rPr>
        <w:t>.</w:t>
      </w:r>
    </w:p>
    <w:p w14:paraId="789DE9C7" w14:textId="77777777" w:rsidR="00F60FE3" w:rsidRPr="00153C60" w:rsidRDefault="00F60FE3" w:rsidP="00F60FE3">
      <w:pPr>
        <w:jc w:val="both"/>
        <w:rPr>
          <w:rFonts w:ascii="Arial" w:hAnsi="Arial" w:cs="Arial"/>
          <w:szCs w:val="24"/>
        </w:rPr>
      </w:pPr>
    </w:p>
    <w:p w14:paraId="5D1E65F6" w14:textId="464338E2" w:rsidR="00F60FE3" w:rsidRDefault="00F60FE3" w:rsidP="00F60FE3">
      <w:pPr>
        <w:jc w:val="both"/>
        <w:rPr>
          <w:rFonts w:ascii="Arial" w:hAnsi="Arial" w:cs="Arial"/>
          <w:szCs w:val="24"/>
        </w:rPr>
      </w:pPr>
      <w:r w:rsidRPr="00153C60">
        <w:rPr>
          <w:rFonts w:ascii="Arial" w:hAnsi="Arial" w:cs="Arial"/>
          <w:szCs w:val="24"/>
        </w:rPr>
        <w:t xml:space="preserve">Ash content is a that provides a general overview of the internal and external mineral content from the initial process to extract formation. At this stage, the extract is heated until the organic compounds and their derivatives are destroyed and evaporated, leaving only mineral and inorganic elements. The ash content should be low because this parameter indicates the presence of heavy metal contamination that is resistant to high temperatures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{"citationItems":[{"id":"ITEM-1","itemData":{"author":[{"dropping-particle":"","family":"R","given":"Matoa Pometia J","non-dropping-particle":"","parse-names":false,"suffix":""},{"dropping-particle":"","family":"Forst","given":"G","non-dropping-particle":"","parse-names":false,"suffix":""}],"id":"ITEM-1","issue":"1","issued":{"date-parts":[["2020"]]},"page":"1-12","title":"Pengukuran Parameter Spesifik Dan Non Spesifik Ekstrak Etanol Daun","type":"article-journal","volume":"6"},"uris":["http://www.mendeley.com/documents/?uuid=3ac198d2-aee4-4518-8413-a2f36a3ca4bc"]}],"mendeley":{"formattedCitation":"[17]","plainTextFormattedCitation":"[17]","previouslyFormattedCitation":"&lt;sup&gt;17&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[17]</w:t>
      </w:r>
      <w:r>
        <w:rPr>
          <w:rFonts w:ascii="Arial" w:hAnsi="Arial" w:cs="Arial"/>
          <w:szCs w:val="24"/>
        </w:rPr>
        <w:fldChar w:fldCharType="end"/>
      </w:r>
      <w:r>
        <w:rPr>
          <w:rFonts w:ascii="Arial" w:hAnsi="Arial" w:cs="Arial"/>
          <w:szCs w:val="24"/>
        </w:rPr>
        <w:t>.</w:t>
      </w:r>
    </w:p>
    <w:p w14:paraId="723A7325" w14:textId="77777777" w:rsidR="00F60FE3" w:rsidRPr="00153C60" w:rsidRDefault="00F60FE3" w:rsidP="00F60FE3">
      <w:pPr>
        <w:jc w:val="both"/>
        <w:rPr>
          <w:rFonts w:ascii="Arial" w:hAnsi="Arial" w:cs="Arial"/>
          <w:szCs w:val="24"/>
        </w:rPr>
      </w:pPr>
    </w:p>
    <w:p w14:paraId="4760380B" w14:textId="77777777" w:rsidR="00F60FE3" w:rsidRPr="00153C60" w:rsidRDefault="00F60FE3" w:rsidP="00F60FE3">
      <w:pPr>
        <w:jc w:val="both"/>
        <w:rPr>
          <w:rFonts w:ascii="Arial" w:hAnsi="Arial" w:cs="Arial"/>
          <w:szCs w:val="24"/>
        </w:rPr>
      </w:pPr>
      <w:r w:rsidRPr="00153C60">
        <w:rPr>
          <w:rFonts w:ascii="Arial" w:hAnsi="Arial" w:cs="Arial"/>
          <w:szCs w:val="24"/>
        </w:rPr>
        <w:t>The determination of acid-insoluble ash content indicates the presence of acid-insoluble inorganic compounds, such as soil or sand, still attached to the white mangrove medicinal herb. This can be caused by contamination from the air or from the sample processing site during the process of harvesting the fruit and turning it into powder. Ash content determination is a very important parameter in the evaluation of traditional medicinal raw materials, as it is related to the safety level of the medicinal herb as a raw material for traditional medicines.</w:t>
      </w:r>
    </w:p>
    <w:p w14:paraId="5152E386" w14:textId="77777777" w:rsidR="00F60FE3" w:rsidRDefault="00F60FE3" w:rsidP="00F60FE3">
      <w:pPr>
        <w:jc w:val="both"/>
        <w:rPr>
          <w:rFonts w:ascii="Arial" w:hAnsi="Arial" w:cs="Arial"/>
          <w:szCs w:val="24"/>
        </w:rPr>
      </w:pPr>
    </w:p>
    <w:p w14:paraId="73EF6A3D" w14:textId="439F636C" w:rsidR="00F60FE3" w:rsidRPr="00153C60" w:rsidRDefault="00F60FE3" w:rsidP="00F60FE3">
      <w:pPr>
        <w:jc w:val="both"/>
        <w:rPr>
          <w:rFonts w:ascii="Arial" w:hAnsi="Arial" w:cs="Arial"/>
          <w:szCs w:val="24"/>
        </w:rPr>
      </w:pPr>
      <w:r w:rsidRPr="00153C60">
        <w:rPr>
          <w:rFonts w:ascii="Arial" w:hAnsi="Arial" w:cs="Arial"/>
          <w:szCs w:val="24"/>
        </w:rPr>
        <w:t>The purpose of microbiological testing, including Total Plate Count (ALT) and Yeast Mold Number (YMC) testing, is to ensure that the extract does not contain pathogenic and non-pathogenic microbes and fungi exceeding the specified limits, as this affects the extract's stability and toxicity to health. Total plate count is a quantitative test to determine the number of microbes present in a sample</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xml:space="preserve">. ALT can be used as an indicator of product cleanliness, in the microbiological analysis of the finished product environment, as an indicator for process monitoring, and as a basis for estimating whether a product is acceptable or not based on its microbiological quality. Meanwhile, the Yeast Count (YAC) test essentially measures fungal contamination to ensure it does not exceed established limits. Yeasts are a group of microscopic unicellular fungi that can cause human pathogens, while molds are multicellular, filamentous fungi that can also be toxic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egal-kischinevzky","given":"Claudia","non-dropping-particle":"","parse-names":false,"suffix":""},{"dropping-particle":"","family":"Romero-aguilar","given":"Lucero","non-dropping-particle":"","parse-names":false,"suffix":""},{"dropping-particle":"","family":"Alcaraz","given":"Luis D","non-dropping-particle":"","parse-names":false,"suffix":""},{"dropping-particle":"","family":"Geovani","given":"L","non-dropping-particle":"","parse-names":false,"suffix":""},{"dropping-particle":"","family":"Mart","given":"Blanca","non-dropping-particle":"","parse-names":false,"suffix":""},{"dropping-particle":"","family":"Torres-ram","given":"Nayeli","non-dropping-particle":"","parse-names":false,"suffix":""},{"dropping-particle":"","family":"Sandoval","given":"Georgina","non-dropping-particle":"","parse-names":false,"suffix":""},{"dropping-particle":"","family":"Gonz","given":"James","non-dropping-particle":"","parse-names":false,"suffix":""}],"id":"ITEM-1","issued":{"date-parts":[["2022"]]},"title":"Yeasts Inhabiting Extreme Environments and Their Biotechnological Applications","type":"article-journal"},"uris":["http://www.mendeley.com/documents/?uuid=7f3c6682-5a92-4fed-aaab-8b46c6727e5f"]}],"mendeley":{"formattedCitation":"[18]","plainTextFormattedCitation":"[18]","previouslyFormattedCitation":"&lt;sup&gt;18&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[18]</w:t>
      </w:r>
      <w:r>
        <w:rPr>
          <w:rFonts w:ascii="Arial" w:hAnsi="Arial" w:cs="Arial"/>
          <w:szCs w:val="24"/>
        </w:rPr>
        <w:fldChar w:fldCharType="end"/>
      </w:r>
    </w:p>
    <w:p w14:paraId="42CB88D7" w14:textId="77777777" w:rsidR="00F60FE3" w:rsidRDefault="00F60FE3" w:rsidP="00F60FE3">
      <w:pPr>
        <w:jc w:val="both"/>
        <w:rPr>
          <w:rFonts w:ascii="Arial" w:hAnsi="Arial" w:cs="Arial"/>
          <w:szCs w:val="24"/>
        </w:rPr>
      </w:pPr>
    </w:p>
    <w:p w14:paraId="154D827D" w14:textId="10FB5046" w:rsidR="00F60FE3" w:rsidRDefault="00F60FE3" w:rsidP="00F60FE3">
      <w:pPr>
        <w:jc w:val="both"/>
        <w:rPr>
          <w:rFonts w:ascii="Arial" w:hAnsi="Arial" w:cs="Arial"/>
          <w:szCs w:val="24"/>
        </w:rPr>
      </w:pPr>
      <w:r w:rsidRPr="00153C60">
        <w:rPr>
          <w:rFonts w:ascii="Arial" w:hAnsi="Arial" w:cs="Arial"/>
          <w:szCs w:val="24"/>
        </w:rPr>
        <w:t xml:space="preserve">The quality of traditional medicinal ingredients does not exceed the maximum limits for microbial contamination and mold/yeast, respectively, which are ≤10⁴ CFU/g and ≤10³ CFU/g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Pr>
          <w:rFonts w:ascii="Arial" w:hAnsi="Arial" w:cs="Arial"/>
          <w:szCs w:val="24"/>
        </w:rPr>
        <w:t>.</w:t>
      </w:r>
      <w:r w:rsidRPr="00153C60">
        <w:rPr>
          <w:rFonts w:ascii="Arial" w:hAnsi="Arial" w:cs="Arial"/>
          <w:szCs w:val="24"/>
        </w:rPr>
        <w:t xml:space="preserve"> From these limits, it is clear that the results of the ALT and YAC determinations in white mangrove extract are below the specified requirements.</w:t>
      </w:r>
    </w:p>
    <w:p w14:paraId="5993BBD7" w14:textId="77777777" w:rsidR="00F60FE3" w:rsidRPr="00153C60" w:rsidRDefault="00F60FE3" w:rsidP="00F60FE3">
      <w:pPr>
        <w:jc w:val="both"/>
        <w:rPr>
          <w:rFonts w:ascii="Arial" w:hAnsi="Arial" w:cs="Arial"/>
          <w:szCs w:val="24"/>
        </w:rPr>
      </w:pPr>
    </w:p>
    <w:p w14:paraId="139A1D6C" w14:textId="77777777" w:rsidR="00F60FE3" w:rsidRDefault="00F60FE3" w:rsidP="00F60FE3">
      <w:pPr>
        <w:pStyle w:val="Heading3"/>
        <w:numPr>
          <w:ilvl w:val="1"/>
          <w:numId w:val="33"/>
        </w:numPr>
        <w:tabs>
          <w:tab w:val="num" w:pos="360"/>
        </w:tabs>
        <w:ind w:left="567" w:hanging="567"/>
        <w:jc w:val="both"/>
        <w:rPr>
          <w:rFonts w:ascii="Arial" w:hAnsi="Arial" w:cs="Arial"/>
          <w:b/>
          <w:bCs/>
          <w:color w:val="000000"/>
          <w:sz w:val="22"/>
          <w:szCs w:val="22"/>
        </w:rPr>
      </w:pPr>
      <w:r w:rsidRPr="00B1191B">
        <w:rPr>
          <w:rFonts w:ascii="Arial" w:hAnsi="Arial" w:cs="Arial"/>
          <w:b/>
          <w:bCs/>
          <w:color w:val="000000"/>
          <w:sz w:val="22"/>
          <w:szCs w:val="22"/>
        </w:rPr>
        <w:lastRenderedPageBreak/>
        <w:t xml:space="preserve">Total </w:t>
      </w:r>
      <w:proofErr w:type="spellStart"/>
      <w:r w:rsidRPr="00B1191B">
        <w:rPr>
          <w:rFonts w:ascii="Arial" w:hAnsi="Arial" w:cs="Arial"/>
          <w:b/>
          <w:bCs/>
          <w:color w:val="000000"/>
          <w:sz w:val="22"/>
          <w:szCs w:val="22"/>
        </w:rPr>
        <w:t>Flavanoid</w:t>
      </w:r>
      <w:proofErr w:type="spellEnd"/>
      <w:r w:rsidRPr="00B1191B">
        <w:rPr>
          <w:rFonts w:ascii="Arial" w:hAnsi="Arial" w:cs="Arial"/>
          <w:b/>
          <w:bCs/>
          <w:color w:val="000000"/>
          <w:sz w:val="22"/>
          <w:szCs w:val="22"/>
        </w:rPr>
        <w:t xml:space="preserve"> Content</w:t>
      </w:r>
    </w:p>
    <w:p w14:paraId="1A676472" w14:textId="77777777" w:rsidR="00F60FE3" w:rsidRPr="00257D84" w:rsidRDefault="00F60FE3" w:rsidP="00F60FE3"/>
    <w:p w14:paraId="0B852356" w14:textId="77777777" w:rsidR="00F60FE3" w:rsidRPr="00153C60" w:rsidRDefault="00F60FE3" w:rsidP="00F60FE3">
      <w:pPr>
        <w:jc w:val="both"/>
        <w:rPr>
          <w:rFonts w:ascii="Arial" w:hAnsi="Arial" w:cs="Arial"/>
          <w:szCs w:val="24"/>
        </w:rPr>
      </w:pPr>
      <w:r w:rsidRPr="00153C60">
        <w:rPr>
          <w:rFonts w:ascii="Arial" w:hAnsi="Arial" w:cs="Arial"/>
          <w:szCs w:val="24"/>
        </w:rPr>
        <w:t xml:space="preserve">The total flavonoid content in </w:t>
      </w:r>
      <w:proofErr w:type="spellStart"/>
      <w:r w:rsidRPr="00153C60">
        <w:rPr>
          <w:rFonts w:ascii="Arial" w:hAnsi="Arial" w:cs="Arial"/>
          <w:szCs w:val="24"/>
        </w:rPr>
        <w:t>Mangkang</w:t>
      </w:r>
      <w:proofErr w:type="spellEnd"/>
      <w:r w:rsidRPr="00153C60">
        <w:rPr>
          <w:rFonts w:ascii="Arial" w:hAnsi="Arial" w:cs="Arial"/>
          <w:szCs w:val="24"/>
        </w:rPr>
        <w:t xml:space="preserve"> Semarang has a higher TFC value compared to the </w:t>
      </w:r>
      <w:proofErr w:type="spellStart"/>
      <w:r w:rsidRPr="00153C60">
        <w:rPr>
          <w:rFonts w:ascii="Arial" w:hAnsi="Arial" w:cs="Arial"/>
          <w:szCs w:val="24"/>
        </w:rPr>
        <w:t>Baros</w:t>
      </w:r>
      <w:proofErr w:type="spellEnd"/>
      <w:r w:rsidRPr="00153C60">
        <w:rPr>
          <w:rFonts w:ascii="Arial" w:hAnsi="Arial" w:cs="Arial"/>
          <w:szCs w:val="24"/>
        </w:rPr>
        <w:t xml:space="preserve"> River and </w:t>
      </w:r>
      <w:proofErr w:type="spellStart"/>
      <w:r w:rsidRPr="00153C60">
        <w:rPr>
          <w:rFonts w:ascii="Arial" w:hAnsi="Arial" w:cs="Arial"/>
          <w:szCs w:val="24"/>
        </w:rPr>
        <w:t>Teluk</w:t>
      </w:r>
      <w:proofErr w:type="spellEnd"/>
      <w:r w:rsidRPr="00153C60">
        <w:rPr>
          <w:rFonts w:ascii="Arial" w:hAnsi="Arial" w:cs="Arial"/>
          <w:szCs w:val="24"/>
        </w:rPr>
        <w:t xml:space="preserve"> </w:t>
      </w:r>
      <w:proofErr w:type="spellStart"/>
      <w:r w:rsidRPr="00153C60">
        <w:rPr>
          <w:rFonts w:ascii="Arial" w:hAnsi="Arial" w:cs="Arial"/>
          <w:szCs w:val="24"/>
        </w:rPr>
        <w:t>Awur</w:t>
      </w:r>
      <w:proofErr w:type="spellEnd"/>
      <w:r w:rsidRPr="00153C60">
        <w:rPr>
          <w:rFonts w:ascii="Arial" w:hAnsi="Arial" w:cs="Arial"/>
          <w:szCs w:val="24"/>
        </w:rPr>
        <w:t>.</w:t>
      </w:r>
    </w:p>
    <w:p w14:paraId="649484E1" w14:textId="77777777" w:rsidR="006432B1" w:rsidRDefault="006432B1" w:rsidP="00F60FE3">
      <w:pPr>
        <w:jc w:val="center"/>
        <w:rPr>
          <w:rFonts w:ascii="Arial" w:hAnsi="Arial" w:cs="Arial"/>
          <w:b/>
        </w:rPr>
        <w:sectPr w:rsidR="006432B1" w:rsidSect="004239FA">
          <w:type w:val="continuous"/>
          <w:pgSz w:w="12240" w:h="15840"/>
          <w:pgMar w:top="1440" w:right="2016" w:bottom="2016" w:left="2016" w:header="720" w:footer="1123" w:gutter="0"/>
          <w:cols w:space="720"/>
          <w:titlePg/>
          <w:docGrid w:linePitch="272"/>
        </w:sectPr>
      </w:pPr>
    </w:p>
    <w:p w14:paraId="0B3F8C5D" w14:textId="432B0611" w:rsidR="00F60FE3" w:rsidRPr="00153C60" w:rsidRDefault="00F60FE3" w:rsidP="00F60FE3">
      <w:pPr>
        <w:jc w:val="center"/>
        <w:rPr>
          <w:rFonts w:ascii="Arial" w:hAnsi="Arial" w:cs="Arial"/>
          <w:szCs w:val="24"/>
        </w:rPr>
      </w:pPr>
      <w:r w:rsidRPr="00153C60">
        <w:rPr>
          <w:rFonts w:ascii="Arial" w:hAnsi="Arial" w:cs="Arial"/>
          <w:b/>
        </w:rPr>
        <w:object w:dxaOrig="3290" w:dyaOrig="6528" w14:anchorId="0FC4C829">
          <v:shape id="_x0000_i1027" type="#_x0000_t75" style="width:159.9pt;height:240.25pt" o:ole="">
            <v:imagedata r:id="rId16" o:title=""/>
          </v:shape>
          <o:OLEObject Type="Embed" ProgID="Prism10.Document" ShapeID="_x0000_i1027" DrawAspect="Content" ObjectID="_1832428946" r:id="rId17"/>
        </w:object>
      </w:r>
    </w:p>
    <w:p w14:paraId="1FF8797E" w14:textId="3E8F90AE" w:rsidR="00F60FE3" w:rsidRPr="00B1191B" w:rsidRDefault="00F60FE3" w:rsidP="00F60FE3">
      <w:pPr>
        <w:ind w:left="709" w:hanging="709"/>
        <w:jc w:val="both"/>
        <w:rPr>
          <w:rFonts w:ascii="Arial" w:hAnsi="Arial" w:cs="Arial"/>
          <w:b/>
          <w:bCs/>
        </w:rPr>
      </w:pPr>
      <w:bookmarkStart w:id="2" w:name="OLE_LINK2"/>
      <w:r w:rsidRPr="00B1191B">
        <w:rPr>
          <w:rFonts w:ascii="Arial" w:hAnsi="Arial" w:cs="Arial"/>
          <w:b/>
          <w:bCs/>
        </w:rPr>
        <w:t xml:space="preserve">Figure </w:t>
      </w:r>
      <w:r w:rsidR="003150F9">
        <w:rPr>
          <w:rFonts w:ascii="Arial" w:hAnsi="Arial" w:cs="Arial"/>
          <w:b/>
          <w:bCs/>
        </w:rPr>
        <w:t>2</w:t>
      </w:r>
      <w:r w:rsidRPr="00B1191B">
        <w:rPr>
          <w:rFonts w:ascii="Arial" w:hAnsi="Arial" w:cs="Arial"/>
          <w:b/>
          <w:bCs/>
        </w:rPr>
        <w:t xml:space="preserve">: Results of Total </w:t>
      </w:r>
      <w:proofErr w:type="spellStart"/>
      <w:r w:rsidRPr="00B1191B">
        <w:rPr>
          <w:rFonts w:ascii="Arial" w:hAnsi="Arial" w:cs="Arial"/>
          <w:b/>
          <w:bCs/>
        </w:rPr>
        <w:t>Flavanoid</w:t>
      </w:r>
      <w:proofErr w:type="spellEnd"/>
      <w:r w:rsidRPr="00B1191B">
        <w:rPr>
          <w:rFonts w:ascii="Arial" w:hAnsi="Arial" w:cs="Arial"/>
          <w:b/>
          <w:bCs/>
        </w:rPr>
        <w:t xml:space="preserve"> levels Test Using Three Sample n= </w:t>
      </w:r>
      <w:proofErr w:type="gramStart"/>
      <w:r w:rsidRPr="00B1191B">
        <w:rPr>
          <w:rFonts w:ascii="Arial" w:hAnsi="Arial" w:cs="Arial"/>
          <w:b/>
          <w:bCs/>
        </w:rPr>
        <w:t>3,  *</w:t>
      </w:r>
      <w:proofErr w:type="gramEnd"/>
      <w:r w:rsidRPr="00B1191B">
        <w:rPr>
          <w:rFonts w:ascii="Arial" w:hAnsi="Arial" w:cs="Arial"/>
          <w:b/>
          <w:bCs/>
        </w:rPr>
        <w:t>*** = &lt;0,0001 (significant)</w:t>
      </w:r>
    </w:p>
    <w:bookmarkEnd w:id="2"/>
    <w:p w14:paraId="1A59A8F9" w14:textId="77777777" w:rsidR="00F60FE3" w:rsidRDefault="00F60FE3" w:rsidP="00F60FE3">
      <w:pPr>
        <w:jc w:val="both"/>
        <w:rPr>
          <w:rFonts w:ascii="Arial" w:hAnsi="Arial" w:cs="Arial"/>
          <w:bCs/>
          <w:i/>
          <w:szCs w:val="24"/>
        </w:rPr>
        <w:sectPr w:rsidR="00F60FE3" w:rsidSect="004239FA">
          <w:type w:val="continuous"/>
          <w:pgSz w:w="12240" w:h="15840"/>
          <w:pgMar w:top="1440" w:right="2016" w:bottom="2016" w:left="2016" w:header="720" w:footer="1123" w:gutter="0"/>
          <w:cols w:space="720"/>
          <w:titlePg/>
          <w:docGrid w:linePitch="272"/>
        </w:sectPr>
      </w:pPr>
    </w:p>
    <w:p w14:paraId="7CB415E5" w14:textId="77777777" w:rsidR="00F60FE3" w:rsidRPr="00153C60" w:rsidRDefault="00F60FE3" w:rsidP="00F60FE3">
      <w:pPr>
        <w:jc w:val="both"/>
        <w:rPr>
          <w:rFonts w:ascii="Arial" w:hAnsi="Arial" w:cs="Arial"/>
          <w:bCs/>
          <w:i/>
          <w:szCs w:val="24"/>
        </w:rPr>
      </w:pPr>
    </w:p>
    <w:p w14:paraId="78ED6953" w14:textId="77777777" w:rsidR="006432B1" w:rsidRDefault="006432B1" w:rsidP="00F60FE3">
      <w:pPr>
        <w:jc w:val="both"/>
        <w:rPr>
          <w:rFonts w:ascii="Arial" w:hAnsi="Arial" w:cs="Arial"/>
          <w:szCs w:val="24"/>
        </w:rPr>
        <w:sectPr w:rsidR="006432B1" w:rsidSect="004239F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3B8F04C" w14:textId="47F11A33" w:rsidR="00F60FE3" w:rsidRDefault="00F60FE3" w:rsidP="00F60FE3">
      <w:pPr>
        <w:jc w:val="both"/>
        <w:rPr>
          <w:rFonts w:ascii="Arial" w:hAnsi="Arial" w:cs="Arial"/>
          <w:szCs w:val="24"/>
        </w:rPr>
      </w:pPr>
      <w:r w:rsidRPr="00153C60">
        <w:rPr>
          <w:rFonts w:ascii="Arial" w:hAnsi="Arial" w:cs="Arial"/>
          <w:szCs w:val="24"/>
        </w:rPr>
        <w:t xml:space="preserve">In Figure </w:t>
      </w:r>
      <w:r w:rsidR="003150F9">
        <w:rPr>
          <w:rFonts w:ascii="Arial" w:hAnsi="Arial" w:cs="Arial"/>
          <w:szCs w:val="24"/>
        </w:rPr>
        <w:t>2</w:t>
      </w:r>
      <w:r w:rsidRPr="00153C60">
        <w:rPr>
          <w:rFonts w:ascii="Arial" w:hAnsi="Arial" w:cs="Arial"/>
          <w:szCs w:val="24"/>
        </w:rPr>
        <w:t>, Higher flavonoid content is associated with environmental stress factors such as salinity fluctuations, tidal exposure, anthropogenic pressure, and nutrient availability, which are known to stimulate the production of secondary metabolites, including flavonoid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gati","given":"Giovanni","non-dropping-particle":"","parse-names":false,"suffix":""},{"dropping-particle":"","family":"Brunetti","given":"Cecilia","non-dropping-particle":"","parse-names":false,"suffix":""},{"dropping-particle":"","family":"Di","given":"Martina","non-dropping-particle":"","parse-names":false,"suffix":""},{"dropping-particle":"","family":"Ferrini","given":"Francesco","non-dropping-particle":"","parse-names":false,"suffix":""},{"dropping-particle":"","family":"Pollastri","given":"Susanna","non-dropping-particle":"","parse-names":false,"suffix":""},{"dropping-particle":"","family":"Tattini","given":"Massimiliano","non-dropping-particle":"","parse-names":false,"suffix":""}],"id":"ITEM-1","issued":{"date-parts":[["2013"]]},"title":"Plant Physiology and Biochemistry Functional roles of fl avonoids in photoprotection : New evidence , lessons from the past","type":"article-journal","volume":"72"},"uris":["http://www.mendeley.com/documents/?uuid=777168df-8f7f-45d5-80ad-6b387e6b301c"]}],"mendeley":{"formattedCitation":"[19]","plainTextFormattedCitation":"[19]","previouslyFormattedCitation":"&lt;sup&gt;19&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[19]</w:t>
      </w:r>
      <w:r>
        <w:rPr>
          <w:rFonts w:ascii="Arial" w:hAnsi="Arial" w:cs="Arial"/>
          <w:szCs w:val="24"/>
        </w:rPr>
        <w:fldChar w:fldCharType="end"/>
      </w:r>
      <w:r w:rsidRPr="00153C60">
        <w:rPr>
          <w:rFonts w:ascii="Arial" w:hAnsi="Arial" w:cs="Arial"/>
          <w:szCs w:val="24"/>
        </w:rPr>
        <w:t>. Mangrove plants growing under higher oxidative or ecological stress tend to enhance their defense mechanisms by synthesizing phenolic compounds with antioxidant properties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charya","given":"Srinivas","non-dropping-particle":"","parse-names":false,"suffix":""},{"dropping-particle":"","family":"Pradhan","given":"Madhusmita","non-dropping-particle":"","parse-names":false,"suffix":""},{"dropping-particle":"","family":"Mahalik","given":"Gyanranjan","non-dropping-particle":"","parse-names":false,"suffix":""},{"dropping-particle":"","family":"Babu","given":"Ram","non-dropping-particle":"","parse-names":false,"suffix":""},{"dropping-particle":"","family":"Parida","given":"Sangeeta","non-dropping-particle":"","parse-names":false,"suffix":""},{"dropping-particle":"","family":"Kumar","given":"Pradipta","non-dropping-particle":"","parse-names":false,"suffix":""}],"id":"ITEM-1","issue":"x","issued":{"date-parts":[["1925"]]},"title":"e - Publishing Group Abiotic stress tolerance in mangroves with a special reference to salinity","type":"article-journal","volume":"x"},"uris":["http://www.mendeley.com/documents/?uuid=4eca9290-1cad-4b98-8f8a-d4dea32b0626"]}],"mendeley":{"formattedCitation":"[20]","plainTextFormattedCitation":"[20]","previouslyFormattedCitation":"&lt;sup&gt;20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[20]</w:t>
      </w:r>
      <w:r>
        <w:rPr>
          <w:rFonts w:ascii="Arial" w:hAnsi="Arial" w:cs="Arial"/>
          <w:szCs w:val="24"/>
        </w:rPr>
        <w:fldChar w:fldCharType="end"/>
      </w:r>
      <w:r w:rsidRPr="00153C60">
        <w:rPr>
          <w:rFonts w:ascii="Arial" w:hAnsi="Arial" w:cs="Arial"/>
          <w:szCs w:val="24"/>
        </w:rPr>
        <w:t xml:space="preserve">. Conversely, the relatively low flavonoid content observed in the </w:t>
      </w:r>
      <w:proofErr w:type="spellStart"/>
      <w:r w:rsidRPr="00153C60">
        <w:rPr>
          <w:rFonts w:ascii="Arial" w:hAnsi="Arial" w:cs="Arial"/>
          <w:szCs w:val="24"/>
        </w:rPr>
        <w:t>Baros</w:t>
      </w:r>
      <w:proofErr w:type="spellEnd"/>
      <w:r w:rsidRPr="00153C60">
        <w:rPr>
          <w:rFonts w:ascii="Arial" w:hAnsi="Arial" w:cs="Arial"/>
          <w:szCs w:val="24"/>
        </w:rPr>
        <w:t xml:space="preserve"> River extracts may be attributed to differences in sediment composition, the influence of freshwater, and lower exposure to abiotic stressors, which may reduce the need for secondary metabolite production. Similar variations in flavonoid content among mangrove species from different habitats have been reported in previous studies, emphasizing the strong influence of environmental and ecological conditions on phytochemical profiles.</w:t>
      </w:r>
    </w:p>
    <w:p w14:paraId="08E76210" w14:textId="77777777" w:rsidR="00F60FE3" w:rsidRPr="00153C60" w:rsidRDefault="00F60FE3" w:rsidP="00F60FE3">
      <w:pPr>
        <w:ind w:firstLine="720"/>
        <w:jc w:val="both"/>
        <w:rPr>
          <w:rFonts w:ascii="Arial" w:hAnsi="Arial" w:cs="Arial"/>
          <w:szCs w:val="24"/>
        </w:rPr>
      </w:pPr>
    </w:p>
    <w:p w14:paraId="2FA9BA1C" w14:textId="6B5E0AB4" w:rsidR="00F60FE3" w:rsidRPr="00153C60" w:rsidRDefault="00F60FE3" w:rsidP="00F60FE3">
      <w:pPr>
        <w:jc w:val="both"/>
        <w:rPr>
          <w:rFonts w:ascii="Arial" w:hAnsi="Arial" w:cs="Arial"/>
          <w:szCs w:val="24"/>
        </w:rPr>
      </w:pPr>
      <w:r w:rsidRPr="00153C60">
        <w:rPr>
          <w:rFonts w:ascii="Arial" w:hAnsi="Arial" w:cs="Arial"/>
          <w:szCs w:val="24"/>
        </w:rPr>
        <w:t xml:space="preserve">Furthermore, flavonoids are known to contribute significantly to the antioxidant, anti-inflammatory, and metabolic regulatory activities of mangrove extracts. Therefore, the higher flavonoid concentration in the </w:t>
      </w:r>
      <w:proofErr w:type="spellStart"/>
      <w:r w:rsidRPr="00153C60">
        <w:rPr>
          <w:rFonts w:ascii="Arial" w:hAnsi="Arial" w:cs="Arial"/>
          <w:szCs w:val="24"/>
        </w:rPr>
        <w:t>Mangkang</w:t>
      </w:r>
      <w:proofErr w:type="spellEnd"/>
      <w:r w:rsidRPr="00153C60">
        <w:rPr>
          <w:rFonts w:ascii="Arial" w:hAnsi="Arial" w:cs="Arial"/>
          <w:szCs w:val="24"/>
        </w:rPr>
        <w:t xml:space="preserve"> Semarang extracts indicates greater potential biological activity, supporting their prospective application in pharmaceutical or nutraceutical formulations. These findings highlight the importance of selecting appropriate geographic sources to maximize the functional value of mangrove-derived bioactive compounds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lfaridz","given":"Faizal","non-dropping-particle":"","parse-names":false,"suffix":""},{"dropping-particle":"","family":"Amalia","given":"Riezki","non-dropping-particle":"","parse-names":false,"suffix":""},{"dropping-particle":"","family":"Farmasi","given":"Fakultas","non-dropping-particle":"","parse-names":false,"suffix":""},{"dropping-particle":"","family":"Padjadjaran","given":"Universitas","non-dropping-particle":"","parse-names":false,"suffix":""},{"dropping-particle":"","family":"Barat","given":"Jawa","non-dropping-particle":"","parse-names":false,"suffix":""}],"id":"ITEM-1","issued":{"date-parts":[["2015"]]},"page":"1-9","title":"Farmaka Farmaka","type":"article-journal","volume":"16"},"uris":["http://www.mendeley.com/documents/?uuid=db6c8f82-09ea-447d-85a0-ec7f6e4cc14c"]}],"mendeley":{"formattedCitation":"[21]","plainTextFormattedCitation":"[21]","previouslyFormattedCitation":"&lt;sup&gt;21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[21]</w:t>
      </w:r>
      <w:r>
        <w:rPr>
          <w:rFonts w:ascii="Arial" w:hAnsi="Arial" w:cs="Arial"/>
          <w:szCs w:val="24"/>
        </w:rPr>
        <w:fldChar w:fldCharType="end"/>
      </w:r>
      <w:r>
        <w:rPr>
          <w:rFonts w:ascii="Arial" w:hAnsi="Arial" w:cs="Arial"/>
          <w:szCs w:val="24"/>
        </w:rPr>
        <w:t>.</w:t>
      </w:r>
    </w:p>
    <w:p w14:paraId="7DBEF718" w14:textId="77777777" w:rsidR="00E053D0" w:rsidRDefault="00E053D0" w:rsidP="00441B6F">
      <w:pPr>
        <w:pStyle w:val="Body"/>
        <w:spacing w:after="0"/>
        <w:rPr>
          <w:rFonts w:ascii="Arial" w:hAnsi="Arial" w:cs="Arial"/>
        </w:rPr>
      </w:pPr>
    </w:p>
    <w:p w14:paraId="221A5319" w14:textId="77777777" w:rsidR="00790ADA" w:rsidRPr="00FB3A86" w:rsidRDefault="00790ADA" w:rsidP="00441B6F">
      <w:pPr>
        <w:pStyle w:val="Body"/>
        <w:spacing w:after="0"/>
        <w:rPr>
          <w:rFonts w:ascii="Arial" w:hAnsi="Arial" w:cs="Arial"/>
        </w:rPr>
      </w:pPr>
    </w:p>
    <w:p w14:paraId="66F2B7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32061" w14:textId="77777777" w:rsidR="00790ADA" w:rsidRPr="00FB3A86" w:rsidRDefault="00790ADA" w:rsidP="00441B6F">
      <w:pPr>
        <w:pStyle w:val="ConcHead"/>
        <w:spacing w:after="0"/>
        <w:jc w:val="both"/>
        <w:rPr>
          <w:rFonts w:ascii="Arial" w:hAnsi="Arial" w:cs="Arial"/>
        </w:rPr>
      </w:pPr>
    </w:p>
    <w:p w14:paraId="3AFA200D" w14:textId="590A5F60" w:rsidR="00F60FE3" w:rsidRPr="00153C60" w:rsidRDefault="00F60FE3" w:rsidP="00F60FE3">
      <w:pPr>
        <w:jc w:val="both"/>
        <w:rPr>
          <w:rFonts w:ascii="Arial" w:hAnsi="Arial" w:cs="Arial"/>
          <w:szCs w:val="24"/>
        </w:rPr>
      </w:pPr>
      <w:r w:rsidRPr="00153C60">
        <w:rPr>
          <w:rFonts w:ascii="Arial" w:hAnsi="Arial" w:cs="Arial"/>
          <w:szCs w:val="24"/>
        </w:rPr>
        <w:t xml:space="preserve">The results of standardization of the medicinal plants and extracts, including specific parameters including organoleptic tests, soluble compounds in specific solvents, extract yield, phytochemical screening, and nonspecific parameters including drying loss, water </w:t>
      </w:r>
      <w:r w:rsidRPr="00153C60">
        <w:rPr>
          <w:rFonts w:ascii="Arial" w:hAnsi="Arial" w:cs="Arial"/>
          <w:szCs w:val="24"/>
        </w:rPr>
        <w:lastRenderedPageBreak/>
        <w:t xml:space="preserve">content, total ash content, and acid-insoluble ash content. It can be concluded that the white </w:t>
      </w:r>
      <w:proofErr w:type="spellStart"/>
      <w:r w:rsidRPr="00153C60">
        <w:rPr>
          <w:rFonts w:ascii="Arial" w:hAnsi="Arial" w:cs="Arial"/>
          <w:szCs w:val="24"/>
        </w:rPr>
        <w:t>white</w:t>
      </w:r>
      <w:proofErr w:type="spellEnd"/>
      <w:r w:rsidRPr="00153C60">
        <w:rPr>
          <w:rFonts w:ascii="Arial" w:hAnsi="Arial" w:cs="Arial"/>
          <w:szCs w:val="24"/>
        </w:rPr>
        <w:t xml:space="preserve"> mangrove fruit extract from the </w:t>
      </w:r>
      <w:proofErr w:type="spellStart"/>
      <w:r w:rsidRPr="00153C60">
        <w:rPr>
          <w:rFonts w:ascii="Arial" w:hAnsi="Arial" w:cs="Arial"/>
          <w:szCs w:val="24"/>
        </w:rPr>
        <w:t>Mangkang</w:t>
      </w:r>
      <w:proofErr w:type="spellEnd"/>
      <w:r w:rsidRPr="00153C60">
        <w:rPr>
          <w:rFonts w:ascii="Arial" w:hAnsi="Arial" w:cs="Arial"/>
          <w:szCs w:val="24"/>
        </w:rPr>
        <w:t xml:space="preserve"> area of ​​Central Java Province, Indonesia meets the requirements as a raw material</w:t>
      </w:r>
      <w:r w:rsidR="002018B9">
        <w:rPr>
          <w:rFonts w:ascii="Arial" w:hAnsi="Arial" w:cs="Arial"/>
          <w:szCs w:val="24"/>
        </w:rPr>
        <w:t xml:space="preserve"> </w:t>
      </w:r>
      <w:r w:rsidRPr="00153C60">
        <w:rPr>
          <w:rFonts w:ascii="Arial" w:hAnsi="Arial" w:cs="Arial"/>
          <w:szCs w:val="24"/>
        </w:rPr>
        <w:t>for herbal</w:t>
      </w:r>
      <w:r w:rsidR="002018B9">
        <w:rPr>
          <w:rFonts w:ascii="Arial" w:hAnsi="Arial" w:cs="Arial"/>
          <w:szCs w:val="24"/>
        </w:rPr>
        <w:t xml:space="preserve"> </w:t>
      </w:r>
      <w:r w:rsidRPr="00153C60">
        <w:rPr>
          <w:rFonts w:ascii="Arial" w:hAnsi="Arial" w:cs="Arial"/>
          <w:szCs w:val="24"/>
        </w:rPr>
        <w:t>products in</w:t>
      </w:r>
      <w:r w:rsidR="002018B9">
        <w:rPr>
          <w:rFonts w:ascii="Arial" w:hAnsi="Arial" w:cs="Arial"/>
          <w:szCs w:val="24"/>
        </w:rPr>
        <w:t xml:space="preserve"> </w:t>
      </w:r>
      <w:r w:rsidRPr="00153C60">
        <w:rPr>
          <w:rFonts w:ascii="Arial" w:hAnsi="Arial" w:cs="Arial"/>
          <w:szCs w:val="24"/>
        </w:rPr>
        <w:t>Indonesia</w:t>
      </w:r>
      <w:r w:rsidR="002018B9">
        <w:rPr>
          <w:rFonts w:ascii="Arial" w:hAnsi="Arial" w:cs="Arial"/>
          <w:szCs w:val="24"/>
        </w:rPr>
        <w:t xml:space="preserve"> </w:t>
      </w:r>
      <w:r w:rsidRPr="00153C60">
        <w:rPr>
          <w:rFonts w:ascii="Arial" w:hAnsi="Arial" w:cs="Arial"/>
          <w:szCs w:val="24"/>
        </w:rPr>
        <w:t>with a total flavonoid content of 13.27 mg QE/g </w:t>
      </w:r>
    </w:p>
    <w:p w14:paraId="50F671EA" w14:textId="77777777" w:rsidR="00860000" w:rsidRDefault="00860000" w:rsidP="00441B6F">
      <w:pPr>
        <w:pStyle w:val="ReferHead"/>
        <w:spacing w:after="0"/>
        <w:jc w:val="both"/>
        <w:rPr>
          <w:rFonts w:ascii="Arial" w:hAnsi="Arial" w:cs="Arial"/>
        </w:rPr>
      </w:pPr>
    </w:p>
    <w:p w14:paraId="197CF17B" w14:textId="68F8A693" w:rsidR="00B01FCD" w:rsidRDefault="00B01FCD" w:rsidP="00441B6F">
      <w:pPr>
        <w:pStyle w:val="ReferHead"/>
        <w:spacing w:after="0"/>
        <w:jc w:val="both"/>
        <w:rPr>
          <w:rFonts w:ascii="Arial" w:hAnsi="Arial" w:cs="Arial"/>
        </w:rPr>
      </w:pPr>
      <w:r w:rsidRPr="00FB3A86">
        <w:rPr>
          <w:rFonts w:ascii="Arial" w:hAnsi="Arial" w:cs="Arial"/>
        </w:rPr>
        <w:t>References</w:t>
      </w:r>
    </w:p>
    <w:p w14:paraId="7AFA1423" w14:textId="4436CD73" w:rsidR="004759E2" w:rsidRPr="004759E2" w:rsidRDefault="00DD5BA0" w:rsidP="004759E2">
      <w:pPr>
        <w:widowControl w:val="0"/>
        <w:autoSpaceDE w:val="0"/>
        <w:autoSpaceDN w:val="0"/>
        <w:adjustRightInd w:val="0"/>
        <w:ind w:left="640" w:hanging="640"/>
        <w:rPr>
          <w:rFonts w:ascii="Arial" w:hAnsi="Arial" w:cs="Arial"/>
          <w:noProof/>
          <w:szCs w:val="24"/>
        </w:rPr>
      </w:pPr>
      <w:r w:rsidRPr="00526E3E">
        <w:rPr>
          <w:rFonts w:ascii="Arial" w:hAnsi="Arial" w:cs="Arial"/>
        </w:rPr>
        <w:fldChar w:fldCharType="begin" w:fldLock="1"/>
      </w:r>
      <w:r w:rsidRPr="00526E3E">
        <w:rPr>
          <w:rFonts w:ascii="Arial" w:hAnsi="Arial" w:cs="Arial"/>
        </w:rPr>
        <w:instrText xml:space="preserve">ADDIN Mendeley Bibliography CSL_BIBLIOGRAPHY </w:instrText>
      </w:r>
      <w:r w:rsidRPr="00526E3E">
        <w:rPr>
          <w:rFonts w:ascii="Arial" w:hAnsi="Arial" w:cs="Arial"/>
        </w:rPr>
        <w:fldChar w:fldCharType="separate"/>
      </w:r>
      <w:r w:rsidR="004759E2" w:rsidRPr="004759E2">
        <w:rPr>
          <w:rFonts w:ascii="Arial" w:hAnsi="Arial" w:cs="Arial"/>
          <w:noProof/>
          <w:szCs w:val="24"/>
        </w:rPr>
        <w:t xml:space="preserve">[1] </w:t>
      </w:r>
      <w:r w:rsidR="00CE0C76">
        <w:rPr>
          <w:rFonts w:ascii="Arial" w:hAnsi="Arial" w:cs="Arial"/>
          <w:noProof/>
          <w:szCs w:val="24"/>
        </w:rPr>
        <w:tab/>
      </w:r>
      <w:r w:rsidR="004759E2" w:rsidRPr="004759E2">
        <w:rPr>
          <w:rFonts w:ascii="Arial" w:hAnsi="Arial" w:cs="Arial"/>
          <w:noProof/>
          <w:szCs w:val="24"/>
        </w:rPr>
        <w:t>G. E. Manarisip, F. Fatimawa;i, and H. Rotinsulu, “Standardization of Green Betel Leaf Extract (Piper Betle L.) and Antibacterial Test Against Pseudomonas Aeruginosa,” Pharmacon, vol. 9, no. 4, p. 533, 2020, doi: 10.35799/pha.9.2020.31362.</w:t>
      </w:r>
    </w:p>
    <w:p w14:paraId="66E38E14" w14:textId="45197F5A"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[2] </w:t>
      </w:r>
      <w:r w:rsidR="00CE0C76">
        <w:rPr>
          <w:rFonts w:ascii="Arial" w:hAnsi="Arial" w:cs="Arial"/>
          <w:noProof/>
          <w:szCs w:val="24"/>
        </w:rPr>
        <w:tab/>
      </w:r>
      <w:r w:rsidRPr="004759E2">
        <w:rPr>
          <w:rFonts w:ascii="Arial" w:hAnsi="Arial" w:cs="Arial"/>
          <w:noProof/>
          <w:szCs w:val="24"/>
        </w:rPr>
        <w:t>A. Najib, A. Malik, A. R. Ahmad, V. Handayani, R. A. Syarif, and R. Waris, “Standardization of Water Extract of Jati Belanda Leaves and Green Tea,” J. Phytopharmaca Indones., vol. 4, no. 2, pp. 241–245, 2017, doi: 10.33096/jffi.v4i2.268.</w:t>
      </w:r>
    </w:p>
    <w:p w14:paraId="42CE8FC6" w14:textId="526B6420"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[3] </w:t>
      </w:r>
      <w:r w:rsidR="00CE0C76">
        <w:rPr>
          <w:rFonts w:ascii="Arial" w:hAnsi="Arial" w:cs="Arial"/>
          <w:noProof/>
          <w:szCs w:val="24"/>
        </w:rPr>
        <w:tab/>
      </w:r>
      <w:r w:rsidRPr="004759E2">
        <w:rPr>
          <w:rFonts w:ascii="Arial" w:hAnsi="Arial" w:cs="Arial"/>
          <w:noProof/>
          <w:szCs w:val="24"/>
        </w:rPr>
        <w:t>S. Baba, H. T. Chan, N. Oshiro, G. S. Maxwell, T. Inoue, and E. W. C. Chan, “Botany, uses, chemistry and bioactivities of mangrove plants IV: Avicennia marina,” ISME/GLOMIS Electron. J., vol. 14, no. 2, pp. 5–10, 2016.</w:t>
      </w:r>
    </w:p>
    <w:p w14:paraId="096E7819" w14:textId="5FE436D5"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[4] </w:t>
      </w:r>
      <w:r w:rsidR="00CE0C76">
        <w:rPr>
          <w:rFonts w:ascii="Arial" w:hAnsi="Arial" w:cs="Arial"/>
          <w:noProof/>
          <w:szCs w:val="24"/>
        </w:rPr>
        <w:tab/>
      </w:r>
      <w:r w:rsidRPr="004759E2">
        <w:rPr>
          <w:rFonts w:ascii="Arial" w:hAnsi="Arial" w:cs="Arial"/>
          <w:noProof/>
          <w:szCs w:val="24"/>
        </w:rPr>
        <w:t>C. Budastra, T. Ulya, S. A. I. Maulidya, I. Purnomo, B. R. W. Lisnasari, and L. Permatasari, "Literature Review: Exploration of Bioactive Components of Avicennia marina and Its Biological Activities," J. Biol. Trop., vol. 24, no. 1b, pp. 474–481, Dec. 2024, doi: 10.29303/jbt.v24i1b.7987.</w:t>
      </w:r>
    </w:p>
    <w:p w14:paraId="6E021066" w14:textId="78A98CED"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[5]</w:t>
      </w:r>
      <w:r w:rsidR="00CE0C76">
        <w:rPr>
          <w:rFonts w:ascii="Arial" w:hAnsi="Arial" w:cs="Arial"/>
          <w:noProof/>
          <w:szCs w:val="24"/>
        </w:rPr>
        <w:tab/>
      </w:r>
      <w:r w:rsidRPr="004759E2">
        <w:rPr>
          <w:rFonts w:ascii="Arial" w:hAnsi="Arial" w:cs="Arial"/>
          <w:noProof/>
          <w:szCs w:val="24"/>
        </w:rPr>
        <w:t xml:space="preserve"> D. H. S. Palupi, S. Haryanti, and R. S. Prahasiwi, Masitoh Suryaning Utomo, “Dipeptidyl peptidase-4 (DPP-4) Inhibitory Activity and Phytochemical Screening of Api-api Fruit Extract (Avicennia marina),” vol. 10, no. 1, pp. 100–113, 2025.</w:t>
      </w:r>
    </w:p>
    <w:p w14:paraId="603C178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[6] D. R. Ditjen POM, “General standard parameters of medicinal plant extracts, Jakarta: Ministry of Health of the Republic of Indonesia,” Ed. IV, pp. 9–11, 16, 2000.</w:t>
      </w:r>
    </w:p>
    <w:p w14:paraId="7C5FAD9F"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[7] A. Permata and S. Fadila, “Gel formulation of moringa leaf extract (Moringa oleifera Lam.) and test of preparation characteristics and microbiological contamination test,” pp. 308–315, 2024.</w:t>
      </w:r>
    </w:p>
    <w:p w14:paraId="7D94983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[8] A. M. Wilujeng D, “Determination of Total Phenolics, Total Flavonoids, and Antioxidants of Bawang Lanang (Allium sativum L.) Extract,” vol. 10, no. 3, pp. 295–306, 2021.</w:t>
      </w:r>
    </w:p>
    <w:p w14:paraId="48A0156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[9] R. Muthia et al., “Standardization of eleutherine bulbosa urb. bulbs and total flavonoid content from three locations in Kalimantan, Indonesia,” Pharmacogn. J., vol. 13, no. 1, pp. 73–80, 2021, doi: 10.5530/pj.2021.13.11.</w:t>
      </w:r>
    </w:p>
    <w:p w14:paraId="4060E1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[10] Z. Zainab, N. Sulistyani, and A. Anisaningrum, “Determination of Non-Specific and Specific Standardization Parameters of Henna Leaf Extract (Lawsonia inermis L.),” Media Farm. J. Farm Sciences., vol. 13, no. 2, p. 212, 2016, doi: 10.12928/mf.v13i2.7773.</w:t>
      </w:r>
    </w:p>
    <w:p w14:paraId="5FC77F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[11] J. R. Shaikh, “Qualitative tests for preliminary phytochemical screening: An overview,” vol. 8, no. 2, pp. 603–608, 2020.</w:t>
      </w:r>
    </w:p>
    <w:p w14:paraId="0382E67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[12] Y. B. Permadi, S. Sedjati, and E. Supriyantini, “Influence of Water Soaking Time on the Nutrient Content of Mangrove Fruit Flour (Avicenia marina),” vol. 1, pp. 39–47, 2012.</w:t>
      </w:r>
    </w:p>
    <w:p w14:paraId="4FCF1387"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[13] Y. P. Utami, A. H. Umar, R. Syahruni, and I. Kadullah, “Standardization of Simplicia and Ethanol Extract of Leilem (Clerodendrum) Leaves,” J. Pharm. Med. Sci., vol. 2, no. 1, pp. 32–39, 2017.</w:t>
      </w:r>
    </w:p>
    <w:p w14:paraId="562D0EC3"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[14] Ministry of Health of the Republic of Indonesia, Supplement I of the Indonesian Herbal Pharmacopoeia, Edition II. 2022.</w:t>
      </w:r>
    </w:p>
    <w:p w14:paraId="199C3E3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[15] N. Hasanah and A. Sriyono, “Standardization of Simplicia and Ethanol Extract of Matoa (Pometia pinnata J. R. Forst &amp; G. Forst) Leaves,” vol. 08, no. 01, pp. 101–110, 2021.</w:t>
      </w:r>
    </w:p>
    <w:p w14:paraId="1A0A67C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[16] A. Yumita, M. Si, N. Rahmadini, M. Cmm, E. Dewanti, and M. Si, “Learning Module for Standardization of Natural Medicines,” 2023.</w:t>
      </w:r>
    </w:p>
    <w:p w14:paraId="1C3BAA1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[17] M. P. J. R and G. Forst, “Measurement of Specific and Nonspecific Parameters of Ethanol Extract of Leaves,” vol. 6, no. 1, pp. 1–12, 2020.</w:t>
      </w:r>
    </w:p>
    <w:p w14:paraId="37F9E131"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lastRenderedPageBreak/>
        <w:t>[18] C. Segal-kischinevzky et al., “Yeasts Inhabiting Extreme Environments and Their Biotechnological Applications,” 2022.</w:t>
      </w:r>
    </w:p>
    <w:p w14:paraId="0840F9A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[19] G. Agati, C. Brunetti, M. Di, F. Ferrini, S. Pollastri, and M. Tattini, “Plant Physiology and Biochemistry: Functional roles of flavonoids in photoprotection: New evidence, lessons from the past,” vol. 72, 2013.</w:t>
      </w:r>
    </w:p>
    <w:p w14:paraId="3FB6683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[20] S. Acharya, M. Pradhan, G. Mahalik, R. Babu, S. Parida, and P. Kumar, “e - Publishing Group Abiotic stress tolerance in mangroves with a special reference to salinity,” vol. x, no. x, 1925.</w:t>
      </w:r>
    </w:p>
    <w:p w14:paraId="28260FE4" w14:textId="53C9CD91" w:rsidR="00DD5BA0" w:rsidRPr="00DD5BA0" w:rsidRDefault="004759E2" w:rsidP="004759E2">
      <w:pPr>
        <w:widowControl w:val="0"/>
        <w:autoSpaceDE w:val="0"/>
        <w:autoSpaceDN w:val="0"/>
        <w:adjustRightInd w:val="0"/>
        <w:ind w:left="640" w:hanging="640"/>
        <w:rPr>
          <w:rFonts w:ascii="Arial" w:hAnsi="Arial" w:cs="Arial"/>
          <w:noProof/>
        </w:rPr>
      </w:pPr>
      <w:r w:rsidRPr="004759E2">
        <w:rPr>
          <w:rFonts w:ascii="Arial" w:hAnsi="Arial" w:cs="Arial"/>
          <w:noProof/>
          <w:szCs w:val="24"/>
        </w:rPr>
        <w:t>[21] F. Alfaridz, R. Amalia, F. Farmasi, U. Padjadjaran, and J. Barat, "Farmaka Farmaka," vol. 16, pp. 1–9, 2015.</w:t>
      </w:r>
    </w:p>
    <w:p w14:paraId="5A9A1141" w14:textId="760D6E47" w:rsidR="004D4277" w:rsidRPr="006432B1" w:rsidRDefault="00DD5BA0" w:rsidP="006432B1">
      <w:pPr>
        <w:pStyle w:val="ReferHead"/>
        <w:spacing w:after="0"/>
        <w:jc w:val="both"/>
        <w:rPr>
          <w:rFonts w:ascii="Arial" w:hAnsi="Arial" w:cs="Arial"/>
        </w:rPr>
        <w:sectPr w:rsidR="004D4277" w:rsidRPr="006432B1" w:rsidSect="004239FA">
          <w:type w:val="continuous"/>
          <w:pgSz w:w="12240" w:h="15840"/>
          <w:pgMar w:top="1440" w:right="2016" w:bottom="2016" w:left="2016" w:header="720" w:footer="1123" w:gutter="0"/>
          <w:cols w:space="720"/>
          <w:docGrid w:linePitch="272"/>
        </w:sectPr>
      </w:pPr>
      <w:r w:rsidRPr="00526E3E">
        <w:rPr>
          <w:rFonts w:ascii="Arial" w:hAnsi="Arial" w:cs="Arial"/>
        </w:rPr>
        <w:fldChar w:fldCharType="end"/>
      </w:r>
    </w:p>
    <w:p w14:paraId="6394D05D" w14:textId="77777777" w:rsidR="00B01FCD" w:rsidRPr="00FB3A86" w:rsidRDefault="00B01FCD" w:rsidP="00441B6F">
      <w:pPr>
        <w:pStyle w:val="Appendix"/>
        <w:spacing w:after="0"/>
        <w:jc w:val="both"/>
        <w:rPr>
          <w:rFonts w:ascii="Arial" w:hAnsi="Arial" w:cs="Arial"/>
          <w:b w:val="0"/>
        </w:rPr>
      </w:pPr>
    </w:p>
    <w:sectPr w:rsidR="00B01FCD" w:rsidRPr="00FB3A86" w:rsidSect="004239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759E" w14:textId="77777777" w:rsidR="008D5D75" w:rsidRDefault="008D5D75" w:rsidP="00C37E61">
      <w:r>
        <w:separator/>
      </w:r>
    </w:p>
  </w:endnote>
  <w:endnote w:type="continuationSeparator" w:id="0">
    <w:p w14:paraId="102488C5" w14:textId="77777777" w:rsidR="008D5D75" w:rsidRDefault="008D5D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5791" w14:textId="77777777" w:rsidR="004239FA" w:rsidRDefault="0042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21D1" w14:textId="77777777" w:rsidR="004239FA" w:rsidRDefault="00423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8992" w14:textId="77777777" w:rsidR="009E048A" w:rsidRDefault="009E048A">
    <w:pPr>
      <w:pStyle w:val="Footer"/>
      <w:rPr>
        <w:rFonts w:ascii="Arial" w:hAnsi="Arial" w:cs="Arial"/>
        <w:sz w:val="16"/>
      </w:rPr>
    </w:pPr>
  </w:p>
  <w:p w14:paraId="06026C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168D43" w14:textId="77777777" w:rsidR="009E048A" w:rsidRDefault="009E048A">
    <w:pPr>
      <w:pStyle w:val="Footer"/>
      <w:rPr>
        <w:rFonts w:ascii="Arial" w:hAnsi="Arial" w:cs="Arial"/>
        <w:sz w:val="16"/>
      </w:rPr>
    </w:pPr>
  </w:p>
  <w:p w14:paraId="4A36014E" w14:textId="559325A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C8C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3BEF" w14:textId="77777777" w:rsidR="008D5D75" w:rsidRDefault="008D5D75" w:rsidP="00C37E61">
      <w:r>
        <w:separator/>
      </w:r>
    </w:p>
  </w:footnote>
  <w:footnote w:type="continuationSeparator" w:id="0">
    <w:p w14:paraId="502D4021" w14:textId="77777777" w:rsidR="008D5D75" w:rsidRDefault="008D5D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5761" w14:textId="6AF91CD8" w:rsidR="004239FA" w:rsidRDefault="004239FA">
    <w:pPr>
      <w:pStyle w:val="Header"/>
    </w:pPr>
    <w:r>
      <w:rPr>
        <w:noProof/>
      </w:rPr>
      <w:pict w14:anchorId="22532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8820" w14:textId="6F1B1CB9" w:rsidR="004239FA" w:rsidRDefault="004239FA">
    <w:pPr>
      <w:pStyle w:val="Header"/>
    </w:pPr>
    <w:r>
      <w:rPr>
        <w:noProof/>
      </w:rPr>
      <w:pict w14:anchorId="7176A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2F5B" w14:textId="3187497E" w:rsidR="00296529" w:rsidRPr="00296529" w:rsidRDefault="004239FA" w:rsidP="00296529">
    <w:pPr>
      <w:ind w:left="2160"/>
      <w:jc w:val="center"/>
      <w:rPr>
        <w:rFonts w:ascii="Times New Roman" w:eastAsia="Calibri" w:hAnsi="Times New Roman"/>
        <w:i/>
        <w:sz w:val="18"/>
        <w:szCs w:val="22"/>
      </w:rPr>
    </w:pPr>
    <w:r>
      <w:rPr>
        <w:noProof/>
      </w:rPr>
      <w:pict w14:anchorId="3097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6B9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EAA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41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49E1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52D5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AD3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A8FF" w14:textId="14EDFAF7" w:rsidR="004239FA" w:rsidRDefault="004239FA">
    <w:pPr>
      <w:pStyle w:val="Header"/>
    </w:pPr>
    <w:r>
      <w:rPr>
        <w:noProof/>
      </w:rPr>
      <w:pict w14:anchorId="33C4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DDF9" w14:textId="41394C29" w:rsidR="004239FA" w:rsidRDefault="004239FA">
    <w:pPr>
      <w:pStyle w:val="Header"/>
    </w:pPr>
    <w:r>
      <w:rPr>
        <w:noProof/>
      </w:rPr>
      <w:pict w14:anchorId="2DE4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2678" w14:textId="7ABEDA30" w:rsidR="004239FA" w:rsidRDefault="004239FA">
    <w:pPr>
      <w:pStyle w:val="Header"/>
    </w:pPr>
    <w:r>
      <w:rPr>
        <w:noProof/>
      </w:rPr>
      <w:pict w14:anchorId="3F8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B447ED"/>
    <w:multiLevelType w:val="multilevel"/>
    <w:tmpl w:val="07D83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17118F"/>
    <w:multiLevelType w:val="hybridMultilevel"/>
    <w:tmpl w:val="847619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1E62D7"/>
    <w:multiLevelType w:val="multilevel"/>
    <w:tmpl w:val="269C73F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6811A4"/>
    <w:multiLevelType w:val="multilevel"/>
    <w:tmpl w:val="E81AD1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18"/>
  </w:num>
  <w:num w:numId="32">
    <w:abstractNumId w:val="6"/>
  </w:num>
  <w:num w:numId="33">
    <w:abstractNumId w:val="1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0B14"/>
    <w:rsid w:val="000A47FA"/>
    <w:rsid w:val="000A65D3"/>
    <w:rsid w:val="000B1E33"/>
    <w:rsid w:val="000D689F"/>
    <w:rsid w:val="000E4AB5"/>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8B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0F9"/>
    <w:rsid w:val="00315186"/>
    <w:rsid w:val="0033343E"/>
    <w:rsid w:val="0033695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39FA"/>
    <w:rsid w:val="00440F43"/>
    <w:rsid w:val="00441B6F"/>
    <w:rsid w:val="00446221"/>
    <w:rsid w:val="00450E62"/>
    <w:rsid w:val="004539DB"/>
    <w:rsid w:val="00471A80"/>
    <w:rsid w:val="004759E2"/>
    <w:rsid w:val="004C5D8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32B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D8E"/>
    <w:rsid w:val="0077749E"/>
    <w:rsid w:val="00790ADA"/>
    <w:rsid w:val="007D2288"/>
    <w:rsid w:val="007E088F"/>
    <w:rsid w:val="007F7B32"/>
    <w:rsid w:val="00804BC2"/>
    <w:rsid w:val="0081431A"/>
    <w:rsid w:val="0083216F"/>
    <w:rsid w:val="00857D36"/>
    <w:rsid w:val="00860000"/>
    <w:rsid w:val="00863BD3"/>
    <w:rsid w:val="008641ED"/>
    <w:rsid w:val="00866874"/>
    <w:rsid w:val="00866D66"/>
    <w:rsid w:val="008671C6"/>
    <w:rsid w:val="00875803"/>
    <w:rsid w:val="008B459E"/>
    <w:rsid w:val="008C7452"/>
    <w:rsid w:val="008D5D75"/>
    <w:rsid w:val="008E13AE"/>
    <w:rsid w:val="008E1506"/>
    <w:rsid w:val="008E710C"/>
    <w:rsid w:val="008F69D6"/>
    <w:rsid w:val="00902823"/>
    <w:rsid w:val="00915CA6"/>
    <w:rsid w:val="00924466"/>
    <w:rsid w:val="00927834"/>
    <w:rsid w:val="00932ED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E25"/>
    <w:rsid w:val="00CD6755"/>
    <w:rsid w:val="00CD6856"/>
    <w:rsid w:val="00CE0089"/>
    <w:rsid w:val="00CE0C76"/>
    <w:rsid w:val="00CE793C"/>
    <w:rsid w:val="00CF193C"/>
    <w:rsid w:val="00D173F1"/>
    <w:rsid w:val="00D74CB0"/>
    <w:rsid w:val="00D8295D"/>
    <w:rsid w:val="00DC2A65"/>
    <w:rsid w:val="00DD5BA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FE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5992E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60F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60FE3"/>
    <w:pPr>
      <w:ind w:left="720"/>
      <w:contextualSpacing/>
    </w:pPr>
    <w:rPr>
      <w:rFonts w:eastAsia="SimSun"/>
    </w:rPr>
  </w:style>
  <w:style w:type="character" w:customStyle="1" w:styleId="ListParagraphChar">
    <w:name w:val="List Paragraph Char"/>
    <w:link w:val="ListParagraph"/>
    <w:uiPriority w:val="34"/>
    <w:locked/>
    <w:rsid w:val="00F60FE3"/>
    <w:rPr>
      <w:rFonts w:ascii="Helvetica" w:eastAsia="SimSun" w:hAnsi="Helvetica"/>
    </w:rPr>
  </w:style>
  <w:style w:type="character" w:customStyle="1" w:styleId="Heading3Char">
    <w:name w:val="Heading 3 Char"/>
    <w:basedOn w:val="DefaultParagraphFont"/>
    <w:link w:val="Heading3"/>
    <w:semiHidden/>
    <w:rsid w:val="00F60FE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42764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FBAB-E567-407F-98B4-60EBACED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10</Pages>
  <Words>11669</Words>
  <Characters>66518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2026-02-12T13:46:00Z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6ff555ed-cece-3566-8207-ac4d0c481182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http://www.zotero.org/styles/sekolah-tinggi-ilmu-farmasi-yayasan-pharmasi-semarang</vt:lpwstr>
  </property>
  <property fmtid="{D5CDD505-2E9C-101B-9397-08002B2CF9AE}" pid="24" name="Mendeley Recent Style Name 9_1">
    <vt:lpwstr>Sekolah Tinggi Ilmu Farmasi Yayasan Pharmasi Semarang</vt:lpwstr>
  </property>
</Properties>
</file>