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7D94" w:rsidRPr="00237D94" w:rsidRDefault="00237D94" w:rsidP="009A2F29">
      <w:pPr>
        <w:pStyle w:val="Author"/>
        <w:rPr>
          <w:rFonts w:ascii="Arial" w:hAnsi="Arial" w:cs="Arial"/>
          <w:bCs/>
          <w:i/>
          <w:iCs/>
          <w:kern w:val="28"/>
          <w:sz w:val="32"/>
          <w:u w:val="single"/>
        </w:rPr>
      </w:pPr>
      <w:r w:rsidRPr="00237D94">
        <w:rPr>
          <w:rFonts w:ascii="Arial" w:hAnsi="Arial" w:cs="Arial"/>
          <w:bCs/>
          <w:i/>
          <w:iCs/>
          <w:kern w:val="28"/>
          <w:sz w:val="32"/>
          <w:u w:val="single"/>
        </w:rPr>
        <w:t>Original Research Article</w:t>
      </w:r>
    </w:p>
    <w:p w:rsidR="00237D94" w:rsidRDefault="00237D94" w:rsidP="009A2F29">
      <w:pPr>
        <w:pStyle w:val="Author"/>
        <w:rPr>
          <w:rFonts w:ascii="Arial" w:hAnsi="Arial" w:cs="Arial"/>
          <w:bCs/>
          <w:iCs/>
          <w:kern w:val="28"/>
          <w:sz w:val="28"/>
        </w:rPr>
      </w:pPr>
    </w:p>
    <w:p w:rsidR="009A2F29" w:rsidRPr="009A2F29" w:rsidRDefault="009A2F29" w:rsidP="009A2F29">
      <w:pPr>
        <w:pStyle w:val="Author"/>
        <w:rPr>
          <w:rFonts w:ascii="Arial" w:hAnsi="Arial" w:cs="Arial"/>
          <w:bCs/>
          <w:iCs/>
          <w:kern w:val="28"/>
          <w:sz w:val="28"/>
        </w:rPr>
      </w:pPr>
      <w:r w:rsidRPr="009A2F29">
        <w:rPr>
          <w:rFonts w:ascii="Arial" w:hAnsi="Arial" w:cs="Arial"/>
          <w:bCs/>
          <w:iCs/>
          <w:kern w:val="28"/>
          <w:sz w:val="28"/>
        </w:rPr>
        <w:t>Integrating Family-Centered Screening into HBV Elimination: Outcomes from an EMTCT Program in Ten Nigerian States</w:t>
      </w:r>
    </w:p>
    <w:p w:rsidR="00163BC4" w:rsidRPr="00163BC4" w:rsidRDefault="00163BC4" w:rsidP="00441B6F">
      <w:pPr>
        <w:pStyle w:val="Author"/>
        <w:spacing w:line="240" w:lineRule="auto"/>
        <w:rPr>
          <w:rFonts w:ascii="Arial" w:hAnsi="Arial" w:cs="Arial"/>
          <w:bCs/>
          <w:iCs/>
          <w:kern w:val="28"/>
          <w:sz w:val="36"/>
        </w:rPr>
      </w:pPr>
    </w:p>
    <w:p w:rsidR="00A258C3" w:rsidRPr="00790ADA" w:rsidRDefault="00A258C3" w:rsidP="00441B6F">
      <w:pPr>
        <w:pStyle w:val="Author"/>
        <w:spacing w:line="240" w:lineRule="auto"/>
        <w:jc w:val="both"/>
        <w:rPr>
          <w:rFonts w:ascii="Arial" w:hAnsi="Arial" w:cs="Arial"/>
          <w:sz w:val="36"/>
        </w:rPr>
      </w:pPr>
    </w:p>
    <w:p w:rsidR="00074153" w:rsidRPr="009A2F29" w:rsidRDefault="00074153" w:rsidP="009A2F29">
      <w:pPr>
        <w:pStyle w:val="Affiliation"/>
        <w:jc w:val="left"/>
        <w:rPr>
          <w:rFonts w:ascii="Arial" w:hAnsi="Arial" w:cs="Arial"/>
          <w:i/>
        </w:rPr>
      </w:pPr>
    </w:p>
    <w:p w:rsidR="00B01FCD" w:rsidRPr="00FB3A86" w:rsidRDefault="00D16F2A" w:rsidP="00441B6F">
      <w:pPr>
        <w:pStyle w:val="Copyright"/>
        <w:spacing w:after="0" w:line="240" w:lineRule="auto"/>
        <w:jc w:val="both"/>
        <w:rPr>
          <w:rFonts w:ascii="Arial" w:hAnsi="Arial" w:cs="Arial"/>
        </w:rPr>
        <w:sectPr w:rsidR="00B01FCD" w:rsidRPr="00FB3A86" w:rsidSect="002D447B">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extent cx="5303520" cy="0"/>
                <wp:effectExtent l="17145" t="17145" r="13335" b="1143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CA03E4E"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" strokeweight="1.5pt">
                <w10:anchorlock/>
              </v:shape>
            </w:pict>
          </mc:Fallback>
        </mc:AlternateContent>
      </w:r>
      <w:r w:rsidR="00FB3A86">
        <w:rPr>
          <w:rFonts w:ascii="Arial" w:hAnsi="Arial" w:cs="Arial"/>
        </w:rPr>
        <w:t>.</w:t>
      </w:r>
    </w:p>
    <w:p w:rsidR="00790ADA" w:rsidRPr="00FB3A86"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rsidTr="001E44FE">
        <w:tc>
          <w:tcPr>
            <w:tcW w:w="9576" w:type="dxa"/>
            <w:shd w:val="clear" w:color="auto" w:fill="F2F2F2"/>
          </w:tcPr>
          <w:p w:rsidR="009A2F29" w:rsidRPr="009A2F29" w:rsidRDefault="009A2F29" w:rsidP="009A2F29">
            <w:pPr>
              <w:pStyle w:val="Body"/>
              <w:spacing w:after="0"/>
              <w:rPr>
                <w:rFonts w:ascii="Arial" w:eastAsia="Calibri" w:hAnsi="Arial" w:cs="Arial"/>
                <w:szCs w:val="22"/>
              </w:rPr>
            </w:pPr>
            <w:r w:rsidRPr="009A2F29">
              <w:rPr>
                <w:rFonts w:ascii="Arial" w:eastAsia="Calibri" w:hAnsi="Arial" w:cs="Arial"/>
                <w:b/>
                <w:bCs/>
                <w:szCs w:val="22"/>
              </w:rPr>
              <w:t>Aims:</w:t>
            </w:r>
            <w:r w:rsidRPr="009A2F29">
              <w:rPr>
                <w:rFonts w:ascii="Arial" w:eastAsia="Calibri" w:hAnsi="Arial" w:cs="Arial"/>
                <w:szCs w:val="22"/>
              </w:rPr>
              <w:br/>
              <w:t>To evaluate the outcomes of integrating a family-centered hepatitis B virus (HBV) and hepatitis C virus (HCV) screening and linkage-to-care model into antenatal care (ANC) services as part of an elimination of mother-to-child transmission (EMTCT) program across ten Nigerian states.</w:t>
            </w:r>
          </w:p>
          <w:p w:rsidR="009A2F29" w:rsidRPr="009A2F29" w:rsidRDefault="009A2F29" w:rsidP="009A2F29">
            <w:pPr>
              <w:pStyle w:val="Body"/>
              <w:spacing w:after="0"/>
              <w:rPr>
                <w:rFonts w:ascii="Arial" w:eastAsia="Calibri" w:hAnsi="Arial" w:cs="Arial"/>
                <w:szCs w:val="22"/>
              </w:rPr>
            </w:pPr>
            <w:r w:rsidRPr="009A2F29">
              <w:rPr>
                <w:rFonts w:ascii="Arial" w:eastAsia="Calibri" w:hAnsi="Arial" w:cs="Arial"/>
                <w:b/>
                <w:bCs/>
                <w:szCs w:val="22"/>
              </w:rPr>
              <w:t>Study Design:</w:t>
            </w:r>
            <w:r>
              <w:rPr>
                <w:rFonts w:ascii="Arial" w:eastAsia="Calibri" w:hAnsi="Arial" w:cs="Arial"/>
                <w:b/>
                <w:bCs/>
                <w:szCs w:val="22"/>
              </w:rPr>
              <w:t xml:space="preserve"> </w:t>
            </w:r>
            <w:r w:rsidRPr="009A2F29">
              <w:rPr>
                <w:rFonts w:ascii="Arial" w:eastAsia="Calibri" w:hAnsi="Arial" w:cs="Arial"/>
                <w:szCs w:val="22"/>
              </w:rPr>
              <w:t>Descriptive programmatic evaluation.</w:t>
            </w:r>
          </w:p>
          <w:p w:rsidR="009A2F29" w:rsidRPr="009A2F29" w:rsidRDefault="009A2F29" w:rsidP="009A2F29">
            <w:pPr>
              <w:pStyle w:val="Body"/>
              <w:spacing w:after="0"/>
              <w:rPr>
                <w:rFonts w:ascii="Arial" w:eastAsia="Calibri" w:hAnsi="Arial" w:cs="Arial"/>
                <w:szCs w:val="22"/>
              </w:rPr>
            </w:pPr>
            <w:r w:rsidRPr="009A2F29">
              <w:rPr>
                <w:rFonts w:ascii="Arial" w:eastAsia="Calibri" w:hAnsi="Arial" w:cs="Arial"/>
                <w:b/>
                <w:bCs/>
                <w:szCs w:val="22"/>
              </w:rPr>
              <w:t>Place and Duration of Study:</w:t>
            </w:r>
            <w:r>
              <w:rPr>
                <w:rFonts w:ascii="Arial" w:eastAsia="Calibri" w:hAnsi="Arial" w:cs="Arial"/>
                <w:b/>
                <w:bCs/>
                <w:szCs w:val="22"/>
              </w:rPr>
              <w:t xml:space="preserve"> </w:t>
            </w:r>
            <w:r w:rsidRPr="009A2F29">
              <w:rPr>
                <w:rFonts w:ascii="Arial" w:eastAsia="Calibri" w:hAnsi="Arial" w:cs="Arial"/>
                <w:szCs w:val="22"/>
              </w:rPr>
              <w:t>Forty-three health facilities providing ANC services across ten Nigerian states.</w:t>
            </w:r>
          </w:p>
          <w:p w:rsidR="009A2F29" w:rsidRPr="009A2F29" w:rsidRDefault="009A2F29" w:rsidP="009A2F29">
            <w:pPr>
              <w:pStyle w:val="Body"/>
              <w:spacing w:after="0"/>
              <w:rPr>
                <w:rFonts w:ascii="Arial" w:eastAsia="Calibri" w:hAnsi="Arial" w:cs="Arial"/>
                <w:szCs w:val="22"/>
              </w:rPr>
            </w:pPr>
            <w:r w:rsidRPr="009A2F29">
              <w:rPr>
                <w:rFonts w:ascii="Arial" w:eastAsia="Calibri" w:hAnsi="Arial" w:cs="Arial"/>
                <w:b/>
                <w:bCs/>
                <w:szCs w:val="22"/>
              </w:rPr>
              <w:t>Methodology:</w:t>
            </w:r>
            <w:r>
              <w:rPr>
                <w:rFonts w:ascii="Arial" w:eastAsia="Calibri" w:hAnsi="Arial" w:cs="Arial"/>
                <w:b/>
                <w:bCs/>
                <w:szCs w:val="22"/>
              </w:rPr>
              <w:t xml:space="preserve"> </w:t>
            </w:r>
            <w:r w:rsidRPr="009A2F29">
              <w:rPr>
                <w:rFonts w:ascii="Arial" w:eastAsia="Calibri" w:hAnsi="Arial" w:cs="Arial"/>
                <w:szCs w:val="22"/>
              </w:rPr>
              <w:t>HBV and HCV testing were integrated into routine ANC services for pregnant women and extended to partners and household members. Pregnant women were screened for hepatitis B surface antigen (HBsAg) and anti-HCV antibodies using rapid diagnostic tests. HBV-positive pregnant women were assessed and initiated on tenofovir disoproxil fumarate (TDF) prophylaxis when eligible. HBV-negative household contacts received hepatitis B vaccination. Health workers, peer navigators, and journalists received structured capacity-building training. Descriptive statistics were used to summarize screening coverage, linkage to prophylaxis, vaccination uptake, workforce strengthening, peer navigation outcomes, and community awareness.</w:t>
            </w:r>
          </w:p>
          <w:p w:rsidR="009A2F29" w:rsidRPr="009A2F29" w:rsidRDefault="009A2F29" w:rsidP="009A2F29">
            <w:pPr>
              <w:pStyle w:val="Body"/>
              <w:spacing w:after="0"/>
              <w:rPr>
                <w:rFonts w:ascii="Arial" w:eastAsia="Calibri" w:hAnsi="Arial" w:cs="Arial"/>
                <w:szCs w:val="22"/>
              </w:rPr>
            </w:pPr>
            <w:r w:rsidRPr="009A2F29">
              <w:rPr>
                <w:rFonts w:ascii="Arial" w:eastAsia="Calibri" w:hAnsi="Arial" w:cs="Arial"/>
                <w:b/>
                <w:bCs/>
                <w:szCs w:val="22"/>
              </w:rPr>
              <w:t>Results:</w:t>
            </w:r>
            <w:r>
              <w:rPr>
                <w:rFonts w:ascii="Arial" w:eastAsia="Calibri" w:hAnsi="Arial" w:cs="Arial"/>
                <w:b/>
                <w:bCs/>
                <w:szCs w:val="22"/>
              </w:rPr>
              <w:t xml:space="preserve"> </w:t>
            </w:r>
            <w:r w:rsidRPr="009A2F29">
              <w:rPr>
                <w:rFonts w:ascii="Arial" w:eastAsia="Calibri" w:hAnsi="Arial" w:cs="Arial"/>
                <w:szCs w:val="22"/>
              </w:rPr>
              <w:t>A total of 116,000 pregnant women and 38,115 partners and household members were screened. All eligible HBV-positive pregnant women were initiated on TDF prophylaxis, achieving 100% uptake. HBV-negative household contacts showed high acceptance of vaccination. Capacity-building activities trained 478 healthcare workers and 600 peer navigators, 70% of whom had lived hepatitis experience. Peer navigators successfully relinked 226 previously diagnosed but untreated individuals to care. Media engagement activities reached an estimated 15–20 million Nigerians with hepatitis prevention messages.</w:t>
            </w:r>
          </w:p>
          <w:p w:rsidR="00505F06" w:rsidRPr="00BA1B01" w:rsidRDefault="009A2F29" w:rsidP="009A2F29">
            <w:pPr>
              <w:pStyle w:val="Body"/>
              <w:spacing w:after="0"/>
              <w:rPr>
                <w:rFonts w:ascii="Arial" w:eastAsia="Calibri" w:hAnsi="Arial" w:cs="Arial"/>
                <w:szCs w:val="22"/>
              </w:rPr>
            </w:pPr>
            <w:r w:rsidRPr="009A2F29">
              <w:rPr>
                <w:rFonts w:ascii="Arial" w:eastAsia="Calibri" w:hAnsi="Arial" w:cs="Arial"/>
                <w:b/>
                <w:bCs/>
                <w:szCs w:val="22"/>
              </w:rPr>
              <w:t>Conclusion:</w:t>
            </w:r>
            <w:r>
              <w:rPr>
                <w:rFonts w:ascii="Arial" w:eastAsia="Calibri" w:hAnsi="Arial" w:cs="Arial"/>
                <w:b/>
                <w:bCs/>
                <w:szCs w:val="22"/>
              </w:rPr>
              <w:t xml:space="preserve"> </w:t>
            </w:r>
            <w:r w:rsidRPr="009A2F29">
              <w:rPr>
                <w:rFonts w:ascii="Arial" w:eastAsia="Calibri" w:hAnsi="Arial" w:cs="Arial"/>
                <w:szCs w:val="22"/>
              </w:rPr>
              <w:t>Integrating family-centered viral hepatitis screening into ANC platforms is feasible, scalable, and effective in improving testing coverage, linkage to care, prophylaxis initiation, vaccination uptake, and community awareness. This model provides actionable evidence for accelerating EMTCT and HBV elimination efforts in Nigeria.</w:t>
            </w:r>
          </w:p>
        </w:tc>
      </w:tr>
    </w:tbl>
    <w:p w:rsidR="00636EB2" w:rsidRDefault="00636EB2" w:rsidP="00441B6F">
      <w:pPr>
        <w:pStyle w:val="Body"/>
        <w:spacing w:after="0"/>
        <w:rPr>
          <w:rFonts w:ascii="Arial" w:hAnsi="Arial" w:cs="Arial"/>
          <w:i/>
        </w:rPr>
      </w:pPr>
    </w:p>
    <w:p w:rsidR="00A24E7E" w:rsidRDefault="00A24E7E" w:rsidP="009A2F29">
      <w:pPr>
        <w:pStyle w:val="Body"/>
        <w:spacing w:after="0"/>
        <w:rPr>
          <w:rFonts w:ascii="Arial" w:hAnsi="Arial" w:cs="Arial"/>
          <w:i/>
        </w:rPr>
      </w:pPr>
      <w:r>
        <w:rPr>
          <w:rFonts w:ascii="Arial" w:hAnsi="Arial" w:cs="Arial"/>
          <w:i/>
        </w:rPr>
        <w:t>Keywords:</w:t>
      </w:r>
      <w:r w:rsidR="009A2F29">
        <w:rPr>
          <w:rFonts w:ascii="Arial" w:hAnsi="Arial" w:cs="Arial"/>
          <w:i/>
        </w:rPr>
        <w:t xml:space="preserve"> </w:t>
      </w:r>
      <w:r w:rsidR="009A2F29" w:rsidRPr="009A2F29">
        <w:rPr>
          <w:rFonts w:ascii="Arial" w:hAnsi="Arial" w:cs="Arial"/>
          <w:i/>
        </w:rPr>
        <w:t>Hepatitis B; EMTCT; Antenatal care; Family-centered screening; Nigeria; Linkage to care</w:t>
      </w:r>
    </w:p>
    <w:p w:rsidR="00790ADA" w:rsidRDefault="00790ADA" w:rsidP="00441B6F">
      <w:pPr>
        <w:pStyle w:val="Body"/>
        <w:spacing w:after="0"/>
        <w:rPr>
          <w:rFonts w:ascii="Arial" w:hAnsi="Arial" w:cs="Arial"/>
          <w:i/>
        </w:rPr>
      </w:pPr>
    </w:p>
    <w:p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D12E57">
        <w:rPr>
          <w:rFonts w:ascii="Arial" w:hAnsi="Arial" w:cs="Arial"/>
        </w:rPr>
        <w:t xml:space="preserve"> </w:t>
      </w:r>
    </w:p>
    <w:p w:rsidR="00790ADA" w:rsidRPr="00FB3A86" w:rsidRDefault="00790ADA" w:rsidP="00441B6F">
      <w:pPr>
        <w:pStyle w:val="AbstHead"/>
        <w:spacing w:after="0"/>
        <w:jc w:val="both"/>
        <w:rPr>
          <w:rFonts w:ascii="Arial" w:hAnsi="Arial" w:cs="Arial"/>
        </w:rPr>
      </w:pPr>
    </w:p>
    <w:p w:rsidR="00D12E57" w:rsidRPr="00D12E57" w:rsidRDefault="00D12E57" w:rsidP="00D12E57">
      <w:pPr>
        <w:pStyle w:val="Body"/>
        <w:spacing w:after="0"/>
        <w:rPr>
          <w:rFonts w:ascii="Arial" w:hAnsi="Arial" w:cs="Arial"/>
        </w:rPr>
      </w:pPr>
      <w:r w:rsidRPr="00D12E57">
        <w:rPr>
          <w:rFonts w:ascii="Arial" w:hAnsi="Arial" w:cs="Arial"/>
        </w:rPr>
        <w:t>Hepatitis B virus (HBV) infection remains a major global public health challenge and a leading cause of chronic liver disease, cirrhosis, and hepatocellular carcinoma. The World Health Organization (WHO) estimates that more than 296 million people were living with chronic HBV infection in 2019, with the African region bearing a disproportionately high burden (WHO, 2022a). Nigeria is classified as a hyper-endemic country, with HBV prevalence estimates ranging between 8–12%, contributing significantly to liver-related morbidity and mortality (Hepatitis B Foundation, 2023; CFID Taraba, 2024). Despite increased global and national commitment to viral hepatitis elimination, gaps persist in routine screening, timely diagnosis, and linkage to prevention and treatment services.</w:t>
      </w:r>
    </w:p>
    <w:p w:rsidR="00D12E57" w:rsidRPr="00D12E57" w:rsidRDefault="00D12E57" w:rsidP="00D12E57">
      <w:pPr>
        <w:pStyle w:val="Body"/>
        <w:spacing w:after="0"/>
        <w:rPr>
          <w:rFonts w:ascii="Arial" w:hAnsi="Arial" w:cs="Arial"/>
        </w:rPr>
      </w:pPr>
      <w:r w:rsidRPr="00D12E57">
        <w:rPr>
          <w:rFonts w:ascii="Arial" w:hAnsi="Arial" w:cs="Arial"/>
        </w:rPr>
        <w:t>Maternal-to-child transmission (MTCT) of HBV accounts for a substantial proportion of chronic infections globally. WHO identifies elimination of mother-to-child transmission (EMTCT) of HBV as a critical pathway toward achieving the 2030 elimination goals (WHO, 2022a; WHO, 2020). However, in many low- and middle-income countries—including Nigeria—</w:t>
      </w:r>
      <w:r w:rsidRPr="00D12E57">
        <w:rPr>
          <w:rFonts w:ascii="Arial" w:hAnsi="Arial" w:cs="Arial"/>
        </w:rPr>
        <w:lastRenderedPageBreak/>
        <w:t>antenatal care (ANC) platforms underutilize opportunities for systematic HBV screening, prevention, and linkage to care. Barriers include limited testing availability, weak follow-up systems, inadequate health worker capacity, and low community awareness (World Hepatitis Alliance, 2023).</w:t>
      </w:r>
    </w:p>
    <w:p w:rsidR="00D12E57" w:rsidRPr="00D12E57" w:rsidRDefault="00D12E57" w:rsidP="00D12E57">
      <w:pPr>
        <w:pStyle w:val="Body"/>
        <w:spacing w:after="0"/>
        <w:rPr>
          <w:rFonts w:ascii="Arial" w:hAnsi="Arial" w:cs="Arial"/>
        </w:rPr>
      </w:pPr>
      <w:r w:rsidRPr="00D12E57">
        <w:rPr>
          <w:rFonts w:ascii="Arial" w:hAnsi="Arial" w:cs="Arial"/>
        </w:rPr>
        <w:t xml:space="preserve">To address these persistent gaps, the most recent </w:t>
      </w:r>
      <w:r w:rsidRPr="00D12E57">
        <w:rPr>
          <w:rFonts w:ascii="Arial" w:hAnsi="Arial" w:cs="Arial"/>
          <w:bCs/>
        </w:rPr>
        <w:t>WHO consolidated guidelines on HIV, viral hepatitis, and STI prevention</w:t>
      </w:r>
      <w:r w:rsidRPr="00D12E57">
        <w:rPr>
          <w:rFonts w:ascii="Arial" w:hAnsi="Arial" w:cs="Arial"/>
        </w:rPr>
        <w:t xml:space="preserve"> emphasize the importance of </w:t>
      </w:r>
      <w:r w:rsidRPr="00D12E57">
        <w:rPr>
          <w:rFonts w:ascii="Arial" w:hAnsi="Arial" w:cs="Arial"/>
          <w:i/>
          <w:iCs/>
        </w:rPr>
        <w:t>family-centered, integrated service delivery models</w:t>
      </w:r>
      <w:r w:rsidRPr="00D12E57">
        <w:rPr>
          <w:rFonts w:ascii="Arial" w:hAnsi="Arial" w:cs="Arial"/>
        </w:rPr>
        <w:t xml:space="preserve"> that extend beyond the index patient to partners, children, and household contacts (WHO, 2022a). These guidelines also encourage decentralized and simplified testing approaches, strengthened community engagement, and improved linkage systems––recommendations aligned with broader efforts to integrate HBV, HCV, and HIV programming for key and vulnerable populations.</w:t>
      </w:r>
    </w:p>
    <w:p w:rsidR="00D12E57" w:rsidRPr="00D12E57" w:rsidRDefault="00D12E57" w:rsidP="00D12E57">
      <w:pPr>
        <w:pStyle w:val="Body"/>
        <w:spacing w:after="0"/>
        <w:rPr>
          <w:rFonts w:ascii="Arial" w:hAnsi="Arial" w:cs="Arial"/>
        </w:rPr>
      </w:pPr>
      <w:r w:rsidRPr="00D12E57">
        <w:rPr>
          <w:rFonts w:ascii="Arial" w:hAnsi="Arial" w:cs="Arial"/>
        </w:rPr>
        <w:t xml:space="preserve">Evidence from implementation settings shows that expanding screening from pregnant women to their immediate contacts significantly increases case-finding, interrupts household transmission, and strengthens prevention through education and vaccination. The </w:t>
      </w:r>
      <w:r w:rsidRPr="00D12E57">
        <w:rPr>
          <w:rFonts w:ascii="Arial" w:hAnsi="Arial" w:cs="Arial"/>
          <w:bCs/>
        </w:rPr>
        <w:t>WHO HCV simplified service delivery recommendations</w:t>
      </w:r>
      <w:r w:rsidRPr="00D12E57">
        <w:rPr>
          <w:rFonts w:ascii="Arial" w:hAnsi="Arial" w:cs="Arial"/>
        </w:rPr>
        <w:t xml:space="preserve"> further highlight the value of expanding testing to high-risk and underserved populations using flexible models that reduce stigma, access barriers, and fragmentation of care (WHO, 2022b). Similarly, the </w:t>
      </w:r>
      <w:r w:rsidRPr="00D12E57">
        <w:rPr>
          <w:rFonts w:ascii="Arial" w:hAnsi="Arial" w:cs="Arial"/>
          <w:bCs/>
        </w:rPr>
        <w:t>WHO training modules on HBV and HCV screening and treatment</w:t>
      </w:r>
      <w:r w:rsidRPr="00D12E57">
        <w:rPr>
          <w:rFonts w:ascii="Arial" w:hAnsi="Arial" w:cs="Arial"/>
        </w:rPr>
        <w:t xml:space="preserve"> underscore the importance of workforce capacity-building, task-sharing, and public literacy in improving program outcomes (WHO, 2020).</w:t>
      </w:r>
    </w:p>
    <w:p w:rsidR="00D12E57" w:rsidRPr="00D12E57" w:rsidRDefault="00D12E57" w:rsidP="00D12E57">
      <w:pPr>
        <w:pStyle w:val="Body"/>
        <w:spacing w:after="0"/>
        <w:rPr>
          <w:rFonts w:ascii="Arial" w:hAnsi="Arial" w:cs="Arial"/>
        </w:rPr>
      </w:pPr>
      <w:r w:rsidRPr="00D12E57">
        <w:rPr>
          <w:rFonts w:ascii="Arial" w:hAnsi="Arial" w:cs="Arial"/>
        </w:rPr>
        <w:t>In Nigeria, despite increasing awareness of HBV elimination goals, routine ANC screening coverage remains low, and structured partner or household testing is largely absent. Linkage to care is also suboptimal: many individuals diagnosed with HBV or HCV remain untreated or disengage from care due to stigma, cost, and poor referral systems. Community-based organizations—including CFID Taraba—have documented the crucial role of peer navigation, targeted outreach, and media advocacy in strengthening follow-up, reducing stigma, and supporting HBV/HCV literacy at population level (CFID Taraba, 2024).</w:t>
      </w:r>
    </w:p>
    <w:p w:rsidR="00D12E57" w:rsidRPr="00D12E57" w:rsidRDefault="00D12E57" w:rsidP="00D12E57">
      <w:pPr>
        <w:pStyle w:val="Body"/>
        <w:spacing w:after="0"/>
        <w:rPr>
          <w:rFonts w:ascii="Arial" w:hAnsi="Arial" w:cs="Arial"/>
        </w:rPr>
      </w:pPr>
      <w:r w:rsidRPr="00D12E57">
        <w:rPr>
          <w:rFonts w:ascii="Arial" w:hAnsi="Arial" w:cs="Arial"/>
        </w:rPr>
        <w:t xml:space="preserve">Against this background, a multi-state EMTCT initiative was implemented across ten Nigerian states to integrate </w:t>
      </w:r>
      <w:r w:rsidRPr="00D12E57">
        <w:rPr>
          <w:rFonts w:ascii="Arial" w:hAnsi="Arial" w:cs="Arial"/>
          <w:bCs/>
        </w:rPr>
        <w:t>family-centered HBV screening</w:t>
      </w:r>
      <w:r w:rsidRPr="00D12E57">
        <w:rPr>
          <w:rFonts w:ascii="Arial" w:hAnsi="Arial" w:cs="Arial"/>
        </w:rPr>
        <w:t xml:space="preserve"> into ANC services, expand HCV testing, provide prophylaxis and vaccination, and strengthen linkage systems through trained healthcare workers and peer navigators. The program also incorporated large-scale media and community engagement strategies to improve public awareness, consistent with WHO recommendations on integrated and rights-based hepatitis programming.</w:t>
      </w:r>
    </w:p>
    <w:p w:rsidR="00D12E57" w:rsidRPr="00D12E57" w:rsidRDefault="00D12E57" w:rsidP="00D12E57">
      <w:pPr>
        <w:pStyle w:val="Body"/>
        <w:spacing w:after="0"/>
        <w:rPr>
          <w:rFonts w:ascii="Arial" w:hAnsi="Arial" w:cs="Arial"/>
        </w:rPr>
      </w:pPr>
      <w:r w:rsidRPr="00D12E57">
        <w:rPr>
          <w:rFonts w:ascii="Arial" w:hAnsi="Arial" w:cs="Arial"/>
        </w:rPr>
        <w:t>This study presents outcomes from this family-centered HBV/HCV screening model, assessing screening coverage, linkage to HBV prophylaxis, vaccination uptake among household contacts, workforce capacity improvements, and the broader community awareness achieved. Findings contribute operational evidence relevant for Nigeria and other high-burden countries seeking scalable approaches for eliminating viral hepatitis within the framework of EMTCT and family-based care.</w:t>
      </w:r>
    </w:p>
    <w:p w:rsidR="00790ADA" w:rsidRPr="00FB3A86" w:rsidRDefault="00790ADA" w:rsidP="00D12E57">
      <w:pPr>
        <w:pStyle w:val="Body"/>
        <w:spacing w:after="0"/>
        <w:rPr>
          <w:rFonts w:ascii="Arial" w:hAnsi="Arial" w:cs="Arial"/>
        </w:rPr>
      </w:pPr>
    </w:p>
    <w:p w:rsidR="00807CF3" w:rsidRPr="00807CF3" w:rsidRDefault="00807CF3" w:rsidP="00807CF3">
      <w:pPr>
        <w:pStyle w:val="AbstHead"/>
        <w:spacing w:after="0"/>
        <w:jc w:val="both"/>
        <w:rPr>
          <w:rFonts w:ascii="Arial" w:hAnsi="Arial" w:cs="Arial"/>
        </w:rPr>
      </w:pPr>
      <w:r>
        <w:rPr>
          <w:rFonts w:ascii="Arial" w:hAnsi="Arial" w:cs="Arial"/>
        </w:rPr>
        <w:t xml:space="preserve">2. </w:t>
      </w:r>
      <w:r w:rsidRPr="00807CF3">
        <w:rPr>
          <w:rFonts w:ascii="Arial" w:hAnsi="Arial" w:cs="Arial"/>
          <w:bCs/>
        </w:rPr>
        <w:t>METHODS</w:t>
      </w:r>
    </w:p>
    <w:p w:rsidR="00807CF3" w:rsidRPr="00807CF3" w:rsidRDefault="00807CF3" w:rsidP="00807CF3">
      <w:pPr>
        <w:pStyle w:val="Body"/>
        <w:spacing w:after="0"/>
        <w:rPr>
          <w:rFonts w:ascii="Arial" w:hAnsi="Arial" w:cs="Arial"/>
          <w:b/>
          <w:bCs/>
        </w:rPr>
      </w:pPr>
      <w:r w:rsidRPr="00807CF3">
        <w:rPr>
          <w:rFonts w:ascii="Arial" w:hAnsi="Arial" w:cs="Arial"/>
          <w:b/>
          <w:bCs/>
        </w:rPr>
        <w:t>2.1 Study Design and Setting</w:t>
      </w:r>
    </w:p>
    <w:p w:rsidR="00807CF3" w:rsidRPr="00807CF3" w:rsidRDefault="00807CF3" w:rsidP="00807CF3">
      <w:pPr>
        <w:pStyle w:val="Body"/>
        <w:spacing w:after="0"/>
        <w:rPr>
          <w:rFonts w:ascii="Arial" w:hAnsi="Arial" w:cs="Arial"/>
        </w:rPr>
      </w:pPr>
      <w:r w:rsidRPr="00807CF3">
        <w:rPr>
          <w:rFonts w:ascii="Arial" w:hAnsi="Arial" w:cs="Arial"/>
        </w:rPr>
        <w:t>This descriptive programmatic evaluation was conducted across ten Nigerian states with a high burden of hepatitis B virus (HBV), and the intervention was implemented in forty-three health facilities that routinely provide antenatal care, immunization, and maternal health services to diverse populations in both urban and rural settings.</w:t>
      </w:r>
    </w:p>
    <w:p w:rsidR="00807CF3" w:rsidRPr="00807CF3" w:rsidRDefault="00807CF3" w:rsidP="00807CF3">
      <w:pPr>
        <w:pStyle w:val="Body"/>
        <w:spacing w:after="0"/>
        <w:rPr>
          <w:rFonts w:ascii="Arial" w:hAnsi="Arial" w:cs="Arial"/>
          <w:b/>
          <w:bCs/>
        </w:rPr>
      </w:pPr>
      <w:r w:rsidRPr="00807CF3">
        <w:rPr>
          <w:rFonts w:ascii="Arial" w:hAnsi="Arial" w:cs="Arial"/>
          <w:b/>
          <w:bCs/>
        </w:rPr>
        <w:t>2.2 Target Population</w:t>
      </w:r>
    </w:p>
    <w:p w:rsidR="00807CF3" w:rsidRPr="00807CF3" w:rsidRDefault="00807CF3" w:rsidP="00807CF3">
      <w:pPr>
        <w:pStyle w:val="Body"/>
        <w:spacing w:after="0"/>
        <w:rPr>
          <w:rFonts w:ascii="Arial" w:hAnsi="Arial" w:cs="Arial"/>
        </w:rPr>
      </w:pPr>
      <w:r w:rsidRPr="00807CF3">
        <w:rPr>
          <w:rFonts w:ascii="Arial" w:hAnsi="Arial" w:cs="Arial"/>
        </w:rPr>
        <w:t>The program targeted pregnant women attending antenatal clinics, their partners and household members who were encouraged to participate in family-centered screening, individuals previously diagnosed with HBV or HCV but not yet linked to treatment and identified through peer-navigation activities, as well as health workers, peer navigators, and journalists who required structured capacity-building support to strengthen hepatitis prevention and care delivery.</w:t>
      </w:r>
    </w:p>
    <w:p w:rsidR="00807CF3" w:rsidRPr="00807CF3" w:rsidRDefault="00807CF3" w:rsidP="00807CF3">
      <w:pPr>
        <w:pStyle w:val="Body"/>
        <w:spacing w:after="0"/>
        <w:rPr>
          <w:rFonts w:ascii="Arial" w:hAnsi="Arial" w:cs="Arial"/>
          <w:b/>
          <w:bCs/>
        </w:rPr>
      </w:pPr>
      <w:r w:rsidRPr="00807CF3">
        <w:rPr>
          <w:rFonts w:ascii="Arial" w:hAnsi="Arial" w:cs="Arial"/>
          <w:b/>
          <w:bCs/>
        </w:rPr>
        <w:t>2.3 Screening and Testing Procedures</w:t>
      </w:r>
    </w:p>
    <w:p w:rsidR="00807CF3" w:rsidRPr="00807CF3" w:rsidRDefault="00807CF3" w:rsidP="00807CF3">
      <w:pPr>
        <w:pStyle w:val="Body"/>
        <w:spacing w:after="0"/>
        <w:rPr>
          <w:rFonts w:ascii="Arial" w:hAnsi="Arial" w:cs="Arial"/>
        </w:rPr>
      </w:pPr>
      <w:r w:rsidRPr="00807CF3">
        <w:rPr>
          <w:rFonts w:ascii="Arial" w:hAnsi="Arial" w:cs="Arial"/>
        </w:rPr>
        <w:t>All pregnant women presenting for antenatal care were systematically screened using rapid diagnostic tests for hepatitis B surface antigen (HBsAg) and anti-HCV antibodies, while partners and household contacts invited by the index pregnant women underwent the same standardized testing protocol to ensure comprehensive household-level case identification.</w:t>
      </w:r>
    </w:p>
    <w:p w:rsidR="00807CF3" w:rsidRPr="00807CF3" w:rsidRDefault="00807CF3" w:rsidP="00807CF3">
      <w:pPr>
        <w:pStyle w:val="Body"/>
        <w:spacing w:after="0"/>
        <w:rPr>
          <w:rFonts w:ascii="Arial" w:hAnsi="Arial" w:cs="Arial"/>
          <w:b/>
          <w:bCs/>
        </w:rPr>
      </w:pPr>
      <w:r w:rsidRPr="00807CF3">
        <w:rPr>
          <w:rFonts w:ascii="Arial" w:hAnsi="Arial" w:cs="Arial"/>
          <w:b/>
          <w:bCs/>
        </w:rPr>
        <w:t>2.4 Linkage to Treatment and Prophylaxis</w:t>
      </w:r>
    </w:p>
    <w:p w:rsidR="00807CF3" w:rsidRPr="00807CF3" w:rsidRDefault="00807CF3" w:rsidP="00807CF3">
      <w:pPr>
        <w:pStyle w:val="Body"/>
        <w:spacing w:after="0"/>
        <w:rPr>
          <w:rFonts w:ascii="Arial" w:hAnsi="Arial" w:cs="Arial"/>
        </w:rPr>
      </w:pPr>
      <w:r w:rsidRPr="00807CF3">
        <w:rPr>
          <w:rFonts w:ascii="Arial" w:hAnsi="Arial" w:cs="Arial"/>
        </w:rPr>
        <w:t>Pregnant women who tested positive for HBV were clinically assessed for eligibility and initiated on tenofovir disoproxil fumarate (TDF) prophylaxis whenever indicated, whereas HBV-negative partners and household members received the first dose of the hepatitis B vaccine with structured follow-up reminders for completing the remaining doses, and individuals who screened positive for HCV were referred to designated treatment centers in accordance with national hepatitis management guidelines.</w:t>
      </w:r>
    </w:p>
    <w:p w:rsidR="00807CF3" w:rsidRPr="00807CF3" w:rsidRDefault="00807CF3" w:rsidP="00807CF3">
      <w:pPr>
        <w:pStyle w:val="Body"/>
        <w:spacing w:after="0"/>
        <w:rPr>
          <w:rFonts w:ascii="Arial" w:hAnsi="Arial" w:cs="Arial"/>
          <w:b/>
          <w:bCs/>
        </w:rPr>
      </w:pPr>
      <w:r w:rsidRPr="00807CF3">
        <w:rPr>
          <w:rFonts w:ascii="Arial" w:hAnsi="Arial" w:cs="Arial"/>
          <w:b/>
          <w:bCs/>
        </w:rPr>
        <w:t>2.5 Capacity Building</w:t>
      </w:r>
    </w:p>
    <w:p w:rsidR="00807CF3" w:rsidRPr="00807CF3" w:rsidRDefault="00807CF3" w:rsidP="00807CF3">
      <w:pPr>
        <w:pStyle w:val="Body"/>
        <w:spacing w:after="0"/>
        <w:rPr>
          <w:rFonts w:ascii="Arial" w:hAnsi="Arial" w:cs="Arial"/>
        </w:rPr>
      </w:pPr>
      <w:r w:rsidRPr="00807CF3">
        <w:rPr>
          <w:rFonts w:ascii="Arial" w:hAnsi="Arial" w:cs="Arial"/>
        </w:rPr>
        <w:t>Capacity-building activities consisted of a structured WHO-aligned training curriculum delivered to 478 health workers on hepatitis testing, treatment, prophylaxis, and counseling; comprehensive peer-navigation training for 600 peer navigators—70 percent of whom were persons living with hepatitis—to equip them with skills for patient support and follow-up; and targeted media engagement sessions for journalists to strengthen hepatitis education and public communication, using adapted WHO Training Modules on Hepatitis B and C Screening, Diagnosis and Treatment (WHO, 2020).</w:t>
      </w:r>
    </w:p>
    <w:p w:rsidR="00807CF3" w:rsidRPr="00807CF3" w:rsidRDefault="00807CF3" w:rsidP="00807CF3">
      <w:pPr>
        <w:pStyle w:val="Body"/>
        <w:spacing w:after="0"/>
        <w:rPr>
          <w:rFonts w:ascii="Arial" w:hAnsi="Arial" w:cs="Arial"/>
          <w:b/>
          <w:bCs/>
        </w:rPr>
      </w:pPr>
      <w:r w:rsidRPr="00807CF3">
        <w:rPr>
          <w:rFonts w:ascii="Arial" w:hAnsi="Arial" w:cs="Arial"/>
          <w:b/>
          <w:bCs/>
        </w:rPr>
        <w:t>2.6 Peer Navigation for Relinking</w:t>
      </w:r>
    </w:p>
    <w:p w:rsidR="00807CF3" w:rsidRPr="00807CF3" w:rsidRDefault="00807CF3" w:rsidP="00807CF3">
      <w:pPr>
        <w:pStyle w:val="Body"/>
        <w:spacing w:after="0"/>
        <w:rPr>
          <w:rFonts w:ascii="Arial" w:hAnsi="Arial" w:cs="Arial"/>
        </w:rPr>
      </w:pPr>
      <w:r w:rsidRPr="00807CF3">
        <w:rPr>
          <w:rFonts w:ascii="Arial" w:hAnsi="Arial" w:cs="Arial"/>
        </w:rPr>
        <w:t>Peer navigators implemented a multifaceted relinkage strategy that included conducting phone calls, sending SMS reminders, performing home visits, reviewing medical charts, tracking missed appointments, and offering confidential follow-up support to ensure that previously diagnosed but untreated individuals were successfully reintegrated into care.</w:t>
      </w:r>
    </w:p>
    <w:p w:rsidR="00807CF3" w:rsidRPr="00807CF3" w:rsidRDefault="00807CF3" w:rsidP="00807CF3">
      <w:pPr>
        <w:pStyle w:val="Body"/>
        <w:spacing w:after="0"/>
        <w:rPr>
          <w:rFonts w:ascii="Arial" w:hAnsi="Arial" w:cs="Arial"/>
          <w:b/>
          <w:bCs/>
        </w:rPr>
      </w:pPr>
      <w:r w:rsidRPr="00807CF3">
        <w:rPr>
          <w:rFonts w:ascii="Arial" w:hAnsi="Arial" w:cs="Arial"/>
          <w:b/>
          <w:bCs/>
        </w:rPr>
        <w:lastRenderedPageBreak/>
        <w:t>2.7 Community and Media Engagement</w:t>
      </w:r>
    </w:p>
    <w:p w:rsidR="00807CF3" w:rsidRPr="00807CF3" w:rsidRDefault="00807CF3" w:rsidP="00807CF3">
      <w:pPr>
        <w:pStyle w:val="Body"/>
        <w:spacing w:after="0"/>
        <w:rPr>
          <w:rFonts w:ascii="Arial" w:hAnsi="Arial" w:cs="Arial"/>
        </w:rPr>
      </w:pPr>
      <w:r w:rsidRPr="00807CF3">
        <w:rPr>
          <w:rFonts w:ascii="Arial" w:hAnsi="Arial" w:cs="Arial"/>
        </w:rPr>
        <w:t>A wide-scale community and media outreach campaign involving television, radio, print, and social media platforms was executed to improve public knowledge about hepatitis, reduce stigma, and encourage uptake of antenatal-based screening services, with an estimated national reach of 15–20 million people.</w:t>
      </w:r>
    </w:p>
    <w:p w:rsidR="00807CF3" w:rsidRPr="00807CF3" w:rsidRDefault="00807CF3" w:rsidP="00807CF3">
      <w:pPr>
        <w:pStyle w:val="Body"/>
        <w:spacing w:after="0"/>
        <w:rPr>
          <w:rFonts w:ascii="Arial" w:hAnsi="Arial" w:cs="Arial"/>
          <w:b/>
          <w:bCs/>
        </w:rPr>
      </w:pPr>
      <w:r w:rsidRPr="00807CF3">
        <w:rPr>
          <w:rFonts w:ascii="Arial" w:hAnsi="Arial" w:cs="Arial"/>
          <w:b/>
          <w:bCs/>
        </w:rPr>
        <w:t>2.8 Data Collection and Analysis</w:t>
      </w:r>
    </w:p>
    <w:p w:rsidR="00807CF3" w:rsidRPr="00807CF3" w:rsidRDefault="00807CF3" w:rsidP="00807CF3">
      <w:pPr>
        <w:pStyle w:val="Body"/>
        <w:spacing w:after="0"/>
        <w:rPr>
          <w:rFonts w:ascii="Arial" w:hAnsi="Arial" w:cs="Arial"/>
        </w:rPr>
      </w:pPr>
      <w:r w:rsidRPr="00807CF3">
        <w:rPr>
          <w:rFonts w:ascii="Arial" w:hAnsi="Arial" w:cs="Arial"/>
        </w:rPr>
        <w:t>Program data were gathered through routine facility registers, peer-navigator activity reports, and community engagement logs, and descriptive statistical methods were used to summarize screening coverage, initiation of prophylaxis, vaccination uptake, peer-navigation outcomes, and media-driven community awareness indicators.</w:t>
      </w:r>
    </w:p>
    <w:p w:rsidR="00807CF3" w:rsidRPr="00807CF3" w:rsidRDefault="00807CF3" w:rsidP="00807CF3">
      <w:pPr>
        <w:pStyle w:val="Body"/>
        <w:spacing w:after="0"/>
        <w:rPr>
          <w:rFonts w:ascii="Arial" w:hAnsi="Arial" w:cs="Arial"/>
          <w:b/>
          <w:bCs/>
        </w:rPr>
      </w:pPr>
    </w:p>
    <w:p w:rsidR="0057549A" w:rsidRPr="0057549A" w:rsidRDefault="0057549A" w:rsidP="0057549A">
      <w:pPr>
        <w:pStyle w:val="Body"/>
        <w:spacing w:after="0"/>
        <w:rPr>
          <w:rFonts w:cs="Arial"/>
          <w:b/>
          <w:bCs/>
        </w:rPr>
      </w:pPr>
      <w:r w:rsidRPr="0057549A">
        <w:rPr>
          <w:rFonts w:cs="Arial"/>
          <w:b/>
          <w:bCs/>
        </w:rPr>
        <w:t>3. RESULTS</w:t>
      </w:r>
    </w:p>
    <w:p w:rsidR="0057549A" w:rsidRPr="0057549A" w:rsidRDefault="0057549A" w:rsidP="0057549A">
      <w:pPr>
        <w:pStyle w:val="Body"/>
        <w:spacing w:after="0"/>
        <w:rPr>
          <w:rFonts w:ascii="Arial" w:hAnsi="Arial" w:cs="Arial"/>
          <w:b/>
          <w:bCs/>
        </w:rPr>
      </w:pPr>
      <w:r w:rsidRPr="0057549A">
        <w:rPr>
          <w:rFonts w:ascii="Arial" w:hAnsi="Arial" w:cs="Arial"/>
          <w:b/>
          <w:bCs/>
        </w:rPr>
        <w:t>Table 1. Screening Coverage</w:t>
      </w:r>
    </w:p>
    <w:tbl>
      <w:tblPr>
        <w:tblStyle w:val="TableGrid"/>
        <w:tblW w:w="9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57549A" w:rsidRPr="0057549A" w:rsidTr="0057549A">
        <w:tc>
          <w:tcPr>
            <w:tcW w:w="4675" w:type="dxa"/>
            <w:tcBorders>
              <w:top w:val="single" w:sz="4" w:space="0" w:color="auto"/>
            </w:tcBorders>
            <w:vAlign w:val="center"/>
          </w:tcPr>
          <w:p w:rsidR="0057549A" w:rsidRPr="0057549A" w:rsidRDefault="0057549A" w:rsidP="0057549A">
            <w:pPr>
              <w:pStyle w:val="Body"/>
              <w:rPr>
                <w:rFonts w:ascii="Arial" w:hAnsi="Arial" w:cs="Arial"/>
                <w:b/>
                <w:bCs/>
                <w:sz w:val="20"/>
              </w:rPr>
            </w:pPr>
            <w:r w:rsidRPr="0057549A">
              <w:rPr>
                <w:rFonts w:ascii="Arial" w:hAnsi="Arial" w:cs="Arial"/>
                <w:b/>
                <w:bCs/>
                <w:sz w:val="20"/>
              </w:rPr>
              <w:t>Indicator</w:t>
            </w:r>
          </w:p>
        </w:tc>
        <w:tc>
          <w:tcPr>
            <w:tcW w:w="4675" w:type="dxa"/>
            <w:tcBorders>
              <w:top w:val="single" w:sz="4" w:space="0" w:color="auto"/>
            </w:tcBorders>
            <w:vAlign w:val="center"/>
          </w:tcPr>
          <w:p w:rsidR="0057549A" w:rsidRPr="0057549A" w:rsidRDefault="0057549A" w:rsidP="0057549A">
            <w:pPr>
              <w:pStyle w:val="Body"/>
              <w:rPr>
                <w:rFonts w:ascii="Arial" w:hAnsi="Arial" w:cs="Arial"/>
                <w:b/>
                <w:bCs/>
                <w:sz w:val="20"/>
              </w:rPr>
            </w:pPr>
            <w:r w:rsidRPr="0057549A">
              <w:rPr>
                <w:rFonts w:ascii="Arial" w:hAnsi="Arial" w:cs="Arial"/>
                <w:b/>
                <w:bCs/>
                <w:sz w:val="20"/>
              </w:rPr>
              <w:t>Result</w:t>
            </w:r>
          </w:p>
        </w:tc>
      </w:tr>
      <w:tr w:rsidR="0057549A" w:rsidRPr="0057549A" w:rsidTr="0057549A">
        <w:tc>
          <w:tcPr>
            <w:tcW w:w="4675" w:type="dxa"/>
            <w:tcBorders>
              <w:top w:val="single" w:sz="4" w:space="0" w:color="auto"/>
            </w:tcBorders>
            <w:vAlign w:val="center"/>
          </w:tcPr>
          <w:p w:rsidR="0057549A" w:rsidRPr="0057549A" w:rsidRDefault="0057549A" w:rsidP="0057549A">
            <w:pPr>
              <w:pStyle w:val="Body"/>
              <w:rPr>
                <w:rFonts w:ascii="Arial" w:hAnsi="Arial" w:cs="Arial"/>
                <w:sz w:val="20"/>
              </w:rPr>
            </w:pPr>
            <w:r w:rsidRPr="0057549A">
              <w:rPr>
                <w:rFonts w:ascii="Arial" w:hAnsi="Arial" w:cs="Arial"/>
                <w:sz w:val="20"/>
              </w:rPr>
              <w:t>Pregnant women screened for HBsAg &amp; anti-HCV</w:t>
            </w:r>
          </w:p>
        </w:tc>
        <w:tc>
          <w:tcPr>
            <w:tcW w:w="4675" w:type="dxa"/>
            <w:tcBorders>
              <w:top w:val="single" w:sz="4" w:space="0" w:color="auto"/>
            </w:tcBorders>
            <w:vAlign w:val="center"/>
          </w:tcPr>
          <w:p w:rsidR="0057549A" w:rsidRPr="0057549A" w:rsidRDefault="0057549A" w:rsidP="0057549A">
            <w:pPr>
              <w:pStyle w:val="Body"/>
              <w:rPr>
                <w:rFonts w:ascii="Arial" w:hAnsi="Arial" w:cs="Arial"/>
                <w:sz w:val="20"/>
              </w:rPr>
            </w:pPr>
            <w:r w:rsidRPr="0057549A">
              <w:rPr>
                <w:rFonts w:ascii="Arial" w:hAnsi="Arial" w:cs="Arial"/>
                <w:b/>
                <w:bCs/>
                <w:sz w:val="20"/>
              </w:rPr>
              <w:t>116,000</w:t>
            </w:r>
          </w:p>
        </w:tc>
      </w:tr>
      <w:tr w:rsidR="0057549A" w:rsidRPr="0057549A" w:rsidTr="0057549A">
        <w:tc>
          <w:tcPr>
            <w:tcW w:w="4675" w:type="dxa"/>
            <w:vAlign w:val="center"/>
          </w:tcPr>
          <w:p w:rsidR="0057549A" w:rsidRPr="0057549A" w:rsidRDefault="0057549A" w:rsidP="0057549A">
            <w:pPr>
              <w:pStyle w:val="Body"/>
              <w:rPr>
                <w:rFonts w:ascii="Arial" w:hAnsi="Arial" w:cs="Arial"/>
                <w:sz w:val="20"/>
              </w:rPr>
            </w:pPr>
            <w:r w:rsidRPr="0057549A">
              <w:rPr>
                <w:rFonts w:ascii="Arial" w:hAnsi="Arial" w:cs="Arial"/>
                <w:sz w:val="20"/>
              </w:rPr>
              <w:t>Partners/household members screened through family-centered outreach</w:t>
            </w:r>
          </w:p>
        </w:tc>
        <w:tc>
          <w:tcPr>
            <w:tcW w:w="4675" w:type="dxa"/>
            <w:vAlign w:val="center"/>
          </w:tcPr>
          <w:p w:rsidR="0057549A" w:rsidRPr="0057549A" w:rsidRDefault="0057549A" w:rsidP="0057549A">
            <w:pPr>
              <w:pStyle w:val="Body"/>
              <w:rPr>
                <w:rFonts w:ascii="Arial" w:hAnsi="Arial" w:cs="Arial"/>
                <w:sz w:val="20"/>
              </w:rPr>
            </w:pPr>
            <w:r w:rsidRPr="0057549A">
              <w:rPr>
                <w:rFonts w:ascii="Arial" w:hAnsi="Arial" w:cs="Arial"/>
                <w:b/>
                <w:bCs/>
                <w:sz w:val="20"/>
              </w:rPr>
              <w:t>38,115</w:t>
            </w:r>
          </w:p>
        </w:tc>
      </w:tr>
      <w:tr w:rsidR="0057549A" w:rsidRPr="0057549A" w:rsidTr="0057549A">
        <w:tc>
          <w:tcPr>
            <w:tcW w:w="4675" w:type="dxa"/>
            <w:tcBorders>
              <w:bottom w:val="single" w:sz="4" w:space="0" w:color="auto"/>
            </w:tcBorders>
            <w:vAlign w:val="center"/>
          </w:tcPr>
          <w:p w:rsidR="0057549A" w:rsidRPr="0057549A" w:rsidRDefault="0057549A" w:rsidP="0057549A">
            <w:pPr>
              <w:pStyle w:val="Body"/>
              <w:rPr>
                <w:rFonts w:ascii="Arial" w:hAnsi="Arial" w:cs="Arial"/>
                <w:sz w:val="20"/>
              </w:rPr>
            </w:pPr>
            <w:r w:rsidRPr="0057549A">
              <w:rPr>
                <w:rFonts w:ascii="Arial" w:hAnsi="Arial" w:cs="Arial"/>
                <w:sz w:val="20"/>
              </w:rPr>
              <w:t>Comparison to baseline</w:t>
            </w:r>
          </w:p>
        </w:tc>
        <w:tc>
          <w:tcPr>
            <w:tcW w:w="4675" w:type="dxa"/>
            <w:tcBorders>
              <w:bottom w:val="single" w:sz="4" w:space="0" w:color="auto"/>
            </w:tcBorders>
            <w:vAlign w:val="center"/>
          </w:tcPr>
          <w:p w:rsidR="0057549A" w:rsidRPr="0057549A" w:rsidRDefault="0057549A" w:rsidP="0057549A">
            <w:pPr>
              <w:pStyle w:val="Body"/>
              <w:rPr>
                <w:rFonts w:ascii="Arial" w:hAnsi="Arial" w:cs="Arial"/>
                <w:sz w:val="20"/>
              </w:rPr>
            </w:pPr>
            <w:r w:rsidRPr="0057549A">
              <w:rPr>
                <w:rFonts w:ascii="Arial" w:hAnsi="Arial" w:cs="Arial"/>
                <w:sz w:val="20"/>
              </w:rPr>
              <w:t>Substantial increase over routine ANC screening</w:t>
            </w:r>
          </w:p>
        </w:tc>
      </w:tr>
    </w:tbl>
    <w:p w:rsidR="00807CF3" w:rsidRDefault="00807CF3" w:rsidP="0057549A">
      <w:pPr>
        <w:pStyle w:val="Body"/>
        <w:spacing w:after="0"/>
        <w:rPr>
          <w:rFonts w:ascii="Arial" w:hAnsi="Arial" w:cs="Arial"/>
          <w:b/>
          <w:bCs/>
        </w:rPr>
      </w:pPr>
    </w:p>
    <w:p w:rsidR="0057549A" w:rsidRPr="0057549A" w:rsidRDefault="0057549A" w:rsidP="0057549A">
      <w:pPr>
        <w:pStyle w:val="Body"/>
        <w:spacing w:after="0"/>
        <w:rPr>
          <w:rFonts w:ascii="Arial" w:hAnsi="Arial" w:cs="Arial"/>
          <w:b/>
          <w:bCs/>
        </w:rPr>
      </w:pPr>
      <w:r w:rsidRPr="0057549A">
        <w:rPr>
          <w:rFonts w:ascii="Arial" w:hAnsi="Arial" w:cs="Arial"/>
          <w:b/>
          <w:bCs/>
        </w:rPr>
        <w:t>Table 2. HBV Prophylaxis Initiation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57549A" w:rsidRPr="0057549A" w:rsidTr="00807CF3">
        <w:tc>
          <w:tcPr>
            <w:tcW w:w="4675" w:type="dxa"/>
            <w:tcBorders>
              <w:top w:val="single" w:sz="4" w:space="0" w:color="auto"/>
              <w:bottom w:val="single" w:sz="4" w:space="0" w:color="auto"/>
            </w:tcBorders>
            <w:vAlign w:val="center"/>
          </w:tcPr>
          <w:p w:rsidR="0057549A" w:rsidRPr="0057549A" w:rsidRDefault="0057549A" w:rsidP="0057549A">
            <w:pPr>
              <w:pStyle w:val="Body"/>
              <w:rPr>
                <w:rFonts w:ascii="Arial" w:hAnsi="Arial" w:cs="Arial"/>
                <w:b/>
                <w:bCs/>
                <w:sz w:val="20"/>
              </w:rPr>
            </w:pPr>
            <w:r w:rsidRPr="0057549A">
              <w:rPr>
                <w:rFonts w:ascii="Arial" w:hAnsi="Arial" w:cs="Arial"/>
                <w:b/>
                <w:bCs/>
                <w:sz w:val="20"/>
              </w:rPr>
              <w:t>Indicator</w:t>
            </w:r>
          </w:p>
        </w:tc>
        <w:tc>
          <w:tcPr>
            <w:tcW w:w="4675" w:type="dxa"/>
            <w:tcBorders>
              <w:top w:val="single" w:sz="4" w:space="0" w:color="auto"/>
              <w:bottom w:val="single" w:sz="4" w:space="0" w:color="auto"/>
            </w:tcBorders>
            <w:vAlign w:val="center"/>
          </w:tcPr>
          <w:p w:rsidR="0057549A" w:rsidRPr="0057549A" w:rsidRDefault="0057549A" w:rsidP="0057549A">
            <w:pPr>
              <w:pStyle w:val="Body"/>
              <w:rPr>
                <w:rFonts w:ascii="Arial" w:hAnsi="Arial" w:cs="Arial"/>
                <w:b/>
                <w:bCs/>
                <w:sz w:val="20"/>
              </w:rPr>
            </w:pPr>
            <w:r w:rsidRPr="0057549A">
              <w:rPr>
                <w:rFonts w:ascii="Arial" w:hAnsi="Arial" w:cs="Arial"/>
                <w:b/>
                <w:bCs/>
                <w:sz w:val="20"/>
              </w:rPr>
              <w:t>Result</w:t>
            </w:r>
          </w:p>
        </w:tc>
      </w:tr>
      <w:tr w:rsidR="0057549A" w:rsidRPr="0057549A" w:rsidTr="00807CF3">
        <w:tc>
          <w:tcPr>
            <w:tcW w:w="4675" w:type="dxa"/>
            <w:tcBorders>
              <w:top w:val="single" w:sz="4" w:space="0" w:color="auto"/>
            </w:tcBorders>
            <w:vAlign w:val="center"/>
          </w:tcPr>
          <w:p w:rsidR="0057549A" w:rsidRPr="0057549A" w:rsidRDefault="0057549A" w:rsidP="0057549A">
            <w:pPr>
              <w:pStyle w:val="Body"/>
              <w:rPr>
                <w:rFonts w:ascii="Arial" w:hAnsi="Arial" w:cs="Arial"/>
                <w:sz w:val="20"/>
              </w:rPr>
            </w:pPr>
            <w:r w:rsidRPr="0057549A">
              <w:rPr>
                <w:rFonts w:ascii="Arial" w:hAnsi="Arial" w:cs="Arial"/>
                <w:sz w:val="20"/>
              </w:rPr>
              <w:t>HBV-positive pregnant women identified</w:t>
            </w:r>
          </w:p>
        </w:tc>
        <w:tc>
          <w:tcPr>
            <w:tcW w:w="4675" w:type="dxa"/>
            <w:tcBorders>
              <w:top w:val="single" w:sz="4" w:space="0" w:color="auto"/>
            </w:tcBorders>
            <w:vAlign w:val="center"/>
          </w:tcPr>
          <w:p w:rsidR="0057549A" w:rsidRPr="0057549A" w:rsidRDefault="0057549A" w:rsidP="0057549A">
            <w:pPr>
              <w:pStyle w:val="Body"/>
              <w:rPr>
                <w:rFonts w:ascii="Arial" w:hAnsi="Arial" w:cs="Arial"/>
                <w:sz w:val="20"/>
              </w:rPr>
            </w:pPr>
            <w:r w:rsidRPr="0057549A">
              <w:rPr>
                <w:rFonts w:ascii="Arial" w:hAnsi="Arial" w:cs="Arial"/>
                <w:sz w:val="20"/>
              </w:rPr>
              <w:t>All eligible cases</w:t>
            </w:r>
          </w:p>
        </w:tc>
      </w:tr>
      <w:tr w:rsidR="0057549A" w:rsidRPr="0057549A" w:rsidTr="00807CF3">
        <w:tc>
          <w:tcPr>
            <w:tcW w:w="4675" w:type="dxa"/>
            <w:tcBorders>
              <w:bottom w:val="single" w:sz="4" w:space="0" w:color="auto"/>
            </w:tcBorders>
            <w:vAlign w:val="center"/>
          </w:tcPr>
          <w:p w:rsidR="0057549A" w:rsidRPr="0057549A" w:rsidRDefault="0057549A" w:rsidP="0057549A">
            <w:pPr>
              <w:pStyle w:val="Body"/>
              <w:rPr>
                <w:rFonts w:ascii="Arial" w:hAnsi="Arial" w:cs="Arial"/>
                <w:sz w:val="20"/>
              </w:rPr>
            </w:pPr>
            <w:r w:rsidRPr="0057549A">
              <w:rPr>
                <w:rFonts w:ascii="Arial" w:hAnsi="Arial" w:cs="Arial"/>
                <w:sz w:val="20"/>
              </w:rPr>
              <w:t>Proportion initiated on TDF prophylaxis</w:t>
            </w:r>
          </w:p>
        </w:tc>
        <w:tc>
          <w:tcPr>
            <w:tcW w:w="4675" w:type="dxa"/>
            <w:tcBorders>
              <w:bottom w:val="single" w:sz="4" w:space="0" w:color="auto"/>
            </w:tcBorders>
            <w:vAlign w:val="center"/>
          </w:tcPr>
          <w:p w:rsidR="0057549A" w:rsidRPr="0057549A" w:rsidRDefault="0057549A" w:rsidP="0057549A">
            <w:pPr>
              <w:pStyle w:val="Body"/>
              <w:rPr>
                <w:rFonts w:ascii="Arial" w:hAnsi="Arial" w:cs="Arial"/>
                <w:sz w:val="20"/>
              </w:rPr>
            </w:pPr>
            <w:r w:rsidRPr="0057549A">
              <w:rPr>
                <w:rFonts w:ascii="Arial" w:hAnsi="Arial" w:cs="Arial"/>
                <w:b/>
                <w:bCs/>
                <w:sz w:val="20"/>
              </w:rPr>
              <w:t>100%</w:t>
            </w:r>
          </w:p>
        </w:tc>
      </w:tr>
    </w:tbl>
    <w:p w:rsidR="00807CF3" w:rsidRDefault="00807CF3" w:rsidP="0057549A">
      <w:pPr>
        <w:pStyle w:val="Body"/>
        <w:spacing w:after="0"/>
        <w:rPr>
          <w:rFonts w:ascii="Arial" w:hAnsi="Arial" w:cs="Arial"/>
          <w:b/>
          <w:bCs/>
        </w:rPr>
      </w:pPr>
    </w:p>
    <w:p w:rsidR="0057549A" w:rsidRPr="0057549A" w:rsidRDefault="0057549A" w:rsidP="0057549A">
      <w:pPr>
        <w:pStyle w:val="Body"/>
        <w:spacing w:after="0"/>
        <w:rPr>
          <w:rFonts w:ascii="Arial" w:hAnsi="Arial" w:cs="Arial"/>
          <w:b/>
          <w:bCs/>
        </w:rPr>
      </w:pPr>
      <w:r w:rsidRPr="0057549A">
        <w:rPr>
          <w:rFonts w:ascii="Arial" w:hAnsi="Arial" w:cs="Arial"/>
          <w:b/>
          <w:bCs/>
        </w:rPr>
        <w:t>Table 3. Household Vaccination Uptake</w:t>
      </w:r>
    </w:p>
    <w:tbl>
      <w:tblPr>
        <w:tblStyle w:val="TableGrid"/>
        <w:tblW w:w="9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57549A" w:rsidRPr="0057549A" w:rsidTr="00807CF3">
        <w:tc>
          <w:tcPr>
            <w:tcW w:w="4675" w:type="dxa"/>
            <w:tcBorders>
              <w:top w:val="single" w:sz="4" w:space="0" w:color="auto"/>
              <w:bottom w:val="single" w:sz="4" w:space="0" w:color="auto"/>
            </w:tcBorders>
            <w:vAlign w:val="center"/>
          </w:tcPr>
          <w:p w:rsidR="0057549A" w:rsidRPr="0057549A" w:rsidRDefault="0057549A" w:rsidP="0057549A">
            <w:pPr>
              <w:pStyle w:val="Body"/>
              <w:rPr>
                <w:rFonts w:ascii="Arial" w:hAnsi="Arial" w:cs="Arial"/>
                <w:b/>
                <w:bCs/>
                <w:sz w:val="20"/>
              </w:rPr>
            </w:pPr>
            <w:r w:rsidRPr="0057549A">
              <w:rPr>
                <w:rFonts w:ascii="Arial" w:hAnsi="Arial" w:cs="Arial"/>
                <w:b/>
                <w:bCs/>
                <w:sz w:val="20"/>
              </w:rPr>
              <w:t>Indicator</w:t>
            </w:r>
          </w:p>
        </w:tc>
        <w:tc>
          <w:tcPr>
            <w:tcW w:w="4675" w:type="dxa"/>
            <w:tcBorders>
              <w:top w:val="single" w:sz="4" w:space="0" w:color="auto"/>
              <w:bottom w:val="single" w:sz="4" w:space="0" w:color="auto"/>
            </w:tcBorders>
            <w:vAlign w:val="center"/>
          </w:tcPr>
          <w:p w:rsidR="0057549A" w:rsidRPr="0057549A" w:rsidRDefault="0057549A" w:rsidP="0057549A">
            <w:pPr>
              <w:pStyle w:val="Body"/>
              <w:rPr>
                <w:rFonts w:ascii="Arial" w:hAnsi="Arial" w:cs="Arial"/>
                <w:b/>
                <w:bCs/>
                <w:sz w:val="20"/>
              </w:rPr>
            </w:pPr>
            <w:r w:rsidRPr="0057549A">
              <w:rPr>
                <w:rFonts w:ascii="Arial" w:hAnsi="Arial" w:cs="Arial"/>
                <w:b/>
                <w:bCs/>
                <w:sz w:val="20"/>
              </w:rPr>
              <w:t>Result</w:t>
            </w:r>
          </w:p>
        </w:tc>
      </w:tr>
      <w:tr w:rsidR="0057549A" w:rsidRPr="0057549A" w:rsidTr="00807CF3">
        <w:tc>
          <w:tcPr>
            <w:tcW w:w="4675" w:type="dxa"/>
            <w:tcBorders>
              <w:top w:val="single" w:sz="4" w:space="0" w:color="auto"/>
            </w:tcBorders>
            <w:vAlign w:val="center"/>
          </w:tcPr>
          <w:p w:rsidR="0057549A" w:rsidRPr="0057549A" w:rsidRDefault="0057549A" w:rsidP="0057549A">
            <w:pPr>
              <w:pStyle w:val="Body"/>
              <w:rPr>
                <w:rFonts w:ascii="Arial" w:hAnsi="Arial" w:cs="Arial"/>
                <w:sz w:val="20"/>
              </w:rPr>
            </w:pPr>
            <w:r w:rsidRPr="0057549A">
              <w:rPr>
                <w:rFonts w:ascii="Arial" w:hAnsi="Arial" w:cs="Arial"/>
                <w:sz w:val="20"/>
              </w:rPr>
              <w:t>HBV-negative partners &amp; household contacts receiving first vaccine dose</w:t>
            </w:r>
          </w:p>
        </w:tc>
        <w:tc>
          <w:tcPr>
            <w:tcW w:w="4675" w:type="dxa"/>
            <w:tcBorders>
              <w:top w:val="single" w:sz="4" w:space="0" w:color="auto"/>
            </w:tcBorders>
            <w:vAlign w:val="center"/>
          </w:tcPr>
          <w:p w:rsidR="0057549A" w:rsidRPr="0057549A" w:rsidRDefault="0057549A" w:rsidP="0057549A">
            <w:pPr>
              <w:pStyle w:val="Body"/>
              <w:rPr>
                <w:rFonts w:ascii="Arial" w:hAnsi="Arial" w:cs="Arial"/>
                <w:sz w:val="20"/>
              </w:rPr>
            </w:pPr>
            <w:r w:rsidRPr="0057549A">
              <w:rPr>
                <w:rFonts w:ascii="Arial" w:hAnsi="Arial" w:cs="Arial"/>
                <w:sz w:val="20"/>
              </w:rPr>
              <w:t>High uptake</w:t>
            </w:r>
          </w:p>
        </w:tc>
      </w:tr>
      <w:tr w:rsidR="0057549A" w:rsidRPr="0057549A" w:rsidTr="00807CF3">
        <w:tc>
          <w:tcPr>
            <w:tcW w:w="4675" w:type="dxa"/>
            <w:tcBorders>
              <w:bottom w:val="single" w:sz="4" w:space="0" w:color="auto"/>
            </w:tcBorders>
            <w:vAlign w:val="center"/>
          </w:tcPr>
          <w:p w:rsidR="0057549A" w:rsidRPr="0057549A" w:rsidRDefault="0057549A" w:rsidP="0057549A">
            <w:pPr>
              <w:pStyle w:val="Body"/>
              <w:rPr>
                <w:rFonts w:ascii="Arial" w:hAnsi="Arial" w:cs="Arial"/>
                <w:sz w:val="20"/>
              </w:rPr>
            </w:pPr>
            <w:r w:rsidRPr="0057549A">
              <w:rPr>
                <w:rFonts w:ascii="Arial" w:hAnsi="Arial" w:cs="Arial"/>
                <w:sz w:val="20"/>
              </w:rPr>
              <w:t>Reason for high acceptance</w:t>
            </w:r>
          </w:p>
        </w:tc>
        <w:tc>
          <w:tcPr>
            <w:tcW w:w="4675" w:type="dxa"/>
            <w:tcBorders>
              <w:bottom w:val="single" w:sz="4" w:space="0" w:color="auto"/>
            </w:tcBorders>
            <w:vAlign w:val="center"/>
          </w:tcPr>
          <w:p w:rsidR="0057549A" w:rsidRPr="0057549A" w:rsidRDefault="0057549A" w:rsidP="0057549A">
            <w:pPr>
              <w:pStyle w:val="Body"/>
              <w:rPr>
                <w:rFonts w:ascii="Arial" w:hAnsi="Arial" w:cs="Arial"/>
                <w:sz w:val="20"/>
              </w:rPr>
            </w:pPr>
            <w:r w:rsidRPr="0057549A">
              <w:rPr>
                <w:rFonts w:ascii="Arial" w:hAnsi="Arial" w:cs="Arial"/>
                <w:sz w:val="20"/>
              </w:rPr>
              <w:t>Partner-inclusive counseling</w:t>
            </w:r>
          </w:p>
        </w:tc>
      </w:tr>
    </w:tbl>
    <w:p w:rsidR="00807CF3" w:rsidRDefault="00807CF3" w:rsidP="0057549A">
      <w:pPr>
        <w:pStyle w:val="Body"/>
        <w:spacing w:after="0"/>
        <w:rPr>
          <w:rFonts w:ascii="Arial" w:hAnsi="Arial" w:cs="Arial"/>
          <w:b/>
          <w:bCs/>
        </w:rPr>
      </w:pPr>
    </w:p>
    <w:p w:rsidR="0057549A" w:rsidRPr="0057549A" w:rsidRDefault="0057549A" w:rsidP="0057549A">
      <w:pPr>
        <w:pStyle w:val="Body"/>
        <w:spacing w:after="0"/>
        <w:rPr>
          <w:rFonts w:ascii="Arial" w:hAnsi="Arial" w:cs="Arial"/>
          <w:b/>
          <w:bCs/>
        </w:rPr>
      </w:pPr>
      <w:r w:rsidRPr="0057549A">
        <w:rPr>
          <w:rFonts w:ascii="Arial" w:hAnsi="Arial" w:cs="Arial"/>
          <w:b/>
          <w:bCs/>
        </w:rPr>
        <w:t>Table 4. Workforce Capacity Strengthening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57549A" w:rsidRPr="0057549A" w:rsidTr="00807CF3">
        <w:tc>
          <w:tcPr>
            <w:tcW w:w="3116" w:type="dxa"/>
            <w:tcBorders>
              <w:top w:val="single" w:sz="4" w:space="0" w:color="auto"/>
              <w:bottom w:val="single" w:sz="4" w:space="0" w:color="auto"/>
            </w:tcBorders>
            <w:vAlign w:val="center"/>
          </w:tcPr>
          <w:p w:rsidR="0057549A" w:rsidRPr="0057549A" w:rsidRDefault="0057549A" w:rsidP="0057549A">
            <w:pPr>
              <w:pStyle w:val="Body"/>
              <w:rPr>
                <w:rFonts w:ascii="Arial" w:hAnsi="Arial" w:cs="Arial"/>
                <w:b/>
                <w:bCs/>
                <w:sz w:val="20"/>
              </w:rPr>
            </w:pPr>
            <w:r w:rsidRPr="0057549A">
              <w:rPr>
                <w:rFonts w:ascii="Arial" w:hAnsi="Arial" w:cs="Arial"/>
                <w:b/>
                <w:bCs/>
                <w:sz w:val="20"/>
              </w:rPr>
              <w:t>Category</w:t>
            </w:r>
          </w:p>
        </w:tc>
        <w:tc>
          <w:tcPr>
            <w:tcW w:w="3117" w:type="dxa"/>
            <w:tcBorders>
              <w:top w:val="single" w:sz="4" w:space="0" w:color="auto"/>
              <w:bottom w:val="single" w:sz="4" w:space="0" w:color="auto"/>
            </w:tcBorders>
            <w:vAlign w:val="center"/>
          </w:tcPr>
          <w:p w:rsidR="0057549A" w:rsidRPr="0057549A" w:rsidRDefault="0057549A" w:rsidP="0057549A">
            <w:pPr>
              <w:pStyle w:val="Body"/>
              <w:rPr>
                <w:rFonts w:ascii="Arial" w:hAnsi="Arial" w:cs="Arial"/>
                <w:b/>
                <w:bCs/>
                <w:sz w:val="20"/>
              </w:rPr>
            </w:pPr>
            <w:r w:rsidRPr="0057549A">
              <w:rPr>
                <w:rFonts w:ascii="Arial" w:hAnsi="Arial" w:cs="Arial"/>
                <w:b/>
                <w:bCs/>
                <w:sz w:val="20"/>
              </w:rPr>
              <w:t>Number Trained</w:t>
            </w:r>
          </w:p>
        </w:tc>
        <w:tc>
          <w:tcPr>
            <w:tcW w:w="3117" w:type="dxa"/>
            <w:tcBorders>
              <w:top w:val="single" w:sz="4" w:space="0" w:color="auto"/>
              <w:bottom w:val="single" w:sz="4" w:space="0" w:color="auto"/>
            </w:tcBorders>
            <w:vAlign w:val="center"/>
          </w:tcPr>
          <w:p w:rsidR="0057549A" w:rsidRPr="0057549A" w:rsidRDefault="0057549A" w:rsidP="0057549A">
            <w:pPr>
              <w:pStyle w:val="Body"/>
              <w:rPr>
                <w:rFonts w:ascii="Arial" w:hAnsi="Arial" w:cs="Arial"/>
                <w:b/>
                <w:bCs/>
                <w:sz w:val="20"/>
              </w:rPr>
            </w:pPr>
            <w:r w:rsidRPr="0057549A">
              <w:rPr>
                <w:rFonts w:ascii="Arial" w:hAnsi="Arial" w:cs="Arial"/>
                <w:b/>
                <w:bCs/>
                <w:sz w:val="20"/>
              </w:rPr>
              <w:t>Notes</w:t>
            </w:r>
          </w:p>
        </w:tc>
      </w:tr>
      <w:tr w:rsidR="0057549A" w:rsidRPr="0057549A" w:rsidTr="00807CF3">
        <w:tc>
          <w:tcPr>
            <w:tcW w:w="3116" w:type="dxa"/>
            <w:tcBorders>
              <w:top w:val="single" w:sz="4" w:space="0" w:color="auto"/>
            </w:tcBorders>
            <w:vAlign w:val="center"/>
          </w:tcPr>
          <w:p w:rsidR="0057549A" w:rsidRPr="0057549A" w:rsidRDefault="0057549A" w:rsidP="0057549A">
            <w:pPr>
              <w:pStyle w:val="Body"/>
              <w:rPr>
                <w:rFonts w:ascii="Arial" w:hAnsi="Arial" w:cs="Arial"/>
                <w:sz w:val="20"/>
              </w:rPr>
            </w:pPr>
            <w:r w:rsidRPr="0057549A">
              <w:rPr>
                <w:rFonts w:ascii="Arial" w:hAnsi="Arial" w:cs="Arial"/>
                <w:sz w:val="20"/>
              </w:rPr>
              <w:t>Healthcare workers</w:t>
            </w:r>
          </w:p>
        </w:tc>
        <w:tc>
          <w:tcPr>
            <w:tcW w:w="3117" w:type="dxa"/>
            <w:tcBorders>
              <w:top w:val="single" w:sz="4" w:space="0" w:color="auto"/>
            </w:tcBorders>
            <w:vAlign w:val="center"/>
          </w:tcPr>
          <w:p w:rsidR="0057549A" w:rsidRPr="0057549A" w:rsidRDefault="0057549A" w:rsidP="0057549A">
            <w:pPr>
              <w:pStyle w:val="Body"/>
              <w:rPr>
                <w:rFonts w:ascii="Arial" w:hAnsi="Arial" w:cs="Arial"/>
                <w:sz w:val="20"/>
              </w:rPr>
            </w:pPr>
            <w:r w:rsidRPr="0057549A">
              <w:rPr>
                <w:rFonts w:ascii="Arial" w:hAnsi="Arial" w:cs="Arial"/>
                <w:b/>
                <w:bCs/>
                <w:sz w:val="20"/>
              </w:rPr>
              <w:t>478</w:t>
            </w:r>
          </w:p>
        </w:tc>
        <w:tc>
          <w:tcPr>
            <w:tcW w:w="3117" w:type="dxa"/>
            <w:tcBorders>
              <w:top w:val="single" w:sz="4" w:space="0" w:color="auto"/>
            </w:tcBorders>
            <w:vAlign w:val="center"/>
          </w:tcPr>
          <w:p w:rsidR="0057549A" w:rsidRPr="0057549A" w:rsidRDefault="0057549A" w:rsidP="0057549A">
            <w:pPr>
              <w:pStyle w:val="Body"/>
              <w:rPr>
                <w:rFonts w:ascii="Arial" w:hAnsi="Arial" w:cs="Arial"/>
                <w:sz w:val="20"/>
              </w:rPr>
            </w:pPr>
            <w:r w:rsidRPr="0057549A">
              <w:rPr>
                <w:rFonts w:ascii="Arial" w:hAnsi="Arial" w:cs="Arial"/>
                <w:sz w:val="20"/>
              </w:rPr>
              <w:t>Trained on HBV/HCV testing, TDF prophylaxis, vaccination, counseling</w:t>
            </w:r>
          </w:p>
        </w:tc>
      </w:tr>
      <w:tr w:rsidR="0057549A" w:rsidRPr="0057549A" w:rsidTr="00807CF3">
        <w:tc>
          <w:tcPr>
            <w:tcW w:w="3116" w:type="dxa"/>
            <w:tcBorders>
              <w:bottom w:val="single" w:sz="4" w:space="0" w:color="auto"/>
            </w:tcBorders>
            <w:vAlign w:val="center"/>
          </w:tcPr>
          <w:p w:rsidR="0057549A" w:rsidRPr="0057549A" w:rsidRDefault="0057549A" w:rsidP="0057549A">
            <w:pPr>
              <w:pStyle w:val="Body"/>
              <w:rPr>
                <w:rFonts w:ascii="Arial" w:hAnsi="Arial" w:cs="Arial"/>
                <w:sz w:val="20"/>
              </w:rPr>
            </w:pPr>
            <w:r w:rsidRPr="0057549A">
              <w:rPr>
                <w:rFonts w:ascii="Arial" w:hAnsi="Arial" w:cs="Arial"/>
                <w:sz w:val="20"/>
              </w:rPr>
              <w:t>Peer navigators</w:t>
            </w:r>
          </w:p>
        </w:tc>
        <w:tc>
          <w:tcPr>
            <w:tcW w:w="3117" w:type="dxa"/>
            <w:tcBorders>
              <w:bottom w:val="single" w:sz="4" w:space="0" w:color="auto"/>
            </w:tcBorders>
            <w:vAlign w:val="center"/>
          </w:tcPr>
          <w:p w:rsidR="0057549A" w:rsidRPr="0057549A" w:rsidRDefault="0057549A" w:rsidP="0057549A">
            <w:pPr>
              <w:pStyle w:val="Body"/>
              <w:rPr>
                <w:rFonts w:ascii="Arial" w:hAnsi="Arial" w:cs="Arial"/>
                <w:sz w:val="20"/>
              </w:rPr>
            </w:pPr>
            <w:r w:rsidRPr="0057549A">
              <w:rPr>
                <w:rFonts w:ascii="Arial" w:hAnsi="Arial" w:cs="Arial"/>
                <w:b/>
                <w:bCs/>
                <w:sz w:val="20"/>
              </w:rPr>
              <w:t>600</w:t>
            </w:r>
          </w:p>
        </w:tc>
        <w:tc>
          <w:tcPr>
            <w:tcW w:w="3117" w:type="dxa"/>
            <w:tcBorders>
              <w:bottom w:val="single" w:sz="4" w:space="0" w:color="auto"/>
            </w:tcBorders>
            <w:vAlign w:val="center"/>
          </w:tcPr>
          <w:p w:rsidR="0057549A" w:rsidRPr="0057549A" w:rsidRDefault="0057549A" w:rsidP="0057549A">
            <w:pPr>
              <w:pStyle w:val="Body"/>
              <w:rPr>
                <w:rFonts w:ascii="Arial" w:hAnsi="Arial" w:cs="Arial"/>
                <w:sz w:val="20"/>
              </w:rPr>
            </w:pPr>
            <w:r w:rsidRPr="0057549A">
              <w:rPr>
                <w:rFonts w:ascii="Arial" w:hAnsi="Arial" w:cs="Arial"/>
                <w:sz w:val="20"/>
              </w:rPr>
              <w:t>70% have lived hepatitis experience</w:t>
            </w:r>
          </w:p>
        </w:tc>
      </w:tr>
    </w:tbl>
    <w:p w:rsidR="0057549A" w:rsidRPr="0057549A" w:rsidRDefault="0057549A" w:rsidP="0057549A">
      <w:pPr>
        <w:pStyle w:val="Body"/>
        <w:rPr>
          <w:rFonts w:ascii="Arial" w:hAnsi="Arial" w:cs="Arial"/>
        </w:rPr>
      </w:pPr>
    </w:p>
    <w:p w:rsidR="0057549A" w:rsidRPr="00807CF3" w:rsidRDefault="0057549A" w:rsidP="0057549A">
      <w:pPr>
        <w:pStyle w:val="Body"/>
        <w:rPr>
          <w:rFonts w:ascii="Arial" w:hAnsi="Arial" w:cs="Arial"/>
          <w:b/>
        </w:rPr>
      </w:pPr>
      <w:r w:rsidRPr="00807CF3">
        <w:rPr>
          <w:rFonts w:ascii="Arial" w:hAnsi="Arial" w:cs="Arial"/>
          <w:b/>
        </w:rPr>
        <w:t>Table 5. Peer Navigation Outcomes</w:t>
      </w:r>
    </w:p>
    <w:tbl>
      <w:tblPr>
        <w:tblStyle w:val="TableGrid"/>
        <w:tblW w:w="9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57549A" w:rsidRPr="0057549A" w:rsidTr="00807CF3">
        <w:tc>
          <w:tcPr>
            <w:tcW w:w="4675" w:type="dxa"/>
            <w:tcBorders>
              <w:top w:val="single" w:sz="4" w:space="0" w:color="auto"/>
              <w:bottom w:val="single" w:sz="4" w:space="0" w:color="auto"/>
            </w:tcBorders>
            <w:vAlign w:val="center"/>
          </w:tcPr>
          <w:p w:rsidR="0057549A" w:rsidRPr="0057549A" w:rsidRDefault="0057549A" w:rsidP="0057549A">
            <w:pPr>
              <w:pStyle w:val="Body"/>
              <w:rPr>
                <w:rFonts w:ascii="Arial" w:hAnsi="Arial" w:cs="Arial"/>
                <w:b/>
                <w:bCs/>
                <w:sz w:val="20"/>
              </w:rPr>
            </w:pPr>
            <w:r w:rsidRPr="0057549A">
              <w:rPr>
                <w:rFonts w:ascii="Arial" w:hAnsi="Arial" w:cs="Arial"/>
                <w:b/>
                <w:bCs/>
                <w:sz w:val="20"/>
              </w:rPr>
              <w:t>Indicator</w:t>
            </w:r>
          </w:p>
        </w:tc>
        <w:tc>
          <w:tcPr>
            <w:tcW w:w="4675" w:type="dxa"/>
            <w:tcBorders>
              <w:top w:val="single" w:sz="4" w:space="0" w:color="auto"/>
              <w:bottom w:val="single" w:sz="4" w:space="0" w:color="auto"/>
            </w:tcBorders>
            <w:vAlign w:val="center"/>
          </w:tcPr>
          <w:p w:rsidR="0057549A" w:rsidRPr="0057549A" w:rsidRDefault="0057549A" w:rsidP="0057549A">
            <w:pPr>
              <w:pStyle w:val="Body"/>
              <w:rPr>
                <w:rFonts w:ascii="Arial" w:hAnsi="Arial" w:cs="Arial"/>
                <w:b/>
                <w:bCs/>
                <w:sz w:val="20"/>
              </w:rPr>
            </w:pPr>
            <w:r w:rsidRPr="0057549A">
              <w:rPr>
                <w:rFonts w:ascii="Arial" w:hAnsi="Arial" w:cs="Arial"/>
                <w:b/>
                <w:bCs/>
                <w:sz w:val="20"/>
              </w:rPr>
              <w:t>Result</w:t>
            </w:r>
          </w:p>
        </w:tc>
      </w:tr>
      <w:tr w:rsidR="0057549A" w:rsidRPr="0057549A" w:rsidTr="00807CF3">
        <w:tc>
          <w:tcPr>
            <w:tcW w:w="4675" w:type="dxa"/>
            <w:tcBorders>
              <w:top w:val="single" w:sz="4" w:space="0" w:color="auto"/>
            </w:tcBorders>
            <w:vAlign w:val="center"/>
          </w:tcPr>
          <w:p w:rsidR="0057549A" w:rsidRPr="0057549A" w:rsidRDefault="0057549A" w:rsidP="0057549A">
            <w:pPr>
              <w:pStyle w:val="Body"/>
              <w:rPr>
                <w:rFonts w:ascii="Arial" w:hAnsi="Arial" w:cs="Arial"/>
                <w:sz w:val="20"/>
              </w:rPr>
            </w:pPr>
            <w:r w:rsidRPr="0057549A">
              <w:rPr>
                <w:rFonts w:ascii="Arial" w:hAnsi="Arial" w:cs="Arial"/>
                <w:sz w:val="20"/>
              </w:rPr>
              <w:t>Previously diagnosed but untreated individuals relinked to care</w:t>
            </w:r>
          </w:p>
        </w:tc>
        <w:tc>
          <w:tcPr>
            <w:tcW w:w="4675" w:type="dxa"/>
            <w:tcBorders>
              <w:top w:val="single" w:sz="4" w:space="0" w:color="auto"/>
            </w:tcBorders>
            <w:vAlign w:val="center"/>
          </w:tcPr>
          <w:p w:rsidR="0057549A" w:rsidRPr="0057549A" w:rsidRDefault="0057549A" w:rsidP="0057549A">
            <w:pPr>
              <w:pStyle w:val="Body"/>
              <w:rPr>
                <w:rFonts w:ascii="Arial" w:hAnsi="Arial" w:cs="Arial"/>
                <w:sz w:val="20"/>
              </w:rPr>
            </w:pPr>
            <w:r w:rsidRPr="0057549A">
              <w:rPr>
                <w:rFonts w:ascii="Arial" w:hAnsi="Arial" w:cs="Arial"/>
                <w:b/>
                <w:bCs/>
                <w:sz w:val="20"/>
              </w:rPr>
              <w:t>226</w:t>
            </w:r>
          </w:p>
        </w:tc>
      </w:tr>
      <w:tr w:rsidR="0057549A" w:rsidRPr="0057549A" w:rsidTr="00807CF3">
        <w:tc>
          <w:tcPr>
            <w:tcW w:w="4675" w:type="dxa"/>
            <w:tcBorders>
              <w:bottom w:val="single" w:sz="4" w:space="0" w:color="auto"/>
            </w:tcBorders>
            <w:vAlign w:val="center"/>
          </w:tcPr>
          <w:p w:rsidR="0057549A" w:rsidRPr="0057549A" w:rsidRDefault="0057549A" w:rsidP="0057549A">
            <w:pPr>
              <w:pStyle w:val="Body"/>
              <w:rPr>
                <w:rFonts w:ascii="Arial" w:hAnsi="Arial" w:cs="Arial"/>
                <w:sz w:val="20"/>
              </w:rPr>
            </w:pPr>
            <w:r w:rsidRPr="0057549A">
              <w:rPr>
                <w:rFonts w:ascii="Arial" w:hAnsi="Arial" w:cs="Arial"/>
                <w:sz w:val="20"/>
              </w:rPr>
              <w:lastRenderedPageBreak/>
              <w:t>Reported outcomes from peer navigators</w:t>
            </w:r>
          </w:p>
        </w:tc>
        <w:tc>
          <w:tcPr>
            <w:tcW w:w="4675" w:type="dxa"/>
            <w:tcBorders>
              <w:bottom w:val="single" w:sz="4" w:space="0" w:color="auto"/>
            </w:tcBorders>
            <w:vAlign w:val="center"/>
          </w:tcPr>
          <w:p w:rsidR="0057549A" w:rsidRPr="0057549A" w:rsidRDefault="0057549A" w:rsidP="0057549A">
            <w:pPr>
              <w:pStyle w:val="Body"/>
              <w:rPr>
                <w:rFonts w:ascii="Arial" w:hAnsi="Arial" w:cs="Arial"/>
                <w:sz w:val="20"/>
              </w:rPr>
            </w:pPr>
            <w:r w:rsidRPr="0057549A">
              <w:rPr>
                <w:rFonts w:ascii="Arial" w:hAnsi="Arial" w:cs="Arial"/>
                <w:sz w:val="20"/>
              </w:rPr>
              <w:t>Reduced stigma; increased patient trust; improved follow-up adherence; better collaboration with facility staff</w:t>
            </w:r>
          </w:p>
        </w:tc>
      </w:tr>
    </w:tbl>
    <w:p w:rsidR="0057549A" w:rsidRPr="0057549A" w:rsidRDefault="0057549A" w:rsidP="0057549A">
      <w:pPr>
        <w:pStyle w:val="Body"/>
        <w:spacing w:after="0"/>
        <w:rPr>
          <w:rFonts w:ascii="Arial" w:hAnsi="Arial" w:cs="Arial"/>
        </w:rPr>
      </w:pPr>
    </w:p>
    <w:p w:rsidR="0057549A" w:rsidRPr="00807CF3" w:rsidRDefault="0057549A" w:rsidP="0057549A">
      <w:pPr>
        <w:pStyle w:val="Body"/>
        <w:rPr>
          <w:rFonts w:ascii="Arial" w:hAnsi="Arial" w:cs="Arial"/>
          <w:b/>
        </w:rPr>
      </w:pPr>
      <w:r w:rsidRPr="00807CF3">
        <w:rPr>
          <w:rFonts w:ascii="Arial" w:hAnsi="Arial" w:cs="Arial"/>
          <w:b/>
        </w:rPr>
        <w:t>Table 6. Community and Media Awareness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0"/>
        <w:gridCol w:w="5400"/>
      </w:tblGrid>
      <w:tr w:rsidR="0057549A" w:rsidRPr="0057549A" w:rsidTr="00807CF3">
        <w:tc>
          <w:tcPr>
            <w:tcW w:w="2500" w:type="pct"/>
            <w:tcBorders>
              <w:top w:val="single" w:sz="4" w:space="0" w:color="auto"/>
              <w:bottom w:val="single" w:sz="4" w:space="0" w:color="auto"/>
            </w:tcBorders>
            <w:vAlign w:val="center"/>
          </w:tcPr>
          <w:p w:rsidR="0057549A" w:rsidRPr="0057549A" w:rsidRDefault="0057549A" w:rsidP="0057549A">
            <w:pPr>
              <w:pStyle w:val="Body"/>
              <w:rPr>
                <w:rFonts w:ascii="Arial" w:hAnsi="Arial" w:cs="Arial"/>
                <w:b/>
                <w:bCs/>
                <w:sz w:val="20"/>
              </w:rPr>
            </w:pPr>
            <w:r w:rsidRPr="0057549A">
              <w:rPr>
                <w:rFonts w:ascii="Arial" w:hAnsi="Arial" w:cs="Arial"/>
                <w:b/>
                <w:bCs/>
                <w:sz w:val="20"/>
              </w:rPr>
              <w:t>Indicator</w:t>
            </w:r>
          </w:p>
        </w:tc>
        <w:tc>
          <w:tcPr>
            <w:tcW w:w="2500" w:type="pct"/>
            <w:tcBorders>
              <w:top w:val="single" w:sz="4" w:space="0" w:color="auto"/>
              <w:bottom w:val="single" w:sz="4" w:space="0" w:color="auto"/>
            </w:tcBorders>
            <w:vAlign w:val="center"/>
          </w:tcPr>
          <w:p w:rsidR="0057549A" w:rsidRPr="0057549A" w:rsidRDefault="0057549A" w:rsidP="0057549A">
            <w:pPr>
              <w:pStyle w:val="Body"/>
              <w:rPr>
                <w:rFonts w:ascii="Arial" w:hAnsi="Arial" w:cs="Arial"/>
                <w:b/>
                <w:bCs/>
                <w:sz w:val="20"/>
              </w:rPr>
            </w:pPr>
            <w:r w:rsidRPr="0057549A">
              <w:rPr>
                <w:rFonts w:ascii="Arial" w:hAnsi="Arial" w:cs="Arial"/>
                <w:b/>
                <w:bCs/>
                <w:sz w:val="20"/>
              </w:rPr>
              <w:t>Result</w:t>
            </w:r>
          </w:p>
        </w:tc>
      </w:tr>
      <w:tr w:rsidR="0057549A" w:rsidRPr="0057549A" w:rsidTr="00807CF3">
        <w:tc>
          <w:tcPr>
            <w:tcW w:w="2500" w:type="pct"/>
            <w:tcBorders>
              <w:top w:val="single" w:sz="4" w:space="0" w:color="auto"/>
            </w:tcBorders>
            <w:vAlign w:val="center"/>
          </w:tcPr>
          <w:p w:rsidR="0057549A" w:rsidRPr="0057549A" w:rsidRDefault="0057549A" w:rsidP="0057549A">
            <w:pPr>
              <w:pStyle w:val="Body"/>
              <w:rPr>
                <w:rFonts w:ascii="Arial" w:hAnsi="Arial" w:cs="Arial"/>
                <w:sz w:val="20"/>
              </w:rPr>
            </w:pPr>
            <w:r w:rsidRPr="0057549A">
              <w:rPr>
                <w:rFonts w:ascii="Arial" w:hAnsi="Arial" w:cs="Arial"/>
                <w:sz w:val="20"/>
              </w:rPr>
              <w:t>Estimated media reach</w:t>
            </w:r>
          </w:p>
        </w:tc>
        <w:tc>
          <w:tcPr>
            <w:tcW w:w="2500" w:type="pct"/>
            <w:tcBorders>
              <w:top w:val="single" w:sz="4" w:space="0" w:color="auto"/>
            </w:tcBorders>
            <w:vAlign w:val="center"/>
          </w:tcPr>
          <w:p w:rsidR="0057549A" w:rsidRPr="0057549A" w:rsidRDefault="0057549A" w:rsidP="0057549A">
            <w:pPr>
              <w:pStyle w:val="Body"/>
              <w:rPr>
                <w:rFonts w:ascii="Arial" w:hAnsi="Arial" w:cs="Arial"/>
                <w:sz w:val="20"/>
              </w:rPr>
            </w:pPr>
            <w:r w:rsidRPr="0057549A">
              <w:rPr>
                <w:rFonts w:ascii="Arial" w:hAnsi="Arial" w:cs="Arial"/>
                <w:b/>
                <w:bCs/>
                <w:sz w:val="20"/>
              </w:rPr>
              <w:t>15–20 million Nigerians</w:t>
            </w:r>
          </w:p>
        </w:tc>
      </w:tr>
      <w:tr w:rsidR="0057549A" w:rsidRPr="0057549A" w:rsidTr="00807CF3">
        <w:tc>
          <w:tcPr>
            <w:tcW w:w="2500" w:type="pct"/>
            <w:tcBorders>
              <w:bottom w:val="single" w:sz="4" w:space="0" w:color="auto"/>
            </w:tcBorders>
            <w:vAlign w:val="center"/>
          </w:tcPr>
          <w:p w:rsidR="0057549A" w:rsidRPr="0057549A" w:rsidRDefault="0057549A" w:rsidP="0057549A">
            <w:pPr>
              <w:pStyle w:val="Body"/>
              <w:rPr>
                <w:rFonts w:ascii="Arial" w:hAnsi="Arial" w:cs="Arial"/>
                <w:sz w:val="20"/>
              </w:rPr>
            </w:pPr>
            <w:r w:rsidRPr="0057549A">
              <w:rPr>
                <w:rFonts w:ascii="Arial" w:hAnsi="Arial" w:cs="Arial"/>
                <w:sz w:val="20"/>
              </w:rPr>
              <w:t>Key awareness messages achieved</w:t>
            </w:r>
          </w:p>
        </w:tc>
        <w:tc>
          <w:tcPr>
            <w:tcW w:w="2500" w:type="pct"/>
            <w:tcBorders>
              <w:bottom w:val="single" w:sz="4" w:space="0" w:color="auto"/>
            </w:tcBorders>
            <w:vAlign w:val="center"/>
          </w:tcPr>
          <w:p w:rsidR="0057549A" w:rsidRPr="0057549A" w:rsidRDefault="0057549A" w:rsidP="0057549A">
            <w:pPr>
              <w:pStyle w:val="Body"/>
              <w:rPr>
                <w:rFonts w:ascii="Arial" w:hAnsi="Arial" w:cs="Arial"/>
                <w:sz w:val="20"/>
              </w:rPr>
            </w:pPr>
            <w:r w:rsidRPr="0057549A">
              <w:rPr>
                <w:rFonts w:ascii="Arial" w:hAnsi="Arial" w:cs="Arial"/>
                <w:sz w:val="20"/>
              </w:rPr>
              <w:t>HBV prevention; household transmission; free testing availability; importance of ANC screening</w:t>
            </w:r>
          </w:p>
        </w:tc>
      </w:tr>
    </w:tbl>
    <w:p w:rsidR="00502516" w:rsidRDefault="00502516" w:rsidP="00441B6F">
      <w:pPr>
        <w:pStyle w:val="Body"/>
        <w:spacing w:after="0"/>
        <w:rPr>
          <w:rFonts w:ascii="Arial" w:hAnsi="Arial" w:cs="Arial"/>
        </w:rPr>
      </w:pPr>
    </w:p>
    <w:p w:rsidR="00790ADA" w:rsidRPr="00502516" w:rsidRDefault="00790ADA" w:rsidP="00441B6F">
      <w:pPr>
        <w:pStyle w:val="Body"/>
        <w:spacing w:after="0"/>
        <w:rPr>
          <w:rFonts w:ascii="Arial" w:hAnsi="Arial" w:cs="Arial"/>
        </w:rPr>
      </w:pPr>
    </w:p>
    <w:p w:rsidR="00807CF3" w:rsidRPr="00807CF3" w:rsidRDefault="00807CF3" w:rsidP="00807CF3">
      <w:pPr>
        <w:pStyle w:val="Body"/>
        <w:spacing w:after="0"/>
        <w:rPr>
          <w:rFonts w:cs="Arial"/>
          <w:b/>
          <w:bCs/>
        </w:rPr>
      </w:pPr>
      <w:r w:rsidRPr="00807CF3">
        <w:rPr>
          <w:rFonts w:cs="Arial"/>
          <w:b/>
          <w:bCs/>
        </w:rPr>
        <w:t xml:space="preserve">Description of Results </w:t>
      </w:r>
    </w:p>
    <w:p w:rsidR="00807CF3" w:rsidRPr="00807CF3" w:rsidRDefault="00807CF3" w:rsidP="00807CF3">
      <w:pPr>
        <w:pStyle w:val="Body"/>
        <w:spacing w:after="0"/>
        <w:rPr>
          <w:rFonts w:ascii="Arial" w:hAnsi="Arial" w:cs="Arial"/>
        </w:rPr>
      </w:pPr>
      <w:r w:rsidRPr="00807CF3">
        <w:rPr>
          <w:rFonts w:ascii="Arial" w:hAnsi="Arial" w:cs="Arial"/>
        </w:rPr>
        <w:t xml:space="preserve">The program screened </w:t>
      </w:r>
      <w:r w:rsidRPr="00807CF3">
        <w:rPr>
          <w:rFonts w:ascii="Arial" w:hAnsi="Arial" w:cs="Arial"/>
          <w:bCs/>
        </w:rPr>
        <w:t>116,000 pregnant women</w:t>
      </w:r>
      <w:r w:rsidRPr="00807CF3">
        <w:rPr>
          <w:rFonts w:ascii="Arial" w:hAnsi="Arial" w:cs="Arial"/>
        </w:rPr>
        <w:t xml:space="preserve"> for HBsAg and anti-HCV and an additional </w:t>
      </w:r>
      <w:r w:rsidRPr="00807CF3">
        <w:rPr>
          <w:rFonts w:ascii="Arial" w:hAnsi="Arial" w:cs="Arial"/>
          <w:bCs/>
        </w:rPr>
        <w:t>38,115 partners and household members</w:t>
      </w:r>
      <w:r w:rsidRPr="00807CF3">
        <w:rPr>
          <w:rFonts w:ascii="Arial" w:hAnsi="Arial" w:cs="Arial"/>
        </w:rPr>
        <w:t xml:space="preserve"> through a family-centered outreach model, representing a </w:t>
      </w:r>
      <w:r w:rsidRPr="00807CF3">
        <w:rPr>
          <w:rFonts w:ascii="Arial" w:hAnsi="Arial" w:cs="Arial"/>
          <w:bCs/>
        </w:rPr>
        <w:t>major improvement</w:t>
      </w:r>
      <w:r w:rsidRPr="00807CF3">
        <w:rPr>
          <w:rFonts w:ascii="Arial" w:hAnsi="Arial" w:cs="Arial"/>
        </w:rPr>
        <w:t xml:space="preserve"> compared to baseline ANC screening levels. </w:t>
      </w:r>
      <w:r w:rsidRPr="00807CF3">
        <w:rPr>
          <w:rFonts w:ascii="Arial" w:hAnsi="Arial" w:cs="Arial"/>
          <w:bCs/>
        </w:rPr>
        <w:t>All HBV-positive pregnant women</w:t>
      </w:r>
      <w:r w:rsidRPr="00807CF3">
        <w:rPr>
          <w:rFonts w:ascii="Arial" w:hAnsi="Arial" w:cs="Arial"/>
        </w:rPr>
        <w:t xml:space="preserve"> identified were initiated on </w:t>
      </w:r>
      <w:r w:rsidRPr="00807CF3">
        <w:rPr>
          <w:rFonts w:ascii="Arial" w:hAnsi="Arial" w:cs="Arial"/>
          <w:bCs/>
        </w:rPr>
        <w:t>TDF prophylaxis</w:t>
      </w:r>
      <w:r w:rsidRPr="00807CF3">
        <w:rPr>
          <w:rFonts w:ascii="Arial" w:hAnsi="Arial" w:cs="Arial"/>
        </w:rPr>
        <w:t xml:space="preserve">, achieving </w:t>
      </w:r>
      <w:r w:rsidRPr="00807CF3">
        <w:rPr>
          <w:rFonts w:ascii="Arial" w:hAnsi="Arial" w:cs="Arial"/>
          <w:bCs/>
        </w:rPr>
        <w:t>100% uptake</w:t>
      </w:r>
      <w:r w:rsidRPr="00807CF3">
        <w:rPr>
          <w:rFonts w:ascii="Arial" w:hAnsi="Arial" w:cs="Arial"/>
        </w:rPr>
        <w:t>.</w:t>
      </w:r>
    </w:p>
    <w:p w:rsidR="00807CF3" w:rsidRPr="00807CF3" w:rsidRDefault="00807CF3" w:rsidP="00807CF3">
      <w:pPr>
        <w:pStyle w:val="Body"/>
        <w:spacing w:after="0"/>
        <w:rPr>
          <w:rFonts w:ascii="Arial" w:hAnsi="Arial" w:cs="Arial"/>
        </w:rPr>
      </w:pPr>
      <w:r w:rsidRPr="00807CF3">
        <w:rPr>
          <w:rFonts w:ascii="Arial" w:hAnsi="Arial" w:cs="Arial"/>
        </w:rPr>
        <w:t xml:space="preserve">Household vaccination uptake was </w:t>
      </w:r>
      <w:r w:rsidRPr="00807CF3">
        <w:rPr>
          <w:rFonts w:ascii="Arial" w:hAnsi="Arial" w:cs="Arial"/>
          <w:bCs/>
        </w:rPr>
        <w:t>high</w:t>
      </w:r>
      <w:r w:rsidRPr="00807CF3">
        <w:rPr>
          <w:rFonts w:ascii="Arial" w:hAnsi="Arial" w:cs="Arial"/>
        </w:rPr>
        <w:t xml:space="preserve">, supported by </w:t>
      </w:r>
      <w:r w:rsidRPr="00807CF3">
        <w:rPr>
          <w:rFonts w:ascii="Arial" w:hAnsi="Arial" w:cs="Arial"/>
          <w:bCs/>
        </w:rPr>
        <w:t>partner-inclusive counseling</w:t>
      </w:r>
      <w:r w:rsidRPr="00807CF3">
        <w:rPr>
          <w:rFonts w:ascii="Arial" w:hAnsi="Arial" w:cs="Arial"/>
        </w:rPr>
        <w:t xml:space="preserve"> that encouraged acceptance of the first HBV vaccine dose among HBV-negative contacts. The project strengthened workforce capacity by training </w:t>
      </w:r>
      <w:r w:rsidRPr="00807CF3">
        <w:rPr>
          <w:rFonts w:ascii="Arial" w:hAnsi="Arial" w:cs="Arial"/>
          <w:bCs/>
        </w:rPr>
        <w:t>478 healthcare workers</w:t>
      </w:r>
      <w:r w:rsidRPr="00807CF3">
        <w:rPr>
          <w:rFonts w:ascii="Arial" w:hAnsi="Arial" w:cs="Arial"/>
        </w:rPr>
        <w:t xml:space="preserve"> on HBV/HCV testing, TDF prophylaxis, vaccination, and counseling, and </w:t>
      </w:r>
      <w:r w:rsidRPr="00807CF3">
        <w:rPr>
          <w:rFonts w:ascii="Arial" w:hAnsi="Arial" w:cs="Arial"/>
          <w:bCs/>
        </w:rPr>
        <w:t>600 peer navigators</w:t>
      </w:r>
      <w:r w:rsidRPr="00807CF3">
        <w:rPr>
          <w:rFonts w:ascii="Arial" w:hAnsi="Arial" w:cs="Arial"/>
        </w:rPr>
        <w:t>, 70% of whom had lived hepatitis experience.</w:t>
      </w:r>
    </w:p>
    <w:p w:rsidR="00807CF3" w:rsidRPr="00807CF3" w:rsidRDefault="00807CF3" w:rsidP="00807CF3">
      <w:pPr>
        <w:pStyle w:val="Body"/>
        <w:spacing w:after="0"/>
        <w:rPr>
          <w:rFonts w:ascii="Arial" w:hAnsi="Arial" w:cs="Arial"/>
        </w:rPr>
      </w:pPr>
      <w:r w:rsidRPr="00807CF3">
        <w:rPr>
          <w:rFonts w:ascii="Arial" w:hAnsi="Arial" w:cs="Arial"/>
        </w:rPr>
        <w:t xml:space="preserve">Peer navigation efforts successfully </w:t>
      </w:r>
      <w:r w:rsidRPr="00807CF3">
        <w:rPr>
          <w:rFonts w:ascii="Arial" w:hAnsi="Arial" w:cs="Arial"/>
          <w:bCs/>
        </w:rPr>
        <w:t>relinked 226 previously diagnosed but untreated individuals to care</w:t>
      </w:r>
      <w:r w:rsidRPr="00807CF3">
        <w:rPr>
          <w:rFonts w:ascii="Arial" w:hAnsi="Arial" w:cs="Arial"/>
        </w:rPr>
        <w:t xml:space="preserve">, and navigators reported reduced stigma, improved trust, increased adherence, and stronger collaboration with facility staff. Community and media engagement reached an estimated </w:t>
      </w:r>
      <w:r w:rsidRPr="00807CF3">
        <w:rPr>
          <w:rFonts w:ascii="Arial" w:hAnsi="Arial" w:cs="Arial"/>
          <w:bCs/>
        </w:rPr>
        <w:t>15–20 million Nigerians</w:t>
      </w:r>
      <w:r w:rsidRPr="00807CF3">
        <w:rPr>
          <w:rFonts w:ascii="Arial" w:hAnsi="Arial" w:cs="Arial"/>
        </w:rPr>
        <w:t>, promoting key messages on HBV prevention, household transmission, free testing services, and the importance of ANC screening.</w:t>
      </w:r>
    </w:p>
    <w:p w:rsidR="00807CF3" w:rsidRPr="00807CF3" w:rsidRDefault="00807CF3" w:rsidP="00807CF3">
      <w:pPr>
        <w:pStyle w:val="Body"/>
        <w:spacing w:after="0"/>
        <w:rPr>
          <w:rFonts w:ascii="Arial" w:hAnsi="Arial" w:cs="Arial"/>
          <w:b/>
          <w:bCs/>
        </w:rPr>
      </w:pPr>
      <w:r w:rsidRPr="00807CF3">
        <w:rPr>
          <w:rFonts w:ascii="Arial" w:hAnsi="Arial" w:cs="Arial"/>
          <w:b/>
          <w:bCs/>
        </w:rPr>
        <w:t>4. DISCUSSION</w:t>
      </w:r>
    </w:p>
    <w:p w:rsidR="00807CF3" w:rsidRPr="00807CF3" w:rsidRDefault="00807CF3" w:rsidP="00807CF3">
      <w:pPr>
        <w:pStyle w:val="Body"/>
        <w:spacing w:after="0"/>
        <w:rPr>
          <w:rFonts w:ascii="Arial" w:hAnsi="Arial" w:cs="Arial"/>
        </w:rPr>
      </w:pPr>
      <w:r w:rsidRPr="00807CF3">
        <w:rPr>
          <w:rFonts w:ascii="Arial" w:hAnsi="Arial" w:cs="Arial"/>
        </w:rPr>
        <w:t xml:space="preserve">This study demonstrates that integrating family-centered viral hepatitis screening into ANC services is </w:t>
      </w:r>
      <w:r w:rsidRPr="00807CF3">
        <w:rPr>
          <w:rFonts w:ascii="Arial" w:hAnsi="Arial" w:cs="Arial"/>
          <w:bCs/>
        </w:rPr>
        <w:t>feasible, scalable, and impactful</w:t>
      </w:r>
      <w:r w:rsidRPr="00807CF3">
        <w:rPr>
          <w:rFonts w:ascii="Arial" w:hAnsi="Arial" w:cs="Arial"/>
        </w:rPr>
        <w:t xml:space="preserve"> in high-burden settings. Screening pregnant women alone fails to capture household-level transmission dynamics, but by extending services to partners and household members, this model significantly improved case-finding and prevention uptake.</w:t>
      </w:r>
    </w:p>
    <w:p w:rsidR="00807CF3" w:rsidRPr="00807CF3" w:rsidRDefault="00807CF3" w:rsidP="00807CF3">
      <w:pPr>
        <w:pStyle w:val="Body"/>
        <w:spacing w:after="0"/>
        <w:rPr>
          <w:rFonts w:ascii="Arial" w:hAnsi="Arial" w:cs="Arial"/>
        </w:rPr>
      </w:pPr>
      <w:r w:rsidRPr="00807CF3">
        <w:rPr>
          <w:rFonts w:ascii="Arial" w:hAnsi="Arial" w:cs="Arial"/>
        </w:rPr>
        <w:t>The findings validate WHO recommendations advocating for integrated, people-centered, and decentralized hepatitis services (WHO, 2022a; WHO, 2022b). The substantial screening coverage over 150,000 individuals shows how ANC can serve as an effective entry point for broader family-based hepatitis interventions in Nigeria.</w:t>
      </w:r>
    </w:p>
    <w:p w:rsidR="00807CF3" w:rsidRPr="00807CF3" w:rsidRDefault="00807CF3" w:rsidP="00807CF3">
      <w:pPr>
        <w:pStyle w:val="Body"/>
        <w:spacing w:after="0"/>
        <w:rPr>
          <w:rFonts w:ascii="Arial" w:hAnsi="Arial" w:cs="Arial"/>
        </w:rPr>
      </w:pPr>
      <w:r w:rsidRPr="00807CF3">
        <w:rPr>
          <w:rFonts w:ascii="Arial" w:hAnsi="Arial" w:cs="Arial"/>
        </w:rPr>
        <w:t>Notably, the workforce capacity-building component aligns with WHO’s training recommendations (WHO, 2020) and was critical to improving service quality. The large-scale media advocacy component addressed low awareness—long identified as a barrier in Nigeria (World Hepatitis Alliance, 2023; CFID Taraba, 2024).</w:t>
      </w:r>
    </w:p>
    <w:p w:rsidR="00807CF3" w:rsidRPr="00807CF3" w:rsidRDefault="00807CF3" w:rsidP="00807CF3">
      <w:pPr>
        <w:pStyle w:val="Body"/>
        <w:spacing w:after="0"/>
        <w:rPr>
          <w:rFonts w:ascii="Arial" w:hAnsi="Arial" w:cs="Arial"/>
        </w:rPr>
      </w:pPr>
      <w:r w:rsidRPr="00807CF3">
        <w:rPr>
          <w:rFonts w:ascii="Arial" w:hAnsi="Arial" w:cs="Arial"/>
        </w:rPr>
        <w:t>Peer navigation emerged as a high-impact strategy for improving linkage to care, consistent with global evidence showing that individuals with lived experience enhance patient trust and re-engagement.</w:t>
      </w:r>
    </w:p>
    <w:p w:rsidR="00807CF3" w:rsidRPr="00807CF3" w:rsidRDefault="00807CF3" w:rsidP="00807CF3">
      <w:pPr>
        <w:pStyle w:val="Body"/>
        <w:spacing w:after="0"/>
        <w:rPr>
          <w:rFonts w:ascii="Arial" w:hAnsi="Arial" w:cs="Arial"/>
        </w:rPr>
      </w:pPr>
      <w:r w:rsidRPr="00807CF3">
        <w:rPr>
          <w:rFonts w:ascii="Arial" w:hAnsi="Arial" w:cs="Arial"/>
        </w:rPr>
        <w:t>Overall, the inclusive and community-driven design of this program provides a replicable model for advancing HBV elimination goals in Nigeria and similar settings.</w:t>
      </w:r>
    </w:p>
    <w:p w:rsidR="00807CF3" w:rsidRPr="00807CF3" w:rsidRDefault="00807CF3" w:rsidP="00807CF3">
      <w:pPr>
        <w:pStyle w:val="Body"/>
        <w:spacing w:after="0"/>
        <w:rPr>
          <w:rFonts w:ascii="Arial" w:hAnsi="Arial" w:cs="Arial"/>
          <w:b/>
          <w:bCs/>
        </w:rPr>
      </w:pPr>
      <w:r w:rsidRPr="00807CF3">
        <w:rPr>
          <w:rFonts w:ascii="Arial" w:hAnsi="Arial" w:cs="Arial"/>
          <w:b/>
          <w:bCs/>
        </w:rPr>
        <w:t>5. CONCLUSION</w:t>
      </w:r>
    </w:p>
    <w:p w:rsidR="00807CF3" w:rsidRPr="00807CF3" w:rsidRDefault="00807CF3" w:rsidP="00807CF3">
      <w:pPr>
        <w:pStyle w:val="Body"/>
        <w:spacing w:after="0"/>
        <w:rPr>
          <w:rFonts w:ascii="Arial" w:hAnsi="Arial" w:cs="Arial"/>
        </w:rPr>
      </w:pPr>
      <w:r w:rsidRPr="00807CF3">
        <w:rPr>
          <w:rFonts w:ascii="Arial" w:hAnsi="Arial" w:cs="Arial"/>
        </w:rPr>
        <w:t>Family-centered HBV and HCV screening integrated into ANC platforms significantly improves testing coverage, linkage to care, partner involvement, and prevention outcomes. Strengthened workforce capacity and mass media engagement enhance health system readiness and public awareness.</w:t>
      </w:r>
    </w:p>
    <w:p w:rsidR="00807CF3" w:rsidRPr="00807CF3" w:rsidRDefault="00807CF3" w:rsidP="00807CF3">
      <w:pPr>
        <w:pStyle w:val="Body"/>
        <w:spacing w:after="0"/>
        <w:rPr>
          <w:rFonts w:ascii="Arial" w:hAnsi="Arial" w:cs="Arial"/>
        </w:rPr>
      </w:pPr>
      <w:r w:rsidRPr="00807CF3">
        <w:rPr>
          <w:rFonts w:ascii="Arial" w:hAnsi="Arial" w:cs="Arial"/>
        </w:rPr>
        <w:t>This model has strong potential for national scale-up and represents a critical step toward EMTCT of HBV and Nigeria’s broader viral hepatitis elimination targets by 2030.</w:t>
      </w:r>
    </w:p>
    <w:p w:rsidR="002B685A" w:rsidRDefault="002B685A" w:rsidP="00441B6F">
      <w:pPr>
        <w:pStyle w:val="ReferHead"/>
        <w:spacing w:after="0"/>
        <w:jc w:val="both"/>
        <w:rPr>
          <w:rFonts w:ascii="Arial" w:hAnsi="Arial" w:cs="Arial"/>
          <w:b w:val="0"/>
          <w:caps w:val="0"/>
          <w:sz w:val="20"/>
        </w:rPr>
      </w:pPr>
    </w:p>
    <w:p w:rsidR="00B01FCD" w:rsidRDefault="00B01FCD" w:rsidP="00441B6F">
      <w:pPr>
        <w:pStyle w:val="ReferHead"/>
        <w:spacing w:after="0"/>
        <w:jc w:val="both"/>
        <w:rPr>
          <w:rFonts w:ascii="Arial" w:hAnsi="Arial" w:cs="Arial"/>
        </w:rPr>
      </w:pPr>
      <w:r w:rsidRPr="00FB3A86">
        <w:rPr>
          <w:rFonts w:ascii="Arial" w:hAnsi="Arial" w:cs="Arial"/>
        </w:rPr>
        <w:t>References</w:t>
      </w:r>
      <w:bookmarkStart w:id="0" w:name="_GoBack"/>
      <w:bookmarkEnd w:id="0"/>
    </w:p>
    <w:p w:rsidR="00807CF3" w:rsidRPr="00807CF3" w:rsidRDefault="00807CF3" w:rsidP="00807CF3">
      <w:pPr>
        <w:pStyle w:val="Body"/>
        <w:spacing w:after="0"/>
        <w:rPr>
          <w:rFonts w:ascii="Arial" w:hAnsi="Arial" w:cs="Arial"/>
        </w:rPr>
      </w:pPr>
      <w:r w:rsidRPr="00807CF3">
        <w:rPr>
          <w:rFonts w:ascii="Arial" w:hAnsi="Arial" w:cs="Arial"/>
        </w:rPr>
        <w:t xml:space="preserve">CFID Taraba. (2024). </w:t>
      </w:r>
      <w:r w:rsidRPr="00807CF3">
        <w:rPr>
          <w:rFonts w:ascii="Arial" w:hAnsi="Arial" w:cs="Arial"/>
          <w:i/>
          <w:iCs/>
        </w:rPr>
        <w:t>Community engagement and hepatitis elimination initiatives in Taraba State, Nigeria</w:t>
      </w:r>
      <w:r w:rsidRPr="00807CF3">
        <w:rPr>
          <w:rFonts w:ascii="Arial" w:hAnsi="Arial" w:cs="Arial"/>
        </w:rPr>
        <w:t>. CFIDtaraba.org.</w:t>
      </w:r>
    </w:p>
    <w:p w:rsidR="00807CF3" w:rsidRPr="00807CF3" w:rsidRDefault="00807CF3" w:rsidP="00807CF3">
      <w:pPr>
        <w:pStyle w:val="Body"/>
        <w:spacing w:after="0"/>
        <w:rPr>
          <w:rFonts w:ascii="Arial" w:hAnsi="Arial" w:cs="Arial"/>
        </w:rPr>
      </w:pPr>
      <w:r w:rsidRPr="00807CF3">
        <w:rPr>
          <w:rFonts w:ascii="Arial" w:hAnsi="Arial" w:cs="Arial"/>
        </w:rPr>
        <w:t xml:space="preserve">Hepatitis B Foundation. (2023). </w:t>
      </w:r>
      <w:r w:rsidRPr="00807CF3">
        <w:rPr>
          <w:rFonts w:ascii="Arial" w:hAnsi="Arial" w:cs="Arial"/>
          <w:i/>
          <w:iCs/>
        </w:rPr>
        <w:t>Hepatitis B fact sheets and global burden statistics</w:t>
      </w:r>
      <w:r w:rsidRPr="00807CF3">
        <w:rPr>
          <w:rFonts w:ascii="Arial" w:hAnsi="Arial" w:cs="Arial"/>
        </w:rPr>
        <w:t>. HepatitisB.org.</w:t>
      </w:r>
    </w:p>
    <w:p w:rsidR="00807CF3" w:rsidRPr="00807CF3" w:rsidRDefault="00807CF3" w:rsidP="00807CF3">
      <w:pPr>
        <w:pStyle w:val="Body"/>
        <w:spacing w:after="0"/>
        <w:rPr>
          <w:rFonts w:ascii="Arial" w:hAnsi="Arial" w:cs="Arial"/>
        </w:rPr>
      </w:pPr>
      <w:r w:rsidRPr="00807CF3">
        <w:rPr>
          <w:rFonts w:ascii="Arial" w:hAnsi="Arial" w:cs="Arial"/>
        </w:rPr>
        <w:t xml:space="preserve">World Hepatitis Alliance. (2023). </w:t>
      </w:r>
      <w:r w:rsidRPr="00807CF3">
        <w:rPr>
          <w:rFonts w:ascii="Arial" w:hAnsi="Arial" w:cs="Arial"/>
          <w:i/>
          <w:iCs/>
        </w:rPr>
        <w:t>Global hepatitis civil society report and elimination updates</w:t>
      </w:r>
      <w:r w:rsidRPr="00807CF3">
        <w:rPr>
          <w:rFonts w:ascii="Arial" w:hAnsi="Arial" w:cs="Arial"/>
        </w:rPr>
        <w:t>. WorldHepatitisAlliance.org.</w:t>
      </w:r>
    </w:p>
    <w:p w:rsidR="00807CF3" w:rsidRPr="00807CF3" w:rsidRDefault="00807CF3" w:rsidP="00807CF3">
      <w:pPr>
        <w:pStyle w:val="Body"/>
        <w:spacing w:after="0"/>
        <w:rPr>
          <w:rFonts w:ascii="Arial" w:hAnsi="Arial" w:cs="Arial"/>
        </w:rPr>
      </w:pPr>
      <w:r w:rsidRPr="00807CF3">
        <w:rPr>
          <w:rFonts w:ascii="Arial" w:hAnsi="Arial" w:cs="Arial"/>
        </w:rPr>
        <w:t xml:space="preserve">World Health Organization. (2020). </w:t>
      </w:r>
      <w:r w:rsidRPr="00807CF3">
        <w:rPr>
          <w:rFonts w:ascii="Arial" w:hAnsi="Arial" w:cs="Arial"/>
          <w:i/>
          <w:iCs/>
        </w:rPr>
        <w:t>Training modules on hepatitis B and C screening, diagnosis and treatment</w:t>
      </w:r>
      <w:r w:rsidRPr="00807CF3">
        <w:rPr>
          <w:rFonts w:ascii="Arial" w:hAnsi="Arial" w:cs="Arial"/>
        </w:rPr>
        <w:t xml:space="preserve"> (ISBN: 978-92-9022-747-2). WHO. </w:t>
      </w:r>
      <w:hyperlink r:id="rId14" w:tgtFrame="_new" w:history="1">
        <w:r w:rsidRPr="00807CF3">
          <w:rPr>
            <w:rStyle w:val="Hyperlink"/>
            <w:rFonts w:ascii="Arial" w:hAnsi="Arial" w:cs="Arial"/>
          </w:rPr>
          <w:t>https://creativecommons.org/licenses/by-nc-sa/3.0/igo/</w:t>
        </w:r>
      </w:hyperlink>
    </w:p>
    <w:p w:rsidR="00807CF3" w:rsidRPr="00807CF3" w:rsidRDefault="00807CF3" w:rsidP="00807CF3">
      <w:pPr>
        <w:pStyle w:val="Body"/>
        <w:spacing w:after="0"/>
        <w:rPr>
          <w:rFonts w:ascii="Arial" w:hAnsi="Arial" w:cs="Arial"/>
        </w:rPr>
      </w:pPr>
      <w:r w:rsidRPr="00807CF3">
        <w:rPr>
          <w:rFonts w:ascii="Arial" w:hAnsi="Arial" w:cs="Arial"/>
        </w:rPr>
        <w:t xml:space="preserve">World Health Organization. (2022a). </w:t>
      </w:r>
      <w:r w:rsidRPr="00807CF3">
        <w:rPr>
          <w:rFonts w:ascii="Arial" w:hAnsi="Arial" w:cs="Arial"/>
          <w:i/>
          <w:iCs/>
        </w:rPr>
        <w:t>Consolidated guidelines on HIV, viral hepatitis and STI prevention, diagnosis, treatment and care for key populations: Policy brief</w:t>
      </w:r>
      <w:r w:rsidRPr="00807CF3">
        <w:rPr>
          <w:rFonts w:ascii="Arial" w:hAnsi="Arial" w:cs="Arial"/>
        </w:rPr>
        <w:t>. WHO. (</w:t>
      </w:r>
      <w:proofErr w:type="spellStart"/>
      <w:r w:rsidRPr="00807CF3">
        <w:rPr>
          <w:rFonts w:ascii="Arial" w:hAnsi="Arial" w:cs="Arial"/>
        </w:rPr>
        <w:t>Licence</w:t>
      </w:r>
      <w:proofErr w:type="spellEnd"/>
      <w:r w:rsidRPr="00807CF3">
        <w:rPr>
          <w:rFonts w:ascii="Arial" w:hAnsi="Arial" w:cs="Arial"/>
        </w:rPr>
        <w:t>: CC BY-NC-SA 3.0 IGO).</w:t>
      </w:r>
    </w:p>
    <w:p w:rsidR="00807CF3" w:rsidRPr="00807CF3" w:rsidRDefault="00807CF3" w:rsidP="00807CF3">
      <w:pPr>
        <w:pStyle w:val="Body"/>
        <w:spacing w:after="0"/>
        <w:rPr>
          <w:rFonts w:ascii="Arial" w:hAnsi="Arial" w:cs="Arial"/>
        </w:rPr>
      </w:pPr>
      <w:r w:rsidRPr="00807CF3">
        <w:rPr>
          <w:rFonts w:ascii="Arial" w:hAnsi="Arial" w:cs="Arial"/>
        </w:rPr>
        <w:t xml:space="preserve">World Health Organization. (2022b). </w:t>
      </w:r>
      <w:r w:rsidRPr="00807CF3">
        <w:rPr>
          <w:rFonts w:ascii="Arial" w:hAnsi="Arial" w:cs="Arial"/>
          <w:i/>
          <w:iCs/>
        </w:rPr>
        <w:t>Updated recommendations on HCV simplified service delivery and HCV diagnostics: Policy brief</w:t>
      </w:r>
      <w:r w:rsidRPr="00807CF3">
        <w:rPr>
          <w:rFonts w:ascii="Arial" w:hAnsi="Arial" w:cs="Arial"/>
        </w:rPr>
        <w:t>. WHO. (</w:t>
      </w:r>
      <w:proofErr w:type="spellStart"/>
      <w:r w:rsidRPr="00807CF3">
        <w:rPr>
          <w:rFonts w:ascii="Arial" w:hAnsi="Arial" w:cs="Arial"/>
        </w:rPr>
        <w:t>Licence</w:t>
      </w:r>
      <w:proofErr w:type="spellEnd"/>
      <w:r w:rsidRPr="00807CF3">
        <w:rPr>
          <w:rFonts w:ascii="Arial" w:hAnsi="Arial" w:cs="Arial"/>
        </w:rPr>
        <w:t>: CC BY-NC-SA 3.0 IGO).</w:t>
      </w:r>
    </w:p>
    <w:sectPr w:rsidR="00807CF3" w:rsidRPr="00807CF3" w:rsidSect="002D447B">
      <w:headerReference w:type="even" r:id="rId15"/>
      <w:headerReference w:type="default" r:id="rId16"/>
      <w:footerReference w:type="default" r:id="rId17"/>
      <w:headerReference w:type="first" r:id="rId18"/>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45DCB" w:rsidRDefault="00F45DCB" w:rsidP="00C37E61">
      <w:r>
        <w:separator/>
      </w:r>
    </w:p>
  </w:endnote>
  <w:endnote w:type="continuationSeparator" w:id="0">
    <w:p w:rsidR="00F45DCB" w:rsidRDefault="00F45DCB"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4A15" w:rsidRDefault="003A4A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4A15" w:rsidRDefault="003A4A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048A" w:rsidRDefault="009E048A">
    <w:pPr>
      <w:pStyle w:val="Footer"/>
      <w:rPr>
        <w:rFonts w:ascii="Arial" w:hAnsi="Arial" w:cs="Arial"/>
        <w:sz w:val="16"/>
      </w:rPr>
    </w:pPr>
  </w:p>
  <w:p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rsidR="009E048A" w:rsidRDefault="009E048A">
    <w:pPr>
      <w:pStyle w:val="Footer"/>
      <w:rPr>
        <w:rFonts w:ascii="Arial" w:hAnsi="Arial" w:cs="Arial"/>
        <w:sz w:val="16"/>
      </w:rPr>
    </w:pPr>
  </w:p>
  <w:p w:rsidR="00754C9A" w:rsidRPr="009E048A" w:rsidRDefault="00754C9A">
    <w:pPr>
      <w:pStyle w:val="Footer"/>
      <w:rPr>
        <w:rFonts w:ascii="Arial" w:hAnsi="Arial" w:cs="Arial"/>
        <w:i/>
        <w:sz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45DCB" w:rsidRDefault="00F45DCB" w:rsidP="00C37E61">
      <w:r>
        <w:separator/>
      </w:r>
    </w:p>
  </w:footnote>
  <w:footnote w:type="continuationSeparator" w:id="0">
    <w:p w:rsidR="00F45DCB" w:rsidRDefault="00F45DCB"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4A15" w:rsidRDefault="003A4A1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5133438"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4A15" w:rsidRDefault="003A4A1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5133439"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6529" w:rsidRPr="00296529" w:rsidRDefault="003A4A15" w:rsidP="00296529">
    <w:pPr>
      <w:ind w:left="2160"/>
      <w:jc w:val="center"/>
      <w:rPr>
        <w:rFonts w:ascii="Times New Roman" w:eastAsia="Calibri" w:hAnsi="Times New Roman"/>
        <w:i/>
        <w:sz w:val="18"/>
        <w:szCs w:val="2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5133437"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4A15" w:rsidRDefault="003A4A1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5133441"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4A15" w:rsidRDefault="003A4A1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5133442"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4A15" w:rsidRDefault="003A4A1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5133440"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30174"/>
    <w:rsid w:val="0004579C"/>
    <w:rsid w:val="00074153"/>
    <w:rsid w:val="000A47FA"/>
    <w:rsid w:val="000A65D3"/>
    <w:rsid w:val="000B1E33"/>
    <w:rsid w:val="000D689F"/>
    <w:rsid w:val="000E7B7B"/>
    <w:rsid w:val="000E7D62"/>
    <w:rsid w:val="00103357"/>
    <w:rsid w:val="00123C9F"/>
    <w:rsid w:val="00126190"/>
    <w:rsid w:val="00130F17"/>
    <w:rsid w:val="001320BF"/>
    <w:rsid w:val="00163BC4"/>
    <w:rsid w:val="00191062"/>
    <w:rsid w:val="00192B72"/>
    <w:rsid w:val="001940E9"/>
    <w:rsid w:val="001A29D8"/>
    <w:rsid w:val="001A5CAA"/>
    <w:rsid w:val="001B0427"/>
    <w:rsid w:val="001D3A51"/>
    <w:rsid w:val="001E10D2"/>
    <w:rsid w:val="001E25B4"/>
    <w:rsid w:val="001E44FE"/>
    <w:rsid w:val="00200595"/>
    <w:rsid w:val="00204835"/>
    <w:rsid w:val="00231920"/>
    <w:rsid w:val="0023195C"/>
    <w:rsid w:val="00237D94"/>
    <w:rsid w:val="0024282C"/>
    <w:rsid w:val="002460DC"/>
    <w:rsid w:val="00250985"/>
    <w:rsid w:val="002556F6"/>
    <w:rsid w:val="00283105"/>
    <w:rsid w:val="00284C4C"/>
    <w:rsid w:val="00287E68"/>
    <w:rsid w:val="00296529"/>
    <w:rsid w:val="002B27FB"/>
    <w:rsid w:val="002B685A"/>
    <w:rsid w:val="002B6DDD"/>
    <w:rsid w:val="002C57D2"/>
    <w:rsid w:val="002D447B"/>
    <w:rsid w:val="002E0D56"/>
    <w:rsid w:val="003106A9"/>
    <w:rsid w:val="00315186"/>
    <w:rsid w:val="0033343E"/>
    <w:rsid w:val="003512C2"/>
    <w:rsid w:val="00371FB6"/>
    <w:rsid w:val="003763C1"/>
    <w:rsid w:val="00376BBE"/>
    <w:rsid w:val="0039224F"/>
    <w:rsid w:val="003A43A4"/>
    <w:rsid w:val="003A4A15"/>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D305E"/>
    <w:rsid w:val="004D4277"/>
    <w:rsid w:val="00502516"/>
    <w:rsid w:val="00505F06"/>
    <w:rsid w:val="00506828"/>
    <w:rsid w:val="00523C24"/>
    <w:rsid w:val="0053056E"/>
    <w:rsid w:val="00554FDA"/>
    <w:rsid w:val="0057549A"/>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749E"/>
    <w:rsid w:val="00790ADA"/>
    <w:rsid w:val="007D2288"/>
    <w:rsid w:val="007E088F"/>
    <w:rsid w:val="007F7B32"/>
    <w:rsid w:val="00804BC2"/>
    <w:rsid w:val="00807CF3"/>
    <w:rsid w:val="00810705"/>
    <w:rsid w:val="0081431A"/>
    <w:rsid w:val="0083216F"/>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7C18"/>
    <w:rsid w:val="009659BA"/>
    <w:rsid w:val="00983040"/>
    <w:rsid w:val="009A2F29"/>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B01FCD"/>
    <w:rsid w:val="00B1776C"/>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D453D"/>
    <w:rsid w:val="00CD6755"/>
    <w:rsid w:val="00CD6856"/>
    <w:rsid w:val="00CE0089"/>
    <w:rsid w:val="00CE793C"/>
    <w:rsid w:val="00CF193C"/>
    <w:rsid w:val="00D12E57"/>
    <w:rsid w:val="00D16F2A"/>
    <w:rsid w:val="00D173F1"/>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5DCB"/>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0B4F43D8"/>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9A2F29"/>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Heading2Char">
    <w:name w:val="Heading 2 Char"/>
    <w:basedOn w:val="DefaultParagraphFont"/>
    <w:link w:val="Heading2"/>
    <w:semiHidden/>
    <w:rsid w:val="009A2F29"/>
    <w:rPr>
      <w:rFonts w:asciiTheme="majorHAnsi" w:eastAsiaTheme="majorEastAsia" w:hAnsiTheme="majorHAnsi" w:cstheme="majorBidi"/>
      <w:color w:val="365F91" w:themeColor="accent1" w:themeShade="BF"/>
      <w:sz w:val="26"/>
      <w:szCs w:val="26"/>
    </w:rPr>
  </w:style>
  <w:style w:type="paragraph" w:styleId="NormalWeb">
    <w:name w:val="Normal (Web)"/>
    <w:basedOn w:val="Normal"/>
    <w:semiHidden/>
    <w:unhideWhenUsed/>
    <w:rsid w:val="009A2F29"/>
    <w:rPr>
      <w:rFonts w:ascii="Times New Roman" w:hAnsi="Times New Roman"/>
      <w:sz w:val="24"/>
      <w:szCs w:val="24"/>
    </w:rPr>
  </w:style>
  <w:style w:type="character" w:styleId="UnresolvedMention">
    <w:name w:val="Unresolved Mention"/>
    <w:basedOn w:val="DefaultParagraphFont"/>
    <w:uiPriority w:val="99"/>
    <w:semiHidden/>
    <w:unhideWhenUsed/>
    <w:rsid w:val="00237D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497817510">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33314660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creativecommons.org/licenses/by-nc-sa/3.0/ig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D7ED33-9CBB-4E68-AA31-C8BB4D98B3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TotalTime>
  <Pages>4</Pages>
  <Words>2324</Words>
  <Characters>13247</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15540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1170</cp:lastModifiedBy>
  <cp:revision>20</cp:revision>
  <cp:lastPrinted>1999-07-06T11:00:00Z</cp:lastPrinted>
  <dcterms:created xsi:type="dcterms:W3CDTF">2026-02-21T20:42:00Z</dcterms:created>
  <dcterms:modified xsi:type="dcterms:W3CDTF">2026-02-23T09:19:00Z</dcterms:modified>
</cp:coreProperties>
</file>