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07F0" w:rsidRDefault="00A3387C">
      <w:pPr>
        <w:jc w:val="both"/>
        <w:rPr>
          <w:b/>
          <w:bCs/>
          <w:sz w:val="24"/>
          <w:szCs w:val="24"/>
        </w:rPr>
      </w:pPr>
      <w:r>
        <w:rPr>
          <w:b/>
          <w:bCs/>
          <w:sz w:val="24"/>
          <w:szCs w:val="24"/>
        </w:rPr>
        <w:t>Mpox in the Philippines: A Systematic Review of Epidemiology, Surveillance, and Public Health Preparedness</w:t>
      </w:r>
    </w:p>
    <w:p w:rsidR="00A207F0" w:rsidRDefault="00A207F0">
      <w:pPr>
        <w:ind w:left="720" w:hanging="720"/>
        <w:jc w:val="center"/>
        <w:rPr>
          <w:b/>
          <w:bCs/>
          <w:sz w:val="24"/>
          <w:szCs w:val="24"/>
        </w:rPr>
      </w:pPr>
    </w:p>
    <w:p w:rsidR="00A207F0" w:rsidRDefault="00A207F0">
      <w:pPr>
        <w:spacing w:before="240" w:after="240"/>
        <w:jc w:val="both"/>
        <w:rPr>
          <w:sz w:val="24"/>
          <w:szCs w:val="24"/>
        </w:rPr>
      </w:pPr>
    </w:p>
    <w:p w:rsidR="00A207F0" w:rsidRDefault="00A3387C">
      <w:pPr>
        <w:spacing w:before="240" w:after="240"/>
        <w:jc w:val="both"/>
        <w:rPr>
          <w:b/>
          <w:bCs/>
          <w:sz w:val="24"/>
          <w:szCs w:val="24"/>
        </w:rPr>
      </w:pPr>
      <w:r>
        <w:rPr>
          <w:b/>
          <w:bCs/>
          <w:sz w:val="24"/>
          <w:szCs w:val="24"/>
        </w:rPr>
        <w:t>ABSTRACT</w:t>
      </w:r>
    </w:p>
    <w:p w:rsidR="00A207F0" w:rsidRDefault="00A3387C">
      <w:pPr>
        <w:spacing w:before="240" w:after="240"/>
        <w:jc w:val="both"/>
        <w:rPr>
          <w:sz w:val="24"/>
          <w:szCs w:val="24"/>
        </w:rPr>
      </w:pPr>
      <w:r>
        <w:rPr>
          <w:sz w:val="24"/>
          <w:szCs w:val="24"/>
        </w:rPr>
        <w:t>Mpox has re-emerged as a global public health</w:t>
      </w:r>
      <w:r>
        <w:rPr>
          <w:sz w:val="24"/>
          <w:szCs w:val="24"/>
        </w:rPr>
        <w:t xml:space="preserve"> concern since 2022, yet Philippine-specific evidence on its epidemiology, surveillance, and preparedness remains fragmented. This systematic review synthesized available evidence on mpox occurrence, surveillance practices, laboratory confirmation, and pub</w:t>
      </w:r>
      <w:r>
        <w:rPr>
          <w:sz w:val="24"/>
          <w:szCs w:val="24"/>
        </w:rPr>
        <w:t>lic health response in the Philippines. Following PRISMA 2020 guidelines, peer-reviewed studies, surveillance reports, policy documents, and relevant gray literature published between January 2022 and December 2025 were identified from electronic databases</w:t>
      </w:r>
      <w:r>
        <w:rPr>
          <w:sz w:val="24"/>
          <w:szCs w:val="24"/>
        </w:rPr>
        <w:t xml:space="preserve"> and official public health sources. Included materials comprised clinical case reports, national surveillance updates, population-based knowledge and preparedness studies, and policy-oriented analyses. The findings indicate low but persistent mpox transmi</w:t>
      </w:r>
      <w:r>
        <w:rPr>
          <w:sz w:val="24"/>
          <w:szCs w:val="24"/>
        </w:rPr>
        <w:t xml:space="preserve">ssion in the Philippines, with confirmed cases predominantly caused by Mpox virus Clade II. Strong centralized laboratory capacity for molecular confirmation and genomic characterization supports early detection and containment; however, challenges remain </w:t>
      </w:r>
      <w:r>
        <w:rPr>
          <w:sz w:val="24"/>
          <w:szCs w:val="24"/>
        </w:rPr>
        <w:t>in sustaining surveillance sensitivity, ensuring consistent risk communication, and securing timely access to vaccines and therapeutics. Behavioral studies highlight heavy reliance on social media for health information and variable public awareness, under</w:t>
      </w:r>
      <w:r>
        <w:rPr>
          <w:sz w:val="24"/>
          <w:szCs w:val="24"/>
        </w:rPr>
        <w:t>scoring the importance of targeted, stigma-free communication strategies. Overall, sustained mpox preparedness in the Philippines requires integrated surveillance systems, continued laboratory readiness, strengthened risk communication, and proactive polic</w:t>
      </w:r>
      <w:r>
        <w:rPr>
          <w:sz w:val="24"/>
          <w:szCs w:val="24"/>
        </w:rPr>
        <w:t>y planning to mitigate future resurgence and emerging infectious disease threats.</w:t>
      </w:r>
    </w:p>
    <w:p w:rsidR="00A207F0" w:rsidRDefault="00A3387C">
      <w:pPr>
        <w:spacing w:before="240" w:after="240"/>
        <w:jc w:val="both"/>
        <w:rPr>
          <w:sz w:val="24"/>
          <w:szCs w:val="24"/>
        </w:rPr>
      </w:pPr>
      <w:r>
        <w:rPr>
          <w:b/>
          <w:bCs/>
          <w:sz w:val="24"/>
          <w:szCs w:val="24"/>
        </w:rPr>
        <w:t xml:space="preserve">Keywords: </w:t>
      </w:r>
      <w:r>
        <w:rPr>
          <w:sz w:val="24"/>
          <w:szCs w:val="24"/>
        </w:rPr>
        <w:t>mpox, surveillance, public health preparedness, systematic review, Philippines</w:t>
      </w:r>
    </w:p>
    <w:p w:rsidR="00A207F0" w:rsidRDefault="00A207F0">
      <w:pPr>
        <w:ind w:left="720"/>
        <w:jc w:val="both"/>
        <w:rPr>
          <w:sz w:val="24"/>
          <w:szCs w:val="24"/>
        </w:rPr>
      </w:pPr>
    </w:p>
    <w:p w:rsidR="00A207F0" w:rsidRDefault="00A207F0">
      <w:pPr>
        <w:ind w:left="720"/>
        <w:jc w:val="both"/>
        <w:rPr>
          <w:sz w:val="24"/>
          <w:szCs w:val="24"/>
        </w:rPr>
      </w:pPr>
    </w:p>
    <w:p w:rsidR="00A207F0" w:rsidRDefault="00A207F0">
      <w:pPr>
        <w:ind w:left="720"/>
        <w:jc w:val="both"/>
        <w:rPr>
          <w:sz w:val="24"/>
          <w:szCs w:val="24"/>
        </w:rPr>
      </w:pPr>
    </w:p>
    <w:p w:rsidR="00A207F0" w:rsidRDefault="00A207F0">
      <w:pPr>
        <w:ind w:left="720"/>
        <w:jc w:val="both"/>
        <w:rPr>
          <w:sz w:val="24"/>
          <w:szCs w:val="24"/>
        </w:rPr>
      </w:pPr>
    </w:p>
    <w:p w:rsidR="00A207F0" w:rsidRDefault="00A3387C">
      <w:pPr>
        <w:pStyle w:val="Heading2"/>
        <w:keepNext w:val="0"/>
        <w:keepLines w:val="0"/>
        <w:spacing w:after="80"/>
        <w:ind w:left="720"/>
        <w:jc w:val="both"/>
        <w:rPr>
          <w:b/>
          <w:bCs/>
          <w:sz w:val="24"/>
          <w:szCs w:val="24"/>
        </w:rPr>
      </w:pPr>
      <w:bookmarkStart w:id="0" w:name="_heading=h.r3quoflahfx0" w:colFirst="0" w:colLast="0"/>
      <w:bookmarkEnd w:id="0"/>
      <w:r>
        <w:rPr>
          <w:b/>
          <w:bCs/>
          <w:sz w:val="24"/>
          <w:szCs w:val="24"/>
        </w:rPr>
        <w:t>INTRODUCTION</w:t>
      </w:r>
    </w:p>
    <w:p w:rsidR="00A207F0" w:rsidRDefault="00A3387C">
      <w:pPr>
        <w:spacing w:before="240" w:after="240"/>
        <w:ind w:firstLine="720"/>
        <w:jc w:val="both"/>
        <w:rPr>
          <w:sz w:val="24"/>
          <w:szCs w:val="24"/>
        </w:rPr>
      </w:pPr>
      <w:r>
        <w:rPr>
          <w:sz w:val="24"/>
          <w:szCs w:val="24"/>
        </w:rPr>
        <w:t xml:space="preserve">Mpox (formerly monkeypox) is a zoonotic viral disease caused by the </w:t>
      </w:r>
      <w:r>
        <w:rPr>
          <w:sz w:val="24"/>
          <w:szCs w:val="24"/>
        </w:rPr>
        <w:t xml:space="preserve">mpox virus (MPXV), a double-stranded DNA virus belonging to the genus </w:t>
      </w:r>
      <w:proofErr w:type="spellStart"/>
      <w:r>
        <w:rPr>
          <w:sz w:val="24"/>
          <w:szCs w:val="24"/>
        </w:rPr>
        <w:t>Orthopoxvirus</w:t>
      </w:r>
      <w:proofErr w:type="spellEnd"/>
      <w:r>
        <w:rPr>
          <w:sz w:val="24"/>
          <w:szCs w:val="24"/>
        </w:rPr>
        <w:t xml:space="preserve"> within the family Poxviridae. The virus is closely related to variola virus (smallpox) and vaccinia virus </w:t>
      </w:r>
      <w:r>
        <w:rPr>
          <w:sz w:val="24"/>
          <w:szCs w:val="24"/>
        </w:rPr>
        <w:lastRenderedPageBreak/>
        <w:t>and is capable of infecting both humans and animals. Human infecti</w:t>
      </w:r>
      <w:r>
        <w:rPr>
          <w:sz w:val="24"/>
          <w:szCs w:val="24"/>
        </w:rPr>
        <w:t>on is characterized by a prodromal febrile illness followed by a vesiculopustular rash, lymphadenopathy, and systemic manifestations, with disease severity ranging from mild self-limiting illness to severe complications, particularly among immunocompromise</w:t>
      </w:r>
      <w:r>
        <w:rPr>
          <w:sz w:val="24"/>
          <w:szCs w:val="24"/>
        </w:rPr>
        <w:t>d individuals, children, and pregnant women (World Health Organization, 2024; CDC, 2023).</w:t>
      </w:r>
    </w:p>
    <w:p w:rsidR="00A207F0" w:rsidRDefault="00A3387C">
      <w:pPr>
        <w:spacing w:before="240" w:after="240"/>
        <w:ind w:firstLine="720"/>
        <w:jc w:val="both"/>
        <w:rPr>
          <w:sz w:val="24"/>
          <w:szCs w:val="24"/>
        </w:rPr>
      </w:pPr>
      <w:r>
        <w:rPr>
          <w:sz w:val="24"/>
          <w:szCs w:val="24"/>
        </w:rPr>
        <w:t>From a virologic and epidemiologic perspective, mpox has historically been classified into two major clades: Clade I (formerly Congo Basin clade) and Clade II (former</w:t>
      </w:r>
      <w:r>
        <w:rPr>
          <w:sz w:val="24"/>
          <w:szCs w:val="24"/>
        </w:rPr>
        <w:t xml:space="preserve">ly West African clade), with Clade II further subdivided into </w:t>
      </w:r>
      <w:proofErr w:type="spellStart"/>
      <w:r>
        <w:rPr>
          <w:sz w:val="24"/>
          <w:szCs w:val="24"/>
        </w:rPr>
        <w:t>IIa</w:t>
      </w:r>
      <w:proofErr w:type="spellEnd"/>
      <w:r>
        <w:rPr>
          <w:sz w:val="24"/>
          <w:szCs w:val="24"/>
        </w:rPr>
        <w:t xml:space="preserve"> and IIb. Clade I </w:t>
      </w:r>
      <w:proofErr w:type="gramStart"/>
      <w:r>
        <w:rPr>
          <w:sz w:val="24"/>
          <w:szCs w:val="24"/>
        </w:rPr>
        <w:t>has</w:t>
      </w:r>
      <w:proofErr w:type="gramEnd"/>
      <w:r>
        <w:rPr>
          <w:sz w:val="24"/>
          <w:szCs w:val="24"/>
        </w:rPr>
        <w:t xml:space="preserve"> been associated with higher transmissibility and case fatality rates, whereas Clade II, particularly lineage B.1, predominated during the 2022–2024 global outbreak and i</w:t>
      </w:r>
      <w:r>
        <w:rPr>
          <w:sz w:val="24"/>
          <w:szCs w:val="24"/>
        </w:rPr>
        <w:t>s generally associated with milder clinical outcomes but sustained human-to-human transmission. This shift in transmission dynamics, from predominantly zoonotic spillover events to widespread person-to-person transmission, represents a fundamental change i</w:t>
      </w:r>
      <w:r>
        <w:rPr>
          <w:sz w:val="24"/>
          <w:szCs w:val="24"/>
        </w:rPr>
        <w:t>n mpox epidemiology with significant implications for surveillance and public health preparedness (WHO, 2023; Bunge et al., 2022).</w:t>
      </w:r>
    </w:p>
    <w:p w:rsidR="00A207F0" w:rsidRDefault="00A3387C">
      <w:pPr>
        <w:spacing w:before="240" w:after="240"/>
        <w:ind w:firstLine="720"/>
        <w:jc w:val="both"/>
        <w:rPr>
          <w:sz w:val="24"/>
          <w:szCs w:val="24"/>
        </w:rPr>
      </w:pPr>
      <w:r>
        <w:rPr>
          <w:sz w:val="24"/>
          <w:szCs w:val="24"/>
        </w:rPr>
        <w:t>Assessment and monitoring of mpox at the population level rely on integrated epidemiologic, clinical, and laboratory approach</w:t>
      </w:r>
      <w:r>
        <w:rPr>
          <w:sz w:val="24"/>
          <w:szCs w:val="24"/>
        </w:rPr>
        <w:t xml:space="preserve">es. Case detection is primarily based on standardized clinical case definitions, supported by laboratory confirmation using real-time polymerase chain reaction (RT-PCR) assays targeting </w:t>
      </w:r>
      <w:proofErr w:type="spellStart"/>
      <w:r>
        <w:rPr>
          <w:sz w:val="24"/>
          <w:szCs w:val="24"/>
        </w:rPr>
        <w:t>orthopoxvirus</w:t>
      </w:r>
      <w:proofErr w:type="spellEnd"/>
      <w:r>
        <w:rPr>
          <w:sz w:val="24"/>
          <w:szCs w:val="24"/>
        </w:rPr>
        <w:t xml:space="preserve">-specific or MPXV-specific genomic regions. Surveillance </w:t>
      </w:r>
      <w:r>
        <w:rPr>
          <w:sz w:val="24"/>
          <w:szCs w:val="24"/>
        </w:rPr>
        <w:t xml:space="preserve">systems incorporate case investigation, contact tracing, and genomic characterization where available, enabling assessment of transmission chains, outbreak magnitude, and viral evolution. International guidance emphasizes early detection, rapid reporting, </w:t>
      </w:r>
      <w:r>
        <w:rPr>
          <w:sz w:val="24"/>
          <w:szCs w:val="24"/>
        </w:rPr>
        <w:t>and linkage of laboratory confirmation with public health action as essential components of effective mpox control (WHO, 2024; ECDC, 2023).</w:t>
      </w:r>
    </w:p>
    <w:p w:rsidR="00A207F0" w:rsidRDefault="00A3387C">
      <w:pPr>
        <w:spacing w:before="240" w:after="240"/>
        <w:ind w:firstLine="720"/>
        <w:jc w:val="both"/>
        <w:rPr>
          <w:sz w:val="24"/>
          <w:szCs w:val="24"/>
        </w:rPr>
      </w:pPr>
      <w:r>
        <w:rPr>
          <w:sz w:val="24"/>
          <w:szCs w:val="24"/>
        </w:rPr>
        <w:t>At the population level, mpox has emerged as a growing public health concern due to its capacity for rapid internati</w:t>
      </w:r>
      <w:r>
        <w:rPr>
          <w:sz w:val="24"/>
          <w:szCs w:val="24"/>
        </w:rPr>
        <w:t xml:space="preserve">onal spread, its disproportionate impact on specific social and sexual networks during recent outbreaks, and the operational challenges it poses to health systems not previously accustomed to managing </w:t>
      </w:r>
      <w:proofErr w:type="spellStart"/>
      <w:r>
        <w:rPr>
          <w:sz w:val="24"/>
          <w:szCs w:val="24"/>
        </w:rPr>
        <w:t>orthopoxvirus</w:t>
      </w:r>
      <w:proofErr w:type="spellEnd"/>
      <w:r>
        <w:rPr>
          <w:sz w:val="24"/>
          <w:szCs w:val="24"/>
        </w:rPr>
        <w:t xml:space="preserve"> infections. The 2022 multi-country outbre</w:t>
      </w:r>
      <w:r>
        <w:rPr>
          <w:sz w:val="24"/>
          <w:szCs w:val="24"/>
        </w:rPr>
        <w:t>ak underscored vulnerabilities in global surveillance, risk communication, and equitable access to diagnostics and vaccines, particularly in low- and middle-income countries. Consequently, mpox is no longer regarded solely as a rare zoonosis but as a re-em</w:t>
      </w:r>
      <w:r>
        <w:rPr>
          <w:sz w:val="24"/>
          <w:szCs w:val="24"/>
        </w:rPr>
        <w:t>erging infectious disease requiring sustained preparedness, even in settings with low reported incidence (WHO, 2023; Thornhill et al., 2022).</w:t>
      </w:r>
    </w:p>
    <w:p w:rsidR="00A207F0" w:rsidRDefault="00A3387C">
      <w:pPr>
        <w:spacing w:before="240" w:after="240"/>
        <w:ind w:firstLine="720"/>
        <w:jc w:val="both"/>
        <w:rPr>
          <w:sz w:val="24"/>
          <w:szCs w:val="24"/>
        </w:rPr>
      </w:pPr>
      <w:r>
        <w:rPr>
          <w:sz w:val="24"/>
          <w:szCs w:val="24"/>
        </w:rPr>
        <w:t>In the Philippines, mpox was first laboratory-confirmed in July 2022, placing the country within the Western Pacif</w:t>
      </w:r>
      <w:r>
        <w:rPr>
          <w:sz w:val="24"/>
          <w:szCs w:val="24"/>
        </w:rPr>
        <w:t xml:space="preserve">ic Region’s evolving mpox landscape. National response efforts have been led by the Department of Health (DOH), which issued interim guidelines </w:t>
      </w:r>
      <w:r>
        <w:rPr>
          <w:sz w:val="24"/>
          <w:szCs w:val="24"/>
        </w:rPr>
        <w:lastRenderedPageBreak/>
        <w:t xml:space="preserve">on surveillance, case management, infection prevention and control, and risk communication. Reported cases have </w:t>
      </w:r>
      <w:r>
        <w:rPr>
          <w:sz w:val="24"/>
          <w:szCs w:val="24"/>
        </w:rPr>
        <w:t xml:space="preserve">remained limited and sporadic; however, the absence of widespread transmission should not be interpreted as absence of risk. Factors such as international travel, urban population density, health-seeking behavior, stigma, and diagnostic capacity influence </w:t>
      </w:r>
      <w:r>
        <w:rPr>
          <w:sz w:val="24"/>
          <w:szCs w:val="24"/>
        </w:rPr>
        <w:t>the likelihood of delayed detection and underreporting, particularly in non-endemic settings (DOH, 2022; WHO Philippines, 2023).</w:t>
      </w:r>
    </w:p>
    <w:p w:rsidR="00A207F0" w:rsidRDefault="00A3387C">
      <w:pPr>
        <w:spacing w:before="240" w:after="240"/>
        <w:ind w:firstLine="720"/>
        <w:jc w:val="both"/>
        <w:rPr>
          <w:sz w:val="24"/>
          <w:szCs w:val="24"/>
        </w:rPr>
      </w:pPr>
      <w:r>
        <w:rPr>
          <w:sz w:val="24"/>
          <w:szCs w:val="24"/>
        </w:rPr>
        <w:t>Despite the availability of global guidance and periodic national advisories, existing evidence on mpox in the Philippines rema</w:t>
      </w:r>
      <w:r>
        <w:rPr>
          <w:sz w:val="24"/>
          <w:szCs w:val="24"/>
        </w:rPr>
        <w:t>ins fragmented. Published data are largely confined to epidemiologic updates, policy documents, and isolated clinical case reports, with limited synthesis of surveillance performance, laboratory capacity, preparedness measures, and public health response i</w:t>
      </w:r>
      <w:r>
        <w:rPr>
          <w:sz w:val="24"/>
          <w:szCs w:val="24"/>
        </w:rPr>
        <w:t>ntegration. No comprehensive review has systematically consolidated Philippine-specific evidence across epidemiology, surveillance systems, and preparedness indicators, nor critically examined how national responses align with evolving international recomm</w:t>
      </w:r>
      <w:r>
        <w:rPr>
          <w:sz w:val="24"/>
          <w:szCs w:val="24"/>
        </w:rPr>
        <w:t>endations. This lack of integrated analysis constrains evidence-based policy refinement and limits the ability to proactively strengthen preparedness for future introductions or outbreaks.</w:t>
      </w:r>
    </w:p>
    <w:p w:rsidR="00A207F0" w:rsidRDefault="00A3387C">
      <w:pPr>
        <w:spacing w:before="240" w:after="240"/>
        <w:ind w:firstLine="720"/>
        <w:jc w:val="both"/>
        <w:rPr>
          <w:sz w:val="24"/>
          <w:szCs w:val="24"/>
        </w:rPr>
      </w:pPr>
      <w:r>
        <w:rPr>
          <w:sz w:val="24"/>
          <w:szCs w:val="24"/>
        </w:rPr>
        <w:t xml:space="preserve">Therefore, this study aims to systematically review and synthesize </w:t>
      </w:r>
      <w:r>
        <w:rPr>
          <w:sz w:val="24"/>
          <w:szCs w:val="24"/>
        </w:rPr>
        <w:t>available evidence on mpox in the Philippines, with specific focus on epidemiologic patterns, surveillance and diagnostic approaches, and public health preparedness and response measures. By identifying strengths, gaps, and opportunities within the nationa</w:t>
      </w:r>
      <w:r>
        <w:rPr>
          <w:sz w:val="24"/>
          <w:szCs w:val="24"/>
        </w:rPr>
        <w:t>l context, this review seeks to support more resilient, coordinated, and evidence-informed mpox preparedness and control strategies in the Philippines.</w:t>
      </w:r>
    </w:p>
    <w:p w:rsidR="00A207F0" w:rsidRDefault="00A207F0">
      <w:pPr>
        <w:ind w:left="720"/>
        <w:jc w:val="both"/>
        <w:rPr>
          <w:b/>
          <w:bCs/>
          <w:sz w:val="24"/>
          <w:szCs w:val="24"/>
        </w:rPr>
      </w:pPr>
    </w:p>
    <w:p w:rsidR="00A207F0" w:rsidRDefault="00A3387C">
      <w:pPr>
        <w:jc w:val="both"/>
        <w:rPr>
          <w:sz w:val="24"/>
          <w:szCs w:val="24"/>
        </w:rPr>
      </w:pPr>
      <w:r>
        <w:rPr>
          <w:b/>
          <w:bCs/>
          <w:sz w:val="24"/>
          <w:szCs w:val="24"/>
        </w:rPr>
        <w:t>METHODOLOGY</w:t>
      </w:r>
      <w:r>
        <w:rPr>
          <w:b/>
          <w:bCs/>
          <w:sz w:val="24"/>
          <w:szCs w:val="24"/>
        </w:rPr>
        <w:br/>
      </w:r>
      <w:r>
        <w:rPr>
          <w:b/>
          <w:bCs/>
          <w:sz w:val="24"/>
          <w:szCs w:val="24"/>
        </w:rPr>
        <w:br/>
      </w:r>
      <w:r>
        <w:rPr>
          <w:b/>
          <w:bCs/>
          <w:sz w:val="24"/>
          <w:szCs w:val="24"/>
        </w:rPr>
        <w:tab/>
      </w:r>
      <w:r>
        <w:rPr>
          <w:sz w:val="24"/>
          <w:szCs w:val="24"/>
        </w:rPr>
        <w:t>This systematic review was conducted in accordance with the PRISMA 2020 guidelines to ensure transparency, methodological rigor, and reproducibility in the identification, selection, and synthesis of evidence. A predefined review protocol guided all stages</w:t>
      </w:r>
      <w:r>
        <w:rPr>
          <w:sz w:val="24"/>
          <w:szCs w:val="24"/>
        </w:rPr>
        <w:t xml:space="preserve"> of the process, including literature search, study selection, data extraction, and synthesis. The review focused on consolidating evidence related to mpox epidemiology, surveillance systems, and public health preparedness within the Philippine context.</w:t>
      </w:r>
    </w:p>
    <w:p w:rsidR="00A207F0" w:rsidRDefault="00A3387C">
      <w:pPr>
        <w:spacing w:before="240" w:after="240"/>
        <w:ind w:firstLine="720"/>
        <w:jc w:val="both"/>
        <w:rPr>
          <w:sz w:val="24"/>
          <w:szCs w:val="24"/>
        </w:rPr>
      </w:pPr>
      <w:r>
        <w:rPr>
          <w:sz w:val="24"/>
          <w:szCs w:val="24"/>
        </w:rPr>
        <w:t xml:space="preserve">A </w:t>
      </w:r>
      <w:r>
        <w:rPr>
          <w:sz w:val="24"/>
          <w:szCs w:val="24"/>
        </w:rPr>
        <w:t>comprehensive search strategy was employed to identify both peer-reviewed literature and relevant gray literature. Electronic searches were conducted in PubMed/MEDLINE, Scopus, Web of Science, and Google Scholar. To capture national-level surveillance data</w:t>
      </w:r>
      <w:r>
        <w:rPr>
          <w:sz w:val="24"/>
          <w:szCs w:val="24"/>
        </w:rPr>
        <w:t xml:space="preserve">, policy documents, and technical guidance not always indexed in academic databases, supplementary searches were performed on the official websites of the World Health Organization, including WHO Philippines advisories, and the </w:t>
      </w:r>
      <w:r>
        <w:rPr>
          <w:sz w:val="24"/>
          <w:szCs w:val="24"/>
        </w:rPr>
        <w:lastRenderedPageBreak/>
        <w:t>Department of Health. Search</w:t>
      </w:r>
      <w:r>
        <w:rPr>
          <w:sz w:val="24"/>
          <w:szCs w:val="24"/>
        </w:rPr>
        <w:t xml:space="preserve"> terms were developed using a combination of controlled vocabulary and free-text keywords related to mpox and the Philippine setting, including mpox or monkeypox in combination with Philippines, epidemiology, surveillance, outbreak, case report, public hea</w:t>
      </w:r>
      <w:r>
        <w:rPr>
          <w:sz w:val="24"/>
          <w:szCs w:val="24"/>
        </w:rPr>
        <w:t>lth, preparedness, and response. Searches were limited to publications from January 2022 to December 2025 to capture both pre-outbreak contextual literature and evidence emerging from the 2022–2025 global outbreak period. Only full-text materials available</w:t>
      </w:r>
      <w:r>
        <w:rPr>
          <w:sz w:val="24"/>
          <w:szCs w:val="24"/>
        </w:rPr>
        <w:t xml:space="preserve"> in English were included in the final review.</w:t>
      </w:r>
    </w:p>
    <w:p w:rsidR="00A207F0" w:rsidRDefault="00A3387C">
      <w:pPr>
        <w:spacing w:before="240" w:after="240"/>
        <w:ind w:firstLine="720"/>
        <w:jc w:val="both"/>
        <w:rPr>
          <w:sz w:val="24"/>
          <w:szCs w:val="24"/>
        </w:rPr>
      </w:pPr>
      <w:r>
        <w:rPr>
          <w:sz w:val="24"/>
          <w:szCs w:val="24"/>
        </w:rPr>
        <w:t>Eligibility criteria were defined a priori using a Population–Concept–Context framework. Studies were considered eligible if they reported data relevant to mpox in the Philippines, including epidemiologic char</w:t>
      </w:r>
      <w:r>
        <w:rPr>
          <w:sz w:val="24"/>
          <w:szCs w:val="24"/>
        </w:rPr>
        <w:t>acteristics, surveillance or diagnostic approaches, or public health response and preparedness measures. Eligible sources included original research articles, surveillance reports, case reports or case series, systematic reviews with Philippine-relevant fi</w:t>
      </w:r>
      <w:r>
        <w:rPr>
          <w:sz w:val="24"/>
          <w:szCs w:val="24"/>
        </w:rPr>
        <w:t xml:space="preserve">ndings, and official policy or technical guidance documents. Studies were excluded if they focused exclusively on non-Philippine populations without contextual applicability, lacked accessible full text, addressed </w:t>
      </w:r>
      <w:proofErr w:type="spellStart"/>
      <w:r>
        <w:rPr>
          <w:sz w:val="24"/>
          <w:szCs w:val="24"/>
        </w:rPr>
        <w:t>orthopoxviruses</w:t>
      </w:r>
      <w:proofErr w:type="spellEnd"/>
      <w:r>
        <w:rPr>
          <w:sz w:val="24"/>
          <w:szCs w:val="24"/>
        </w:rPr>
        <w:t xml:space="preserve"> without specific reference</w:t>
      </w:r>
      <w:r>
        <w:rPr>
          <w:sz w:val="24"/>
          <w:szCs w:val="24"/>
        </w:rPr>
        <w:t xml:space="preserve"> to mpox, or consisted solely of editorials, commentaries, or opinion pieces without primary data or policy relevance.</w:t>
      </w:r>
    </w:p>
    <w:p w:rsidR="00A207F0" w:rsidRDefault="00A3387C">
      <w:pPr>
        <w:spacing w:before="240" w:after="240"/>
        <w:ind w:firstLine="720"/>
        <w:jc w:val="both"/>
        <w:rPr>
          <w:sz w:val="24"/>
          <w:szCs w:val="24"/>
        </w:rPr>
      </w:pPr>
      <w:r>
        <w:rPr>
          <w:sz w:val="24"/>
          <w:szCs w:val="24"/>
        </w:rPr>
        <w:t>All retrieved records were exported into reference management software, and duplicate entries were removed prior to screening. Titles and</w:t>
      </w:r>
      <w:r>
        <w:rPr>
          <w:sz w:val="24"/>
          <w:szCs w:val="24"/>
        </w:rPr>
        <w:t xml:space="preserve"> abstracts were screened to identify potentially relevant records, followed by full-text assessment to confirm eligibility based on the predefined criteria. Any uncertainties or discrepancies encountered during the screening and selection process were reso</w:t>
      </w:r>
      <w:r>
        <w:rPr>
          <w:sz w:val="24"/>
          <w:szCs w:val="24"/>
        </w:rPr>
        <w:t>lved through discussion and consensus. The overall process of study identification, screening, eligibility assessment, and inclusion will be documented using a PRISMA 2020 flow diagram.</w:t>
      </w:r>
    </w:p>
    <w:p w:rsidR="00A207F0" w:rsidRDefault="00A3387C">
      <w:pPr>
        <w:spacing w:before="240" w:after="240"/>
        <w:ind w:firstLine="720"/>
        <w:jc w:val="both"/>
        <w:rPr>
          <w:sz w:val="24"/>
          <w:szCs w:val="24"/>
        </w:rPr>
      </w:pPr>
      <w:r>
        <w:rPr>
          <w:sz w:val="24"/>
          <w:szCs w:val="24"/>
        </w:rPr>
        <w:t>Due to heterogeneity in study designs and data sources, a single stand</w:t>
      </w:r>
      <w:r>
        <w:rPr>
          <w:sz w:val="24"/>
          <w:szCs w:val="24"/>
        </w:rPr>
        <w:t>ardized risk-of-bias tool was not applicable. A structured qualitative appraisal was therefore used to assess source credibility, methodological transparency, and relevance. Peer-reviewed studies were evaluated based on clarity of design, appropriateness o</w:t>
      </w:r>
      <w:r>
        <w:rPr>
          <w:sz w:val="24"/>
          <w:szCs w:val="24"/>
        </w:rPr>
        <w:t>f methods, and laboratory confirmation where applicable. Official surveillance reports and policy documents from the Department of Health and the World Health Organization were considered authoritative for national case and response data. Media reports wer</w:t>
      </w:r>
      <w:r>
        <w:rPr>
          <w:sz w:val="24"/>
          <w:szCs w:val="24"/>
        </w:rPr>
        <w:t>e included only when directly citing official sources and were used solely to contextualize surveillance timelines rather than for analytic inference.</w:t>
      </w:r>
    </w:p>
    <w:p w:rsidR="00A207F0" w:rsidRDefault="00A3387C">
      <w:pPr>
        <w:spacing w:before="240" w:after="240"/>
        <w:ind w:firstLine="720"/>
        <w:jc w:val="both"/>
        <w:rPr>
          <w:sz w:val="24"/>
          <w:szCs w:val="24"/>
        </w:rPr>
      </w:pPr>
      <w:r>
        <w:rPr>
          <w:sz w:val="24"/>
          <w:szCs w:val="24"/>
        </w:rPr>
        <w:t>Data extraction was carried out using a standardized and piloted extraction form to ensure consistency. E</w:t>
      </w:r>
      <w:r>
        <w:rPr>
          <w:sz w:val="24"/>
          <w:szCs w:val="24"/>
        </w:rPr>
        <w:t xml:space="preserve">xtracted information included authorship and year of publication, study design and data source, geographic scope within the Philippines, epidemiologic characteristics such as case counts and demographics, surveillance and laboratory </w:t>
      </w:r>
      <w:r>
        <w:rPr>
          <w:sz w:val="24"/>
          <w:szCs w:val="24"/>
        </w:rPr>
        <w:lastRenderedPageBreak/>
        <w:t>confirmation methods, a</w:t>
      </w:r>
      <w:r>
        <w:rPr>
          <w:sz w:val="24"/>
          <w:szCs w:val="24"/>
        </w:rPr>
        <w:t xml:space="preserve">nd documented public health response measures including case management, infection prevention and control, contact tracing, risk communication, and vaccination considerations. Key findings relevant to preparedness, system capacity, and policy implications </w:t>
      </w:r>
      <w:r>
        <w:rPr>
          <w:sz w:val="24"/>
          <w:szCs w:val="24"/>
        </w:rPr>
        <w:t>were also recorded.</w:t>
      </w:r>
    </w:p>
    <w:p w:rsidR="00A207F0" w:rsidRDefault="00A3387C">
      <w:pPr>
        <w:spacing w:before="240" w:after="240"/>
        <w:ind w:firstLine="720"/>
        <w:jc w:val="both"/>
        <w:rPr>
          <w:sz w:val="24"/>
          <w:szCs w:val="24"/>
        </w:rPr>
      </w:pPr>
      <w:r>
        <w:rPr>
          <w:sz w:val="24"/>
          <w:szCs w:val="24"/>
        </w:rPr>
        <w:t>Due to heterogeneity in study designs, data sources, and outcome measures, findings were synthesized using a narrative approach. Evidence was organized thematically in alignment with the review objectives, focusing on epidemiology, surv</w:t>
      </w:r>
      <w:r>
        <w:rPr>
          <w:sz w:val="24"/>
          <w:szCs w:val="24"/>
        </w:rPr>
        <w:t>eillance and diagnostics, and public health preparedness and response. Patterns of convergence and divergence across data sources were examined to identify strengths, gaps, and areas requiring further research or system strengthening. Quantitative meta-ana</w:t>
      </w:r>
      <w:r>
        <w:rPr>
          <w:sz w:val="24"/>
          <w:szCs w:val="24"/>
        </w:rPr>
        <w:t xml:space="preserve">lysis was not undertaken because of limited case numbers and methodological variability across included studies. </w:t>
      </w:r>
    </w:p>
    <w:p w:rsidR="00A207F0" w:rsidRDefault="00A3387C">
      <w:pPr>
        <w:spacing w:before="240" w:after="240"/>
        <w:ind w:firstLine="720"/>
        <w:jc w:val="both"/>
        <w:rPr>
          <w:sz w:val="24"/>
          <w:szCs w:val="24"/>
        </w:rPr>
      </w:pPr>
      <w:r>
        <w:rPr>
          <w:sz w:val="24"/>
          <w:szCs w:val="24"/>
        </w:rPr>
        <w:t xml:space="preserve">Given the limited number of Philippine-specific mpox studies and the heterogeneity of data sources, this review applied a systematic search </w:t>
      </w:r>
      <w:r>
        <w:rPr>
          <w:sz w:val="24"/>
          <w:szCs w:val="24"/>
        </w:rPr>
        <w:t>and selection process with narrative synthesis, consistent with public health systems reviews in low-incidence settings.</w:t>
      </w:r>
    </w:p>
    <w:p w:rsidR="00A207F0" w:rsidRDefault="00A207F0">
      <w:pPr>
        <w:spacing w:before="240" w:after="240"/>
        <w:ind w:firstLine="720"/>
        <w:rPr>
          <w:b/>
          <w:bCs/>
          <w:sz w:val="24"/>
          <w:szCs w:val="24"/>
        </w:rPr>
      </w:pPr>
    </w:p>
    <w:p w:rsidR="00A207F0" w:rsidRDefault="00A207F0">
      <w:pPr>
        <w:spacing w:before="240" w:after="240"/>
        <w:rPr>
          <w:b/>
          <w:bCs/>
          <w:sz w:val="24"/>
          <w:szCs w:val="24"/>
        </w:rPr>
      </w:pPr>
    </w:p>
    <w:p w:rsidR="00A207F0" w:rsidRDefault="00A207F0">
      <w:pPr>
        <w:spacing w:before="240" w:after="240"/>
        <w:rPr>
          <w:b/>
          <w:bCs/>
          <w:sz w:val="24"/>
          <w:szCs w:val="24"/>
        </w:rPr>
      </w:pPr>
    </w:p>
    <w:p w:rsidR="00A207F0" w:rsidRDefault="00A207F0">
      <w:pPr>
        <w:spacing w:before="240" w:after="240"/>
        <w:rPr>
          <w:b/>
          <w:bCs/>
          <w:sz w:val="24"/>
          <w:szCs w:val="24"/>
        </w:rPr>
      </w:pPr>
    </w:p>
    <w:p w:rsidR="00A207F0" w:rsidRDefault="00A207F0">
      <w:pPr>
        <w:spacing w:before="240" w:after="240"/>
        <w:rPr>
          <w:b/>
          <w:bCs/>
          <w:sz w:val="24"/>
          <w:szCs w:val="24"/>
        </w:rPr>
      </w:pPr>
    </w:p>
    <w:p w:rsidR="00A207F0" w:rsidRDefault="00A207F0">
      <w:pPr>
        <w:spacing w:before="240" w:after="240"/>
        <w:rPr>
          <w:b/>
          <w:bCs/>
          <w:sz w:val="24"/>
          <w:szCs w:val="24"/>
        </w:rPr>
      </w:pPr>
    </w:p>
    <w:p w:rsidR="00A207F0" w:rsidRDefault="00A207F0">
      <w:pPr>
        <w:spacing w:before="240" w:after="240"/>
        <w:rPr>
          <w:b/>
          <w:bCs/>
          <w:sz w:val="24"/>
          <w:szCs w:val="24"/>
        </w:rPr>
      </w:pPr>
    </w:p>
    <w:p w:rsidR="00A207F0" w:rsidRDefault="00A3387C">
      <w:pPr>
        <w:spacing w:before="240" w:after="240"/>
        <w:rPr>
          <w:sz w:val="24"/>
          <w:szCs w:val="24"/>
        </w:rPr>
      </w:pPr>
      <w:r>
        <w:rPr>
          <w:b/>
          <w:bCs/>
          <w:sz w:val="24"/>
          <w:szCs w:val="24"/>
        </w:rPr>
        <w:t>PRISMA FLOW DIAGRAM</w:t>
      </w:r>
    </w:p>
    <w:p w:rsidR="00A207F0" w:rsidRDefault="00A3387C">
      <w:pPr>
        <w:spacing w:before="240" w:after="240"/>
        <w:rPr>
          <w:b/>
          <w:bCs/>
          <w:sz w:val="24"/>
          <w:szCs w:val="24"/>
        </w:rPr>
      </w:pPr>
      <w:r>
        <w:rPr>
          <w:b/>
          <w:bCs/>
          <w:noProof/>
          <w:sz w:val="24"/>
          <w:szCs w:val="24"/>
        </w:rPr>
        <w:lastRenderedPageBreak/>
        <w:drawing>
          <wp:inline distT="114300" distB="114300" distL="114300" distR="114300">
            <wp:extent cx="5943600" cy="604686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b="21430"/>
                    <a:stretch>
                      <a:fillRect/>
                    </a:stretch>
                  </pic:blipFill>
                  <pic:spPr>
                    <a:xfrm>
                      <a:off x="0" y="0"/>
                      <a:ext cx="5943600" cy="6046868"/>
                    </a:xfrm>
                    <a:prstGeom prst="rect">
                      <a:avLst/>
                    </a:prstGeom>
                    <a:ln/>
                  </pic:spPr>
                </pic:pic>
              </a:graphicData>
            </a:graphic>
          </wp:inline>
        </w:drawing>
      </w:r>
    </w:p>
    <w:p w:rsidR="00A207F0" w:rsidRDefault="00A3387C">
      <w:pPr>
        <w:spacing w:before="240" w:after="240"/>
        <w:ind w:firstLine="720"/>
        <w:jc w:val="both"/>
        <w:rPr>
          <w:b/>
          <w:bCs/>
          <w:sz w:val="24"/>
          <w:szCs w:val="24"/>
        </w:rPr>
      </w:pPr>
      <w:r>
        <w:rPr>
          <w:b/>
          <w:bCs/>
          <w:sz w:val="24"/>
          <w:szCs w:val="24"/>
        </w:rPr>
        <w:t>Figure 1. PRISMA 2020 flow diagram illustrating the study selection process for the systematic review of m</w:t>
      </w:r>
      <w:r>
        <w:rPr>
          <w:b/>
          <w:bCs/>
          <w:sz w:val="24"/>
          <w:szCs w:val="24"/>
        </w:rPr>
        <w:t>pox epidemiology, surveillance, and public health preparedness in the Philippines.</w:t>
      </w:r>
    </w:p>
    <w:p w:rsidR="00A207F0" w:rsidRDefault="00A3387C">
      <w:pPr>
        <w:spacing w:before="240" w:after="240"/>
        <w:ind w:firstLine="720"/>
        <w:jc w:val="both"/>
        <w:rPr>
          <w:sz w:val="24"/>
          <w:szCs w:val="24"/>
        </w:rPr>
      </w:pPr>
      <w:r>
        <w:rPr>
          <w:sz w:val="24"/>
          <w:szCs w:val="24"/>
        </w:rPr>
        <w:t>The literature search identified a total of 58 records through database searching in PubMed/MEDLINE, Scopus, Web of Science, and Google Scholar. An additional 14 records wer</w:t>
      </w:r>
      <w:r>
        <w:rPr>
          <w:sz w:val="24"/>
          <w:szCs w:val="24"/>
        </w:rPr>
        <w:t>e identified through other sources, including Department of Health and World Health Organization reports and reputable media outlets citing official surveillance data. After removal of duplicates, 52 records remained and were screened based on titles and a</w:t>
      </w:r>
      <w:r>
        <w:rPr>
          <w:sz w:val="24"/>
          <w:szCs w:val="24"/>
        </w:rPr>
        <w:t xml:space="preserve">bstracts. Of these, 31 records were excluded due to lack of Philippine relevance, focus </w:t>
      </w:r>
      <w:r>
        <w:rPr>
          <w:sz w:val="24"/>
          <w:szCs w:val="24"/>
        </w:rPr>
        <w:lastRenderedPageBreak/>
        <w:t>on non-</w:t>
      </w:r>
      <w:proofErr w:type="spellStart"/>
      <w:r>
        <w:rPr>
          <w:sz w:val="24"/>
          <w:szCs w:val="24"/>
        </w:rPr>
        <w:t>mpox</w:t>
      </w:r>
      <w:proofErr w:type="spellEnd"/>
      <w:r>
        <w:rPr>
          <w:sz w:val="24"/>
          <w:szCs w:val="24"/>
        </w:rPr>
        <w:t xml:space="preserve"> </w:t>
      </w:r>
      <w:proofErr w:type="spellStart"/>
      <w:r>
        <w:rPr>
          <w:sz w:val="24"/>
          <w:szCs w:val="24"/>
        </w:rPr>
        <w:t>orthopoxviruses</w:t>
      </w:r>
      <w:proofErr w:type="spellEnd"/>
      <w:r>
        <w:rPr>
          <w:sz w:val="24"/>
          <w:szCs w:val="24"/>
        </w:rPr>
        <w:t>, or absence of epidemiologic, surveillance, or preparedness information. Twenty-one full-text articles were assessed for eligibility, of whi</w:t>
      </w:r>
      <w:r>
        <w:rPr>
          <w:sz w:val="24"/>
          <w:szCs w:val="24"/>
        </w:rPr>
        <w:t>ch nine were excluded for insufficient relevance or inaccessible full text. A total of 11 sources were included in the final qualitative synthesis. The study selection process is summarized in the PRISMA 2020 flow diagram (Figure 1).</w:t>
      </w:r>
    </w:p>
    <w:p w:rsidR="00A207F0" w:rsidRDefault="00A207F0">
      <w:pPr>
        <w:spacing w:before="240" w:after="240"/>
        <w:jc w:val="both"/>
        <w:rPr>
          <w:sz w:val="24"/>
          <w:szCs w:val="24"/>
        </w:rPr>
      </w:pPr>
    </w:p>
    <w:p w:rsidR="00A207F0" w:rsidRDefault="00A3387C">
      <w:pPr>
        <w:spacing w:before="240" w:after="240"/>
        <w:jc w:val="both"/>
        <w:rPr>
          <w:sz w:val="24"/>
          <w:szCs w:val="24"/>
        </w:rPr>
      </w:pPr>
      <w:r>
        <w:rPr>
          <w:b/>
          <w:bCs/>
          <w:sz w:val="24"/>
          <w:szCs w:val="24"/>
        </w:rPr>
        <w:t>RESULTS</w:t>
      </w:r>
    </w:p>
    <w:p w:rsidR="00A207F0" w:rsidRDefault="00A3387C">
      <w:pPr>
        <w:spacing w:before="240" w:after="240"/>
        <w:ind w:firstLine="720"/>
        <w:jc w:val="both"/>
        <w:rPr>
          <w:sz w:val="24"/>
          <w:szCs w:val="24"/>
        </w:rPr>
      </w:pPr>
      <w:r>
        <w:rPr>
          <w:sz w:val="24"/>
          <w:szCs w:val="24"/>
        </w:rPr>
        <w:t xml:space="preserve">The included </w:t>
      </w:r>
      <w:r>
        <w:rPr>
          <w:sz w:val="24"/>
          <w:szCs w:val="24"/>
        </w:rPr>
        <w:t>Philippine evidence clustered into four main streams: (1) national surveillance updates and case monitoring, (2) peer-reviewed clinical case reports with laboratory confirmation and genomic characterization, (3) population and student studies on knowledge/</w:t>
      </w:r>
      <w:r>
        <w:rPr>
          <w:sz w:val="24"/>
          <w:szCs w:val="24"/>
        </w:rPr>
        <w:t>awareness and preparedness behaviors, and (4) policy-oriented analyses emphasizing system readiness and vaccine access.</w:t>
      </w:r>
    </w:p>
    <w:p w:rsidR="00A207F0" w:rsidRDefault="00A3387C">
      <w:pPr>
        <w:spacing w:before="240" w:after="240"/>
        <w:ind w:firstLine="720"/>
        <w:jc w:val="both"/>
        <w:rPr>
          <w:sz w:val="24"/>
          <w:szCs w:val="24"/>
        </w:rPr>
      </w:pPr>
      <w:r>
        <w:rPr>
          <w:sz w:val="24"/>
          <w:szCs w:val="24"/>
        </w:rPr>
        <w:t xml:space="preserve">National surveillance reporting during the early emergence phase indicated functional case monitoring and containment capacity. A </w:t>
      </w:r>
      <w:r>
        <w:rPr>
          <w:sz w:val="24"/>
          <w:szCs w:val="24"/>
        </w:rPr>
        <w:t xml:space="preserve">Department of Health (DOH) update reported by Montemayor (2022) through the Philippine News Agency described routine surveillance and epidemiologic investigation focused on the National Capital Region alongside national case tracking. By late August 2022, </w:t>
      </w:r>
      <w:r>
        <w:rPr>
          <w:sz w:val="24"/>
          <w:szCs w:val="24"/>
        </w:rPr>
        <w:t>the country had four confirmed cases; the second confirmed case (31-year-old male, positive on August 18, 2022) had recovered and was discharged from home isolation on August 31, 2022, while another case (29-year-old male) remained in isolation due to resi</w:t>
      </w:r>
      <w:r>
        <w:rPr>
          <w:sz w:val="24"/>
          <w:szCs w:val="24"/>
        </w:rPr>
        <w:t>dual lesions. Contact tracing documented 18 close contacts for the recovered case and 17 for the third case, all asymptomatic, and additional tested samples were negative. Public health measures emphasized physician clearance prior to discharge, strict hom</w:t>
      </w:r>
      <w:r>
        <w:rPr>
          <w:sz w:val="24"/>
          <w:szCs w:val="24"/>
        </w:rPr>
        <w:t>e isolation, contact tracing, quarantine or self-monitoring of exposed contacts, and ongoing risk communication; vaccination was not discussed, consistent with early outbreak conditions and limited access.</w:t>
      </w:r>
    </w:p>
    <w:p w:rsidR="00A207F0" w:rsidRDefault="00A3387C">
      <w:pPr>
        <w:spacing w:before="240" w:after="240"/>
        <w:ind w:firstLine="720"/>
        <w:jc w:val="both"/>
        <w:rPr>
          <w:sz w:val="24"/>
          <w:szCs w:val="24"/>
        </w:rPr>
      </w:pPr>
      <w:r>
        <w:rPr>
          <w:sz w:val="24"/>
          <w:szCs w:val="24"/>
        </w:rPr>
        <w:t xml:space="preserve">Peer-reviewed clinical evidence provided detailed </w:t>
      </w:r>
      <w:r>
        <w:rPr>
          <w:sz w:val="24"/>
          <w:szCs w:val="24"/>
        </w:rPr>
        <w:t xml:space="preserve">insight into Philippine laboratory capacity and diagnostic challenges. </w:t>
      </w:r>
      <w:proofErr w:type="spellStart"/>
      <w:r>
        <w:rPr>
          <w:sz w:val="24"/>
          <w:szCs w:val="24"/>
        </w:rPr>
        <w:t>Ylaya</w:t>
      </w:r>
      <w:proofErr w:type="spellEnd"/>
      <w:r>
        <w:rPr>
          <w:sz w:val="24"/>
          <w:szCs w:val="24"/>
        </w:rPr>
        <w:t xml:space="preserve"> et al. (2024) documented the first laboratory-confirmed mpox case in the Philippines as a single-patient report from the Research Institute for Tropical Medicine (RITM). The case </w:t>
      </w:r>
      <w:r>
        <w:rPr>
          <w:sz w:val="24"/>
          <w:szCs w:val="24"/>
        </w:rPr>
        <w:t>involved a 31-year-old Filipino male with recent European travel and a limited number of non-</w:t>
      </w:r>
      <w:proofErr w:type="gramStart"/>
      <w:r>
        <w:rPr>
          <w:sz w:val="24"/>
          <w:szCs w:val="24"/>
        </w:rPr>
        <w:t>tender</w:t>
      </w:r>
      <w:proofErr w:type="gramEnd"/>
      <w:r>
        <w:rPr>
          <w:sz w:val="24"/>
          <w:szCs w:val="24"/>
        </w:rPr>
        <w:t>, umbilicated pustular lesions. Laboratory confirmation used optimized qPCR assays (including targets such as G2R and C3L regions), and shotgun metagenomic s</w:t>
      </w:r>
      <w:r>
        <w:rPr>
          <w:sz w:val="24"/>
          <w:szCs w:val="24"/>
        </w:rPr>
        <w:t>equencing classified the virus as Mpox Clade IIb, lineage B.1.3, aligning with strains circulating globally in 2022. The report also highlighted diagnostic complexity: varicella IgM serology was positive but varicella PCR and sequencing were negative, supp</w:t>
      </w:r>
      <w:r>
        <w:rPr>
          <w:sz w:val="24"/>
          <w:szCs w:val="24"/>
        </w:rPr>
        <w:t xml:space="preserve">orting a false-positive serologic result. Public health management included prompt clinical care, infection prevention and control measures, </w:t>
      </w:r>
      <w:r>
        <w:rPr>
          <w:sz w:val="24"/>
          <w:szCs w:val="24"/>
        </w:rPr>
        <w:lastRenderedPageBreak/>
        <w:t>and discharge with strict home isolation until lesion resolution, underscoring the importance of early clinical sus</w:t>
      </w:r>
      <w:r>
        <w:rPr>
          <w:sz w:val="24"/>
          <w:szCs w:val="24"/>
        </w:rPr>
        <w:t>picion, laboratory readiness, and access to genomic tools for non-endemic settings (</w:t>
      </w:r>
      <w:proofErr w:type="spellStart"/>
      <w:r>
        <w:rPr>
          <w:sz w:val="24"/>
          <w:szCs w:val="24"/>
        </w:rPr>
        <w:t>Ylaya</w:t>
      </w:r>
      <w:proofErr w:type="spellEnd"/>
      <w:r>
        <w:rPr>
          <w:sz w:val="24"/>
          <w:szCs w:val="24"/>
        </w:rPr>
        <w:t xml:space="preserve"> et al., 2024). Complementing this, Balingit et al. (2024) reported a travel-related Philippine case with possible mpox and varicella zoster virus (VZV) co-detection. </w:t>
      </w:r>
      <w:r>
        <w:rPr>
          <w:sz w:val="24"/>
          <w:szCs w:val="24"/>
        </w:rPr>
        <w:t>Although qPCR detected both Mpox virus (Clade II) and VZV, the mpox signal showed high cycle-threshold values and metagenomic sequencing recovered substantial VZV sequences but could not generate an mpox consensus genome, highlighting uncertainty about tru</w:t>
      </w:r>
      <w:r>
        <w:rPr>
          <w:sz w:val="24"/>
          <w:szCs w:val="24"/>
        </w:rPr>
        <w:t>e co-infection and the need for re-sampling and cautious interpretation when endemic rash illnesses overlap clinically with mpox. The case was managed with acyclovir, strict home isolation for 30 days from rash onset, and IPC measures, reinforcing policy-r</w:t>
      </w:r>
      <w:r>
        <w:rPr>
          <w:sz w:val="24"/>
          <w:szCs w:val="24"/>
        </w:rPr>
        <w:t>elevant lessons on diagnostic vigilance and laboratory strengthening (Balingit et al., 2024).</w:t>
      </w:r>
    </w:p>
    <w:p w:rsidR="00A207F0" w:rsidRDefault="00A3387C">
      <w:pPr>
        <w:spacing w:before="240" w:after="240"/>
        <w:ind w:firstLine="720"/>
        <w:jc w:val="both"/>
        <w:rPr>
          <w:sz w:val="24"/>
          <w:szCs w:val="24"/>
        </w:rPr>
      </w:pPr>
      <w:r>
        <w:rPr>
          <w:sz w:val="24"/>
          <w:szCs w:val="24"/>
        </w:rPr>
        <w:t xml:space="preserve">Population-level evidence largely focused on knowledge, awareness, information sources, and behavioral preparedness rather than clinical detection. </w:t>
      </w:r>
      <w:proofErr w:type="spellStart"/>
      <w:r>
        <w:rPr>
          <w:sz w:val="24"/>
          <w:szCs w:val="24"/>
        </w:rPr>
        <w:t>Berdida</w:t>
      </w:r>
      <w:proofErr w:type="spellEnd"/>
      <w:r>
        <w:rPr>
          <w:sz w:val="24"/>
          <w:szCs w:val="24"/>
        </w:rPr>
        <w:t xml:space="preserve"> (2023)</w:t>
      </w:r>
      <w:r>
        <w:rPr>
          <w:sz w:val="24"/>
          <w:szCs w:val="24"/>
        </w:rPr>
        <w:t xml:space="preserve"> conducted a nationwide cross-sectional online survey (n=557; July–September 2022) using a 21-item questionnaire and found that age above 30 years was the only significant predictor of higher mpox knowledge. Social media, particularly Facebook, was the dom</w:t>
      </w:r>
      <w:r>
        <w:rPr>
          <w:sz w:val="24"/>
          <w:szCs w:val="24"/>
        </w:rPr>
        <w:t>inant information source, suggesting both opportunity and risk for public communication strategies. The study emphasized the need for targeted, evidence-based messaging for younger groups and broader preparedness promotion, though it did not involve survei</w:t>
      </w:r>
      <w:r>
        <w:rPr>
          <w:sz w:val="24"/>
          <w:szCs w:val="24"/>
        </w:rPr>
        <w:t>llance or laboratory confirmation (</w:t>
      </w:r>
      <w:proofErr w:type="spellStart"/>
      <w:r>
        <w:rPr>
          <w:sz w:val="24"/>
          <w:szCs w:val="24"/>
        </w:rPr>
        <w:t>Berdida</w:t>
      </w:r>
      <w:proofErr w:type="spellEnd"/>
      <w:r>
        <w:rPr>
          <w:sz w:val="24"/>
          <w:szCs w:val="24"/>
        </w:rPr>
        <w:t>, 2023). At the institutional level, Sanchez et al. (2024) assessed mpox knowledge, awareness, and information sources among Medical Technology students (n=267) using a mixed-methods design informed by the Health B</w:t>
      </w:r>
      <w:r>
        <w:rPr>
          <w:sz w:val="24"/>
          <w:szCs w:val="24"/>
        </w:rPr>
        <w:t>elief Model. While not linked to case detection, students expressed concerns about transmission and vaccine unavailability and relied heavily on online platforms for information. Findings highlighted gaps in structured health education and the importance o</w:t>
      </w:r>
      <w:r>
        <w:rPr>
          <w:sz w:val="24"/>
          <w:szCs w:val="24"/>
        </w:rPr>
        <w:t xml:space="preserve">f credible, youth-targeted risk communication to support outbreak readiness (Sanchez et al., 2024). </w:t>
      </w:r>
      <w:proofErr w:type="spellStart"/>
      <w:r>
        <w:rPr>
          <w:sz w:val="24"/>
          <w:szCs w:val="24"/>
        </w:rPr>
        <w:t>Tendido</w:t>
      </w:r>
      <w:proofErr w:type="spellEnd"/>
      <w:r>
        <w:rPr>
          <w:sz w:val="24"/>
          <w:szCs w:val="24"/>
        </w:rPr>
        <w:t xml:space="preserve"> et al. (2025) extended this behavioral evidence through a nationwide KAP survey (n=502), showing that knowledge did not necessarily predict perceive</w:t>
      </w:r>
      <w:r>
        <w:rPr>
          <w:sz w:val="24"/>
          <w:szCs w:val="24"/>
        </w:rPr>
        <w:t>d susceptibility or severity but strongly shaped attitudes toward preventive measures, which were the strongest predictors of protective practices such as hand hygiene, surface disinfection, and avoidance of high-risk exposures. The study emphasized stigma</w:t>
      </w:r>
      <w:r>
        <w:rPr>
          <w:sz w:val="24"/>
          <w:szCs w:val="24"/>
        </w:rPr>
        <w:t>-free communication and non-pharmaceutical interventions, reflecting preparedness realities in a setting with limited vaccine availability (</w:t>
      </w:r>
      <w:proofErr w:type="spellStart"/>
      <w:r>
        <w:rPr>
          <w:sz w:val="24"/>
          <w:szCs w:val="24"/>
        </w:rPr>
        <w:t>Tendido</w:t>
      </w:r>
      <w:proofErr w:type="spellEnd"/>
      <w:r>
        <w:rPr>
          <w:sz w:val="24"/>
          <w:szCs w:val="24"/>
        </w:rPr>
        <w:t xml:space="preserve"> et al., 2025).</w:t>
      </w:r>
    </w:p>
    <w:p w:rsidR="00A207F0" w:rsidRDefault="00A3387C">
      <w:pPr>
        <w:spacing w:before="240" w:after="240"/>
        <w:ind w:firstLine="720"/>
        <w:jc w:val="both"/>
        <w:rPr>
          <w:sz w:val="24"/>
          <w:szCs w:val="24"/>
        </w:rPr>
      </w:pPr>
      <w:r>
        <w:rPr>
          <w:sz w:val="24"/>
          <w:szCs w:val="24"/>
        </w:rPr>
        <w:t>Policy and preparedness discussions highlighted system vulnerabilities and vaccine access con</w:t>
      </w:r>
      <w:r>
        <w:rPr>
          <w:sz w:val="24"/>
          <w:szCs w:val="24"/>
        </w:rPr>
        <w:t>straints. Cordero Jr. (2023) provided an early national perspective framing mpox as a stress test for Philippine readiness amid COVID-19 recovery, emphasizing the need to strengthen surveillance infrastructure, case management capacity, IPC in healthcare s</w:t>
      </w:r>
      <w:r>
        <w:rPr>
          <w:sz w:val="24"/>
          <w:szCs w:val="24"/>
        </w:rPr>
        <w:t xml:space="preserve">ettings, contact tracing systems, and large-scale risk </w:t>
      </w:r>
      <w:r>
        <w:rPr>
          <w:sz w:val="24"/>
          <w:szCs w:val="24"/>
        </w:rPr>
        <w:lastRenderedPageBreak/>
        <w:t>communication. The commentary also raised vaccination and therapeutics procurement as a preparedness priority, linking readiness gaps to workforce and supply-chain constraints revealed during the pande</w:t>
      </w:r>
      <w:r>
        <w:rPr>
          <w:sz w:val="24"/>
          <w:szCs w:val="24"/>
        </w:rPr>
        <w:t>mic (Cordero Jr., 2023). In a later policy commentary, Cordero Jr. (2025) argued that delayed vaccine access and uneven response capacity could undermine outbreak control as reported case numbers increased, advocating accelerated procurement, improved regu</w:t>
      </w:r>
      <w:r>
        <w:rPr>
          <w:sz w:val="24"/>
          <w:szCs w:val="24"/>
        </w:rPr>
        <w:t>lation in high-risk settings, and coordinated national policy action; tecovirimat and vaccination of high-risk groups were emphasized as potential pillars once feasible (Cordero Jr., 2025).</w:t>
      </w:r>
    </w:p>
    <w:p w:rsidR="00A207F0" w:rsidRDefault="00A3387C">
      <w:pPr>
        <w:spacing w:before="240" w:after="240"/>
        <w:ind w:firstLine="720"/>
        <w:jc w:val="both"/>
        <w:rPr>
          <w:sz w:val="24"/>
          <w:szCs w:val="24"/>
        </w:rPr>
      </w:pPr>
      <w:r>
        <w:rPr>
          <w:sz w:val="24"/>
          <w:szCs w:val="24"/>
        </w:rPr>
        <w:t>Later surveillance updates suggested continued sporadic transmissi</w:t>
      </w:r>
      <w:r>
        <w:rPr>
          <w:sz w:val="24"/>
          <w:szCs w:val="24"/>
        </w:rPr>
        <w:t>on and evolving case classification challenges. A Reuters (2024) report citing DOH described the first confirmed mpox case in 2024 as a 33-year-old male without travel history, representing the 10th confirmed Philippine case since 2022, and underscored the</w:t>
      </w:r>
      <w:r>
        <w:rPr>
          <w:sz w:val="24"/>
          <w:szCs w:val="24"/>
        </w:rPr>
        <w:t xml:space="preserve"> need for sustained surveillance and laboratory readiness for strain identification amid changing global alerts (Reuters, 2024). A DOH press release dated 26 August 2024 reported two additional Metro Manila cases (males aged 37 and 32), bringing the nation</w:t>
      </w:r>
      <w:r>
        <w:rPr>
          <w:sz w:val="24"/>
          <w:szCs w:val="24"/>
        </w:rPr>
        <w:t>al total to 11 confirmed cases, with PCR confirmation at RITM identifying Mpox virus Clade II in both; response actions included isolation or admission, supportive management, IPC guidance, LGU notification, contact tracing, and public advisories emphasizi</w:t>
      </w:r>
      <w:r>
        <w:rPr>
          <w:sz w:val="24"/>
          <w:szCs w:val="24"/>
        </w:rPr>
        <w:t>ng close skin-to-skin transmission, while vaccination remained unaddressed in the report (DOH, 2024). By 2025, a GMA Integrated News (2025) report based on DOH monitoring described a larger cumulative count since 2024 and noted that many initially reported</w:t>
      </w:r>
      <w:r>
        <w:rPr>
          <w:sz w:val="24"/>
          <w:szCs w:val="24"/>
        </w:rPr>
        <w:t xml:space="preserve"> cases were later reclassified as non-mpox (e.g., chickenpox), reinforcing the operational importance of accurate laboratory confirmation and case verification. The report also emphasized that confirmed Philippine infections remained limited to Clade II an</w:t>
      </w:r>
      <w:r>
        <w:rPr>
          <w:sz w:val="24"/>
          <w:szCs w:val="24"/>
        </w:rPr>
        <w:t>d that deaths were primarily linked to advanced HIV rather than mpox alone, while public messaging focused on evidence-based risk communication and targeted prevention based on close-contact transmission (GMA Integrated News, 2025).</w:t>
      </w:r>
    </w:p>
    <w:p w:rsidR="00A207F0" w:rsidRDefault="00A3387C">
      <w:pPr>
        <w:spacing w:before="240" w:after="240"/>
        <w:jc w:val="both"/>
        <w:rPr>
          <w:b/>
          <w:bCs/>
          <w:sz w:val="24"/>
          <w:szCs w:val="24"/>
        </w:rPr>
      </w:pPr>
      <w:r>
        <w:rPr>
          <w:b/>
          <w:bCs/>
          <w:sz w:val="24"/>
          <w:szCs w:val="24"/>
        </w:rPr>
        <w:t>DISCUSSION</w:t>
      </w:r>
    </w:p>
    <w:p w:rsidR="00A207F0" w:rsidRDefault="00A3387C">
      <w:pPr>
        <w:spacing w:before="240" w:after="240"/>
        <w:ind w:firstLine="720"/>
        <w:jc w:val="both"/>
        <w:rPr>
          <w:sz w:val="24"/>
          <w:szCs w:val="24"/>
        </w:rPr>
      </w:pPr>
      <w:r>
        <w:rPr>
          <w:sz w:val="24"/>
          <w:szCs w:val="24"/>
        </w:rPr>
        <w:t>This systema</w:t>
      </w:r>
      <w:r>
        <w:rPr>
          <w:sz w:val="24"/>
          <w:szCs w:val="24"/>
        </w:rPr>
        <w:t>tic review synthesizes Philippine-specific evidence on mpox across surveillance updates, laboratory-confirmed clinical case reports, population-level knowledge and preparedness studies, and policy-oriented analyses. Collectively, the literature suggests lo</w:t>
      </w:r>
      <w:r>
        <w:rPr>
          <w:sz w:val="24"/>
          <w:szCs w:val="24"/>
        </w:rPr>
        <w:t>w but persistent mpox transmission in the Philippines since the first confirmed case in 2022, alongside strong centralized laboratory capability and continued reliance on non-pharmaceutical public health measures. However, preparedness remains uneven due t</w:t>
      </w:r>
      <w:r>
        <w:rPr>
          <w:sz w:val="24"/>
          <w:szCs w:val="24"/>
        </w:rPr>
        <w:t>o constraints in surveillance sensitivity during low-incidence periods, variable risk communication, and delayed access to vaccines and therapeutics, challenges that reflect broader global gaps identified during the multi-country mpox outbreak (World Healt</w:t>
      </w:r>
      <w:r>
        <w:rPr>
          <w:sz w:val="24"/>
          <w:szCs w:val="24"/>
        </w:rPr>
        <w:t>h Organization, 2023; World Health Organization, 2024; Thornhill et al., 2022).</w:t>
      </w:r>
    </w:p>
    <w:p w:rsidR="00A207F0" w:rsidRDefault="00A3387C">
      <w:pPr>
        <w:spacing w:before="240" w:after="240"/>
        <w:ind w:firstLine="720"/>
        <w:jc w:val="both"/>
        <w:rPr>
          <w:sz w:val="24"/>
          <w:szCs w:val="24"/>
        </w:rPr>
      </w:pPr>
      <w:r>
        <w:rPr>
          <w:sz w:val="24"/>
          <w:szCs w:val="24"/>
        </w:rPr>
        <w:lastRenderedPageBreak/>
        <w:t xml:space="preserve">From an epidemiologic and virologic perspective, the Philippine pattern aligns with observations from non-endemic settings affected during the 2022–2024 outbreak period, where </w:t>
      </w:r>
      <w:r>
        <w:rPr>
          <w:sz w:val="24"/>
          <w:szCs w:val="24"/>
        </w:rPr>
        <w:t>transmission became increasingly sustained through close contact and clustered networks rather than primarily zoonotic spillover (Bunge et al., 2022; Thornhill et al., 2022; World Health Organization, 2023). Philippine-confirmed cases have been predominant</w:t>
      </w:r>
      <w:r>
        <w:rPr>
          <w:sz w:val="24"/>
          <w:szCs w:val="24"/>
        </w:rPr>
        <w:t xml:space="preserve">ly attributed to Mpox virus Clade II, consistent with the clade associated with the global outbreak and generally </w:t>
      </w:r>
      <w:proofErr w:type="gramStart"/>
      <w:r>
        <w:rPr>
          <w:sz w:val="24"/>
          <w:szCs w:val="24"/>
        </w:rPr>
        <w:t>lower case</w:t>
      </w:r>
      <w:proofErr w:type="gramEnd"/>
      <w:r>
        <w:rPr>
          <w:sz w:val="24"/>
          <w:szCs w:val="24"/>
        </w:rPr>
        <w:t xml:space="preserve"> fatality than Clade I, though still capable of sustained human-to-human transmission (World Health Organization, 2023; World Health</w:t>
      </w:r>
      <w:r>
        <w:rPr>
          <w:sz w:val="24"/>
          <w:szCs w:val="24"/>
        </w:rPr>
        <w:t xml:space="preserve"> Organization, 2024). As emphasized in international guidance, effective mpox control requires tight integration of clinical case detection, laboratory confirmation, rapid reporting, and contact tracing, elements that remain foundational even in settings w</w:t>
      </w:r>
      <w:r>
        <w:rPr>
          <w:sz w:val="24"/>
          <w:szCs w:val="24"/>
        </w:rPr>
        <w:t>ith relatively few cases (European Centre for Disease Prevention and Control, 2023; World Health Organization, 2024).</w:t>
      </w:r>
    </w:p>
    <w:p w:rsidR="00A207F0" w:rsidRDefault="00A3387C">
      <w:pPr>
        <w:spacing w:before="240" w:after="240"/>
        <w:ind w:firstLine="720"/>
        <w:jc w:val="both"/>
        <w:rPr>
          <w:sz w:val="24"/>
          <w:szCs w:val="24"/>
        </w:rPr>
      </w:pPr>
      <w:r>
        <w:rPr>
          <w:sz w:val="24"/>
          <w:szCs w:val="24"/>
        </w:rPr>
        <w:t>A major strength emerging from the Philippine evidence base is laboratory readiness for molecular confirmation and genomic characterizatio</w:t>
      </w:r>
      <w:r>
        <w:rPr>
          <w:sz w:val="24"/>
          <w:szCs w:val="24"/>
        </w:rPr>
        <w:t>n, particularly through reference laboratory functions at the Research Institute for Tropical Medicine. The first comprehensive laboratory-confirmed case report demonstrated optimized qPCR workflows and metagenomic sequencing sufficient to assign lineage (</w:t>
      </w:r>
      <w:r>
        <w:rPr>
          <w:sz w:val="24"/>
          <w:szCs w:val="24"/>
        </w:rPr>
        <w:t>Clade IIb, lineage B.1.3) consistent with internationally circulating strains (</w:t>
      </w:r>
      <w:proofErr w:type="spellStart"/>
      <w:r>
        <w:rPr>
          <w:sz w:val="24"/>
          <w:szCs w:val="24"/>
        </w:rPr>
        <w:t>Ylaya</w:t>
      </w:r>
      <w:proofErr w:type="spellEnd"/>
      <w:r>
        <w:rPr>
          <w:sz w:val="24"/>
          <w:szCs w:val="24"/>
        </w:rPr>
        <w:t xml:space="preserve"> et al., 2024). Importantly, Philippine case documentation also illustrates a common operational challenge in non-endemic settings: clinical and laboratory overlap with end</w:t>
      </w:r>
      <w:r>
        <w:rPr>
          <w:sz w:val="24"/>
          <w:szCs w:val="24"/>
        </w:rPr>
        <w:t>emic vesiculopustular illnesses, particularly varicella. False-positive serology and uncertain co-detection underscore why reliance on molecular assays is critical for accurate classification and for preventing misinterpretation of transmission dynamics (</w:t>
      </w:r>
      <w:proofErr w:type="spellStart"/>
      <w:r>
        <w:rPr>
          <w:sz w:val="24"/>
          <w:szCs w:val="24"/>
        </w:rPr>
        <w:t>Y</w:t>
      </w:r>
      <w:r>
        <w:rPr>
          <w:sz w:val="24"/>
          <w:szCs w:val="24"/>
        </w:rPr>
        <w:t>laya</w:t>
      </w:r>
      <w:proofErr w:type="spellEnd"/>
      <w:r>
        <w:rPr>
          <w:sz w:val="24"/>
          <w:szCs w:val="24"/>
        </w:rPr>
        <w:t xml:space="preserve"> et al., 2024; Balingit et al., 2024). These diagnostic lessons are consistent with global guidance emphasizing RT-PCR as the primary confirmatory method for mpox surveillance and outbreak management (Centers for Disease Control and Prevention, 2023; W</w:t>
      </w:r>
      <w:r>
        <w:rPr>
          <w:sz w:val="24"/>
          <w:szCs w:val="24"/>
        </w:rPr>
        <w:t>orld Health Organization, 2024).</w:t>
      </w:r>
    </w:p>
    <w:p w:rsidR="00A207F0" w:rsidRDefault="00A3387C">
      <w:pPr>
        <w:spacing w:before="240" w:after="240"/>
        <w:ind w:firstLine="720"/>
        <w:jc w:val="both"/>
        <w:rPr>
          <w:sz w:val="24"/>
          <w:szCs w:val="24"/>
        </w:rPr>
      </w:pPr>
      <w:r>
        <w:rPr>
          <w:sz w:val="24"/>
          <w:szCs w:val="24"/>
        </w:rPr>
        <w:t>Despite evidence of functional surveillance response early in the outbreak period, later updates highlight the persistent risk of misclassification and reclassification, a known vulnerability when public attention fluctuate</w:t>
      </w:r>
      <w:r>
        <w:rPr>
          <w:sz w:val="24"/>
          <w:szCs w:val="24"/>
        </w:rPr>
        <w:t>s and rash illnesses are common. Early reporting documented contact tracing and isolation practices that likely supported containment, but later monitoring described suspected cases later classified as non-mpox conditions (e.g., chickenpox), reinforcing th</w:t>
      </w:r>
      <w:r>
        <w:rPr>
          <w:sz w:val="24"/>
          <w:szCs w:val="24"/>
        </w:rPr>
        <w:t>e importance of sustained clinical suspicion, standardized case definitions, and confirmatory testing (Montemayor, 2022; Department of Health, 2024; GMA Integrated News, 2025). In low-incidence contexts, maintaining surveillance sensitivity and timely veri</w:t>
      </w:r>
      <w:r>
        <w:rPr>
          <w:sz w:val="24"/>
          <w:szCs w:val="24"/>
        </w:rPr>
        <w:t xml:space="preserve">fication is essential to avoid both under-detection (delayed recognition of true cases) and over-attribution (inflated suspected counts that trigger unnecessary alarm), consistent with international surveillance and contact-tracing </w:t>
      </w:r>
      <w:r>
        <w:rPr>
          <w:sz w:val="24"/>
          <w:szCs w:val="24"/>
        </w:rPr>
        <w:lastRenderedPageBreak/>
        <w:t>guidance (World Health O</w:t>
      </w:r>
      <w:r>
        <w:rPr>
          <w:sz w:val="24"/>
          <w:szCs w:val="24"/>
        </w:rPr>
        <w:t>rganization, 2024; European Centre for Disease Prevention and Control, 2023).</w:t>
      </w:r>
    </w:p>
    <w:p w:rsidR="00A207F0" w:rsidRDefault="00A3387C">
      <w:pPr>
        <w:spacing w:before="240" w:after="240"/>
        <w:ind w:firstLine="720"/>
        <w:jc w:val="both"/>
        <w:rPr>
          <w:sz w:val="24"/>
          <w:szCs w:val="24"/>
        </w:rPr>
      </w:pPr>
      <w:r>
        <w:rPr>
          <w:sz w:val="24"/>
          <w:szCs w:val="24"/>
        </w:rPr>
        <w:t>Behavioral evidence in the Philippines highlights that preparedness is not only biomedical but also strongly shaped by information ecosystems and public risk perception. National</w:t>
      </w:r>
      <w:r>
        <w:rPr>
          <w:sz w:val="24"/>
          <w:szCs w:val="24"/>
        </w:rPr>
        <w:t xml:space="preserve"> and student-based surveys consistently show heavy reliance on social media, particularly Facebook, as a primary information source, with knowledge varying by age and other demographic factors (</w:t>
      </w:r>
      <w:proofErr w:type="spellStart"/>
      <w:r>
        <w:rPr>
          <w:sz w:val="24"/>
          <w:szCs w:val="24"/>
        </w:rPr>
        <w:t>Berdida</w:t>
      </w:r>
      <w:proofErr w:type="spellEnd"/>
      <w:r>
        <w:rPr>
          <w:sz w:val="24"/>
          <w:szCs w:val="24"/>
        </w:rPr>
        <w:t>, 2023; Sanchez et al., 2024). Crucially, the broader K</w:t>
      </w:r>
      <w:r>
        <w:rPr>
          <w:sz w:val="24"/>
          <w:szCs w:val="24"/>
        </w:rPr>
        <w:t>AP evidence indicates that knowledge does not always translate into perceived susceptibility or severity, but it can influence attitudes toward prevention and downstream protective practices (</w:t>
      </w:r>
      <w:proofErr w:type="spellStart"/>
      <w:r>
        <w:rPr>
          <w:sz w:val="24"/>
          <w:szCs w:val="24"/>
        </w:rPr>
        <w:t>Tendido</w:t>
      </w:r>
      <w:proofErr w:type="spellEnd"/>
      <w:r>
        <w:rPr>
          <w:sz w:val="24"/>
          <w:szCs w:val="24"/>
        </w:rPr>
        <w:t xml:space="preserve"> et al., 2025). These findings support the need for targe</w:t>
      </w:r>
      <w:r>
        <w:rPr>
          <w:sz w:val="24"/>
          <w:szCs w:val="24"/>
        </w:rPr>
        <w:t xml:space="preserve">ted, stigma-free risk communication that goes beyond “awareness,” addresses misconceptions, and provides actionable guidance aligned with transmission realities (close physical contact and household or intimate exposures). This emphasis is consistent with </w:t>
      </w:r>
      <w:r>
        <w:rPr>
          <w:sz w:val="24"/>
          <w:szCs w:val="24"/>
        </w:rPr>
        <w:t>public health recommendations that stress communication, community engagement, and non-stigmatizing messaging as core components of mpox outbreak control (World Health Organization, 2023; World Health Organization, 2024).</w:t>
      </w:r>
    </w:p>
    <w:p w:rsidR="00A207F0" w:rsidRDefault="00A3387C">
      <w:pPr>
        <w:spacing w:before="240" w:after="240"/>
        <w:ind w:firstLine="720"/>
        <w:jc w:val="both"/>
        <w:rPr>
          <w:sz w:val="24"/>
          <w:szCs w:val="24"/>
        </w:rPr>
      </w:pPr>
      <w:r>
        <w:rPr>
          <w:sz w:val="24"/>
          <w:szCs w:val="24"/>
        </w:rPr>
        <w:t>Policy-oriented publications furth</w:t>
      </w:r>
      <w:r>
        <w:rPr>
          <w:sz w:val="24"/>
          <w:szCs w:val="24"/>
        </w:rPr>
        <w:t>er suggest that the most consequential preparedness gap is not basic diagnostic capability but equitable access to countermeasures (vaccines and antivirals) and system-level readiness to deploy them strategically. Early and later commentaries describe mpox</w:t>
      </w:r>
      <w:r>
        <w:rPr>
          <w:sz w:val="24"/>
          <w:szCs w:val="24"/>
        </w:rPr>
        <w:t xml:space="preserve"> as a stress test for post–COVID-19 recovery, drawing attention to surveillance infrastructure, IPC readiness, workforce capacity, and procurement constraints (Cordero, D. A., Jr., 2023; Cordero, D. A., Jr., 2025). While non-pharmaceutical interventions re</w:t>
      </w:r>
      <w:r>
        <w:rPr>
          <w:sz w:val="24"/>
          <w:szCs w:val="24"/>
        </w:rPr>
        <w:t xml:space="preserve">main central, particularly when vaccine availability is limited, lack of a clear vaccination and therapeutic access pathway for high-risk groups may restrict rapid containment if transmission increases (Cordero, D. A., Jr., 2025). Global experience during </w:t>
      </w:r>
      <w:r>
        <w:rPr>
          <w:sz w:val="24"/>
          <w:szCs w:val="24"/>
        </w:rPr>
        <w:t>the multi-country outbreak supports the view that preparedness frameworks should integrate surveillance and contact tracing with feasible plans for targeted vaccination and therapeutic access where indicated (World Health Organization, 2023; World Health O</w:t>
      </w:r>
      <w:r>
        <w:rPr>
          <w:sz w:val="24"/>
          <w:szCs w:val="24"/>
        </w:rPr>
        <w:t>rganization, 2024).</w:t>
      </w:r>
    </w:p>
    <w:p w:rsidR="00A207F0" w:rsidRDefault="00A3387C">
      <w:pPr>
        <w:spacing w:before="240" w:after="240"/>
        <w:ind w:firstLine="720"/>
        <w:jc w:val="both"/>
        <w:rPr>
          <w:sz w:val="24"/>
          <w:szCs w:val="24"/>
        </w:rPr>
      </w:pPr>
      <w:r>
        <w:rPr>
          <w:sz w:val="24"/>
          <w:szCs w:val="24"/>
        </w:rPr>
        <w:t>Several limitations in the available evidence warrant careful interpretation. Philippine mpox literature remains relatively sparse and heterogeneous, with dependence on surveillance updates, gray literature, and single-case reports, and</w:t>
      </w:r>
      <w:r>
        <w:rPr>
          <w:sz w:val="24"/>
          <w:szCs w:val="24"/>
        </w:rPr>
        <w:t xml:space="preserve"> few peer-reviewed analytic epidemiologic studies. Underreporting is plausible given centralized confirmatory testing, stigma, variable healthcare-seeking behavior, and the presence of clinically similar rash illnesses. Nonetheless, inclusion of official r</w:t>
      </w:r>
      <w:r>
        <w:rPr>
          <w:sz w:val="24"/>
          <w:szCs w:val="24"/>
        </w:rPr>
        <w:t xml:space="preserve">eports and reputable surveillance-linked sources provides an operationally relevant picture of real-world detection and response dynamics and supports pragmatic recommendations consistent with </w:t>
      </w:r>
      <w:r>
        <w:rPr>
          <w:sz w:val="24"/>
          <w:szCs w:val="24"/>
        </w:rPr>
        <w:lastRenderedPageBreak/>
        <w:t>international guidance (World Health Organization, 2024; Depart</w:t>
      </w:r>
      <w:r>
        <w:rPr>
          <w:sz w:val="24"/>
          <w:szCs w:val="24"/>
        </w:rPr>
        <w:t>ment of Health Philippines, 2022).</w:t>
      </w:r>
    </w:p>
    <w:p w:rsidR="00A207F0" w:rsidRDefault="00A3387C">
      <w:pPr>
        <w:spacing w:before="240" w:after="240"/>
        <w:ind w:firstLine="720"/>
        <w:jc w:val="both"/>
        <w:rPr>
          <w:sz w:val="24"/>
          <w:szCs w:val="24"/>
        </w:rPr>
      </w:pPr>
      <w:r>
        <w:rPr>
          <w:sz w:val="24"/>
          <w:szCs w:val="24"/>
        </w:rPr>
        <w:t>The Philippine evidence suggests a preparedness profile characterized by strong laboratory confirmation capacity and early containment practices, but constrained by variable surveillance sensitivity, communication challen</w:t>
      </w:r>
      <w:r>
        <w:rPr>
          <w:sz w:val="24"/>
          <w:szCs w:val="24"/>
        </w:rPr>
        <w:t>ges, and delayed access to vaccines and therapeutics. Strengthening national readiness will likely require maintaining integrated surveillance with confirmatory testing, expanding and standardizing risk communication tailored to populations with lower awar</w:t>
      </w:r>
      <w:r>
        <w:rPr>
          <w:sz w:val="24"/>
          <w:szCs w:val="24"/>
        </w:rPr>
        <w:t>eness, and proactive policy planning for targeted deployment of countermeasures under existing public health frameworks (European Centre for Disease Prevention and Control, 2023; World Health Organization, 2024; Cordero, D. A., Jr., 2025).</w:t>
      </w:r>
    </w:p>
    <w:p w:rsidR="00A207F0" w:rsidRDefault="00A207F0">
      <w:pPr>
        <w:jc w:val="both"/>
        <w:rPr>
          <w:sz w:val="24"/>
          <w:szCs w:val="24"/>
        </w:rPr>
      </w:pPr>
    </w:p>
    <w:p w:rsidR="00A207F0" w:rsidRDefault="00A3387C" w:rsidP="003A5D7C">
      <w:pPr>
        <w:jc w:val="both"/>
        <w:rPr>
          <w:sz w:val="24"/>
          <w:szCs w:val="24"/>
        </w:rPr>
      </w:pPr>
      <w:r>
        <w:rPr>
          <w:b/>
          <w:bCs/>
          <w:sz w:val="24"/>
          <w:szCs w:val="24"/>
        </w:rPr>
        <w:t>CONCLUSION</w:t>
      </w:r>
      <w:r>
        <w:rPr>
          <w:sz w:val="24"/>
          <w:szCs w:val="24"/>
        </w:rPr>
        <w:br/>
      </w:r>
      <w:r>
        <w:rPr>
          <w:sz w:val="24"/>
          <w:szCs w:val="24"/>
        </w:rPr>
        <w:br/>
      </w:r>
      <w:r>
        <w:rPr>
          <w:sz w:val="24"/>
          <w:szCs w:val="24"/>
        </w:rPr>
        <w:tab/>
        <w:t>Th</w:t>
      </w:r>
      <w:r>
        <w:rPr>
          <w:sz w:val="24"/>
          <w:szCs w:val="24"/>
        </w:rPr>
        <w:t>is systematic review shows that mpox preparedness in the Philippines is characterized by effective laboratory confirmation and early containment of sporadic cases, but remains limited by fragmented epidemiologic data, variable surveillance sensitivity, and</w:t>
      </w:r>
      <w:r>
        <w:rPr>
          <w:sz w:val="24"/>
          <w:szCs w:val="24"/>
        </w:rPr>
        <w:t xml:space="preserve"> delayed access to vaccines and therapeutics. Sustained preparedness will require integrated surveillance with reliable laboratory confirmation, strengthened and stigma-free risk communication, and proactive policy planning for targeted vaccination and ant</w:t>
      </w:r>
      <w:r>
        <w:rPr>
          <w:sz w:val="24"/>
          <w:szCs w:val="24"/>
        </w:rPr>
        <w:t>iviral access. Strengthening these areas is essential to ensure timely detection, proportionate response, and resilience against future mpox introductions or resurgence in the Philippine setting.</w:t>
      </w:r>
    </w:p>
    <w:p w:rsidR="003A5D7C" w:rsidRDefault="003A5D7C" w:rsidP="003A5D7C">
      <w:pPr>
        <w:jc w:val="both"/>
        <w:rPr>
          <w:sz w:val="24"/>
          <w:szCs w:val="24"/>
        </w:rPr>
      </w:pPr>
      <w:bookmarkStart w:id="1" w:name="_GoBack"/>
      <w:bookmarkEnd w:id="1"/>
    </w:p>
    <w:p w:rsidR="00A207F0" w:rsidRDefault="00A3387C">
      <w:pPr>
        <w:spacing w:before="240" w:after="240" w:line="240" w:lineRule="auto"/>
        <w:jc w:val="both"/>
        <w:rPr>
          <w:b/>
          <w:bCs/>
          <w:sz w:val="24"/>
          <w:szCs w:val="24"/>
        </w:rPr>
      </w:pPr>
      <w:r>
        <w:rPr>
          <w:b/>
          <w:bCs/>
          <w:sz w:val="24"/>
          <w:szCs w:val="24"/>
        </w:rPr>
        <w:t>REFERENCES</w:t>
      </w:r>
    </w:p>
    <w:p w:rsidR="00A207F0" w:rsidRDefault="00A3387C">
      <w:pPr>
        <w:spacing w:before="240" w:after="240" w:line="240" w:lineRule="auto"/>
        <w:ind w:left="720" w:hanging="720"/>
        <w:jc w:val="both"/>
        <w:rPr>
          <w:sz w:val="24"/>
          <w:szCs w:val="24"/>
        </w:rPr>
      </w:pPr>
      <w:r>
        <w:rPr>
          <w:sz w:val="24"/>
          <w:szCs w:val="24"/>
        </w:rPr>
        <w:t xml:space="preserve">Balingit, A. K., Grande, P. G., </w:t>
      </w:r>
      <w:proofErr w:type="spellStart"/>
      <w:r>
        <w:rPr>
          <w:sz w:val="24"/>
          <w:szCs w:val="24"/>
        </w:rPr>
        <w:t>Nicolasora</w:t>
      </w:r>
      <w:proofErr w:type="spellEnd"/>
      <w:r>
        <w:rPr>
          <w:sz w:val="24"/>
          <w:szCs w:val="24"/>
        </w:rPr>
        <w:t xml:space="preserve">, A. D., </w:t>
      </w:r>
      <w:proofErr w:type="spellStart"/>
      <w:r>
        <w:rPr>
          <w:sz w:val="24"/>
          <w:szCs w:val="24"/>
        </w:rPr>
        <w:t>Polotan</w:t>
      </w:r>
      <w:proofErr w:type="spellEnd"/>
      <w:r>
        <w:rPr>
          <w:sz w:val="24"/>
          <w:szCs w:val="24"/>
        </w:rPr>
        <w:t xml:space="preserve">, F. G., Pantoni, R. A., Abulencia, M. F., Chu, M. Y. J., Rivera, N., </w:t>
      </w:r>
      <w:proofErr w:type="spellStart"/>
      <w:r>
        <w:rPr>
          <w:sz w:val="24"/>
          <w:szCs w:val="24"/>
        </w:rPr>
        <w:t>Oblepias</w:t>
      </w:r>
      <w:proofErr w:type="spellEnd"/>
      <w:r>
        <w:rPr>
          <w:sz w:val="24"/>
          <w:szCs w:val="24"/>
        </w:rPr>
        <w:t>, M. S., &amp; Garcia, J. (2024). Clinical presentation and molecular diagnosis of a possible Mpox virus and Varicella zoste</w:t>
      </w:r>
      <w:r>
        <w:rPr>
          <w:sz w:val="24"/>
          <w:szCs w:val="24"/>
        </w:rPr>
        <w:t>r virus co-infection in an adult immunocompetent Filipino: A case report. Frontiers in Public Health, 12, Article 1387636.</w:t>
      </w:r>
      <w:hyperlink r:id="rId8">
        <w:r>
          <w:rPr>
            <w:sz w:val="24"/>
            <w:szCs w:val="24"/>
          </w:rPr>
          <w:t xml:space="preserve"> </w:t>
        </w:r>
      </w:hyperlink>
      <w:hyperlink r:id="rId9">
        <w:r>
          <w:rPr>
            <w:sz w:val="24"/>
            <w:szCs w:val="24"/>
          </w:rPr>
          <w:t>https://d</w:t>
        </w:r>
        <w:r>
          <w:rPr>
            <w:sz w:val="24"/>
            <w:szCs w:val="24"/>
          </w:rPr>
          <w:t>oi.org/10.3389/fpubh.2024.1387636</w:t>
        </w:r>
      </w:hyperlink>
    </w:p>
    <w:p w:rsidR="00A207F0" w:rsidRDefault="00A3387C">
      <w:pPr>
        <w:spacing w:before="240" w:after="240" w:line="240" w:lineRule="auto"/>
        <w:ind w:left="720" w:hanging="720"/>
        <w:jc w:val="both"/>
        <w:rPr>
          <w:sz w:val="24"/>
          <w:szCs w:val="24"/>
        </w:rPr>
      </w:pPr>
      <w:proofErr w:type="spellStart"/>
      <w:r>
        <w:rPr>
          <w:sz w:val="24"/>
          <w:szCs w:val="24"/>
        </w:rPr>
        <w:t>Berdida</w:t>
      </w:r>
      <w:proofErr w:type="spellEnd"/>
      <w:r>
        <w:rPr>
          <w:sz w:val="24"/>
          <w:szCs w:val="24"/>
        </w:rPr>
        <w:t xml:space="preserve">, D. J. E. (2023). Human monkeypox infection knowledge in the Philippines: An online cross-sectional survey. </w:t>
      </w:r>
      <w:proofErr w:type="spellStart"/>
      <w:r>
        <w:rPr>
          <w:sz w:val="24"/>
          <w:szCs w:val="24"/>
        </w:rPr>
        <w:t>Heliyon</w:t>
      </w:r>
      <w:proofErr w:type="spellEnd"/>
      <w:r>
        <w:rPr>
          <w:sz w:val="24"/>
          <w:szCs w:val="24"/>
        </w:rPr>
        <w:t>, e13864.</w:t>
      </w:r>
      <w:hyperlink r:id="rId10">
        <w:r>
          <w:rPr>
            <w:sz w:val="24"/>
            <w:szCs w:val="24"/>
          </w:rPr>
          <w:t xml:space="preserve"> </w:t>
        </w:r>
      </w:hyperlink>
      <w:hyperlink r:id="rId11">
        <w:r>
          <w:rPr>
            <w:sz w:val="24"/>
            <w:szCs w:val="24"/>
          </w:rPr>
          <w:t>https://doi.org/10.1016/j.heliyon.2023.e13864</w:t>
        </w:r>
      </w:hyperlink>
    </w:p>
    <w:p w:rsidR="00A207F0" w:rsidRDefault="00A3387C">
      <w:pPr>
        <w:spacing w:before="240" w:after="240" w:line="240" w:lineRule="auto"/>
        <w:ind w:left="720" w:hanging="720"/>
        <w:jc w:val="both"/>
        <w:rPr>
          <w:sz w:val="24"/>
          <w:szCs w:val="24"/>
        </w:rPr>
      </w:pPr>
      <w:r>
        <w:rPr>
          <w:sz w:val="24"/>
          <w:szCs w:val="24"/>
        </w:rPr>
        <w:t>Bunge, E. M., et al. (2022). The changing epidemiology of human monkeypox—A potential threat? PLOS Neglected Tropical Diseases, 16(2), e0010141.</w:t>
      </w:r>
    </w:p>
    <w:p w:rsidR="00A207F0" w:rsidRDefault="00A3387C">
      <w:pPr>
        <w:spacing w:before="240" w:after="240" w:line="240" w:lineRule="auto"/>
        <w:ind w:left="720" w:hanging="720"/>
        <w:jc w:val="both"/>
        <w:rPr>
          <w:sz w:val="24"/>
          <w:szCs w:val="24"/>
        </w:rPr>
      </w:pPr>
      <w:r>
        <w:rPr>
          <w:sz w:val="24"/>
          <w:szCs w:val="24"/>
        </w:rPr>
        <w:t xml:space="preserve">Centers for Disease </w:t>
      </w:r>
      <w:r>
        <w:rPr>
          <w:sz w:val="24"/>
          <w:szCs w:val="24"/>
        </w:rPr>
        <w:t>Control and Prevention. (2023). Mpox (monkeypox): Clinical overview.</w:t>
      </w:r>
    </w:p>
    <w:p w:rsidR="00A207F0" w:rsidRDefault="00A3387C">
      <w:pPr>
        <w:spacing w:before="240" w:after="240" w:line="240" w:lineRule="auto"/>
        <w:ind w:left="720" w:hanging="720"/>
        <w:jc w:val="both"/>
        <w:rPr>
          <w:sz w:val="24"/>
          <w:szCs w:val="24"/>
        </w:rPr>
      </w:pPr>
      <w:r>
        <w:rPr>
          <w:sz w:val="24"/>
          <w:szCs w:val="24"/>
        </w:rPr>
        <w:lastRenderedPageBreak/>
        <w:t>Cordero, D. A., Jr. (2023). The threat of monkeypox in the Philippines: Another problematic preparation and management for the healthcare system? Clinical and Experimental Vaccine Researc</w:t>
      </w:r>
      <w:r>
        <w:rPr>
          <w:sz w:val="24"/>
          <w:szCs w:val="24"/>
        </w:rPr>
        <w:t>h, 12(1), 77–79.</w:t>
      </w:r>
      <w:hyperlink r:id="rId12">
        <w:r>
          <w:rPr>
            <w:sz w:val="24"/>
            <w:szCs w:val="24"/>
          </w:rPr>
          <w:t xml:space="preserve"> </w:t>
        </w:r>
      </w:hyperlink>
      <w:hyperlink r:id="rId13">
        <w:r>
          <w:rPr>
            <w:sz w:val="24"/>
            <w:szCs w:val="24"/>
          </w:rPr>
          <w:t>https://doi.org/10.7774/cevr.2023.12.1.77</w:t>
        </w:r>
      </w:hyperlink>
    </w:p>
    <w:p w:rsidR="00A207F0" w:rsidRDefault="00A3387C">
      <w:pPr>
        <w:spacing w:before="240" w:after="240" w:line="240" w:lineRule="auto"/>
        <w:ind w:left="720" w:hanging="720"/>
        <w:jc w:val="both"/>
        <w:rPr>
          <w:sz w:val="24"/>
          <w:szCs w:val="24"/>
        </w:rPr>
      </w:pPr>
      <w:r>
        <w:rPr>
          <w:sz w:val="24"/>
          <w:szCs w:val="24"/>
        </w:rPr>
        <w:t>Cordero, D. A., Jr. (2025). Mpox vaccine in the Philippines: The waiting co</w:t>
      </w:r>
      <w:r>
        <w:rPr>
          <w:sz w:val="24"/>
          <w:szCs w:val="24"/>
        </w:rPr>
        <w:t>ntinues, but until when? Therapeutic Advances in Vaccines and Immunotherapy, 13, 25151355251356647.</w:t>
      </w:r>
      <w:hyperlink r:id="rId14">
        <w:r>
          <w:rPr>
            <w:sz w:val="24"/>
            <w:szCs w:val="24"/>
          </w:rPr>
          <w:t xml:space="preserve"> </w:t>
        </w:r>
      </w:hyperlink>
      <w:hyperlink r:id="rId15">
        <w:r>
          <w:rPr>
            <w:sz w:val="24"/>
            <w:szCs w:val="24"/>
          </w:rPr>
          <w:t>https://doi.org/10.1177/2515135525</w:t>
        </w:r>
        <w:r>
          <w:rPr>
            <w:sz w:val="24"/>
            <w:szCs w:val="24"/>
          </w:rPr>
          <w:t>1356647</w:t>
        </w:r>
      </w:hyperlink>
    </w:p>
    <w:p w:rsidR="00A207F0" w:rsidRDefault="00A3387C">
      <w:pPr>
        <w:spacing w:before="240" w:after="240" w:line="240" w:lineRule="auto"/>
        <w:ind w:left="720" w:hanging="720"/>
        <w:jc w:val="both"/>
        <w:rPr>
          <w:sz w:val="24"/>
          <w:szCs w:val="24"/>
        </w:rPr>
      </w:pPr>
      <w:r>
        <w:rPr>
          <w:sz w:val="24"/>
          <w:szCs w:val="24"/>
        </w:rPr>
        <w:t>Department of Health. (2024, August 26). DOH detects two more mpox cases [Press release]. GOVPH.</w:t>
      </w:r>
    </w:p>
    <w:p w:rsidR="00A207F0" w:rsidRDefault="00A3387C">
      <w:pPr>
        <w:spacing w:before="240" w:after="240" w:line="240" w:lineRule="auto"/>
        <w:ind w:left="720" w:hanging="720"/>
        <w:jc w:val="both"/>
        <w:rPr>
          <w:sz w:val="24"/>
          <w:szCs w:val="24"/>
        </w:rPr>
      </w:pPr>
      <w:r>
        <w:rPr>
          <w:sz w:val="24"/>
          <w:szCs w:val="24"/>
        </w:rPr>
        <w:t>Department of Health Philippines. (2022). Interim guidelines on the management of monkeypox cases.</w:t>
      </w:r>
    </w:p>
    <w:p w:rsidR="00A207F0" w:rsidRDefault="00A3387C">
      <w:pPr>
        <w:spacing w:before="240" w:after="240" w:line="240" w:lineRule="auto"/>
        <w:ind w:left="720" w:hanging="720"/>
        <w:jc w:val="both"/>
        <w:rPr>
          <w:sz w:val="24"/>
          <w:szCs w:val="24"/>
        </w:rPr>
      </w:pPr>
      <w:r>
        <w:rPr>
          <w:sz w:val="24"/>
          <w:szCs w:val="24"/>
        </w:rPr>
        <w:t xml:space="preserve">European Centre for Disease Prevention and Control. </w:t>
      </w:r>
      <w:r>
        <w:rPr>
          <w:sz w:val="24"/>
          <w:szCs w:val="24"/>
        </w:rPr>
        <w:t>(2023). Mpox—Factsheet for health professionals.</w:t>
      </w:r>
    </w:p>
    <w:p w:rsidR="00A207F0" w:rsidRDefault="00A3387C">
      <w:pPr>
        <w:spacing w:before="240" w:after="240" w:line="240" w:lineRule="auto"/>
        <w:ind w:left="720" w:hanging="720"/>
        <w:jc w:val="both"/>
        <w:rPr>
          <w:sz w:val="24"/>
          <w:szCs w:val="24"/>
        </w:rPr>
      </w:pPr>
      <w:r>
        <w:rPr>
          <w:sz w:val="24"/>
          <w:szCs w:val="24"/>
        </w:rPr>
        <w:t>GMA Integrated News. (2025, May 31). DOH: Mpox cases actually dipped in May 2025; total cases 911 since 2024. GMA News Online.</w:t>
      </w:r>
      <w:hyperlink r:id="rId16">
        <w:r>
          <w:rPr>
            <w:sz w:val="24"/>
            <w:szCs w:val="24"/>
          </w:rPr>
          <w:t xml:space="preserve"> </w:t>
        </w:r>
      </w:hyperlink>
      <w:hyperlink r:id="rId17">
        <w:r>
          <w:rPr>
            <w:sz w:val="24"/>
            <w:szCs w:val="24"/>
          </w:rPr>
          <w:t>https://www.gmanetwork.c</w:t>
        </w:r>
        <w:r>
          <w:rPr>
            <w:sz w:val="24"/>
            <w:szCs w:val="24"/>
          </w:rPr>
          <w:t>om/news/topstories/nation/947931/doh-more-mpox-cases-in-april-2025-than-in-may-total-cases-911-since-2024/story/</w:t>
        </w:r>
      </w:hyperlink>
    </w:p>
    <w:p w:rsidR="00A207F0" w:rsidRDefault="00A3387C">
      <w:pPr>
        <w:spacing w:before="240" w:after="240" w:line="240" w:lineRule="auto"/>
        <w:ind w:left="720" w:hanging="720"/>
        <w:jc w:val="both"/>
        <w:rPr>
          <w:sz w:val="24"/>
          <w:szCs w:val="24"/>
        </w:rPr>
      </w:pPr>
      <w:r>
        <w:rPr>
          <w:sz w:val="24"/>
          <w:szCs w:val="24"/>
        </w:rPr>
        <w:t>Montemayor, M. T. (2022, September 2). PH’s 2nd monkeypox case recovered, discharged from isolation: DOH. Philippine News Agency.</w:t>
      </w:r>
      <w:hyperlink r:id="rId18">
        <w:r>
          <w:rPr>
            <w:sz w:val="24"/>
            <w:szCs w:val="24"/>
          </w:rPr>
          <w:t xml:space="preserve"> </w:t>
        </w:r>
      </w:hyperlink>
      <w:hyperlink r:id="rId19">
        <w:r>
          <w:rPr>
            <w:sz w:val="24"/>
            <w:szCs w:val="24"/>
          </w:rPr>
          <w:t>https://www.pna.gov.ph/articles/1182823</w:t>
        </w:r>
      </w:hyperlink>
    </w:p>
    <w:p w:rsidR="00A207F0" w:rsidRDefault="00A3387C">
      <w:pPr>
        <w:spacing w:before="240" w:after="240" w:line="240" w:lineRule="auto"/>
        <w:ind w:left="720" w:hanging="720"/>
        <w:jc w:val="both"/>
        <w:rPr>
          <w:sz w:val="24"/>
          <w:szCs w:val="24"/>
        </w:rPr>
      </w:pPr>
      <w:r>
        <w:rPr>
          <w:sz w:val="24"/>
          <w:szCs w:val="24"/>
        </w:rPr>
        <w:t>Reuters. (2024, August 19). Philippines detects first mpox case this year, yet to determine strain. Reuters.</w:t>
      </w:r>
      <w:hyperlink r:id="rId20">
        <w:r>
          <w:rPr>
            <w:sz w:val="24"/>
            <w:szCs w:val="24"/>
          </w:rPr>
          <w:t xml:space="preserve"> </w:t>
        </w:r>
      </w:hyperlink>
      <w:hyperlink r:id="rId21">
        <w:r>
          <w:rPr>
            <w:sz w:val="24"/>
            <w:szCs w:val="24"/>
          </w:rPr>
          <w:t>https://www.reuters.com/business/healthcare-pharmaceuticals/philippines-detects-new-mpox-case-first-since-december-2023-2024-08-19/</w:t>
        </w:r>
      </w:hyperlink>
    </w:p>
    <w:p w:rsidR="00A207F0" w:rsidRDefault="00A3387C">
      <w:pPr>
        <w:spacing w:before="240" w:after="240" w:line="240" w:lineRule="auto"/>
        <w:ind w:left="720" w:hanging="720"/>
        <w:jc w:val="both"/>
        <w:rPr>
          <w:sz w:val="24"/>
          <w:szCs w:val="24"/>
        </w:rPr>
      </w:pPr>
      <w:r>
        <w:rPr>
          <w:sz w:val="24"/>
          <w:szCs w:val="24"/>
        </w:rPr>
        <w:t xml:space="preserve">Sanchez, A. R. S., Navidad, F. C., </w:t>
      </w:r>
      <w:proofErr w:type="spellStart"/>
      <w:r>
        <w:rPr>
          <w:sz w:val="24"/>
          <w:szCs w:val="24"/>
        </w:rPr>
        <w:t>Bacayana</w:t>
      </w:r>
      <w:proofErr w:type="spellEnd"/>
      <w:r>
        <w:rPr>
          <w:sz w:val="24"/>
          <w:szCs w:val="24"/>
        </w:rPr>
        <w:t xml:space="preserve">, A. L. M., </w:t>
      </w:r>
      <w:proofErr w:type="spellStart"/>
      <w:r>
        <w:rPr>
          <w:sz w:val="24"/>
          <w:szCs w:val="24"/>
        </w:rPr>
        <w:t>Rebosa</w:t>
      </w:r>
      <w:proofErr w:type="spellEnd"/>
      <w:r>
        <w:rPr>
          <w:sz w:val="24"/>
          <w:szCs w:val="24"/>
        </w:rPr>
        <w:t>, P. M. K., Romano,</w:t>
      </w:r>
      <w:r>
        <w:rPr>
          <w:sz w:val="24"/>
          <w:szCs w:val="24"/>
        </w:rPr>
        <w:t xml:space="preserve"> A. K. L., &amp; </w:t>
      </w:r>
      <w:proofErr w:type="spellStart"/>
      <w:r>
        <w:rPr>
          <w:sz w:val="24"/>
          <w:szCs w:val="24"/>
        </w:rPr>
        <w:t>Servañez</w:t>
      </w:r>
      <w:proofErr w:type="spellEnd"/>
      <w:r>
        <w:rPr>
          <w:sz w:val="24"/>
          <w:szCs w:val="24"/>
        </w:rPr>
        <w:t>, K. M. D. (2024). Knowledge, awareness, and source of information of monkeypox among medical technology students in a Catholic university: A correlational study. International Journal of Academic and Practical Research, 3(1), 129–140.</w:t>
      </w:r>
      <w:hyperlink r:id="rId22">
        <w:r>
          <w:rPr>
            <w:sz w:val="24"/>
            <w:szCs w:val="24"/>
          </w:rPr>
          <w:t xml:space="preserve"> </w:t>
        </w:r>
      </w:hyperlink>
      <w:hyperlink r:id="rId23">
        <w:r>
          <w:rPr>
            <w:sz w:val="24"/>
            <w:szCs w:val="24"/>
          </w:rPr>
          <w:t>https://doi.org/10.5281/zenodo.11267171</w:t>
        </w:r>
      </w:hyperlink>
    </w:p>
    <w:p w:rsidR="00A207F0" w:rsidRDefault="00A3387C">
      <w:pPr>
        <w:spacing w:before="240" w:after="240" w:line="240" w:lineRule="auto"/>
        <w:ind w:left="720" w:hanging="720"/>
        <w:jc w:val="both"/>
        <w:rPr>
          <w:sz w:val="24"/>
          <w:szCs w:val="24"/>
        </w:rPr>
      </w:pPr>
      <w:proofErr w:type="spellStart"/>
      <w:r>
        <w:rPr>
          <w:sz w:val="24"/>
          <w:szCs w:val="24"/>
        </w:rPr>
        <w:t>Tendido</w:t>
      </w:r>
      <w:proofErr w:type="spellEnd"/>
      <w:r>
        <w:rPr>
          <w:sz w:val="24"/>
          <w:szCs w:val="24"/>
        </w:rPr>
        <w:t xml:space="preserve">, M. G., Araja, B. M., Concepcion, P. J., Dela Cruz, G. L., </w:t>
      </w:r>
      <w:proofErr w:type="spellStart"/>
      <w:r>
        <w:rPr>
          <w:sz w:val="24"/>
          <w:szCs w:val="24"/>
        </w:rPr>
        <w:t>Ipapo</w:t>
      </w:r>
      <w:proofErr w:type="spellEnd"/>
      <w:r>
        <w:rPr>
          <w:sz w:val="24"/>
          <w:szCs w:val="24"/>
        </w:rPr>
        <w:t>, D. D., Mina, A. M., Ond</w:t>
      </w:r>
      <w:r>
        <w:rPr>
          <w:sz w:val="24"/>
          <w:szCs w:val="24"/>
        </w:rPr>
        <w:t xml:space="preserve">is, M. L., Pangilinan, M. A., Pasao, M. A., Sanchez, N. M., </w:t>
      </w:r>
      <w:proofErr w:type="spellStart"/>
      <w:r>
        <w:rPr>
          <w:sz w:val="24"/>
          <w:szCs w:val="24"/>
        </w:rPr>
        <w:t>Taniajura</w:t>
      </w:r>
      <w:proofErr w:type="spellEnd"/>
      <w:r>
        <w:rPr>
          <w:sz w:val="24"/>
          <w:szCs w:val="24"/>
        </w:rPr>
        <w:t xml:space="preserve">, R. M., Varias, J. A., &amp; Van Haute, M. (2025). Knowledge, attitudes, and practices (KAP) of the Philippine general public towards human </w:t>
      </w:r>
      <w:proofErr w:type="spellStart"/>
      <w:r>
        <w:rPr>
          <w:sz w:val="24"/>
          <w:szCs w:val="24"/>
        </w:rPr>
        <w:t>mpox</w:t>
      </w:r>
      <w:proofErr w:type="spellEnd"/>
      <w:r>
        <w:rPr>
          <w:sz w:val="24"/>
          <w:szCs w:val="24"/>
        </w:rPr>
        <w:t xml:space="preserve"> (</w:t>
      </w:r>
      <w:proofErr w:type="spellStart"/>
      <w:r>
        <w:rPr>
          <w:sz w:val="24"/>
          <w:szCs w:val="24"/>
        </w:rPr>
        <w:t>hMPX</w:t>
      </w:r>
      <w:proofErr w:type="spellEnd"/>
      <w:r>
        <w:rPr>
          <w:sz w:val="24"/>
          <w:szCs w:val="24"/>
        </w:rPr>
        <w:t>): A cross-sectional study. Journal of P</w:t>
      </w:r>
      <w:r>
        <w:rPr>
          <w:sz w:val="24"/>
          <w:szCs w:val="24"/>
        </w:rPr>
        <w:t>reventive Medicine and Hygiene, 66(3), E363–E374.</w:t>
      </w:r>
      <w:hyperlink r:id="rId24">
        <w:r>
          <w:rPr>
            <w:sz w:val="24"/>
            <w:szCs w:val="24"/>
          </w:rPr>
          <w:t xml:space="preserve"> </w:t>
        </w:r>
      </w:hyperlink>
      <w:hyperlink r:id="rId25">
        <w:r>
          <w:rPr>
            <w:sz w:val="24"/>
            <w:szCs w:val="24"/>
          </w:rPr>
          <w:t>https://doi.org/10.15167/2421-4248/jpmh2025.66.3.3683</w:t>
        </w:r>
      </w:hyperlink>
    </w:p>
    <w:p w:rsidR="00A207F0" w:rsidRDefault="00A3387C">
      <w:pPr>
        <w:spacing w:before="240" w:after="240" w:line="240" w:lineRule="auto"/>
        <w:ind w:left="720" w:hanging="720"/>
        <w:jc w:val="both"/>
        <w:rPr>
          <w:sz w:val="24"/>
          <w:szCs w:val="24"/>
        </w:rPr>
      </w:pPr>
      <w:r>
        <w:rPr>
          <w:sz w:val="24"/>
          <w:szCs w:val="24"/>
        </w:rPr>
        <w:t>Thornh</w:t>
      </w:r>
      <w:r>
        <w:rPr>
          <w:sz w:val="24"/>
          <w:szCs w:val="24"/>
        </w:rPr>
        <w:t>ill, J. P., et al. (2022). Monkeypox virus infection in humans across 16 countries. New England Journal of Medicine, 387(8), 679–691.</w:t>
      </w:r>
    </w:p>
    <w:p w:rsidR="00A207F0" w:rsidRDefault="00A3387C">
      <w:pPr>
        <w:spacing w:before="240" w:after="240" w:line="240" w:lineRule="auto"/>
        <w:ind w:left="720" w:hanging="720"/>
        <w:jc w:val="both"/>
        <w:rPr>
          <w:sz w:val="24"/>
          <w:szCs w:val="24"/>
        </w:rPr>
      </w:pPr>
      <w:r>
        <w:rPr>
          <w:sz w:val="24"/>
          <w:szCs w:val="24"/>
        </w:rPr>
        <w:lastRenderedPageBreak/>
        <w:t>World Health Organization. (2023). Multi-country outbreak of mpox: Situation reports.</w:t>
      </w:r>
    </w:p>
    <w:p w:rsidR="00A207F0" w:rsidRDefault="00A3387C">
      <w:pPr>
        <w:spacing w:before="240" w:after="240" w:line="240" w:lineRule="auto"/>
        <w:ind w:left="720" w:hanging="720"/>
        <w:jc w:val="both"/>
        <w:rPr>
          <w:sz w:val="24"/>
          <w:szCs w:val="24"/>
        </w:rPr>
      </w:pPr>
      <w:r>
        <w:rPr>
          <w:sz w:val="24"/>
          <w:szCs w:val="24"/>
        </w:rPr>
        <w:t>World Health Organization. (2024). M</w:t>
      </w:r>
      <w:r>
        <w:rPr>
          <w:sz w:val="24"/>
          <w:szCs w:val="24"/>
        </w:rPr>
        <w:t>pox: Surveillance, case investigation and contact tracing, Interim guidance.</w:t>
      </w:r>
    </w:p>
    <w:p w:rsidR="00A207F0" w:rsidRDefault="00A3387C">
      <w:pPr>
        <w:spacing w:before="240" w:after="240" w:line="240" w:lineRule="auto"/>
        <w:ind w:left="720" w:hanging="720"/>
        <w:jc w:val="both"/>
        <w:rPr>
          <w:sz w:val="24"/>
          <w:szCs w:val="24"/>
        </w:rPr>
      </w:pPr>
      <w:proofErr w:type="spellStart"/>
      <w:r>
        <w:rPr>
          <w:sz w:val="24"/>
          <w:szCs w:val="24"/>
        </w:rPr>
        <w:t>Ylaya</w:t>
      </w:r>
      <w:proofErr w:type="spellEnd"/>
      <w:r>
        <w:rPr>
          <w:sz w:val="24"/>
          <w:szCs w:val="24"/>
        </w:rPr>
        <w:t xml:space="preserve">, E. M., Grande, P. G., Dancel, L. L., </w:t>
      </w:r>
      <w:proofErr w:type="spellStart"/>
      <w:r>
        <w:rPr>
          <w:sz w:val="24"/>
          <w:szCs w:val="24"/>
        </w:rPr>
        <w:t>Nicolasora</w:t>
      </w:r>
      <w:proofErr w:type="spellEnd"/>
      <w:r>
        <w:rPr>
          <w:sz w:val="24"/>
          <w:szCs w:val="24"/>
        </w:rPr>
        <w:t xml:space="preserve">, A. D., </w:t>
      </w:r>
      <w:proofErr w:type="spellStart"/>
      <w:r>
        <w:rPr>
          <w:sz w:val="24"/>
          <w:szCs w:val="24"/>
        </w:rPr>
        <w:t>Polotan</w:t>
      </w:r>
      <w:proofErr w:type="spellEnd"/>
      <w:r>
        <w:rPr>
          <w:sz w:val="24"/>
          <w:szCs w:val="24"/>
        </w:rPr>
        <w:t xml:space="preserve">, F. G., Pantoni, R. A., Melo, E., </w:t>
      </w:r>
      <w:proofErr w:type="spellStart"/>
      <w:r>
        <w:rPr>
          <w:sz w:val="24"/>
          <w:szCs w:val="24"/>
        </w:rPr>
        <w:t>Ortia</w:t>
      </w:r>
      <w:proofErr w:type="spellEnd"/>
      <w:r>
        <w:rPr>
          <w:sz w:val="24"/>
          <w:szCs w:val="24"/>
        </w:rPr>
        <w:t>, S. P., Manalo, J. I., Abulencia, M. F., Chu, M. Y. J., Dizon, T. J.</w:t>
      </w:r>
      <w:r>
        <w:rPr>
          <w:sz w:val="24"/>
          <w:szCs w:val="24"/>
        </w:rPr>
        <w:t xml:space="preserve">, </w:t>
      </w:r>
      <w:proofErr w:type="spellStart"/>
      <w:r>
        <w:rPr>
          <w:sz w:val="24"/>
          <w:szCs w:val="24"/>
        </w:rPr>
        <w:t>Bucoy</w:t>
      </w:r>
      <w:proofErr w:type="spellEnd"/>
      <w:r>
        <w:rPr>
          <w:sz w:val="24"/>
          <w:szCs w:val="24"/>
        </w:rPr>
        <w:t>-Sy, M. C., Adasa, G., Gianan-Gascon, A., &amp; Roman, A. D. (2024). Case report: A comprehensive report on the first confirmed Mpox case in the Philippines during the 2022 Mpox global outbreak: From clinical presentation to shotgun metagenomic sequenci</w:t>
      </w:r>
      <w:r>
        <w:rPr>
          <w:sz w:val="24"/>
          <w:szCs w:val="24"/>
        </w:rPr>
        <w:t>ng analysis. Frontiers in Medicine, 11, 1387407.</w:t>
      </w:r>
      <w:hyperlink r:id="rId26">
        <w:r>
          <w:rPr>
            <w:sz w:val="24"/>
            <w:szCs w:val="24"/>
          </w:rPr>
          <w:t xml:space="preserve"> </w:t>
        </w:r>
      </w:hyperlink>
      <w:hyperlink r:id="rId27">
        <w:r>
          <w:rPr>
            <w:sz w:val="24"/>
            <w:szCs w:val="24"/>
          </w:rPr>
          <w:t>https://doi.org/10.3389/fmed.2024.1387407</w:t>
        </w:r>
      </w:hyperlink>
    </w:p>
    <w:sectPr w:rsidR="00A207F0">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387C" w:rsidRDefault="00A3387C" w:rsidP="00656A76">
      <w:pPr>
        <w:spacing w:line="240" w:lineRule="auto"/>
      </w:pPr>
      <w:r>
        <w:separator/>
      </w:r>
    </w:p>
  </w:endnote>
  <w:endnote w:type="continuationSeparator" w:id="0">
    <w:p w:rsidR="00A3387C" w:rsidRDefault="00A3387C" w:rsidP="00656A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7ACEEDB-4519-4E5A-A93E-78FAA1D6F677}"/>
  </w:font>
  <w:font w:name="Cambria">
    <w:panose1 w:val="02040503050406030204"/>
    <w:charset w:val="00"/>
    <w:family w:val="roman"/>
    <w:pitch w:val="variable"/>
    <w:sig w:usb0="E00006FF" w:usb1="420024FF" w:usb2="02000000" w:usb3="00000000" w:csb0="0000019F" w:csb1="00000000"/>
    <w:embedRegular r:id="rId2" w:fontKey="{B7B8F66A-8C77-4327-94D6-FAE4C01DB8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A76" w:rsidRDefault="00656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A76" w:rsidRDefault="00656A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A76" w:rsidRDefault="00656A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387C" w:rsidRDefault="00A3387C" w:rsidP="00656A76">
      <w:pPr>
        <w:spacing w:line="240" w:lineRule="auto"/>
      </w:pPr>
      <w:r>
        <w:separator/>
      </w:r>
    </w:p>
  </w:footnote>
  <w:footnote w:type="continuationSeparator" w:id="0">
    <w:p w:rsidR="00A3387C" w:rsidRDefault="00A3387C" w:rsidP="00656A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A76" w:rsidRDefault="00656A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095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A76" w:rsidRDefault="00656A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095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A76" w:rsidRDefault="00656A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095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7F0"/>
    <w:rsid w:val="003A5D7C"/>
    <w:rsid w:val="00656A76"/>
    <w:rsid w:val="00A207F0"/>
    <w:rsid w:val="00A3387C"/>
    <w:rsid w:val="00AB7B1E"/>
    <w:rsid w:val="00C9174A"/>
    <w:rsid w:val="00DA7400"/>
    <w:rsid w:val="00FC0B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2D474B"/>
  <w15:docId w15:val="{236863F4-0A74-4D83-AE97-37CD40BAA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A7400"/>
    <w:rPr>
      <w:color w:val="0000FF" w:themeColor="hyperlink"/>
      <w:u w:val="single"/>
    </w:rPr>
  </w:style>
  <w:style w:type="character" w:styleId="UnresolvedMention">
    <w:name w:val="Unresolved Mention"/>
    <w:basedOn w:val="DefaultParagraphFont"/>
    <w:uiPriority w:val="99"/>
    <w:semiHidden/>
    <w:unhideWhenUsed/>
    <w:rsid w:val="00DA7400"/>
    <w:rPr>
      <w:color w:val="605E5C"/>
      <w:shd w:val="clear" w:color="auto" w:fill="E1DFDD"/>
    </w:rPr>
  </w:style>
  <w:style w:type="paragraph" w:styleId="Header">
    <w:name w:val="header"/>
    <w:basedOn w:val="Normal"/>
    <w:link w:val="HeaderChar"/>
    <w:uiPriority w:val="99"/>
    <w:unhideWhenUsed/>
    <w:rsid w:val="00656A76"/>
    <w:pPr>
      <w:tabs>
        <w:tab w:val="center" w:pos="4680"/>
        <w:tab w:val="right" w:pos="9360"/>
      </w:tabs>
      <w:spacing w:line="240" w:lineRule="auto"/>
    </w:pPr>
  </w:style>
  <w:style w:type="character" w:customStyle="1" w:styleId="HeaderChar">
    <w:name w:val="Header Char"/>
    <w:basedOn w:val="DefaultParagraphFont"/>
    <w:link w:val="Header"/>
    <w:uiPriority w:val="99"/>
    <w:rsid w:val="00656A76"/>
  </w:style>
  <w:style w:type="paragraph" w:styleId="Footer">
    <w:name w:val="footer"/>
    <w:basedOn w:val="Normal"/>
    <w:link w:val="FooterChar"/>
    <w:uiPriority w:val="99"/>
    <w:unhideWhenUsed/>
    <w:rsid w:val="00656A76"/>
    <w:pPr>
      <w:tabs>
        <w:tab w:val="center" w:pos="4680"/>
        <w:tab w:val="right" w:pos="9360"/>
      </w:tabs>
      <w:spacing w:line="240" w:lineRule="auto"/>
    </w:pPr>
  </w:style>
  <w:style w:type="character" w:customStyle="1" w:styleId="FooterChar">
    <w:name w:val="Footer Char"/>
    <w:basedOn w:val="DefaultParagraphFont"/>
    <w:link w:val="Footer"/>
    <w:uiPriority w:val="99"/>
    <w:rsid w:val="00656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7774/cevr.2023.12.1.77" TargetMode="External"/><Relationship Id="rId18" Type="http://schemas.openxmlformats.org/officeDocument/2006/relationships/hyperlink" Target="https://www.pna.gov.ph/articles/1182823" TargetMode="External"/><Relationship Id="rId26" Type="http://schemas.openxmlformats.org/officeDocument/2006/relationships/hyperlink" Target="https://doi.org/10.3389/fmed.2024.1387407" TargetMode="External"/><Relationship Id="rId3" Type="http://schemas.openxmlformats.org/officeDocument/2006/relationships/settings" Target="settings.xml"/><Relationship Id="rId21" Type="http://schemas.openxmlformats.org/officeDocument/2006/relationships/hyperlink" Target="https://www.reuters.com/business/healthcare-pharmaceuticals/philippines-detects-new-mpox-case-first-since-december-2023-2024-08-19/"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doi.org/10.7774/cevr.2023.12.1.77" TargetMode="External"/><Relationship Id="rId17" Type="http://schemas.openxmlformats.org/officeDocument/2006/relationships/hyperlink" Target="https://www.gmanetwork.com/news/topstories/nation/947931/doh-more-mpox-cases-in-april-2025-than-in-may-total-cases-911-since-2024/story/" TargetMode="External"/><Relationship Id="rId25" Type="http://schemas.openxmlformats.org/officeDocument/2006/relationships/hyperlink" Target="https://doi.org/10.15167/2421-4248/jpmh2025.66.3.3683"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gmanetwork.com/news/topstories/nation/947931/doh-more-mpox-cases-in-april-2025-than-in-may-total-cases-911-since-2024/story/" TargetMode="External"/><Relationship Id="rId20" Type="http://schemas.openxmlformats.org/officeDocument/2006/relationships/hyperlink" Target="https://www.reuters.com/business/healthcare-pharmaceuticals/philippines-detects-new-mpox-case-first-since-december-2023-2024-08-19/"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016/j.heliyon.2023.e13864" TargetMode="External"/><Relationship Id="rId24" Type="http://schemas.openxmlformats.org/officeDocument/2006/relationships/hyperlink" Target="https://doi.org/10.15167/2421-4248/jpmh2025.66.3.3683"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177/25151355251356647" TargetMode="External"/><Relationship Id="rId23" Type="http://schemas.openxmlformats.org/officeDocument/2006/relationships/hyperlink" Target="https://doi.org/10.5281/zenodo.11267171" TargetMode="External"/><Relationship Id="rId28" Type="http://schemas.openxmlformats.org/officeDocument/2006/relationships/header" Target="header1.xml"/><Relationship Id="rId10" Type="http://schemas.openxmlformats.org/officeDocument/2006/relationships/hyperlink" Target="https://doi.org/10.1016/j.heliyon.2023.e13864" TargetMode="External"/><Relationship Id="rId19" Type="http://schemas.openxmlformats.org/officeDocument/2006/relationships/hyperlink" Target="https://www.pna.gov.ph/articles/1182823"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oi.org/10.3389/fpubh.2024.1387636" TargetMode="External"/><Relationship Id="rId14" Type="http://schemas.openxmlformats.org/officeDocument/2006/relationships/hyperlink" Target="https://doi.org/10.1177/25151355251356647" TargetMode="External"/><Relationship Id="rId22" Type="http://schemas.openxmlformats.org/officeDocument/2006/relationships/hyperlink" Target="https://doi.org/10.5281/zenodo.11267171" TargetMode="External"/><Relationship Id="rId27" Type="http://schemas.openxmlformats.org/officeDocument/2006/relationships/hyperlink" Target="https://doi.org/10.3389/fmed.2024.1387407"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doi.org/10.3389/fpubh.2024.1387636"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WSVc8LGx6cnEVR6Hy7RJjdaKpQ==">CgMxLjAyDmgucjNxdW9mbGFoZngwOAByITFNc2ltNTNaSjFHLU8tRWpIWGlabTZxQnplYTlHMDM4aA==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5306</Words>
  <Characters>30249</Characters>
  <Application>Microsoft Office Word</Application>
  <DocSecurity>0</DocSecurity>
  <Lines>252</Lines>
  <Paragraphs>70</Paragraphs>
  <ScaleCrop>false</ScaleCrop>
  <Company/>
  <LinksUpToDate>false</LinksUpToDate>
  <CharactersWithSpaces>35485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1170</cp:lastModifiedBy>
  <cp:revision>18</cp:revision>
  <dcterms:created xsi:type="dcterms:W3CDTF">2026-02-13T07:03:00Z</dcterms:created>
  <dcterms:modified xsi:type="dcterms:W3CDTF">2026-02-13T11:29:00Z</dcterms:modified>
</cp:coreProperties>
</file>