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7EC73" w14:textId="449FE47F" w:rsidR="00A06F0D" w:rsidRPr="00EC54B4" w:rsidRDefault="00EC54B4">
      <w:pPr>
        <w:pStyle w:val="NormalWeb"/>
      </w:pPr>
      <w:r w:rsidRPr="00EC54B4">
        <w:t>Mechanical Circulatory Support in High-Risk Percutaneous Coronary Intervention: Current Evidence, Clinical Applications, and Future Research Perspectives</w:t>
      </w:r>
    </w:p>
    <w:p w14:paraId="70FE1251" w14:textId="77777777" w:rsidR="009C05F6" w:rsidRPr="00EC54B4" w:rsidRDefault="009C05F6">
      <w:pPr>
        <w:pStyle w:val="NormalWeb"/>
      </w:pPr>
    </w:p>
    <w:p w14:paraId="17FE4961" w14:textId="52CF1B8D" w:rsidR="008378FB" w:rsidRPr="00EC54B4" w:rsidRDefault="008378FB">
      <w:pPr>
        <w:pStyle w:val="NormalWeb"/>
      </w:pPr>
      <w:bookmarkStart w:id="0" w:name="_GoBack"/>
      <w:bookmarkEnd w:id="0"/>
      <w:r w:rsidRPr="00EC54B4">
        <w:t>Abstract</w:t>
      </w:r>
    </w:p>
    <w:p w14:paraId="276DAA6A" w14:textId="352F6AA4" w:rsidR="008378FB" w:rsidRPr="00EC54B4" w:rsidRDefault="008378FB">
      <w:pPr>
        <w:pStyle w:val="NormalWeb"/>
      </w:pPr>
      <w:r w:rsidRPr="00EC54B4">
        <w:t xml:space="preserve">Mechanical circulatory support (MCS) has emerged as a critical adjunct in high-risk percutaneous coronary intervention (PCI), offering hemodynamic stabilization in patients with complex coronary anatomy, severe left ventricular dysfunction, or cardiogenic shock. Devices such as the intra-aortic balloon pump, </w:t>
      </w:r>
      <w:proofErr w:type="spellStart"/>
      <w:r w:rsidRPr="00EC54B4">
        <w:t>Impella</w:t>
      </w:r>
      <w:proofErr w:type="spellEnd"/>
      <w:r w:rsidRPr="00EC54B4">
        <w:t xml:space="preserve">, and </w:t>
      </w:r>
      <w:proofErr w:type="spellStart"/>
      <w:r w:rsidRPr="00EC54B4">
        <w:t>veno</w:t>
      </w:r>
      <w:proofErr w:type="spellEnd"/>
      <w:r w:rsidRPr="00EC54B4">
        <w:t>-arterial extracorporeal membrane oxygenation have expanded the therapeutic options for interventional cardiologists, enabling safer revascularization in patients previously considered unsuitable for PCI. Current evidence suggests that contemporary percutaneous MCS devices can improve procedural success and short-term hemodynamic parameters, although randomized trials have produced mixed results regarding mortality and long-term outcomes. Clinical applications continue to evolve, with increasing emphasis on patient selection, timing of device deployment, and multidisciplinary heart team decision-making. Despite technological advances, challenges remain, including vascular complications, bleeding risk, device-related infections, and high cost, which limit widespread adoption in low- and middle-income settings. Future research is needed to refine risk stratification models, establish standardized protocols for device use, and evaluate novel MCS technologies with improved safety profiles. Additionally, large-scale randomized controlled trials and real-world registries are essential to clarify the impact of MCS on long-term clinical outcomes and cost-effectiveness. As interventional cardiology advances toward increasingly complex coronary interventions, MCS is poised to play an expanding role in improving procedural safety and patient outcomes.</w:t>
      </w:r>
    </w:p>
    <w:p w14:paraId="5F76AC82" w14:textId="147E7805" w:rsidR="008378FB" w:rsidRPr="00EC54B4" w:rsidRDefault="008378FB">
      <w:pPr>
        <w:pStyle w:val="NormalWeb"/>
      </w:pPr>
      <w:r w:rsidRPr="00EC54B4">
        <w:t xml:space="preserve">Keywords: </w:t>
      </w:r>
      <w:r w:rsidR="001A333E" w:rsidRPr="00EC54B4">
        <w:t xml:space="preserve">Mechanical circulatory support; High-risk percutaneous coronary intervention; </w:t>
      </w:r>
      <w:proofErr w:type="spellStart"/>
      <w:r w:rsidR="001A333E" w:rsidRPr="00EC54B4">
        <w:t>Impella</w:t>
      </w:r>
      <w:proofErr w:type="spellEnd"/>
      <w:r w:rsidR="001A333E" w:rsidRPr="00EC54B4">
        <w:t>; Intra-aortic balloon pump; Cardiogenic shock</w:t>
      </w:r>
    </w:p>
    <w:p w14:paraId="2C86E686" w14:textId="77777777" w:rsidR="00A06F0D" w:rsidRPr="00EC54B4" w:rsidRDefault="00EC54B4">
      <w:pPr>
        <w:pStyle w:val="NormalWeb"/>
      </w:pPr>
      <w:r w:rsidRPr="00EC54B4">
        <w:t>Introduction</w:t>
      </w:r>
    </w:p>
    <w:p w14:paraId="4E4667FD" w14:textId="07A2C23D" w:rsidR="00A06F0D" w:rsidRPr="00EC54B4" w:rsidRDefault="00EC54B4">
      <w:pPr>
        <w:pStyle w:val="NormalWeb"/>
      </w:pPr>
      <w:r w:rsidRPr="00EC54B4">
        <w:t>Percutaneous coronary intervention (PCI) has evolved significantly over the past several decades and is now the preferred revascularization strategy for a wide range of patients with coronary artery disease</w:t>
      </w:r>
      <w:r w:rsidR="00D3372A">
        <w:t xml:space="preserve"> (</w:t>
      </w:r>
      <w:r w:rsidR="00D3372A" w:rsidRPr="00D3372A">
        <w:t>Khan</w:t>
      </w:r>
      <w:r w:rsidR="00D3372A">
        <w:t xml:space="preserve"> </w:t>
      </w:r>
      <w:r w:rsidR="00D3372A" w:rsidRPr="00D3372A">
        <w:t xml:space="preserve">&amp; </w:t>
      </w:r>
      <w:proofErr w:type="spellStart"/>
      <w:r w:rsidR="00D3372A" w:rsidRPr="00D3372A">
        <w:t>Ludman</w:t>
      </w:r>
      <w:proofErr w:type="spellEnd"/>
      <w:r w:rsidR="00D3372A">
        <w:t>, 2022</w:t>
      </w:r>
      <w:r w:rsidR="002B1385">
        <w:t xml:space="preserve">; </w:t>
      </w:r>
      <w:r w:rsidR="002B1385" w:rsidRPr="002B1385">
        <w:t>Najah</w:t>
      </w:r>
      <w:r w:rsidR="002B1385">
        <w:t xml:space="preserve"> et al., 2021; </w:t>
      </w:r>
      <w:r w:rsidR="002B1385" w:rsidRPr="002B1385">
        <w:t xml:space="preserve">El </w:t>
      </w:r>
      <w:proofErr w:type="spellStart"/>
      <w:r w:rsidR="002B1385" w:rsidRPr="002B1385">
        <w:t>Saiyed</w:t>
      </w:r>
      <w:proofErr w:type="spellEnd"/>
      <w:r w:rsidR="002B1385">
        <w:t xml:space="preserve"> et al., 2023</w:t>
      </w:r>
      <w:r w:rsidR="00D3372A">
        <w:t>)</w:t>
      </w:r>
      <w:r w:rsidRPr="00EC54B4">
        <w:t>. However, a subset of patients undergoing PCI are considered high risk due to complex coronary anatomy, severe left ventricular dysfunction, advanced age, multiple comorbidities, or hemodynamic instability</w:t>
      </w:r>
      <w:r w:rsidR="00D3372A">
        <w:t xml:space="preserve"> (</w:t>
      </w:r>
      <w:r w:rsidR="00D3372A" w:rsidRPr="00D3372A">
        <w:t>Chandrasekar</w:t>
      </w:r>
      <w:r w:rsidR="00D3372A">
        <w:t>, 2020)</w:t>
      </w:r>
      <w:r w:rsidRPr="00EC54B4">
        <w:t>. These individuals, often classified as having complex high-risk indicated procedures (CHIP), face increased procedural complications and mortality, necessitating strategies that can enhance hemodynamic stability and procedural safety (Aggarwal et al., 2018; Ferro et al., 2019). Mechanical circulatory support (MCS) devices have emerged as an important adjunct in such settings, providing temporary hemodynamic assistance to maintain cardiac output and organ perfusion during complex interventions</w:t>
      </w:r>
      <w:r w:rsidR="00BB123E">
        <w:t xml:space="preserve"> (</w:t>
      </w:r>
      <w:r w:rsidR="00BB123E" w:rsidRPr="00BB123E">
        <w:t xml:space="preserve">Di </w:t>
      </w:r>
      <w:proofErr w:type="spellStart"/>
      <w:r w:rsidR="00BB123E" w:rsidRPr="00BB123E">
        <w:t>Muro</w:t>
      </w:r>
      <w:proofErr w:type="spellEnd"/>
      <w:r w:rsidR="00BB123E">
        <w:t xml:space="preserve"> et al., 2024; </w:t>
      </w:r>
      <w:proofErr w:type="spellStart"/>
      <w:r w:rsidR="00BB123E" w:rsidRPr="00BB123E">
        <w:t>Pietrasik</w:t>
      </w:r>
      <w:proofErr w:type="spellEnd"/>
      <w:r w:rsidR="00BB123E">
        <w:t xml:space="preserve"> et al., 2022</w:t>
      </w:r>
      <w:r w:rsidR="00D27C13">
        <w:t xml:space="preserve">; </w:t>
      </w:r>
      <w:proofErr w:type="spellStart"/>
      <w:r w:rsidR="00D27C13" w:rsidRPr="00D27C13">
        <w:t>Kanyal</w:t>
      </w:r>
      <w:proofErr w:type="spellEnd"/>
      <w:r w:rsidR="00D27C13">
        <w:t xml:space="preserve"> </w:t>
      </w:r>
      <w:r w:rsidR="00D27C13" w:rsidRPr="00D27C13">
        <w:t>&amp; Byrne</w:t>
      </w:r>
      <w:r w:rsidR="000529EB">
        <w:t>, 2021</w:t>
      </w:r>
      <w:r w:rsidR="00BB123E">
        <w:t>)</w:t>
      </w:r>
      <w:r w:rsidRPr="00EC54B4">
        <w:t>.</w:t>
      </w:r>
    </w:p>
    <w:p w14:paraId="7E102F6C" w14:textId="77777777" w:rsidR="00A06F0D" w:rsidRPr="00EC54B4" w:rsidRDefault="00EC54B4">
      <w:pPr>
        <w:pStyle w:val="NormalWeb"/>
      </w:pPr>
      <w:r w:rsidRPr="00EC54B4">
        <w:lastRenderedPageBreak/>
        <w:t>The concept of using mechanical circulatory support during PCI is rooted in the recognition that high-risk interventions can precipitate acute hemodynamic collapse, particularly in patients with limited cardiac reserve. MCS devices, including intra-aortic balloon pumps (IABP), percutaneous ventricular assist devices such as Impella, extracorporeal membrane oxygenation (ECMO), and other temporary circulatory support systems, aim to reduce myocardial workload, augment coronary perfusion, and stabilize systemic circulation during periods of ischemia or procedural stress (Wong et al., 2020; Groeneveld et al., 2023). Over time, the clinical indications for these devices have expanded from cardiogenic shock to elective high-risk PCI, reflecting growing clinician confidence and technological advancements.</w:t>
      </w:r>
    </w:p>
    <w:p w14:paraId="4DF82C42" w14:textId="77777777" w:rsidR="00A06F0D" w:rsidRPr="00EC54B4" w:rsidRDefault="00EC54B4">
      <w:pPr>
        <w:pStyle w:val="NormalWeb"/>
      </w:pPr>
      <w:r w:rsidRPr="00EC54B4">
        <w:t>Evidence supporting the use of MCS in high-risk PCI has been generated through randomized trials, observational studies, registries, and meta-analyses. One of the landmark randomized studies, the PROTECT II trial, compared the Impella 2.5 device with the IABP in high-risk PCI patients and demonstrated improved hemodynamic support with Impella, although long-term clinical outcomes remained a subject of debate (O’Neill et al., 2012). Subsequent registry-based studies and analyses from national databases have shown increasing utilization of MCS devices during PCI, particularly in complex and unstable patients, highlighting their growing role in contemporary interventional cardiology practice (Khera et al., 2015).</w:t>
      </w:r>
    </w:p>
    <w:p w14:paraId="44C6BAB7" w14:textId="77777777" w:rsidR="00A06F0D" w:rsidRPr="00EC54B4" w:rsidRDefault="00EC54B4">
      <w:pPr>
        <w:pStyle w:val="NormalWeb"/>
      </w:pPr>
      <w:r w:rsidRPr="00EC54B4">
        <w:t>Beyond randomized trials, systematic reviews and meta-analyses have contributed to the understanding of clinical outcomes associated with MCS-supported PCI. A meta-analysis by Shi et al. (2019) suggested that percutaneous MCS devices may improve procedural success and short-term outcomes in high-risk PCI, although the evidence remains heterogeneous. More recent meta-analyses, including those evaluating Impella-supported PCI, have reinforced the potential benefits of hemodynamic stabilization while also emphasizing the need for careful patient selection and consideration of device-related complications such as bleeding, vascular injury, and hemolysis (Di Pietro et al., 2025). These findings underscore the ongoing debate regarding the balance between benefits and risks associated with routine MCS use.</w:t>
      </w:r>
    </w:p>
    <w:p w14:paraId="16F5D70C" w14:textId="77777777" w:rsidR="00A06F0D" w:rsidRPr="00EC54B4" w:rsidRDefault="00EC54B4">
      <w:pPr>
        <w:pStyle w:val="NormalWeb"/>
      </w:pPr>
      <w:r w:rsidRPr="00EC54B4">
        <w:t>The role of MCS has also been extensively studied in the context of cardiogenic shock and acute myocardial infarction, conditions that frequently overlap with high-risk PCI scenarios. Contemporary reviews and clinical studies have highlighted the expanding indications for MCS, particularly in patients with severe ventricular dysfunction and hemodynamic compromise (Basir et al., 2021; Jentzer et al., 2023). Advances in device technology and improved clinical protocols have contributed to better outcomes, although mortality remains high in cardiogenic shock, prompting continued research into optimal support strategies and timing of device deployment (Ryan et al., 2025).</w:t>
      </w:r>
    </w:p>
    <w:p w14:paraId="7047B5A8" w14:textId="77777777" w:rsidR="00A06F0D" w:rsidRPr="00EC54B4" w:rsidRDefault="00EC54B4">
      <w:pPr>
        <w:pStyle w:val="NormalWeb"/>
      </w:pPr>
      <w:r w:rsidRPr="00EC54B4">
        <w:t>Clinical guidelines and scientific statements have provided structured approaches for the use of temporary mechanical circulatory support, including escalation and de-escalation strategies, multidisciplinary team involvement, and patient-centered decision-making frameworks. The American Heart Association scientific statement emphasizes the importance of integrating hemodynamic monitoring, risk stratification, and institutional expertise when deploying MCS devices, particularly in complex PCI and shock scenarios (Geller et al., 2022). Similarly, recent European and global perspectives have highlighted the increasing use of MCS in elective high-risk PCI, reflecting evolving practice patterns and growing evidence base (Geppert et al., 2024).</w:t>
      </w:r>
    </w:p>
    <w:p w14:paraId="0A10E71E" w14:textId="77777777" w:rsidR="00A06F0D" w:rsidRPr="00EC54B4" w:rsidRDefault="00EC54B4">
      <w:pPr>
        <w:pStyle w:val="NormalWeb"/>
      </w:pPr>
      <w:r w:rsidRPr="00EC54B4">
        <w:lastRenderedPageBreak/>
        <w:t>Despite technological progress and expanding clinical experience, significant knowledge gaps remain regarding the optimal selection of patients, device choice, timing of implantation, and long-term outcomes. Observational studies have shown variability in practice patterns and outcomes across centers, suggesting that institutional expertise and operator experience play critical roles in determining clinical success (Atti et al., 2022). Furthermore, the cost-effectiveness and resource utilization associated with MCS devices are important considerations, particularly in low- and middle-income countries, where access to advanced mechanical support technologies may be limited.</w:t>
      </w:r>
    </w:p>
    <w:p w14:paraId="457F31C1" w14:textId="77777777" w:rsidR="00A06F0D" w:rsidRPr="00EC54B4" w:rsidRDefault="00EC54B4">
      <w:pPr>
        <w:pStyle w:val="NormalWeb"/>
      </w:pPr>
      <w:r w:rsidRPr="00EC54B4">
        <w:t>Emerging research is also exploring future directions in mechanical circulatory support, including next-generation percutaneous devices, improved biocompatibility, and integration with digital hemodynamic monitoring systems. Additionally, ongoing clinical trials and registries are expected to clarify the role of prophylactic versus bailout MCS use and identify patient subgroups that derive the greatest benefit from these technologies. Contemporary reviews have emphasized the need for randomized trials, standardized definitions of high-risk PCI, and long-term follow-up studies to better inform clinical practice and guideline development (Aggarwal et al., 2018; Khalil et al., 2024).</w:t>
      </w:r>
    </w:p>
    <w:p w14:paraId="3BA49A5F" w14:textId="77777777" w:rsidR="00A06F0D" w:rsidRPr="00EC54B4" w:rsidRDefault="00A06F0D">
      <w:pPr>
        <w:pStyle w:val="NormalWeb"/>
      </w:pPr>
    </w:p>
    <w:p w14:paraId="34C2FF83" w14:textId="77777777" w:rsidR="00A06F0D" w:rsidRPr="00EC54B4" w:rsidRDefault="00EC54B4">
      <w:pPr>
        <w:pStyle w:val="Heading1"/>
        <w:rPr>
          <w:rFonts w:eastAsia="Times New Roman"/>
          <w:kern w:val="36"/>
          <w:sz w:val="24"/>
          <w:szCs w:val="24"/>
          <w14:ligatures w14:val="none"/>
        </w:rPr>
      </w:pPr>
      <w:r w:rsidRPr="00EC54B4">
        <w:rPr>
          <w:rStyle w:val="Strong"/>
          <w:rFonts w:eastAsia="Times New Roman"/>
          <w:b w:val="0"/>
          <w:bCs w:val="0"/>
          <w:sz w:val="24"/>
          <w:szCs w:val="24"/>
        </w:rPr>
        <w:t>Methods</w:t>
      </w:r>
    </w:p>
    <w:p w14:paraId="37D105A1"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Literature Search Strategy</w:t>
      </w:r>
    </w:p>
    <w:p w14:paraId="68D1BE70" w14:textId="77777777" w:rsidR="00A06F0D" w:rsidRPr="00EC54B4" w:rsidRDefault="00EC54B4">
      <w:pPr>
        <w:pStyle w:val="NormalWeb"/>
      </w:pPr>
      <w:r w:rsidRPr="00EC54B4">
        <w:t xml:space="preserve">This narrative review was conducted to synthesize current evidence on the role of mechanical circulatory support (MCS) in high-risk percutaneous coronary intervention (PCI), with a focus on clinical outcomes, indications, procedural considerations, and future research directions. A comprehensive literature search was performed using major biomedical databases, including PubMed, Scopus, Web of Science, and Google Scholar. Search terms included combinations of keywords and Medical Subject Headings (MeSH), such as </w:t>
      </w:r>
      <w:r w:rsidRPr="00EC54B4">
        <w:rPr>
          <w:rStyle w:val="Emphasis"/>
        </w:rPr>
        <w:t>mechanical circulatory support</w:t>
      </w:r>
      <w:r w:rsidRPr="00EC54B4">
        <w:t xml:space="preserve">, </w:t>
      </w:r>
      <w:r w:rsidRPr="00EC54B4">
        <w:rPr>
          <w:rStyle w:val="Emphasis"/>
        </w:rPr>
        <w:t>high-risk PCI</w:t>
      </w:r>
      <w:r w:rsidRPr="00EC54B4">
        <w:t xml:space="preserve">, </w:t>
      </w:r>
      <w:r w:rsidRPr="00EC54B4">
        <w:rPr>
          <w:rStyle w:val="Emphasis"/>
        </w:rPr>
        <w:t>Impella</w:t>
      </w:r>
      <w:r w:rsidRPr="00EC54B4">
        <w:t xml:space="preserve">, </w:t>
      </w:r>
      <w:r w:rsidRPr="00EC54B4">
        <w:rPr>
          <w:rStyle w:val="Emphasis"/>
        </w:rPr>
        <w:t>intra-aortic balloon pump</w:t>
      </w:r>
      <w:r w:rsidRPr="00EC54B4">
        <w:t xml:space="preserve">, </w:t>
      </w:r>
      <w:r w:rsidRPr="00EC54B4">
        <w:rPr>
          <w:rStyle w:val="Emphasis"/>
        </w:rPr>
        <w:t>cardiogenic shock</w:t>
      </w:r>
      <w:r w:rsidRPr="00EC54B4">
        <w:t xml:space="preserve">, </w:t>
      </w:r>
      <w:r w:rsidRPr="00EC54B4">
        <w:rPr>
          <w:rStyle w:val="Emphasis"/>
        </w:rPr>
        <w:t>complex high-risk indicated PCI (CHIP)</w:t>
      </w:r>
      <w:r w:rsidRPr="00EC54B4">
        <w:t xml:space="preserve">, and </w:t>
      </w:r>
      <w:r w:rsidRPr="00EC54B4">
        <w:rPr>
          <w:rStyle w:val="Emphasis"/>
        </w:rPr>
        <w:t>temporary ventricular assist devices</w:t>
      </w:r>
      <w:r w:rsidRPr="00EC54B4">
        <w:t>. Boolean operators (“AND,” “OR”) were used to optimize search sensitivity.</w:t>
      </w:r>
    </w:p>
    <w:p w14:paraId="5183BD6E" w14:textId="77777777" w:rsidR="00A06F0D" w:rsidRPr="00EC54B4" w:rsidRDefault="00EC54B4">
      <w:pPr>
        <w:pStyle w:val="NormalWeb"/>
      </w:pPr>
      <w:r w:rsidRPr="00EC54B4">
        <w:t>The search strategy prioritized studies published in English between 2000 and 2025 to capture both historical and contemporary evidence. Priority was given to randomized controlled trials, systematic reviews, meta-analyses, observational cohort studies, guideline statements, and expert consensus documents. Landmark trials, such as the PROTECT II randomized trial comparing Impella 2.5 with intra-aortic balloon pump (IABP) support, were included due to their pivotal role in shaping clinical practice (O’Neill et al., 2012). Additionally, recent systematic reviews and meta-analyses evaluating outcomes of MCS-supported PCI were incorporated to ensure up-to-date evidence synthesis (Di Pietro et al., 2025; Shi et al., 2019).</w:t>
      </w:r>
    </w:p>
    <w:p w14:paraId="460710A2" w14:textId="77777777" w:rsidR="00A06F0D" w:rsidRPr="00EC54B4" w:rsidRDefault="00EC54B4">
      <w:pPr>
        <w:pStyle w:val="NormalWeb"/>
      </w:pPr>
      <w:r w:rsidRPr="00EC54B4">
        <w:t xml:space="preserve">Reference lists of selected articles were manually screened to identify additional relevant studies. Key guidelines and scientific statements, including the American Heart Association scientific statement on temporary mechanical circulatory support, were included to contextualize clinical </w:t>
      </w:r>
      <w:r w:rsidRPr="00EC54B4">
        <w:lastRenderedPageBreak/>
        <w:t>decision-making frameworks (Geller et al., 2022). Narrative reviews and expert commentaries were used to provide insights into evolving technologies and controversies in the field (Aggarwal et al., 2018; Wong et al., 2020).</w:t>
      </w:r>
    </w:p>
    <w:p w14:paraId="1815F15E"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Study Selection and Data Extraction</w:t>
      </w:r>
    </w:p>
    <w:p w14:paraId="1CD966D0" w14:textId="77777777" w:rsidR="00A06F0D" w:rsidRPr="00EC54B4" w:rsidRDefault="00EC54B4">
      <w:pPr>
        <w:pStyle w:val="NormalWeb"/>
      </w:pPr>
      <w:r w:rsidRPr="00EC54B4">
        <w:t>Eligible studies were selected based on predefined inclusion criteria. These included studies evaluating the use of mechanical circulatory support devices—such as intra-aortic balloon pump, Impella, extracorporeal membrane oxygenation (ECMO), and other percutaneous ventricular assist devices—in patients undergoing high-risk PCI or experiencing cardiogenic shock in the context of acute coronary syndromes. High-risk PCI was defined according to commonly accepted criteria, including reduced left ventricular ejection fraction, complex coronary anatomy (e.g., left main or multivessel disease), and hemodynamic instability, consistent with prior literature and clinical frameworks (Groeneveld et al., 2023; Ferro et al., 2019).</w:t>
      </w:r>
    </w:p>
    <w:p w14:paraId="5B49EDDC" w14:textId="77777777" w:rsidR="00A06F0D" w:rsidRPr="00EC54B4" w:rsidRDefault="00EC54B4">
      <w:pPr>
        <w:pStyle w:val="NormalWeb"/>
      </w:pPr>
      <w:r w:rsidRPr="00EC54B4">
        <w:t>Exclusion criteria included case reports, small case series with fewer than 10 patients, editorials without substantive clinical data, and studies not directly related to PCI or cardiogenic shock. Studies focusing exclusively on durable left ventricular assist devices or heart transplantation were excluded, as the focus of this review was temporary percutaneous MCS in the interventional cardiology setting.</w:t>
      </w:r>
    </w:p>
    <w:p w14:paraId="3E3708E2" w14:textId="77777777" w:rsidR="00A06F0D" w:rsidRPr="00EC54B4" w:rsidRDefault="00EC54B4">
      <w:pPr>
        <w:pStyle w:val="NormalWeb"/>
      </w:pPr>
      <w:r w:rsidRPr="00EC54B4">
        <w:t>Data extraction was performed using a structured approach. For each included study, the following information was extracted: study design, population characteristics, type of MCS device, clinical indications, procedural outcomes, complications, and mortality. Comparative outcomes between different MCS strategies, such as Impella versus IABP, were summarized when available. Observational registry data and real-world analyses, such as those from the National Cardiovascular Data Registry, were included to complement randomized trial evidence and provide insights into contemporary practice patterns (Khera et al., 2015).</w:t>
      </w:r>
    </w:p>
    <w:p w14:paraId="605C9885" w14:textId="77777777" w:rsidR="00A06F0D" w:rsidRPr="00EC54B4" w:rsidRDefault="00EC54B4">
      <w:pPr>
        <w:pStyle w:val="NormalWeb"/>
      </w:pPr>
      <w:r w:rsidRPr="00EC54B4">
        <w:t>To enhance the robustness of the narrative synthesis, evidence from diverse methodological designs was triangulated. Systematic reviews and meta-analyses were used to identify overarching trends and pooled outcome estimates (Di Pietro et al., 2025; Shi et al., 2019), while randomized and observational studies provided granular clinical detail. Expert consensus documents and guideline statements were used to contextualize findings and highlight clinical applications and controversies (Atti et al., 2022; Jentzer et al., 2023).</w:t>
      </w:r>
    </w:p>
    <w:p w14:paraId="5B541F06" w14:textId="77777777" w:rsidR="00A06F0D" w:rsidRPr="00EC54B4" w:rsidRDefault="00A06F0D">
      <w:pPr>
        <w:pStyle w:val="NormalWeb"/>
      </w:pPr>
    </w:p>
    <w:p w14:paraId="45371AEC" w14:textId="77777777" w:rsidR="00A06F0D" w:rsidRPr="00EC54B4" w:rsidRDefault="00EC54B4">
      <w:pPr>
        <w:pStyle w:val="Heading1"/>
        <w:rPr>
          <w:rFonts w:eastAsia="Times New Roman"/>
          <w:kern w:val="36"/>
          <w:sz w:val="24"/>
          <w:szCs w:val="24"/>
          <w14:ligatures w14:val="none"/>
        </w:rPr>
      </w:pPr>
      <w:r w:rsidRPr="00EC54B4">
        <w:rPr>
          <w:rStyle w:val="Strong"/>
          <w:rFonts w:eastAsia="Times New Roman"/>
          <w:b w:val="0"/>
          <w:bCs w:val="0"/>
          <w:sz w:val="24"/>
          <w:szCs w:val="24"/>
        </w:rPr>
        <w:t>Results</w:t>
      </w:r>
    </w:p>
    <w:p w14:paraId="6E109F3B"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Evidence on Mechanical Circulatory Support in High-Risk PCI</w:t>
      </w:r>
    </w:p>
    <w:p w14:paraId="0EB98FED" w14:textId="77777777" w:rsidR="00A06F0D" w:rsidRPr="00EC54B4" w:rsidRDefault="00EC54B4">
      <w:pPr>
        <w:pStyle w:val="NormalWeb"/>
      </w:pPr>
      <w:r w:rsidRPr="00EC54B4">
        <w:t xml:space="preserve">Mechanical circulatory support (MCS) devices have been increasingly utilized to provide hemodynamic stability during high-risk percutaneous coronary intervention (PCI), particularly in patients with complex coronary anatomy, severe left ventricular dysfunction, or cardiogenic shock. Evidence from randomized trials, observational studies, registries, and meta-analyses has </w:t>
      </w:r>
      <w:r w:rsidRPr="00EC54B4">
        <w:lastRenderedPageBreak/>
        <w:t>demonstrated that MCS devices improve procedural safety and hemodynamic parameters, although definitive mortality benefits remain debated. Key studies evaluating MCS use in high-risk PCI are summarized in Table 1.</w:t>
      </w:r>
    </w:p>
    <w:p w14:paraId="7FD32360" w14:textId="77777777" w:rsidR="00A06F0D" w:rsidRPr="00EC54B4" w:rsidRDefault="00EC54B4">
      <w:pPr>
        <w:pStyle w:val="Heading1"/>
        <w:rPr>
          <w:rFonts w:eastAsia="Times New Roman"/>
          <w:kern w:val="36"/>
          <w:sz w:val="24"/>
          <w:szCs w:val="24"/>
          <w14:ligatures w14:val="none"/>
        </w:rPr>
      </w:pPr>
      <w:r w:rsidRPr="00EC54B4">
        <w:rPr>
          <w:rStyle w:val="Strong"/>
          <w:rFonts w:eastAsia="Times New Roman"/>
          <w:b w:val="0"/>
          <w:bCs w:val="0"/>
          <w:sz w:val="24"/>
          <w:szCs w:val="24"/>
        </w:rPr>
        <w:t>Table 1. Key Evidence on Mechanical Circulatory Support in High-Risk Percutaneous Coronary Intervention</w:t>
      </w:r>
    </w:p>
    <w:tbl>
      <w:tblPr>
        <w:tblStyle w:val="MediumGrid3"/>
        <w:tblW w:w="0" w:type="auto"/>
        <w:tblCellSpacing w:w="15" w:type="dxa"/>
        <w:tblLook w:val="0600" w:firstRow="0" w:lastRow="0" w:firstColumn="0" w:lastColumn="0" w:noHBand="1" w:noVBand="1"/>
      </w:tblPr>
      <w:tblGrid>
        <w:gridCol w:w="1446"/>
        <w:gridCol w:w="1566"/>
        <w:gridCol w:w="1361"/>
        <w:gridCol w:w="1555"/>
        <w:gridCol w:w="1693"/>
        <w:gridCol w:w="1729"/>
      </w:tblGrid>
      <w:tr w:rsidR="00A06F0D" w:rsidRPr="00EC54B4" w14:paraId="2F052FD9" w14:textId="77777777" w:rsidTr="00A06F0D">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01277D" w14:textId="77777777" w:rsidR="00A06F0D" w:rsidRPr="00EC54B4" w:rsidRDefault="00EC54B4">
            <w:pPr>
              <w:jc w:val="center"/>
              <w:rPr>
                <w:rFonts w:eastAsia="Times New Roman"/>
                <w:b/>
                <w:bCs/>
              </w:rPr>
            </w:pPr>
            <w:r w:rsidRPr="00EC54B4">
              <w:rPr>
                <w:rStyle w:val="Strong"/>
                <w:rFonts w:eastAsia="Times New Roman"/>
              </w:rPr>
              <w:t>Author/Year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54CBC9" w14:textId="77777777" w:rsidR="00A06F0D" w:rsidRPr="00EC54B4" w:rsidRDefault="00EC54B4">
            <w:pPr>
              <w:jc w:val="center"/>
              <w:rPr>
                <w:rFonts w:eastAsia="Times New Roman"/>
                <w:b/>
                <w:bCs/>
              </w:rPr>
            </w:pPr>
            <w:r w:rsidRPr="00EC54B4">
              <w:rPr>
                <w:rStyle w:val="Strong"/>
                <w:rFonts w:eastAsia="Times New Roman"/>
              </w:rPr>
              <w:t>Study Design / 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1AD502" w14:textId="77777777" w:rsidR="00A06F0D" w:rsidRPr="00EC54B4" w:rsidRDefault="00EC54B4">
            <w:pPr>
              <w:jc w:val="center"/>
              <w:rPr>
                <w:rFonts w:eastAsia="Times New Roman"/>
                <w:b/>
                <w:bCs/>
              </w:rPr>
            </w:pPr>
            <w:r w:rsidRPr="00EC54B4">
              <w:rPr>
                <w:rStyle w:val="Strong"/>
                <w:rFonts w:eastAsia="Times New Roman"/>
              </w:rPr>
              <w:t>Population / Setting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6A7249" w14:textId="77777777" w:rsidR="00A06F0D" w:rsidRPr="00EC54B4" w:rsidRDefault="00EC54B4">
            <w:pPr>
              <w:jc w:val="center"/>
              <w:rPr>
                <w:rFonts w:eastAsia="Times New Roman"/>
                <w:b/>
                <w:bCs/>
              </w:rPr>
            </w:pPr>
            <w:r w:rsidRPr="00EC54B4">
              <w:rPr>
                <w:rStyle w:val="Strong"/>
                <w:rFonts w:eastAsia="Times New Roman"/>
              </w:rPr>
              <w:t>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AF3C13" w14:textId="77777777" w:rsidR="00A06F0D" w:rsidRPr="00EC54B4" w:rsidRDefault="00EC54B4">
            <w:pPr>
              <w:jc w:val="center"/>
              <w:rPr>
                <w:rFonts w:eastAsia="Times New Roman"/>
                <w:b/>
                <w:bCs/>
              </w:rPr>
            </w:pPr>
            <w:r w:rsidRPr="00EC54B4">
              <w:rPr>
                <w:rStyle w:val="Strong"/>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A091C6" w14:textId="77777777" w:rsidR="00A06F0D" w:rsidRPr="00EC54B4" w:rsidRDefault="00EC54B4">
            <w:pPr>
              <w:jc w:val="center"/>
              <w:rPr>
                <w:rFonts w:eastAsia="Times New Roman"/>
                <w:b/>
                <w:bCs/>
              </w:rPr>
            </w:pPr>
            <w:r w:rsidRPr="00EC54B4">
              <w:rPr>
                <w:rStyle w:val="Strong"/>
                <w:rFonts w:eastAsia="Times New Roman"/>
              </w:rPr>
              <w:t>Clinical Implications</w:t>
            </w:r>
          </w:p>
        </w:tc>
      </w:tr>
      <w:tr w:rsidR="00A06F0D" w:rsidRPr="00EC54B4" w14:paraId="5024CA90"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096647" w14:textId="77777777" w:rsidR="00A06F0D" w:rsidRPr="00EC54B4" w:rsidRDefault="00EC54B4">
            <w:pPr>
              <w:rPr>
                <w:rFonts w:eastAsia="Times New Roman"/>
              </w:rPr>
            </w:pPr>
            <w:r w:rsidRPr="00EC54B4">
              <w:rPr>
                <w:rFonts w:eastAsia="Times New Roman"/>
              </w:rPr>
              <w:t>O’Neill et al., 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A5B8D1" w14:textId="77777777" w:rsidR="00A06F0D" w:rsidRPr="00EC54B4" w:rsidRDefault="00EC54B4">
            <w:pPr>
              <w:rPr>
                <w:rFonts w:eastAsia="Times New Roman"/>
              </w:rPr>
            </w:pPr>
            <w:r w:rsidRPr="00EC54B4">
              <w:rPr>
                <w:rFonts w:eastAsia="Times New Roman"/>
              </w:rPr>
              <w:t>Randomized controlled trial (PROTECT 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FE98A" w14:textId="77777777" w:rsidR="00A06F0D" w:rsidRPr="00EC54B4" w:rsidRDefault="00EC54B4">
            <w:pPr>
              <w:rPr>
                <w:rFonts w:eastAsia="Times New Roman"/>
              </w:rPr>
            </w:pPr>
            <w:r w:rsidRPr="00EC54B4">
              <w:rPr>
                <w:rFonts w:eastAsia="Times New Roman"/>
              </w:rPr>
              <w:t>High-risk PCI patients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9F3523" w14:textId="77777777" w:rsidR="00A06F0D" w:rsidRPr="00EC54B4" w:rsidRDefault="00EC54B4">
            <w:pPr>
              <w:rPr>
                <w:rFonts w:eastAsia="Times New Roman"/>
              </w:rPr>
            </w:pPr>
            <w:r w:rsidRPr="00EC54B4">
              <w:rPr>
                <w:rFonts w:eastAsia="Times New Roman"/>
              </w:rPr>
              <w:t>Impella 2.5 vs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67009" w14:textId="77777777" w:rsidR="00A06F0D" w:rsidRPr="00EC54B4" w:rsidRDefault="00EC54B4">
            <w:pPr>
              <w:rPr>
                <w:rFonts w:eastAsia="Times New Roman"/>
              </w:rPr>
            </w:pPr>
            <w:r w:rsidRPr="00EC54B4">
              <w:rPr>
                <w:rFonts w:eastAsia="Times New Roman"/>
              </w:rPr>
              <w:t>Impella provided superior hemodynamic support and trend toward improved 90-day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4C776" w14:textId="77777777" w:rsidR="00A06F0D" w:rsidRPr="00EC54B4" w:rsidRDefault="00EC54B4">
            <w:pPr>
              <w:rPr>
                <w:rFonts w:eastAsia="Times New Roman"/>
              </w:rPr>
            </w:pPr>
            <w:r w:rsidRPr="00EC54B4">
              <w:rPr>
                <w:rFonts w:eastAsia="Times New Roman"/>
              </w:rPr>
              <w:t>Supports Impella use in high-risk PCI</w:t>
            </w:r>
          </w:p>
        </w:tc>
      </w:tr>
      <w:tr w:rsidR="00A06F0D" w:rsidRPr="00EC54B4" w14:paraId="5C520B58"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7BE834" w14:textId="77777777" w:rsidR="00A06F0D" w:rsidRPr="00EC54B4" w:rsidRDefault="00EC54B4">
            <w:pPr>
              <w:rPr>
                <w:rFonts w:eastAsia="Times New Roman"/>
              </w:rPr>
            </w:pPr>
            <w:r w:rsidRPr="00EC54B4">
              <w:rPr>
                <w:rFonts w:eastAsia="Times New Roman"/>
              </w:rPr>
              <w:t>Khera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7F053" w14:textId="77777777" w:rsidR="00A06F0D" w:rsidRPr="00EC54B4" w:rsidRDefault="00EC54B4">
            <w:pPr>
              <w:rPr>
                <w:rFonts w:eastAsia="Times New Roman"/>
              </w:rPr>
            </w:pPr>
            <w:r w:rsidRPr="00EC54B4">
              <w:rPr>
                <w:rFonts w:eastAsia="Times New Roman"/>
              </w:rPr>
              <w:t>Registry study (NCDR)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1B8D67" w14:textId="77777777" w:rsidR="00A06F0D" w:rsidRPr="00EC54B4" w:rsidRDefault="00EC54B4">
            <w:pPr>
              <w:rPr>
                <w:rFonts w:eastAsia="Times New Roman"/>
              </w:rPr>
            </w:pPr>
            <w:r w:rsidRPr="00EC54B4">
              <w:rPr>
                <w:rFonts w:eastAsia="Times New Roman"/>
              </w:rPr>
              <w:t>PCI patients requiring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0C5574" w14:textId="77777777" w:rsidR="00A06F0D" w:rsidRPr="00EC54B4" w:rsidRDefault="00EC54B4">
            <w:pPr>
              <w:rPr>
                <w:rFonts w:eastAsia="Times New Roman"/>
              </w:rPr>
            </w:pPr>
            <w:r w:rsidRPr="00EC54B4">
              <w:rPr>
                <w:rFonts w:eastAsia="Times New Roman"/>
              </w:rPr>
              <w:t>IABP, Impella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36FCFB" w14:textId="77777777" w:rsidR="00A06F0D" w:rsidRPr="00EC54B4" w:rsidRDefault="00EC54B4">
            <w:pPr>
              <w:rPr>
                <w:rFonts w:eastAsia="Times New Roman"/>
              </w:rPr>
            </w:pPr>
            <w:r w:rsidRPr="00EC54B4">
              <w:rPr>
                <w:rFonts w:eastAsia="Times New Roman"/>
              </w:rPr>
              <w:t>Increased procedural success with MCS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943213" w14:textId="77777777" w:rsidR="00A06F0D" w:rsidRPr="00EC54B4" w:rsidRDefault="00EC54B4">
            <w:pPr>
              <w:rPr>
                <w:rFonts w:eastAsia="Times New Roman"/>
              </w:rPr>
            </w:pPr>
            <w:r w:rsidRPr="00EC54B4">
              <w:rPr>
                <w:rFonts w:eastAsia="Times New Roman"/>
              </w:rPr>
              <w:t>Real-world evidence supporting procedural benefit</w:t>
            </w:r>
          </w:p>
        </w:tc>
      </w:tr>
      <w:tr w:rsidR="00A06F0D" w:rsidRPr="00EC54B4" w14:paraId="57F0D151"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28A2654" w14:textId="77777777" w:rsidR="00A06F0D" w:rsidRPr="00EC54B4" w:rsidRDefault="00EC54B4">
            <w:pPr>
              <w:rPr>
                <w:rFonts w:eastAsia="Times New Roman"/>
              </w:rPr>
            </w:pPr>
            <w:r w:rsidRPr="00EC54B4">
              <w:rPr>
                <w:rFonts w:eastAsia="Times New Roman"/>
              </w:rPr>
              <w:t>Shi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ED4BEB" w14:textId="77777777" w:rsidR="00A06F0D" w:rsidRPr="00EC54B4" w:rsidRDefault="00EC54B4">
            <w:pPr>
              <w:rPr>
                <w:rFonts w:eastAsia="Times New Roman"/>
              </w:rPr>
            </w:pPr>
            <w:r w:rsidRPr="00EC54B4">
              <w:rPr>
                <w:rFonts w:eastAsia="Times New Roman"/>
              </w:rPr>
              <w:t>Meta-analysis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64352" w14:textId="77777777" w:rsidR="00A06F0D" w:rsidRPr="00EC54B4" w:rsidRDefault="00EC54B4">
            <w:pPr>
              <w:rPr>
                <w:rFonts w:eastAsia="Times New Roman"/>
              </w:rPr>
            </w:pPr>
            <w:r w:rsidRPr="00EC54B4">
              <w:rPr>
                <w:rFonts w:eastAsia="Times New Roman"/>
              </w:rPr>
              <w:t>High-risk PCI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D18F88" w14:textId="77777777" w:rsidR="00A06F0D" w:rsidRPr="00EC54B4" w:rsidRDefault="00EC54B4">
            <w:pPr>
              <w:rPr>
                <w:rFonts w:eastAsia="Times New Roman"/>
              </w:rPr>
            </w:pPr>
            <w:r w:rsidRPr="00EC54B4">
              <w:rPr>
                <w:rFonts w:eastAsia="Times New Roman"/>
              </w:rPr>
              <w:t>Percutaneous ventricular assist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7C4014" w14:textId="77777777" w:rsidR="00A06F0D" w:rsidRPr="00EC54B4" w:rsidRDefault="00EC54B4">
            <w:pPr>
              <w:rPr>
                <w:rFonts w:eastAsia="Times New Roman"/>
              </w:rPr>
            </w:pPr>
            <w:r w:rsidRPr="00EC54B4">
              <w:rPr>
                <w:rFonts w:eastAsia="Times New Roman"/>
              </w:rPr>
              <w:t>Better hemodynamic support vs IABP, no consistent mortality benefit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B319C8" w14:textId="77777777" w:rsidR="00A06F0D" w:rsidRPr="00EC54B4" w:rsidRDefault="00EC54B4">
            <w:pPr>
              <w:rPr>
                <w:rFonts w:eastAsia="Times New Roman"/>
              </w:rPr>
            </w:pPr>
            <w:r w:rsidRPr="00EC54B4">
              <w:rPr>
                <w:rFonts w:eastAsia="Times New Roman"/>
              </w:rPr>
              <w:t>Highlights hemodynamic advantage but uncertain survival impact</w:t>
            </w:r>
          </w:p>
        </w:tc>
      </w:tr>
      <w:tr w:rsidR="00A06F0D" w:rsidRPr="00EC54B4" w14:paraId="34836A96"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C9AEB17" w14:textId="77777777" w:rsidR="00A06F0D" w:rsidRPr="00EC54B4" w:rsidRDefault="00EC54B4">
            <w:pPr>
              <w:rPr>
                <w:rFonts w:eastAsia="Times New Roman"/>
              </w:rPr>
            </w:pPr>
            <w:r w:rsidRPr="00EC54B4">
              <w:rPr>
                <w:rFonts w:eastAsia="Times New Roman"/>
              </w:rPr>
              <w:t>Ferro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39A2F3" w14:textId="77777777" w:rsidR="00A06F0D" w:rsidRPr="00EC54B4" w:rsidRDefault="00EC54B4">
            <w:pPr>
              <w:rPr>
                <w:rFonts w:eastAsia="Times New Roman"/>
              </w:rPr>
            </w:pPr>
            <w:r w:rsidRPr="00EC54B4">
              <w:rPr>
                <w:rFonts w:eastAsia="Times New Roman"/>
              </w:rPr>
              <w:t>Observational study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2D3D10" w14:textId="77777777" w:rsidR="00A06F0D" w:rsidRPr="00EC54B4" w:rsidRDefault="00EC54B4">
            <w:pPr>
              <w:rPr>
                <w:rFonts w:eastAsia="Times New Roman"/>
              </w:rPr>
            </w:pPr>
            <w:r w:rsidRPr="00EC54B4">
              <w:rPr>
                <w:rFonts w:eastAsia="Times New Roman"/>
              </w:rPr>
              <w:t>Complex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8C6129" w14:textId="77777777" w:rsidR="00A06F0D" w:rsidRPr="00EC54B4" w:rsidRDefault="00EC54B4">
            <w:pPr>
              <w:rPr>
                <w:rFonts w:eastAsia="Times New Roman"/>
              </w:rPr>
            </w:pPr>
            <w:r w:rsidRPr="00EC54B4">
              <w:rPr>
                <w:rFonts w:eastAsia="Times New Roman"/>
              </w:rPr>
              <w:t>Impella,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782D47" w14:textId="77777777" w:rsidR="00A06F0D" w:rsidRPr="00EC54B4" w:rsidRDefault="00EC54B4">
            <w:pPr>
              <w:rPr>
                <w:rFonts w:eastAsia="Times New Roman"/>
              </w:rPr>
            </w:pPr>
            <w:r w:rsidRPr="00EC54B4">
              <w:rPr>
                <w:rFonts w:eastAsia="Times New Roman"/>
              </w:rPr>
              <w:t xml:space="preserve">Improved procedural outcomes but increased </w:t>
            </w:r>
            <w:r w:rsidRPr="00EC54B4">
              <w:rPr>
                <w:rFonts w:eastAsia="Times New Roman"/>
              </w:rPr>
              <w:lastRenderedPageBreak/>
              <w:t>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DA5EE" w14:textId="77777777" w:rsidR="00A06F0D" w:rsidRPr="00EC54B4" w:rsidRDefault="00EC54B4">
            <w:pPr>
              <w:rPr>
                <w:rFonts w:eastAsia="Times New Roman"/>
              </w:rPr>
            </w:pPr>
            <w:r w:rsidRPr="00EC54B4">
              <w:rPr>
                <w:rFonts w:eastAsia="Times New Roman"/>
              </w:rPr>
              <w:lastRenderedPageBreak/>
              <w:t>Emphasizes risk–benefit evaluation</w:t>
            </w:r>
          </w:p>
        </w:tc>
      </w:tr>
      <w:tr w:rsidR="00A06F0D" w:rsidRPr="00EC54B4" w14:paraId="4B1C7004"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9CCF24" w14:textId="77777777" w:rsidR="00A06F0D" w:rsidRPr="00EC54B4" w:rsidRDefault="00EC54B4">
            <w:pPr>
              <w:rPr>
                <w:rFonts w:eastAsia="Times New Roman"/>
              </w:rPr>
            </w:pPr>
            <w:r w:rsidRPr="00EC54B4">
              <w:rPr>
                <w:rFonts w:eastAsia="Times New Roman"/>
              </w:rPr>
              <w:t>Wong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C358F8" w14:textId="77777777" w:rsidR="00A06F0D" w:rsidRPr="00EC54B4" w:rsidRDefault="00EC54B4">
            <w:pPr>
              <w:rPr>
                <w:rFonts w:eastAsia="Times New Roman"/>
              </w:rPr>
            </w:pPr>
            <w:r w:rsidRPr="00EC54B4">
              <w:rPr>
                <w:rFonts w:eastAsia="Times New Roman"/>
              </w:rPr>
              <w:t>Narrative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38E11D" w14:textId="77777777" w:rsidR="00A06F0D" w:rsidRPr="00EC54B4" w:rsidRDefault="00EC54B4">
            <w:pPr>
              <w:rPr>
                <w:rFonts w:eastAsia="Times New Roman"/>
              </w:rPr>
            </w:pPr>
            <w:r w:rsidRPr="00EC54B4">
              <w:rPr>
                <w:rFonts w:eastAsia="Times New Roman"/>
              </w:rPr>
              <w:t>High-risk PCI and 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20BFCC" w14:textId="77777777" w:rsidR="00A06F0D" w:rsidRPr="00EC54B4" w:rsidRDefault="00EC54B4">
            <w:pPr>
              <w:rPr>
                <w:rFonts w:eastAsia="Times New Roman"/>
              </w:rPr>
            </w:pPr>
            <w:r w:rsidRPr="00EC54B4">
              <w:rPr>
                <w:rFonts w:eastAsia="Times New Roman"/>
              </w:rPr>
              <w:t>IABP, Impella, TandemHeart, 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6AB9AB" w14:textId="77777777" w:rsidR="00A06F0D" w:rsidRPr="00EC54B4" w:rsidRDefault="00EC54B4">
            <w:pPr>
              <w:rPr>
                <w:rFonts w:eastAsia="Times New Roman"/>
              </w:rPr>
            </w:pPr>
            <w:r w:rsidRPr="00EC54B4">
              <w:rPr>
                <w:rFonts w:eastAsia="Times New Roman"/>
              </w:rPr>
              <w:t>Summarized indications and controversies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61CDAF" w14:textId="77777777" w:rsidR="00A06F0D" w:rsidRPr="00EC54B4" w:rsidRDefault="00EC54B4">
            <w:pPr>
              <w:rPr>
                <w:rFonts w:eastAsia="Times New Roman"/>
              </w:rPr>
            </w:pPr>
            <w:r w:rsidRPr="00EC54B4">
              <w:rPr>
                <w:rFonts w:eastAsia="Times New Roman"/>
              </w:rPr>
              <w:t>Provides clinical guidance</w:t>
            </w:r>
          </w:p>
        </w:tc>
      </w:tr>
      <w:tr w:rsidR="00A06F0D" w:rsidRPr="00EC54B4" w14:paraId="52FA2056"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022132" w14:textId="77777777" w:rsidR="00A06F0D" w:rsidRPr="00EC54B4" w:rsidRDefault="00EC54B4">
            <w:pPr>
              <w:rPr>
                <w:rFonts w:eastAsia="Times New Roman"/>
              </w:rPr>
            </w:pPr>
            <w:r w:rsidRPr="00EC54B4">
              <w:rPr>
                <w:rFonts w:eastAsia="Times New Roman"/>
              </w:rPr>
              <w:t>Basir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C04989" w14:textId="77777777" w:rsidR="00A06F0D" w:rsidRPr="00EC54B4" w:rsidRDefault="00EC54B4">
            <w:pPr>
              <w:rPr>
                <w:rFonts w:eastAsia="Times New Roman"/>
              </w:rPr>
            </w:pPr>
            <w:r w:rsidRPr="00EC54B4">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D20CD2" w14:textId="77777777" w:rsidR="00A06F0D" w:rsidRPr="00EC54B4" w:rsidRDefault="00EC54B4">
            <w:pPr>
              <w:rPr>
                <w:rFonts w:eastAsia="Times New Roman"/>
              </w:rPr>
            </w:pPr>
            <w:r w:rsidRPr="00EC54B4">
              <w:rPr>
                <w:rFonts w:eastAsia="Times New Roman"/>
              </w:rPr>
              <w:t>AMI and 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42BE76" w14:textId="77777777" w:rsidR="00A06F0D" w:rsidRPr="00EC54B4" w:rsidRDefault="00EC54B4">
            <w:pPr>
              <w:rPr>
                <w:rFonts w:eastAsia="Times New Roman"/>
              </w:rPr>
            </w:pPr>
            <w:r w:rsidRPr="00EC54B4">
              <w:rPr>
                <w:rFonts w:eastAsia="Times New Roman"/>
              </w:rPr>
              <w:t>Various 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919D8C" w14:textId="77777777" w:rsidR="00A06F0D" w:rsidRPr="00EC54B4" w:rsidRDefault="00EC54B4">
            <w:pPr>
              <w:rPr>
                <w:rFonts w:eastAsia="Times New Roman"/>
              </w:rPr>
            </w:pPr>
            <w:r w:rsidRPr="00EC54B4">
              <w:rPr>
                <w:rFonts w:eastAsia="Times New Roman"/>
              </w:rPr>
              <w:t>Hemodynamic improvements; outcomes depend on timing and selection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5ADD1" w14:textId="77777777" w:rsidR="00A06F0D" w:rsidRPr="00EC54B4" w:rsidRDefault="00EC54B4">
            <w:pPr>
              <w:rPr>
                <w:rFonts w:eastAsia="Times New Roman"/>
              </w:rPr>
            </w:pPr>
            <w:r w:rsidRPr="00EC54B4">
              <w:rPr>
                <w:rFonts w:eastAsia="Times New Roman"/>
              </w:rPr>
              <w:t>Supports early MCS deployment</w:t>
            </w:r>
          </w:p>
        </w:tc>
      </w:tr>
      <w:tr w:rsidR="00A06F0D" w:rsidRPr="00EC54B4" w14:paraId="7C73A12F"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B77548" w14:textId="77777777" w:rsidR="00A06F0D" w:rsidRPr="00EC54B4" w:rsidRDefault="00EC54B4">
            <w:pPr>
              <w:rPr>
                <w:rFonts w:eastAsia="Times New Roman"/>
              </w:rPr>
            </w:pPr>
            <w:r w:rsidRPr="00EC54B4">
              <w:rPr>
                <w:rFonts w:eastAsia="Times New Roman"/>
              </w:rPr>
              <w:t>Geller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1B3686" w14:textId="77777777" w:rsidR="00A06F0D" w:rsidRPr="00EC54B4" w:rsidRDefault="00EC54B4">
            <w:pPr>
              <w:rPr>
                <w:rFonts w:eastAsia="Times New Roman"/>
              </w:rPr>
            </w:pPr>
            <w:r w:rsidRPr="00EC54B4">
              <w:rPr>
                <w:rFonts w:eastAsia="Times New Roman"/>
              </w:rPr>
              <w:t>AHA scientific statement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07BE0C" w14:textId="77777777" w:rsidR="00A06F0D" w:rsidRPr="00EC54B4" w:rsidRDefault="00EC54B4">
            <w:pPr>
              <w:rPr>
                <w:rFonts w:eastAsia="Times New Roman"/>
              </w:rPr>
            </w:pPr>
            <w:r w:rsidRPr="00EC54B4">
              <w:rPr>
                <w:rFonts w:eastAsia="Times New Roman"/>
              </w:rPr>
              <w:t>Temporary MCS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12A681" w14:textId="77777777" w:rsidR="00A06F0D" w:rsidRPr="00EC54B4" w:rsidRDefault="00EC54B4">
            <w:pPr>
              <w:rPr>
                <w:rFonts w:eastAsia="Times New Roman"/>
              </w:rPr>
            </w:pPr>
            <w:r w:rsidRPr="00EC54B4">
              <w:rPr>
                <w:rFonts w:eastAsia="Times New Roman"/>
              </w:rPr>
              <w:t>Multiple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8A7C07" w14:textId="77777777" w:rsidR="00A06F0D" w:rsidRPr="00EC54B4" w:rsidRDefault="00EC54B4">
            <w:pPr>
              <w:rPr>
                <w:rFonts w:eastAsia="Times New Roman"/>
              </w:rPr>
            </w:pPr>
            <w:r w:rsidRPr="00EC54B4">
              <w:rPr>
                <w:rFonts w:eastAsia="Times New Roman"/>
              </w:rPr>
              <w:t>Structured escalation/de-escalation improves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C4F83B" w14:textId="77777777" w:rsidR="00A06F0D" w:rsidRPr="00EC54B4" w:rsidRDefault="00EC54B4">
            <w:pPr>
              <w:rPr>
                <w:rFonts w:eastAsia="Times New Roman"/>
              </w:rPr>
            </w:pPr>
            <w:r w:rsidRPr="00EC54B4">
              <w:rPr>
                <w:rFonts w:eastAsia="Times New Roman"/>
              </w:rPr>
              <w:t>Advocates multidisciplinary shock teams</w:t>
            </w:r>
          </w:p>
        </w:tc>
      </w:tr>
      <w:tr w:rsidR="00A06F0D" w:rsidRPr="00EC54B4" w14:paraId="1F0CFBF0"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FB794A" w14:textId="77777777" w:rsidR="00A06F0D" w:rsidRPr="00EC54B4" w:rsidRDefault="00EC54B4">
            <w:pPr>
              <w:rPr>
                <w:rFonts w:eastAsia="Times New Roman"/>
              </w:rPr>
            </w:pPr>
            <w:r w:rsidRPr="00EC54B4">
              <w:rPr>
                <w:rFonts w:eastAsia="Times New Roman"/>
              </w:rPr>
              <w:t>Jentzer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690E56" w14:textId="77777777" w:rsidR="00A06F0D" w:rsidRPr="00EC54B4" w:rsidRDefault="00EC54B4">
            <w:pPr>
              <w:rPr>
                <w:rFonts w:eastAsia="Times New Roman"/>
              </w:rPr>
            </w:pPr>
            <w:r w:rsidRPr="00EC54B4">
              <w:rPr>
                <w:rFonts w:eastAsia="Times New Roman"/>
              </w:rPr>
              <w:t>Translational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57B5DD" w14:textId="77777777" w:rsidR="00A06F0D" w:rsidRPr="00EC54B4" w:rsidRDefault="00EC54B4">
            <w:pPr>
              <w:rPr>
                <w:rFonts w:eastAsia="Times New Roman"/>
              </w:rPr>
            </w:pPr>
            <w:r w:rsidRPr="00EC54B4">
              <w:rPr>
                <w:rFonts w:eastAsia="Times New Roman"/>
              </w:rPr>
              <w:t>AMI-cardiogenic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E890BE" w14:textId="77777777" w:rsidR="00A06F0D" w:rsidRPr="00EC54B4" w:rsidRDefault="00EC54B4">
            <w:pPr>
              <w:rPr>
                <w:rFonts w:eastAsia="Times New Roman"/>
              </w:rPr>
            </w:pPr>
            <w:r w:rsidRPr="00EC54B4">
              <w:rPr>
                <w:rFonts w:eastAsia="Times New Roman"/>
              </w:rPr>
              <w:t>Multiple 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57801" w14:textId="77777777" w:rsidR="00A06F0D" w:rsidRPr="00EC54B4" w:rsidRDefault="00EC54B4">
            <w:pPr>
              <w:rPr>
                <w:rFonts w:eastAsia="Times New Roman"/>
              </w:rPr>
            </w:pPr>
            <w:r w:rsidRPr="00EC54B4">
              <w:rPr>
                <w:rFonts w:eastAsia="Times New Roman"/>
              </w:rPr>
              <w:t>Evidence heterogeneous; challenges remain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D993EE" w14:textId="77777777" w:rsidR="00A06F0D" w:rsidRPr="00EC54B4" w:rsidRDefault="00EC54B4">
            <w:pPr>
              <w:rPr>
                <w:rFonts w:eastAsia="Times New Roman"/>
              </w:rPr>
            </w:pPr>
            <w:r w:rsidRPr="00EC54B4">
              <w:rPr>
                <w:rFonts w:eastAsia="Times New Roman"/>
              </w:rPr>
              <w:t>Highlights research gaps</w:t>
            </w:r>
          </w:p>
        </w:tc>
      </w:tr>
      <w:tr w:rsidR="00A06F0D" w:rsidRPr="00EC54B4" w14:paraId="74154301"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29DE02" w14:textId="77777777" w:rsidR="00A06F0D" w:rsidRPr="00EC54B4" w:rsidRDefault="00EC54B4">
            <w:pPr>
              <w:rPr>
                <w:rFonts w:eastAsia="Times New Roman"/>
              </w:rPr>
            </w:pPr>
            <w:r w:rsidRPr="00EC54B4">
              <w:rPr>
                <w:rFonts w:eastAsia="Times New Roman"/>
              </w:rPr>
              <w:t>Groeneveld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36D8ED" w14:textId="77777777" w:rsidR="00A06F0D" w:rsidRPr="00EC54B4" w:rsidRDefault="00EC54B4">
            <w:pPr>
              <w:rPr>
                <w:rFonts w:eastAsia="Times New Roman"/>
              </w:rPr>
            </w:pPr>
            <w:r w:rsidRPr="00EC54B4">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CF302" w14:textId="77777777" w:rsidR="00A06F0D" w:rsidRPr="00EC54B4" w:rsidRDefault="00EC54B4">
            <w:pPr>
              <w:rPr>
                <w:rFonts w:eastAsia="Times New Roman"/>
              </w:rPr>
            </w:pPr>
            <w:r w:rsidRPr="00EC54B4">
              <w:rPr>
                <w:rFonts w:eastAsia="Times New Roman"/>
              </w:rPr>
              <w:t>Cath lab high-risk procedures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7377C2" w14:textId="77777777" w:rsidR="00A06F0D" w:rsidRPr="00EC54B4" w:rsidRDefault="00EC54B4">
            <w:pPr>
              <w:rPr>
                <w:rFonts w:eastAsia="Times New Roman"/>
              </w:rPr>
            </w:pPr>
            <w:r w:rsidRPr="00EC54B4">
              <w:rPr>
                <w:rFonts w:eastAsia="Times New Roman"/>
              </w:rPr>
              <w:t>Impella, IABP, 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C613C2" w14:textId="77777777" w:rsidR="00A06F0D" w:rsidRPr="00EC54B4" w:rsidRDefault="00EC54B4">
            <w:pPr>
              <w:rPr>
                <w:rFonts w:eastAsia="Times New Roman"/>
              </w:rPr>
            </w:pPr>
            <w:r w:rsidRPr="00EC54B4">
              <w:rPr>
                <w:rFonts w:eastAsia="Times New Roman"/>
              </w:rPr>
              <w:t>Growing role of prophylactic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F0E1DA" w14:textId="77777777" w:rsidR="00A06F0D" w:rsidRPr="00EC54B4" w:rsidRDefault="00EC54B4">
            <w:pPr>
              <w:rPr>
                <w:rFonts w:eastAsia="Times New Roman"/>
              </w:rPr>
            </w:pPr>
            <w:r w:rsidRPr="00EC54B4">
              <w:rPr>
                <w:rFonts w:eastAsia="Times New Roman"/>
              </w:rPr>
              <w:t>Expanding elective PCI applications</w:t>
            </w:r>
          </w:p>
        </w:tc>
      </w:tr>
      <w:tr w:rsidR="00A06F0D" w:rsidRPr="00EC54B4" w14:paraId="0362416D"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B88342" w14:textId="77777777" w:rsidR="00A06F0D" w:rsidRPr="00EC54B4" w:rsidRDefault="00EC54B4">
            <w:pPr>
              <w:rPr>
                <w:rFonts w:eastAsia="Times New Roman"/>
              </w:rPr>
            </w:pPr>
            <w:r w:rsidRPr="00EC54B4">
              <w:rPr>
                <w:rFonts w:eastAsia="Times New Roman"/>
              </w:rPr>
              <w:t>Geppert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906B98" w14:textId="77777777" w:rsidR="00A06F0D" w:rsidRPr="00EC54B4" w:rsidRDefault="00EC54B4">
            <w:pPr>
              <w:rPr>
                <w:rFonts w:eastAsia="Times New Roman"/>
              </w:rPr>
            </w:pPr>
            <w:r w:rsidRPr="00EC54B4">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7C805C" w14:textId="77777777" w:rsidR="00A06F0D" w:rsidRPr="00EC54B4" w:rsidRDefault="00EC54B4">
            <w:pPr>
              <w:rPr>
                <w:rFonts w:eastAsia="Times New Roman"/>
              </w:rPr>
            </w:pPr>
            <w:r w:rsidRPr="00EC54B4">
              <w:rPr>
                <w:rFonts w:eastAsia="Times New Roman"/>
              </w:rPr>
              <w:t>Elective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5109A" w14:textId="77777777" w:rsidR="00A06F0D" w:rsidRPr="00EC54B4" w:rsidRDefault="00EC54B4">
            <w:pPr>
              <w:rPr>
                <w:rFonts w:eastAsia="Times New Roman"/>
              </w:rPr>
            </w:pPr>
            <w:r w:rsidRPr="00EC54B4">
              <w:rPr>
                <w:rFonts w:eastAsia="Times New Roman"/>
              </w:rPr>
              <w:t>Impella and other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AD337" w14:textId="77777777" w:rsidR="00A06F0D" w:rsidRPr="00EC54B4" w:rsidRDefault="00EC54B4">
            <w:pPr>
              <w:rPr>
                <w:rFonts w:eastAsia="Times New Roman"/>
              </w:rPr>
            </w:pPr>
            <w:r w:rsidRPr="00EC54B4">
              <w:rPr>
                <w:rFonts w:eastAsia="Times New Roman"/>
              </w:rPr>
              <w:t xml:space="preserve">Prophylactic MCS beneficial in low EF and </w:t>
            </w:r>
            <w:r w:rsidRPr="00EC54B4">
              <w:rPr>
                <w:rFonts w:eastAsia="Times New Roman"/>
              </w:rPr>
              <w:lastRenderedPageBreak/>
              <w:t>complex lesions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35B4B5" w14:textId="77777777" w:rsidR="00A06F0D" w:rsidRPr="00EC54B4" w:rsidRDefault="00EC54B4">
            <w:pPr>
              <w:rPr>
                <w:rFonts w:eastAsia="Times New Roman"/>
              </w:rPr>
            </w:pPr>
            <w:r w:rsidRPr="00EC54B4">
              <w:rPr>
                <w:rFonts w:eastAsia="Times New Roman"/>
              </w:rPr>
              <w:lastRenderedPageBreak/>
              <w:t>Supports preventive MCS strategy</w:t>
            </w:r>
          </w:p>
        </w:tc>
      </w:tr>
      <w:tr w:rsidR="00A06F0D" w:rsidRPr="00EC54B4" w14:paraId="6ACAEF5B"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749284" w14:textId="77777777" w:rsidR="00A06F0D" w:rsidRPr="00EC54B4" w:rsidRDefault="00EC54B4">
            <w:pPr>
              <w:rPr>
                <w:rFonts w:eastAsia="Times New Roman"/>
              </w:rPr>
            </w:pPr>
            <w:r w:rsidRPr="00EC54B4">
              <w:rPr>
                <w:rFonts w:eastAsia="Times New Roman"/>
              </w:rPr>
              <w:t>Khalil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25BA53" w14:textId="77777777" w:rsidR="00A06F0D" w:rsidRPr="00EC54B4" w:rsidRDefault="00EC54B4">
            <w:pPr>
              <w:rPr>
                <w:rFonts w:eastAsia="Times New Roman"/>
              </w:rPr>
            </w:pPr>
            <w:r w:rsidRPr="00EC54B4">
              <w:rPr>
                <w:rFonts w:eastAsia="Times New Roman"/>
              </w:rPr>
              <w:t>Clinical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6A0368" w14:textId="77777777" w:rsidR="00A06F0D" w:rsidRPr="00EC54B4" w:rsidRDefault="00EC54B4">
            <w:pPr>
              <w:rPr>
                <w:rFonts w:eastAsia="Times New Roman"/>
              </w:rPr>
            </w:pPr>
            <w:r w:rsidRPr="00EC54B4">
              <w:rPr>
                <w:rFonts w:eastAsia="Times New Roman"/>
              </w:rPr>
              <w:t>Cardiogenic shock and complex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116CFE" w14:textId="77777777" w:rsidR="00A06F0D" w:rsidRPr="00EC54B4" w:rsidRDefault="00EC54B4">
            <w:pPr>
              <w:rPr>
                <w:rFonts w:eastAsia="Times New Roman"/>
              </w:rPr>
            </w:pPr>
            <w:r w:rsidRPr="00EC54B4">
              <w:rPr>
                <w:rFonts w:eastAsia="Times New Roman"/>
              </w:rPr>
              <w:t>Multiple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8F3FAB" w14:textId="77777777" w:rsidR="00A06F0D" w:rsidRPr="00EC54B4" w:rsidRDefault="00EC54B4">
            <w:pPr>
              <w:rPr>
                <w:rFonts w:eastAsia="Times New Roman"/>
              </w:rPr>
            </w:pPr>
            <w:r w:rsidRPr="00EC54B4">
              <w:rPr>
                <w:rFonts w:eastAsia="Times New Roman"/>
              </w:rPr>
              <w:t>Increased adoption in complex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8A2C1B" w14:textId="77777777" w:rsidR="00A06F0D" w:rsidRPr="00EC54B4" w:rsidRDefault="00EC54B4">
            <w:pPr>
              <w:rPr>
                <w:rFonts w:eastAsia="Times New Roman"/>
              </w:rPr>
            </w:pPr>
            <w:r w:rsidRPr="00EC54B4">
              <w:rPr>
                <w:rFonts w:eastAsia="Times New Roman"/>
              </w:rPr>
              <w:t>Reinforces expanding clinical use</w:t>
            </w:r>
          </w:p>
        </w:tc>
      </w:tr>
      <w:tr w:rsidR="00A06F0D" w:rsidRPr="00EC54B4" w14:paraId="11D1C9DD"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64D7750" w14:textId="77777777" w:rsidR="00A06F0D" w:rsidRPr="00EC54B4" w:rsidRDefault="00EC54B4">
            <w:pPr>
              <w:rPr>
                <w:rFonts w:eastAsia="Times New Roman"/>
              </w:rPr>
            </w:pPr>
            <w:r w:rsidRPr="00EC54B4">
              <w:rPr>
                <w:rFonts w:eastAsia="Times New Roman"/>
              </w:rPr>
              <w:t>Di Pietro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E6F846" w14:textId="77777777" w:rsidR="00A06F0D" w:rsidRPr="00EC54B4" w:rsidRDefault="00EC54B4">
            <w:pPr>
              <w:rPr>
                <w:rFonts w:eastAsia="Times New Roman"/>
              </w:rPr>
            </w:pPr>
            <w:r w:rsidRPr="00EC54B4">
              <w:rPr>
                <w:rFonts w:eastAsia="Times New Roman"/>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F88D3" w14:textId="77777777" w:rsidR="00A06F0D" w:rsidRPr="00EC54B4" w:rsidRDefault="00EC54B4">
            <w:pPr>
              <w:rPr>
                <w:rFonts w:eastAsia="Times New Roman"/>
              </w:rPr>
            </w:pPr>
            <w:r w:rsidRPr="00EC54B4">
              <w:rPr>
                <w:rFonts w:eastAsia="Times New Roman"/>
              </w:rPr>
              <w:t>Impella-supported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0AFA4" w14:textId="77777777" w:rsidR="00A06F0D" w:rsidRPr="00EC54B4" w:rsidRDefault="00EC54B4">
            <w:pPr>
              <w:rPr>
                <w:rFonts w:eastAsia="Times New Roman"/>
              </w:rPr>
            </w:pPr>
            <w:r w:rsidRPr="00EC54B4">
              <w:rPr>
                <w:rFonts w:eastAsia="Times New Roman"/>
              </w:rPr>
              <w:t>Impella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1EE7C5" w14:textId="77777777" w:rsidR="00A06F0D" w:rsidRPr="00EC54B4" w:rsidRDefault="00EC54B4">
            <w:pPr>
              <w:rPr>
                <w:rFonts w:eastAsia="Times New Roman"/>
              </w:rPr>
            </w:pPr>
            <w:r w:rsidRPr="00EC54B4">
              <w:rPr>
                <w:rFonts w:eastAsia="Times New Roman"/>
              </w:rPr>
              <w:t>Improved procedural stability but higher bleeding and vascular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E2517" w14:textId="77777777" w:rsidR="00A06F0D" w:rsidRPr="00EC54B4" w:rsidRDefault="00EC54B4">
            <w:pPr>
              <w:rPr>
                <w:rFonts w:eastAsia="Times New Roman"/>
              </w:rPr>
            </w:pPr>
            <w:r w:rsidRPr="00EC54B4">
              <w:rPr>
                <w:rFonts w:eastAsia="Times New Roman"/>
              </w:rPr>
              <w:t>Emphasizes complication risk</w:t>
            </w:r>
          </w:p>
        </w:tc>
      </w:tr>
      <w:tr w:rsidR="00A06F0D" w:rsidRPr="00EC54B4" w14:paraId="50ADF7C6"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39D9E9" w14:textId="77777777" w:rsidR="00A06F0D" w:rsidRPr="00EC54B4" w:rsidRDefault="00EC54B4">
            <w:pPr>
              <w:rPr>
                <w:rFonts w:eastAsia="Times New Roman"/>
              </w:rPr>
            </w:pPr>
            <w:r w:rsidRPr="00EC54B4">
              <w:rPr>
                <w:rFonts w:eastAsia="Times New Roman"/>
              </w:rPr>
              <w:t>Ryan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698315" w14:textId="77777777" w:rsidR="00A06F0D" w:rsidRPr="00EC54B4" w:rsidRDefault="00EC54B4">
            <w:pPr>
              <w:rPr>
                <w:rFonts w:eastAsia="Times New Roman"/>
              </w:rPr>
            </w:pPr>
            <w:r w:rsidRPr="00EC54B4">
              <w:rPr>
                <w:rFonts w:eastAsia="Times New Roman"/>
              </w:rPr>
              <w:t>Contemporary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68263" w14:textId="77777777" w:rsidR="00A06F0D" w:rsidRPr="00EC54B4" w:rsidRDefault="00EC54B4">
            <w:pPr>
              <w:rPr>
                <w:rFonts w:eastAsia="Times New Roman"/>
              </w:rPr>
            </w:pPr>
            <w:r w:rsidRPr="00EC54B4">
              <w:rPr>
                <w:rFonts w:eastAsia="Times New Roman"/>
              </w:rPr>
              <w:t>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54EDED" w14:textId="77777777" w:rsidR="00A06F0D" w:rsidRPr="00EC54B4" w:rsidRDefault="00EC54B4">
            <w:pPr>
              <w:rPr>
                <w:rFonts w:eastAsia="Times New Roman"/>
              </w:rPr>
            </w:pPr>
            <w:r w:rsidRPr="00EC54B4">
              <w:rPr>
                <w:rFonts w:eastAsia="Times New Roman"/>
              </w:rPr>
              <w:t>Various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86E65" w14:textId="77777777" w:rsidR="00A06F0D" w:rsidRPr="00EC54B4" w:rsidRDefault="00EC54B4">
            <w:pPr>
              <w:rPr>
                <w:rFonts w:eastAsia="Times New Roman"/>
              </w:rPr>
            </w:pPr>
            <w:r w:rsidRPr="00EC54B4">
              <w:rPr>
                <w:rFonts w:eastAsia="Times New Roman"/>
              </w:rPr>
              <w:t>AI-guided and hemodynamic-guided strategies emerging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EFF59A" w14:textId="77777777" w:rsidR="00A06F0D" w:rsidRPr="00EC54B4" w:rsidRDefault="00EC54B4">
            <w:pPr>
              <w:rPr>
                <w:rFonts w:eastAsia="Times New Roman"/>
              </w:rPr>
            </w:pPr>
            <w:r w:rsidRPr="00EC54B4">
              <w:rPr>
                <w:rFonts w:eastAsia="Times New Roman"/>
              </w:rPr>
              <w:t>Future precision-guided MCS use</w:t>
            </w:r>
          </w:p>
        </w:tc>
      </w:tr>
    </w:tbl>
    <w:p w14:paraId="3D07572C" w14:textId="77777777" w:rsidR="00A06F0D" w:rsidRPr="00EC54B4" w:rsidRDefault="00A06F0D">
      <w:pPr>
        <w:pStyle w:val="NormalWeb"/>
      </w:pPr>
    </w:p>
    <w:p w14:paraId="5DA81091" w14:textId="77777777" w:rsidR="00A06F0D" w:rsidRPr="00EC54B4" w:rsidRDefault="00EC54B4">
      <w:pPr>
        <w:pStyle w:val="NormalWeb"/>
      </w:pPr>
      <w:r w:rsidRPr="00EC54B4">
        <w:t>The landmark PROTECT II randomized trial compared the Impella 2.5 device with the intra-aortic balloon pump (IABP) in patients undergoing high-risk PCI and demonstrated superior hemodynamic support with Impella, with a trend toward improved clinical outcomes at 90 days (O’Neill et al., 2012). Subsequent observational and registry studies have corroborated these findings, showing improved procedural success and reduced periprocedural complications in selected high-risk populations (Khera et al., 2015; Ferro et al., 2019). Meta-analyses have further suggested that percutaneous ventricular assist devices, particularly Impella, provide superior circulatory support compared to IABP, although no consistent mortality advantage has been demonstrated (Shi et al., 2019).</w:t>
      </w:r>
    </w:p>
    <w:p w14:paraId="139085DC" w14:textId="77777777" w:rsidR="00A06F0D" w:rsidRPr="00EC54B4" w:rsidRDefault="00EC54B4">
      <w:pPr>
        <w:pStyle w:val="NormalWeb"/>
      </w:pPr>
      <w:r w:rsidRPr="00EC54B4">
        <w:lastRenderedPageBreak/>
        <w:t>Recent systematic reviews and meta-analyses have expanded the evidence base, particularly in the context of Impella-supported PCI. Di Pietro et al. (2025) reported that Impella-supported high-risk PCI was associated with improved procedural stability and reduced hemodynamic collapse, but also highlighted an increased risk of vascular complications and bleeding. Similarly, contemporary reviews have emphasized the evolving role of MCS devices in elective high-risk PCI, with growing evidence supporting prophylactic use in patients with severely reduced ejection fraction and complex coronary lesions (Geppert et al., 2024; Groeneveld et al., 2023).</w:t>
      </w:r>
    </w:p>
    <w:p w14:paraId="2A6C1414" w14:textId="77777777" w:rsidR="00A06F0D" w:rsidRPr="00EC54B4" w:rsidRDefault="00EC54B4">
      <w:pPr>
        <w:pStyle w:val="NormalWeb"/>
      </w:pPr>
      <w:r w:rsidRPr="00EC54B4">
        <w:t>In cardiogenic shock and acute myocardial infarction, MCS devices have demonstrated significant improvements in hemodynamic parameters such as cardiac output and mean arterial pressure. However, clinical outcome data remain heterogeneous, with some studies showing improved survival and others showing neutral results (Basir et al., 2021; Jentzer et al., 2023). Contemporary reviews have emphasized that patient selection, timing of device deployment, and institutional expertise are critical determinants of outcomes (Ryan et al., 2025).</w:t>
      </w:r>
    </w:p>
    <w:p w14:paraId="0F4AFDDD" w14:textId="77777777" w:rsidR="00A06F0D" w:rsidRPr="00EC54B4" w:rsidRDefault="00A06F0D">
      <w:pPr>
        <w:pStyle w:val="NormalWeb"/>
      </w:pPr>
    </w:p>
    <w:p w14:paraId="4AF9BC69" w14:textId="77777777" w:rsidR="00A06F0D" w:rsidRPr="00EC54B4" w:rsidRDefault="00A06F0D">
      <w:pPr>
        <w:rPr>
          <w:rFonts w:eastAsia="Times New Roman"/>
        </w:rPr>
      </w:pPr>
    </w:p>
    <w:p w14:paraId="69BDD9AA"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Clinical Applications, Outcomes, and Emerging Research Perspectives</w:t>
      </w:r>
    </w:p>
    <w:p w14:paraId="33544093" w14:textId="77777777" w:rsidR="00A06F0D" w:rsidRPr="00EC54B4" w:rsidRDefault="00EC54B4">
      <w:pPr>
        <w:pStyle w:val="NormalWeb"/>
      </w:pPr>
      <w:r w:rsidRPr="00EC54B4">
        <w:t xml:space="preserve">Clinical application of MCS during high-risk PCI has expanded significantly over the past decade. Devices such as IABP, Impella, TandemHeart, and extracorporeal membrane oxygenation (ECMO) are now used in both elective and emergent settings to stabilize hemodynamics and allow complete revascularization in critically ill patients (Aggarwal et al., 2018; Wong et al., 2020). A comparative overview of the major MCS devices, including their mechanisms, indications, and limitations, is presented in Table 2. </w:t>
      </w:r>
    </w:p>
    <w:p w14:paraId="423E1DDF" w14:textId="77777777" w:rsidR="00A06F0D" w:rsidRPr="00EC54B4" w:rsidRDefault="00EC54B4">
      <w:pPr>
        <w:pStyle w:val="Heading1"/>
        <w:rPr>
          <w:rFonts w:eastAsia="Times New Roman"/>
          <w:sz w:val="24"/>
          <w:szCs w:val="24"/>
        </w:rPr>
      </w:pPr>
      <w:r w:rsidRPr="00EC54B4">
        <w:rPr>
          <w:rStyle w:val="Strong"/>
          <w:rFonts w:eastAsia="Times New Roman"/>
          <w:b w:val="0"/>
          <w:bCs w:val="0"/>
          <w:sz w:val="24"/>
          <w:szCs w:val="24"/>
        </w:rPr>
        <w:t>Table 2. Comparison of Major Mechanical Circulatory Support Devices Used in High-Risk PCI</w:t>
      </w:r>
    </w:p>
    <w:tbl>
      <w:tblPr>
        <w:tblStyle w:val="MediumGrid3"/>
        <w:tblW w:w="0" w:type="auto"/>
        <w:tblCellSpacing w:w="15" w:type="dxa"/>
        <w:tblLook w:val="0600" w:firstRow="0" w:lastRow="0" w:firstColumn="0" w:lastColumn="0" w:noHBand="1" w:noVBand="1"/>
      </w:tblPr>
      <w:tblGrid>
        <w:gridCol w:w="1647"/>
        <w:gridCol w:w="1544"/>
        <w:gridCol w:w="1315"/>
        <w:gridCol w:w="1719"/>
        <w:gridCol w:w="1490"/>
        <w:gridCol w:w="1635"/>
      </w:tblGrid>
      <w:tr w:rsidR="00A06F0D" w:rsidRPr="00EC54B4" w14:paraId="5089A3F4" w14:textId="77777777" w:rsidTr="00A06F0D">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0CBF03" w14:textId="77777777" w:rsidR="00A06F0D" w:rsidRPr="00EC54B4" w:rsidRDefault="00EC54B4">
            <w:pPr>
              <w:jc w:val="center"/>
              <w:rPr>
                <w:rFonts w:eastAsia="Times New Roman"/>
                <w:b/>
                <w:bCs/>
              </w:rPr>
            </w:pPr>
            <w:r w:rsidRPr="00EC54B4">
              <w:rPr>
                <w:rStyle w:val="Strong"/>
                <w:rFonts w:eastAsia="Times New Roman"/>
              </w:rPr>
              <w:t>Device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8CF79" w14:textId="77777777" w:rsidR="00A06F0D" w:rsidRPr="00EC54B4" w:rsidRDefault="00EC54B4">
            <w:pPr>
              <w:jc w:val="center"/>
              <w:rPr>
                <w:rFonts w:eastAsia="Times New Roman"/>
                <w:b/>
                <w:bCs/>
              </w:rPr>
            </w:pPr>
            <w:r w:rsidRPr="00EC54B4">
              <w:rPr>
                <w:rStyle w:val="Strong"/>
                <w:rFonts w:eastAsia="Times New Roman"/>
              </w:rPr>
              <w:t>Mechanism of Action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0C38AF" w14:textId="77777777" w:rsidR="00A06F0D" w:rsidRPr="00EC54B4" w:rsidRDefault="00EC54B4">
            <w:pPr>
              <w:jc w:val="center"/>
              <w:rPr>
                <w:rFonts w:eastAsia="Times New Roman"/>
                <w:b/>
                <w:bCs/>
              </w:rPr>
            </w:pPr>
            <w:r w:rsidRPr="00EC54B4">
              <w:rPr>
                <w:rStyle w:val="Strong"/>
                <w:rFonts w:eastAsia="Times New Roman"/>
              </w:rPr>
              <w:t>Typical Clinical Indications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E788B6" w14:textId="77777777" w:rsidR="00A06F0D" w:rsidRPr="00EC54B4" w:rsidRDefault="00EC54B4">
            <w:pPr>
              <w:jc w:val="center"/>
              <w:rPr>
                <w:rFonts w:eastAsia="Times New Roman"/>
                <w:b/>
                <w:bCs/>
              </w:rPr>
            </w:pPr>
            <w:r w:rsidRPr="00EC54B4">
              <w:rPr>
                <w:rStyle w:val="Strong"/>
                <w:rFonts w:eastAsia="Times New Roman"/>
              </w:rPr>
              <w:t>Hemodynamic Benefits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4809C" w14:textId="77777777" w:rsidR="00A06F0D" w:rsidRPr="00EC54B4" w:rsidRDefault="00EC54B4">
            <w:pPr>
              <w:jc w:val="center"/>
              <w:rPr>
                <w:rFonts w:eastAsia="Times New Roman"/>
                <w:b/>
                <w:bCs/>
              </w:rPr>
            </w:pPr>
            <w:r w:rsidRPr="00EC54B4">
              <w:rPr>
                <w:rStyle w:val="Strong"/>
                <w:rFonts w:eastAsia="Times New Roman"/>
              </w:rPr>
              <w:t>Key Advantages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76E05A" w14:textId="77777777" w:rsidR="00A06F0D" w:rsidRPr="00EC54B4" w:rsidRDefault="00EC54B4">
            <w:pPr>
              <w:jc w:val="center"/>
              <w:rPr>
                <w:rFonts w:eastAsia="Times New Roman"/>
                <w:b/>
                <w:bCs/>
              </w:rPr>
            </w:pPr>
            <w:r w:rsidRPr="00EC54B4">
              <w:rPr>
                <w:rStyle w:val="Strong"/>
                <w:rFonts w:eastAsia="Times New Roman"/>
              </w:rPr>
              <w:t>Major Limitations / Complications</w:t>
            </w:r>
          </w:p>
        </w:tc>
      </w:tr>
      <w:tr w:rsidR="00A06F0D" w:rsidRPr="00EC54B4" w14:paraId="72E0E8B6"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639784" w14:textId="77777777" w:rsidR="00A06F0D" w:rsidRPr="00EC54B4" w:rsidRDefault="00EC54B4">
            <w:pPr>
              <w:rPr>
                <w:rFonts w:eastAsia="Times New Roman"/>
              </w:rPr>
            </w:pPr>
            <w:r w:rsidRPr="00EC54B4">
              <w:rPr>
                <w:rStyle w:val="Strong"/>
                <w:rFonts w:eastAsia="Times New Roman"/>
              </w:rPr>
              <w:t>Intra-aortic balloon pump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B86E8E" w14:textId="77777777" w:rsidR="00A06F0D" w:rsidRPr="00EC54B4" w:rsidRDefault="00EC54B4">
            <w:pPr>
              <w:rPr>
                <w:rFonts w:eastAsia="Times New Roman"/>
              </w:rPr>
            </w:pPr>
            <w:r w:rsidRPr="00EC54B4">
              <w:rPr>
                <w:rFonts w:eastAsia="Times New Roman"/>
              </w:rPr>
              <w:t xml:space="preserve">Balloon inflation in diastole and deflation in systole to augment </w:t>
            </w:r>
            <w:r w:rsidRPr="00EC54B4">
              <w:rPr>
                <w:rFonts w:eastAsia="Times New Roman"/>
              </w:rPr>
              <w:lastRenderedPageBreak/>
              <w:t>coronary perfusion and reduce afterload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7621FE" w14:textId="77777777" w:rsidR="00A06F0D" w:rsidRPr="00EC54B4" w:rsidRDefault="00EC54B4">
            <w:pPr>
              <w:rPr>
                <w:rFonts w:eastAsia="Times New Roman"/>
              </w:rPr>
            </w:pPr>
            <w:r w:rsidRPr="00EC54B4">
              <w:rPr>
                <w:rFonts w:eastAsia="Times New Roman"/>
              </w:rPr>
              <w:lastRenderedPageBreak/>
              <w:t>High-risk PCI, cardiogenic shock, acute myocardi</w:t>
            </w:r>
            <w:r w:rsidRPr="00EC54B4">
              <w:rPr>
                <w:rFonts w:eastAsia="Times New Roman"/>
              </w:rPr>
              <w:lastRenderedPageBreak/>
              <w:t>al infarction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02D009" w14:textId="77777777" w:rsidR="00A06F0D" w:rsidRPr="00EC54B4" w:rsidRDefault="00EC54B4">
            <w:pPr>
              <w:rPr>
                <w:rFonts w:eastAsia="Times New Roman"/>
              </w:rPr>
            </w:pPr>
            <w:r w:rsidRPr="00EC54B4">
              <w:rPr>
                <w:rFonts w:eastAsia="Times New Roman"/>
              </w:rPr>
              <w:lastRenderedPageBreak/>
              <w:t xml:space="preserve">Modest increase in cardiac output; improved </w:t>
            </w:r>
            <w:r w:rsidRPr="00EC54B4">
              <w:rPr>
                <w:rFonts w:eastAsia="Times New Roman"/>
              </w:rPr>
              <w:lastRenderedPageBreak/>
              <w:t>coronary perfusion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F3BD0A" w14:textId="77777777" w:rsidR="00A06F0D" w:rsidRPr="00EC54B4" w:rsidRDefault="00EC54B4">
            <w:pPr>
              <w:rPr>
                <w:rFonts w:eastAsia="Times New Roman"/>
              </w:rPr>
            </w:pPr>
            <w:r w:rsidRPr="00EC54B4">
              <w:rPr>
                <w:rFonts w:eastAsia="Times New Roman"/>
              </w:rPr>
              <w:lastRenderedPageBreak/>
              <w:t>Widely available, easy to deploy, low cost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A80552" w14:textId="77777777" w:rsidR="00A06F0D" w:rsidRPr="00EC54B4" w:rsidRDefault="00EC54B4">
            <w:pPr>
              <w:rPr>
                <w:rFonts w:eastAsia="Times New Roman"/>
              </w:rPr>
            </w:pPr>
            <w:r w:rsidRPr="00EC54B4">
              <w:rPr>
                <w:rFonts w:eastAsia="Times New Roman"/>
              </w:rPr>
              <w:t xml:space="preserve">Limited hemodynamic support; no proven mortality benefit; vascular </w:t>
            </w:r>
            <w:r w:rsidRPr="00EC54B4">
              <w:rPr>
                <w:rFonts w:eastAsia="Times New Roman"/>
              </w:rPr>
              <w:lastRenderedPageBreak/>
              <w:t>complications</w:t>
            </w:r>
          </w:p>
        </w:tc>
      </w:tr>
      <w:tr w:rsidR="00A06F0D" w:rsidRPr="00EC54B4" w14:paraId="635233A2"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4C8AB9" w14:textId="77777777" w:rsidR="00A06F0D" w:rsidRPr="00EC54B4" w:rsidRDefault="00EC54B4">
            <w:pPr>
              <w:rPr>
                <w:rFonts w:eastAsia="Times New Roman"/>
              </w:rPr>
            </w:pPr>
            <w:r w:rsidRPr="00EC54B4">
              <w:rPr>
                <w:rStyle w:val="Strong"/>
                <w:rFonts w:eastAsia="Times New Roman"/>
              </w:rPr>
              <w:lastRenderedPageBreak/>
              <w:t>Impella (2.5, CP, 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72B7BE" w14:textId="77777777" w:rsidR="00A06F0D" w:rsidRPr="00EC54B4" w:rsidRDefault="00EC54B4">
            <w:pPr>
              <w:rPr>
                <w:rFonts w:eastAsia="Times New Roman"/>
              </w:rPr>
            </w:pPr>
            <w:r w:rsidRPr="00EC54B4">
              <w:rPr>
                <w:rFonts w:eastAsia="Times New Roman"/>
              </w:rPr>
              <w:t>Microaxial pump providing continuous forward flow from left ventricle to aorta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FFDA5F" w14:textId="77777777" w:rsidR="00A06F0D" w:rsidRPr="00EC54B4" w:rsidRDefault="00EC54B4">
            <w:pPr>
              <w:rPr>
                <w:rFonts w:eastAsia="Times New Roman"/>
              </w:rPr>
            </w:pPr>
            <w:r w:rsidRPr="00EC54B4">
              <w:rPr>
                <w:rFonts w:eastAsia="Times New Roman"/>
              </w:rPr>
              <w:t>High-risk PCI, cardiogenic shock, severe LV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69735C" w14:textId="77777777" w:rsidR="00A06F0D" w:rsidRPr="00EC54B4" w:rsidRDefault="00EC54B4">
            <w:pPr>
              <w:rPr>
                <w:rFonts w:eastAsia="Times New Roman"/>
              </w:rPr>
            </w:pPr>
            <w:r w:rsidRPr="00EC54B4">
              <w:rPr>
                <w:rFonts w:eastAsia="Times New Roman"/>
              </w:rPr>
              <w:t>Significant increase in cardiac output and mean arterial pressure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7B6C36" w14:textId="77777777" w:rsidR="00A06F0D" w:rsidRPr="00EC54B4" w:rsidRDefault="00EC54B4">
            <w:pPr>
              <w:rPr>
                <w:rFonts w:eastAsia="Times New Roman"/>
              </w:rPr>
            </w:pPr>
            <w:r w:rsidRPr="00EC54B4">
              <w:rPr>
                <w:rFonts w:eastAsia="Times New Roman"/>
              </w:rPr>
              <w:t>Superior hemodynamic support; allows complex and prolonged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F31AA7" w14:textId="77777777" w:rsidR="00A06F0D" w:rsidRPr="00EC54B4" w:rsidRDefault="00EC54B4">
            <w:pPr>
              <w:rPr>
                <w:rFonts w:eastAsia="Times New Roman"/>
              </w:rPr>
            </w:pPr>
            <w:r w:rsidRPr="00EC54B4">
              <w:rPr>
                <w:rFonts w:eastAsia="Times New Roman"/>
              </w:rPr>
              <w:t>Bleeding, vascular injury, hemolysis, high cost</w:t>
            </w:r>
          </w:p>
        </w:tc>
      </w:tr>
      <w:tr w:rsidR="00A06F0D" w:rsidRPr="00EC54B4" w14:paraId="2CECC3C1"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93CC2E" w14:textId="77777777" w:rsidR="00A06F0D" w:rsidRPr="00EC54B4" w:rsidRDefault="00EC54B4">
            <w:pPr>
              <w:rPr>
                <w:rFonts w:eastAsia="Times New Roman"/>
              </w:rPr>
            </w:pPr>
            <w:r w:rsidRPr="00EC54B4">
              <w:rPr>
                <w:rStyle w:val="Strong"/>
                <w:rFonts w:eastAsia="Times New Roman"/>
              </w:rPr>
              <w:t>TandemHeart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CE3FE" w14:textId="77777777" w:rsidR="00A06F0D" w:rsidRPr="00EC54B4" w:rsidRDefault="00EC54B4">
            <w:pPr>
              <w:rPr>
                <w:rFonts w:eastAsia="Times New Roman"/>
              </w:rPr>
            </w:pPr>
            <w:r w:rsidRPr="00EC54B4">
              <w:rPr>
                <w:rFonts w:eastAsia="Times New Roman"/>
              </w:rPr>
              <w:t>Extracorporeal centrifugal pump with left atrial to arterial bypass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935499" w14:textId="77777777" w:rsidR="00A06F0D" w:rsidRPr="00EC54B4" w:rsidRDefault="00EC54B4">
            <w:pPr>
              <w:rPr>
                <w:rFonts w:eastAsia="Times New Roman"/>
              </w:rPr>
            </w:pPr>
            <w:r w:rsidRPr="00EC54B4">
              <w:rPr>
                <w:rFonts w:eastAsia="Times New Roman"/>
              </w:rPr>
              <w:t>Cardiogenic shock, high-risk PCI with severe LV failure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215CCD" w14:textId="77777777" w:rsidR="00A06F0D" w:rsidRPr="00EC54B4" w:rsidRDefault="00EC54B4">
            <w:pPr>
              <w:rPr>
                <w:rFonts w:eastAsia="Times New Roman"/>
              </w:rPr>
            </w:pPr>
            <w:r w:rsidRPr="00EC54B4">
              <w:rPr>
                <w:rFonts w:eastAsia="Times New Roman"/>
              </w:rPr>
              <w:t>Marked increase in cardiac output and LV unloading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F221E7" w14:textId="77777777" w:rsidR="00A06F0D" w:rsidRPr="00EC54B4" w:rsidRDefault="00EC54B4">
            <w:pPr>
              <w:rPr>
                <w:rFonts w:eastAsia="Times New Roman"/>
              </w:rPr>
            </w:pPr>
            <w:r w:rsidRPr="00EC54B4">
              <w:rPr>
                <w:rFonts w:eastAsia="Times New Roman"/>
              </w:rPr>
              <w:t>Strong circulatory support; effective LV unloading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B774F" w14:textId="77777777" w:rsidR="00A06F0D" w:rsidRPr="00EC54B4" w:rsidRDefault="00EC54B4">
            <w:pPr>
              <w:rPr>
                <w:rFonts w:eastAsia="Times New Roman"/>
              </w:rPr>
            </w:pPr>
            <w:r w:rsidRPr="00EC54B4">
              <w:rPr>
                <w:rFonts w:eastAsia="Times New Roman"/>
              </w:rPr>
              <w:t>Requires transseptal puncture; complex insertion; bleeding risk</w:t>
            </w:r>
          </w:p>
        </w:tc>
      </w:tr>
      <w:tr w:rsidR="00A06F0D" w:rsidRPr="00EC54B4" w14:paraId="538B678F"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1E837B" w14:textId="77777777" w:rsidR="00A06F0D" w:rsidRPr="00EC54B4" w:rsidRDefault="00EC54B4">
            <w:pPr>
              <w:rPr>
                <w:rFonts w:eastAsia="Times New Roman"/>
              </w:rPr>
            </w:pPr>
            <w:r w:rsidRPr="00EC54B4">
              <w:rPr>
                <w:rStyle w:val="Strong"/>
                <w:rFonts w:eastAsia="Times New Roman"/>
              </w:rPr>
              <w:t>Veno-arterial extracorporeal membrane oxygenation (VA-ECMO)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A6BA49" w14:textId="77777777" w:rsidR="00A06F0D" w:rsidRPr="00EC54B4" w:rsidRDefault="00EC54B4">
            <w:pPr>
              <w:rPr>
                <w:rFonts w:eastAsia="Times New Roman"/>
              </w:rPr>
            </w:pPr>
            <w:r w:rsidRPr="00EC54B4">
              <w:rPr>
                <w:rFonts w:eastAsia="Times New Roman"/>
              </w:rPr>
              <w:t>Extracorporeal oxygenation and circulatory support via venous drainage and arterial return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4549A1" w14:textId="77777777" w:rsidR="00A06F0D" w:rsidRPr="00EC54B4" w:rsidRDefault="00EC54B4">
            <w:pPr>
              <w:rPr>
                <w:rFonts w:eastAsia="Times New Roman"/>
              </w:rPr>
            </w:pPr>
            <w:r w:rsidRPr="00EC54B4">
              <w:rPr>
                <w:rFonts w:eastAsia="Times New Roman"/>
              </w:rPr>
              <w:t>Refractory cardiogenic shock, cardiac arrest, high-risk PCI with severe instability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26676E" w14:textId="77777777" w:rsidR="00A06F0D" w:rsidRPr="00EC54B4" w:rsidRDefault="00EC54B4">
            <w:pPr>
              <w:rPr>
                <w:rFonts w:eastAsia="Times New Roman"/>
              </w:rPr>
            </w:pPr>
            <w:r w:rsidRPr="00EC54B4">
              <w:rPr>
                <w:rFonts w:eastAsia="Times New Roman"/>
              </w:rPr>
              <w:t>Provides full cardiopulmonary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5A9471" w14:textId="77777777" w:rsidR="00A06F0D" w:rsidRPr="00EC54B4" w:rsidRDefault="00EC54B4">
            <w:pPr>
              <w:rPr>
                <w:rFonts w:eastAsia="Times New Roman"/>
              </w:rPr>
            </w:pPr>
            <w:r w:rsidRPr="00EC54B4">
              <w:rPr>
                <w:rFonts w:eastAsia="Times New Roman"/>
              </w:rPr>
              <w:t>Powerful circulatory and respiratory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D96B5" w14:textId="77777777" w:rsidR="00A06F0D" w:rsidRPr="00EC54B4" w:rsidRDefault="00EC54B4">
            <w:pPr>
              <w:rPr>
                <w:rFonts w:eastAsia="Times New Roman"/>
              </w:rPr>
            </w:pPr>
            <w:r w:rsidRPr="00EC54B4">
              <w:rPr>
                <w:rFonts w:eastAsia="Times New Roman"/>
              </w:rPr>
              <w:t>Increased LV afterload, bleeding, thrombosis, infection, high resource use</w:t>
            </w:r>
          </w:p>
        </w:tc>
      </w:tr>
      <w:tr w:rsidR="00A06F0D" w:rsidRPr="00EC54B4" w14:paraId="232E5768" w14:textId="77777777" w:rsidTr="00A06F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10AF91" w14:textId="77777777" w:rsidR="00A06F0D" w:rsidRPr="00EC54B4" w:rsidRDefault="00EC54B4">
            <w:pPr>
              <w:rPr>
                <w:rFonts w:eastAsia="Times New Roman"/>
              </w:rPr>
            </w:pPr>
            <w:r w:rsidRPr="00EC54B4">
              <w:rPr>
                <w:rStyle w:val="Strong"/>
                <w:rFonts w:eastAsia="Times New Roman"/>
              </w:rPr>
              <w:lastRenderedPageBreak/>
              <w:t>Combination (ECMO + Impella or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2C269D" w14:textId="77777777" w:rsidR="00A06F0D" w:rsidRPr="00EC54B4" w:rsidRDefault="00EC54B4">
            <w:pPr>
              <w:rPr>
                <w:rFonts w:eastAsia="Times New Roman"/>
              </w:rPr>
            </w:pPr>
            <w:r w:rsidRPr="00EC54B4">
              <w:rPr>
                <w:rFonts w:eastAsia="Times New Roman"/>
              </w:rPr>
              <w:t>Hybrid support to unload LV and augment systemic perfusion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D2462D" w14:textId="77777777" w:rsidR="00A06F0D" w:rsidRPr="00EC54B4" w:rsidRDefault="00EC54B4">
            <w:pPr>
              <w:rPr>
                <w:rFonts w:eastAsia="Times New Roman"/>
              </w:rPr>
            </w:pPr>
            <w:r w:rsidRPr="00EC54B4">
              <w:rPr>
                <w:rFonts w:eastAsia="Times New Roman"/>
              </w:rPr>
              <w:t>Severe cardiogenic shock, high-risk PCI with profound instability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DB10D3" w14:textId="77777777" w:rsidR="00A06F0D" w:rsidRPr="00EC54B4" w:rsidRDefault="00EC54B4">
            <w:pPr>
              <w:rPr>
                <w:rFonts w:eastAsia="Times New Roman"/>
              </w:rPr>
            </w:pPr>
            <w:r w:rsidRPr="00EC54B4">
              <w:rPr>
                <w:rFonts w:eastAsia="Times New Roman"/>
              </w:rPr>
              <w:t>Improved hemodynamics and LV unloading compared with ECMO alone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215EBE" w14:textId="77777777" w:rsidR="00A06F0D" w:rsidRPr="00EC54B4" w:rsidRDefault="00EC54B4">
            <w:pPr>
              <w:rPr>
                <w:rFonts w:eastAsia="Times New Roman"/>
              </w:rPr>
            </w:pPr>
            <w:r w:rsidRPr="00EC54B4">
              <w:rPr>
                <w:rFonts w:eastAsia="Times New Roman"/>
              </w:rPr>
              <w:t>Enhanced hemodynamic stabilization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C950A" w14:textId="77777777" w:rsidR="00A06F0D" w:rsidRPr="00EC54B4" w:rsidRDefault="00EC54B4">
            <w:pPr>
              <w:rPr>
                <w:rFonts w:eastAsia="Times New Roman"/>
              </w:rPr>
            </w:pPr>
            <w:r w:rsidRPr="00EC54B4">
              <w:rPr>
                <w:rFonts w:eastAsia="Times New Roman"/>
              </w:rPr>
              <w:t>Increased complexity, cost, and complication risk</w:t>
            </w:r>
          </w:p>
        </w:tc>
      </w:tr>
    </w:tbl>
    <w:p w14:paraId="43DC0227" w14:textId="77777777" w:rsidR="00A06F0D" w:rsidRPr="00EC54B4" w:rsidRDefault="00A06F0D">
      <w:pPr>
        <w:pStyle w:val="NormalWeb"/>
      </w:pPr>
    </w:p>
    <w:p w14:paraId="6A4B760C" w14:textId="77777777" w:rsidR="00A06F0D" w:rsidRPr="00EC54B4" w:rsidRDefault="00EC54B4">
      <w:pPr>
        <w:pStyle w:val="NormalWeb"/>
      </w:pPr>
      <w:r w:rsidRPr="00EC54B4">
        <w:t>Prophylactic MCS deployment is increasingly considered in patients with severe left ventricular dysfunction, multivessel disease, left main coronary artery disease, or complex chronic total occlusions. Observational studies and registry data have shown that the use of MCS is associated with higher procedural success rates and improved tolerance of prolonged and complex interventions (Khera et al., 2015). Nevertheless, device-related complications such as bleeding, vascular injury, hemolysis, and limb ischemia remain significant concerns and contribute to increased healthcare costs and morbidity (Ferro et al., 2019; Di Pietro et al., 2025). Therefore, careful patient selection and procedural planning are essential to maximize benefits while minimizing risks.</w:t>
      </w:r>
    </w:p>
    <w:p w14:paraId="6BFC8911" w14:textId="77777777" w:rsidR="00A06F0D" w:rsidRPr="00EC54B4" w:rsidRDefault="00EC54B4">
      <w:pPr>
        <w:pStyle w:val="NormalWeb"/>
      </w:pPr>
      <w:r w:rsidRPr="00EC54B4">
        <w:t>The American Heart Association scientific statement on temporary MCS highlighted the importance of structured escalation and de-escalation strategies, emphasizing multidisciplinary shock teams and standardized protocols to improve outcomes (Geller et al., 2022). Contemporary reviews have also underscored the role of institutional experience, operator expertise, and timing of MCS initiation in determining clinical outcomes (Basir et al., 2021; Jentzer et al., 2023). Early deployment of MCS prior to hemodynamic collapse appears to be associated with better outcomes compared to rescue therapy after deterioration.</w:t>
      </w:r>
    </w:p>
    <w:p w14:paraId="522341CB" w14:textId="77777777" w:rsidR="00A06F0D" w:rsidRPr="00EC54B4" w:rsidRDefault="00EC54B4">
      <w:pPr>
        <w:pStyle w:val="NormalWeb"/>
      </w:pPr>
      <w:r w:rsidRPr="00EC54B4">
        <w:t>Emerging research is focused on optimizing patient selection, defining cost-effectiveness, and developing next-generation MCS devices with improved safety profiles. Recent studies have explored hemodynamic-guided strategies and artificial intelligence–assisted decision-making tools to identify patients most likely to benefit from MCS-supported PCI (Ryan et al., 2025). Additionally, future research is investigating minimally invasive devices, smaller-profile pumps, and hybrid support strategies combining multiple devices to optimize circulatory support while reducing complications.</w:t>
      </w:r>
    </w:p>
    <w:p w14:paraId="2D9FE2E3" w14:textId="77777777" w:rsidR="00A06F0D" w:rsidRPr="00EC54B4" w:rsidRDefault="00A06F0D">
      <w:pPr>
        <w:pStyle w:val="NormalWeb"/>
      </w:pPr>
    </w:p>
    <w:p w14:paraId="69CFE5A5" w14:textId="77777777" w:rsidR="00A06F0D" w:rsidRPr="00EC54B4" w:rsidRDefault="00EC54B4">
      <w:pPr>
        <w:pStyle w:val="Heading1"/>
        <w:rPr>
          <w:rFonts w:eastAsia="Times New Roman"/>
          <w:kern w:val="36"/>
          <w:sz w:val="24"/>
          <w:szCs w:val="24"/>
          <w14:ligatures w14:val="none"/>
        </w:rPr>
      </w:pPr>
      <w:r w:rsidRPr="00EC54B4">
        <w:rPr>
          <w:rStyle w:val="Strong"/>
          <w:rFonts w:eastAsia="Times New Roman"/>
          <w:b w:val="0"/>
          <w:bCs w:val="0"/>
          <w:sz w:val="24"/>
          <w:szCs w:val="24"/>
        </w:rPr>
        <w:lastRenderedPageBreak/>
        <w:t>Discussion</w:t>
      </w:r>
    </w:p>
    <w:p w14:paraId="67A9DA35"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Current Evidence and Clinical Implications of Mechanical Circulatory Support in High-Risk PCI</w:t>
      </w:r>
    </w:p>
    <w:p w14:paraId="7A251956" w14:textId="77777777" w:rsidR="00A06F0D" w:rsidRPr="00EC54B4" w:rsidRDefault="00EC54B4">
      <w:pPr>
        <w:pStyle w:val="NormalWeb"/>
      </w:pPr>
      <w:r w:rsidRPr="00EC54B4">
        <w:t>Mechanical circulatory support (MCS) has emerged as an important adjunctive strategy in high-risk percutaneous coronary intervention (PCI), particularly in patients with complex coronary anatomy, reduced left ventricular function, and hemodynamic instability. High-risk PCI, often referred to as complex high-risk indicated patients (CHIP), presents significant procedural challenges due to the potential for hemodynamic collapse during prolonged or technically demanding interventions. MCS devices such as intra-aortic balloon pumps (IABP), Impella, extracorporeal membrane oxygenation (ECMO), and TandemHeart have been developed to stabilize hemodynamics and facilitate complete revascularization (Aggarwal et al., 2018; Atti et al., 2022).</w:t>
      </w:r>
    </w:p>
    <w:p w14:paraId="7C4A02A2" w14:textId="77777777" w:rsidR="00A06F0D" w:rsidRPr="00EC54B4" w:rsidRDefault="00EC54B4">
      <w:pPr>
        <w:pStyle w:val="NormalWeb"/>
      </w:pPr>
      <w:r w:rsidRPr="00EC54B4">
        <w:t>Randomized and observational studies have evaluated the role of MCS in this setting. The PROTECT II trial remains one of the landmark randomized trials comparing Impella 2.5 with IABP in high-risk PCI, demonstrating improved hemodynamic support and trends toward better clinical outcomes with Impella, although definitive mortality benefits were not conclusively established (O’Neill et al., 2012). Subsequent registry and observational studies have reported increasing adoption of MCS in contemporary PCI practice, particularly in patients with severe left ventricular dysfunction and complex multivessel disease (Khera et al., 2015). Meta-analyses and systematic reviews have further supported the hemodynamic benefits of percutaneous MCS devices but have highlighted the persistent uncertainty regarding long-term survival outcomes (Shi et al., 2019; Di Pietro et al., 2025).</w:t>
      </w:r>
    </w:p>
    <w:p w14:paraId="3E53ED93" w14:textId="77777777" w:rsidR="00A06F0D" w:rsidRPr="00EC54B4" w:rsidRDefault="00EC54B4">
      <w:pPr>
        <w:pStyle w:val="NormalWeb"/>
      </w:pPr>
      <w:r w:rsidRPr="00EC54B4">
        <w:t>Clinical practice guidelines and expert consensus statements emphasize the importance of patient selection and procedural planning when considering MCS in high-risk PCI. The American Heart Association scientific statement underscores a structured approach to escalation and de-escalation of temporary MCS based on hemodynamic parameters and clinical trajectory (Geller et al., 2022). Similarly, contemporary reviews highlight the necessity of multidisciplinary heart team discussions to determine the appropriateness of MCS, balancing potential benefits against procedural risks and resource utilization (Groeneveld et al., 2023; Wong et al., 2020).</w:t>
      </w:r>
    </w:p>
    <w:p w14:paraId="34CDE975" w14:textId="77777777" w:rsidR="00A06F0D" w:rsidRPr="00EC54B4" w:rsidRDefault="00EC54B4">
      <w:pPr>
        <w:pStyle w:val="NormalWeb"/>
      </w:pPr>
      <w:r w:rsidRPr="00EC54B4">
        <w:t>In real-world practice, MCS is increasingly used to facilitate complex interventions such as left main PCI, chronic total occlusion interventions, and multivessel revascularization in patients with severely depressed ejection fraction. Observational data suggest that MCS-supported PCI allows operators to perform more complete revascularization, which is associated with improved functional status and reduced rehospitalization rates (Ferro et al., 2019; Khalil et al., 2024). However, complications such as vascular injury, bleeding, hemolysis, and infection remain significant concerns and require careful risk stratification and procedural expertise (Atti et al., 2022).</w:t>
      </w:r>
    </w:p>
    <w:p w14:paraId="5A820B2A" w14:textId="77777777" w:rsidR="00A06F0D" w:rsidRPr="00EC54B4" w:rsidRDefault="00EC54B4">
      <w:pPr>
        <w:pStyle w:val="NormalWeb"/>
      </w:pPr>
      <w:r w:rsidRPr="00EC54B4">
        <w:t xml:space="preserve">Furthermore, the role of MCS in cardiogenic shock has been extensively studied, with emerging evidence suggesting that early initiation of hemodynamic support may improve outcomes, particularly when integrated into standardized shock protocols (Basir et al., 2021; Jentzer et al., </w:t>
      </w:r>
      <w:r w:rsidRPr="00EC54B4">
        <w:lastRenderedPageBreak/>
        <w:t>2023). While cardiogenic shock represents a distinct clinical scenario from elective high-risk PCI, the overlap in device use and hemodynamic principles underscores the broader applicability of MCS technologies in interventional cardiology. Recent reviews continue to emphasize the evolving landscape of MCS, driven by technological advances and increasing operator familiarity (Ryan et al., 2025).</w:t>
      </w:r>
    </w:p>
    <w:p w14:paraId="49F3260B" w14:textId="77777777" w:rsidR="00A06F0D" w:rsidRPr="00EC54B4" w:rsidRDefault="00A06F0D">
      <w:pPr>
        <w:rPr>
          <w:rFonts w:eastAsia="Times New Roman"/>
        </w:rPr>
      </w:pPr>
    </w:p>
    <w:p w14:paraId="10076165" w14:textId="77777777" w:rsidR="00A06F0D" w:rsidRPr="00EC54B4" w:rsidRDefault="00EC54B4">
      <w:pPr>
        <w:pStyle w:val="Heading2"/>
        <w:rPr>
          <w:rFonts w:eastAsia="Times New Roman"/>
          <w:sz w:val="24"/>
          <w:szCs w:val="24"/>
        </w:rPr>
      </w:pPr>
      <w:r w:rsidRPr="00EC54B4">
        <w:rPr>
          <w:rStyle w:val="Strong"/>
          <w:rFonts w:eastAsia="Times New Roman"/>
          <w:b w:val="0"/>
          <w:bCs w:val="0"/>
          <w:sz w:val="24"/>
          <w:szCs w:val="24"/>
        </w:rPr>
        <w:t>Future Research Directions and Emerging Perspectives</w:t>
      </w:r>
    </w:p>
    <w:p w14:paraId="06301AAA" w14:textId="77777777" w:rsidR="00A06F0D" w:rsidRPr="00EC54B4" w:rsidRDefault="00EC54B4">
      <w:pPr>
        <w:pStyle w:val="NormalWeb"/>
      </w:pPr>
      <w:r w:rsidRPr="00EC54B4">
        <w:t>Despite growing clinical adoption, several gaps remain in the evidence base for MCS in high-risk PCI. One of the primary limitations of existing studies is the reliance on observational data and registry analyses, which are susceptible to selection bias and confounding. While randomized trials such as PROTECT II have provided important insights, larger and more contemporary randomized controlled trials are needed to evaluate modern MCS devices and procedural techniques in diverse patient populations (O’Neill et al., 2012; Di Pietro et al., 2025).</w:t>
      </w:r>
    </w:p>
    <w:p w14:paraId="7E7B9D5B" w14:textId="77777777" w:rsidR="00A06F0D" w:rsidRPr="00EC54B4" w:rsidRDefault="00EC54B4">
      <w:pPr>
        <w:pStyle w:val="NormalWeb"/>
      </w:pPr>
      <w:r w:rsidRPr="00EC54B4">
        <w:t>Future research should focus on refining patient selection criteria to identify individuals most likely to benefit from prophylactic MCS. Risk prediction models integrating clinical, angiographic, and hemodynamic variables could enhance decision-making and optimize resource utilization. Additionally, comparative effectiveness studies are needed to evaluate different MCS modalities, including Impella, ECMO, and TandemHeart, in various clinical scenarios, including elective high-risk PCI and acute cardiogenic shock (Atti et al., 2022; Jentzer et al., 2023).</w:t>
      </w:r>
    </w:p>
    <w:p w14:paraId="6750B5B3" w14:textId="77777777" w:rsidR="00A06F0D" w:rsidRPr="00EC54B4" w:rsidRDefault="00EC54B4">
      <w:pPr>
        <w:pStyle w:val="NormalWeb"/>
      </w:pPr>
      <w:r w:rsidRPr="00EC54B4">
        <w:t>Technological innovations are likely to play a crucial role in shaping the future of MCS. Advances in device design aim to reduce vascular complications, improve ease of insertion, and enhance hemodynamic performance. Miniaturized and fully percutaneous devices may expand the applicability of MCS to a broader patient population and reduce procedural complexity (Aggarwal et al., 2018). Moreover, integration of hemodynamic monitoring and artificial intelligence-driven decision support systems may enable real-time optimization of device settings and improve clinical outcomes.</w:t>
      </w:r>
    </w:p>
    <w:p w14:paraId="1E5787CB" w14:textId="77777777" w:rsidR="00A06F0D" w:rsidRPr="00EC54B4" w:rsidRDefault="00EC54B4">
      <w:pPr>
        <w:pStyle w:val="NormalWeb"/>
      </w:pPr>
      <w:r w:rsidRPr="00EC54B4">
        <w:t>Cost-effectiveness is another critical area for future investigation. MCS devices are associated with substantial costs, and their routine use in high-risk PCI may have significant implications for healthcare systems. Economic evaluations comparing MCS-supported PCI with alternative revascularization strategies, such as coronary artery bypass grafting or medical therapy, are essential to inform policy and clinical guidelines. Additionally, studies assessing long-term outcomes, quality of life, and functional status will provide a more comprehensive assessment of the value of MCS in this population (Groeneveld et al., 2023; Wong et al., 2020).</w:t>
      </w:r>
    </w:p>
    <w:p w14:paraId="1F014293" w14:textId="77777777" w:rsidR="00A06F0D" w:rsidRPr="00EC54B4" w:rsidRDefault="00EC54B4">
      <w:pPr>
        <w:pStyle w:val="NormalWeb"/>
      </w:pPr>
      <w:r w:rsidRPr="00EC54B4">
        <w:t>Finally, standardized protocols and training programs are needed to ensure safe and effective implementation of MCS in interventional practice. Multidisciplinary shock teams and high-risk PCI programs have been associated with improved outcomes and may serve as models for future care delivery. Ongoing research should explore the impact of structured MCS programs on procedural success, complication rates, and long-term outcomes (Basir et al., 2021; Ryan et al., 2025).</w:t>
      </w:r>
    </w:p>
    <w:p w14:paraId="0E63D45A" w14:textId="77777777" w:rsidR="00A06F0D" w:rsidRPr="00EC54B4" w:rsidRDefault="00A06F0D">
      <w:pPr>
        <w:pStyle w:val="NormalWeb"/>
      </w:pPr>
    </w:p>
    <w:p w14:paraId="26D63718" w14:textId="77777777" w:rsidR="00A06F0D" w:rsidRPr="00EC54B4" w:rsidRDefault="00EC54B4">
      <w:pPr>
        <w:pStyle w:val="NormalWeb"/>
      </w:pPr>
      <w:r w:rsidRPr="00EC54B4">
        <w:t>References</w:t>
      </w:r>
    </w:p>
    <w:p w14:paraId="030C689E" w14:textId="77777777" w:rsidR="00A06F0D" w:rsidRPr="00EC54B4" w:rsidRDefault="00EC54B4">
      <w:pPr>
        <w:pStyle w:val="NormalWeb"/>
        <w:numPr>
          <w:ilvl w:val="0"/>
          <w:numId w:val="1"/>
        </w:numPr>
      </w:pPr>
      <w:r w:rsidRPr="00EC54B4">
        <w:t xml:space="preserve">Aggarwal, B., Ellis, S. G., &amp; Lincoff, A. M. (2018). Mechanical circulatory support in high-risk percutaneous coronary intervention. </w:t>
      </w:r>
      <w:r w:rsidRPr="00EC54B4">
        <w:rPr>
          <w:rStyle w:val="Emphasis"/>
        </w:rPr>
        <w:t>Circulation Research, 123</w:t>
      </w:r>
      <w:r w:rsidRPr="00EC54B4">
        <w:t>(1), 128–146.</w:t>
      </w:r>
    </w:p>
    <w:p w14:paraId="0E162129" w14:textId="77777777" w:rsidR="00A06F0D" w:rsidRPr="00EC54B4" w:rsidRDefault="00EC54B4">
      <w:pPr>
        <w:pStyle w:val="NormalWeb"/>
        <w:numPr>
          <w:ilvl w:val="0"/>
          <w:numId w:val="1"/>
        </w:numPr>
      </w:pPr>
      <w:r w:rsidRPr="00EC54B4">
        <w:t xml:space="preserve">Atti, V., Patel, N. J., Balla, S., et al. (2022). A comprehensive review of mechanical circulatory support devices in cardiogenic shock and high-risk PCI. </w:t>
      </w:r>
      <w:r w:rsidRPr="00EC54B4">
        <w:rPr>
          <w:rStyle w:val="Emphasis"/>
        </w:rPr>
        <w:t>Journal of Clinical Medicine, 11</w:t>
      </w:r>
      <w:r w:rsidRPr="00EC54B4">
        <w:t>(18), 5315.</w:t>
      </w:r>
    </w:p>
    <w:p w14:paraId="0202D860" w14:textId="77777777" w:rsidR="00A06F0D" w:rsidRPr="00EC54B4" w:rsidRDefault="00EC54B4">
      <w:pPr>
        <w:pStyle w:val="NormalWeb"/>
        <w:numPr>
          <w:ilvl w:val="0"/>
          <w:numId w:val="1"/>
        </w:numPr>
      </w:pPr>
      <w:r w:rsidRPr="00EC54B4">
        <w:t xml:space="preserve">Geppert, A., et al. (2024). The use of mechanical circulatory support in elective high-risk percutaneous coronary intervention. </w:t>
      </w:r>
      <w:r w:rsidRPr="00EC54B4">
        <w:rPr>
          <w:rStyle w:val="Emphasis"/>
        </w:rPr>
        <w:t>European Heart Journal Open, 4</w:t>
      </w:r>
      <w:r w:rsidRPr="00EC54B4">
        <w:t>(2), oeae007.</w:t>
      </w:r>
    </w:p>
    <w:p w14:paraId="42338104" w14:textId="77777777" w:rsidR="00A06F0D" w:rsidRPr="00EC54B4" w:rsidRDefault="00EC54B4">
      <w:pPr>
        <w:pStyle w:val="NormalWeb"/>
        <w:numPr>
          <w:ilvl w:val="0"/>
          <w:numId w:val="1"/>
        </w:numPr>
      </w:pPr>
      <w:r w:rsidRPr="00EC54B4">
        <w:t xml:space="preserve">O’Neill, W. W., Kleiman, N. S., Moses, J., et al. (2012). A prospective randomized clinical trial of hemodynamic support with Impella 2.5 versus intra-aortic balloon pump in high-risk percutaneous coronary intervention (PROTECT II). </w:t>
      </w:r>
      <w:r w:rsidRPr="00EC54B4">
        <w:rPr>
          <w:rStyle w:val="Emphasis"/>
        </w:rPr>
        <w:t>Circulation, 126</w:t>
      </w:r>
      <w:r w:rsidRPr="00EC54B4">
        <w:t>(14), 1717–1727.</w:t>
      </w:r>
    </w:p>
    <w:p w14:paraId="4CE93B64" w14:textId="77777777" w:rsidR="00A06F0D" w:rsidRPr="00EC54B4" w:rsidRDefault="00EC54B4">
      <w:pPr>
        <w:pStyle w:val="NormalWeb"/>
        <w:numPr>
          <w:ilvl w:val="0"/>
          <w:numId w:val="1"/>
        </w:numPr>
      </w:pPr>
      <w:r w:rsidRPr="00EC54B4">
        <w:t xml:space="preserve">Basir, M. B., Schreiber, T. L., Grines, C. L., et al. (2021). Mechanical circulatory support in acute myocardial infarction and cardiogenic shock. </w:t>
      </w:r>
      <w:r w:rsidRPr="00EC54B4">
        <w:rPr>
          <w:rStyle w:val="Emphasis"/>
        </w:rPr>
        <w:t>Interventional Cardiology Review, 16</w:t>
      </w:r>
      <w:r w:rsidRPr="00EC54B4">
        <w:t>, e08.</w:t>
      </w:r>
    </w:p>
    <w:p w14:paraId="2A983A01" w14:textId="77777777" w:rsidR="00A06F0D" w:rsidRPr="00EC54B4" w:rsidRDefault="00EC54B4">
      <w:pPr>
        <w:pStyle w:val="NormalWeb"/>
        <w:numPr>
          <w:ilvl w:val="0"/>
          <w:numId w:val="1"/>
        </w:numPr>
      </w:pPr>
      <w:r w:rsidRPr="00EC54B4">
        <w:t xml:space="preserve">Ryan, M., et al. (2025). Mechanical circulatory support in cardiogenic shock: Contemporary evidence and clinical practice. </w:t>
      </w:r>
      <w:r w:rsidRPr="00EC54B4">
        <w:rPr>
          <w:rStyle w:val="Emphasis"/>
        </w:rPr>
        <w:t>Open Heart, 12</w:t>
      </w:r>
      <w:r w:rsidRPr="00EC54B4">
        <w:t>(1), e002863.</w:t>
      </w:r>
    </w:p>
    <w:p w14:paraId="2CF60790" w14:textId="77777777" w:rsidR="00A06F0D" w:rsidRPr="00EC54B4" w:rsidRDefault="00EC54B4">
      <w:pPr>
        <w:pStyle w:val="NormalWeb"/>
        <w:numPr>
          <w:ilvl w:val="0"/>
          <w:numId w:val="1"/>
        </w:numPr>
      </w:pPr>
      <w:r w:rsidRPr="00EC54B4">
        <w:t xml:space="preserve">Jentzer, J. C., et al. (2023). Mechanical circulatory support devices in acute myocardial infarction–cardiogenic shock: Evidence and challenges. </w:t>
      </w:r>
      <w:r w:rsidRPr="00EC54B4">
        <w:rPr>
          <w:rStyle w:val="Emphasis"/>
        </w:rPr>
        <w:t>JACC: Basic to Translational Science, 8</w:t>
      </w:r>
      <w:r w:rsidRPr="00EC54B4">
        <w:t>(3), 326–340.</w:t>
      </w:r>
    </w:p>
    <w:p w14:paraId="758CF8EC" w14:textId="77777777" w:rsidR="00A06F0D" w:rsidRPr="00EC54B4" w:rsidRDefault="00EC54B4">
      <w:pPr>
        <w:pStyle w:val="NormalWeb"/>
        <w:numPr>
          <w:ilvl w:val="0"/>
          <w:numId w:val="1"/>
        </w:numPr>
      </w:pPr>
      <w:r w:rsidRPr="00EC54B4">
        <w:t xml:space="preserve">Di Pietro, G., et al. (2025). Systematic review and meta-analysis of outcomes in high-risk patients undergoing Impella-supported PCI. </w:t>
      </w:r>
      <w:r w:rsidRPr="00EC54B4">
        <w:rPr>
          <w:rStyle w:val="Emphasis"/>
        </w:rPr>
        <w:t>American Journal of Cardiology, 204</w:t>
      </w:r>
      <w:r w:rsidRPr="00EC54B4">
        <w:t>, 1–10.</w:t>
      </w:r>
    </w:p>
    <w:p w14:paraId="3C367F3A" w14:textId="77777777" w:rsidR="00A06F0D" w:rsidRPr="00EC54B4" w:rsidRDefault="00EC54B4">
      <w:pPr>
        <w:pStyle w:val="NormalWeb"/>
        <w:numPr>
          <w:ilvl w:val="0"/>
          <w:numId w:val="1"/>
        </w:numPr>
      </w:pPr>
      <w:r w:rsidRPr="00EC54B4">
        <w:t xml:space="preserve">Groeneveld, N. T. A., et al. (2023). Mechanical support strategies for high-risk procedures in the catheterization laboratory. </w:t>
      </w:r>
      <w:r w:rsidRPr="00EC54B4">
        <w:rPr>
          <w:rStyle w:val="Emphasis"/>
        </w:rPr>
        <w:t>Journal of Clinical Medicine, 12</w:t>
      </w:r>
      <w:r w:rsidRPr="00EC54B4">
        <w:t>(24), 7755.</w:t>
      </w:r>
    </w:p>
    <w:p w14:paraId="11BBB9E7" w14:textId="77777777" w:rsidR="00A06F0D" w:rsidRPr="00EC54B4" w:rsidRDefault="00EC54B4">
      <w:pPr>
        <w:pStyle w:val="NormalWeb"/>
        <w:numPr>
          <w:ilvl w:val="0"/>
          <w:numId w:val="1"/>
        </w:numPr>
      </w:pPr>
      <w:r w:rsidRPr="00EC54B4">
        <w:t xml:space="preserve">Wong, A. S. K., et al. (2020). Short-term mechanical circulatory support devices: Indications, outcomes, and controversies. </w:t>
      </w:r>
      <w:r w:rsidRPr="00EC54B4">
        <w:rPr>
          <w:rStyle w:val="Emphasis"/>
        </w:rPr>
        <w:t>Annals of Translational Medicine, 8</w:t>
      </w:r>
      <w:r w:rsidRPr="00EC54B4">
        <w:t>(13), 829.</w:t>
      </w:r>
    </w:p>
    <w:p w14:paraId="69D7809F" w14:textId="77777777" w:rsidR="00A06F0D" w:rsidRPr="00EC54B4" w:rsidRDefault="00EC54B4">
      <w:pPr>
        <w:pStyle w:val="NormalWeb"/>
        <w:numPr>
          <w:ilvl w:val="0"/>
          <w:numId w:val="1"/>
        </w:numPr>
      </w:pPr>
      <w:r w:rsidRPr="00EC54B4">
        <w:t xml:space="preserve">Geller, B. J., et al. (2022). Escalating and de-escalating temporary mechanical circulatory support: A scientific statement from the American Heart Association. </w:t>
      </w:r>
      <w:r w:rsidRPr="00EC54B4">
        <w:rPr>
          <w:rStyle w:val="Emphasis"/>
        </w:rPr>
        <w:t>Circulation, 145</w:t>
      </w:r>
      <w:r w:rsidRPr="00EC54B4">
        <w:t>(20), e850–e870.</w:t>
      </w:r>
    </w:p>
    <w:p w14:paraId="0B6E4C53" w14:textId="77777777" w:rsidR="00A06F0D" w:rsidRPr="00EC54B4" w:rsidRDefault="00EC54B4">
      <w:pPr>
        <w:pStyle w:val="NormalWeb"/>
        <w:numPr>
          <w:ilvl w:val="0"/>
          <w:numId w:val="1"/>
        </w:numPr>
      </w:pPr>
      <w:r w:rsidRPr="00EC54B4">
        <w:t xml:space="preserve">Khera, R., et al. (2015). Use of mechanical circulatory support in percutaneous coronary intervention: Insights from the National Cardiovascular Data Registry. </w:t>
      </w:r>
      <w:r w:rsidRPr="00EC54B4">
        <w:rPr>
          <w:rStyle w:val="Emphasis"/>
        </w:rPr>
        <w:t>American Journal of Cardiology, 116</w:t>
      </w:r>
      <w:r w:rsidRPr="00EC54B4">
        <w:t>(10), 1505–1511.</w:t>
      </w:r>
    </w:p>
    <w:p w14:paraId="2172C999" w14:textId="77777777" w:rsidR="00A06F0D" w:rsidRPr="00EC54B4" w:rsidRDefault="00EC54B4">
      <w:pPr>
        <w:pStyle w:val="NormalWeb"/>
        <w:numPr>
          <w:ilvl w:val="0"/>
          <w:numId w:val="1"/>
        </w:numPr>
      </w:pPr>
      <w:r w:rsidRPr="00EC54B4">
        <w:t xml:space="preserve">Shi, W., et al. (2019). Percutaneous mechanical circulatory support devices in high-risk percutaneous coronary intervention: A meta-analysis. </w:t>
      </w:r>
      <w:r w:rsidRPr="00EC54B4">
        <w:rPr>
          <w:rStyle w:val="Emphasis"/>
        </w:rPr>
        <w:t>Medicine, 98</w:t>
      </w:r>
      <w:r w:rsidRPr="00EC54B4">
        <w:t>(37), e17134.</w:t>
      </w:r>
    </w:p>
    <w:p w14:paraId="4BACA3F6" w14:textId="77777777" w:rsidR="00A06F0D" w:rsidRPr="00EC54B4" w:rsidRDefault="00EC54B4">
      <w:pPr>
        <w:pStyle w:val="NormalWeb"/>
        <w:numPr>
          <w:ilvl w:val="0"/>
          <w:numId w:val="1"/>
        </w:numPr>
      </w:pPr>
      <w:r w:rsidRPr="00EC54B4">
        <w:t xml:space="preserve">Ferro, E. G., et al. (2019). Mechanical circulatory support for complex high-risk percutaneous coronary intervention. </w:t>
      </w:r>
      <w:r w:rsidRPr="00EC54B4">
        <w:rPr>
          <w:rStyle w:val="Emphasis"/>
        </w:rPr>
        <w:t>EuroIntervention, 15</w:t>
      </w:r>
      <w:r w:rsidRPr="00EC54B4">
        <w:t>(12), e1032–e1040.</w:t>
      </w:r>
    </w:p>
    <w:p w14:paraId="391AE2BE" w14:textId="79E202D9" w:rsidR="00A06F0D" w:rsidRDefault="00EC54B4">
      <w:pPr>
        <w:pStyle w:val="NormalWeb"/>
        <w:numPr>
          <w:ilvl w:val="0"/>
          <w:numId w:val="1"/>
        </w:numPr>
      </w:pPr>
      <w:r w:rsidRPr="00EC54B4">
        <w:t xml:space="preserve">Khalil, M., Mohammed, H. A., Cilia, L., Alaswad, K., &amp; Megaly, M. (2024). Mechanical circulatory support use in cardiogenic shock and complex PCI. </w:t>
      </w:r>
      <w:r w:rsidRPr="00EC54B4">
        <w:rPr>
          <w:rStyle w:val="Emphasis"/>
        </w:rPr>
        <w:t>Cardiac Interventions Today, 18</w:t>
      </w:r>
      <w:r w:rsidRPr="00EC54B4">
        <w:t>(1), 24–31.</w:t>
      </w:r>
    </w:p>
    <w:p w14:paraId="6E94482C" w14:textId="0A76F125" w:rsidR="00AF15EC" w:rsidRDefault="003D364F" w:rsidP="003D364F">
      <w:pPr>
        <w:pStyle w:val="NormalWeb"/>
        <w:numPr>
          <w:ilvl w:val="0"/>
          <w:numId w:val="1"/>
        </w:numPr>
      </w:pPr>
      <w:r w:rsidRPr="003D364F">
        <w:rPr>
          <w:highlight w:val="yellow"/>
        </w:rPr>
        <w:t>K</w:t>
      </w:r>
      <w:r w:rsidRPr="003D364F">
        <w:t xml:space="preserve">han, S. Q., &amp; </w:t>
      </w:r>
      <w:proofErr w:type="spellStart"/>
      <w:r w:rsidRPr="003D364F">
        <w:t>Ludman</w:t>
      </w:r>
      <w:proofErr w:type="spellEnd"/>
      <w:r w:rsidRPr="003D364F">
        <w:t>, P. F. (2022). Percutaneous coronary intervention. Medicine, 50(7), 437-444.</w:t>
      </w:r>
    </w:p>
    <w:p w14:paraId="25AC40C8" w14:textId="77777777" w:rsidR="003D364F" w:rsidRPr="003D364F" w:rsidRDefault="003D364F" w:rsidP="003D364F">
      <w:pPr>
        <w:pStyle w:val="ListParagraph"/>
        <w:numPr>
          <w:ilvl w:val="0"/>
          <w:numId w:val="1"/>
        </w:numPr>
        <w:rPr>
          <w:rFonts w:ascii="Times New Roman" w:hAnsi="Times New Roman" w:cs="Times New Roman"/>
          <w:kern w:val="0"/>
          <w14:ligatures w14:val="none"/>
        </w:rPr>
      </w:pPr>
      <w:r w:rsidRPr="003D364F">
        <w:rPr>
          <w:rFonts w:ascii="Times New Roman" w:hAnsi="Times New Roman" w:cs="Times New Roman"/>
          <w:kern w:val="0"/>
          <w14:ligatures w14:val="none"/>
        </w:rPr>
        <w:lastRenderedPageBreak/>
        <w:t xml:space="preserve">Chandrasekar B. (2020). Mechanical circulatory support with </w:t>
      </w:r>
      <w:proofErr w:type="spellStart"/>
      <w:r w:rsidRPr="003D364F">
        <w:rPr>
          <w:rFonts w:ascii="Times New Roman" w:hAnsi="Times New Roman" w:cs="Times New Roman"/>
          <w:kern w:val="0"/>
          <w14:ligatures w14:val="none"/>
        </w:rPr>
        <w:t>Impella</w:t>
      </w:r>
      <w:proofErr w:type="spellEnd"/>
      <w:r w:rsidRPr="003D364F">
        <w:rPr>
          <w:rFonts w:ascii="Times New Roman" w:hAnsi="Times New Roman" w:cs="Times New Roman"/>
          <w:kern w:val="0"/>
          <w14:ligatures w14:val="none"/>
        </w:rPr>
        <w:t xml:space="preserve"> in percutaneous coronary intervention: current status. American heart journal </w:t>
      </w:r>
      <w:proofErr w:type="gramStart"/>
      <w:r w:rsidRPr="003D364F">
        <w:rPr>
          <w:rFonts w:ascii="Times New Roman" w:hAnsi="Times New Roman" w:cs="Times New Roman"/>
          <w:kern w:val="0"/>
          <w14:ligatures w14:val="none"/>
        </w:rPr>
        <w:t>plus :</w:t>
      </w:r>
      <w:proofErr w:type="gramEnd"/>
      <w:r w:rsidRPr="003D364F">
        <w:rPr>
          <w:rFonts w:ascii="Times New Roman" w:hAnsi="Times New Roman" w:cs="Times New Roman"/>
          <w:kern w:val="0"/>
          <w14:ligatures w14:val="none"/>
        </w:rPr>
        <w:t xml:space="preserve"> cardiology research and practice, 1, 100002. https://doi.org/10.1016/j.ahjo.2020.100002</w:t>
      </w:r>
    </w:p>
    <w:p w14:paraId="100DE0E6" w14:textId="4AE49148" w:rsidR="003D364F" w:rsidRDefault="00437279" w:rsidP="00437279">
      <w:pPr>
        <w:pStyle w:val="NormalWeb"/>
        <w:numPr>
          <w:ilvl w:val="0"/>
          <w:numId w:val="1"/>
        </w:numPr>
      </w:pPr>
      <w:r w:rsidRPr="00437279">
        <w:t xml:space="preserve">Di </w:t>
      </w:r>
      <w:proofErr w:type="spellStart"/>
      <w:r w:rsidRPr="00437279">
        <w:t>Muro</w:t>
      </w:r>
      <w:proofErr w:type="spellEnd"/>
      <w:r w:rsidRPr="00437279">
        <w:t xml:space="preserve">, F. M., </w:t>
      </w:r>
      <w:proofErr w:type="spellStart"/>
      <w:r w:rsidRPr="00437279">
        <w:t>Bellino</w:t>
      </w:r>
      <w:proofErr w:type="spellEnd"/>
      <w:r w:rsidRPr="00437279">
        <w:t xml:space="preserve">, M., Esposito, L., </w:t>
      </w:r>
      <w:proofErr w:type="spellStart"/>
      <w:r w:rsidRPr="00437279">
        <w:t>Attisano</w:t>
      </w:r>
      <w:proofErr w:type="spellEnd"/>
      <w:r w:rsidRPr="00437279">
        <w:t xml:space="preserve">, T., </w:t>
      </w:r>
      <w:proofErr w:type="spellStart"/>
      <w:r w:rsidRPr="00437279">
        <w:t>Meucci</w:t>
      </w:r>
      <w:proofErr w:type="spellEnd"/>
      <w:r w:rsidRPr="00437279">
        <w:t xml:space="preserve">, F., </w:t>
      </w:r>
      <w:proofErr w:type="spellStart"/>
      <w:r w:rsidRPr="00437279">
        <w:t>Mattesini</w:t>
      </w:r>
      <w:proofErr w:type="spellEnd"/>
      <w:r w:rsidRPr="00437279">
        <w:t xml:space="preserve">, A., Galasso, G., </w:t>
      </w:r>
      <w:proofErr w:type="spellStart"/>
      <w:r w:rsidRPr="00437279">
        <w:t>Vecchione</w:t>
      </w:r>
      <w:proofErr w:type="spellEnd"/>
      <w:r w:rsidRPr="00437279">
        <w:t>, C., &amp; Di Mario, C. (2024). Role of Mechanical Circulatory Support in Complex High-Risk and Indicated Percutaneous Coronary Intervention: Current Indications, Device Options, and Potential Complications. Journal of Clinical Medicine, 13(16), 4931. https://doi.org/10.3390/jcm13164931</w:t>
      </w:r>
    </w:p>
    <w:p w14:paraId="3DA6598A" w14:textId="389189B7" w:rsidR="008103CD" w:rsidRDefault="008103CD" w:rsidP="008103CD">
      <w:pPr>
        <w:pStyle w:val="NormalWeb"/>
        <w:numPr>
          <w:ilvl w:val="0"/>
          <w:numId w:val="1"/>
        </w:numPr>
      </w:pPr>
      <w:proofErr w:type="spellStart"/>
      <w:r w:rsidRPr="008103CD">
        <w:t>Pietrasik</w:t>
      </w:r>
      <w:proofErr w:type="spellEnd"/>
      <w:r w:rsidRPr="008103CD">
        <w:t xml:space="preserve">, A., </w:t>
      </w:r>
      <w:proofErr w:type="spellStart"/>
      <w:r w:rsidRPr="008103CD">
        <w:t>Gasecka</w:t>
      </w:r>
      <w:proofErr w:type="spellEnd"/>
      <w:r w:rsidRPr="008103CD">
        <w:t xml:space="preserve">, A., </w:t>
      </w:r>
      <w:proofErr w:type="spellStart"/>
      <w:r w:rsidRPr="008103CD">
        <w:t>Grygier</w:t>
      </w:r>
      <w:proofErr w:type="spellEnd"/>
      <w:r w:rsidRPr="008103CD">
        <w:t xml:space="preserve">, M., Pawlowski, T., Sacha, J., &amp; </w:t>
      </w:r>
      <w:proofErr w:type="spellStart"/>
      <w:r w:rsidRPr="008103CD">
        <w:t>Kochman</w:t>
      </w:r>
      <w:proofErr w:type="spellEnd"/>
      <w:r w:rsidRPr="008103CD">
        <w:t>, J. (2022). Mechanical circulatory support for high-risk percutaneous coronary interventions and cardiogenic shock: Rationale and design of the multicenter, investigator-initiated IMPELLA-PL registry. Cardiology Journal, 29(5), 866-871.</w:t>
      </w:r>
    </w:p>
    <w:p w14:paraId="425D13B6" w14:textId="2DC71F67" w:rsidR="00135AE4" w:rsidRDefault="00135AE4" w:rsidP="00030038">
      <w:pPr>
        <w:pStyle w:val="ListParagraph"/>
        <w:numPr>
          <w:ilvl w:val="0"/>
          <w:numId w:val="1"/>
        </w:numPr>
        <w:rPr>
          <w:rFonts w:ascii="Times New Roman" w:hAnsi="Times New Roman" w:cs="Times New Roman"/>
          <w:kern w:val="0"/>
          <w14:ligatures w14:val="none"/>
        </w:rPr>
      </w:pPr>
      <w:proofErr w:type="spellStart"/>
      <w:r w:rsidRPr="00135AE4">
        <w:rPr>
          <w:rFonts w:ascii="Times New Roman" w:hAnsi="Times New Roman" w:cs="Times New Roman"/>
          <w:kern w:val="0"/>
          <w14:ligatures w14:val="none"/>
        </w:rPr>
        <w:t>Kanyal</w:t>
      </w:r>
      <w:proofErr w:type="spellEnd"/>
      <w:r w:rsidRPr="00135AE4">
        <w:rPr>
          <w:rFonts w:ascii="Times New Roman" w:hAnsi="Times New Roman" w:cs="Times New Roman"/>
          <w:kern w:val="0"/>
          <w14:ligatures w14:val="none"/>
        </w:rPr>
        <w:t>, R., &amp; Byrne, J. (2021). The role of mechanical support devices during percutaneous coronary intervention. JRSM cardiovascular disease, 10, 20480040211014064. https://doi.org/10.1177/20480040211014064</w:t>
      </w:r>
    </w:p>
    <w:p w14:paraId="0FDDCB19" w14:textId="77777777" w:rsidR="000D1E21" w:rsidRPr="000D1E21" w:rsidRDefault="000D1E21" w:rsidP="000D1E21">
      <w:pPr>
        <w:pStyle w:val="ListParagraph"/>
        <w:numPr>
          <w:ilvl w:val="0"/>
          <w:numId w:val="1"/>
        </w:numPr>
        <w:rPr>
          <w:rFonts w:ascii="Times New Roman" w:hAnsi="Times New Roman" w:cs="Times New Roman"/>
          <w:kern w:val="0"/>
          <w14:ligatures w14:val="none"/>
        </w:rPr>
      </w:pPr>
      <w:r w:rsidRPr="000D1E21">
        <w:rPr>
          <w:rFonts w:ascii="Times New Roman" w:hAnsi="Times New Roman" w:cs="Times New Roman"/>
          <w:kern w:val="0"/>
          <w14:ligatures w14:val="none"/>
        </w:rPr>
        <w:t xml:space="preserve">Najah R. </w:t>
      </w:r>
      <w:proofErr w:type="spellStart"/>
      <w:r w:rsidRPr="000D1E21">
        <w:rPr>
          <w:rFonts w:ascii="Times New Roman" w:hAnsi="Times New Roman" w:cs="Times New Roman"/>
          <w:kern w:val="0"/>
          <w14:ligatures w14:val="none"/>
        </w:rPr>
        <w:t>Hadi</w:t>
      </w:r>
      <w:proofErr w:type="spellEnd"/>
      <w:r w:rsidRPr="000D1E21">
        <w:rPr>
          <w:rFonts w:ascii="Times New Roman" w:hAnsi="Times New Roman" w:cs="Times New Roman"/>
          <w:kern w:val="0"/>
          <w14:ligatures w14:val="none"/>
        </w:rPr>
        <w:t xml:space="preserve">, </w:t>
      </w:r>
      <w:proofErr w:type="spellStart"/>
      <w:r w:rsidRPr="000D1E21">
        <w:rPr>
          <w:rFonts w:ascii="Times New Roman" w:hAnsi="Times New Roman" w:cs="Times New Roman"/>
          <w:kern w:val="0"/>
          <w14:ligatures w14:val="none"/>
        </w:rPr>
        <w:t>Bashaer</w:t>
      </w:r>
      <w:proofErr w:type="spellEnd"/>
      <w:r w:rsidRPr="000D1E21">
        <w:rPr>
          <w:rFonts w:ascii="Times New Roman" w:hAnsi="Times New Roman" w:cs="Times New Roman"/>
          <w:kern w:val="0"/>
          <w14:ligatures w14:val="none"/>
        </w:rPr>
        <w:t xml:space="preserve"> M. Muhammad-</w:t>
      </w:r>
      <w:proofErr w:type="spellStart"/>
      <w:r w:rsidRPr="000D1E21">
        <w:rPr>
          <w:rFonts w:ascii="Times New Roman" w:hAnsi="Times New Roman" w:cs="Times New Roman"/>
          <w:kern w:val="0"/>
          <w14:ligatures w14:val="none"/>
        </w:rPr>
        <w:t>Baqir</w:t>
      </w:r>
      <w:proofErr w:type="spellEnd"/>
      <w:r w:rsidRPr="000D1E21">
        <w:rPr>
          <w:rFonts w:ascii="Times New Roman" w:hAnsi="Times New Roman" w:cs="Times New Roman"/>
          <w:kern w:val="0"/>
          <w14:ligatures w14:val="none"/>
        </w:rPr>
        <w:t>, &amp; Mustafa H. Ahmed. (2021). Percutaneous Coronary Intervention: Historical Development. Inflammatory Response to Percutaneous Coronary Intervention, 2–12. https://doi.org/10.9734/bpi/mono/978-93-5547-374-5/CH1</w:t>
      </w:r>
    </w:p>
    <w:p w14:paraId="4AC52EDC" w14:textId="77777777" w:rsidR="000D1E21" w:rsidRPr="000D1E21" w:rsidRDefault="000D1E21" w:rsidP="000D1E21">
      <w:pPr>
        <w:pStyle w:val="ListParagraph"/>
        <w:numPr>
          <w:ilvl w:val="0"/>
          <w:numId w:val="1"/>
        </w:numPr>
        <w:rPr>
          <w:rFonts w:ascii="Times New Roman" w:hAnsi="Times New Roman" w:cs="Times New Roman"/>
          <w:kern w:val="0"/>
          <w14:ligatures w14:val="none"/>
        </w:rPr>
      </w:pPr>
      <w:r w:rsidRPr="000D1E21">
        <w:rPr>
          <w:rFonts w:ascii="Times New Roman" w:hAnsi="Times New Roman" w:cs="Times New Roman"/>
          <w:kern w:val="0"/>
          <w14:ligatures w14:val="none"/>
        </w:rPr>
        <w:t xml:space="preserve">El </w:t>
      </w:r>
      <w:proofErr w:type="spellStart"/>
      <w:r w:rsidRPr="000D1E21">
        <w:rPr>
          <w:rFonts w:ascii="Times New Roman" w:hAnsi="Times New Roman" w:cs="Times New Roman"/>
          <w:kern w:val="0"/>
          <w14:ligatures w14:val="none"/>
        </w:rPr>
        <w:t>Saiyed</w:t>
      </w:r>
      <w:proofErr w:type="spellEnd"/>
      <w:r w:rsidRPr="000D1E21">
        <w:rPr>
          <w:rFonts w:ascii="Times New Roman" w:hAnsi="Times New Roman" w:cs="Times New Roman"/>
          <w:kern w:val="0"/>
          <w14:ligatures w14:val="none"/>
        </w:rPr>
        <w:t xml:space="preserve">, M. E. E. D., Nassar, M. B., </w:t>
      </w:r>
      <w:proofErr w:type="spellStart"/>
      <w:r w:rsidRPr="000D1E21">
        <w:rPr>
          <w:rFonts w:ascii="Times New Roman" w:hAnsi="Times New Roman" w:cs="Times New Roman"/>
          <w:kern w:val="0"/>
          <w14:ligatures w14:val="none"/>
        </w:rPr>
        <w:t>Gendy</w:t>
      </w:r>
      <w:proofErr w:type="spellEnd"/>
      <w:r w:rsidRPr="000D1E21">
        <w:rPr>
          <w:rFonts w:ascii="Times New Roman" w:hAnsi="Times New Roman" w:cs="Times New Roman"/>
          <w:kern w:val="0"/>
          <w14:ligatures w14:val="none"/>
        </w:rPr>
        <w:t xml:space="preserve">, E. A. E. L. E., &amp; </w:t>
      </w:r>
      <w:proofErr w:type="spellStart"/>
      <w:r w:rsidRPr="000D1E21">
        <w:rPr>
          <w:rFonts w:ascii="Times New Roman" w:hAnsi="Times New Roman" w:cs="Times New Roman"/>
          <w:kern w:val="0"/>
          <w14:ligatures w14:val="none"/>
        </w:rPr>
        <w:t>Badr</w:t>
      </w:r>
      <w:proofErr w:type="spellEnd"/>
      <w:r w:rsidRPr="000D1E21">
        <w:rPr>
          <w:rFonts w:ascii="Times New Roman" w:hAnsi="Times New Roman" w:cs="Times New Roman"/>
          <w:kern w:val="0"/>
          <w14:ligatures w14:val="none"/>
        </w:rPr>
        <w:t xml:space="preserve">, S. F. (2023). Short Term Outcome of Percutaneous Coronary Intervention in </w:t>
      </w:r>
      <w:proofErr w:type="spellStart"/>
      <w:r w:rsidRPr="000D1E21">
        <w:rPr>
          <w:rFonts w:ascii="Times New Roman" w:hAnsi="Times New Roman" w:cs="Times New Roman"/>
          <w:kern w:val="0"/>
          <w14:ligatures w14:val="none"/>
        </w:rPr>
        <w:t>Anaemic</w:t>
      </w:r>
      <w:proofErr w:type="spellEnd"/>
      <w:r w:rsidRPr="000D1E21">
        <w:rPr>
          <w:rFonts w:ascii="Times New Roman" w:hAnsi="Times New Roman" w:cs="Times New Roman"/>
          <w:kern w:val="0"/>
          <w14:ligatures w14:val="none"/>
        </w:rPr>
        <w:t xml:space="preserve"> Patients Presenting with Coronary Artery Diseases. Cardiology and Angiology: An International Journal, 12(1), 1–13. https://doi.org/10.9734/ca/2023/v12i1307</w:t>
      </w:r>
    </w:p>
    <w:p w14:paraId="4B0C8118" w14:textId="77777777" w:rsidR="009C0F54" w:rsidRPr="00DF7503" w:rsidRDefault="009C0F54" w:rsidP="00DF7503">
      <w:pPr>
        <w:tabs>
          <w:tab w:val="left" w:pos="720"/>
        </w:tabs>
        <w:ind w:left="360"/>
        <w:rPr>
          <w:rFonts w:ascii="Times New Roman" w:hAnsi="Times New Roman" w:cs="Times New Roman"/>
          <w:kern w:val="0"/>
          <w14:ligatures w14:val="none"/>
        </w:rPr>
      </w:pPr>
    </w:p>
    <w:p w14:paraId="57796CB6" w14:textId="77777777" w:rsidR="00A06F0D" w:rsidRPr="00EC54B4" w:rsidRDefault="00A06F0D">
      <w:pPr>
        <w:pStyle w:val="NormalWeb"/>
      </w:pPr>
    </w:p>
    <w:sectPr w:rsidR="00A06F0D" w:rsidRPr="00EC54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E645" w14:textId="77777777" w:rsidR="00CE5F90" w:rsidRDefault="00CE5F90" w:rsidP="00277484">
      <w:pPr>
        <w:spacing w:after="0" w:line="240" w:lineRule="auto"/>
      </w:pPr>
      <w:r>
        <w:separator/>
      </w:r>
    </w:p>
  </w:endnote>
  <w:endnote w:type="continuationSeparator" w:id="0">
    <w:p w14:paraId="0D9F59AF" w14:textId="77777777" w:rsidR="00CE5F90" w:rsidRDefault="00CE5F90" w:rsidP="0027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5413" w14:textId="77777777" w:rsidR="00277484" w:rsidRDefault="00277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5696" w14:textId="77777777" w:rsidR="00277484" w:rsidRDefault="00277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2BB2" w14:textId="77777777" w:rsidR="00277484" w:rsidRDefault="0027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2E5E" w14:textId="77777777" w:rsidR="00CE5F90" w:rsidRDefault="00CE5F90" w:rsidP="00277484">
      <w:pPr>
        <w:spacing w:after="0" w:line="240" w:lineRule="auto"/>
      </w:pPr>
      <w:r>
        <w:separator/>
      </w:r>
    </w:p>
  </w:footnote>
  <w:footnote w:type="continuationSeparator" w:id="0">
    <w:p w14:paraId="58AC72B8" w14:textId="77777777" w:rsidR="00CE5F90" w:rsidRDefault="00CE5F90" w:rsidP="0027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0269" w14:textId="30FFE2AA" w:rsidR="00277484" w:rsidRDefault="00277484">
    <w:pPr>
      <w:pStyle w:val="Header"/>
    </w:pPr>
    <w:r>
      <w:rPr>
        <w:noProof/>
      </w:rPr>
      <w:pict w14:anchorId="5D020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4781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2E5A" w14:textId="602D68B9" w:rsidR="00277484" w:rsidRDefault="00277484">
    <w:pPr>
      <w:pStyle w:val="Header"/>
    </w:pPr>
    <w:r>
      <w:rPr>
        <w:noProof/>
      </w:rPr>
      <w:pict w14:anchorId="3DF44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4781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99C7" w14:textId="1E8D6029" w:rsidR="00277484" w:rsidRDefault="00277484">
    <w:pPr>
      <w:pStyle w:val="Header"/>
    </w:pPr>
    <w:r>
      <w:rPr>
        <w:noProof/>
      </w:rPr>
      <w:pict w14:anchorId="4EF4C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4781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379A3C4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3"/>
  </w:num>
  <w:num w:numId="5">
    <w:abstractNumId w:val="9"/>
  </w:num>
  <w:num w:numId="6">
    <w:abstractNumId w:val="0"/>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MzY2MLY0NDI0NDVW0lEKTi0uzszPAykwrAUAYdUzdCwAAAA="/>
  </w:docVars>
  <w:rsids>
    <w:rsidRoot w:val="00A06F0D"/>
    <w:rsid w:val="00030038"/>
    <w:rsid w:val="000529EB"/>
    <w:rsid w:val="000D1E21"/>
    <w:rsid w:val="00123F8E"/>
    <w:rsid w:val="00135AE4"/>
    <w:rsid w:val="00140D8B"/>
    <w:rsid w:val="0018476B"/>
    <w:rsid w:val="001A333E"/>
    <w:rsid w:val="00277484"/>
    <w:rsid w:val="002B1385"/>
    <w:rsid w:val="003D364F"/>
    <w:rsid w:val="00437279"/>
    <w:rsid w:val="005576A8"/>
    <w:rsid w:val="008103CD"/>
    <w:rsid w:val="008378FB"/>
    <w:rsid w:val="009C05F6"/>
    <w:rsid w:val="009C0F54"/>
    <w:rsid w:val="00A06F0D"/>
    <w:rsid w:val="00A64F2A"/>
    <w:rsid w:val="00AF155E"/>
    <w:rsid w:val="00AF15EC"/>
    <w:rsid w:val="00BB123E"/>
    <w:rsid w:val="00BC77D7"/>
    <w:rsid w:val="00CE5F90"/>
    <w:rsid w:val="00D27C13"/>
    <w:rsid w:val="00D3372A"/>
    <w:rsid w:val="00DF6F6A"/>
    <w:rsid w:val="00DF7503"/>
    <w:rsid w:val="00EC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16B63"/>
  <w15:docId w15:val="{A2EF0B23-1240-FB4C-A6C4-90CD012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227890">
      <w:bodyDiv w:val="1"/>
      <w:marLeft w:val="0"/>
      <w:marRight w:val="0"/>
      <w:marTop w:val="0"/>
      <w:marBottom w:val="0"/>
      <w:divBdr>
        <w:top w:val="none" w:sz="0" w:space="0" w:color="auto"/>
        <w:left w:val="none" w:sz="0" w:space="0" w:color="auto"/>
        <w:bottom w:val="none" w:sz="0" w:space="0" w:color="auto"/>
        <w:right w:val="none" w:sz="0" w:space="0" w:color="auto"/>
      </w:divBdr>
      <w:divsChild>
        <w:div w:id="53543000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92569881">
      <w:bodyDiv w:val="1"/>
      <w:marLeft w:val="0"/>
      <w:marRight w:val="0"/>
      <w:marTop w:val="0"/>
      <w:marBottom w:val="0"/>
      <w:divBdr>
        <w:top w:val="none" w:sz="0" w:space="0" w:color="auto"/>
        <w:left w:val="none" w:sz="0" w:space="0" w:color="auto"/>
        <w:bottom w:val="none" w:sz="0" w:space="0" w:color="auto"/>
        <w:right w:val="none" w:sz="0" w:space="0" w:color="auto"/>
      </w:divBdr>
      <w:divsChild>
        <w:div w:id="18925750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14</Pages>
  <Words>4993</Words>
  <Characters>28463</Characters>
  <Application>Microsoft Office Word</Application>
  <DocSecurity>0</DocSecurity>
  <Lines>237</Lines>
  <Paragraphs>66</Paragraphs>
  <ScaleCrop>false</ScaleCrop>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72</cp:revision>
  <dcterms:created xsi:type="dcterms:W3CDTF">2026-01-05T21:13:00Z</dcterms:created>
  <dcterms:modified xsi:type="dcterms:W3CDTF">2026-01-27T08:03:00Z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6fac762a825e4bb39a7eb662c54131f1</vt:lpwstr>
  </property>
</Properties>
</file>